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07306" w:rsidRPr="00B93CF2" w:rsidRDefault="00DF3379">
      <w:pPr>
        <w:pStyle w:val="TDC1"/>
        <w:tabs>
          <w:tab w:val="left" w:pos="440"/>
          <w:tab w:val="right" w:leader="dot" w:pos="9060"/>
        </w:tabs>
        <w:rPr>
          <w:rFonts w:eastAsiaTheme="minorEastAsia"/>
          <w:noProof/>
          <w:sz w:val="24"/>
          <w:szCs w:val="24"/>
          <w:lang w:val="es-ES" w:eastAsia="es-ES"/>
        </w:rPr>
      </w:pPr>
      <w:r w:rsidRPr="002A2B2B">
        <w:rPr>
          <w:rFonts w:ascii="Times New Roman" w:hAnsi="Times New Roman" w:cs="Times New Roman"/>
          <w:sz w:val="24"/>
          <w:szCs w:val="24"/>
        </w:rPr>
        <w:fldChar w:fldCharType="begin"/>
      </w:r>
      <w:r w:rsidRPr="002A2B2B">
        <w:rPr>
          <w:rFonts w:ascii="Times New Roman" w:hAnsi="Times New Roman" w:cs="Times New Roman"/>
          <w:sz w:val="24"/>
          <w:szCs w:val="24"/>
        </w:rPr>
        <w:instrText xml:space="preserve"> TOC \o "1-3" \h \z \u </w:instrText>
      </w:r>
      <w:r w:rsidRPr="002A2B2B">
        <w:rPr>
          <w:rFonts w:ascii="Times New Roman" w:hAnsi="Times New Roman" w:cs="Times New Roman"/>
          <w:sz w:val="24"/>
          <w:szCs w:val="24"/>
        </w:rPr>
        <w:fldChar w:fldCharType="separate"/>
      </w:r>
      <w:hyperlink w:anchor="_Toc393739385" w:history="1">
        <w:r w:rsidR="00F07306" w:rsidRPr="00B93CF2">
          <w:rPr>
            <w:rStyle w:val="Hipervnculo"/>
            <w:rFonts w:ascii="Times New Roman" w:hAnsi="Times New Roman" w:cs="Times New Roman"/>
            <w:noProof/>
            <w:sz w:val="24"/>
            <w:szCs w:val="24"/>
          </w:rPr>
          <w:t>1.</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INTRODUCCIÓN</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_Toc393739385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3</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386" w:history="1">
        <w:r w:rsidR="00F07306" w:rsidRPr="00B93CF2">
          <w:rPr>
            <w:rStyle w:val="Hipervnculo"/>
            <w:rFonts w:ascii="Times New Roman" w:hAnsi="Times New Roman" w:cs="Times New Roman"/>
            <w:noProof/>
            <w:sz w:val="24"/>
            <w:szCs w:val="24"/>
          </w:rPr>
          <w:t>2.</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DEFINICIÓN DE DROGA. OBJETO MATERIAL</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_Toc393739386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6</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89" w:history="1">
        <w:r w:rsidR="00F07306" w:rsidRPr="00B93CF2">
          <w:rPr>
            <w:rStyle w:val="Hipervnculo"/>
            <w:rFonts w:ascii="Times New Roman" w:hAnsi="Times New Roman" w:cs="Times New Roman"/>
            <w:noProof/>
            <w:sz w:val="24"/>
            <w:szCs w:val="24"/>
          </w:rPr>
          <w:t>2.1.</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Relevancia punitiva del tipo de droga: drogas que causen grave daño a la salud  y que no causen daño a la salud</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_Toc393739389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9</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390" w:history="1">
        <w:r w:rsidR="00F07306" w:rsidRPr="00B93CF2">
          <w:rPr>
            <w:rStyle w:val="Hipervnculo"/>
            <w:rFonts w:ascii="Times New Roman" w:hAnsi="Times New Roman" w:cs="Times New Roman"/>
            <w:noProof/>
            <w:sz w:val="24"/>
            <w:szCs w:val="24"/>
          </w:rPr>
          <w:t>3.</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DOSIS MÍNIMA PSICOACTIVA. LA PROBLEMÁTICA DE LA PEQUEÑA CUANTÍA</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_Toc393739390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12</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92" w:history="1">
        <w:r w:rsidR="00F07306" w:rsidRPr="00B93CF2">
          <w:rPr>
            <w:rStyle w:val="Hipervnculo"/>
            <w:rFonts w:ascii="Times New Roman" w:hAnsi="Times New Roman" w:cs="Times New Roman"/>
            <w:noProof/>
            <w:sz w:val="24"/>
            <w:szCs w:val="24"/>
          </w:rPr>
          <w:t>3.1.</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Antes del Acuerdo</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_Toc393739392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12</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93" w:history="1">
        <w:r w:rsidR="00F07306" w:rsidRPr="00B93CF2">
          <w:rPr>
            <w:rStyle w:val="Hipervnculo"/>
            <w:rFonts w:ascii="Times New Roman" w:hAnsi="Times New Roman" w:cs="Times New Roman"/>
            <w:noProof/>
            <w:sz w:val="24"/>
            <w:szCs w:val="24"/>
          </w:rPr>
          <w:t>3.2.</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Acuerdo</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_Toc393739393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15</w:t>
        </w:r>
        <w:r w:rsidR="00F07306" w:rsidRPr="00B93CF2">
          <w:rPr>
            <w:noProof/>
            <w:webHidden/>
            <w:sz w:val="24"/>
            <w:szCs w:val="24"/>
          </w:rPr>
          <w:fldChar w:fldCharType="end"/>
        </w:r>
      </w:hyperlink>
    </w:p>
    <w:p w:rsidR="00F07306" w:rsidRPr="00B93CF2" w:rsidRDefault="00556FB6">
      <w:pPr>
        <w:pStyle w:val="TDC3"/>
        <w:tabs>
          <w:tab w:val="left" w:pos="1320"/>
          <w:tab w:val="right" w:leader="dot" w:pos="9060"/>
        </w:tabs>
        <w:rPr>
          <w:rFonts w:eastAsiaTheme="minorEastAsia"/>
          <w:noProof/>
          <w:sz w:val="24"/>
          <w:szCs w:val="24"/>
          <w:lang w:val="es-ES" w:eastAsia="es-ES"/>
        </w:rPr>
      </w:pPr>
      <w:hyperlink w:anchor="_Toc393739394" w:history="1">
        <w:r w:rsidR="00F07306" w:rsidRPr="00B93CF2">
          <w:rPr>
            <w:rStyle w:val="Hipervnculo"/>
            <w:rFonts w:ascii="Times New Roman" w:hAnsi="Times New Roman" w:cs="Times New Roman"/>
            <w:noProof/>
            <w:sz w:val="24"/>
            <w:szCs w:val="24"/>
          </w:rPr>
          <w:t>3.2.1.</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Mínimo psicoactivo y principio de insignificancia</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_Toc393739394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22</w:t>
        </w:r>
        <w:r w:rsidR="00F07306" w:rsidRPr="00B93CF2">
          <w:rPr>
            <w:noProof/>
            <w:webHidden/>
            <w:sz w:val="24"/>
            <w:szCs w:val="24"/>
          </w:rPr>
          <w:fldChar w:fldCharType="end"/>
        </w:r>
      </w:hyperlink>
    </w:p>
    <w:p w:rsidR="00F07306" w:rsidRPr="00B93CF2" w:rsidRDefault="00556FB6">
      <w:pPr>
        <w:pStyle w:val="TDC3"/>
        <w:tabs>
          <w:tab w:val="left" w:pos="1320"/>
          <w:tab w:val="right" w:leader="dot" w:pos="9060"/>
        </w:tabs>
        <w:rPr>
          <w:rFonts w:eastAsiaTheme="minorEastAsia"/>
          <w:noProof/>
          <w:sz w:val="24"/>
          <w:szCs w:val="24"/>
          <w:lang w:val="es-ES" w:eastAsia="es-ES"/>
        </w:rPr>
      </w:pPr>
      <w:hyperlink w:anchor="_Toc393739395" w:history="1">
        <w:r w:rsidR="00F07306" w:rsidRPr="00B93CF2">
          <w:rPr>
            <w:rStyle w:val="Hipervnculo"/>
            <w:rFonts w:ascii="Times New Roman" w:hAnsi="Times New Roman" w:cs="Times New Roman"/>
            <w:noProof/>
            <w:sz w:val="24"/>
            <w:szCs w:val="24"/>
          </w:rPr>
          <w:t>3.2.2.</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La importancia de la pureza</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_Toc393739395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24</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396" w:history="1">
        <w:r w:rsidR="00F07306" w:rsidRPr="00B93CF2">
          <w:rPr>
            <w:rStyle w:val="Hipervnculo"/>
            <w:rFonts w:ascii="Times New Roman" w:hAnsi="Times New Roman" w:cs="Times New Roman"/>
            <w:noProof/>
            <w:sz w:val="24"/>
            <w:szCs w:val="24"/>
          </w:rPr>
          <w:t>4.</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LA POSESIÓN DE DROGA NO ILÍCITA PENALMENTE</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_Toc393739396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26</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97" w:history="1">
        <w:r w:rsidR="00F07306" w:rsidRPr="00B93CF2">
          <w:rPr>
            <w:rStyle w:val="Hipervnculo"/>
            <w:rFonts w:ascii="Times New Roman" w:hAnsi="Times New Roman" w:cs="Times New Roman"/>
            <w:noProof/>
            <w:sz w:val="24"/>
            <w:szCs w:val="24"/>
          </w:rPr>
          <w:t>4.1.</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La nueva reforma. Tipo atenuado por la cuantía.</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_Toc393739397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27</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98" w:history="1">
        <w:r w:rsidR="00F07306" w:rsidRPr="00B93CF2">
          <w:rPr>
            <w:rStyle w:val="Hipervnculo"/>
            <w:rFonts w:ascii="Times New Roman" w:hAnsi="Times New Roman" w:cs="Times New Roman"/>
            <w:noProof/>
            <w:sz w:val="24"/>
            <w:szCs w:val="24"/>
          </w:rPr>
          <w:t>4.2.</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Autoconsumo o consumo propio.</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_Toc393739398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32</w:t>
        </w:r>
        <w:r w:rsidR="00F07306" w:rsidRPr="00B93CF2">
          <w:rPr>
            <w:noProof/>
            <w:webHidden/>
            <w:sz w:val="24"/>
            <w:szCs w:val="24"/>
          </w:rPr>
          <w:fldChar w:fldCharType="end"/>
        </w:r>
      </w:hyperlink>
    </w:p>
    <w:p w:rsidR="00F07306" w:rsidRPr="00B93CF2" w:rsidRDefault="00556FB6">
      <w:pPr>
        <w:pStyle w:val="TDC2"/>
        <w:tabs>
          <w:tab w:val="left" w:pos="880"/>
          <w:tab w:val="right" w:leader="dot" w:pos="9060"/>
        </w:tabs>
        <w:rPr>
          <w:rFonts w:eastAsiaTheme="minorEastAsia"/>
          <w:noProof/>
          <w:sz w:val="24"/>
          <w:szCs w:val="24"/>
          <w:lang w:val="es-ES" w:eastAsia="es-ES"/>
        </w:rPr>
      </w:pPr>
      <w:hyperlink w:anchor="_Toc393739399" w:history="1">
        <w:r w:rsidR="00F07306" w:rsidRPr="00B93CF2">
          <w:rPr>
            <w:rStyle w:val="Hipervnculo"/>
            <w:rFonts w:ascii="Times New Roman" w:hAnsi="Times New Roman" w:cs="Times New Roman"/>
            <w:noProof/>
            <w:sz w:val="24"/>
            <w:szCs w:val="24"/>
          </w:rPr>
          <w:t>4.3.</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Autoconsumo compartido</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_Toc393739399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39</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400" w:history="1">
        <w:r w:rsidR="00F07306" w:rsidRPr="00B93CF2">
          <w:rPr>
            <w:rStyle w:val="Hipervnculo"/>
            <w:rFonts w:ascii="Times New Roman" w:hAnsi="Times New Roman" w:cs="Times New Roman"/>
            <w:noProof/>
            <w:sz w:val="24"/>
            <w:szCs w:val="24"/>
          </w:rPr>
          <w:t>5.</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LA IMPOTANCIA DE LA CANTIDAD. NOTORIA IMPORTANCIA Y EXTREMA GRAVEDAD</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_Toc393739400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41</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401" w:history="1">
        <w:r w:rsidR="00F07306" w:rsidRPr="00B93CF2">
          <w:rPr>
            <w:rStyle w:val="Hipervnculo"/>
            <w:rFonts w:ascii="Times New Roman" w:hAnsi="Times New Roman" w:cs="Times New Roman"/>
            <w:noProof/>
            <w:sz w:val="24"/>
            <w:szCs w:val="24"/>
          </w:rPr>
          <w:t>6.</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CONCLUSIONES</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_Toc393739401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46</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402" w:history="1">
        <w:r w:rsidR="00F07306" w:rsidRPr="00B93CF2">
          <w:rPr>
            <w:rStyle w:val="Hipervnculo"/>
            <w:rFonts w:ascii="Times New Roman" w:hAnsi="Times New Roman" w:cs="Times New Roman"/>
            <w:noProof/>
            <w:sz w:val="24"/>
            <w:szCs w:val="24"/>
          </w:rPr>
          <w:t>7.</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BIBLIOGRAFÍA</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_Toc393739402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48</w:t>
        </w:r>
        <w:r w:rsidR="00F07306" w:rsidRPr="00B93CF2">
          <w:rPr>
            <w:noProof/>
            <w:webHidden/>
            <w:sz w:val="24"/>
            <w:szCs w:val="24"/>
          </w:rPr>
          <w:fldChar w:fldCharType="end"/>
        </w:r>
      </w:hyperlink>
    </w:p>
    <w:p w:rsidR="00F07306" w:rsidRPr="00B93CF2" w:rsidRDefault="00556FB6">
      <w:pPr>
        <w:pStyle w:val="TDC1"/>
        <w:tabs>
          <w:tab w:val="left" w:pos="440"/>
          <w:tab w:val="right" w:leader="dot" w:pos="9060"/>
        </w:tabs>
        <w:rPr>
          <w:rFonts w:eastAsiaTheme="minorEastAsia"/>
          <w:noProof/>
          <w:sz w:val="24"/>
          <w:szCs w:val="24"/>
          <w:lang w:val="es-ES" w:eastAsia="es-ES"/>
        </w:rPr>
      </w:pPr>
      <w:hyperlink w:anchor="_Toc393739403" w:history="1">
        <w:r w:rsidR="00F07306" w:rsidRPr="00B93CF2">
          <w:rPr>
            <w:rStyle w:val="Hipervnculo"/>
            <w:rFonts w:ascii="Times New Roman" w:hAnsi="Times New Roman" w:cs="Times New Roman"/>
            <w:noProof/>
            <w:sz w:val="24"/>
            <w:szCs w:val="24"/>
          </w:rPr>
          <w:t>8.</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caps/>
            <w:noProof/>
            <w:sz w:val="24"/>
            <w:szCs w:val="24"/>
          </w:rPr>
          <w:t>Jurisprudencia, Acuerdos y Circulares</w:t>
        </w:r>
        <w:r w:rsidR="00F07306" w:rsidRPr="00B93CF2">
          <w:rPr>
            <w:rStyle w:val="Hipervnculo"/>
            <w:rFonts w:ascii="Times New Roman" w:hAnsi="Times New Roman" w:cs="Times New Roman"/>
            <w:noProof/>
            <w:sz w:val="24"/>
            <w:szCs w:val="24"/>
          </w:rPr>
          <w:t>:</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_Toc393739403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51</w:t>
        </w:r>
        <w:r w:rsidR="00F07306" w:rsidRPr="00B93CF2">
          <w:rPr>
            <w:noProof/>
            <w:webHidden/>
            <w:sz w:val="24"/>
            <w:szCs w:val="24"/>
          </w:rPr>
          <w:fldChar w:fldCharType="end"/>
        </w:r>
      </w:hyperlink>
    </w:p>
    <w:p w:rsidR="00F07306" w:rsidRDefault="00556FB6">
      <w:pPr>
        <w:pStyle w:val="TDC1"/>
        <w:tabs>
          <w:tab w:val="left" w:pos="440"/>
          <w:tab w:val="right" w:leader="dot" w:pos="9060"/>
        </w:tabs>
        <w:rPr>
          <w:rFonts w:eastAsiaTheme="minorEastAsia"/>
          <w:noProof/>
          <w:lang w:val="es-ES" w:eastAsia="es-ES"/>
        </w:rPr>
      </w:pPr>
      <w:hyperlink w:anchor="_Toc393739404" w:history="1">
        <w:r w:rsidR="00F07306" w:rsidRPr="00B93CF2">
          <w:rPr>
            <w:rStyle w:val="Hipervnculo"/>
            <w:rFonts w:ascii="Times New Roman" w:hAnsi="Times New Roman" w:cs="Times New Roman"/>
            <w:noProof/>
            <w:sz w:val="24"/>
            <w:szCs w:val="24"/>
          </w:rPr>
          <w:t>9.</w:t>
        </w:r>
        <w:r w:rsidR="00F07306" w:rsidRPr="00B93CF2">
          <w:rPr>
            <w:rFonts w:eastAsiaTheme="minorEastAsia"/>
            <w:noProof/>
            <w:sz w:val="24"/>
            <w:szCs w:val="24"/>
            <w:lang w:val="es-ES" w:eastAsia="es-ES"/>
          </w:rPr>
          <w:tab/>
        </w:r>
        <w:r w:rsidR="00F07306" w:rsidRPr="00B93CF2">
          <w:rPr>
            <w:rStyle w:val="Hipervnculo"/>
            <w:rFonts w:ascii="Times New Roman" w:hAnsi="Times New Roman" w:cs="Times New Roman"/>
            <w:noProof/>
            <w:sz w:val="24"/>
            <w:szCs w:val="24"/>
          </w:rPr>
          <w:t>ANEXOS</w:t>
        </w:r>
        <w:r w:rsidR="00F07306" w:rsidRPr="00B93CF2">
          <w:rPr>
            <w:noProof/>
            <w:webHidden/>
            <w:sz w:val="24"/>
            <w:szCs w:val="24"/>
          </w:rPr>
          <w:tab/>
        </w:r>
        <w:r w:rsidR="00F07306" w:rsidRPr="00B93CF2">
          <w:rPr>
            <w:noProof/>
            <w:webHidden/>
            <w:sz w:val="24"/>
            <w:szCs w:val="24"/>
          </w:rPr>
          <w:fldChar w:fldCharType="begin"/>
        </w:r>
        <w:r w:rsidR="00F07306" w:rsidRPr="00B93CF2">
          <w:rPr>
            <w:noProof/>
            <w:webHidden/>
            <w:sz w:val="24"/>
            <w:szCs w:val="24"/>
          </w:rPr>
          <w:instrText xml:space="preserve"> PAGEREF _Toc393739404 \h </w:instrText>
        </w:r>
        <w:r w:rsidR="00F07306" w:rsidRPr="00B93CF2">
          <w:rPr>
            <w:noProof/>
            <w:webHidden/>
            <w:sz w:val="24"/>
            <w:szCs w:val="24"/>
          </w:rPr>
        </w:r>
        <w:r w:rsidR="00F07306" w:rsidRPr="00B93CF2">
          <w:rPr>
            <w:noProof/>
            <w:webHidden/>
            <w:sz w:val="24"/>
            <w:szCs w:val="24"/>
          </w:rPr>
          <w:fldChar w:fldCharType="separate"/>
        </w:r>
        <w:r w:rsidR="00BA48B3">
          <w:rPr>
            <w:noProof/>
            <w:webHidden/>
            <w:sz w:val="24"/>
            <w:szCs w:val="24"/>
          </w:rPr>
          <w:t>53</w:t>
        </w:r>
        <w:r w:rsidR="00F07306" w:rsidRPr="00B93CF2">
          <w:rPr>
            <w:noProof/>
            <w:webHidden/>
            <w:sz w:val="24"/>
            <w:szCs w:val="24"/>
          </w:rPr>
          <w:fldChar w:fldCharType="end"/>
        </w:r>
      </w:hyperlink>
    </w:p>
    <w:p w:rsidR="00DF3379" w:rsidRPr="002A2B2B" w:rsidRDefault="00DF3379" w:rsidP="00B407AC">
      <w:pPr>
        <w:rPr>
          <w:rFonts w:ascii="Times New Roman" w:hAnsi="Times New Roman" w:cs="Times New Roman"/>
          <w:sz w:val="24"/>
          <w:szCs w:val="24"/>
        </w:rPr>
      </w:pPr>
      <w:r w:rsidRPr="002A2B2B">
        <w:rPr>
          <w:rFonts w:ascii="Times New Roman" w:hAnsi="Times New Roman" w:cs="Times New Roman"/>
          <w:sz w:val="24"/>
          <w:szCs w:val="24"/>
        </w:rPr>
        <w:fldChar w:fldCharType="end"/>
      </w:r>
    </w:p>
    <w:p w:rsidR="00DF3379" w:rsidRPr="00652249" w:rsidRDefault="00DF3379" w:rsidP="00B407AC">
      <w:pPr>
        <w:rPr>
          <w:rFonts w:ascii="Times New Roman" w:hAnsi="Times New Roman" w:cs="Times New Roman"/>
          <w:i/>
          <w:sz w:val="24"/>
          <w:szCs w:val="24"/>
        </w:rPr>
      </w:pPr>
    </w:p>
    <w:p w:rsidR="00DF3379" w:rsidRPr="00652249" w:rsidRDefault="00DF3379" w:rsidP="00B407AC">
      <w:pPr>
        <w:rPr>
          <w:rFonts w:ascii="Times New Roman" w:hAnsi="Times New Roman" w:cs="Times New Roman"/>
          <w:sz w:val="24"/>
          <w:szCs w:val="24"/>
        </w:rPr>
      </w:pPr>
    </w:p>
    <w:p w:rsidR="00DF3379" w:rsidRDefault="00DF3379" w:rsidP="00B407AC">
      <w:pPr>
        <w:rPr>
          <w:rFonts w:ascii="Times New Roman" w:hAnsi="Times New Roman" w:cs="Times New Roman"/>
          <w:i/>
          <w:sz w:val="24"/>
          <w:szCs w:val="24"/>
        </w:rPr>
      </w:pPr>
    </w:p>
    <w:p w:rsidR="00FB14A6" w:rsidRPr="00A8282C" w:rsidRDefault="00FB14A6" w:rsidP="00B407AC">
      <w:pPr>
        <w:rPr>
          <w:rFonts w:ascii="Times New Roman" w:hAnsi="Times New Roman" w:cs="Times New Roman"/>
          <w:i/>
          <w:sz w:val="24"/>
          <w:szCs w:val="24"/>
        </w:rPr>
      </w:pPr>
    </w:p>
    <w:p w:rsidR="00DF3379" w:rsidRPr="00A8282C" w:rsidRDefault="00DF3379" w:rsidP="00B407AC">
      <w:pPr>
        <w:rPr>
          <w:rFonts w:ascii="Times New Roman" w:hAnsi="Times New Roman" w:cs="Times New Roman"/>
          <w:i/>
          <w:sz w:val="24"/>
          <w:szCs w:val="24"/>
        </w:rPr>
      </w:pPr>
    </w:p>
    <w:p w:rsidR="00DF3379" w:rsidRDefault="00DF3379" w:rsidP="00B407AC">
      <w:pPr>
        <w:rPr>
          <w:rFonts w:ascii="Times New Roman" w:hAnsi="Times New Roman" w:cs="Times New Roman"/>
          <w:b/>
          <w:i/>
          <w:sz w:val="24"/>
          <w:szCs w:val="24"/>
        </w:rPr>
      </w:pPr>
    </w:p>
    <w:p w:rsidR="00DF3379" w:rsidRDefault="00DF3379" w:rsidP="00B407AC">
      <w:pPr>
        <w:rPr>
          <w:rFonts w:ascii="Times New Roman" w:hAnsi="Times New Roman" w:cs="Times New Roman"/>
          <w:b/>
          <w:i/>
          <w:sz w:val="24"/>
          <w:szCs w:val="24"/>
        </w:rPr>
      </w:pPr>
    </w:p>
    <w:p w:rsidR="00DF3379" w:rsidRDefault="00DF3379" w:rsidP="00B407AC">
      <w:pPr>
        <w:rPr>
          <w:rFonts w:ascii="Times New Roman" w:hAnsi="Times New Roman" w:cs="Times New Roman"/>
          <w:b/>
          <w:i/>
          <w:sz w:val="24"/>
          <w:szCs w:val="24"/>
        </w:rPr>
      </w:pPr>
    </w:p>
    <w:p w:rsidR="00DF3379" w:rsidRDefault="00DF3379" w:rsidP="00B407AC">
      <w:pPr>
        <w:rPr>
          <w:rFonts w:ascii="Times New Roman" w:hAnsi="Times New Roman" w:cs="Times New Roman"/>
          <w:b/>
          <w:i/>
          <w:sz w:val="24"/>
          <w:szCs w:val="24"/>
        </w:rPr>
      </w:pPr>
    </w:p>
    <w:p w:rsidR="00DF3379" w:rsidRDefault="00DF3379" w:rsidP="00B407AC">
      <w:pPr>
        <w:rPr>
          <w:rFonts w:ascii="Times New Roman" w:hAnsi="Times New Roman" w:cs="Times New Roman"/>
          <w:b/>
          <w:i/>
          <w:sz w:val="24"/>
          <w:szCs w:val="24"/>
        </w:rPr>
      </w:pPr>
    </w:p>
    <w:p w:rsidR="00A8282C" w:rsidRDefault="00A8282C" w:rsidP="00B407AC">
      <w:pPr>
        <w:rPr>
          <w:rFonts w:ascii="Times New Roman" w:hAnsi="Times New Roman" w:cs="Times New Roman"/>
          <w:b/>
          <w:i/>
          <w:sz w:val="24"/>
          <w:szCs w:val="24"/>
        </w:rPr>
      </w:pPr>
    </w:p>
    <w:p w:rsidR="00B407AC" w:rsidRDefault="00B407AC" w:rsidP="00B407AC">
      <w:pPr>
        <w:rPr>
          <w:rFonts w:ascii="Times New Roman" w:hAnsi="Times New Roman" w:cs="Times New Roman"/>
          <w:b/>
          <w:i/>
          <w:sz w:val="24"/>
          <w:szCs w:val="24"/>
        </w:rPr>
      </w:pPr>
      <w:r w:rsidRPr="008658FC">
        <w:rPr>
          <w:rFonts w:ascii="Times New Roman" w:hAnsi="Times New Roman" w:cs="Times New Roman"/>
          <w:b/>
          <w:i/>
          <w:sz w:val="24"/>
          <w:szCs w:val="24"/>
        </w:rPr>
        <w:t>RESUMEN</w:t>
      </w:r>
    </w:p>
    <w:p w:rsidR="00942FDA" w:rsidRPr="00253C6A" w:rsidRDefault="00FB13B8" w:rsidP="00B407AC">
      <w:pPr>
        <w:rPr>
          <w:rFonts w:ascii="Times New Roman" w:hAnsi="Times New Roman" w:cs="Times New Roman"/>
          <w:sz w:val="24"/>
          <w:szCs w:val="24"/>
        </w:rPr>
      </w:pPr>
      <w:r>
        <w:rPr>
          <w:rFonts w:ascii="Times New Roman" w:hAnsi="Times New Roman" w:cs="Times New Roman"/>
          <w:sz w:val="24"/>
          <w:szCs w:val="24"/>
        </w:rPr>
        <w:t>El delito de tráfico de drogas está presente a menudo en los Tribunales</w:t>
      </w:r>
      <w:r w:rsidR="00DA07D1">
        <w:rPr>
          <w:rFonts w:ascii="Times New Roman" w:hAnsi="Times New Roman" w:cs="Times New Roman"/>
          <w:sz w:val="24"/>
          <w:szCs w:val="24"/>
        </w:rPr>
        <w:t xml:space="preserve">. </w:t>
      </w:r>
      <w:r w:rsidR="00B8487E">
        <w:rPr>
          <w:rFonts w:ascii="Times New Roman" w:hAnsi="Times New Roman" w:cs="Times New Roman"/>
          <w:sz w:val="24"/>
          <w:szCs w:val="24"/>
        </w:rPr>
        <w:t>La cuestión</w:t>
      </w:r>
      <w:r>
        <w:rPr>
          <w:rFonts w:ascii="Times New Roman" w:hAnsi="Times New Roman" w:cs="Times New Roman"/>
          <w:sz w:val="24"/>
          <w:szCs w:val="24"/>
        </w:rPr>
        <w:t xml:space="preserve"> de la cantidad </w:t>
      </w:r>
      <w:r w:rsidR="003148ED">
        <w:rPr>
          <w:rFonts w:ascii="Times New Roman" w:hAnsi="Times New Roman" w:cs="Times New Roman"/>
          <w:sz w:val="24"/>
          <w:szCs w:val="24"/>
        </w:rPr>
        <w:t xml:space="preserve">en este tipo de delitos </w:t>
      </w:r>
      <w:r>
        <w:rPr>
          <w:rFonts w:ascii="Times New Roman" w:hAnsi="Times New Roman" w:cs="Times New Roman"/>
          <w:sz w:val="24"/>
          <w:szCs w:val="24"/>
        </w:rPr>
        <w:t xml:space="preserve">es clave para saber desplazarse entre los diferentes artículos y encuadrar las conductas, pues esta referencia es lo que determina a veces la punibilidad o no de ciertos comportamientos, si nos encontramos ante un hecho subsumible en el terreno penal </w:t>
      </w:r>
      <w:r w:rsidR="00DA07D1">
        <w:rPr>
          <w:rFonts w:ascii="Times New Roman" w:hAnsi="Times New Roman" w:cs="Times New Roman"/>
          <w:sz w:val="24"/>
          <w:szCs w:val="24"/>
        </w:rPr>
        <w:t>o si por el contrario hay que expulsarlo, y si tal</w:t>
      </w:r>
      <w:r w:rsidR="003148ED">
        <w:rPr>
          <w:rFonts w:ascii="Times New Roman" w:hAnsi="Times New Roman" w:cs="Times New Roman"/>
          <w:sz w:val="24"/>
          <w:szCs w:val="24"/>
        </w:rPr>
        <w:t xml:space="preserve"> hecho injusto merece más o menos pena. </w:t>
      </w:r>
      <w:r w:rsidR="00F240A5">
        <w:rPr>
          <w:rFonts w:ascii="Times New Roman" w:hAnsi="Times New Roman" w:cs="Times New Roman"/>
          <w:sz w:val="24"/>
          <w:szCs w:val="24"/>
        </w:rPr>
        <w:t>Desde hace más de una d</w:t>
      </w:r>
      <w:r w:rsidR="00DA07D1">
        <w:rPr>
          <w:rFonts w:ascii="Times New Roman" w:hAnsi="Times New Roman" w:cs="Times New Roman"/>
          <w:sz w:val="24"/>
          <w:szCs w:val="24"/>
        </w:rPr>
        <w:t>écada</w:t>
      </w:r>
      <w:r w:rsidR="0096610D">
        <w:rPr>
          <w:rFonts w:ascii="Times New Roman" w:hAnsi="Times New Roman" w:cs="Times New Roman"/>
          <w:sz w:val="24"/>
          <w:szCs w:val="24"/>
        </w:rPr>
        <w:t>,</w:t>
      </w:r>
      <w:r w:rsidR="00DA07D1">
        <w:rPr>
          <w:rFonts w:ascii="Times New Roman" w:hAnsi="Times New Roman" w:cs="Times New Roman"/>
          <w:sz w:val="24"/>
          <w:szCs w:val="24"/>
        </w:rPr>
        <w:t xml:space="preserve"> se intentaron marcar</w:t>
      </w:r>
      <w:r w:rsidR="00F240A5">
        <w:rPr>
          <w:rFonts w:ascii="Times New Roman" w:hAnsi="Times New Roman" w:cs="Times New Roman"/>
          <w:sz w:val="24"/>
          <w:szCs w:val="24"/>
        </w:rPr>
        <w:t xml:space="preserve"> unos parámetros para poder aclarar cuestiones tales como la propia definición de las sustancias objeto material de este delito, la cantidad seg</w:t>
      </w:r>
      <w:r w:rsidR="00DA07D1">
        <w:rPr>
          <w:rFonts w:ascii="Times New Roman" w:hAnsi="Times New Roman" w:cs="Times New Roman"/>
          <w:sz w:val="24"/>
          <w:szCs w:val="24"/>
        </w:rPr>
        <w:t>ún la cual una droga era perjudicial para la salud, qué cuantías marcaban el límite entre el tráfico y el autoconsumo y cuáles de ellas se consideraban extremadamente graves.</w:t>
      </w:r>
      <w:r w:rsidR="00020D3E">
        <w:rPr>
          <w:rFonts w:ascii="Times New Roman" w:hAnsi="Times New Roman" w:cs="Times New Roman"/>
          <w:sz w:val="24"/>
          <w:szCs w:val="24"/>
        </w:rPr>
        <w:t xml:space="preserve"> </w:t>
      </w:r>
      <w:r w:rsidR="00020D3E" w:rsidRPr="00253C6A">
        <w:rPr>
          <w:rFonts w:ascii="Times New Roman" w:hAnsi="Times New Roman" w:cs="Times New Roman"/>
          <w:sz w:val="24"/>
          <w:szCs w:val="24"/>
        </w:rPr>
        <w:t xml:space="preserve">El debate </w:t>
      </w:r>
      <w:r w:rsidR="00020D3E" w:rsidRPr="00BA7FEE">
        <w:rPr>
          <w:rFonts w:ascii="Times New Roman" w:hAnsi="Times New Roman" w:cs="Times New Roman"/>
          <w:sz w:val="24"/>
          <w:szCs w:val="24"/>
        </w:rPr>
        <w:t>como</w:t>
      </w:r>
      <w:r w:rsidR="00020D3E" w:rsidRPr="00253C6A">
        <w:rPr>
          <w:rFonts w:ascii="Times New Roman" w:hAnsi="Times New Roman" w:cs="Times New Roman"/>
          <w:sz w:val="24"/>
          <w:szCs w:val="24"/>
        </w:rPr>
        <w:t xml:space="preserve"> </w:t>
      </w:r>
      <w:r w:rsidR="00B8487E">
        <w:rPr>
          <w:rFonts w:ascii="Times New Roman" w:hAnsi="Times New Roman" w:cs="Times New Roman"/>
          <w:sz w:val="24"/>
          <w:szCs w:val="24"/>
        </w:rPr>
        <w:t xml:space="preserve">se </w:t>
      </w:r>
      <w:r w:rsidR="00020D3E" w:rsidRPr="00BA7FEE">
        <w:rPr>
          <w:rFonts w:ascii="Times New Roman" w:hAnsi="Times New Roman" w:cs="Times New Roman"/>
          <w:sz w:val="24"/>
          <w:szCs w:val="24"/>
        </w:rPr>
        <w:t>verá</w:t>
      </w:r>
      <w:r w:rsidR="00020D3E" w:rsidRPr="00253C6A">
        <w:rPr>
          <w:rFonts w:ascii="Times New Roman" w:hAnsi="Times New Roman" w:cs="Times New Roman"/>
          <w:sz w:val="24"/>
          <w:szCs w:val="24"/>
        </w:rPr>
        <w:t xml:space="preserve">, </w:t>
      </w:r>
      <w:r w:rsidR="00020D3E" w:rsidRPr="00BA7FEE">
        <w:rPr>
          <w:rFonts w:ascii="Times New Roman" w:hAnsi="Times New Roman" w:cs="Times New Roman"/>
          <w:sz w:val="24"/>
          <w:szCs w:val="24"/>
        </w:rPr>
        <w:t>es</w:t>
      </w:r>
      <w:r w:rsidR="00020D3E" w:rsidRPr="00253C6A">
        <w:rPr>
          <w:rFonts w:ascii="Times New Roman" w:hAnsi="Times New Roman" w:cs="Times New Roman"/>
          <w:sz w:val="24"/>
          <w:szCs w:val="24"/>
        </w:rPr>
        <w:t xml:space="preserve"> </w:t>
      </w:r>
      <w:r w:rsidR="00020D3E" w:rsidRPr="00BA7FEE">
        <w:rPr>
          <w:rFonts w:ascii="Times New Roman" w:hAnsi="Times New Roman" w:cs="Times New Roman"/>
          <w:sz w:val="24"/>
          <w:szCs w:val="24"/>
        </w:rPr>
        <w:t>cuanto</w:t>
      </w:r>
      <w:r w:rsidR="00020D3E" w:rsidRPr="00253C6A">
        <w:rPr>
          <w:rFonts w:ascii="Times New Roman" w:hAnsi="Times New Roman" w:cs="Times New Roman"/>
          <w:sz w:val="24"/>
          <w:szCs w:val="24"/>
        </w:rPr>
        <w:t xml:space="preserve"> </w:t>
      </w:r>
      <w:r w:rsidR="00020D3E" w:rsidRPr="00BA7FEE">
        <w:rPr>
          <w:rFonts w:ascii="Times New Roman" w:hAnsi="Times New Roman" w:cs="Times New Roman"/>
          <w:sz w:val="24"/>
          <w:szCs w:val="24"/>
        </w:rPr>
        <w:t>menos</w:t>
      </w:r>
      <w:r w:rsidR="00020D3E" w:rsidRPr="00253C6A">
        <w:rPr>
          <w:rFonts w:ascii="Times New Roman" w:hAnsi="Times New Roman" w:cs="Times New Roman"/>
          <w:sz w:val="24"/>
          <w:szCs w:val="24"/>
        </w:rPr>
        <w:t xml:space="preserve"> </w:t>
      </w:r>
      <w:r w:rsidR="00020D3E" w:rsidRPr="00BA7FEE">
        <w:rPr>
          <w:rFonts w:ascii="Times New Roman" w:hAnsi="Times New Roman" w:cs="Times New Roman"/>
          <w:sz w:val="24"/>
          <w:szCs w:val="24"/>
        </w:rPr>
        <w:t>paradójico</w:t>
      </w:r>
      <w:r w:rsidR="00020D3E" w:rsidRPr="00253C6A">
        <w:rPr>
          <w:rFonts w:ascii="Times New Roman" w:hAnsi="Times New Roman" w:cs="Times New Roman"/>
          <w:sz w:val="24"/>
          <w:szCs w:val="24"/>
        </w:rPr>
        <w:t>.</w:t>
      </w:r>
    </w:p>
    <w:p w:rsidR="008658FC" w:rsidRPr="00253C6A" w:rsidRDefault="008658FC" w:rsidP="00B407AC">
      <w:pPr>
        <w:rPr>
          <w:rFonts w:ascii="Times New Roman" w:hAnsi="Times New Roman" w:cs="Times New Roman"/>
          <w:sz w:val="24"/>
          <w:szCs w:val="24"/>
        </w:rPr>
      </w:pPr>
    </w:p>
    <w:p w:rsidR="008658FC" w:rsidRPr="00253C6A" w:rsidRDefault="008658FC" w:rsidP="00B407AC">
      <w:pPr>
        <w:rPr>
          <w:rFonts w:ascii="Times New Roman" w:hAnsi="Times New Roman" w:cs="Times New Roman"/>
          <w:b/>
          <w:i/>
          <w:sz w:val="24"/>
          <w:szCs w:val="24"/>
        </w:rPr>
      </w:pPr>
      <w:r w:rsidRPr="00253C6A">
        <w:rPr>
          <w:rFonts w:ascii="Times New Roman" w:hAnsi="Times New Roman" w:cs="Times New Roman"/>
          <w:b/>
          <w:i/>
          <w:sz w:val="24"/>
          <w:szCs w:val="24"/>
        </w:rPr>
        <w:t>ABSTRACT</w:t>
      </w:r>
    </w:p>
    <w:p w:rsidR="00BA7FEE" w:rsidRPr="00BA7FEE" w:rsidRDefault="00BA7FEE" w:rsidP="00BA7FEE">
      <w:pPr>
        <w:rPr>
          <w:rFonts w:ascii="Times New Roman" w:hAnsi="Times New Roman" w:cs="Times New Roman"/>
          <w:lang w:val="en-US"/>
        </w:rPr>
      </w:pPr>
      <w:proofErr w:type="spellStart"/>
      <w:r w:rsidRPr="00253C6A">
        <w:rPr>
          <w:rFonts w:ascii="Times New Roman" w:hAnsi="Times New Roman" w:cs="Times New Roman"/>
        </w:rPr>
        <w:t>Drug</w:t>
      </w:r>
      <w:proofErr w:type="spellEnd"/>
      <w:r w:rsidRPr="00253C6A">
        <w:rPr>
          <w:rFonts w:ascii="Times New Roman" w:hAnsi="Times New Roman" w:cs="Times New Roman"/>
        </w:rPr>
        <w:t xml:space="preserve"> </w:t>
      </w:r>
      <w:proofErr w:type="spellStart"/>
      <w:r w:rsidRPr="00253C6A">
        <w:rPr>
          <w:rFonts w:ascii="Times New Roman" w:hAnsi="Times New Roman" w:cs="Times New Roman"/>
        </w:rPr>
        <w:t>trafficking</w:t>
      </w:r>
      <w:proofErr w:type="spellEnd"/>
      <w:r w:rsidRPr="00253C6A">
        <w:rPr>
          <w:rFonts w:ascii="Times New Roman" w:hAnsi="Times New Roman" w:cs="Times New Roman"/>
        </w:rPr>
        <w:t xml:space="preserve"> as a </w:t>
      </w:r>
      <w:proofErr w:type="spellStart"/>
      <w:r w:rsidRPr="00253C6A">
        <w:rPr>
          <w:rFonts w:ascii="Times New Roman" w:hAnsi="Times New Roman" w:cs="Times New Roman"/>
        </w:rPr>
        <w:t>crime</w:t>
      </w:r>
      <w:proofErr w:type="spellEnd"/>
      <w:r w:rsidRPr="00253C6A">
        <w:rPr>
          <w:rFonts w:ascii="Times New Roman" w:hAnsi="Times New Roman" w:cs="Times New Roman"/>
        </w:rPr>
        <w:t xml:space="preserve"> </w:t>
      </w:r>
      <w:proofErr w:type="spellStart"/>
      <w:r w:rsidRPr="00253C6A">
        <w:rPr>
          <w:rFonts w:ascii="Times New Roman" w:hAnsi="Times New Roman" w:cs="Times New Roman"/>
        </w:rPr>
        <w:t>is</w:t>
      </w:r>
      <w:proofErr w:type="spellEnd"/>
      <w:r w:rsidRPr="00253C6A">
        <w:rPr>
          <w:rFonts w:ascii="Times New Roman" w:hAnsi="Times New Roman" w:cs="Times New Roman"/>
        </w:rPr>
        <w:t xml:space="preserve"> </w:t>
      </w:r>
      <w:proofErr w:type="spellStart"/>
      <w:r w:rsidRPr="00253C6A">
        <w:rPr>
          <w:rFonts w:ascii="Times New Roman" w:hAnsi="Times New Roman" w:cs="Times New Roman"/>
        </w:rPr>
        <w:t>often</w:t>
      </w:r>
      <w:proofErr w:type="spellEnd"/>
      <w:r w:rsidRPr="00253C6A">
        <w:rPr>
          <w:rFonts w:ascii="Times New Roman" w:hAnsi="Times New Roman" w:cs="Times New Roman"/>
        </w:rPr>
        <w:t xml:space="preserve"> </w:t>
      </w:r>
      <w:proofErr w:type="spellStart"/>
      <w:r w:rsidRPr="00253C6A">
        <w:rPr>
          <w:rFonts w:ascii="Times New Roman" w:hAnsi="Times New Roman" w:cs="Times New Roman"/>
        </w:rPr>
        <w:t>present</w:t>
      </w:r>
      <w:proofErr w:type="spellEnd"/>
      <w:r w:rsidRPr="00253C6A">
        <w:rPr>
          <w:rFonts w:ascii="Times New Roman" w:hAnsi="Times New Roman" w:cs="Times New Roman"/>
        </w:rPr>
        <w:t xml:space="preserve"> in </w:t>
      </w:r>
      <w:proofErr w:type="spellStart"/>
      <w:r w:rsidRPr="00253C6A">
        <w:rPr>
          <w:rFonts w:ascii="Times New Roman" w:hAnsi="Times New Roman" w:cs="Times New Roman"/>
        </w:rPr>
        <w:t>the</w:t>
      </w:r>
      <w:proofErr w:type="spellEnd"/>
      <w:r w:rsidRPr="00253C6A">
        <w:rPr>
          <w:rFonts w:ascii="Times New Roman" w:hAnsi="Times New Roman" w:cs="Times New Roman"/>
        </w:rPr>
        <w:t xml:space="preserve"> </w:t>
      </w:r>
      <w:proofErr w:type="spellStart"/>
      <w:r w:rsidRPr="00253C6A">
        <w:rPr>
          <w:rFonts w:ascii="Times New Roman" w:hAnsi="Times New Roman" w:cs="Times New Roman"/>
        </w:rPr>
        <w:t>Courts</w:t>
      </w:r>
      <w:proofErr w:type="spellEnd"/>
      <w:r w:rsidRPr="00253C6A">
        <w:rPr>
          <w:rFonts w:ascii="Times New Roman" w:hAnsi="Times New Roman" w:cs="Times New Roman"/>
        </w:rPr>
        <w:t xml:space="preserve">. </w:t>
      </w:r>
      <w:r w:rsidRPr="00BA7FEE">
        <w:rPr>
          <w:rFonts w:ascii="Times New Roman" w:hAnsi="Times New Roman" w:cs="Times New Roman"/>
          <w:lang w:val="en-US"/>
        </w:rPr>
        <w:t xml:space="preserve">The issue of the quantity (of any drug) in this type of crime is an essential key to determine the grade of the infraction and to be able to fit the crime within the suitable constitution articles since this process determines the possible </w:t>
      </w:r>
      <w:proofErr w:type="spellStart"/>
      <w:r w:rsidRPr="00BA7FEE">
        <w:rPr>
          <w:rFonts w:ascii="Times New Roman" w:hAnsi="Times New Roman" w:cs="Times New Roman"/>
          <w:lang w:val="en-US"/>
        </w:rPr>
        <w:t>punishability</w:t>
      </w:r>
      <w:proofErr w:type="spellEnd"/>
      <w:r w:rsidRPr="00BA7FEE">
        <w:rPr>
          <w:rFonts w:ascii="Times New Roman" w:hAnsi="Times New Roman" w:cs="Times New Roman"/>
          <w:lang w:val="en-US"/>
        </w:rPr>
        <w:t xml:space="preserve"> or not of certain behaviors. It also determines if we have a fact which could be either subsumable or </w:t>
      </w:r>
      <w:proofErr w:type="spellStart"/>
      <w:r w:rsidRPr="00BA7FEE">
        <w:rPr>
          <w:rFonts w:ascii="Times New Roman" w:hAnsi="Times New Roman" w:cs="Times New Roman"/>
          <w:lang w:val="en-US"/>
        </w:rPr>
        <w:t>ejectable</w:t>
      </w:r>
      <w:proofErr w:type="spellEnd"/>
      <w:r w:rsidRPr="00BA7FEE">
        <w:rPr>
          <w:rFonts w:ascii="Times New Roman" w:hAnsi="Times New Roman" w:cs="Times New Roman"/>
          <w:lang w:val="en-US"/>
        </w:rPr>
        <w:t xml:space="preserve"> to the criminal field, and if this fact deserves a larger or a smaller sentence. </w:t>
      </w:r>
    </w:p>
    <w:p w:rsidR="003B1CE4" w:rsidRDefault="00BA7FEE" w:rsidP="00BA7FEE">
      <w:pPr>
        <w:rPr>
          <w:rFonts w:ascii="Times New Roman" w:hAnsi="Times New Roman" w:cs="Times New Roman"/>
          <w:lang w:val="en-US"/>
        </w:rPr>
      </w:pPr>
      <w:r w:rsidRPr="00BA7FEE">
        <w:rPr>
          <w:rFonts w:ascii="Times New Roman" w:hAnsi="Times New Roman" w:cs="Times New Roman"/>
          <w:lang w:val="en-US"/>
        </w:rPr>
        <w:t xml:space="preserve">Law experts have been trying to set some parameters for more than ten years in order to clarify issues such as the substances which should be considered as law infringing, the amount of drugs needed to become harmful for human health, boundaries to determine which quantities could be considered as trafficking or as </w:t>
      </w:r>
      <w:proofErr w:type="spellStart"/>
      <w:r w:rsidRPr="00BA7FEE">
        <w:rPr>
          <w:rFonts w:ascii="Times New Roman" w:hAnsi="Times New Roman" w:cs="Times New Roman"/>
          <w:lang w:val="en-US"/>
        </w:rPr>
        <w:t>self consumption</w:t>
      </w:r>
      <w:proofErr w:type="spellEnd"/>
      <w:r w:rsidRPr="00BA7FEE">
        <w:rPr>
          <w:rFonts w:ascii="Times New Roman" w:hAnsi="Times New Roman" w:cs="Times New Roman"/>
          <w:lang w:val="en-US"/>
        </w:rPr>
        <w:t>, and which of these could be considered as an extremely serious infraction. This debate remains as a very paradoxical subject.</w:t>
      </w: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Default="003B1CE4" w:rsidP="00B407AC">
      <w:pPr>
        <w:rPr>
          <w:rFonts w:ascii="Times New Roman" w:hAnsi="Times New Roman" w:cs="Times New Roman"/>
          <w:lang w:val="en-US"/>
        </w:rPr>
      </w:pPr>
    </w:p>
    <w:p w:rsidR="003B1CE4" w:rsidRPr="003B1CE4" w:rsidRDefault="003B1CE4" w:rsidP="00B407AC">
      <w:pPr>
        <w:rPr>
          <w:rFonts w:ascii="Times New Roman" w:hAnsi="Times New Roman" w:cs="Times New Roman"/>
          <w:lang w:val="en-US"/>
        </w:rPr>
      </w:pPr>
    </w:p>
    <w:p w:rsidR="00B407AC" w:rsidRPr="00537449" w:rsidRDefault="00DB4E07" w:rsidP="000544B9">
      <w:pPr>
        <w:pStyle w:val="Ttulo1"/>
        <w:numPr>
          <w:ilvl w:val="0"/>
          <w:numId w:val="8"/>
        </w:numPr>
        <w:rPr>
          <w:rFonts w:ascii="Times New Roman" w:hAnsi="Times New Roman" w:cs="Times New Roman"/>
          <w:i/>
          <w:color w:val="auto"/>
          <w:sz w:val="24"/>
          <w:szCs w:val="24"/>
        </w:rPr>
      </w:pPr>
      <w:bookmarkStart w:id="0" w:name="_Toc393739385"/>
      <w:r w:rsidRPr="00537449">
        <w:rPr>
          <w:rFonts w:ascii="Times New Roman" w:hAnsi="Times New Roman" w:cs="Times New Roman"/>
          <w:color w:val="auto"/>
          <w:sz w:val="24"/>
          <w:szCs w:val="24"/>
        </w:rPr>
        <w:t>INTRODUCCIÓN</w:t>
      </w:r>
      <w:bookmarkEnd w:id="0"/>
    </w:p>
    <w:p w:rsidR="00F4656E" w:rsidRDefault="00DB286D" w:rsidP="00F4656E">
      <w:pPr>
        <w:pStyle w:val="Prrafodelista"/>
        <w:ind w:left="360"/>
        <w:rPr>
          <w:rFonts w:ascii="Times New Roman" w:hAnsi="Times New Roman" w:cs="Times New Roman"/>
          <w:sz w:val="24"/>
          <w:szCs w:val="24"/>
        </w:rPr>
      </w:pPr>
      <w:r>
        <w:rPr>
          <w:rFonts w:ascii="Times New Roman" w:hAnsi="Times New Roman" w:cs="Times New Roman"/>
          <w:sz w:val="24"/>
          <w:szCs w:val="24"/>
        </w:rPr>
        <w:t>El presente trabajo tiene</w:t>
      </w:r>
      <w:r w:rsidR="008658FC">
        <w:rPr>
          <w:rFonts w:ascii="Times New Roman" w:hAnsi="Times New Roman" w:cs="Times New Roman"/>
          <w:sz w:val="24"/>
          <w:szCs w:val="24"/>
        </w:rPr>
        <w:t xml:space="preserve"> como objetivos</w:t>
      </w:r>
      <w:r w:rsidR="00DB4E07">
        <w:rPr>
          <w:rFonts w:ascii="Times New Roman" w:hAnsi="Times New Roman" w:cs="Times New Roman"/>
          <w:sz w:val="24"/>
          <w:szCs w:val="24"/>
        </w:rPr>
        <w:t>, el analizar y profundizar acerca de los delitos contemplados en el Capítulo III</w:t>
      </w:r>
      <w:r w:rsidR="00422DB5">
        <w:rPr>
          <w:rFonts w:ascii="Times New Roman" w:hAnsi="Times New Roman" w:cs="Times New Roman"/>
          <w:sz w:val="24"/>
          <w:szCs w:val="24"/>
        </w:rPr>
        <w:t>, Título XVII del Libro II</w:t>
      </w:r>
      <w:r w:rsidR="00DB4E07">
        <w:rPr>
          <w:rFonts w:ascii="Times New Roman" w:hAnsi="Times New Roman" w:cs="Times New Roman"/>
          <w:sz w:val="24"/>
          <w:szCs w:val="24"/>
        </w:rPr>
        <w:t xml:space="preserve"> del C</w:t>
      </w:r>
      <w:r>
        <w:rPr>
          <w:rFonts w:ascii="Times New Roman" w:hAnsi="Times New Roman" w:cs="Times New Roman"/>
          <w:sz w:val="24"/>
          <w:szCs w:val="24"/>
        </w:rPr>
        <w:t xml:space="preserve">ódigo </w:t>
      </w:r>
      <w:r w:rsidR="00DB4E07">
        <w:rPr>
          <w:rFonts w:ascii="Times New Roman" w:hAnsi="Times New Roman" w:cs="Times New Roman"/>
          <w:sz w:val="24"/>
          <w:szCs w:val="24"/>
        </w:rPr>
        <w:t>P</w:t>
      </w:r>
      <w:r>
        <w:rPr>
          <w:rFonts w:ascii="Times New Roman" w:hAnsi="Times New Roman" w:cs="Times New Roman"/>
          <w:sz w:val="24"/>
          <w:szCs w:val="24"/>
        </w:rPr>
        <w:t>enal</w:t>
      </w:r>
      <w:r w:rsidR="004642E2">
        <w:rPr>
          <w:rFonts w:ascii="Times New Roman" w:hAnsi="Times New Roman" w:cs="Times New Roman"/>
          <w:sz w:val="24"/>
          <w:szCs w:val="24"/>
        </w:rPr>
        <w:t>: “</w:t>
      </w:r>
      <w:r w:rsidR="00DB4E07">
        <w:rPr>
          <w:rFonts w:ascii="Times New Roman" w:hAnsi="Times New Roman" w:cs="Times New Roman"/>
          <w:sz w:val="24"/>
          <w:szCs w:val="24"/>
        </w:rPr>
        <w:t>De</w:t>
      </w:r>
      <w:r w:rsidR="006A0F8E">
        <w:rPr>
          <w:rFonts w:ascii="Times New Roman" w:hAnsi="Times New Roman" w:cs="Times New Roman"/>
          <w:sz w:val="24"/>
          <w:szCs w:val="24"/>
        </w:rPr>
        <w:t>litos contra la Salud Pública</w:t>
      </w:r>
      <w:r w:rsidR="00A4154C">
        <w:rPr>
          <w:rFonts w:ascii="Times New Roman" w:hAnsi="Times New Roman" w:cs="Times New Roman"/>
          <w:sz w:val="24"/>
          <w:szCs w:val="24"/>
        </w:rPr>
        <w:t>”</w:t>
      </w:r>
      <w:r w:rsidR="006A0F8E">
        <w:rPr>
          <w:rFonts w:ascii="Times New Roman" w:hAnsi="Times New Roman" w:cs="Times New Roman"/>
          <w:sz w:val="24"/>
          <w:szCs w:val="24"/>
        </w:rPr>
        <w:t xml:space="preserve">, observando si existen posibles discrepancias al momento o </w:t>
      </w:r>
      <w:r w:rsidR="000A7831">
        <w:rPr>
          <w:rFonts w:ascii="Times New Roman" w:hAnsi="Times New Roman" w:cs="Times New Roman"/>
          <w:sz w:val="24"/>
          <w:szCs w:val="24"/>
        </w:rPr>
        <w:t>si por</w:t>
      </w:r>
      <w:r w:rsidR="006A0F8E">
        <w:rPr>
          <w:rFonts w:ascii="Times New Roman" w:hAnsi="Times New Roman" w:cs="Times New Roman"/>
          <w:sz w:val="24"/>
          <w:szCs w:val="24"/>
        </w:rPr>
        <w:t xml:space="preserve"> el contrario, todo está perfectamente planteado.</w:t>
      </w:r>
      <w:r w:rsidR="00F4656E">
        <w:rPr>
          <w:rFonts w:ascii="Times New Roman" w:hAnsi="Times New Roman" w:cs="Times New Roman"/>
          <w:sz w:val="24"/>
          <w:szCs w:val="24"/>
        </w:rPr>
        <w:t xml:space="preserve"> Pero hay que hacer una matización: c</w:t>
      </w:r>
      <w:r w:rsidR="00DB4E07" w:rsidRPr="00F4656E">
        <w:rPr>
          <w:rFonts w:ascii="Times New Roman" w:hAnsi="Times New Roman" w:cs="Times New Roman"/>
          <w:sz w:val="24"/>
          <w:szCs w:val="24"/>
        </w:rPr>
        <w:t xml:space="preserve">omo el nombre de mi trabajo indica, </w:t>
      </w:r>
      <w:r w:rsidR="008658FC" w:rsidRPr="00F4656E">
        <w:rPr>
          <w:rFonts w:ascii="Times New Roman" w:hAnsi="Times New Roman" w:cs="Times New Roman"/>
          <w:sz w:val="24"/>
          <w:szCs w:val="24"/>
        </w:rPr>
        <w:t xml:space="preserve">éste </w:t>
      </w:r>
      <w:r w:rsidR="00DB4E07" w:rsidRPr="00F4656E">
        <w:rPr>
          <w:rFonts w:ascii="Times New Roman" w:hAnsi="Times New Roman" w:cs="Times New Roman"/>
          <w:sz w:val="24"/>
          <w:szCs w:val="24"/>
        </w:rPr>
        <w:t xml:space="preserve">va a versar exclusivamente </w:t>
      </w:r>
      <w:r w:rsidR="008658FC" w:rsidRPr="00F4656E">
        <w:rPr>
          <w:rFonts w:ascii="Times New Roman" w:hAnsi="Times New Roman" w:cs="Times New Roman"/>
          <w:sz w:val="24"/>
          <w:szCs w:val="24"/>
        </w:rPr>
        <w:t>sobre la investigación de</w:t>
      </w:r>
      <w:r w:rsidR="00DB4E07" w:rsidRPr="00F4656E">
        <w:rPr>
          <w:rFonts w:ascii="Times New Roman" w:hAnsi="Times New Roman" w:cs="Times New Roman"/>
          <w:sz w:val="24"/>
          <w:szCs w:val="24"/>
        </w:rPr>
        <w:t xml:space="preserve"> los delitos </w:t>
      </w:r>
      <w:r w:rsidR="0030086B">
        <w:rPr>
          <w:rFonts w:ascii="Times New Roman" w:hAnsi="Times New Roman" w:cs="Times New Roman"/>
          <w:sz w:val="24"/>
          <w:szCs w:val="24"/>
        </w:rPr>
        <w:t>referentes al tráfico de drogas,</w:t>
      </w:r>
      <w:r w:rsidR="00DB4E07" w:rsidRPr="00F4656E">
        <w:rPr>
          <w:rFonts w:ascii="Times New Roman" w:hAnsi="Times New Roman" w:cs="Times New Roman"/>
          <w:sz w:val="24"/>
          <w:szCs w:val="24"/>
        </w:rPr>
        <w:t xml:space="preserve"> haciendo </w:t>
      </w:r>
      <w:r w:rsidR="00820154" w:rsidRPr="00F4656E">
        <w:rPr>
          <w:rFonts w:ascii="Times New Roman" w:hAnsi="Times New Roman" w:cs="Times New Roman"/>
          <w:sz w:val="24"/>
          <w:szCs w:val="24"/>
        </w:rPr>
        <w:t xml:space="preserve">especial </w:t>
      </w:r>
      <w:r w:rsidR="00DB4E07" w:rsidRPr="00F4656E">
        <w:rPr>
          <w:rFonts w:ascii="Times New Roman" w:hAnsi="Times New Roman" w:cs="Times New Roman"/>
          <w:sz w:val="24"/>
          <w:szCs w:val="24"/>
        </w:rPr>
        <w:t xml:space="preserve">hincapié en la relevancia de la </w:t>
      </w:r>
      <w:r w:rsidR="00DB4E07" w:rsidRPr="00F4656E">
        <w:rPr>
          <w:rFonts w:ascii="Times New Roman" w:hAnsi="Times New Roman" w:cs="Times New Roman"/>
          <w:b/>
          <w:sz w:val="24"/>
          <w:szCs w:val="24"/>
        </w:rPr>
        <w:t>cuantía</w:t>
      </w:r>
      <w:r w:rsidR="00DB4E07" w:rsidRPr="00F4656E">
        <w:rPr>
          <w:rFonts w:ascii="Times New Roman" w:hAnsi="Times New Roman" w:cs="Times New Roman"/>
          <w:sz w:val="24"/>
          <w:szCs w:val="24"/>
        </w:rPr>
        <w:t xml:space="preserve"> de las sustancias consideradas drogas, estupefacientes y sustancias psicotr</w:t>
      </w:r>
      <w:r w:rsidR="00B35C61" w:rsidRPr="00F4656E">
        <w:rPr>
          <w:rFonts w:ascii="Times New Roman" w:hAnsi="Times New Roman" w:cs="Times New Roman"/>
          <w:sz w:val="24"/>
          <w:szCs w:val="24"/>
        </w:rPr>
        <w:t xml:space="preserve">ópicas, </w:t>
      </w:r>
      <w:r w:rsidRPr="00F4656E">
        <w:rPr>
          <w:rFonts w:ascii="Times New Roman" w:hAnsi="Times New Roman" w:cs="Times New Roman"/>
          <w:sz w:val="24"/>
          <w:szCs w:val="24"/>
        </w:rPr>
        <w:t>encontrándose tipificadas y analizadas estas conductas en los artículos 368, 369 y 370 del mencionado texto legal.</w:t>
      </w:r>
      <w:r w:rsidR="005811FE" w:rsidRPr="00F4656E">
        <w:rPr>
          <w:rFonts w:ascii="Times New Roman" w:hAnsi="Times New Roman" w:cs="Times New Roman"/>
          <w:sz w:val="24"/>
          <w:szCs w:val="24"/>
        </w:rPr>
        <w:t xml:space="preserve"> </w:t>
      </w:r>
    </w:p>
    <w:p w:rsidR="00820154" w:rsidRPr="00F4656E" w:rsidRDefault="008658FC" w:rsidP="00F4656E">
      <w:pPr>
        <w:pStyle w:val="Prrafodelista"/>
        <w:ind w:left="360"/>
        <w:rPr>
          <w:rFonts w:ascii="Times New Roman" w:hAnsi="Times New Roman" w:cs="Times New Roman"/>
          <w:sz w:val="24"/>
          <w:szCs w:val="24"/>
        </w:rPr>
      </w:pPr>
      <w:r w:rsidRPr="00F4656E">
        <w:rPr>
          <w:rFonts w:ascii="Times New Roman" w:hAnsi="Times New Roman" w:cs="Times New Roman"/>
          <w:sz w:val="24"/>
          <w:szCs w:val="24"/>
        </w:rPr>
        <w:t>“La cuantía” como centro o referencia del trabajo es lo que actúa como escalón a la hora de delimitar las conductas fijadas en los tipos penales. La idea es analizar cómo se delimitan</w:t>
      </w:r>
      <w:r w:rsidR="00F4656E">
        <w:rPr>
          <w:rFonts w:ascii="Times New Roman" w:hAnsi="Times New Roman" w:cs="Times New Roman"/>
          <w:sz w:val="24"/>
          <w:szCs w:val="24"/>
        </w:rPr>
        <w:t xml:space="preserve"> o fijan</w:t>
      </w:r>
      <w:r w:rsidRPr="00F4656E">
        <w:rPr>
          <w:rFonts w:ascii="Times New Roman" w:hAnsi="Times New Roman" w:cs="Times New Roman"/>
          <w:sz w:val="24"/>
          <w:szCs w:val="24"/>
        </w:rPr>
        <w:t xml:space="preserve"> esas cuantías, qué criterios se utilizan para ello y c</w:t>
      </w:r>
      <w:r w:rsidR="00F240A5">
        <w:rPr>
          <w:rFonts w:ascii="Times New Roman" w:hAnsi="Times New Roman" w:cs="Times New Roman"/>
          <w:sz w:val="24"/>
          <w:szCs w:val="24"/>
        </w:rPr>
        <w:t>uál es su procedencia. Para poder realizar esta investigación</w:t>
      </w:r>
      <w:r w:rsidRPr="00F4656E">
        <w:rPr>
          <w:rFonts w:ascii="Times New Roman" w:hAnsi="Times New Roman" w:cs="Times New Roman"/>
          <w:sz w:val="24"/>
          <w:szCs w:val="24"/>
        </w:rPr>
        <w:t xml:space="preserve">, he recurrido </w:t>
      </w:r>
      <w:r w:rsidR="00F4656E">
        <w:rPr>
          <w:rFonts w:ascii="Times New Roman" w:hAnsi="Times New Roman" w:cs="Times New Roman"/>
          <w:sz w:val="24"/>
          <w:szCs w:val="24"/>
        </w:rPr>
        <w:t>a una metodología que</w:t>
      </w:r>
      <w:r w:rsidR="000A7831">
        <w:rPr>
          <w:rFonts w:ascii="Times New Roman" w:hAnsi="Times New Roman" w:cs="Times New Roman"/>
          <w:sz w:val="24"/>
          <w:szCs w:val="24"/>
        </w:rPr>
        <w:t>,</w:t>
      </w:r>
      <w:r w:rsidR="00F4656E">
        <w:rPr>
          <w:rFonts w:ascii="Times New Roman" w:hAnsi="Times New Roman" w:cs="Times New Roman"/>
          <w:sz w:val="24"/>
          <w:szCs w:val="24"/>
        </w:rPr>
        <w:t xml:space="preserve"> </w:t>
      </w:r>
      <w:r w:rsidR="000A7831">
        <w:rPr>
          <w:rFonts w:ascii="Times New Roman" w:hAnsi="Times New Roman" w:cs="Times New Roman"/>
          <w:sz w:val="24"/>
          <w:szCs w:val="24"/>
        </w:rPr>
        <w:t xml:space="preserve">en primer lugar, </w:t>
      </w:r>
      <w:r w:rsidR="00F4656E">
        <w:rPr>
          <w:rFonts w:ascii="Times New Roman" w:hAnsi="Times New Roman" w:cs="Times New Roman"/>
          <w:sz w:val="24"/>
          <w:szCs w:val="24"/>
        </w:rPr>
        <w:t>creo</w:t>
      </w:r>
      <w:r w:rsidRPr="00F4656E">
        <w:rPr>
          <w:rFonts w:ascii="Times New Roman" w:hAnsi="Times New Roman" w:cs="Times New Roman"/>
          <w:sz w:val="24"/>
          <w:szCs w:val="24"/>
        </w:rPr>
        <w:t xml:space="preserve"> determinante en España no sólo para cualquier tipo de delito o infracción (sea o no penal) sino para asentar criterios jurisprudenciales: E</w:t>
      </w:r>
      <w:r w:rsidR="00F4656E">
        <w:rPr>
          <w:rFonts w:ascii="Times New Roman" w:hAnsi="Times New Roman" w:cs="Times New Roman"/>
          <w:sz w:val="24"/>
          <w:szCs w:val="24"/>
        </w:rPr>
        <w:t xml:space="preserve">l Tribunal Supremo, revelando un extenso abanico de sentencias </w:t>
      </w:r>
      <w:r w:rsidRPr="00F4656E">
        <w:rPr>
          <w:rFonts w:ascii="Times New Roman" w:hAnsi="Times New Roman" w:cs="Times New Roman"/>
          <w:sz w:val="24"/>
          <w:szCs w:val="24"/>
        </w:rPr>
        <w:t>y</w:t>
      </w:r>
      <w:r w:rsidR="00F4656E">
        <w:rPr>
          <w:rFonts w:ascii="Times New Roman" w:hAnsi="Times New Roman" w:cs="Times New Roman"/>
          <w:sz w:val="24"/>
          <w:szCs w:val="24"/>
        </w:rPr>
        <w:t xml:space="preserve"> Acuerdos,</w:t>
      </w:r>
      <w:r w:rsidRPr="00F4656E">
        <w:rPr>
          <w:rFonts w:ascii="Times New Roman" w:hAnsi="Times New Roman" w:cs="Times New Roman"/>
          <w:sz w:val="24"/>
          <w:szCs w:val="24"/>
        </w:rPr>
        <w:t xml:space="preserve"> contrastando las posturas que a lo largo del tiempo han venido acaeciendo. Además, he solicitado al Ministerio de Sanidad, Servicios Sociales e Igualdad </w:t>
      </w:r>
      <w:r w:rsidR="00F4656E">
        <w:rPr>
          <w:rFonts w:ascii="Times New Roman" w:hAnsi="Times New Roman" w:cs="Times New Roman"/>
          <w:sz w:val="24"/>
          <w:szCs w:val="24"/>
        </w:rPr>
        <w:t>a través del Plan Nacional Sobre Drogas</w:t>
      </w:r>
      <w:r w:rsidR="00F240A5">
        <w:rPr>
          <w:rFonts w:ascii="Times New Roman" w:hAnsi="Times New Roman" w:cs="Times New Roman"/>
          <w:sz w:val="24"/>
          <w:szCs w:val="24"/>
        </w:rPr>
        <w:t>,</w:t>
      </w:r>
      <w:r w:rsidR="00F4656E">
        <w:rPr>
          <w:rFonts w:ascii="Times New Roman" w:hAnsi="Times New Roman" w:cs="Times New Roman"/>
          <w:sz w:val="24"/>
          <w:szCs w:val="24"/>
        </w:rPr>
        <w:t xml:space="preserve"> </w:t>
      </w:r>
      <w:r w:rsidRPr="00F4656E">
        <w:rPr>
          <w:rFonts w:ascii="Times New Roman" w:hAnsi="Times New Roman" w:cs="Times New Roman"/>
          <w:sz w:val="24"/>
          <w:szCs w:val="24"/>
        </w:rPr>
        <w:t>cierta información acerca de los precios y purezas de las sustancias que son objeto m</w:t>
      </w:r>
      <w:r w:rsidR="00F4656E">
        <w:rPr>
          <w:rFonts w:ascii="Times New Roman" w:hAnsi="Times New Roman" w:cs="Times New Roman"/>
          <w:sz w:val="24"/>
          <w:szCs w:val="24"/>
        </w:rPr>
        <w:t xml:space="preserve">aterial de este tipo de delitos, pues en </w:t>
      </w:r>
      <w:r w:rsidR="00F240A5">
        <w:rPr>
          <w:rFonts w:ascii="Times New Roman" w:hAnsi="Times New Roman" w:cs="Times New Roman"/>
          <w:sz w:val="24"/>
          <w:szCs w:val="24"/>
        </w:rPr>
        <w:t xml:space="preserve">estas </w:t>
      </w:r>
      <w:r w:rsidR="00F4656E">
        <w:rPr>
          <w:rFonts w:ascii="Times New Roman" w:hAnsi="Times New Roman" w:cs="Times New Roman"/>
          <w:sz w:val="24"/>
          <w:szCs w:val="24"/>
        </w:rPr>
        <w:t xml:space="preserve">conductas no sólo existe la pena de </w:t>
      </w:r>
      <w:r w:rsidR="00F240A5">
        <w:rPr>
          <w:rFonts w:ascii="Times New Roman" w:hAnsi="Times New Roman" w:cs="Times New Roman"/>
          <w:sz w:val="24"/>
          <w:szCs w:val="24"/>
        </w:rPr>
        <w:t>prisión</w:t>
      </w:r>
      <w:r w:rsidR="00F4656E">
        <w:rPr>
          <w:rFonts w:ascii="Times New Roman" w:hAnsi="Times New Roman" w:cs="Times New Roman"/>
          <w:sz w:val="24"/>
          <w:szCs w:val="24"/>
        </w:rPr>
        <w:t>, ésta viene acompañada de una multa pecuniaria que se delimita en función de los precios a lo</w:t>
      </w:r>
      <w:r w:rsidR="0030086B">
        <w:rPr>
          <w:rFonts w:ascii="Times New Roman" w:hAnsi="Times New Roman" w:cs="Times New Roman"/>
          <w:sz w:val="24"/>
          <w:szCs w:val="24"/>
        </w:rPr>
        <w:t>s</w:t>
      </w:r>
      <w:r w:rsidR="00F4656E">
        <w:rPr>
          <w:rFonts w:ascii="Times New Roman" w:hAnsi="Times New Roman" w:cs="Times New Roman"/>
          <w:sz w:val="24"/>
          <w:szCs w:val="24"/>
        </w:rPr>
        <w:t xml:space="preserve"> que las sus</w:t>
      </w:r>
      <w:r w:rsidR="00F240A5">
        <w:rPr>
          <w:rFonts w:ascii="Times New Roman" w:hAnsi="Times New Roman" w:cs="Times New Roman"/>
          <w:sz w:val="24"/>
          <w:szCs w:val="24"/>
        </w:rPr>
        <w:t>tancias ilegales se comercializa</w:t>
      </w:r>
      <w:r w:rsidR="00F4656E">
        <w:rPr>
          <w:rFonts w:ascii="Times New Roman" w:hAnsi="Times New Roman" w:cs="Times New Roman"/>
          <w:sz w:val="24"/>
          <w:szCs w:val="24"/>
        </w:rPr>
        <w:t xml:space="preserve">n en ese mercado ilícito. </w:t>
      </w:r>
      <w:r w:rsidR="0030086B">
        <w:rPr>
          <w:rFonts w:ascii="Times New Roman" w:hAnsi="Times New Roman" w:cs="Times New Roman"/>
          <w:sz w:val="24"/>
          <w:szCs w:val="24"/>
        </w:rPr>
        <w:t xml:space="preserve">La visualización de unos Convenios Internacionales ha servido para conocer y clasificar qué tipo de sustancias son consideradas drogas, estupefacientes o psicotrópicos. </w:t>
      </w:r>
      <w:r w:rsidR="00F4656E">
        <w:rPr>
          <w:rFonts w:ascii="Times New Roman" w:hAnsi="Times New Roman" w:cs="Times New Roman"/>
          <w:sz w:val="24"/>
          <w:szCs w:val="24"/>
        </w:rPr>
        <w:t>De la misma forma</w:t>
      </w:r>
      <w:r w:rsidR="0030086B">
        <w:rPr>
          <w:rFonts w:ascii="Times New Roman" w:hAnsi="Times New Roman" w:cs="Times New Roman"/>
          <w:sz w:val="24"/>
          <w:szCs w:val="24"/>
        </w:rPr>
        <w:t>,</w:t>
      </w:r>
      <w:r w:rsidR="00F4656E">
        <w:rPr>
          <w:rFonts w:ascii="Times New Roman" w:hAnsi="Times New Roman" w:cs="Times New Roman"/>
          <w:sz w:val="24"/>
          <w:szCs w:val="24"/>
        </w:rPr>
        <w:t xml:space="preserve"> la doctrina en </w:t>
      </w:r>
      <w:r w:rsidRPr="00F4656E">
        <w:rPr>
          <w:rFonts w:ascii="Times New Roman" w:hAnsi="Times New Roman" w:cs="Times New Roman"/>
          <w:sz w:val="24"/>
          <w:szCs w:val="24"/>
        </w:rPr>
        <w:t xml:space="preserve"> capítulos de libro </w:t>
      </w:r>
      <w:r w:rsidR="00F4656E">
        <w:rPr>
          <w:rFonts w:ascii="Times New Roman" w:hAnsi="Times New Roman" w:cs="Times New Roman"/>
          <w:sz w:val="24"/>
          <w:szCs w:val="24"/>
        </w:rPr>
        <w:t xml:space="preserve">y revistas, </w:t>
      </w:r>
      <w:r w:rsidR="00F240A5">
        <w:rPr>
          <w:rFonts w:ascii="Times New Roman" w:hAnsi="Times New Roman" w:cs="Times New Roman"/>
          <w:sz w:val="24"/>
          <w:szCs w:val="24"/>
        </w:rPr>
        <w:t>ha</w:t>
      </w:r>
      <w:r w:rsidRPr="00F4656E">
        <w:rPr>
          <w:rFonts w:ascii="Times New Roman" w:hAnsi="Times New Roman" w:cs="Times New Roman"/>
          <w:sz w:val="24"/>
          <w:szCs w:val="24"/>
        </w:rPr>
        <w:t xml:space="preserve"> sido </w:t>
      </w:r>
      <w:r w:rsidR="0030086B">
        <w:rPr>
          <w:rFonts w:ascii="Times New Roman" w:hAnsi="Times New Roman" w:cs="Times New Roman"/>
          <w:sz w:val="24"/>
          <w:szCs w:val="24"/>
        </w:rPr>
        <w:t xml:space="preserve">muy </w:t>
      </w:r>
      <w:r w:rsidR="00F240A5">
        <w:rPr>
          <w:rFonts w:ascii="Times New Roman" w:hAnsi="Times New Roman" w:cs="Times New Roman"/>
          <w:sz w:val="24"/>
          <w:szCs w:val="24"/>
        </w:rPr>
        <w:t>útil</w:t>
      </w:r>
      <w:r w:rsidRPr="00F4656E">
        <w:rPr>
          <w:rFonts w:ascii="Times New Roman" w:hAnsi="Times New Roman" w:cs="Times New Roman"/>
          <w:sz w:val="24"/>
          <w:szCs w:val="24"/>
        </w:rPr>
        <w:t xml:space="preserve"> para </w:t>
      </w:r>
      <w:r w:rsidR="0030086B" w:rsidRPr="00F4656E">
        <w:rPr>
          <w:rFonts w:ascii="Times New Roman" w:hAnsi="Times New Roman" w:cs="Times New Roman"/>
          <w:sz w:val="24"/>
          <w:szCs w:val="24"/>
        </w:rPr>
        <w:t>percibir</w:t>
      </w:r>
      <w:r w:rsidRPr="00F4656E">
        <w:rPr>
          <w:rFonts w:ascii="Times New Roman" w:hAnsi="Times New Roman" w:cs="Times New Roman"/>
          <w:sz w:val="24"/>
          <w:szCs w:val="24"/>
        </w:rPr>
        <w:t xml:space="preserve"> o criticar los posibles errores que nuestra jurisprudencia puede llegar a cometer</w:t>
      </w:r>
      <w:r w:rsidR="00F4656E">
        <w:rPr>
          <w:rFonts w:ascii="Times New Roman" w:hAnsi="Times New Roman" w:cs="Times New Roman"/>
          <w:sz w:val="24"/>
          <w:szCs w:val="24"/>
        </w:rPr>
        <w:t xml:space="preserve">. </w:t>
      </w:r>
      <w:r w:rsidR="0030086B">
        <w:rPr>
          <w:rFonts w:ascii="Times New Roman" w:hAnsi="Times New Roman" w:cs="Times New Roman"/>
          <w:sz w:val="24"/>
          <w:szCs w:val="24"/>
        </w:rPr>
        <w:t>No hay que perder de vista la legislación base en el campo de esta materia: el Código Penal</w:t>
      </w:r>
      <w:r w:rsidR="00B8487E">
        <w:rPr>
          <w:rFonts w:ascii="Times New Roman" w:hAnsi="Times New Roman" w:cs="Times New Roman"/>
          <w:sz w:val="24"/>
          <w:szCs w:val="24"/>
        </w:rPr>
        <w:t xml:space="preserve"> Español</w:t>
      </w:r>
      <w:r w:rsidR="00F240A5">
        <w:rPr>
          <w:rFonts w:ascii="Times New Roman" w:hAnsi="Times New Roman" w:cs="Times New Roman"/>
          <w:sz w:val="24"/>
          <w:szCs w:val="24"/>
        </w:rPr>
        <w:t>,</w:t>
      </w:r>
      <w:r w:rsidR="0030086B">
        <w:rPr>
          <w:rFonts w:ascii="Times New Roman" w:hAnsi="Times New Roman" w:cs="Times New Roman"/>
          <w:sz w:val="24"/>
          <w:szCs w:val="24"/>
        </w:rPr>
        <w:t xml:space="preserve"> y desde el reverso, las leyes administrativas que son el peldaño anterior a lo punible si la cantidad y otras circunstancias no apuntan lo contrario.</w:t>
      </w:r>
    </w:p>
    <w:p w:rsidR="003540A0" w:rsidRDefault="003540A0" w:rsidP="00DB4E07">
      <w:pPr>
        <w:pStyle w:val="Prrafodelista"/>
        <w:ind w:left="360"/>
        <w:rPr>
          <w:rFonts w:ascii="Times New Roman" w:hAnsi="Times New Roman" w:cs="Times New Roman"/>
          <w:sz w:val="24"/>
          <w:szCs w:val="24"/>
        </w:rPr>
      </w:pPr>
    </w:p>
    <w:p w:rsidR="00556FB6" w:rsidRDefault="007C7D20" w:rsidP="00556FB6">
      <w:pPr>
        <w:pStyle w:val="Prrafodelista"/>
        <w:ind w:left="360"/>
        <w:rPr>
          <w:rFonts w:ascii="Times New Roman" w:hAnsi="Times New Roman" w:cs="Times New Roman"/>
          <w:sz w:val="24"/>
          <w:szCs w:val="24"/>
        </w:rPr>
      </w:pPr>
      <w:r>
        <w:rPr>
          <w:rFonts w:ascii="Times New Roman" w:hAnsi="Times New Roman" w:cs="Times New Roman"/>
          <w:sz w:val="24"/>
          <w:szCs w:val="24"/>
        </w:rPr>
        <w:lastRenderedPageBreak/>
        <w:t xml:space="preserve">La </w:t>
      </w:r>
      <w:r w:rsidR="001B461D">
        <w:rPr>
          <w:rFonts w:ascii="Times New Roman" w:hAnsi="Times New Roman" w:cs="Times New Roman"/>
          <w:sz w:val="24"/>
          <w:szCs w:val="24"/>
        </w:rPr>
        <w:t>estructura del trabajo</w:t>
      </w:r>
      <w:r>
        <w:rPr>
          <w:rFonts w:ascii="Times New Roman" w:hAnsi="Times New Roman" w:cs="Times New Roman"/>
          <w:sz w:val="24"/>
          <w:szCs w:val="24"/>
        </w:rPr>
        <w:t xml:space="preserve"> tiene como propósito </w:t>
      </w:r>
      <w:r w:rsidR="00EB1C2A">
        <w:rPr>
          <w:rFonts w:ascii="Times New Roman" w:hAnsi="Times New Roman" w:cs="Times New Roman"/>
          <w:sz w:val="24"/>
          <w:szCs w:val="24"/>
        </w:rPr>
        <w:t>el ir encamina</w:t>
      </w:r>
      <w:r w:rsidR="000A7831">
        <w:rPr>
          <w:rFonts w:ascii="Times New Roman" w:hAnsi="Times New Roman" w:cs="Times New Roman"/>
          <w:sz w:val="24"/>
          <w:szCs w:val="24"/>
        </w:rPr>
        <w:t>n</w:t>
      </w:r>
      <w:r w:rsidR="00EB1C2A">
        <w:rPr>
          <w:rFonts w:ascii="Times New Roman" w:hAnsi="Times New Roman" w:cs="Times New Roman"/>
          <w:sz w:val="24"/>
          <w:szCs w:val="24"/>
        </w:rPr>
        <w:t>do al lector de una forma ordenada y escalonada hacia el conocimiento de los diferentes tipos penales que existen en relación con la cuantía.</w:t>
      </w:r>
      <w:r>
        <w:rPr>
          <w:rFonts w:ascii="Times New Roman" w:hAnsi="Times New Roman" w:cs="Times New Roman"/>
          <w:sz w:val="24"/>
          <w:szCs w:val="24"/>
        </w:rPr>
        <w:t xml:space="preserve"> </w:t>
      </w:r>
      <w:r w:rsidR="00EB1C2A">
        <w:rPr>
          <w:rFonts w:ascii="Times New Roman" w:hAnsi="Times New Roman" w:cs="Times New Roman"/>
          <w:sz w:val="24"/>
          <w:szCs w:val="24"/>
        </w:rPr>
        <w:t xml:space="preserve">Se </w:t>
      </w:r>
      <w:r w:rsidR="001B461D">
        <w:rPr>
          <w:rFonts w:ascii="Times New Roman" w:hAnsi="Times New Roman" w:cs="Times New Roman"/>
          <w:sz w:val="24"/>
          <w:szCs w:val="24"/>
        </w:rPr>
        <w:t xml:space="preserve">empieza recordando lo que se </w:t>
      </w:r>
      <w:r w:rsidR="00EB1C2A">
        <w:rPr>
          <w:rFonts w:ascii="Times New Roman" w:hAnsi="Times New Roman" w:cs="Times New Roman"/>
          <w:sz w:val="24"/>
          <w:szCs w:val="24"/>
        </w:rPr>
        <w:t>entiende</w:t>
      </w:r>
      <w:r w:rsidR="001B461D">
        <w:rPr>
          <w:rFonts w:ascii="Times New Roman" w:hAnsi="Times New Roman" w:cs="Times New Roman"/>
          <w:sz w:val="24"/>
          <w:szCs w:val="24"/>
        </w:rPr>
        <w:t xml:space="preserve"> por droga, estupefaciente o psicotrópico, dando una visión </w:t>
      </w:r>
      <w:r w:rsidR="00EB1C2A">
        <w:rPr>
          <w:rFonts w:ascii="Times New Roman" w:hAnsi="Times New Roman" w:cs="Times New Roman"/>
          <w:sz w:val="24"/>
          <w:szCs w:val="24"/>
        </w:rPr>
        <w:t xml:space="preserve">general de lo que </w:t>
      </w:r>
      <w:r w:rsidR="000A7831">
        <w:rPr>
          <w:rFonts w:ascii="Times New Roman" w:hAnsi="Times New Roman" w:cs="Times New Roman"/>
          <w:sz w:val="24"/>
          <w:szCs w:val="24"/>
        </w:rPr>
        <w:t xml:space="preserve">hoy día se conoce </w:t>
      </w:r>
      <w:r w:rsidR="00EB1C2A">
        <w:rPr>
          <w:rFonts w:ascii="Times New Roman" w:hAnsi="Times New Roman" w:cs="Times New Roman"/>
          <w:sz w:val="24"/>
          <w:szCs w:val="24"/>
        </w:rPr>
        <w:t xml:space="preserve">como </w:t>
      </w:r>
      <w:r w:rsidR="001B461D">
        <w:rPr>
          <w:rFonts w:ascii="Times New Roman" w:hAnsi="Times New Roman" w:cs="Times New Roman"/>
          <w:sz w:val="24"/>
          <w:szCs w:val="24"/>
        </w:rPr>
        <w:t>objeto material del delito y su clasificación en el tipo penal base. Una vez que se entiende y se asimila de qué objeto material hablamos en este tipo de delitos, hay que explicar todo lo relacionado con el índice psicoactivo de las sustancias, su definición y cómo se llegó a establecer un cuadro que plasmaba esos marcos psicoactivos, al igual</w:t>
      </w:r>
      <w:r w:rsidR="00EB1C2A">
        <w:rPr>
          <w:rFonts w:ascii="Times New Roman" w:hAnsi="Times New Roman" w:cs="Times New Roman"/>
          <w:sz w:val="24"/>
          <w:szCs w:val="24"/>
        </w:rPr>
        <w:t xml:space="preserve"> que</w:t>
      </w:r>
      <w:r w:rsidR="001B461D">
        <w:rPr>
          <w:rFonts w:ascii="Times New Roman" w:hAnsi="Times New Roman" w:cs="Times New Roman"/>
          <w:sz w:val="24"/>
          <w:szCs w:val="24"/>
        </w:rPr>
        <w:t xml:space="preserve"> hay que hacer una parada para ver la importancia que tiene la pureza de estas sustancias. De la misma forma se pretende estudiar cómo ha evolucionado el Tribunal Supremo al respecto. A continuación se pretende ilustrar al lector con la posesión de drogas no ilícita penalmente, pasando por explicar la nueva atenuación contemplada en el párrafo segundo del artículo 368 y los supuestos de autoconsumo desde una doble perspectiva:</w:t>
      </w:r>
      <w:r w:rsidR="00D46199">
        <w:rPr>
          <w:rFonts w:ascii="Times New Roman" w:hAnsi="Times New Roman" w:cs="Times New Roman"/>
          <w:sz w:val="24"/>
          <w:szCs w:val="24"/>
        </w:rPr>
        <w:t xml:space="preserve"> el propio y el compartido</w:t>
      </w:r>
      <w:r w:rsidR="001B461D">
        <w:rPr>
          <w:rFonts w:ascii="Times New Roman" w:hAnsi="Times New Roman" w:cs="Times New Roman"/>
          <w:sz w:val="24"/>
          <w:szCs w:val="24"/>
        </w:rPr>
        <w:t xml:space="preserve">. </w:t>
      </w:r>
      <w:r>
        <w:rPr>
          <w:rFonts w:ascii="Times New Roman" w:hAnsi="Times New Roman" w:cs="Times New Roman"/>
          <w:sz w:val="24"/>
          <w:szCs w:val="24"/>
        </w:rPr>
        <w:t xml:space="preserve">Se finalizará con una breve reseña a lo que son los supuestos más graves de este tipo de delitos.  </w:t>
      </w:r>
    </w:p>
    <w:p w:rsidR="00556FB6" w:rsidRDefault="00556FB6" w:rsidP="00556FB6">
      <w:pPr>
        <w:pStyle w:val="Prrafodelista"/>
        <w:ind w:left="360"/>
        <w:rPr>
          <w:rFonts w:ascii="Times New Roman" w:hAnsi="Times New Roman" w:cs="Times New Roman"/>
          <w:sz w:val="24"/>
          <w:szCs w:val="24"/>
        </w:rPr>
      </w:pPr>
    </w:p>
    <w:p w:rsidR="001916BC" w:rsidRPr="00556FB6" w:rsidRDefault="001916BC" w:rsidP="00556FB6">
      <w:pPr>
        <w:pStyle w:val="Prrafodelista"/>
        <w:ind w:left="360"/>
        <w:rPr>
          <w:rFonts w:ascii="Times New Roman" w:hAnsi="Times New Roman" w:cs="Times New Roman"/>
          <w:sz w:val="24"/>
          <w:szCs w:val="24"/>
        </w:rPr>
      </w:pPr>
      <w:r w:rsidRPr="00556FB6">
        <w:rPr>
          <w:rFonts w:ascii="Times New Roman" w:hAnsi="Times New Roman" w:cs="Times New Roman"/>
          <w:sz w:val="24"/>
          <w:szCs w:val="24"/>
        </w:rPr>
        <w:t xml:space="preserve">La regulación básica se encuentra en el tipo base, artículo 368 del Código Penal. Un artículo que la mayoría de la jurisprudencia y doctrina clasifican como </w:t>
      </w:r>
      <w:r w:rsidR="00B8487E" w:rsidRPr="00556FB6">
        <w:rPr>
          <w:rFonts w:ascii="Times New Roman" w:hAnsi="Times New Roman" w:cs="Times New Roman"/>
          <w:sz w:val="24"/>
          <w:szCs w:val="24"/>
        </w:rPr>
        <w:t>“</w:t>
      </w:r>
      <w:r w:rsidRPr="00556FB6">
        <w:rPr>
          <w:rFonts w:ascii="Times New Roman" w:hAnsi="Times New Roman" w:cs="Times New Roman"/>
          <w:sz w:val="24"/>
          <w:szCs w:val="24"/>
        </w:rPr>
        <w:t>tipo penal en blanco</w:t>
      </w:r>
      <w:r w:rsidR="00B8487E" w:rsidRPr="00556FB6">
        <w:rPr>
          <w:rFonts w:ascii="Times New Roman" w:hAnsi="Times New Roman" w:cs="Times New Roman"/>
          <w:sz w:val="24"/>
          <w:szCs w:val="24"/>
        </w:rPr>
        <w:t>”</w:t>
      </w:r>
      <w:r w:rsidRPr="00556FB6">
        <w:rPr>
          <w:rFonts w:ascii="Times New Roman" w:hAnsi="Times New Roman" w:cs="Times New Roman"/>
          <w:sz w:val="24"/>
          <w:szCs w:val="24"/>
        </w:rPr>
        <w:t>, pues se desprende de su lectura</w:t>
      </w:r>
      <w:r w:rsidR="0079038A" w:rsidRPr="00556FB6">
        <w:rPr>
          <w:rFonts w:ascii="Times New Roman" w:hAnsi="Times New Roman" w:cs="Times New Roman"/>
          <w:sz w:val="24"/>
          <w:szCs w:val="24"/>
        </w:rPr>
        <w:t xml:space="preserve"> la remisión a normas extrapenales para </w:t>
      </w:r>
      <w:r w:rsidR="00FB061B" w:rsidRPr="00556FB6">
        <w:rPr>
          <w:rFonts w:ascii="Times New Roman" w:hAnsi="Times New Roman" w:cs="Times New Roman"/>
          <w:sz w:val="24"/>
          <w:szCs w:val="24"/>
        </w:rPr>
        <w:t xml:space="preserve">poder </w:t>
      </w:r>
      <w:r w:rsidR="000A7831" w:rsidRPr="00556FB6">
        <w:rPr>
          <w:rFonts w:ascii="Times New Roman" w:hAnsi="Times New Roman" w:cs="Times New Roman"/>
          <w:sz w:val="24"/>
          <w:szCs w:val="24"/>
        </w:rPr>
        <w:t>conocer lo que verdaderamente se considera  objeto material de estas conductas</w:t>
      </w:r>
      <w:r w:rsidR="00FB061B" w:rsidRPr="00556FB6">
        <w:rPr>
          <w:rFonts w:ascii="Times New Roman" w:hAnsi="Times New Roman" w:cs="Times New Roman"/>
          <w:sz w:val="24"/>
          <w:szCs w:val="24"/>
        </w:rPr>
        <w:t>, ya que tal tipo no contempla su definición</w:t>
      </w:r>
      <w:r w:rsidR="0079038A" w:rsidRPr="00556FB6">
        <w:rPr>
          <w:rFonts w:ascii="Times New Roman" w:hAnsi="Times New Roman" w:cs="Times New Roman"/>
          <w:sz w:val="24"/>
          <w:szCs w:val="24"/>
        </w:rPr>
        <w:t xml:space="preserve">. Además, son </w:t>
      </w:r>
      <w:r w:rsidR="00F60368" w:rsidRPr="00556FB6">
        <w:rPr>
          <w:rFonts w:ascii="Times New Roman" w:hAnsi="Times New Roman" w:cs="Times New Roman"/>
          <w:sz w:val="24"/>
          <w:szCs w:val="24"/>
        </w:rPr>
        <w:t xml:space="preserve">comportamientos </w:t>
      </w:r>
      <w:r w:rsidR="0079038A" w:rsidRPr="00556FB6">
        <w:rPr>
          <w:rFonts w:ascii="Times New Roman" w:hAnsi="Times New Roman" w:cs="Times New Roman"/>
          <w:sz w:val="24"/>
          <w:szCs w:val="24"/>
        </w:rPr>
        <w:t>que pueden calificarse como tipos penales “omnicomprensivos” como acertadamente explica FUENTES OSORIO</w:t>
      </w:r>
      <w:r w:rsidR="0079038A">
        <w:rPr>
          <w:rStyle w:val="Refdenotaalpie"/>
          <w:rFonts w:ascii="Times New Roman" w:hAnsi="Times New Roman" w:cs="Times New Roman"/>
          <w:sz w:val="24"/>
          <w:szCs w:val="24"/>
        </w:rPr>
        <w:footnoteReference w:id="1"/>
      </w:r>
      <w:r w:rsidR="0079038A" w:rsidRPr="00556FB6">
        <w:rPr>
          <w:rFonts w:ascii="Times New Roman" w:hAnsi="Times New Roman" w:cs="Times New Roman"/>
          <w:sz w:val="24"/>
          <w:szCs w:val="24"/>
        </w:rPr>
        <w:t>, ya que comprenden numerosísimas actuaciones</w:t>
      </w:r>
      <w:r w:rsidRPr="00556FB6">
        <w:rPr>
          <w:rFonts w:ascii="Times New Roman" w:hAnsi="Times New Roman" w:cs="Times New Roman"/>
          <w:sz w:val="24"/>
          <w:szCs w:val="24"/>
        </w:rPr>
        <w:t xml:space="preserve"> que pueden ser sancionables, pues el hecho de</w:t>
      </w:r>
      <w:r w:rsidRPr="001916BC">
        <w:t xml:space="preserve"> </w:t>
      </w:r>
      <w:r w:rsidRPr="00556FB6">
        <w:rPr>
          <w:rFonts w:ascii="Times New Roman" w:hAnsi="Times New Roman" w:cs="Times New Roman"/>
          <w:sz w:val="24"/>
          <w:szCs w:val="24"/>
        </w:rPr>
        <w:t>realizar actos de “</w:t>
      </w:r>
      <w:r w:rsidRPr="00556FB6">
        <w:rPr>
          <w:rFonts w:ascii="Times New Roman" w:hAnsi="Times New Roman" w:cs="Times New Roman"/>
          <w:b/>
          <w:sz w:val="24"/>
          <w:szCs w:val="24"/>
        </w:rPr>
        <w:t>cultivo, elaboración o tráfico, o de otro modo promover, favorecer o facilitar</w:t>
      </w:r>
      <w:r w:rsidRPr="00556FB6">
        <w:rPr>
          <w:rFonts w:ascii="Times New Roman" w:hAnsi="Times New Roman" w:cs="Times New Roman"/>
          <w:sz w:val="24"/>
          <w:szCs w:val="24"/>
        </w:rPr>
        <w:t>”,  hacen de él una norma</w:t>
      </w:r>
      <w:r w:rsidR="00195D30" w:rsidRPr="00556FB6">
        <w:rPr>
          <w:rFonts w:ascii="Times New Roman" w:hAnsi="Times New Roman" w:cs="Times New Roman"/>
          <w:sz w:val="24"/>
          <w:szCs w:val="24"/>
        </w:rPr>
        <w:t xml:space="preserve"> amplísima a l</w:t>
      </w:r>
      <w:r w:rsidR="00FF5BA1" w:rsidRPr="00556FB6">
        <w:rPr>
          <w:rFonts w:ascii="Times New Roman" w:hAnsi="Times New Roman" w:cs="Times New Roman"/>
          <w:sz w:val="24"/>
          <w:szCs w:val="24"/>
        </w:rPr>
        <w:t>a hora de enmarcar las acciones típicas</w:t>
      </w:r>
      <w:r w:rsidR="0079038A" w:rsidRPr="00556FB6">
        <w:rPr>
          <w:rFonts w:ascii="Times New Roman" w:hAnsi="Times New Roman" w:cs="Times New Roman"/>
          <w:sz w:val="24"/>
          <w:szCs w:val="24"/>
        </w:rPr>
        <w:t>.</w:t>
      </w:r>
      <w:r w:rsidR="00195D30" w:rsidRPr="00556FB6">
        <w:rPr>
          <w:rFonts w:ascii="Times New Roman" w:hAnsi="Times New Roman" w:cs="Times New Roman"/>
          <w:sz w:val="24"/>
          <w:szCs w:val="24"/>
        </w:rPr>
        <w:t xml:space="preserve"> </w:t>
      </w:r>
      <w:r w:rsidR="0079038A" w:rsidRPr="00556FB6">
        <w:rPr>
          <w:rFonts w:ascii="Times New Roman" w:hAnsi="Times New Roman" w:cs="Times New Roman"/>
          <w:sz w:val="24"/>
          <w:szCs w:val="24"/>
        </w:rPr>
        <w:t>La</w:t>
      </w:r>
      <w:r w:rsidR="00F60368" w:rsidRPr="00556FB6">
        <w:rPr>
          <w:rFonts w:ascii="Times New Roman" w:hAnsi="Times New Roman" w:cs="Times New Roman"/>
          <w:sz w:val="24"/>
          <w:szCs w:val="24"/>
        </w:rPr>
        <w:t xml:space="preserve"> redacción del artículo</w:t>
      </w:r>
      <w:r w:rsidR="00195D30" w:rsidRPr="00556FB6">
        <w:rPr>
          <w:rFonts w:ascii="Times New Roman" w:hAnsi="Times New Roman" w:cs="Times New Roman"/>
          <w:sz w:val="24"/>
          <w:szCs w:val="24"/>
        </w:rPr>
        <w:t xml:space="preserve"> hace muy difícil apreciar formas de participación, considerando comportamientos que de</w:t>
      </w:r>
      <w:r w:rsidR="00FB061B" w:rsidRPr="00556FB6">
        <w:rPr>
          <w:rFonts w:ascii="Times New Roman" w:hAnsi="Times New Roman" w:cs="Times New Roman"/>
          <w:sz w:val="24"/>
          <w:szCs w:val="24"/>
        </w:rPr>
        <w:t xml:space="preserve">berían ser sancionados desde el </w:t>
      </w:r>
      <w:r w:rsidR="00195D30" w:rsidRPr="00556FB6">
        <w:rPr>
          <w:rFonts w:ascii="Times New Roman" w:hAnsi="Times New Roman" w:cs="Times New Roman"/>
          <w:sz w:val="24"/>
          <w:szCs w:val="24"/>
        </w:rPr>
        <w:t>punto de vista de la complicidad o la participación necesaria</w:t>
      </w:r>
      <w:r w:rsidR="00FF5BA1" w:rsidRPr="00556FB6">
        <w:rPr>
          <w:rFonts w:ascii="Times New Roman" w:hAnsi="Times New Roman" w:cs="Times New Roman"/>
          <w:sz w:val="24"/>
          <w:szCs w:val="24"/>
        </w:rPr>
        <w:t>,</w:t>
      </w:r>
      <w:r w:rsidR="00195D30" w:rsidRPr="00556FB6">
        <w:rPr>
          <w:rFonts w:ascii="Times New Roman" w:hAnsi="Times New Roman" w:cs="Times New Roman"/>
          <w:sz w:val="24"/>
          <w:szCs w:val="24"/>
        </w:rPr>
        <w:t xml:space="preserve"> y que sin embargo, son penados como una autoría.</w:t>
      </w:r>
      <w:r w:rsidR="002A2B2B" w:rsidRPr="00556FB6">
        <w:rPr>
          <w:rFonts w:ascii="Times New Roman" w:hAnsi="Times New Roman" w:cs="Times New Roman"/>
          <w:sz w:val="24"/>
          <w:szCs w:val="24"/>
        </w:rPr>
        <w:t xml:space="preserve"> </w:t>
      </w:r>
      <w:r w:rsidR="00FB061B" w:rsidRPr="00556FB6">
        <w:rPr>
          <w:rFonts w:ascii="Times New Roman" w:hAnsi="Times New Roman" w:cs="Times New Roman"/>
          <w:sz w:val="24"/>
          <w:szCs w:val="24"/>
        </w:rPr>
        <w:t>En suma, d</w:t>
      </w:r>
      <w:r w:rsidR="009F1911" w:rsidRPr="00556FB6">
        <w:rPr>
          <w:rFonts w:ascii="Times New Roman" w:hAnsi="Times New Roman" w:cs="Times New Roman"/>
          <w:sz w:val="24"/>
          <w:szCs w:val="24"/>
        </w:rPr>
        <w:t>efine conductas que dan por hecho una consumación sin observar el posible grado de participación que, en algunos casos, se puede dar e</w:t>
      </w:r>
      <w:r w:rsidR="00FB061B" w:rsidRPr="00556FB6">
        <w:rPr>
          <w:rFonts w:ascii="Times New Roman" w:hAnsi="Times New Roman" w:cs="Times New Roman"/>
          <w:sz w:val="24"/>
          <w:szCs w:val="24"/>
        </w:rPr>
        <w:t>n este tipo de comportamientos.</w:t>
      </w:r>
    </w:p>
    <w:p w:rsidR="00820154" w:rsidRDefault="00820154" w:rsidP="00DB4E07">
      <w:pPr>
        <w:pStyle w:val="Prrafodelista"/>
        <w:ind w:left="360"/>
        <w:rPr>
          <w:rFonts w:ascii="Times New Roman" w:hAnsi="Times New Roman" w:cs="Times New Roman"/>
          <w:sz w:val="24"/>
          <w:szCs w:val="24"/>
        </w:rPr>
      </w:pPr>
    </w:p>
    <w:p w:rsidR="005B6A99" w:rsidRPr="005B6A99" w:rsidRDefault="00F240A5" w:rsidP="005B6A99">
      <w:pPr>
        <w:pStyle w:val="Prrafodelista"/>
        <w:ind w:left="360"/>
        <w:rPr>
          <w:rFonts w:ascii="Times New Roman" w:hAnsi="Times New Roman" w:cs="Times New Roman"/>
          <w:sz w:val="24"/>
          <w:szCs w:val="24"/>
        </w:rPr>
      </w:pPr>
      <w:r>
        <w:rPr>
          <w:rFonts w:ascii="Times New Roman" w:hAnsi="Times New Roman" w:cs="Times New Roman"/>
          <w:sz w:val="24"/>
          <w:szCs w:val="24"/>
        </w:rPr>
        <w:lastRenderedPageBreak/>
        <w:t xml:space="preserve">Desde </w:t>
      </w:r>
      <w:r w:rsidR="00B8487E">
        <w:rPr>
          <w:rFonts w:ascii="Times New Roman" w:hAnsi="Times New Roman" w:cs="Times New Roman"/>
          <w:sz w:val="24"/>
          <w:szCs w:val="24"/>
        </w:rPr>
        <w:t>la redacción d</w:t>
      </w:r>
      <w:r>
        <w:rPr>
          <w:rFonts w:ascii="Times New Roman" w:hAnsi="Times New Roman" w:cs="Times New Roman"/>
          <w:sz w:val="24"/>
          <w:szCs w:val="24"/>
        </w:rPr>
        <w:t xml:space="preserve">el CP anterior hasta </w:t>
      </w:r>
      <w:r w:rsidR="00B8487E">
        <w:rPr>
          <w:rFonts w:ascii="Times New Roman" w:hAnsi="Times New Roman" w:cs="Times New Roman"/>
          <w:sz w:val="24"/>
          <w:szCs w:val="24"/>
        </w:rPr>
        <w:t>el actual, han</w:t>
      </w:r>
      <w:r w:rsidR="00820154">
        <w:rPr>
          <w:rFonts w:ascii="Times New Roman" w:hAnsi="Times New Roman" w:cs="Times New Roman"/>
          <w:sz w:val="24"/>
          <w:szCs w:val="24"/>
        </w:rPr>
        <w:t xml:space="preserve"> </w:t>
      </w:r>
      <w:r w:rsidR="00B8487E">
        <w:rPr>
          <w:rFonts w:ascii="Times New Roman" w:hAnsi="Times New Roman" w:cs="Times New Roman"/>
          <w:sz w:val="24"/>
          <w:szCs w:val="24"/>
        </w:rPr>
        <w:t>ido apareciendo</w:t>
      </w:r>
      <w:r w:rsidR="00820154">
        <w:rPr>
          <w:rFonts w:ascii="Times New Roman" w:hAnsi="Times New Roman" w:cs="Times New Roman"/>
          <w:sz w:val="24"/>
          <w:szCs w:val="24"/>
        </w:rPr>
        <w:t xml:space="preserve"> dudas con respecto a las cantidades de drogas para interpretar la acción como típica o atípica, no estableciéndose una frontera firme</w:t>
      </w:r>
      <w:r w:rsidR="00B8487E">
        <w:rPr>
          <w:rFonts w:ascii="Times New Roman" w:hAnsi="Times New Roman" w:cs="Times New Roman"/>
          <w:sz w:val="24"/>
          <w:szCs w:val="24"/>
        </w:rPr>
        <w:t xml:space="preserve"> o clara</w:t>
      </w:r>
      <w:r w:rsidR="00820154">
        <w:rPr>
          <w:rFonts w:ascii="Times New Roman" w:hAnsi="Times New Roman" w:cs="Times New Roman"/>
          <w:sz w:val="24"/>
          <w:szCs w:val="24"/>
        </w:rPr>
        <w:t xml:space="preserve"> entre ambas conductas</w:t>
      </w:r>
      <w:r w:rsidR="009E6962">
        <w:rPr>
          <w:rFonts w:ascii="Times New Roman" w:hAnsi="Times New Roman" w:cs="Times New Roman"/>
          <w:sz w:val="24"/>
          <w:szCs w:val="24"/>
        </w:rPr>
        <w:t>. La creación de los Convenios r</w:t>
      </w:r>
      <w:r w:rsidR="00820154">
        <w:rPr>
          <w:rFonts w:ascii="Times New Roman" w:hAnsi="Times New Roman" w:cs="Times New Roman"/>
          <w:sz w:val="24"/>
          <w:szCs w:val="24"/>
        </w:rPr>
        <w:t>eg</w:t>
      </w:r>
      <w:r w:rsidR="00B8487E">
        <w:rPr>
          <w:rFonts w:ascii="Times New Roman" w:hAnsi="Times New Roman" w:cs="Times New Roman"/>
          <w:sz w:val="24"/>
          <w:szCs w:val="24"/>
        </w:rPr>
        <w:t>uladores I</w:t>
      </w:r>
      <w:r w:rsidR="00820154">
        <w:rPr>
          <w:rFonts w:ascii="Times New Roman" w:hAnsi="Times New Roman" w:cs="Times New Roman"/>
          <w:sz w:val="24"/>
          <w:szCs w:val="24"/>
        </w:rPr>
        <w:t>nternacionales sólo nos sirve para “identificar” una determinada sustancia, pues</w:t>
      </w:r>
      <w:r w:rsidR="00B8487E">
        <w:rPr>
          <w:rFonts w:ascii="Times New Roman" w:hAnsi="Times New Roman" w:cs="Times New Roman"/>
          <w:sz w:val="24"/>
          <w:szCs w:val="24"/>
        </w:rPr>
        <w:t>to que</w:t>
      </w:r>
      <w:r w:rsidR="00820154">
        <w:rPr>
          <w:rFonts w:ascii="Times New Roman" w:hAnsi="Times New Roman" w:cs="Times New Roman"/>
          <w:sz w:val="24"/>
          <w:szCs w:val="24"/>
        </w:rPr>
        <w:t xml:space="preserve"> la función de estos Convenios es la elaboración de unas listas donde se enumeran o clasifican dichas sustancias, sin llegar siquiera a poder darnos una definición </w:t>
      </w:r>
      <w:r w:rsidR="005B6A99">
        <w:rPr>
          <w:rFonts w:ascii="Times New Roman" w:hAnsi="Times New Roman" w:cs="Times New Roman"/>
          <w:sz w:val="24"/>
          <w:szCs w:val="24"/>
        </w:rPr>
        <w:t xml:space="preserve">precisada </w:t>
      </w:r>
      <w:r w:rsidR="00820154">
        <w:rPr>
          <w:rFonts w:ascii="Times New Roman" w:hAnsi="Times New Roman" w:cs="Times New Roman"/>
          <w:sz w:val="24"/>
          <w:szCs w:val="24"/>
        </w:rPr>
        <w:t>de lo que en v</w:t>
      </w:r>
      <w:r w:rsidR="005B6A99">
        <w:rPr>
          <w:rFonts w:ascii="Times New Roman" w:hAnsi="Times New Roman" w:cs="Times New Roman"/>
          <w:sz w:val="24"/>
          <w:szCs w:val="24"/>
        </w:rPr>
        <w:t>erdad es cada tipo de su</w:t>
      </w:r>
      <w:r w:rsidR="00377ED5">
        <w:rPr>
          <w:rFonts w:ascii="Times New Roman" w:hAnsi="Times New Roman" w:cs="Times New Roman"/>
          <w:sz w:val="24"/>
          <w:szCs w:val="24"/>
        </w:rPr>
        <w:t>b</w:t>
      </w:r>
      <w:r w:rsidR="005B6A99">
        <w:rPr>
          <w:rFonts w:ascii="Times New Roman" w:hAnsi="Times New Roman" w:cs="Times New Roman"/>
          <w:sz w:val="24"/>
          <w:szCs w:val="24"/>
        </w:rPr>
        <w:t xml:space="preserve">stancia (droga tóxica, </w:t>
      </w:r>
      <w:r w:rsidR="009E6962">
        <w:rPr>
          <w:rFonts w:ascii="Times New Roman" w:hAnsi="Times New Roman" w:cs="Times New Roman"/>
          <w:sz w:val="24"/>
          <w:szCs w:val="24"/>
        </w:rPr>
        <w:t>estupefaciente o psicotrópico). L</w:t>
      </w:r>
      <w:r w:rsidR="005B6A99">
        <w:rPr>
          <w:rFonts w:ascii="Times New Roman" w:hAnsi="Times New Roman" w:cs="Times New Roman"/>
          <w:sz w:val="24"/>
          <w:szCs w:val="24"/>
        </w:rPr>
        <w:t>ejos de esto</w:t>
      </w:r>
      <w:r w:rsidR="009E6962">
        <w:rPr>
          <w:rFonts w:ascii="Times New Roman" w:hAnsi="Times New Roman" w:cs="Times New Roman"/>
          <w:sz w:val="24"/>
          <w:szCs w:val="24"/>
        </w:rPr>
        <w:t>,</w:t>
      </w:r>
      <w:r w:rsidR="00F60368">
        <w:rPr>
          <w:rFonts w:ascii="Times New Roman" w:hAnsi="Times New Roman" w:cs="Times New Roman"/>
          <w:sz w:val="24"/>
          <w:szCs w:val="24"/>
        </w:rPr>
        <w:t xml:space="preserve"> lo que se nos ofrece</w:t>
      </w:r>
      <w:r w:rsidR="005B6A99">
        <w:rPr>
          <w:rFonts w:ascii="Times New Roman" w:hAnsi="Times New Roman" w:cs="Times New Roman"/>
          <w:sz w:val="24"/>
          <w:szCs w:val="24"/>
        </w:rPr>
        <w:t xml:space="preserve"> es una vaga reseña de un significado que debería ser mucho más especificativo y diferenciador.</w:t>
      </w:r>
    </w:p>
    <w:p w:rsidR="00820154" w:rsidRDefault="00820154" w:rsidP="00DB4E07">
      <w:pPr>
        <w:pStyle w:val="Prrafodelista"/>
        <w:ind w:left="360"/>
        <w:rPr>
          <w:rFonts w:ascii="Times New Roman" w:hAnsi="Times New Roman" w:cs="Times New Roman"/>
          <w:sz w:val="24"/>
          <w:szCs w:val="24"/>
        </w:rPr>
      </w:pPr>
    </w:p>
    <w:p w:rsidR="005B6A99" w:rsidRDefault="005B6A99" w:rsidP="00DB4E07">
      <w:pPr>
        <w:pStyle w:val="Prrafodelista"/>
        <w:ind w:left="360"/>
        <w:rPr>
          <w:rFonts w:ascii="Times New Roman" w:hAnsi="Times New Roman" w:cs="Times New Roman"/>
          <w:sz w:val="24"/>
          <w:szCs w:val="24"/>
        </w:rPr>
      </w:pPr>
      <w:r>
        <w:rPr>
          <w:rFonts w:ascii="Times New Roman" w:hAnsi="Times New Roman" w:cs="Times New Roman"/>
          <w:sz w:val="24"/>
          <w:szCs w:val="24"/>
        </w:rPr>
        <w:t xml:space="preserve">En este trabajo se analizará también la relevancia importantísima que tiene el </w:t>
      </w:r>
      <w:r w:rsidRPr="00F60368">
        <w:rPr>
          <w:rFonts w:ascii="Times New Roman" w:hAnsi="Times New Roman" w:cs="Times New Roman"/>
          <w:b/>
          <w:sz w:val="24"/>
          <w:szCs w:val="24"/>
        </w:rPr>
        <w:t>índice psicoactivo</w:t>
      </w:r>
      <w:r>
        <w:rPr>
          <w:rFonts w:ascii="Times New Roman" w:hAnsi="Times New Roman" w:cs="Times New Roman"/>
          <w:sz w:val="24"/>
          <w:szCs w:val="24"/>
        </w:rPr>
        <w:t xml:space="preserve"> de las sustancias consideradas dañinas para la salud pública, pues con él, se intentó marcar un horizonte entre las conductas punibles y las que no lo son, </w:t>
      </w:r>
      <w:r w:rsidR="00377ED5">
        <w:rPr>
          <w:rFonts w:ascii="Times New Roman" w:hAnsi="Times New Roman" w:cs="Times New Roman"/>
          <w:sz w:val="24"/>
          <w:szCs w:val="24"/>
        </w:rPr>
        <w:t xml:space="preserve">fijando </w:t>
      </w:r>
      <w:r>
        <w:rPr>
          <w:rFonts w:ascii="Times New Roman" w:hAnsi="Times New Roman" w:cs="Times New Roman"/>
          <w:sz w:val="24"/>
          <w:szCs w:val="24"/>
        </w:rPr>
        <w:t>como gu</w:t>
      </w:r>
      <w:r w:rsidR="00FB7B46">
        <w:rPr>
          <w:rFonts w:ascii="Times New Roman" w:hAnsi="Times New Roman" w:cs="Times New Roman"/>
          <w:sz w:val="24"/>
          <w:szCs w:val="24"/>
        </w:rPr>
        <w:t>ía una</w:t>
      </w:r>
      <w:r>
        <w:rPr>
          <w:rFonts w:ascii="Times New Roman" w:hAnsi="Times New Roman" w:cs="Times New Roman"/>
          <w:sz w:val="24"/>
          <w:szCs w:val="24"/>
        </w:rPr>
        <w:t xml:space="preserve">s </w:t>
      </w:r>
      <w:r w:rsidR="00FB7B46">
        <w:rPr>
          <w:rFonts w:ascii="Times New Roman" w:hAnsi="Times New Roman" w:cs="Times New Roman"/>
          <w:sz w:val="24"/>
          <w:szCs w:val="24"/>
        </w:rPr>
        <w:t>cuantificaciones</w:t>
      </w:r>
      <w:r>
        <w:rPr>
          <w:rFonts w:ascii="Times New Roman" w:hAnsi="Times New Roman" w:cs="Times New Roman"/>
          <w:sz w:val="24"/>
          <w:szCs w:val="24"/>
        </w:rPr>
        <w:t xml:space="preserve"> que sirven para medir si un producto causa verdaderamente el daño que el bien jurídico intenta proteger: </w:t>
      </w:r>
      <w:r w:rsidRPr="00F60368">
        <w:rPr>
          <w:rFonts w:ascii="Times New Roman" w:hAnsi="Times New Roman" w:cs="Times New Roman"/>
          <w:b/>
          <w:sz w:val="24"/>
          <w:szCs w:val="24"/>
        </w:rPr>
        <w:t>la salud pública</w:t>
      </w:r>
      <w:r>
        <w:rPr>
          <w:rFonts w:ascii="Times New Roman" w:hAnsi="Times New Roman" w:cs="Times New Roman"/>
          <w:sz w:val="24"/>
          <w:szCs w:val="24"/>
        </w:rPr>
        <w:t xml:space="preserve"> vista desde un punto de vista supraindividual. </w:t>
      </w:r>
    </w:p>
    <w:p w:rsidR="005B6A99" w:rsidRDefault="005B6A99" w:rsidP="00DB4E07">
      <w:pPr>
        <w:pStyle w:val="Prrafodelista"/>
        <w:ind w:left="360"/>
        <w:rPr>
          <w:rFonts w:ascii="Times New Roman" w:hAnsi="Times New Roman" w:cs="Times New Roman"/>
          <w:sz w:val="24"/>
          <w:szCs w:val="24"/>
        </w:rPr>
      </w:pPr>
    </w:p>
    <w:p w:rsidR="005B6A99" w:rsidRDefault="005B6A99" w:rsidP="00DB4E07">
      <w:pPr>
        <w:pStyle w:val="Prrafodelista"/>
        <w:ind w:left="360"/>
        <w:rPr>
          <w:rFonts w:ascii="Times New Roman" w:hAnsi="Times New Roman" w:cs="Times New Roman"/>
          <w:sz w:val="24"/>
          <w:szCs w:val="24"/>
        </w:rPr>
      </w:pPr>
      <w:r>
        <w:rPr>
          <w:rFonts w:ascii="Times New Roman" w:hAnsi="Times New Roman" w:cs="Times New Roman"/>
          <w:sz w:val="24"/>
          <w:szCs w:val="24"/>
        </w:rPr>
        <w:t>La mención a la cantida</w:t>
      </w:r>
      <w:r w:rsidR="00FB7B46">
        <w:rPr>
          <w:rFonts w:ascii="Times New Roman" w:hAnsi="Times New Roman" w:cs="Times New Roman"/>
          <w:sz w:val="24"/>
          <w:szCs w:val="24"/>
        </w:rPr>
        <w:t xml:space="preserve">d es clave, pues por ella </w:t>
      </w:r>
      <w:r>
        <w:rPr>
          <w:rFonts w:ascii="Times New Roman" w:hAnsi="Times New Roman" w:cs="Times New Roman"/>
          <w:sz w:val="24"/>
          <w:szCs w:val="24"/>
        </w:rPr>
        <w:t>s</w:t>
      </w:r>
      <w:r w:rsidR="00FB7B46">
        <w:rPr>
          <w:rFonts w:ascii="Times New Roman" w:hAnsi="Times New Roman" w:cs="Times New Roman"/>
          <w:sz w:val="24"/>
          <w:szCs w:val="24"/>
        </w:rPr>
        <w:t>e verá</w:t>
      </w:r>
      <w:r>
        <w:rPr>
          <w:rFonts w:ascii="Times New Roman" w:hAnsi="Times New Roman" w:cs="Times New Roman"/>
          <w:sz w:val="24"/>
          <w:szCs w:val="24"/>
        </w:rPr>
        <w:t xml:space="preserve"> cómo se puede</w:t>
      </w:r>
      <w:r w:rsidR="009E6962">
        <w:rPr>
          <w:rFonts w:ascii="Times New Roman" w:hAnsi="Times New Roman" w:cs="Times New Roman"/>
          <w:sz w:val="24"/>
          <w:szCs w:val="24"/>
        </w:rPr>
        <w:t>n</w:t>
      </w:r>
      <w:r w:rsidR="00FB7B46">
        <w:rPr>
          <w:rFonts w:ascii="Times New Roman" w:hAnsi="Times New Roman" w:cs="Times New Roman"/>
          <w:sz w:val="24"/>
          <w:szCs w:val="24"/>
        </w:rPr>
        <w:t xml:space="preserve"> trasladar</w:t>
      </w:r>
      <w:r w:rsidR="009E6962">
        <w:rPr>
          <w:rFonts w:ascii="Times New Roman" w:hAnsi="Times New Roman" w:cs="Times New Roman"/>
          <w:sz w:val="24"/>
          <w:szCs w:val="24"/>
        </w:rPr>
        <w:t xml:space="preserve"> conductas</w:t>
      </w:r>
      <w:r>
        <w:rPr>
          <w:rFonts w:ascii="Times New Roman" w:hAnsi="Times New Roman" w:cs="Times New Roman"/>
          <w:sz w:val="24"/>
          <w:szCs w:val="24"/>
        </w:rPr>
        <w:t xml:space="preserve"> de un tipo penal más</w:t>
      </w:r>
      <w:r w:rsidR="00FB7B46">
        <w:rPr>
          <w:rFonts w:ascii="Times New Roman" w:hAnsi="Times New Roman" w:cs="Times New Roman"/>
          <w:sz w:val="24"/>
          <w:szCs w:val="24"/>
        </w:rPr>
        <w:t xml:space="preserve"> leve</w:t>
      </w:r>
      <w:r>
        <w:rPr>
          <w:rFonts w:ascii="Times New Roman" w:hAnsi="Times New Roman" w:cs="Times New Roman"/>
          <w:sz w:val="24"/>
          <w:szCs w:val="24"/>
        </w:rPr>
        <w:t xml:space="preserve"> a otro mucho más </w:t>
      </w:r>
      <w:r w:rsidR="00FB7B46">
        <w:rPr>
          <w:rFonts w:ascii="Times New Roman" w:hAnsi="Times New Roman" w:cs="Times New Roman"/>
          <w:sz w:val="24"/>
          <w:szCs w:val="24"/>
        </w:rPr>
        <w:t>sev</w:t>
      </w:r>
      <w:r w:rsidR="009E6962">
        <w:rPr>
          <w:rFonts w:ascii="Times New Roman" w:hAnsi="Times New Roman" w:cs="Times New Roman"/>
          <w:sz w:val="24"/>
          <w:szCs w:val="24"/>
        </w:rPr>
        <w:t>ero, o incluso sacar dichas actuaciones</w:t>
      </w:r>
      <w:r w:rsidR="00FB7B46">
        <w:rPr>
          <w:rFonts w:ascii="Times New Roman" w:hAnsi="Times New Roman" w:cs="Times New Roman"/>
          <w:sz w:val="24"/>
          <w:szCs w:val="24"/>
        </w:rPr>
        <w:t xml:space="preserve"> del ámbito del derecho penal, considerando el principio de insignificancia como una fuente importantísima jurisprudencial para justificar este tipo de conductas.</w:t>
      </w:r>
    </w:p>
    <w:p w:rsidR="005B6A99" w:rsidRPr="005B6A99" w:rsidRDefault="005B6A99" w:rsidP="005B6A99">
      <w:pPr>
        <w:rPr>
          <w:rFonts w:ascii="Times New Roman" w:hAnsi="Times New Roman" w:cs="Times New Roman"/>
          <w:sz w:val="24"/>
          <w:szCs w:val="24"/>
        </w:rPr>
      </w:pPr>
    </w:p>
    <w:p w:rsidR="00DB4E07" w:rsidRDefault="00FB7B46" w:rsidP="00DB4E07">
      <w:pPr>
        <w:pStyle w:val="Prrafodelista"/>
        <w:ind w:left="360"/>
        <w:rPr>
          <w:rFonts w:ascii="Times New Roman" w:hAnsi="Times New Roman" w:cs="Times New Roman"/>
          <w:sz w:val="24"/>
          <w:szCs w:val="24"/>
        </w:rPr>
      </w:pPr>
      <w:r>
        <w:rPr>
          <w:rFonts w:ascii="Times New Roman" w:hAnsi="Times New Roman" w:cs="Times New Roman"/>
          <w:sz w:val="24"/>
          <w:szCs w:val="24"/>
        </w:rPr>
        <w:t>Es importante tener presente, l</w:t>
      </w:r>
      <w:r w:rsidR="005811FE">
        <w:rPr>
          <w:rFonts w:ascii="Times New Roman" w:hAnsi="Times New Roman" w:cs="Times New Roman"/>
          <w:sz w:val="24"/>
          <w:szCs w:val="24"/>
        </w:rPr>
        <w:t>a LO 5/2010</w:t>
      </w:r>
      <w:r>
        <w:rPr>
          <w:rFonts w:ascii="Times New Roman" w:hAnsi="Times New Roman" w:cs="Times New Roman"/>
          <w:sz w:val="24"/>
          <w:szCs w:val="24"/>
        </w:rPr>
        <w:t xml:space="preserve">, de 22 de junio, por la que se modifica la Ley Orgánica 10/1995, de 23 de noviembre, del Código Penal, </w:t>
      </w:r>
      <w:r w:rsidR="009E6962">
        <w:rPr>
          <w:rFonts w:ascii="Times New Roman" w:hAnsi="Times New Roman" w:cs="Times New Roman"/>
          <w:sz w:val="24"/>
          <w:szCs w:val="24"/>
        </w:rPr>
        <w:t xml:space="preserve">pues introduce </w:t>
      </w:r>
      <w:r w:rsidR="005811FE">
        <w:rPr>
          <w:rFonts w:ascii="Times New Roman" w:hAnsi="Times New Roman" w:cs="Times New Roman"/>
          <w:sz w:val="24"/>
          <w:szCs w:val="24"/>
        </w:rPr>
        <w:t xml:space="preserve">modificaciones importantes en este </w:t>
      </w:r>
      <w:r w:rsidR="00F60368">
        <w:rPr>
          <w:rFonts w:ascii="Times New Roman" w:hAnsi="Times New Roman" w:cs="Times New Roman"/>
          <w:sz w:val="24"/>
          <w:szCs w:val="24"/>
        </w:rPr>
        <w:t>terreno</w:t>
      </w:r>
      <w:r w:rsidR="005811FE">
        <w:rPr>
          <w:rFonts w:ascii="Times New Roman" w:hAnsi="Times New Roman" w:cs="Times New Roman"/>
          <w:sz w:val="24"/>
          <w:szCs w:val="24"/>
        </w:rPr>
        <w:t xml:space="preserve">, dirigiéndose sobre dos líneas de actuación: </w:t>
      </w:r>
    </w:p>
    <w:p w:rsidR="005811FE" w:rsidRDefault="005811FE" w:rsidP="005811FE">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Una primera línea introduce modificaciones en todo lo relacionado con los  reapliques en materia de penas, teniendo en consideración la Decisión Marco 2004/757/JAI del Consejo, con fecha 25 de Octubre del año 2004.</w:t>
      </w:r>
    </w:p>
    <w:p w:rsidR="00820154" w:rsidRPr="00FF5BA1" w:rsidRDefault="005811FE" w:rsidP="00820154">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La segunda línea se centra en una modificación del tipo 368 del Código Penal, estableciendo un segundo párrafo en el que </w:t>
      </w:r>
      <w:r w:rsidR="009E6962">
        <w:rPr>
          <w:rFonts w:ascii="Times New Roman" w:hAnsi="Times New Roman" w:cs="Times New Roman"/>
          <w:sz w:val="24"/>
          <w:szCs w:val="24"/>
        </w:rPr>
        <w:t xml:space="preserve">se puedan encuadrar </w:t>
      </w:r>
      <w:r>
        <w:rPr>
          <w:rFonts w:ascii="Times New Roman" w:hAnsi="Times New Roman" w:cs="Times New Roman"/>
          <w:sz w:val="24"/>
          <w:szCs w:val="24"/>
        </w:rPr>
        <w:t>todas aquellas co</w:t>
      </w:r>
      <w:r w:rsidR="009E6962">
        <w:rPr>
          <w:rFonts w:ascii="Times New Roman" w:hAnsi="Times New Roman" w:cs="Times New Roman"/>
          <w:sz w:val="24"/>
          <w:szCs w:val="24"/>
        </w:rPr>
        <w:t xml:space="preserve">nductas que sean apreciables para lograr </w:t>
      </w:r>
      <w:r>
        <w:rPr>
          <w:rFonts w:ascii="Times New Roman" w:hAnsi="Times New Roman" w:cs="Times New Roman"/>
          <w:sz w:val="24"/>
          <w:szCs w:val="24"/>
        </w:rPr>
        <w:t>una reb</w:t>
      </w:r>
      <w:r w:rsidR="009E6962">
        <w:rPr>
          <w:rFonts w:ascii="Times New Roman" w:hAnsi="Times New Roman" w:cs="Times New Roman"/>
          <w:sz w:val="24"/>
          <w:szCs w:val="24"/>
        </w:rPr>
        <w:t>aja facultativa de la pena en</w:t>
      </w:r>
      <w:r>
        <w:rPr>
          <w:rFonts w:ascii="Times New Roman" w:hAnsi="Times New Roman" w:cs="Times New Roman"/>
          <w:sz w:val="24"/>
          <w:szCs w:val="24"/>
        </w:rPr>
        <w:t xml:space="preserve"> tal </w:t>
      </w:r>
      <w:r>
        <w:rPr>
          <w:rFonts w:ascii="Times New Roman" w:hAnsi="Times New Roman" w:cs="Times New Roman"/>
          <w:sz w:val="24"/>
          <w:szCs w:val="24"/>
        </w:rPr>
        <w:lastRenderedPageBreak/>
        <w:t>artículo. Esto se hace conforme a la petición y acuerdo llevado a cabo por el Tribunal Supremo, con fecha 25 de Octubre de 2005.</w:t>
      </w:r>
      <w:r w:rsidR="00FF5BA1">
        <w:rPr>
          <w:rStyle w:val="Refdenotaalpie"/>
          <w:rFonts w:ascii="Times New Roman" w:hAnsi="Times New Roman" w:cs="Times New Roman"/>
          <w:sz w:val="24"/>
          <w:szCs w:val="24"/>
        </w:rPr>
        <w:footnoteReference w:id="2"/>
      </w:r>
    </w:p>
    <w:p w:rsidR="00AA7DA4" w:rsidRDefault="00AA7DA4" w:rsidP="00DB4E07">
      <w:pPr>
        <w:pStyle w:val="Prrafodelista"/>
        <w:ind w:left="360"/>
        <w:rPr>
          <w:rFonts w:ascii="Times New Roman" w:hAnsi="Times New Roman" w:cs="Times New Roman"/>
          <w:sz w:val="24"/>
          <w:szCs w:val="24"/>
        </w:rPr>
      </w:pPr>
    </w:p>
    <w:p w:rsidR="00DB286D" w:rsidRDefault="00DB286D" w:rsidP="00DB4E07">
      <w:pPr>
        <w:pStyle w:val="Prrafodelista"/>
        <w:ind w:left="360"/>
        <w:rPr>
          <w:rFonts w:ascii="Times New Roman" w:hAnsi="Times New Roman" w:cs="Times New Roman"/>
          <w:sz w:val="24"/>
          <w:szCs w:val="24"/>
        </w:rPr>
      </w:pPr>
      <w:r>
        <w:rPr>
          <w:rFonts w:ascii="Times New Roman" w:hAnsi="Times New Roman" w:cs="Times New Roman"/>
          <w:sz w:val="24"/>
          <w:szCs w:val="24"/>
        </w:rPr>
        <w:t>Es preciso reseñar, que en la actualidad en la que vivimos, el consumo y tráfico de dichas sustancias ocasionan un grave problema</w:t>
      </w:r>
      <w:r w:rsidR="002B3D56">
        <w:rPr>
          <w:rFonts w:ascii="Times New Roman" w:hAnsi="Times New Roman" w:cs="Times New Roman"/>
          <w:sz w:val="24"/>
          <w:szCs w:val="24"/>
        </w:rPr>
        <w:t>,</w:t>
      </w:r>
      <w:r>
        <w:rPr>
          <w:rFonts w:ascii="Times New Roman" w:hAnsi="Times New Roman" w:cs="Times New Roman"/>
          <w:sz w:val="24"/>
          <w:szCs w:val="24"/>
        </w:rPr>
        <w:t xml:space="preserve"> no sólo relevante desde el punto de vista de la Justicia, sino también desde un punto de vista social, planteando numerosos </w:t>
      </w:r>
      <w:r w:rsidR="005379D1">
        <w:rPr>
          <w:rFonts w:ascii="Times New Roman" w:hAnsi="Times New Roman" w:cs="Times New Roman"/>
          <w:sz w:val="24"/>
          <w:szCs w:val="24"/>
        </w:rPr>
        <w:t>inconvenientes</w:t>
      </w:r>
      <w:r>
        <w:rPr>
          <w:rFonts w:ascii="Times New Roman" w:hAnsi="Times New Roman" w:cs="Times New Roman"/>
          <w:sz w:val="24"/>
          <w:szCs w:val="24"/>
        </w:rPr>
        <w:t>.</w:t>
      </w:r>
      <w:r w:rsidR="0034627B">
        <w:rPr>
          <w:rFonts w:ascii="Times New Roman" w:hAnsi="Times New Roman" w:cs="Times New Roman"/>
          <w:sz w:val="24"/>
          <w:szCs w:val="24"/>
        </w:rPr>
        <w:t xml:space="preserve"> Son tipos delictivos que por d</w:t>
      </w:r>
      <w:r w:rsidR="00F240A5">
        <w:rPr>
          <w:rFonts w:ascii="Times New Roman" w:hAnsi="Times New Roman" w:cs="Times New Roman"/>
          <w:sz w:val="24"/>
          <w:szCs w:val="24"/>
        </w:rPr>
        <w:t xml:space="preserve">esgracia, se encuentran con </w:t>
      </w:r>
      <w:r w:rsidR="009E6962">
        <w:rPr>
          <w:rFonts w:ascii="Times New Roman" w:hAnsi="Times New Roman" w:cs="Times New Roman"/>
          <w:sz w:val="24"/>
          <w:szCs w:val="24"/>
        </w:rPr>
        <w:t xml:space="preserve">gran </w:t>
      </w:r>
      <w:r w:rsidR="0034627B">
        <w:rPr>
          <w:rFonts w:ascii="Times New Roman" w:hAnsi="Times New Roman" w:cs="Times New Roman"/>
          <w:sz w:val="24"/>
          <w:szCs w:val="24"/>
        </w:rPr>
        <w:t>frecuencia actualmente, teniendo un elevado índice de presencia en las prisiones españolas. Son conductas, que a simple vista no plantean problemas de consumación, pues se consideran delitos de peligro abstracto y de mera actividad, lo que significa, que “</w:t>
      </w:r>
      <w:r w:rsidR="0034627B" w:rsidRPr="00377ED5">
        <w:rPr>
          <w:rFonts w:ascii="Times New Roman" w:hAnsi="Times New Roman" w:cs="Times New Roman"/>
          <w:i/>
          <w:sz w:val="24"/>
          <w:szCs w:val="24"/>
        </w:rPr>
        <w:t>para que se produzca la consumación de este delito, no es</w:t>
      </w:r>
      <w:r w:rsidR="0034627B">
        <w:rPr>
          <w:rFonts w:ascii="Times New Roman" w:hAnsi="Times New Roman" w:cs="Times New Roman"/>
          <w:sz w:val="24"/>
          <w:szCs w:val="24"/>
        </w:rPr>
        <w:t xml:space="preserve"> </w:t>
      </w:r>
      <w:r w:rsidR="0034627B" w:rsidRPr="00377ED5">
        <w:rPr>
          <w:rFonts w:ascii="Times New Roman" w:hAnsi="Times New Roman" w:cs="Times New Roman"/>
          <w:i/>
          <w:sz w:val="24"/>
          <w:szCs w:val="24"/>
        </w:rPr>
        <w:t>necesaria la lesión de la salud pública, sino que basta con constatar un peligro abstracto para ella</w:t>
      </w:r>
      <w:r w:rsidR="00904ED2">
        <w:rPr>
          <w:rFonts w:ascii="Times New Roman" w:hAnsi="Times New Roman" w:cs="Times New Roman"/>
          <w:sz w:val="24"/>
          <w:szCs w:val="24"/>
        </w:rPr>
        <w:t>.</w:t>
      </w:r>
      <w:r w:rsidR="0034627B">
        <w:rPr>
          <w:rFonts w:ascii="Times New Roman" w:hAnsi="Times New Roman" w:cs="Times New Roman"/>
          <w:sz w:val="24"/>
          <w:szCs w:val="24"/>
        </w:rPr>
        <w:t>”</w:t>
      </w:r>
      <w:r w:rsidR="0034627B">
        <w:rPr>
          <w:rStyle w:val="Refdenotaalpie"/>
          <w:rFonts w:ascii="Times New Roman" w:hAnsi="Times New Roman" w:cs="Times New Roman"/>
          <w:sz w:val="24"/>
          <w:szCs w:val="24"/>
        </w:rPr>
        <w:footnoteReference w:id="3"/>
      </w:r>
    </w:p>
    <w:p w:rsidR="00325F2E" w:rsidRPr="00F240A5" w:rsidRDefault="00904ED2" w:rsidP="00F240A5">
      <w:pPr>
        <w:pStyle w:val="Prrafodelista"/>
        <w:ind w:left="360"/>
        <w:rPr>
          <w:rFonts w:ascii="Times New Roman" w:hAnsi="Times New Roman" w:cs="Times New Roman"/>
          <w:sz w:val="24"/>
          <w:szCs w:val="24"/>
          <w:lang w:val="es-ES"/>
        </w:rPr>
      </w:pPr>
      <w:r>
        <w:rPr>
          <w:rFonts w:ascii="Times New Roman" w:hAnsi="Times New Roman" w:cs="Times New Roman"/>
          <w:sz w:val="24"/>
          <w:szCs w:val="24"/>
        </w:rPr>
        <w:t xml:space="preserve">En suma, esto me </w:t>
      </w:r>
      <w:r w:rsidR="009E6962">
        <w:rPr>
          <w:rFonts w:ascii="Times New Roman" w:hAnsi="Times New Roman" w:cs="Times New Roman"/>
          <w:sz w:val="24"/>
          <w:szCs w:val="24"/>
        </w:rPr>
        <w:t>lleva</w:t>
      </w:r>
      <w:r w:rsidR="00511C6B">
        <w:rPr>
          <w:rFonts w:ascii="Times New Roman" w:hAnsi="Times New Roman" w:cs="Times New Roman"/>
          <w:sz w:val="24"/>
          <w:szCs w:val="24"/>
        </w:rPr>
        <w:t xml:space="preserve"> también a</w:t>
      </w:r>
      <w:r>
        <w:rPr>
          <w:rFonts w:ascii="Times New Roman" w:hAnsi="Times New Roman" w:cs="Times New Roman"/>
          <w:sz w:val="24"/>
          <w:szCs w:val="24"/>
        </w:rPr>
        <w:t xml:space="preserve"> tratar aspectos del</w:t>
      </w:r>
      <w:r w:rsidR="00FB14A6">
        <w:rPr>
          <w:rFonts w:ascii="Times New Roman" w:hAnsi="Times New Roman" w:cs="Times New Roman"/>
          <w:sz w:val="24"/>
          <w:szCs w:val="24"/>
        </w:rPr>
        <w:t xml:space="preserve"> </w:t>
      </w:r>
      <w:r w:rsidR="00D46199">
        <w:rPr>
          <w:rFonts w:ascii="Times New Roman" w:hAnsi="Times New Roman" w:cs="Times New Roman"/>
          <w:sz w:val="24"/>
          <w:szCs w:val="24"/>
        </w:rPr>
        <w:t xml:space="preserve">autoconsumo  y </w:t>
      </w:r>
      <w:r w:rsidR="00FB14A6">
        <w:rPr>
          <w:rFonts w:ascii="Times New Roman" w:hAnsi="Times New Roman" w:cs="Times New Roman"/>
          <w:sz w:val="24"/>
          <w:szCs w:val="24"/>
        </w:rPr>
        <w:t>consumo compartido</w:t>
      </w:r>
      <w:r>
        <w:rPr>
          <w:rFonts w:ascii="Times New Roman" w:hAnsi="Times New Roman" w:cs="Times New Roman"/>
          <w:sz w:val="24"/>
          <w:szCs w:val="24"/>
        </w:rPr>
        <w:t xml:space="preserve">. Hay que diferenciar entre dos ordenamientos jurídicos: el administrativo sancionador (regulado en la Ley Orgánica 1/1992, de 21 de </w:t>
      </w:r>
      <w:r w:rsidR="001916BC">
        <w:rPr>
          <w:rFonts w:ascii="Times New Roman" w:hAnsi="Times New Roman" w:cs="Times New Roman"/>
          <w:sz w:val="24"/>
          <w:szCs w:val="24"/>
        </w:rPr>
        <w:t xml:space="preserve">febrero, sobre Protección de la Seguridad Ciudadana: artículos 23 letra i y 25) </w:t>
      </w:r>
      <w:r>
        <w:rPr>
          <w:rFonts w:ascii="Times New Roman" w:hAnsi="Times New Roman" w:cs="Times New Roman"/>
          <w:sz w:val="24"/>
          <w:szCs w:val="24"/>
        </w:rPr>
        <w:t xml:space="preserve"> y el penal</w:t>
      </w:r>
      <w:r w:rsidR="001916BC">
        <w:rPr>
          <w:rFonts w:ascii="Times New Roman" w:hAnsi="Times New Roman" w:cs="Times New Roman"/>
          <w:sz w:val="24"/>
          <w:szCs w:val="24"/>
        </w:rPr>
        <w:t xml:space="preserve"> (arts. 368 y ss. del Código Penal).</w:t>
      </w:r>
    </w:p>
    <w:p w:rsidR="002F79E8" w:rsidRDefault="002F79E8" w:rsidP="002F79E8">
      <w:pPr>
        <w:pStyle w:val="Prrafodelista"/>
        <w:ind w:left="360"/>
        <w:rPr>
          <w:rFonts w:ascii="Times New Roman" w:hAnsi="Times New Roman" w:cs="Times New Roman"/>
          <w:sz w:val="24"/>
          <w:szCs w:val="24"/>
        </w:rPr>
      </w:pPr>
    </w:p>
    <w:p w:rsidR="00CF452F" w:rsidRPr="00DF3379" w:rsidRDefault="00CF452F" w:rsidP="00CF452F">
      <w:pPr>
        <w:pStyle w:val="Ttulo1"/>
        <w:numPr>
          <w:ilvl w:val="0"/>
          <w:numId w:val="8"/>
        </w:numPr>
        <w:rPr>
          <w:rFonts w:ascii="Times New Roman" w:hAnsi="Times New Roman" w:cs="Times New Roman"/>
          <w:color w:val="auto"/>
          <w:sz w:val="24"/>
          <w:szCs w:val="24"/>
        </w:rPr>
      </w:pPr>
      <w:bookmarkStart w:id="1" w:name="_Toc393739386"/>
      <w:r w:rsidRPr="00DF3379">
        <w:rPr>
          <w:rFonts w:ascii="Times New Roman" w:hAnsi="Times New Roman" w:cs="Times New Roman"/>
          <w:color w:val="auto"/>
          <w:sz w:val="24"/>
          <w:szCs w:val="24"/>
        </w:rPr>
        <w:t>DEFINICIÓN DE DROGA. OBJETO MATERIAL</w:t>
      </w:r>
      <w:bookmarkEnd w:id="1"/>
    </w:p>
    <w:p w:rsidR="00CF452F" w:rsidRDefault="00CF452F" w:rsidP="00CF452F">
      <w:pPr>
        <w:pStyle w:val="Prrafodelista"/>
        <w:ind w:left="360"/>
        <w:rPr>
          <w:rFonts w:ascii="Times New Roman" w:hAnsi="Times New Roman" w:cs="Times New Roman"/>
          <w:sz w:val="24"/>
          <w:szCs w:val="24"/>
        </w:rPr>
      </w:pPr>
      <w:r>
        <w:rPr>
          <w:rFonts w:ascii="Times New Roman" w:hAnsi="Times New Roman" w:cs="Times New Roman"/>
          <w:sz w:val="24"/>
          <w:szCs w:val="24"/>
        </w:rPr>
        <w:t xml:space="preserve">En este apartado se va a explicar cuál es el objeto material del delito del tráfico de drogas. Para ello, nuestro Código Penal en su artículo 368 (tipo base) hace referencia  a las </w:t>
      </w:r>
      <w:r w:rsidRPr="00710B6A">
        <w:rPr>
          <w:rFonts w:ascii="Times New Roman" w:hAnsi="Times New Roman" w:cs="Times New Roman"/>
          <w:i/>
          <w:sz w:val="24"/>
          <w:szCs w:val="24"/>
        </w:rPr>
        <w:t>drogas tóxicas, estupefacientes y sustancias psicotrópicas</w:t>
      </w:r>
      <w:r>
        <w:rPr>
          <w:rFonts w:ascii="Times New Roman" w:hAnsi="Times New Roman" w:cs="Times New Roman"/>
          <w:sz w:val="24"/>
          <w:szCs w:val="24"/>
        </w:rPr>
        <w:t>, pero no nos da  una definición ni siquiera aproximada de lo que son este tipo de sustancias. Por esta razón, la doctrina se mantiene dividida en dos opiniones:</w:t>
      </w:r>
    </w:p>
    <w:p w:rsidR="00CF452F" w:rsidRDefault="00CF452F" w:rsidP="00CF452F">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Por un lado, una parte de ella establece que el mencionado artículo 368 es un tipo penal completo.</w:t>
      </w:r>
    </w:p>
    <w:p w:rsidR="00CF452F" w:rsidRDefault="00176029" w:rsidP="00CF452F">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Del otro lado, el</w:t>
      </w:r>
      <w:r w:rsidR="00CF452F">
        <w:rPr>
          <w:rFonts w:ascii="Times New Roman" w:hAnsi="Times New Roman" w:cs="Times New Roman"/>
          <w:sz w:val="24"/>
          <w:szCs w:val="24"/>
        </w:rPr>
        <w:t xml:space="preserve"> sector doctrinal</w:t>
      </w:r>
      <w:r>
        <w:rPr>
          <w:rFonts w:ascii="Times New Roman" w:hAnsi="Times New Roman" w:cs="Times New Roman"/>
          <w:sz w:val="24"/>
          <w:szCs w:val="24"/>
        </w:rPr>
        <w:t xml:space="preserve"> contrario,</w:t>
      </w:r>
      <w:r w:rsidR="00CF452F">
        <w:rPr>
          <w:rFonts w:ascii="Times New Roman" w:hAnsi="Times New Roman" w:cs="Times New Roman"/>
          <w:sz w:val="24"/>
          <w:szCs w:val="24"/>
        </w:rPr>
        <w:t xml:space="preserve"> parte de la base de que el citado 368 es un tipo penal en blanco; postura más aceptada y de la cual es mayoritaria la jurisprudencia del Tribunal Supremo. El Alto Tribunal establece que este tipo penal en blanco nos remite a la normativa extrapenal, más concretamente a las listas anexas de los Convenios Internacionales a los cuales España se ha adherido para poder clasificar </w:t>
      </w:r>
      <w:r w:rsidR="00CF452F">
        <w:rPr>
          <w:rFonts w:ascii="Times New Roman" w:hAnsi="Times New Roman" w:cs="Times New Roman"/>
          <w:sz w:val="24"/>
          <w:szCs w:val="24"/>
        </w:rPr>
        <w:lastRenderedPageBreak/>
        <w:t>y/o definir los diferentes tipos de sustancias y poder incorporarlas o incluirlas en las citadas listas a través de Órdenes Ministeriales o Reglamentos.</w:t>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 xml:space="preserve">Hay que tener presente que la referencia del tipo base a lo que son drogas tóxicas, estupefacientes y sustancias psicotrópicas no se representa con la idea de que partimos de tres sustancias diferentes de manera general, sino que lo que se intenta trascribir es que los </w:t>
      </w:r>
      <w:r w:rsidRPr="00710B6A">
        <w:rPr>
          <w:rFonts w:ascii="Times New Roman" w:hAnsi="Times New Roman" w:cs="Times New Roman"/>
          <w:sz w:val="24"/>
          <w:szCs w:val="24"/>
        </w:rPr>
        <w:t xml:space="preserve">estupefacientes </w:t>
      </w:r>
      <w:r>
        <w:rPr>
          <w:rFonts w:ascii="Times New Roman" w:hAnsi="Times New Roman" w:cs="Times New Roman"/>
          <w:sz w:val="24"/>
          <w:szCs w:val="24"/>
        </w:rPr>
        <w:t xml:space="preserve">forman en realidad una clase de droga, y con el término </w:t>
      </w:r>
      <w:r w:rsidRPr="00710B6A">
        <w:rPr>
          <w:rFonts w:ascii="Times New Roman" w:hAnsi="Times New Roman" w:cs="Times New Roman"/>
          <w:sz w:val="24"/>
          <w:szCs w:val="24"/>
        </w:rPr>
        <w:t>sustancias psicotrópicas</w:t>
      </w:r>
      <w:r>
        <w:rPr>
          <w:rFonts w:ascii="Times New Roman" w:hAnsi="Times New Roman" w:cs="Times New Roman"/>
          <w:sz w:val="24"/>
          <w:szCs w:val="24"/>
        </w:rPr>
        <w:t xml:space="preserve"> se hace versión a sus efectos sobre el organismo de</w:t>
      </w:r>
      <w:r w:rsidR="009C24D6">
        <w:rPr>
          <w:rFonts w:ascii="Times New Roman" w:hAnsi="Times New Roman" w:cs="Times New Roman"/>
          <w:sz w:val="24"/>
          <w:szCs w:val="24"/>
        </w:rPr>
        <w:t xml:space="preserve"> la persona (del griego </w:t>
      </w:r>
      <w:proofErr w:type="spellStart"/>
      <w:r w:rsidR="009C24D6">
        <w:rPr>
          <w:rFonts w:ascii="Times New Roman" w:hAnsi="Times New Roman" w:cs="Times New Roman"/>
          <w:sz w:val="24"/>
          <w:szCs w:val="24"/>
        </w:rPr>
        <w:t>psyche</w:t>
      </w:r>
      <w:proofErr w:type="spellEnd"/>
      <w:r w:rsidR="009C24D6">
        <w:rPr>
          <w:rFonts w:ascii="Times New Roman" w:hAnsi="Times New Roman" w:cs="Times New Roman"/>
          <w:sz w:val="24"/>
          <w:szCs w:val="24"/>
        </w:rPr>
        <w:t xml:space="preserve"> «mente», y </w:t>
      </w:r>
      <w:proofErr w:type="spellStart"/>
      <w:r w:rsidR="009C24D6">
        <w:rPr>
          <w:rFonts w:ascii="Times New Roman" w:hAnsi="Times New Roman" w:cs="Times New Roman"/>
          <w:sz w:val="24"/>
          <w:szCs w:val="24"/>
        </w:rPr>
        <w:t>tropein</w:t>
      </w:r>
      <w:proofErr w:type="spellEnd"/>
      <w:r w:rsidR="009C24D6">
        <w:rPr>
          <w:rFonts w:ascii="Times New Roman" w:hAnsi="Times New Roman" w:cs="Times New Roman"/>
          <w:sz w:val="24"/>
          <w:szCs w:val="24"/>
        </w:rPr>
        <w:t xml:space="preserve"> «tornar»</w:t>
      </w:r>
      <w:r>
        <w:rPr>
          <w:rFonts w:ascii="Times New Roman" w:hAnsi="Times New Roman" w:cs="Times New Roman"/>
          <w:sz w:val="24"/>
          <w:szCs w:val="24"/>
        </w:rPr>
        <w:t>)</w:t>
      </w:r>
      <w:r>
        <w:rPr>
          <w:rStyle w:val="Refdenotaalpie"/>
          <w:rFonts w:ascii="Times New Roman" w:hAnsi="Times New Roman" w:cs="Times New Roman"/>
          <w:sz w:val="24"/>
          <w:szCs w:val="24"/>
        </w:rPr>
        <w:footnoteReference w:id="4"/>
      </w:r>
      <w:r>
        <w:rPr>
          <w:rFonts w:ascii="Times New Roman" w:hAnsi="Times New Roman" w:cs="Times New Roman"/>
          <w:sz w:val="24"/>
          <w:szCs w:val="24"/>
        </w:rPr>
        <w:t xml:space="preserve">. </w:t>
      </w:r>
    </w:p>
    <w:p w:rsidR="00CF452F" w:rsidRDefault="00CF452F" w:rsidP="00CF452F">
      <w:pPr>
        <w:ind w:left="360"/>
        <w:rPr>
          <w:rFonts w:ascii="Times New Roman" w:hAnsi="Times New Roman" w:cs="Times New Roman"/>
          <w:sz w:val="24"/>
          <w:szCs w:val="24"/>
        </w:rPr>
      </w:pP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Ahora bien, hay que entender por estupefaciente las sustancias que se encuentran comprendidas en las listas I y II del Convenio único de 1961, “</w:t>
      </w:r>
      <w:r w:rsidRPr="00FA7312">
        <w:rPr>
          <w:rFonts w:ascii="Times New Roman" w:hAnsi="Times New Roman" w:cs="Times New Roman"/>
          <w:i/>
          <w:sz w:val="24"/>
          <w:szCs w:val="24"/>
        </w:rPr>
        <w:t>ya sean naturales o sintéticas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
      </w:r>
      <w:r>
        <w:rPr>
          <w:rFonts w:ascii="Times New Roman" w:hAnsi="Times New Roman" w:cs="Times New Roman"/>
          <w:sz w:val="24"/>
          <w:szCs w:val="24"/>
        </w:rPr>
        <w:t>, y aquellas que adquieran tal consideración en el ámbito internacional, inclusive lo que se declare dentro del territorio nacional, en este caso España.</w:t>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Del mismo modo, hay que determinar qué se entiende por psicotrópicos. Éstos tienen su regulación en el RD 2829/1977, de 6 de octubre, de acuerdo con el Convenio sobre sustancias psicotrópicas de Viena de 21 de febrero de 1971. El citado texto legal entiende por sustancia psicotrópica “</w:t>
      </w:r>
      <w:r>
        <w:rPr>
          <w:rFonts w:ascii="Times New Roman" w:hAnsi="Times New Roman" w:cs="Times New Roman"/>
          <w:i/>
          <w:sz w:val="24"/>
          <w:szCs w:val="24"/>
        </w:rPr>
        <w:t>cualquier sustancia, natural o sintética, o cualquier material natural de la Lista I, II, III y IV”</w:t>
      </w:r>
      <w:r>
        <w:rPr>
          <w:rStyle w:val="Refdenotaalpie"/>
          <w:rFonts w:ascii="Times New Roman" w:hAnsi="Times New Roman" w:cs="Times New Roman"/>
          <w:i/>
          <w:sz w:val="24"/>
          <w:szCs w:val="24"/>
        </w:rPr>
        <w:footnoteReference w:id="6"/>
      </w:r>
      <w:r>
        <w:rPr>
          <w:rFonts w:ascii="Times New Roman" w:hAnsi="Times New Roman" w:cs="Times New Roman"/>
          <w:sz w:val="24"/>
          <w:szCs w:val="24"/>
        </w:rPr>
        <w:t>.</w:t>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A modo de ejemplo se pueden citar:</w:t>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 xml:space="preserve">En la Lista I del anexo del citado Convenio aparecen sustancias como </w:t>
      </w:r>
      <w:proofErr w:type="spellStart"/>
      <w:r>
        <w:rPr>
          <w:rFonts w:ascii="Times New Roman" w:hAnsi="Times New Roman" w:cs="Times New Roman"/>
          <w:i/>
          <w:sz w:val="24"/>
          <w:szCs w:val="24"/>
        </w:rPr>
        <w:t>mascalina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psilocina</w:t>
      </w:r>
      <w:proofErr w:type="spellEnd"/>
      <w:r>
        <w:rPr>
          <w:rFonts w:ascii="Times New Roman" w:hAnsi="Times New Roman" w:cs="Times New Roman"/>
          <w:i/>
          <w:sz w:val="24"/>
          <w:szCs w:val="24"/>
        </w:rPr>
        <w:t xml:space="preserve"> o </w:t>
      </w:r>
      <w:proofErr w:type="spellStart"/>
      <w:r>
        <w:rPr>
          <w:rFonts w:ascii="Times New Roman" w:hAnsi="Times New Roman" w:cs="Times New Roman"/>
          <w:i/>
          <w:sz w:val="24"/>
          <w:szCs w:val="24"/>
        </w:rPr>
        <w:t>tetrahidrocannabinoles</w:t>
      </w:r>
      <w:proofErr w:type="spellEnd"/>
      <w:r>
        <w:rPr>
          <w:rFonts w:ascii="Times New Roman" w:hAnsi="Times New Roman" w:cs="Times New Roman"/>
          <w:i/>
          <w:sz w:val="24"/>
          <w:szCs w:val="24"/>
        </w:rPr>
        <w:t xml:space="preserve"> todos los </w:t>
      </w:r>
      <w:proofErr w:type="spellStart"/>
      <w:r>
        <w:rPr>
          <w:rFonts w:ascii="Times New Roman" w:hAnsi="Times New Roman" w:cs="Times New Roman"/>
          <w:i/>
          <w:sz w:val="24"/>
          <w:szCs w:val="24"/>
        </w:rPr>
        <w:t>isómetros</w:t>
      </w:r>
      <w:proofErr w:type="spellEnd"/>
      <w:r>
        <w:rPr>
          <w:rFonts w:ascii="Times New Roman" w:hAnsi="Times New Roman" w:cs="Times New Roman"/>
          <w:i/>
          <w:sz w:val="24"/>
          <w:szCs w:val="24"/>
        </w:rPr>
        <w:t>.</w:t>
      </w:r>
    </w:p>
    <w:p w:rsidR="00CF452F" w:rsidRDefault="00CF452F" w:rsidP="00CF452F">
      <w:pPr>
        <w:ind w:left="360"/>
        <w:rPr>
          <w:rFonts w:ascii="Times New Roman" w:hAnsi="Times New Roman" w:cs="Times New Roman"/>
          <w:i/>
          <w:sz w:val="24"/>
          <w:szCs w:val="24"/>
        </w:rPr>
      </w:pPr>
      <w:r>
        <w:rPr>
          <w:rFonts w:ascii="Times New Roman" w:hAnsi="Times New Roman" w:cs="Times New Roman"/>
          <w:sz w:val="24"/>
          <w:szCs w:val="24"/>
        </w:rPr>
        <w:t xml:space="preserve">En la Lista II se plasman elementos como </w:t>
      </w:r>
      <w:r>
        <w:rPr>
          <w:rFonts w:ascii="Times New Roman" w:hAnsi="Times New Roman" w:cs="Times New Roman"/>
          <w:i/>
          <w:sz w:val="24"/>
          <w:szCs w:val="24"/>
        </w:rPr>
        <w:t xml:space="preserve">anfetamina, metanfetamina y </w:t>
      </w:r>
      <w:proofErr w:type="spellStart"/>
      <w:r>
        <w:rPr>
          <w:rFonts w:ascii="Times New Roman" w:hAnsi="Times New Roman" w:cs="Times New Roman"/>
          <w:i/>
          <w:sz w:val="24"/>
          <w:szCs w:val="24"/>
        </w:rPr>
        <w:t>fenmetracian</w:t>
      </w:r>
      <w:proofErr w:type="spellEnd"/>
      <w:r>
        <w:rPr>
          <w:rFonts w:ascii="Times New Roman" w:hAnsi="Times New Roman" w:cs="Times New Roman"/>
          <w:i/>
          <w:sz w:val="24"/>
          <w:szCs w:val="24"/>
        </w:rPr>
        <w:t>.</w:t>
      </w:r>
    </w:p>
    <w:p w:rsidR="00CF452F" w:rsidRDefault="00CF452F" w:rsidP="00CF452F">
      <w:pPr>
        <w:ind w:left="360"/>
        <w:rPr>
          <w:rFonts w:ascii="Times New Roman" w:hAnsi="Times New Roman" w:cs="Times New Roman"/>
          <w:i/>
          <w:sz w:val="24"/>
          <w:szCs w:val="24"/>
        </w:rPr>
      </w:pPr>
      <w:r>
        <w:rPr>
          <w:rFonts w:ascii="Times New Roman" w:hAnsi="Times New Roman" w:cs="Times New Roman"/>
          <w:sz w:val="24"/>
          <w:szCs w:val="24"/>
        </w:rPr>
        <w:t xml:space="preserve">En la Lista III surgen componentes tales como </w:t>
      </w:r>
      <w:proofErr w:type="spellStart"/>
      <w:r>
        <w:rPr>
          <w:rFonts w:ascii="Times New Roman" w:hAnsi="Times New Roman" w:cs="Times New Roman"/>
          <w:i/>
          <w:sz w:val="24"/>
          <w:szCs w:val="24"/>
        </w:rPr>
        <w:t>a</w:t>
      </w:r>
      <w:r w:rsidRPr="002F42C5">
        <w:rPr>
          <w:rFonts w:ascii="Times New Roman" w:hAnsi="Times New Roman" w:cs="Times New Roman"/>
          <w:i/>
          <w:sz w:val="24"/>
          <w:szCs w:val="24"/>
        </w:rPr>
        <w:t>mobarbital</w:t>
      </w:r>
      <w:proofErr w:type="spellEnd"/>
      <w:r>
        <w:rPr>
          <w:rFonts w:ascii="Times New Roman" w:hAnsi="Times New Roman" w:cs="Times New Roman"/>
          <w:sz w:val="24"/>
          <w:szCs w:val="24"/>
        </w:rPr>
        <w:t xml:space="preserve"> o </w:t>
      </w:r>
      <w:proofErr w:type="spellStart"/>
      <w:r>
        <w:rPr>
          <w:rFonts w:ascii="Times New Roman" w:hAnsi="Times New Roman" w:cs="Times New Roman"/>
          <w:i/>
          <w:sz w:val="24"/>
          <w:szCs w:val="24"/>
        </w:rPr>
        <w:t>p</w:t>
      </w:r>
      <w:r w:rsidRPr="002F42C5">
        <w:rPr>
          <w:rFonts w:ascii="Times New Roman" w:hAnsi="Times New Roman" w:cs="Times New Roman"/>
          <w:i/>
          <w:sz w:val="24"/>
          <w:szCs w:val="24"/>
        </w:rPr>
        <w:t>entobarbital</w:t>
      </w:r>
      <w:proofErr w:type="spellEnd"/>
      <w:r>
        <w:rPr>
          <w:rFonts w:ascii="Times New Roman" w:hAnsi="Times New Roman" w:cs="Times New Roman"/>
          <w:i/>
          <w:sz w:val="24"/>
          <w:szCs w:val="24"/>
        </w:rPr>
        <w:t>.</w:t>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 xml:space="preserve">Y en la Lista IV figuran drogas como </w:t>
      </w:r>
      <w:proofErr w:type="spellStart"/>
      <w:r>
        <w:rPr>
          <w:rFonts w:ascii="Times New Roman" w:hAnsi="Times New Roman" w:cs="Times New Roman"/>
          <w:i/>
          <w:sz w:val="24"/>
          <w:szCs w:val="24"/>
        </w:rPr>
        <w:t>pipradol</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metiprilona</w:t>
      </w:r>
      <w:proofErr w:type="spellEnd"/>
      <w:r>
        <w:rPr>
          <w:rFonts w:ascii="Times New Roman" w:hAnsi="Times New Roman" w:cs="Times New Roman"/>
          <w:i/>
          <w:sz w:val="24"/>
          <w:szCs w:val="24"/>
        </w:rPr>
        <w:t xml:space="preserve">, </w:t>
      </w:r>
      <w:proofErr w:type="spellStart"/>
      <w:r>
        <w:rPr>
          <w:rFonts w:ascii="Times New Roman" w:hAnsi="Times New Roman" w:cs="Times New Roman"/>
          <w:i/>
          <w:sz w:val="24"/>
          <w:szCs w:val="24"/>
        </w:rPr>
        <w:t>etinamalo</w:t>
      </w:r>
      <w:proofErr w:type="spellEnd"/>
      <w:r>
        <w:rPr>
          <w:rFonts w:ascii="Times New Roman" w:hAnsi="Times New Roman" w:cs="Times New Roman"/>
          <w:i/>
          <w:sz w:val="24"/>
          <w:szCs w:val="24"/>
        </w:rPr>
        <w:t xml:space="preserve">, </w:t>
      </w:r>
      <w:r>
        <w:rPr>
          <w:rFonts w:ascii="Times New Roman" w:hAnsi="Times New Roman" w:cs="Times New Roman"/>
          <w:sz w:val="24"/>
          <w:szCs w:val="24"/>
        </w:rPr>
        <w:t>etc.</w:t>
      </w:r>
      <w:r>
        <w:rPr>
          <w:rStyle w:val="Refdenotaalpie"/>
          <w:rFonts w:ascii="Times New Roman" w:hAnsi="Times New Roman" w:cs="Times New Roman"/>
          <w:sz w:val="24"/>
          <w:szCs w:val="24"/>
        </w:rPr>
        <w:footnoteReference w:id="7"/>
      </w:r>
    </w:p>
    <w:p w:rsidR="00CF452F" w:rsidRDefault="00CF452F" w:rsidP="00CF452F">
      <w:pPr>
        <w:rPr>
          <w:rFonts w:ascii="Times New Roman" w:hAnsi="Times New Roman" w:cs="Times New Roman"/>
          <w:sz w:val="24"/>
          <w:szCs w:val="24"/>
        </w:rPr>
      </w:pPr>
    </w:p>
    <w:p w:rsidR="00CF452F" w:rsidRDefault="00CF452F" w:rsidP="00CF452F">
      <w:pPr>
        <w:ind w:left="360"/>
        <w:rPr>
          <w:rFonts w:ascii="Times New Roman" w:hAnsi="Times New Roman" w:cs="Times New Roman"/>
          <w:i/>
          <w:sz w:val="24"/>
          <w:szCs w:val="24"/>
        </w:rPr>
      </w:pPr>
      <w:r>
        <w:rPr>
          <w:rFonts w:ascii="Times New Roman" w:hAnsi="Times New Roman" w:cs="Times New Roman"/>
          <w:sz w:val="24"/>
          <w:szCs w:val="24"/>
        </w:rPr>
        <w:t xml:space="preserve">Según la </w:t>
      </w:r>
      <w:r w:rsidR="009C5C26">
        <w:rPr>
          <w:rFonts w:ascii="Times New Roman" w:hAnsi="Times New Roman" w:cs="Times New Roman"/>
          <w:b/>
          <w:sz w:val="24"/>
          <w:szCs w:val="24"/>
        </w:rPr>
        <w:t>STS 1680/1996 de 18 de marzo</w:t>
      </w:r>
      <w:r>
        <w:rPr>
          <w:rFonts w:ascii="Times New Roman" w:hAnsi="Times New Roman" w:cs="Times New Roman"/>
          <w:sz w:val="24"/>
          <w:szCs w:val="24"/>
        </w:rPr>
        <w:t>, “</w:t>
      </w:r>
      <w:r>
        <w:rPr>
          <w:rFonts w:ascii="Times New Roman" w:hAnsi="Times New Roman" w:cs="Times New Roman"/>
          <w:i/>
          <w:sz w:val="24"/>
          <w:szCs w:val="24"/>
        </w:rPr>
        <w:t>La droga en general es, cualquiera que sea su uso, todo preparado o sustancia medicamentosa de efecto estimulante, deprimente, narcótico o alucinógeno. Son productos que afectan de una u otra forma a la psiquis de la persona humana, aunque en el mercado existe una gran diversidad de usos al respecto”</w:t>
      </w:r>
      <w:r w:rsidRPr="002A5B9F">
        <w:rPr>
          <w:rStyle w:val="Refdenotaalpie"/>
          <w:rFonts w:ascii="Times New Roman" w:hAnsi="Times New Roman" w:cs="Times New Roman"/>
          <w:sz w:val="24"/>
          <w:szCs w:val="24"/>
        </w:rPr>
        <w:footnoteReference w:id="8"/>
      </w: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lastRenderedPageBreak/>
        <w:t xml:space="preserve">Otra </w:t>
      </w:r>
      <w:r>
        <w:rPr>
          <w:rFonts w:ascii="Times New Roman" w:hAnsi="Times New Roman" w:cs="Times New Roman"/>
          <w:b/>
          <w:sz w:val="24"/>
          <w:szCs w:val="24"/>
        </w:rPr>
        <w:t xml:space="preserve">Sentencia del Tribunal Supremo, STS 4888/1991 de 27 de septiembre, </w:t>
      </w:r>
      <w:r>
        <w:rPr>
          <w:rFonts w:ascii="Times New Roman" w:hAnsi="Times New Roman" w:cs="Times New Roman"/>
          <w:sz w:val="24"/>
          <w:szCs w:val="24"/>
        </w:rPr>
        <w:t>ya apuntaba que para reconocer una droga tóxica, sustancia psicotrópi</w:t>
      </w:r>
      <w:r w:rsidR="008F6564">
        <w:rPr>
          <w:rFonts w:ascii="Times New Roman" w:hAnsi="Times New Roman" w:cs="Times New Roman"/>
          <w:sz w:val="24"/>
          <w:szCs w:val="24"/>
        </w:rPr>
        <w:t xml:space="preserve">ca o estupefaciente, bastará con </w:t>
      </w:r>
      <w:r>
        <w:rPr>
          <w:rFonts w:ascii="Times New Roman" w:hAnsi="Times New Roman" w:cs="Times New Roman"/>
          <w:sz w:val="24"/>
          <w:szCs w:val="24"/>
        </w:rPr>
        <w:t>que el objeto incautado pueda integrarse dentro de uno de los tres conceptos, independientemente de que se halle integrado en los Convenios.</w:t>
      </w:r>
    </w:p>
    <w:p w:rsidR="00CF452F" w:rsidRPr="0049569B" w:rsidRDefault="00CF452F" w:rsidP="00CF452F">
      <w:pPr>
        <w:ind w:left="360"/>
        <w:rPr>
          <w:rFonts w:ascii="Times New Roman" w:hAnsi="Times New Roman" w:cs="Times New Roman"/>
          <w:sz w:val="24"/>
          <w:szCs w:val="24"/>
        </w:rPr>
      </w:pP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 xml:space="preserve">A la hora de definir lo que es droga tóxica se pueden acudir a varios significados aportados por la doctrina y jurisprudencia. La </w:t>
      </w:r>
      <w:r>
        <w:rPr>
          <w:rFonts w:ascii="Times New Roman" w:hAnsi="Times New Roman" w:cs="Times New Roman"/>
          <w:b/>
          <w:sz w:val="24"/>
          <w:szCs w:val="24"/>
        </w:rPr>
        <w:t xml:space="preserve">STS 8041/2012 de 31 de octubre </w:t>
      </w:r>
      <w:r>
        <w:rPr>
          <w:rFonts w:ascii="Times New Roman" w:hAnsi="Times New Roman" w:cs="Times New Roman"/>
          <w:sz w:val="24"/>
          <w:szCs w:val="24"/>
        </w:rPr>
        <w:t xml:space="preserve"> nos habla de: “</w:t>
      </w:r>
      <w:r>
        <w:rPr>
          <w:rFonts w:ascii="Times New Roman" w:hAnsi="Times New Roman" w:cs="Times New Roman"/>
          <w:i/>
          <w:sz w:val="24"/>
          <w:szCs w:val="24"/>
        </w:rPr>
        <w:t xml:space="preserve">cualquier sustancia, terapéutica o no, que introducida en el organismo por cualquier mecanismo (ingestión, inhalación, administración intramuscular o intravenosa, etc.) es capaz de actuar sobre el sistema nervioso central del consumidor provocando un cambio en su comportamiento, ya sea una alteración física o intelectual, una experimentación de nuevas sensaciones o una modificación de su estado psíquico caracterizado por: 1.- el deseo abrumador o necesidad de continuar consumiendo (dependencia psíquica). 2.- necesidad de aumentar la dosis para aumentar los mismos efectos (tolerancia). 3.- </w:t>
      </w:r>
      <w:proofErr w:type="gramStart"/>
      <w:r>
        <w:rPr>
          <w:rFonts w:ascii="Times New Roman" w:hAnsi="Times New Roman" w:cs="Times New Roman"/>
          <w:i/>
          <w:sz w:val="24"/>
          <w:szCs w:val="24"/>
        </w:rPr>
        <w:t>la</w:t>
      </w:r>
      <w:proofErr w:type="gramEnd"/>
      <w:r>
        <w:rPr>
          <w:rFonts w:ascii="Times New Roman" w:hAnsi="Times New Roman" w:cs="Times New Roman"/>
          <w:i/>
          <w:sz w:val="24"/>
          <w:szCs w:val="24"/>
        </w:rPr>
        <w:t xml:space="preserve"> dependencia física u orgánica de los efectos de la sustancia (que hace verdaderamente su uso prolongado, para evitar el síndrome de abstinencia)</w:t>
      </w:r>
      <w:r>
        <w:rPr>
          <w:rFonts w:ascii="Times New Roman" w:hAnsi="Times New Roman" w:cs="Times New Roman"/>
          <w:sz w:val="24"/>
          <w:szCs w:val="24"/>
        </w:rPr>
        <w:t>”. Como se puede ver, esta definición y características, pueden interpretarse no como un concepto puramente penal, pues de ser así, el alcohol y el tabaco podrían llegar a fiscalizarse dentro de tal concepto. Se puede decir por tanto, que el término “droga” topa con la inseguridad que puede existir sobre el objeto material y la relación y sujeción a los Convenios Intern</w:t>
      </w:r>
      <w:r w:rsidR="008F6564">
        <w:rPr>
          <w:rFonts w:ascii="Times New Roman" w:hAnsi="Times New Roman" w:cs="Times New Roman"/>
          <w:sz w:val="24"/>
          <w:szCs w:val="24"/>
        </w:rPr>
        <w:t>acionales, pues ya se ha podido contemplar que</w:t>
      </w:r>
      <w:r>
        <w:rPr>
          <w:rFonts w:ascii="Times New Roman" w:hAnsi="Times New Roman" w:cs="Times New Roman"/>
          <w:sz w:val="24"/>
          <w:szCs w:val="24"/>
        </w:rPr>
        <w:t xml:space="preserve"> las definiciones que éstos dan de estas sustancias son cuanto menos vagas, remitiéndose al contenido de las listas anexas a estos Convenios. Por esta razón, lo único seguro es que objeto material del delito de tráfico de drogas será toda sustancia que esté incluida dentro de estas listas.</w:t>
      </w:r>
    </w:p>
    <w:p w:rsidR="00CF452F" w:rsidRDefault="00CF452F" w:rsidP="00CF452F">
      <w:pPr>
        <w:ind w:left="360"/>
        <w:rPr>
          <w:rFonts w:ascii="Times New Roman" w:hAnsi="Times New Roman" w:cs="Times New Roman"/>
          <w:sz w:val="24"/>
          <w:szCs w:val="24"/>
        </w:rPr>
      </w:pPr>
    </w:p>
    <w:p w:rsidR="00CF452F" w:rsidRDefault="005F7BA7" w:rsidP="005F7BA7">
      <w:pPr>
        <w:ind w:left="360"/>
        <w:rPr>
          <w:rFonts w:ascii="Times New Roman" w:hAnsi="Times New Roman" w:cs="Times New Roman"/>
          <w:sz w:val="24"/>
          <w:szCs w:val="24"/>
        </w:rPr>
      </w:pPr>
      <w:r>
        <w:rPr>
          <w:rFonts w:ascii="Times New Roman" w:hAnsi="Times New Roman" w:cs="Times New Roman"/>
          <w:sz w:val="24"/>
          <w:szCs w:val="24"/>
        </w:rPr>
        <w:t xml:space="preserve">Postura destacable </w:t>
      </w:r>
      <w:r w:rsidR="00CF452F">
        <w:rPr>
          <w:rFonts w:ascii="Times New Roman" w:hAnsi="Times New Roman" w:cs="Times New Roman"/>
          <w:sz w:val="24"/>
          <w:szCs w:val="24"/>
        </w:rPr>
        <w:t>es la que mantiene el autor SÁNCHEZ TOMÁS, que considera que “</w:t>
      </w:r>
      <w:r w:rsidR="00CF452F" w:rsidRPr="00923567">
        <w:rPr>
          <w:rFonts w:ascii="Times New Roman" w:hAnsi="Times New Roman" w:cs="Times New Roman"/>
          <w:i/>
          <w:sz w:val="24"/>
          <w:szCs w:val="24"/>
        </w:rPr>
        <w:t>el concepto de droga del artículo 368 del CP, es descriptivo y, una vez integrado como sustancia adictiva y que provoca dependencia física o psíquica y tolerancia, permite incluir en el citado artículo sustancias no fiscalizadas en las listas, lo que supone dar a la norma una flexibilidad que de otra forma no tendría</w:t>
      </w:r>
      <w:r w:rsidR="00CF452F">
        <w:rPr>
          <w:rFonts w:ascii="Times New Roman" w:hAnsi="Times New Roman" w:cs="Times New Roman"/>
          <w:sz w:val="24"/>
          <w:szCs w:val="24"/>
        </w:rPr>
        <w:t>”.</w:t>
      </w:r>
      <w:r w:rsidR="00CF452F">
        <w:rPr>
          <w:rStyle w:val="Refdenotaalpie"/>
          <w:rFonts w:ascii="Times New Roman" w:hAnsi="Times New Roman" w:cs="Times New Roman"/>
          <w:sz w:val="24"/>
          <w:szCs w:val="24"/>
        </w:rPr>
        <w:footnoteReference w:id="9"/>
      </w:r>
      <w:r>
        <w:rPr>
          <w:rFonts w:ascii="Times New Roman" w:hAnsi="Times New Roman" w:cs="Times New Roman"/>
          <w:sz w:val="24"/>
          <w:szCs w:val="24"/>
        </w:rPr>
        <w:t xml:space="preserve"> O en</w:t>
      </w:r>
      <w:r w:rsidR="00CF452F">
        <w:rPr>
          <w:rFonts w:ascii="Times New Roman" w:hAnsi="Times New Roman" w:cs="Times New Roman"/>
          <w:sz w:val="24"/>
          <w:szCs w:val="24"/>
        </w:rPr>
        <w:t xml:space="preserve"> palabras de Óscar Morales García: “</w:t>
      </w:r>
      <w:r w:rsidR="00CF452F" w:rsidRPr="00710B6A">
        <w:rPr>
          <w:rFonts w:ascii="Times New Roman" w:hAnsi="Times New Roman" w:cs="Times New Roman"/>
          <w:i/>
          <w:sz w:val="24"/>
          <w:szCs w:val="24"/>
        </w:rPr>
        <w:t xml:space="preserve">Ni la consideración del artículo 368 como norma penal en blanco cuestiona su constitucionalidad (pues supuesto y consecuencia se hallan perfectamente delimitadas en </w:t>
      </w:r>
      <w:r w:rsidR="00CF452F" w:rsidRPr="00710B6A">
        <w:rPr>
          <w:rFonts w:ascii="Times New Roman" w:hAnsi="Times New Roman" w:cs="Times New Roman"/>
          <w:i/>
          <w:sz w:val="24"/>
          <w:szCs w:val="24"/>
        </w:rPr>
        <w:lastRenderedPageBreak/>
        <w:t>el tipo) ni se hace precisa la constitución de un catálogo de sustancias lesivas a modo de &lt;numerus clausus&gt;, propugnada por algún autor, pues la constante dinamización del</w:t>
      </w:r>
      <w:r w:rsidR="00CF452F">
        <w:rPr>
          <w:rFonts w:ascii="Times New Roman" w:hAnsi="Times New Roman" w:cs="Times New Roman"/>
          <w:sz w:val="24"/>
          <w:szCs w:val="24"/>
        </w:rPr>
        <w:t xml:space="preserve"> </w:t>
      </w:r>
      <w:r w:rsidR="00CF452F" w:rsidRPr="00710B6A">
        <w:rPr>
          <w:rFonts w:ascii="Times New Roman" w:hAnsi="Times New Roman" w:cs="Times New Roman"/>
          <w:i/>
          <w:sz w:val="24"/>
          <w:szCs w:val="24"/>
        </w:rPr>
        <w:t>mercado provocaría una constante actualización del mismo, cuyo efecto en absoluto se diferencia de aquel provocado por los Tratados y sus Anexos de actualización</w:t>
      </w:r>
      <w:r w:rsidR="00CF452F">
        <w:rPr>
          <w:rFonts w:ascii="Times New Roman" w:hAnsi="Times New Roman" w:cs="Times New Roman"/>
          <w:sz w:val="24"/>
          <w:szCs w:val="24"/>
        </w:rPr>
        <w:t>”</w:t>
      </w:r>
      <w:r w:rsidR="00CF452F">
        <w:rPr>
          <w:rStyle w:val="Refdenotaalpie"/>
          <w:rFonts w:ascii="Times New Roman" w:hAnsi="Times New Roman" w:cs="Times New Roman"/>
          <w:sz w:val="24"/>
          <w:szCs w:val="24"/>
        </w:rPr>
        <w:footnoteReference w:id="10"/>
      </w:r>
    </w:p>
    <w:p w:rsidR="00CF452F" w:rsidRDefault="00CF452F" w:rsidP="00CF452F">
      <w:pPr>
        <w:ind w:left="360"/>
        <w:rPr>
          <w:rFonts w:ascii="Times New Roman" w:hAnsi="Times New Roman" w:cs="Times New Roman"/>
          <w:sz w:val="24"/>
          <w:szCs w:val="24"/>
        </w:rPr>
      </w:pPr>
    </w:p>
    <w:p w:rsidR="00CF452F" w:rsidRDefault="00CF452F" w:rsidP="00CF452F">
      <w:pPr>
        <w:ind w:left="360"/>
        <w:rPr>
          <w:rFonts w:ascii="Times New Roman" w:hAnsi="Times New Roman" w:cs="Times New Roman"/>
          <w:sz w:val="24"/>
          <w:szCs w:val="24"/>
        </w:rPr>
      </w:pPr>
      <w:r>
        <w:rPr>
          <w:rFonts w:ascii="Times New Roman" w:hAnsi="Times New Roman" w:cs="Times New Roman"/>
          <w:sz w:val="24"/>
          <w:szCs w:val="24"/>
        </w:rPr>
        <w:t>En definitiva, el objeto material del delito de tráfico de drogas queda encuadrado y delimitado en los siguientes Convenios Internacionales:</w:t>
      </w:r>
    </w:p>
    <w:p w:rsidR="00CF452F" w:rsidRPr="00BA5900" w:rsidRDefault="00CF452F" w:rsidP="00CF452F">
      <w:pPr>
        <w:pStyle w:val="Prrafodelista"/>
        <w:numPr>
          <w:ilvl w:val="0"/>
          <w:numId w:val="2"/>
        </w:numPr>
        <w:rPr>
          <w:rFonts w:ascii="Times New Roman" w:hAnsi="Times New Roman" w:cs="Times New Roman"/>
          <w:i/>
          <w:sz w:val="24"/>
          <w:szCs w:val="24"/>
        </w:rPr>
      </w:pPr>
      <w:r>
        <w:rPr>
          <w:rFonts w:ascii="Times New Roman" w:hAnsi="Times New Roman" w:cs="Times New Roman"/>
          <w:i/>
          <w:sz w:val="24"/>
          <w:szCs w:val="24"/>
        </w:rPr>
        <w:t>“</w:t>
      </w:r>
      <w:r w:rsidRPr="00BA5900">
        <w:rPr>
          <w:rFonts w:ascii="Times New Roman" w:hAnsi="Times New Roman" w:cs="Times New Roman"/>
          <w:i/>
          <w:sz w:val="24"/>
          <w:szCs w:val="24"/>
        </w:rPr>
        <w:t>Convención Única sobre estupefacientes, firmada en Nueva York el 30-03-1961, enmendada por el Protocolo de Ginebra de 25-03-1972 art. 1 aptado. j, que incluye en esta categoría las sustancias recogidas en las listas I y II.</w:t>
      </w:r>
    </w:p>
    <w:p w:rsidR="00CF452F" w:rsidRPr="00BA5900" w:rsidRDefault="00CF452F" w:rsidP="00CF452F">
      <w:pPr>
        <w:pStyle w:val="Prrafodelista"/>
        <w:numPr>
          <w:ilvl w:val="0"/>
          <w:numId w:val="2"/>
        </w:numPr>
        <w:rPr>
          <w:rFonts w:ascii="Times New Roman" w:hAnsi="Times New Roman" w:cs="Times New Roman"/>
          <w:i/>
          <w:sz w:val="24"/>
          <w:szCs w:val="24"/>
        </w:rPr>
      </w:pPr>
      <w:r w:rsidRPr="00BA5900">
        <w:rPr>
          <w:rFonts w:ascii="Times New Roman" w:hAnsi="Times New Roman" w:cs="Times New Roman"/>
          <w:i/>
          <w:sz w:val="24"/>
          <w:szCs w:val="24"/>
        </w:rPr>
        <w:t>La L 17/1967 art.2, de estupefacientes, que adapta la normativa existente en la citada Convención, e incluye dentro de esta categoría las sustancias recogidas en la Lista IV a efectos penales.</w:t>
      </w:r>
    </w:p>
    <w:p w:rsidR="00CF452F" w:rsidRPr="00BA5900" w:rsidRDefault="00CF452F" w:rsidP="00CF452F">
      <w:pPr>
        <w:pStyle w:val="Prrafodelista"/>
        <w:numPr>
          <w:ilvl w:val="0"/>
          <w:numId w:val="2"/>
        </w:numPr>
        <w:rPr>
          <w:rFonts w:ascii="Times New Roman" w:hAnsi="Times New Roman" w:cs="Times New Roman"/>
          <w:i/>
          <w:sz w:val="24"/>
          <w:szCs w:val="24"/>
        </w:rPr>
      </w:pPr>
      <w:r w:rsidRPr="00BA5900">
        <w:rPr>
          <w:rFonts w:ascii="Times New Roman" w:hAnsi="Times New Roman" w:cs="Times New Roman"/>
          <w:i/>
          <w:sz w:val="24"/>
          <w:szCs w:val="24"/>
        </w:rPr>
        <w:t>El Convenio de Viena de 21-02-1971 art.1 aptado. e, sobre sustancias psicotrópicas, que remite a las Listas I, II, III o IV.</w:t>
      </w:r>
    </w:p>
    <w:p w:rsidR="00CF452F" w:rsidRPr="00BA5900" w:rsidRDefault="00CF452F" w:rsidP="00CF452F">
      <w:pPr>
        <w:pStyle w:val="Prrafodelista"/>
        <w:numPr>
          <w:ilvl w:val="0"/>
          <w:numId w:val="2"/>
        </w:numPr>
        <w:rPr>
          <w:rFonts w:ascii="Times New Roman" w:hAnsi="Times New Roman" w:cs="Times New Roman"/>
          <w:i/>
          <w:sz w:val="24"/>
          <w:szCs w:val="24"/>
        </w:rPr>
      </w:pPr>
      <w:r w:rsidRPr="00BA5900">
        <w:rPr>
          <w:rFonts w:ascii="Times New Roman" w:hAnsi="Times New Roman" w:cs="Times New Roman"/>
          <w:i/>
          <w:sz w:val="24"/>
          <w:szCs w:val="24"/>
        </w:rPr>
        <w:t>Estas listas se reproducen a su vez en el RD 2829/1977 Anexo I, por el que se regula la fabricación, distribución, prescripción y dispensación de sustancias y preparados psicotrópicos.</w:t>
      </w:r>
    </w:p>
    <w:p w:rsidR="00CF452F" w:rsidRDefault="00CF452F" w:rsidP="00CF452F">
      <w:pPr>
        <w:pStyle w:val="Prrafodelista"/>
        <w:numPr>
          <w:ilvl w:val="0"/>
          <w:numId w:val="2"/>
        </w:numPr>
        <w:rPr>
          <w:rFonts w:ascii="Times New Roman" w:hAnsi="Times New Roman" w:cs="Times New Roman"/>
          <w:sz w:val="24"/>
          <w:szCs w:val="24"/>
        </w:rPr>
      </w:pPr>
      <w:r w:rsidRPr="00BA5900">
        <w:rPr>
          <w:rFonts w:ascii="Times New Roman" w:hAnsi="Times New Roman" w:cs="Times New Roman"/>
          <w:i/>
          <w:sz w:val="24"/>
          <w:szCs w:val="24"/>
        </w:rPr>
        <w:t>Por su parte, la Convención de Viena de 10-12-1988 art.1 aptado. n y r., contra el tráfico ilícito de estupefacientes y sustancias psicotrópicas, se remite a las listas contenidas en los instrumentos mencionados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11"/>
      </w:r>
    </w:p>
    <w:p w:rsidR="00CF452F" w:rsidRDefault="00CF452F" w:rsidP="00CF452F"/>
    <w:p w:rsidR="00BA48B3" w:rsidRPr="00CF452F" w:rsidRDefault="00BA48B3" w:rsidP="00CF452F"/>
    <w:p w:rsidR="00CF452F" w:rsidRPr="00CF452F" w:rsidRDefault="00CF452F" w:rsidP="00CF452F">
      <w:pPr>
        <w:pStyle w:val="Prrafodelista"/>
        <w:keepNext/>
        <w:keepLines/>
        <w:numPr>
          <w:ilvl w:val="0"/>
          <w:numId w:val="9"/>
        </w:numPr>
        <w:spacing w:before="200"/>
        <w:contextualSpacing w:val="0"/>
        <w:outlineLvl w:val="1"/>
        <w:rPr>
          <w:rFonts w:asciiTheme="majorHAnsi" w:eastAsiaTheme="majorEastAsia" w:hAnsiTheme="majorHAnsi" w:cstheme="majorBidi"/>
          <w:b/>
          <w:bCs/>
          <w:vanish/>
          <w:color w:val="4F81BD" w:themeColor="accent1"/>
          <w:sz w:val="26"/>
          <w:szCs w:val="26"/>
        </w:rPr>
      </w:pPr>
      <w:bookmarkStart w:id="2" w:name="_Toc392601506"/>
      <w:bookmarkStart w:id="3" w:name="_Toc392603118"/>
      <w:bookmarkStart w:id="4" w:name="_Toc393298653"/>
      <w:bookmarkStart w:id="5" w:name="_Toc393298672"/>
      <w:bookmarkStart w:id="6" w:name="_Toc393301262"/>
      <w:bookmarkStart w:id="7" w:name="_Toc393301707"/>
      <w:bookmarkStart w:id="8" w:name="_Toc393350185"/>
      <w:bookmarkStart w:id="9" w:name="_Toc393729328"/>
      <w:bookmarkStart w:id="10" w:name="_Toc393733860"/>
      <w:bookmarkStart w:id="11" w:name="_Toc393739387"/>
      <w:bookmarkEnd w:id="2"/>
      <w:bookmarkEnd w:id="3"/>
      <w:bookmarkEnd w:id="4"/>
      <w:bookmarkEnd w:id="5"/>
      <w:bookmarkEnd w:id="6"/>
      <w:bookmarkEnd w:id="7"/>
      <w:bookmarkEnd w:id="8"/>
      <w:bookmarkEnd w:id="9"/>
      <w:bookmarkEnd w:id="10"/>
      <w:bookmarkEnd w:id="11"/>
    </w:p>
    <w:p w:rsidR="00CF452F" w:rsidRPr="00CF452F" w:rsidRDefault="00CF452F" w:rsidP="00CF452F">
      <w:pPr>
        <w:pStyle w:val="Prrafodelista"/>
        <w:keepNext/>
        <w:keepLines/>
        <w:numPr>
          <w:ilvl w:val="0"/>
          <w:numId w:val="9"/>
        </w:numPr>
        <w:spacing w:before="200"/>
        <w:contextualSpacing w:val="0"/>
        <w:outlineLvl w:val="1"/>
        <w:rPr>
          <w:rFonts w:asciiTheme="majorHAnsi" w:eastAsiaTheme="majorEastAsia" w:hAnsiTheme="majorHAnsi" w:cstheme="majorBidi"/>
          <w:b/>
          <w:bCs/>
          <w:vanish/>
          <w:color w:val="4F81BD" w:themeColor="accent1"/>
          <w:sz w:val="26"/>
          <w:szCs w:val="26"/>
        </w:rPr>
      </w:pPr>
      <w:bookmarkStart w:id="12" w:name="_Toc392601507"/>
      <w:bookmarkStart w:id="13" w:name="_Toc392603119"/>
      <w:bookmarkStart w:id="14" w:name="_Toc393298654"/>
      <w:bookmarkStart w:id="15" w:name="_Toc393298673"/>
      <w:bookmarkStart w:id="16" w:name="_Toc393301263"/>
      <w:bookmarkStart w:id="17" w:name="_Toc393301708"/>
      <w:bookmarkStart w:id="18" w:name="_Toc393350186"/>
      <w:bookmarkStart w:id="19" w:name="_Toc393729329"/>
      <w:bookmarkStart w:id="20" w:name="_Toc393733861"/>
      <w:bookmarkStart w:id="21" w:name="_Toc393739388"/>
      <w:bookmarkEnd w:id="12"/>
      <w:bookmarkEnd w:id="13"/>
      <w:bookmarkEnd w:id="14"/>
      <w:bookmarkEnd w:id="15"/>
      <w:bookmarkEnd w:id="16"/>
      <w:bookmarkEnd w:id="17"/>
      <w:bookmarkEnd w:id="18"/>
      <w:bookmarkEnd w:id="19"/>
      <w:bookmarkEnd w:id="20"/>
      <w:bookmarkEnd w:id="21"/>
    </w:p>
    <w:p w:rsidR="00CF452F" w:rsidRPr="00DF3379" w:rsidRDefault="00CF452F" w:rsidP="00CF452F">
      <w:pPr>
        <w:pStyle w:val="Ttulo2"/>
        <w:numPr>
          <w:ilvl w:val="1"/>
          <w:numId w:val="9"/>
        </w:numPr>
        <w:rPr>
          <w:rFonts w:ascii="Times New Roman" w:hAnsi="Times New Roman" w:cs="Times New Roman"/>
          <w:sz w:val="24"/>
          <w:szCs w:val="24"/>
        </w:rPr>
      </w:pPr>
      <w:r>
        <w:t xml:space="preserve"> </w:t>
      </w:r>
      <w:bookmarkStart w:id="22" w:name="_Toc393739389"/>
      <w:r w:rsidRPr="00DF3379">
        <w:rPr>
          <w:rFonts w:ascii="Times New Roman" w:hAnsi="Times New Roman" w:cs="Times New Roman"/>
          <w:color w:val="auto"/>
          <w:sz w:val="24"/>
          <w:szCs w:val="24"/>
        </w:rPr>
        <w:t>Relevancia punitiva del tipo de droga: drogas que causen grave daño a la salud  y que no causen daño a la salud</w:t>
      </w:r>
      <w:bookmarkEnd w:id="22"/>
    </w:p>
    <w:p w:rsidR="00537449" w:rsidRDefault="00CF452F" w:rsidP="00537449">
      <w:pPr>
        <w:ind w:left="360"/>
        <w:rPr>
          <w:rFonts w:ascii="Times New Roman" w:hAnsi="Times New Roman" w:cs="Times New Roman"/>
          <w:sz w:val="24"/>
          <w:szCs w:val="24"/>
        </w:rPr>
      </w:pPr>
      <w:r w:rsidRPr="00537449">
        <w:rPr>
          <w:rFonts w:ascii="Times New Roman" w:hAnsi="Times New Roman" w:cs="Times New Roman"/>
          <w:sz w:val="24"/>
          <w:szCs w:val="24"/>
        </w:rPr>
        <w:t>El artículo 368 del Código Penal distingue, a la hora de aplicar la pena, en si las sustancias o productos causan grave daño a la salud o no lo causan, imponiendo una pena mayor en el primer caso (pena de prisión de 3 a 6 años y multa del tanto al triplo del valor de la droga),  a diferencia de la penalidad más leve en el segundo (prisión de 1 a 3 años y multa del tanto al duplo del valor de la droga).</w:t>
      </w:r>
    </w:p>
    <w:p w:rsidR="00537449" w:rsidRDefault="00CF452F" w:rsidP="00537449">
      <w:pPr>
        <w:ind w:left="360"/>
        <w:rPr>
          <w:rFonts w:ascii="Times New Roman" w:hAnsi="Times New Roman" w:cs="Times New Roman"/>
          <w:sz w:val="24"/>
          <w:szCs w:val="24"/>
        </w:rPr>
      </w:pPr>
      <w:r w:rsidRPr="00537449">
        <w:rPr>
          <w:rFonts w:ascii="Times New Roman" w:hAnsi="Times New Roman" w:cs="Times New Roman"/>
          <w:sz w:val="24"/>
          <w:szCs w:val="24"/>
        </w:rPr>
        <w:lastRenderedPageBreak/>
        <w:t xml:space="preserve">Desde hace algo más de diez años, el Tribunal Supremo intentó dejar clara esta diferenciación, intentando clasificar estas sustancias según produjeran un grave daño a la salud (“drogas duras”) u ocasionaran un daño menor (“drogas blandas”).  En numerosas sentencias, el Alto Tribunal ha reconocido sin apenas dilación, que algunas de las sustancias que causan un grave daño a la salud son la </w:t>
      </w:r>
      <w:r w:rsidRPr="00537449">
        <w:rPr>
          <w:rFonts w:ascii="Times New Roman" w:hAnsi="Times New Roman" w:cs="Times New Roman"/>
          <w:i/>
          <w:sz w:val="24"/>
          <w:szCs w:val="24"/>
        </w:rPr>
        <w:t xml:space="preserve">heroína, </w:t>
      </w:r>
      <w:r w:rsidRPr="00537449">
        <w:rPr>
          <w:rFonts w:ascii="Times New Roman" w:hAnsi="Times New Roman" w:cs="Times New Roman"/>
          <w:sz w:val="24"/>
          <w:szCs w:val="24"/>
        </w:rPr>
        <w:t xml:space="preserve">la </w:t>
      </w:r>
      <w:r w:rsidRPr="00537449">
        <w:rPr>
          <w:rFonts w:ascii="Times New Roman" w:hAnsi="Times New Roman" w:cs="Times New Roman"/>
          <w:i/>
          <w:sz w:val="24"/>
          <w:szCs w:val="24"/>
        </w:rPr>
        <w:t xml:space="preserve">cocaína, </w:t>
      </w:r>
      <w:r w:rsidRPr="00537449">
        <w:rPr>
          <w:rFonts w:ascii="Times New Roman" w:hAnsi="Times New Roman" w:cs="Times New Roman"/>
          <w:sz w:val="24"/>
          <w:szCs w:val="24"/>
        </w:rPr>
        <w:t xml:space="preserve">la </w:t>
      </w:r>
      <w:r w:rsidRPr="00537449">
        <w:rPr>
          <w:rFonts w:ascii="Times New Roman" w:hAnsi="Times New Roman" w:cs="Times New Roman"/>
          <w:i/>
          <w:sz w:val="24"/>
          <w:szCs w:val="24"/>
        </w:rPr>
        <w:t>morfina,</w:t>
      </w:r>
      <w:r w:rsidRPr="00537449">
        <w:rPr>
          <w:rFonts w:ascii="Times New Roman" w:hAnsi="Times New Roman" w:cs="Times New Roman"/>
          <w:sz w:val="24"/>
          <w:szCs w:val="24"/>
        </w:rPr>
        <w:t xml:space="preserve"> el </w:t>
      </w:r>
      <w:r w:rsidRPr="00537449">
        <w:rPr>
          <w:rFonts w:ascii="Times New Roman" w:hAnsi="Times New Roman" w:cs="Times New Roman"/>
          <w:i/>
          <w:sz w:val="24"/>
          <w:szCs w:val="24"/>
        </w:rPr>
        <w:t xml:space="preserve">MDMA o éxtasis, </w:t>
      </w:r>
      <w:r w:rsidRPr="00537449">
        <w:rPr>
          <w:rFonts w:ascii="Times New Roman" w:hAnsi="Times New Roman" w:cs="Times New Roman"/>
          <w:sz w:val="24"/>
          <w:szCs w:val="24"/>
        </w:rPr>
        <w:t xml:space="preserve">la </w:t>
      </w:r>
      <w:r w:rsidRPr="00537449">
        <w:rPr>
          <w:rFonts w:ascii="Times New Roman" w:hAnsi="Times New Roman" w:cs="Times New Roman"/>
          <w:i/>
          <w:sz w:val="24"/>
          <w:szCs w:val="24"/>
        </w:rPr>
        <w:t xml:space="preserve">MDA o droga del amor, </w:t>
      </w:r>
      <w:r w:rsidRPr="00537449">
        <w:rPr>
          <w:rFonts w:ascii="Times New Roman" w:hAnsi="Times New Roman" w:cs="Times New Roman"/>
          <w:sz w:val="24"/>
          <w:szCs w:val="24"/>
        </w:rPr>
        <w:t xml:space="preserve">el </w:t>
      </w:r>
      <w:r w:rsidRPr="00537449">
        <w:rPr>
          <w:rFonts w:ascii="Times New Roman" w:hAnsi="Times New Roman" w:cs="Times New Roman"/>
          <w:i/>
          <w:sz w:val="24"/>
          <w:szCs w:val="24"/>
        </w:rPr>
        <w:t xml:space="preserve">MDEA o píldora Eva, metadona </w:t>
      </w:r>
      <w:r w:rsidRPr="00537449">
        <w:rPr>
          <w:rFonts w:ascii="Times New Roman" w:hAnsi="Times New Roman" w:cs="Times New Roman"/>
          <w:sz w:val="24"/>
          <w:szCs w:val="24"/>
        </w:rPr>
        <w:t>y</w:t>
      </w:r>
      <w:r w:rsidRPr="00537449">
        <w:rPr>
          <w:rFonts w:ascii="Times New Roman" w:hAnsi="Times New Roman" w:cs="Times New Roman"/>
          <w:i/>
          <w:sz w:val="24"/>
          <w:szCs w:val="24"/>
        </w:rPr>
        <w:t xml:space="preserve"> </w:t>
      </w:r>
      <w:r w:rsidRPr="00537449">
        <w:rPr>
          <w:rFonts w:ascii="Times New Roman" w:hAnsi="Times New Roman" w:cs="Times New Roman"/>
          <w:sz w:val="24"/>
          <w:szCs w:val="24"/>
        </w:rPr>
        <w:t xml:space="preserve">el </w:t>
      </w:r>
      <w:r w:rsidRPr="00537449">
        <w:rPr>
          <w:rFonts w:ascii="Times New Roman" w:hAnsi="Times New Roman" w:cs="Times New Roman"/>
          <w:i/>
          <w:sz w:val="24"/>
          <w:szCs w:val="24"/>
        </w:rPr>
        <w:t>LSD;</w:t>
      </w:r>
      <w:r w:rsidRPr="00537449">
        <w:rPr>
          <w:rFonts w:ascii="Times New Roman" w:hAnsi="Times New Roman" w:cs="Times New Roman"/>
          <w:sz w:val="24"/>
          <w:szCs w:val="24"/>
        </w:rPr>
        <w:t xml:space="preserve"> mientras que los derivados del cannabis o </w:t>
      </w:r>
      <w:r w:rsidRPr="00537449">
        <w:rPr>
          <w:rFonts w:ascii="Times New Roman" w:hAnsi="Times New Roman" w:cs="Times New Roman"/>
          <w:i/>
          <w:sz w:val="24"/>
          <w:szCs w:val="24"/>
        </w:rPr>
        <w:t>cannabis sativa</w:t>
      </w:r>
      <w:r w:rsidRPr="00537449">
        <w:rPr>
          <w:rFonts w:ascii="Times New Roman" w:hAnsi="Times New Roman" w:cs="Times New Roman"/>
          <w:sz w:val="24"/>
          <w:szCs w:val="24"/>
        </w:rPr>
        <w:t xml:space="preserve"> tales como el </w:t>
      </w:r>
      <w:r w:rsidRPr="00537449">
        <w:rPr>
          <w:rFonts w:ascii="Times New Roman" w:hAnsi="Times New Roman" w:cs="Times New Roman"/>
          <w:i/>
          <w:sz w:val="24"/>
          <w:szCs w:val="24"/>
        </w:rPr>
        <w:t xml:space="preserve">hachís, </w:t>
      </w:r>
      <w:r w:rsidRPr="00537449">
        <w:rPr>
          <w:rFonts w:ascii="Times New Roman" w:hAnsi="Times New Roman" w:cs="Times New Roman"/>
          <w:sz w:val="24"/>
          <w:szCs w:val="24"/>
        </w:rPr>
        <w:t>la</w:t>
      </w:r>
      <w:r w:rsidRPr="00537449">
        <w:rPr>
          <w:rFonts w:ascii="Times New Roman" w:hAnsi="Times New Roman" w:cs="Times New Roman"/>
          <w:i/>
          <w:sz w:val="24"/>
          <w:szCs w:val="24"/>
        </w:rPr>
        <w:t xml:space="preserve"> marihuana </w:t>
      </w:r>
      <w:r w:rsidRPr="00537449">
        <w:rPr>
          <w:rFonts w:ascii="Times New Roman" w:hAnsi="Times New Roman" w:cs="Times New Roman"/>
          <w:sz w:val="24"/>
          <w:szCs w:val="24"/>
        </w:rPr>
        <w:t xml:space="preserve">y el </w:t>
      </w:r>
      <w:r w:rsidR="004D2EA7">
        <w:rPr>
          <w:rFonts w:ascii="Times New Roman" w:hAnsi="Times New Roman" w:cs="Times New Roman"/>
          <w:i/>
          <w:sz w:val="24"/>
          <w:szCs w:val="24"/>
        </w:rPr>
        <w:t>aceite de hachís,</w:t>
      </w:r>
      <w:r w:rsidRPr="00537449">
        <w:rPr>
          <w:rFonts w:ascii="Times New Roman" w:hAnsi="Times New Roman" w:cs="Times New Roman"/>
          <w:sz w:val="24"/>
          <w:szCs w:val="24"/>
        </w:rPr>
        <w:t xml:space="preserve"> incluyendo en esta división también a ciertos principios activos derivados de algunos medicamentos, tales como el </w:t>
      </w:r>
      <w:proofErr w:type="spellStart"/>
      <w:r w:rsidRPr="00537449">
        <w:rPr>
          <w:rFonts w:ascii="Times New Roman" w:hAnsi="Times New Roman" w:cs="Times New Roman"/>
          <w:i/>
          <w:sz w:val="24"/>
          <w:szCs w:val="24"/>
        </w:rPr>
        <w:t>lorazepan</w:t>
      </w:r>
      <w:proofErr w:type="spellEnd"/>
      <w:r w:rsidRPr="00537449">
        <w:rPr>
          <w:rFonts w:ascii="Times New Roman" w:hAnsi="Times New Roman" w:cs="Times New Roman"/>
          <w:i/>
          <w:sz w:val="24"/>
          <w:szCs w:val="24"/>
        </w:rPr>
        <w:t xml:space="preserve"> (</w:t>
      </w:r>
      <w:proofErr w:type="spellStart"/>
      <w:r w:rsidRPr="00537449">
        <w:rPr>
          <w:rFonts w:ascii="Times New Roman" w:hAnsi="Times New Roman" w:cs="Times New Roman"/>
          <w:i/>
          <w:sz w:val="24"/>
          <w:szCs w:val="24"/>
        </w:rPr>
        <w:t>Orfidal</w:t>
      </w:r>
      <w:proofErr w:type="spellEnd"/>
      <w:r w:rsidRPr="00537449">
        <w:rPr>
          <w:rFonts w:ascii="Times New Roman" w:hAnsi="Times New Roman" w:cs="Times New Roman"/>
          <w:i/>
          <w:sz w:val="24"/>
          <w:szCs w:val="24"/>
        </w:rPr>
        <w:t xml:space="preserve">) </w:t>
      </w:r>
      <w:r w:rsidRPr="00537449">
        <w:rPr>
          <w:rFonts w:ascii="Times New Roman" w:hAnsi="Times New Roman" w:cs="Times New Roman"/>
          <w:sz w:val="24"/>
          <w:szCs w:val="24"/>
        </w:rPr>
        <w:t xml:space="preserve">y el </w:t>
      </w:r>
      <w:proofErr w:type="spellStart"/>
      <w:r w:rsidRPr="00537449">
        <w:rPr>
          <w:rFonts w:ascii="Times New Roman" w:hAnsi="Times New Roman" w:cs="Times New Roman"/>
          <w:i/>
          <w:sz w:val="24"/>
          <w:szCs w:val="24"/>
        </w:rPr>
        <w:t>alprazolan</w:t>
      </w:r>
      <w:proofErr w:type="spellEnd"/>
      <w:r w:rsidRPr="00537449">
        <w:rPr>
          <w:rFonts w:ascii="Times New Roman" w:hAnsi="Times New Roman" w:cs="Times New Roman"/>
          <w:i/>
          <w:sz w:val="24"/>
          <w:szCs w:val="24"/>
        </w:rPr>
        <w:t xml:space="preserve"> (Trankimazin),</w:t>
      </w:r>
      <w:r w:rsidRPr="00537449">
        <w:rPr>
          <w:rFonts w:ascii="Times New Roman" w:hAnsi="Times New Roman" w:cs="Times New Roman"/>
          <w:sz w:val="24"/>
          <w:szCs w:val="24"/>
        </w:rPr>
        <w:t xml:space="preserve"> son considerados como drogas que causan un menor daño a la salud. No era nada sencillo para el Tribunal establecer unos criterios diferenciadores, pues los tribunales necesitan ineludiblemente la ayuda de unos dictámenes periciales, emitidos bien por el Instituto Nacional de Toxicología, Escuela de Medicina Legal, Subdirección General de Farmacia, etc.</w:t>
      </w:r>
      <w:r>
        <w:rPr>
          <w:rStyle w:val="Refdenotaalpie"/>
          <w:rFonts w:ascii="Times New Roman" w:hAnsi="Times New Roman" w:cs="Times New Roman"/>
          <w:sz w:val="24"/>
          <w:szCs w:val="24"/>
        </w:rPr>
        <w:footnoteReference w:id="12"/>
      </w:r>
      <w:r w:rsidRPr="00537449">
        <w:rPr>
          <w:rFonts w:ascii="Times New Roman" w:hAnsi="Times New Roman" w:cs="Times New Roman"/>
          <w:sz w:val="24"/>
          <w:szCs w:val="24"/>
        </w:rPr>
        <w:t xml:space="preserve"> La jurisprudencia es conocedora de que los Convenios no se dedican a ponderar sustancias, pues lo único que hacen es clasificarlas. Por esta razón resulta necesario establecer ciertos criterios esenciales en esta materia: composición de la sustancia, riqueza de sus productos activos, tolerancia y dependencia que provoca y efectos. A modo de ejemplo, en el caso de las anfetaminas resultó especialmente farragoso, llegando a apreciarse incluso resoluciones contradictorias, estableciéndose un reconocimiento expreso de la grave nocividad de esta sustancia en la </w:t>
      </w:r>
      <w:r w:rsidRPr="00537449">
        <w:rPr>
          <w:rFonts w:ascii="Times New Roman" w:hAnsi="Times New Roman" w:cs="Times New Roman"/>
          <w:b/>
          <w:sz w:val="24"/>
          <w:szCs w:val="24"/>
        </w:rPr>
        <w:t xml:space="preserve">STS 4408/1991 de 24 de julio. </w:t>
      </w:r>
    </w:p>
    <w:p w:rsidR="00537449" w:rsidRDefault="00537449" w:rsidP="00537449">
      <w:pPr>
        <w:ind w:left="360"/>
        <w:rPr>
          <w:rFonts w:ascii="Times New Roman" w:hAnsi="Times New Roman" w:cs="Times New Roman"/>
          <w:sz w:val="24"/>
          <w:szCs w:val="24"/>
        </w:rPr>
      </w:pPr>
    </w:p>
    <w:p w:rsidR="00537449" w:rsidRDefault="00CF452F" w:rsidP="00537449">
      <w:pPr>
        <w:ind w:left="360"/>
        <w:rPr>
          <w:rFonts w:ascii="Times New Roman" w:hAnsi="Times New Roman" w:cs="Times New Roman"/>
          <w:sz w:val="24"/>
          <w:szCs w:val="24"/>
        </w:rPr>
      </w:pPr>
      <w:r w:rsidRPr="00537449">
        <w:rPr>
          <w:rFonts w:ascii="Times New Roman" w:hAnsi="Times New Roman" w:cs="Times New Roman"/>
          <w:sz w:val="24"/>
          <w:szCs w:val="24"/>
        </w:rPr>
        <w:t xml:space="preserve">Cabe decir que existen factores a través de los cuales la doctrina y la jurisprudencia se han apoyado para conocer de primera mano si una sustancia resulta ser gravemente dañina. La </w:t>
      </w:r>
      <w:r w:rsidRPr="00537449">
        <w:rPr>
          <w:rFonts w:ascii="Times New Roman" w:hAnsi="Times New Roman" w:cs="Times New Roman"/>
          <w:b/>
          <w:sz w:val="24"/>
          <w:szCs w:val="24"/>
        </w:rPr>
        <w:t xml:space="preserve">STS 5654/1991 de 23 de octubre </w:t>
      </w:r>
      <w:r w:rsidRPr="00537449">
        <w:rPr>
          <w:rFonts w:ascii="Times New Roman" w:hAnsi="Times New Roman" w:cs="Times New Roman"/>
          <w:sz w:val="24"/>
          <w:szCs w:val="24"/>
        </w:rPr>
        <w:t>enumera algunos de estos factores: “</w:t>
      </w:r>
      <w:r w:rsidRPr="00537449">
        <w:rPr>
          <w:rFonts w:ascii="Times New Roman" w:hAnsi="Times New Roman" w:cs="Times New Roman"/>
          <w:i/>
          <w:sz w:val="24"/>
          <w:szCs w:val="24"/>
        </w:rPr>
        <w:t>1) la dependencia del consumidor; 2) la progresiva exigencia de mayores dosis y 3) la posibilidad de</w:t>
      </w:r>
      <w:r w:rsidRPr="00537449">
        <w:rPr>
          <w:rFonts w:ascii="Times New Roman" w:hAnsi="Times New Roman" w:cs="Times New Roman"/>
          <w:sz w:val="24"/>
          <w:szCs w:val="24"/>
        </w:rPr>
        <w:t xml:space="preserve"> </w:t>
      </w:r>
      <w:r w:rsidRPr="00537449">
        <w:rPr>
          <w:rFonts w:ascii="Times New Roman" w:hAnsi="Times New Roman" w:cs="Times New Roman"/>
          <w:i/>
          <w:sz w:val="24"/>
          <w:szCs w:val="24"/>
        </w:rPr>
        <w:t>que el abuso conduzca a significativas alteraciones del comportamiento o a una grave afectación psíquica o neuropsicológica</w:t>
      </w:r>
      <w:r w:rsidRPr="00537449">
        <w:rPr>
          <w:rFonts w:ascii="Times New Roman" w:hAnsi="Times New Roman" w:cs="Times New Roman"/>
          <w:sz w:val="24"/>
          <w:szCs w:val="24"/>
        </w:rPr>
        <w:t>”.</w:t>
      </w:r>
    </w:p>
    <w:p w:rsidR="00537449" w:rsidRDefault="00CF452F" w:rsidP="00537449">
      <w:pPr>
        <w:ind w:left="360"/>
        <w:rPr>
          <w:rFonts w:ascii="Times New Roman" w:hAnsi="Times New Roman" w:cs="Times New Roman"/>
          <w:sz w:val="24"/>
          <w:szCs w:val="24"/>
        </w:rPr>
      </w:pPr>
      <w:r w:rsidRPr="00537449">
        <w:rPr>
          <w:rFonts w:ascii="Times New Roman" w:hAnsi="Times New Roman" w:cs="Times New Roman"/>
          <w:sz w:val="24"/>
          <w:szCs w:val="24"/>
        </w:rPr>
        <w:t xml:space="preserve">Otras sentencias, como la </w:t>
      </w:r>
      <w:r w:rsidRPr="00537449">
        <w:rPr>
          <w:rFonts w:ascii="Times New Roman" w:hAnsi="Times New Roman" w:cs="Times New Roman"/>
          <w:b/>
          <w:sz w:val="24"/>
          <w:szCs w:val="24"/>
        </w:rPr>
        <w:t xml:space="preserve">STS 4182/1990 de 1 de junio </w:t>
      </w:r>
      <w:r w:rsidRPr="00537449">
        <w:rPr>
          <w:rFonts w:ascii="Times New Roman" w:hAnsi="Times New Roman" w:cs="Times New Roman"/>
          <w:sz w:val="24"/>
          <w:szCs w:val="24"/>
        </w:rPr>
        <w:t>ha indicado como criterio de achacar a una sustancia el grave daño, “</w:t>
      </w:r>
      <w:r w:rsidRPr="00537449">
        <w:rPr>
          <w:rFonts w:ascii="Times New Roman" w:hAnsi="Times New Roman" w:cs="Times New Roman"/>
          <w:i/>
          <w:sz w:val="24"/>
          <w:szCs w:val="24"/>
        </w:rPr>
        <w:t xml:space="preserve">por vía oral o endovenosa, cada vez más usadas, en mezcla con otras drogas, pueden fácilmente alcanzarse sobredosis que actúen psicotrópicamente e incluso sobre la excitabilidad cardíaca, pudiendo crearse cuadros </w:t>
      </w:r>
      <w:r w:rsidRPr="00537449">
        <w:rPr>
          <w:rFonts w:ascii="Times New Roman" w:hAnsi="Times New Roman" w:cs="Times New Roman"/>
          <w:i/>
          <w:sz w:val="24"/>
          <w:szCs w:val="24"/>
        </w:rPr>
        <w:lastRenderedPageBreak/>
        <w:t>agudos de extrema gravedad, en razón de lo cual se considera desde el punto de vista toxicológico, la sustancia puede causar grave daño a la salud</w:t>
      </w:r>
      <w:r w:rsidRPr="00537449">
        <w:rPr>
          <w:rFonts w:ascii="Times New Roman" w:hAnsi="Times New Roman" w:cs="Times New Roman"/>
          <w:sz w:val="24"/>
          <w:szCs w:val="24"/>
        </w:rPr>
        <w:t>”, siendo entendible que una sustancia por vía oral no producirá el mismo daño a la salud que una sustancia que sea administrada por vía intravenosa, en este caso se hablaba de cocaína.</w:t>
      </w:r>
      <w:r>
        <w:rPr>
          <w:rStyle w:val="Refdenotaalpie"/>
          <w:rFonts w:ascii="Times New Roman" w:hAnsi="Times New Roman" w:cs="Times New Roman"/>
          <w:sz w:val="24"/>
          <w:szCs w:val="24"/>
        </w:rPr>
        <w:footnoteReference w:id="13"/>
      </w:r>
    </w:p>
    <w:p w:rsidR="00CF452F" w:rsidRDefault="00CF452F" w:rsidP="00537449">
      <w:pPr>
        <w:ind w:left="360"/>
        <w:rPr>
          <w:rFonts w:ascii="Times New Roman" w:hAnsi="Times New Roman" w:cs="Times New Roman"/>
          <w:sz w:val="24"/>
          <w:szCs w:val="24"/>
        </w:rPr>
      </w:pPr>
      <w:r w:rsidRPr="00537449">
        <w:rPr>
          <w:rFonts w:ascii="Times New Roman" w:hAnsi="Times New Roman" w:cs="Times New Roman"/>
          <w:sz w:val="24"/>
          <w:szCs w:val="24"/>
        </w:rPr>
        <w:t xml:space="preserve">En el año 2004 la </w:t>
      </w:r>
      <w:r w:rsidRPr="00537449">
        <w:rPr>
          <w:rFonts w:ascii="Times New Roman" w:hAnsi="Times New Roman" w:cs="Times New Roman"/>
          <w:b/>
          <w:sz w:val="24"/>
          <w:szCs w:val="24"/>
        </w:rPr>
        <w:t xml:space="preserve">STS 1905/2004 de 18 de marzo </w:t>
      </w:r>
      <w:r w:rsidRPr="00537449">
        <w:rPr>
          <w:rFonts w:ascii="Times New Roman" w:hAnsi="Times New Roman" w:cs="Times New Roman"/>
          <w:sz w:val="24"/>
          <w:szCs w:val="24"/>
        </w:rPr>
        <w:t>vuelve a indicar unos parámetros, parecidos a los que emitió en la anterior sentencia del año 91 pero mucho más perfilados, los cuáles se debían de tener en consideración para poder interpretar o reconocer una sustancia como muy perjudicial o gravemente nociva para la salud: “</w:t>
      </w:r>
      <w:r w:rsidRPr="00537449">
        <w:rPr>
          <w:rFonts w:ascii="Times New Roman" w:hAnsi="Times New Roman" w:cs="Times New Roman"/>
          <w:i/>
          <w:sz w:val="24"/>
          <w:szCs w:val="24"/>
        </w:rPr>
        <w:t>por ser en sí lesiva para la salud, por el nivel de dependencia que crea en el consumidor, por el número de fallecimientos que provoca su intoxicación y por el grado de tolerancia”</w:t>
      </w:r>
      <w:r w:rsidRPr="00537449">
        <w:rPr>
          <w:rFonts w:ascii="Times New Roman" w:hAnsi="Times New Roman" w:cs="Times New Roman"/>
          <w:sz w:val="24"/>
          <w:szCs w:val="24"/>
        </w:rPr>
        <w:t>.</w:t>
      </w:r>
    </w:p>
    <w:p w:rsidR="004C4DFB" w:rsidRPr="00537449" w:rsidRDefault="004C4DFB" w:rsidP="00537449">
      <w:pPr>
        <w:ind w:left="360"/>
        <w:rPr>
          <w:rFonts w:ascii="Times New Roman" w:hAnsi="Times New Roman" w:cs="Times New Roman"/>
          <w:sz w:val="24"/>
          <w:szCs w:val="24"/>
        </w:rPr>
      </w:pPr>
      <w:r>
        <w:rPr>
          <w:rFonts w:ascii="Times New Roman" w:hAnsi="Times New Roman" w:cs="Times New Roman"/>
          <w:sz w:val="24"/>
          <w:szCs w:val="24"/>
        </w:rPr>
        <w:t>Resumiendo</w:t>
      </w:r>
      <w:r w:rsidRPr="004C4DFB">
        <w:rPr>
          <w:rFonts w:ascii="Times New Roman" w:hAnsi="Times New Roman" w:cs="Times New Roman"/>
          <w:sz w:val="24"/>
          <w:szCs w:val="24"/>
        </w:rPr>
        <w:t>, la jurisprudencia y doctrina se basan en los siguientes requisitos  para confirmar que una sustancia sea más o menos dañina:</w:t>
      </w:r>
    </w:p>
    <w:p w:rsidR="00CF452F" w:rsidRDefault="00CF452F" w:rsidP="00CF452F">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El nivel de tolerancia. Es decir, necesidad de aumentar la dosis consumida habitualmente para poder llegar a lograr el mismo efecto logrado con anterioridad.</w:t>
      </w:r>
    </w:p>
    <w:p w:rsidR="00CF452F" w:rsidRDefault="00CF452F" w:rsidP="00CF452F">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El nivel de dependencia física. Se habla aquí de la urgencia de seguir consumiendo la sustancia, provocando el conocido síndrome de abstinencia si se dejara de consumir.</w:t>
      </w:r>
    </w:p>
    <w:p w:rsidR="00CF452F" w:rsidRDefault="00CF452F" w:rsidP="00CF452F">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Evaluación de los posibles daños producidos en el organismo.</w:t>
      </w:r>
    </w:p>
    <w:p w:rsidR="00CF452F" w:rsidRDefault="00CF452F" w:rsidP="00CF452F">
      <w:pPr>
        <w:pStyle w:val="Prrafodelista"/>
        <w:numPr>
          <w:ilvl w:val="0"/>
          <w:numId w:val="4"/>
        </w:numPr>
        <w:rPr>
          <w:rFonts w:ascii="Times New Roman" w:hAnsi="Times New Roman" w:cs="Times New Roman"/>
          <w:sz w:val="24"/>
          <w:szCs w:val="24"/>
        </w:rPr>
      </w:pPr>
      <w:r>
        <w:rPr>
          <w:rFonts w:ascii="Times New Roman" w:hAnsi="Times New Roman" w:cs="Times New Roman"/>
          <w:sz w:val="24"/>
          <w:szCs w:val="24"/>
        </w:rPr>
        <w:t>Nocividad o letalidad cuando se consumen bajas dosis. O en otras palabras ¿Qué capacidad tiene el componente o sustancia para que éste pueda causar la muerte? Por esta razón resulta fundamental analizar la sustancia desde un punto de letalidad a bajas dosis, pues es más que entendible que cualquier sustancia nociva (aunque sea de forma leve) a grandes dosis puede producir grandes daños, por ejemplo el alcohol o una simple aspirina. Resulta más que notable ponderar una proporción entre la dosis media activa y la dosis media letal. Es aquí donde se encuentra el punto álgido de la diferenciación entre una sustancia que pueda clasificarse como droga dura o blanda.</w:t>
      </w:r>
      <w:r w:rsidR="004C4DFB">
        <w:rPr>
          <w:rStyle w:val="Refdenotaalpie"/>
          <w:rFonts w:ascii="Times New Roman" w:hAnsi="Times New Roman" w:cs="Times New Roman"/>
          <w:sz w:val="24"/>
          <w:szCs w:val="24"/>
        </w:rPr>
        <w:footnoteReference w:id="14"/>
      </w:r>
    </w:p>
    <w:p w:rsidR="00CF452F" w:rsidRDefault="00CF452F" w:rsidP="00CF452F">
      <w:pPr>
        <w:rPr>
          <w:rFonts w:ascii="Times New Roman" w:hAnsi="Times New Roman" w:cs="Times New Roman"/>
          <w:sz w:val="24"/>
          <w:szCs w:val="24"/>
        </w:rPr>
      </w:pPr>
    </w:p>
    <w:p w:rsidR="003148ED" w:rsidRPr="003148ED" w:rsidRDefault="00CF452F" w:rsidP="003148ED">
      <w:pPr>
        <w:ind w:left="284"/>
        <w:rPr>
          <w:rFonts w:ascii="Times New Roman" w:hAnsi="Times New Roman" w:cs="Times New Roman"/>
          <w:sz w:val="24"/>
          <w:szCs w:val="24"/>
        </w:rPr>
      </w:pPr>
      <w:r w:rsidRPr="006819B6">
        <w:rPr>
          <w:rFonts w:ascii="Times New Roman" w:hAnsi="Times New Roman" w:cs="Times New Roman"/>
          <w:sz w:val="24"/>
          <w:szCs w:val="24"/>
        </w:rPr>
        <w:t>En base a estos criterios previamente establecidos, el Tribunal Supremo sostiene una teoría fundamentalísima a la hora de reconocer si estamos ante u</w:t>
      </w:r>
      <w:r>
        <w:rPr>
          <w:rFonts w:ascii="Times New Roman" w:hAnsi="Times New Roman" w:cs="Times New Roman"/>
          <w:sz w:val="24"/>
          <w:szCs w:val="24"/>
        </w:rPr>
        <w:t>na u otra sustancia</w:t>
      </w:r>
      <w:r w:rsidR="00AA1737">
        <w:rPr>
          <w:rFonts w:ascii="Times New Roman" w:hAnsi="Times New Roman" w:cs="Times New Roman"/>
          <w:sz w:val="24"/>
          <w:szCs w:val="24"/>
        </w:rPr>
        <w:t>, es la que se va a explicar a continuación. E</w:t>
      </w:r>
      <w:r w:rsidRPr="006819B6">
        <w:rPr>
          <w:rFonts w:ascii="Times New Roman" w:hAnsi="Times New Roman" w:cs="Times New Roman"/>
          <w:sz w:val="24"/>
          <w:szCs w:val="24"/>
        </w:rPr>
        <w:t xml:space="preserve">n el caso de que nos encontremos ante una presunta droga </w:t>
      </w:r>
      <w:r w:rsidRPr="006819B6">
        <w:rPr>
          <w:rFonts w:ascii="Times New Roman" w:hAnsi="Times New Roman" w:cs="Times New Roman"/>
          <w:sz w:val="24"/>
          <w:szCs w:val="24"/>
        </w:rPr>
        <w:lastRenderedPageBreak/>
        <w:t xml:space="preserve">dura o sustancia gravemente nociva </w:t>
      </w:r>
      <w:r>
        <w:rPr>
          <w:rFonts w:ascii="Times New Roman" w:hAnsi="Times New Roman" w:cs="Times New Roman"/>
          <w:sz w:val="24"/>
          <w:szCs w:val="24"/>
        </w:rPr>
        <w:t>para la salud</w:t>
      </w:r>
      <w:r w:rsidR="00AA1737">
        <w:rPr>
          <w:rFonts w:ascii="Times New Roman" w:hAnsi="Times New Roman" w:cs="Times New Roman"/>
          <w:sz w:val="24"/>
          <w:szCs w:val="24"/>
        </w:rPr>
        <w:t>,</w:t>
      </w:r>
      <w:r>
        <w:rPr>
          <w:rFonts w:ascii="Times New Roman" w:hAnsi="Times New Roman" w:cs="Times New Roman"/>
          <w:sz w:val="24"/>
          <w:szCs w:val="24"/>
        </w:rPr>
        <w:t xml:space="preserve"> </w:t>
      </w:r>
      <w:r w:rsidRPr="006819B6">
        <w:rPr>
          <w:rFonts w:ascii="Times New Roman" w:hAnsi="Times New Roman" w:cs="Times New Roman"/>
          <w:sz w:val="24"/>
          <w:szCs w:val="24"/>
        </w:rPr>
        <w:t>si resultase por ciertas circunstancias, que la pureza o cantidad de ese compuesto no hubiera sido debidamente acreditada, no se le puede imponer la etiqueta o calificación  a esa sustancia de dro</w:t>
      </w:r>
      <w:r w:rsidR="00AA1737">
        <w:rPr>
          <w:rFonts w:ascii="Times New Roman" w:hAnsi="Times New Roman" w:cs="Times New Roman"/>
          <w:sz w:val="24"/>
          <w:szCs w:val="24"/>
        </w:rPr>
        <w:t>ga blanda por este simple hecho,</w:t>
      </w:r>
      <w:r w:rsidRPr="006819B6">
        <w:rPr>
          <w:rFonts w:ascii="Times New Roman" w:hAnsi="Times New Roman" w:cs="Times New Roman"/>
          <w:sz w:val="24"/>
          <w:szCs w:val="24"/>
        </w:rPr>
        <w:t xml:space="preserve"> pues, hay que tener siempre presente que los indicativos de pureza y cantidad resultan determinantes exclusivamente para aplicar el agravante de la notoria importancia</w:t>
      </w:r>
      <w:r>
        <w:rPr>
          <w:rFonts w:ascii="Times New Roman" w:hAnsi="Times New Roman" w:cs="Times New Roman"/>
          <w:sz w:val="24"/>
          <w:szCs w:val="24"/>
        </w:rPr>
        <w:t xml:space="preserve"> o indicar que la sustancia no se considera droga tóxica, pero nunca </w:t>
      </w:r>
      <w:r w:rsidRPr="006819B6">
        <w:rPr>
          <w:rFonts w:ascii="Times New Roman" w:hAnsi="Times New Roman" w:cs="Times New Roman"/>
          <w:sz w:val="24"/>
          <w:szCs w:val="24"/>
        </w:rPr>
        <w:t>para marcar diferenciaciones entre un tipo de sustancia y otra</w:t>
      </w:r>
      <w:r>
        <w:rPr>
          <w:rFonts w:ascii="Times New Roman" w:hAnsi="Times New Roman" w:cs="Times New Roman"/>
          <w:sz w:val="24"/>
          <w:szCs w:val="24"/>
        </w:rPr>
        <w:t xml:space="preserve"> y así poder aplicar las diferentes penas que existen al efecto tratándose de esta circunstancia, pues para esto ya se encuentran establecidos los criter</w:t>
      </w:r>
      <w:r w:rsidR="003148ED">
        <w:rPr>
          <w:rFonts w:ascii="Times New Roman" w:hAnsi="Times New Roman" w:cs="Times New Roman"/>
          <w:sz w:val="24"/>
          <w:szCs w:val="24"/>
        </w:rPr>
        <w:t>ios previamente enumerados.</w:t>
      </w:r>
    </w:p>
    <w:p w:rsidR="000E359E" w:rsidRDefault="000E359E">
      <w:pPr>
        <w:rPr>
          <w:rFonts w:asciiTheme="majorHAnsi" w:eastAsiaTheme="majorEastAsia" w:hAnsiTheme="majorHAnsi" w:cstheme="majorBidi"/>
          <w:b/>
          <w:bCs/>
          <w:color w:val="365F91" w:themeColor="accent1" w:themeShade="BF"/>
          <w:sz w:val="28"/>
          <w:szCs w:val="28"/>
        </w:rPr>
      </w:pPr>
    </w:p>
    <w:p w:rsidR="000E359E" w:rsidRPr="00DF3379" w:rsidRDefault="000E359E" w:rsidP="000E359E">
      <w:pPr>
        <w:pStyle w:val="Ttulo1"/>
        <w:numPr>
          <w:ilvl w:val="0"/>
          <w:numId w:val="8"/>
        </w:numPr>
        <w:rPr>
          <w:rFonts w:ascii="Times New Roman" w:hAnsi="Times New Roman" w:cs="Times New Roman"/>
          <w:color w:val="auto"/>
          <w:sz w:val="24"/>
          <w:szCs w:val="24"/>
        </w:rPr>
      </w:pPr>
      <w:bookmarkStart w:id="23" w:name="_Toc393739390"/>
      <w:r w:rsidRPr="00DF3379">
        <w:rPr>
          <w:rFonts w:ascii="Times New Roman" w:hAnsi="Times New Roman" w:cs="Times New Roman"/>
          <w:color w:val="auto"/>
          <w:sz w:val="24"/>
          <w:szCs w:val="24"/>
        </w:rPr>
        <w:t>DOSIS MÍNIMA PSICOACTIVA. LA PROBLEMÁTICA DE LA PEQUEÑA CUANTÍA</w:t>
      </w:r>
      <w:bookmarkEnd w:id="23"/>
    </w:p>
    <w:p w:rsidR="000E359E" w:rsidRPr="000E359E" w:rsidRDefault="000E359E" w:rsidP="000E359E">
      <w:pPr>
        <w:ind w:left="360"/>
        <w:rPr>
          <w:rFonts w:ascii="Times New Roman" w:hAnsi="Times New Roman" w:cs="Times New Roman"/>
          <w:sz w:val="24"/>
          <w:szCs w:val="24"/>
        </w:rPr>
      </w:pPr>
      <w:r w:rsidRPr="000E359E">
        <w:rPr>
          <w:rFonts w:ascii="Times New Roman" w:hAnsi="Times New Roman" w:cs="Times New Roman"/>
          <w:sz w:val="24"/>
          <w:szCs w:val="24"/>
        </w:rPr>
        <w:t>Nuestro Código Penal no establece una cantidad de droga para entender subsumido en el tipo esta clase de conductas, por ello los tribunales no han tenido más remedio que imponer sus criterios según las reglas de la sana crítica. A lo largo de estos últimos casi diez años, la Jurisprudencia ha mantenido dos vertientes: la primera de ellas era la de acudir al principio de insignificancia cuando la venta de droga se efectuaba en pequeñas cantidades. La segunda vertiente, completamente contradictoria a la segunda, sancionaba y penaba dejando a un lado tal principio, pues se basaba en que  la gravedad de este tipo de delitos era muy significativa.</w:t>
      </w:r>
    </w:p>
    <w:p w:rsidR="000E359E" w:rsidRPr="000E359E" w:rsidRDefault="000E359E" w:rsidP="000E359E">
      <w:pPr>
        <w:ind w:left="360"/>
        <w:rPr>
          <w:rFonts w:ascii="Times New Roman" w:hAnsi="Times New Roman" w:cs="Times New Roman"/>
          <w:sz w:val="24"/>
          <w:szCs w:val="24"/>
        </w:rPr>
      </w:pPr>
      <w:r w:rsidRPr="000E359E">
        <w:rPr>
          <w:rFonts w:ascii="Times New Roman" w:hAnsi="Times New Roman" w:cs="Times New Roman"/>
          <w:sz w:val="24"/>
          <w:szCs w:val="24"/>
        </w:rPr>
        <w:t>En el año 2003, concretamente el 22 de diciembre, el Instituto Nacional de Toxicología emite un Informe, el cuál intenta dar algo de luz a todo este enjambre contradictorio que se creaba con estas dos posturas. Pero antes, hay que empezar por ver, cómo se evaluaban y solucionaban este tipo de conductas con anterioridad a tal pacto.</w:t>
      </w:r>
    </w:p>
    <w:p w:rsidR="000E359E" w:rsidRDefault="000E359E" w:rsidP="000E359E"/>
    <w:p w:rsidR="00BA48B3" w:rsidRPr="000E359E" w:rsidRDefault="00BA48B3" w:rsidP="000E359E"/>
    <w:p w:rsidR="000E359E" w:rsidRPr="000E359E" w:rsidRDefault="000E359E" w:rsidP="000E359E">
      <w:pPr>
        <w:pStyle w:val="Prrafodelista"/>
        <w:keepNext/>
        <w:keepLines/>
        <w:numPr>
          <w:ilvl w:val="0"/>
          <w:numId w:val="9"/>
        </w:numPr>
        <w:spacing w:before="200"/>
        <w:contextualSpacing w:val="0"/>
        <w:outlineLvl w:val="1"/>
        <w:rPr>
          <w:rFonts w:asciiTheme="majorHAnsi" w:eastAsiaTheme="majorEastAsia" w:hAnsiTheme="majorHAnsi" w:cstheme="majorBidi"/>
          <w:b/>
          <w:bCs/>
          <w:vanish/>
          <w:color w:val="4F81BD" w:themeColor="accent1"/>
          <w:sz w:val="26"/>
          <w:szCs w:val="26"/>
        </w:rPr>
      </w:pPr>
      <w:bookmarkStart w:id="24" w:name="_Toc392601510"/>
      <w:bookmarkStart w:id="25" w:name="_Toc392603122"/>
      <w:bookmarkStart w:id="26" w:name="_Toc393298657"/>
      <w:bookmarkStart w:id="27" w:name="_Toc393298676"/>
      <w:bookmarkStart w:id="28" w:name="_Toc393301266"/>
      <w:bookmarkStart w:id="29" w:name="_Toc393301711"/>
      <w:bookmarkStart w:id="30" w:name="_Toc393350189"/>
      <w:bookmarkStart w:id="31" w:name="_Toc393729332"/>
      <w:bookmarkStart w:id="32" w:name="_Toc393733864"/>
      <w:bookmarkStart w:id="33" w:name="_Toc393739391"/>
      <w:bookmarkEnd w:id="24"/>
      <w:bookmarkEnd w:id="25"/>
      <w:bookmarkEnd w:id="26"/>
      <w:bookmarkEnd w:id="27"/>
      <w:bookmarkEnd w:id="28"/>
      <w:bookmarkEnd w:id="29"/>
      <w:bookmarkEnd w:id="30"/>
      <w:bookmarkEnd w:id="31"/>
      <w:bookmarkEnd w:id="32"/>
      <w:bookmarkEnd w:id="33"/>
    </w:p>
    <w:p w:rsidR="000E359E" w:rsidRPr="00DF3379" w:rsidRDefault="000E359E" w:rsidP="000E359E">
      <w:pPr>
        <w:pStyle w:val="Ttulo2"/>
        <w:numPr>
          <w:ilvl w:val="1"/>
          <w:numId w:val="9"/>
        </w:numPr>
        <w:rPr>
          <w:rFonts w:ascii="Times New Roman" w:hAnsi="Times New Roman" w:cs="Times New Roman"/>
          <w:color w:val="auto"/>
          <w:sz w:val="24"/>
          <w:szCs w:val="24"/>
        </w:rPr>
      </w:pPr>
      <w:r w:rsidRPr="00DF3379">
        <w:rPr>
          <w:rFonts w:ascii="Times New Roman" w:hAnsi="Times New Roman" w:cs="Times New Roman"/>
          <w:color w:val="auto"/>
          <w:sz w:val="24"/>
          <w:szCs w:val="24"/>
        </w:rPr>
        <w:t xml:space="preserve"> </w:t>
      </w:r>
      <w:bookmarkStart w:id="34" w:name="_Toc393739392"/>
      <w:r w:rsidRPr="00DF3379">
        <w:rPr>
          <w:rFonts w:ascii="Times New Roman" w:hAnsi="Times New Roman" w:cs="Times New Roman"/>
          <w:color w:val="auto"/>
          <w:sz w:val="24"/>
          <w:szCs w:val="24"/>
        </w:rPr>
        <w:t>Antes del Acuerdo</w:t>
      </w:r>
      <w:bookmarkEnd w:id="34"/>
    </w:p>
    <w:p w:rsidR="000E359E" w:rsidRDefault="000E359E" w:rsidP="000E359E">
      <w:pPr>
        <w:ind w:left="360"/>
        <w:rPr>
          <w:rFonts w:ascii="Times New Roman" w:hAnsi="Times New Roman" w:cs="Times New Roman"/>
          <w:sz w:val="24"/>
          <w:szCs w:val="24"/>
        </w:rPr>
      </w:pPr>
      <w:r>
        <w:rPr>
          <w:rFonts w:ascii="Times New Roman" w:hAnsi="Times New Roman" w:cs="Times New Roman"/>
          <w:sz w:val="24"/>
          <w:szCs w:val="24"/>
        </w:rPr>
        <w:t xml:space="preserve">Desde el anterior Código Penal del año 1973 hasta el vigente texto legal, la jurisprudencia ha ido perfilándose en torno a la cuestión de la tipicidad y antijuricidad en los delitos del tráfico de drogas. Hasta el año 2003 y desde éste hasta la actualidad, existían en el Tribunal Supremo dos posturas contrapuestas y confrontadas acerca de la tipicidad y atipicidad de estas conductas. </w:t>
      </w:r>
    </w:p>
    <w:p w:rsidR="000E359E" w:rsidRDefault="000E359E" w:rsidP="000E359E">
      <w:pPr>
        <w:ind w:left="360"/>
        <w:rPr>
          <w:rFonts w:ascii="Times New Roman" w:hAnsi="Times New Roman" w:cs="Times New Roman"/>
          <w:sz w:val="24"/>
          <w:szCs w:val="24"/>
        </w:rPr>
      </w:pPr>
      <w:r>
        <w:rPr>
          <w:rFonts w:ascii="Times New Roman" w:hAnsi="Times New Roman" w:cs="Times New Roman"/>
          <w:sz w:val="24"/>
          <w:szCs w:val="24"/>
        </w:rPr>
        <w:lastRenderedPageBreak/>
        <w:t xml:space="preserve">En este punto voy a hacer referencia a la tesis que sostenía que la actuación de una persona no se consideraba punible penalmente por dos razones: a) </w:t>
      </w:r>
      <w:r w:rsidRPr="002B2967">
        <w:rPr>
          <w:rFonts w:ascii="Times New Roman" w:hAnsi="Times New Roman" w:cs="Times New Roman"/>
          <w:sz w:val="24"/>
          <w:szCs w:val="24"/>
          <w:u w:val="single"/>
        </w:rPr>
        <w:t>por la imposibilidad de dañar el bien jurídico</w:t>
      </w:r>
      <w:r>
        <w:rPr>
          <w:rFonts w:ascii="Times New Roman" w:hAnsi="Times New Roman" w:cs="Times New Roman"/>
          <w:sz w:val="24"/>
          <w:szCs w:val="24"/>
        </w:rPr>
        <w:t xml:space="preserve"> protegido en este tipo de comportamientos cuando se trataba de la venta de </w:t>
      </w:r>
      <w:r w:rsidRPr="002B2967">
        <w:rPr>
          <w:rFonts w:ascii="Times New Roman" w:hAnsi="Times New Roman" w:cs="Times New Roman"/>
          <w:b/>
          <w:sz w:val="24"/>
          <w:szCs w:val="24"/>
        </w:rPr>
        <w:t>pequeñas cantidades de droga</w:t>
      </w:r>
      <w:r>
        <w:rPr>
          <w:rFonts w:ascii="Times New Roman" w:hAnsi="Times New Roman" w:cs="Times New Roman"/>
          <w:sz w:val="24"/>
          <w:szCs w:val="24"/>
        </w:rPr>
        <w:t xml:space="preserve">, especialmente si se tiene en cuenta la </w:t>
      </w:r>
      <w:r w:rsidR="002B2967">
        <w:rPr>
          <w:rFonts w:ascii="Times New Roman" w:hAnsi="Times New Roman" w:cs="Times New Roman"/>
          <w:sz w:val="24"/>
          <w:szCs w:val="24"/>
        </w:rPr>
        <w:t>dificultad</w:t>
      </w:r>
      <w:r>
        <w:rPr>
          <w:rFonts w:ascii="Times New Roman" w:hAnsi="Times New Roman" w:cs="Times New Roman"/>
          <w:sz w:val="24"/>
          <w:szCs w:val="24"/>
        </w:rPr>
        <w:t xml:space="preserve"> de difusión de las sustancias entre varias personas (sean o no consumidores) por la indivisibilidad de tales compuestos, y b) </w:t>
      </w:r>
      <w:r w:rsidRPr="002B2967">
        <w:rPr>
          <w:rFonts w:ascii="Times New Roman" w:hAnsi="Times New Roman" w:cs="Times New Roman"/>
          <w:sz w:val="24"/>
          <w:szCs w:val="24"/>
          <w:u w:val="single"/>
        </w:rPr>
        <w:t>por la inidoneidad de la sustancia</w:t>
      </w:r>
      <w:r w:rsidR="002B2967">
        <w:rPr>
          <w:rFonts w:ascii="Times New Roman" w:hAnsi="Times New Roman" w:cs="Times New Roman"/>
          <w:sz w:val="24"/>
          <w:szCs w:val="24"/>
          <w:u w:val="single"/>
        </w:rPr>
        <w:t xml:space="preserve"> para dañar el bien jurídico</w:t>
      </w:r>
      <w:r>
        <w:rPr>
          <w:rFonts w:ascii="Times New Roman" w:hAnsi="Times New Roman" w:cs="Times New Roman"/>
          <w:sz w:val="24"/>
          <w:szCs w:val="24"/>
        </w:rPr>
        <w:t xml:space="preserve">, pues si tal compuesto por su cantidad y pureza no tiene capacidad para dañar la salud pública, no se puede considerar hecho como típico. En relación con esta postura y a favor claramente de ella, la </w:t>
      </w:r>
      <w:r>
        <w:rPr>
          <w:rFonts w:ascii="Times New Roman" w:hAnsi="Times New Roman" w:cs="Times New Roman"/>
          <w:b/>
          <w:sz w:val="24"/>
          <w:szCs w:val="24"/>
        </w:rPr>
        <w:t>STS 4162/2003 de 16 de junio</w:t>
      </w:r>
      <w:r>
        <w:rPr>
          <w:rFonts w:ascii="Times New Roman" w:hAnsi="Times New Roman" w:cs="Times New Roman"/>
          <w:sz w:val="24"/>
          <w:szCs w:val="24"/>
        </w:rPr>
        <w:t>, explica cómo se puede dar la antijuricidad desde estos dos contextos: “</w:t>
      </w:r>
      <w:r w:rsidRPr="00710B6A">
        <w:rPr>
          <w:rFonts w:ascii="Times New Roman" w:hAnsi="Times New Roman" w:cs="Times New Roman"/>
          <w:i/>
          <w:sz w:val="24"/>
          <w:szCs w:val="24"/>
        </w:rPr>
        <w:t>la posibilidad de que la sustancia estupefaciente llegue al alcance de los consumidores</w:t>
      </w:r>
      <w:r>
        <w:rPr>
          <w:rFonts w:ascii="Times New Roman" w:hAnsi="Times New Roman" w:cs="Times New Roman"/>
          <w:sz w:val="24"/>
          <w:szCs w:val="24"/>
        </w:rPr>
        <w:t xml:space="preserve">”, lo que se traslada a </w:t>
      </w:r>
      <w:r w:rsidRPr="002B2967">
        <w:rPr>
          <w:rFonts w:ascii="Times New Roman" w:hAnsi="Times New Roman" w:cs="Times New Roman"/>
          <w:b/>
          <w:sz w:val="24"/>
          <w:szCs w:val="24"/>
        </w:rPr>
        <w:t>la idea de riesgo de difusión</w:t>
      </w:r>
      <w:r>
        <w:rPr>
          <w:rFonts w:ascii="Times New Roman" w:hAnsi="Times New Roman" w:cs="Times New Roman"/>
          <w:sz w:val="24"/>
          <w:szCs w:val="24"/>
        </w:rPr>
        <w:t>; y que “</w:t>
      </w:r>
      <w:r w:rsidRPr="00710B6A">
        <w:rPr>
          <w:rFonts w:ascii="Times New Roman" w:hAnsi="Times New Roman" w:cs="Times New Roman"/>
          <w:i/>
          <w:sz w:val="24"/>
          <w:szCs w:val="24"/>
        </w:rPr>
        <w:t>la sustancia, por su cantidad y pureza, tenga aptitud para dañar la salud</w:t>
      </w:r>
      <w:r>
        <w:rPr>
          <w:rFonts w:ascii="Times New Roman" w:hAnsi="Times New Roman" w:cs="Times New Roman"/>
          <w:sz w:val="24"/>
          <w:szCs w:val="24"/>
        </w:rPr>
        <w:t xml:space="preserve">”, lo que quiere decir que en caso de </w:t>
      </w:r>
      <w:r w:rsidRPr="002B2967">
        <w:rPr>
          <w:rFonts w:ascii="Times New Roman" w:hAnsi="Times New Roman" w:cs="Times New Roman"/>
          <w:b/>
          <w:sz w:val="24"/>
          <w:szCs w:val="24"/>
        </w:rPr>
        <w:t>cantidades mínimas insignificantes, no habrá riesgo</w:t>
      </w:r>
      <w:r w:rsidRPr="00092F1A">
        <w:rPr>
          <w:rFonts w:ascii="Times New Roman" w:hAnsi="Times New Roman" w:cs="Times New Roman"/>
          <w:sz w:val="24"/>
          <w:szCs w:val="24"/>
        </w:rPr>
        <w:t xml:space="preserve"> de dañar la salud </w:t>
      </w:r>
      <w:r>
        <w:rPr>
          <w:rFonts w:ascii="Times New Roman" w:hAnsi="Times New Roman" w:cs="Times New Roman"/>
          <w:sz w:val="24"/>
          <w:szCs w:val="24"/>
        </w:rPr>
        <w:t xml:space="preserve">de los consumidores o no consumidores. Como se comprueba, lo que se intentaba explicar y aclarar en estos tiempos era que si no existía riesgo de difusión de tales sustancias y tampoco se daba en ellas la característica de ser una droga tóxica o sustancia que fuera capaz de causar  un daño y afectar a la salud pública, la conducta era atípica. </w:t>
      </w:r>
    </w:p>
    <w:p w:rsidR="000E359E" w:rsidRDefault="000E359E" w:rsidP="000E359E">
      <w:pPr>
        <w:ind w:left="360"/>
        <w:rPr>
          <w:rFonts w:ascii="Times New Roman" w:hAnsi="Times New Roman" w:cs="Times New Roman"/>
          <w:sz w:val="24"/>
          <w:szCs w:val="24"/>
        </w:rPr>
      </w:pPr>
    </w:p>
    <w:p w:rsidR="000E359E" w:rsidRDefault="000E359E" w:rsidP="000E359E">
      <w:pPr>
        <w:ind w:left="360"/>
        <w:rPr>
          <w:rFonts w:ascii="Times New Roman" w:hAnsi="Times New Roman" w:cs="Times New Roman"/>
          <w:sz w:val="24"/>
          <w:szCs w:val="24"/>
        </w:rPr>
      </w:pPr>
      <w:r>
        <w:rPr>
          <w:rFonts w:ascii="Times New Roman" w:hAnsi="Times New Roman" w:cs="Times New Roman"/>
          <w:sz w:val="24"/>
          <w:szCs w:val="24"/>
        </w:rPr>
        <w:t>Con relación a la tipicidad, ya se hablaba de “dosis mínima psicoactiva” en el Alto Tribunal, convirtiendo este exponente en la separación entre tipicidad y atipicidad en las conductas. El referente marcado por este tiempo era un cuadro parecido al que veremos más adelante (Acuerdo del Pleno no jurisdiccional de la sala segunda del Tribunal Supremo de fecha 21 de octubre de 2001), que contenía la circular FTS 1/1984, adquirido de “Drogas y fármacos de abuso” por el año 1981, que fue editado por el Consejo General de Colegios Oficiales de Farmacéuticos.</w:t>
      </w:r>
      <w:r>
        <w:rPr>
          <w:rStyle w:val="Refdenotaalpie"/>
          <w:rFonts w:ascii="Times New Roman" w:hAnsi="Times New Roman" w:cs="Times New Roman"/>
          <w:sz w:val="24"/>
          <w:szCs w:val="24"/>
        </w:rPr>
        <w:footnoteReference w:id="15"/>
      </w:r>
      <w:r>
        <w:rPr>
          <w:rFonts w:ascii="Times New Roman" w:hAnsi="Times New Roman" w:cs="Times New Roman"/>
          <w:sz w:val="24"/>
          <w:szCs w:val="24"/>
        </w:rPr>
        <w:t xml:space="preserve"> Por este tiempo, se hacía una definición bastante parecida a la que hoy en día conocemos, entiendo por tal “</w:t>
      </w:r>
      <w:r>
        <w:rPr>
          <w:rFonts w:ascii="Times New Roman" w:hAnsi="Times New Roman" w:cs="Times New Roman"/>
          <w:i/>
          <w:sz w:val="24"/>
          <w:szCs w:val="24"/>
        </w:rPr>
        <w:t>la cantidad de sustancia que permite detectar algún efecto físico o psíquico en quien la toma, aunque no se trate de los efectos que se buscan con la ingesta”</w:t>
      </w:r>
      <w:r>
        <w:rPr>
          <w:rStyle w:val="Refdenotaalpie"/>
          <w:rFonts w:ascii="Times New Roman" w:hAnsi="Times New Roman" w:cs="Times New Roman"/>
          <w:i/>
          <w:sz w:val="24"/>
          <w:szCs w:val="24"/>
        </w:rPr>
        <w:footnoteReference w:id="16"/>
      </w:r>
      <w:r>
        <w:rPr>
          <w:rFonts w:ascii="Times New Roman" w:hAnsi="Times New Roman" w:cs="Times New Roman"/>
          <w:sz w:val="24"/>
          <w:szCs w:val="24"/>
        </w:rPr>
        <w:t xml:space="preserve">. Con esto se pretende acabar con la discrepancia de opiniones que existían: pues de un lado se consideraban atípicas las ventas de cantidades ínfimas (pero que superaban la dosis mínima psicoactiva) de droga, justificando que se carecía de una antijuricidad material y por tanto se aplicaba </w:t>
      </w:r>
      <w:r w:rsidR="00683510">
        <w:rPr>
          <w:rFonts w:ascii="Times New Roman" w:hAnsi="Times New Roman" w:cs="Times New Roman"/>
          <w:sz w:val="24"/>
          <w:szCs w:val="24"/>
        </w:rPr>
        <w:t xml:space="preserve">el </w:t>
      </w:r>
      <w:r w:rsidR="00683510">
        <w:rPr>
          <w:rFonts w:ascii="Times New Roman" w:hAnsi="Times New Roman" w:cs="Times New Roman"/>
          <w:sz w:val="24"/>
          <w:szCs w:val="24"/>
        </w:rPr>
        <w:lastRenderedPageBreak/>
        <w:t>principio de insignificancia</w:t>
      </w:r>
      <w:r>
        <w:rPr>
          <w:rFonts w:ascii="Times New Roman" w:hAnsi="Times New Roman" w:cs="Times New Roman"/>
          <w:sz w:val="24"/>
          <w:szCs w:val="24"/>
        </w:rPr>
        <w:t xml:space="preserve"> y por otro lado, la postura condenatoria, la que entendía que al tratarse de conductas graves, no se podía emplear tal principio de insignificancia, había que excluirlo y por lo tanto sancionar por la tipicidad y antijuricidad cumplidas en tales  hechos, aunque se hablara de pequeñas cantidades.</w:t>
      </w:r>
    </w:p>
    <w:p w:rsidR="000E359E" w:rsidRDefault="0055198D" w:rsidP="000E359E">
      <w:pPr>
        <w:ind w:left="360"/>
        <w:rPr>
          <w:rFonts w:ascii="Times New Roman" w:hAnsi="Times New Roman" w:cs="Times New Roman"/>
          <w:sz w:val="24"/>
          <w:szCs w:val="24"/>
        </w:rPr>
      </w:pPr>
      <w:r>
        <w:rPr>
          <w:rFonts w:ascii="Times New Roman" w:hAnsi="Times New Roman" w:cs="Times New Roman"/>
          <w:sz w:val="24"/>
          <w:szCs w:val="24"/>
        </w:rPr>
        <w:t>Me resulta útil</w:t>
      </w:r>
      <w:r w:rsidR="000E359E">
        <w:rPr>
          <w:rFonts w:ascii="Times New Roman" w:hAnsi="Times New Roman" w:cs="Times New Roman"/>
          <w:sz w:val="24"/>
          <w:szCs w:val="24"/>
        </w:rPr>
        <w:t xml:space="preserve"> resaltar las siguientes sentencias</w:t>
      </w:r>
      <w:r w:rsidR="000E359E">
        <w:rPr>
          <w:rStyle w:val="Refdenotaalpie"/>
          <w:rFonts w:ascii="Times New Roman" w:hAnsi="Times New Roman" w:cs="Times New Roman"/>
          <w:sz w:val="24"/>
          <w:szCs w:val="24"/>
        </w:rPr>
        <w:footnoteReference w:id="17"/>
      </w:r>
      <w:r w:rsidR="000E359E">
        <w:rPr>
          <w:rFonts w:ascii="Times New Roman" w:hAnsi="Times New Roman" w:cs="Times New Roman"/>
          <w:sz w:val="24"/>
          <w:szCs w:val="24"/>
        </w:rPr>
        <w:t xml:space="preserve"> que voy a exponer a continuación para que se pueda ver y entender lo hasta entonces explicado. </w:t>
      </w:r>
    </w:p>
    <w:p w:rsidR="000E359E" w:rsidRPr="000D13DC" w:rsidRDefault="000E359E" w:rsidP="000E359E">
      <w:pPr>
        <w:ind w:left="360"/>
        <w:rPr>
          <w:rFonts w:ascii="Times New Roman" w:hAnsi="Times New Roman" w:cs="Times New Roman"/>
          <w:sz w:val="24"/>
          <w:szCs w:val="24"/>
        </w:rPr>
      </w:pPr>
      <w:r w:rsidRPr="00D733B8">
        <w:rPr>
          <w:rFonts w:ascii="Times New Roman" w:hAnsi="Times New Roman" w:cs="Times New Roman"/>
          <w:sz w:val="24"/>
          <w:szCs w:val="24"/>
        </w:rPr>
        <w:t>Esta primer</w:t>
      </w:r>
      <w:r>
        <w:rPr>
          <w:rFonts w:ascii="Times New Roman" w:hAnsi="Times New Roman" w:cs="Times New Roman"/>
          <w:sz w:val="24"/>
          <w:szCs w:val="24"/>
        </w:rPr>
        <w:t>a sentencia basa su absolución en</w:t>
      </w:r>
      <w:r w:rsidRPr="00D733B8">
        <w:rPr>
          <w:rFonts w:ascii="Times New Roman" w:hAnsi="Times New Roman" w:cs="Times New Roman"/>
          <w:sz w:val="24"/>
          <w:szCs w:val="24"/>
        </w:rPr>
        <w:t xml:space="preserve"> que</w:t>
      </w:r>
      <w:r>
        <w:rPr>
          <w:rFonts w:ascii="Times New Roman" w:hAnsi="Times New Roman" w:cs="Times New Roman"/>
          <w:sz w:val="24"/>
          <w:szCs w:val="24"/>
        </w:rPr>
        <w:t>, con</w:t>
      </w:r>
      <w:r w:rsidRPr="00D733B8">
        <w:rPr>
          <w:rFonts w:ascii="Times New Roman" w:hAnsi="Times New Roman" w:cs="Times New Roman"/>
          <w:sz w:val="24"/>
          <w:szCs w:val="24"/>
        </w:rPr>
        <w:t xml:space="preserve"> la escasa cantidad de droga vendida</w:t>
      </w:r>
      <w:r>
        <w:rPr>
          <w:rFonts w:ascii="Times New Roman" w:hAnsi="Times New Roman" w:cs="Times New Roman"/>
          <w:sz w:val="24"/>
          <w:szCs w:val="24"/>
        </w:rPr>
        <w:t>,</w:t>
      </w:r>
      <w:r w:rsidRPr="00D733B8">
        <w:rPr>
          <w:rFonts w:ascii="Times New Roman" w:hAnsi="Times New Roman" w:cs="Times New Roman"/>
          <w:sz w:val="24"/>
          <w:szCs w:val="24"/>
        </w:rPr>
        <w:t xml:space="preserve"> resulta imposible poner en riesgo la salud pública. Es una sentencia</w:t>
      </w:r>
      <w:r>
        <w:rPr>
          <w:rFonts w:ascii="Times New Roman" w:hAnsi="Times New Roman" w:cs="Times New Roman"/>
          <w:sz w:val="24"/>
          <w:szCs w:val="24"/>
        </w:rPr>
        <w:t>, evidentemente,</w:t>
      </w:r>
      <w:r w:rsidRPr="00D733B8">
        <w:rPr>
          <w:rFonts w:ascii="Times New Roman" w:hAnsi="Times New Roman" w:cs="Times New Roman"/>
          <w:sz w:val="24"/>
          <w:szCs w:val="24"/>
        </w:rPr>
        <w:t xml:space="preserve"> anterior al cuadro</w:t>
      </w:r>
      <w:r>
        <w:rPr>
          <w:rFonts w:ascii="Times New Roman" w:hAnsi="Times New Roman" w:cs="Times New Roman"/>
          <w:sz w:val="24"/>
          <w:szCs w:val="24"/>
        </w:rPr>
        <w:t xml:space="preserve"> que se acordó en el año 2003</w:t>
      </w:r>
      <w:r w:rsidRPr="00D733B8">
        <w:rPr>
          <w:rFonts w:ascii="Times New Roman" w:hAnsi="Times New Roman" w:cs="Times New Roman"/>
          <w:sz w:val="24"/>
          <w:szCs w:val="24"/>
        </w:rPr>
        <w:t xml:space="preserve">, en el que el Magistrado basa su motivación </w:t>
      </w:r>
      <w:r>
        <w:rPr>
          <w:rFonts w:ascii="Times New Roman" w:hAnsi="Times New Roman" w:cs="Times New Roman"/>
          <w:sz w:val="24"/>
          <w:szCs w:val="24"/>
        </w:rPr>
        <w:t xml:space="preserve"> no sólo </w:t>
      </w:r>
      <w:r w:rsidRPr="00D733B8">
        <w:rPr>
          <w:rFonts w:ascii="Times New Roman" w:hAnsi="Times New Roman" w:cs="Times New Roman"/>
          <w:sz w:val="24"/>
          <w:szCs w:val="24"/>
        </w:rPr>
        <w:t>en la pequeña cantidad suministrada</w:t>
      </w:r>
      <w:r>
        <w:rPr>
          <w:rFonts w:ascii="Times New Roman" w:hAnsi="Times New Roman" w:cs="Times New Roman"/>
          <w:sz w:val="24"/>
          <w:szCs w:val="24"/>
        </w:rPr>
        <w:t>, sino también</w:t>
      </w:r>
      <w:r w:rsidRPr="00D733B8">
        <w:rPr>
          <w:rFonts w:ascii="Times New Roman" w:hAnsi="Times New Roman" w:cs="Times New Roman"/>
          <w:sz w:val="24"/>
          <w:szCs w:val="24"/>
        </w:rPr>
        <w:t xml:space="preserve"> en el minúsculo riesgo de difusión que existe. </w:t>
      </w:r>
    </w:p>
    <w:p w:rsidR="000E359E" w:rsidRDefault="000E359E" w:rsidP="000E359E">
      <w:pPr>
        <w:ind w:left="360"/>
        <w:rPr>
          <w:rFonts w:ascii="Times New Roman" w:hAnsi="Times New Roman" w:cs="Times New Roman"/>
          <w:sz w:val="24"/>
          <w:szCs w:val="24"/>
        </w:rPr>
      </w:pPr>
      <w:r w:rsidRPr="00D733B8">
        <w:rPr>
          <w:rFonts w:ascii="Times New Roman" w:hAnsi="Times New Roman" w:cs="Times New Roman"/>
          <w:sz w:val="24"/>
          <w:szCs w:val="24"/>
        </w:rPr>
        <w:t>-</w:t>
      </w:r>
      <w:r w:rsidRPr="00D733B8">
        <w:rPr>
          <w:rFonts w:ascii="Times New Roman" w:hAnsi="Times New Roman" w:cs="Times New Roman"/>
          <w:sz w:val="24"/>
          <w:szCs w:val="24"/>
        </w:rPr>
        <w:tab/>
        <w:t xml:space="preserve">El Tribunal Supremo en su sentencia </w:t>
      </w:r>
      <w:r w:rsidRPr="00D733B8">
        <w:rPr>
          <w:rFonts w:ascii="Times New Roman" w:hAnsi="Times New Roman" w:cs="Times New Roman"/>
          <w:b/>
          <w:sz w:val="24"/>
          <w:szCs w:val="24"/>
        </w:rPr>
        <w:t xml:space="preserve">STS </w:t>
      </w:r>
      <w:r>
        <w:rPr>
          <w:rFonts w:ascii="Times New Roman" w:hAnsi="Times New Roman" w:cs="Times New Roman"/>
          <w:b/>
          <w:sz w:val="24"/>
          <w:szCs w:val="24"/>
        </w:rPr>
        <w:t xml:space="preserve">9063/2000 </w:t>
      </w:r>
      <w:r w:rsidRPr="00D733B8">
        <w:rPr>
          <w:rFonts w:ascii="Times New Roman" w:hAnsi="Times New Roman" w:cs="Times New Roman"/>
          <w:b/>
          <w:sz w:val="24"/>
          <w:szCs w:val="24"/>
        </w:rPr>
        <w:t>de 11 de diciembre</w:t>
      </w:r>
      <w:r w:rsidRPr="00D733B8">
        <w:rPr>
          <w:rFonts w:ascii="Times New Roman" w:hAnsi="Times New Roman" w:cs="Times New Roman"/>
          <w:sz w:val="24"/>
          <w:szCs w:val="24"/>
        </w:rPr>
        <w:t>,  absuelve a un individuo que vende dos bolas de crack de 0,02 g. de cocaína (de pureza media). La Audiencia</w:t>
      </w:r>
      <w:r>
        <w:rPr>
          <w:rFonts w:ascii="Times New Roman" w:hAnsi="Times New Roman" w:cs="Times New Roman"/>
          <w:sz w:val="24"/>
          <w:szCs w:val="24"/>
        </w:rPr>
        <w:t xml:space="preserve"> </w:t>
      </w:r>
      <w:r w:rsidRPr="00D733B8">
        <w:rPr>
          <w:rFonts w:ascii="Times New Roman" w:hAnsi="Times New Roman" w:cs="Times New Roman"/>
          <w:sz w:val="24"/>
          <w:szCs w:val="24"/>
        </w:rPr>
        <w:t>Provincial condenó al sujeto por tráfico de drogas, imputándole consumado el artículo 368 del Código Penal. El Supremo anula la sentencia por entender que la cantidad era tan insignificante, que en caso de que se hubiera consumido, hubiese sido casi imposible que la salud del sujeto que la tomare viera afectada su salud. Por lo que en general la conducta, aunque aparentemente parezca típica y antijurídica porque efectivamente se vende cocaína a cambio de un precio, es antijurídica formalmente, pues la droga vendida necesita la antijuricidad material para sancionar, ya que la sustancia, por inocua, no tiene el riesgo que debería tener para afectar a la salud individual. Incluso se pone de manifiesto la salud individual como premisa, pues se sobreentiende que si la escasa entidad del hecho de vender tal mínima cantidad no afecta a la salud individual, muchísimo menos afectará a la salud pública en su conjunto. Además, si nos fijamos la cantidad de 0,02 gramos de pureza media se encontraría por debajo de la marca interpuesta por el cuadro (0,05 gramos en el caso de cocaína), aunque en esta fecha aún no existía tal tabla.</w:t>
      </w:r>
    </w:p>
    <w:p w:rsidR="000E359E" w:rsidRDefault="000E359E" w:rsidP="000E359E">
      <w:pPr>
        <w:ind w:left="360"/>
        <w:rPr>
          <w:rFonts w:ascii="Times New Roman" w:hAnsi="Times New Roman" w:cs="Times New Roman"/>
          <w:sz w:val="24"/>
          <w:szCs w:val="24"/>
        </w:rPr>
      </w:pPr>
    </w:p>
    <w:p w:rsidR="000E359E" w:rsidRDefault="000E359E" w:rsidP="000E359E">
      <w:pPr>
        <w:ind w:left="360"/>
        <w:rPr>
          <w:rFonts w:ascii="Times New Roman" w:hAnsi="Times New Roman" w:cs="Times New Roman"/>
          <w:sz w:val="24"/>
          <w:szCs w:val="24"/>
        </w:rPr>
      </w:pPr>
      <w:r>
        <w:rPr>
          <w:rFonts w:ascii="Times New Roman" w:hAnsi="Times New Roman" w:cs="Times New Roman"/>
          <w:sz w:val="24"/>
          <w:szCs w:val="24"/>
        </w:rPr>
        <w:t>Las siguientes sentencias condenan los comportamientos llevados a cabo por los sujetos activos, en base a la argumentación antes explicada:</w:t>
      </w:r>
    </w:p>
    <w:p w:rsidR="000E359E" w:rsidRDefault="000E359E" w:rsidP="000E359E">
      <w:pPr>
        <w:pStyle w:val="Prrafodelista"/>
        <w:rPr>
          <w:rFonts w:ascii="Times New Roman" w:hAnsi="Times New Roman" w:cs="Times New Roman"/>
          <w:sz w:val="24"/>
          <w:szCs w:val="24"/>
        </w:rPr>
      </w:pPr>
    </w:p>
    <w:p w:rsidR="000E359E" w:rsidRDefault="000E359E" w:rsidP="000E359E">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lastRenderedPageBreak/>
        <w:t xml:space="preserve">La </w:t>
      </w:r>
      <w:r>
        <w:rPr>
          <w:rFonts w:ascii="Times New Roman" w:hAnsi="Times New Roman" w:cs="Times New Roman"/>
          <w:b/>
          <w:sz w:val="24"/>
          <w:szCs w:val="24"/>
        </w:rPr>
        <w:t xml:space="preserve">STS 7240/2003 de 17 de noviembre, </w:t>
      </w:r>
      <w:r>
        <w:rPr>
          <w:rFonts w:ascii="Times New Roman" w:hAnsi="Times New Roman" w:cs="Times New Roman"/>
          <w:sz w:val="24"/>
          <w:szCs w:val="24"/>
        </w:rPr>
        <w:t>motiva su sentencia condenatoria, en un supuesto de venta de una cantidad de 0,313 gramos de heroína con un porcentaje de pureza del 10,3% (31 miligramos de sustancia base), en que, a través de unas tablas de la Agencia Antidroga de la Comunidad de Madrid, se fija la dosis mínima psicoactiva de la heroína en el marco entre 0,75 miligramos y 1,25 miligramos. El Supremo justifica la tipicidad de la conducta en que: “</w:t>
      </w:r>
      <w:r>
        <w:rPr>
          <w:rFonts w:ascii="Times New Roman" w:hAnsi="Times New Roman" w:cs="Times New Roman"/>
          <w:i/>
          <w:sz w:val="24"/>
          <w:szCs w:val="24"/>
        </w:rPr>
        <w:t xml:space="preserve">la </w:t>
      </w:r>
      <w:proofErr w:type="spellStart"/>
      <w:r>
        <w:rPr>
          <w:rFonts w:ascii="Times New Roman" w:hAnsi="Times New Roman" w:cs="Times New Roman"/>
          <w:i/>
          <w:sz w:val="24"/>
          <w:szCs w:val="24"/>
        </w:rPr>
        <w:t>dmp</w:t>
      </w:r>
      <w:proofErr w:type="spellEnd"/>
      <w:r>
        <w:rPr>
          <w:rFonts w:ascii="Times New Roman" w:hAnsi="Times New Roman" w:cs="Times New Roman"/>
          <w:i/>
          <w:sz w:val="24"/>
          <w:szCs w:val="24"/>
        </w:rPr>
        <w:t xml:space="preserve"> forma en todo caso la línea divisoria entre la inocuidad y la nocividad de la administración de la sustancia”.</w:t>
      </w:r>
    </w:p>
    <w:p w:rsidR="000E359E" w:rsidRPr="00067D79" w:rsidRDefault="000E359E" w:rsidP="000E359E">
      <w:pPr>
        <w:pStyle w:val="Prrafodelista"/>
        <w:rPr>
          <w:rFonts w:ascii="Times New Roman" w:hAnsi="Times New Roman" w:cs="Times New Roman"/>
          <w:sz w:val="24"/>
          <w:szCs w:val="24"/>
        </w:rPr>
      </w:pPr>
    </w:p>
    <w:p w:rsidR="000E359E" w:rsidRPr="00A946EC" w:rsidRDefault="000E359E" w:rsidP="000E359E">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Y por último, la </w:t>
      </w:r>
      <w:r>
        <w:rPr>
          <w:rFonts w:ascii="Times New Roman" w:hAnsi="Times New Roman" w:cs="Times New Roman"/>
          <w:b/>
          <w:sz w:val="24"/>
          <w:szCs w:val="24"/>
        </w:rPr>
        <w:t>STS 7542/2003 de 27 de noviembre,</w:t>
      </w:r>
      <w:r>
        <w:rPr>
          <w:rFonts w:ascii="Times New Roman" w:hAnsi="Times New Roman" w:cs="Times New Roman"/>
          <w:sz w:val="24"/>
          <w:szCs w:val="24"/>
        </w:rPr>
        <w:t xml:space="preserve"> condena a un sujeto por vender una papelina de heroína de 0,181 gramos con una pureza del 14,8% (0,026788 gramos ó 26,788 miligramos de sustancia pura), por entender que la conducta punible es “</w:t>
      </w:r>
      <w:r>
        <w:rPr>
          <w:rFonts w:ascii="Times New Roman" w:hAnsi="Times New Roman" w:cs="Times New Roman"/>
          <w:i/>
          <w:sz w:val="24"/>
          <w:szCs w:val="24"/>
        </w:rPr>
        <w:t>la venta de una dosis psicoactiva de esa sustancia”</w:t>
      </w:r>
      <w:r>
        <w:rPr>
          <w:rFonts w:ascii="Times New Roman" w:hAnsi="Times New Roman" w:cs="Times New Roman"/>
          <w:sz w:val="24"/>
          <w:szCs w:val="24"/>
        </w:rPr>
        <w:t>.</w:t>
      </w:r>
    </w:p>
    <w:p w:rsidR="000E359E" w:rsidRDefault="000E359E" w:rsidP="000E359E"/>
    <w:p w:rsidR="00BA48B3" w:rsidRPr="000E359E" w:rsidRDefault="00BA48B3" w:rsidP="000E359E"/>
    <w:p w:rsidR="000E359E" w:rsidRPr="00DF3379" w:rsidRDefault="00F41816" w:rsidP="00F41816">
      <w:pPr>
        <w:pStyle w:val="Ttulo2"/>
        <w:numPr>
          <w:ilvl w:val="1"/>
          <w:numId w:val="9"/>
        </w:numPr>
        <w:rPr>
          <w:rFonts w:ascii="Times New Roman" w:hAnsi="Times New Roman" w:cs="Times New Roman"/>
          <w:color w:val="auto"/>
          <w:sz w:val="24"/>
          <w:szCs w:val="24"/>
        </w:rPr>
      </w:pPr>
      <w:r w:rsidRPr="00DF3379">
        <w:rPr>
          <w:rFonts w:ascii="Times New Roman" w:hAnsi="Times New Roman" w:cs="Times New Roman"/>
          <w:color w:val="auto"/>
          <w:sz w:val="24"/>
          <w:szCs w:val="24"/>
        </w:rPr>
        <w:t xml:space="preserve"> </w:t>
      </w:r>
      <w:bookmarkStart w:id="35" w:name="_Toc393739393"/>
      <w:r w:rsidRPr="00DF3379">
        <w:rPr>
          <w:rFonts w:ascii="Times New Roman" w:hAnsi="Times New Roman" w:cs="Times New Roman"/>
          <w:color w:val="auto"/>
          <w:sz w:val="24"/>
          <w:szCs w:val="24"/>
        </w:rPr>
        <w:t>Acuerdo</w:t>
      </w:r>
      <w:bookmarkEnd w:id="35"/>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Desde el año 2003, el Alto Tribunal dicta una sentencia que intenta aclarar y perfilar aún más las pautas a la hora de tipificar estos delitos y entra en contradicción con la tesis expuesta en el punto anterior. La </w:t>
      </w:r>
      <w:r>
        <w:rPr>
          <w:rFonts w:ascii="Times New Roman" w:hAnsi="Times New Roman" w:cs="Times New Roman"/>
          <w:b/>
          <w:sz w:val="24"/>
          <w:szCs w:val="24"/>
        </w:rPr>
        <w:t xml:space="preserve">STS 4335/2003 de 21 de junio </w:t>
      </w:r>
      <w:r>
        <w:rPr>
          <w:rFonts w:ascii="Times New Roman" w:hAnsi="Times New Roman" w:cs="Times New Roman"/>
          <w:sz w:val="24"/>
          <w:szCs w:val="24"/>
        </w:rPr>
        <w:t xml:space="preserve">explica que para una conducta sea punible penalmente por tráfico de drogas, debe de existir una cantidad mínima (dosis mínimo psicoactiva) para ello. La sentencia establecía al respecto los siguientes puntos de interés: </w:t>
      </w:r>
    </w:p>
    <w:p w:rsidR="00F41816" w:rsidRPr="00607EA3" w:rsidRDefault="00F41816" w:rsidP="00F41816">
      <w:pPr>
        <w:pStyle w:val="Prrafodelista"/>
        <w:numPr>
          <w:ilvl w:val="0"/>
          <w:numId w:val="2"/>
        </w:numPr>
        <w:rPr>
          <w:rFonts w:ascii="Times New Roman" w:hAnsi="Times New Roman" w:cs="Times New Roman"/>
          <w:sz w:val="24"/>
          <w:szCs w:val="24"/>
        </w:rPr>
      </w:pPr>
      <w:r>
        <w:rPr>
          <w:rFonts w:ascii="Times New Roman" w:hAnsi="Times New Roman" w:cs="Times New Roman"/>
          <w:i/>
          <w:sz w:val="24"/>
          <w:szCs w:val="24"/>
        </w:rPr>
        <w:t>“Desde el punto de vista de la antijuricidad material lo que se requiere es que el hecho no sólo infrinja una norma sino que además produzca la lesión de un bien jurídico.</w:t>
      </w:r>
    </w:p>
    <w:p w:rsidR="00F41816" w:rsidRDefault="00F41816" w:rsidP="00F41816">
      <w:pPr>
        <w:pStyle w:val="Prrafodelista"/>
        <w:numPr>
          <w:ilvl w:val="0"/>
          <w:numId w:val="2"/>
        </w:numPr>
        <w:rPr>
          <w:rFonts w:ascii="Times New Roman" w:hAnsi="Times New Roman" w:cs="Times New Roman"/>
          <w:i/>
          <w:sz w:val="24"/>
          <w:szCs w:val="24"/>
        </w:rPr>
      </w:pPr>
      <w:r w:rsidRPr="00607EA3">
        <w:rPr>
          <w:rFonts w:ascii="Times New Roman" w:hAnsi="Times New Roman" w:cs="Times New Roman"/>
          <w:i/>
          <w:sz w:val="24"/>
          <w:szCs w:val="24"/>
        </w:rPr>
        <w:t>Entendiendo el bien jurídico</w:t>
      </w:r>
      <w:r>
        <w:rPr>
          <w:rFonts w:ascii="Times New Roman" w:hAnsi="Times New Roman" w:cs="Times New Roman"/>
          <w:i/>
          <w:sz w:val="24"/>
          <w:szCs w:val="24"/>
        </w:rPr>
        <w:t xml:space="preserve"> como la finalidad perseguida por la norma, en el caso del artículo 368 CP, la difusión de drogas tóxicas.</w:t>
      </w:r>
    </w:p>
    <w:p w:rsidR="00F41816" w:rsidRPr="00607EA3" w:rsidRDefault="00F41816" w:rsidP="00F41816">
      <w:pPr>
        <w:pStyle w:val="Prrafodelista"/>
        <w:numPr>
          <w:ilvl w:val="0"/>
          <w:numId w:val="2"/>
        </w:numPr>
        <w:rPr>
          <w:rFonts w:ascii="Times New Roman" w:hAnsi="Times New Roman" w:cs="Times New Roman"/>
          <w:i/>
          <w:sz w:val="24"/>
          <w:szCs w:val="24"/>
        </w:rPr>
      </w:pPr>
      <w:r>
        <w:rPr>
          <w:rFonts w:ascii="Times New Roman" w:hAnsi="Times New Roman" w:cs="Times New Roman"/>
          <w:i/>
          <w:sz w:val="24"/>
          <w:szCs w:val="24"/>
        </w:rPr>
        <w:t>La antijuricidad material no se vería afectada, dado que, en todo caso, no requiere que la lesión sea importante.</w:t>
      </w:r>
    </w:p>
    <w:p w:rsidR="00F41816" w:rsidRPr="00607EA3" w:rsidRDefault="00F41816" w:rsidP="00F41816">
      <w:pPr>
        <w:pStyle w:val="Prrafodelista"/>
        <w:numPr>
          <w:ilvl w:val="0"/>
          <w:numId w:val="2"/>
        </w:numPr>
        <w:rPr>
          <w:rFonts w:ascii="Times New Roman" w:hAnsi="Times New Roman" w:cs="Times New Roman"/>
          <w:sz w:val="24"/>
          <w:szCs w:val="24"/>
        </w:rPr>
      </w:pPr>
      <w:r w:rsidRPr="001429E6">
        <w:rPr>
          <w:rFonts w:ascii="Times New Roman" w:hAnsi="Times New Roman" w:cs="Times New Roman"/>
          <w:i/>
          <w:sz w:val="24"/>
          <w:szCs w:val="24"/>
        </w:rPr>
        <w:t>En la formulación clásica</w:t>
      </w:r>
      <w:r w:rsidRPr="00607EA3">
        <w:rPr>
          <w:rFonts w:ascii="Times New Roman" w:hAnsi="Times New Roman" w:cs="Times New Roman"/>
          <w:sz w:val="24"/>
          <w:szCs w:val="24"/>
        </w:rPr>
        <w:t xml:space="preserve"> </w:t>
      </w:r>
      <w:r>
        <w:rPr>
          <w:rFonts w:ascii="Times New Roman" w:hAnsi="Times New Roman" w:cs="Times New Roman"/>
          <w:i/>
          <w:sz w:val="24"/>
          <w:szCs w:val="24"/>
        </w:rPr>
        <w:t>de los iniciadores de esta teoría, el conflicto entre la antijuricidad formal y la antijuricidad material debía ser resuelto a favor de la primera.</w:t>
      </w:r>
    </w:p>
    <w:p w:rsidR="00F41816" w:rsidRDefault="00F41816" w:rsidP="00F41816">
      <w:pPr>
        <w:pStyle w:val="Prrafodelista"/>
        <w:numPr>
          <w:ilvl w:val="0"/>
          <w:numId w:val="2"/>
        </w:numPr>
        <w:rPr>
          <w:rFonts w:ascii="Times New Roman" w:hAnsi="Times New Roman" w:cs="Times New Roman"/>
          <w:sz w:val="24"/>
          <w:szCs w:val="24"/>
        </w:rPr>
      </w:pPr>
      <w:r w:rsidRPr="00710B6A">
        <w:rPr>
          <w:rFonts w:ascii="Times New Roman" w:hAnsi="Times New Roman" w:cs="Times New Roman"/>
          <w:i/>
          <w:sz w:val="24"/>
          <w:szCs w:val="24"/>
        </w:rPr>
        <w:t xml:space="preserve">En el caso de los delitos graves, como son los delitos del tráfico de drogas, no cabe invocar, ni si quiera de </w:t>
      </w:r>
      <w:proofErr w:type="spellStart"/>
      <w:r w:rsidRPr="00710B6A">
        <w:rPr>
          <w:rFonts w:ascii="Times New Roman" w:hAnsi="Times New Roman" w:cs="Times New Roman"/>
          <w:i/>
          <w:sz w:val="24"/>
          <w:szCs w:val="24"/>
        </w:rPr>
        <w:t>lege</w:t>
      </w:r>
      <w:proofErr w:type="spellEnd"/>
      <w:r w:rsidRPr="00710B6A">
        <w:rPr>
          <w:rFonts w:ascii="Times New Roman" w:hAnsi="Times New Roman" w:cs="Times New Roman"/>
          <w:i/>
          <w:sz w:val="24"/>
          <w:szCs w:val="24"/>
        </w:rPr>
        <w:t xml:space="preserve"> </w:t>
      </w:r>
      <w:proofErr w:type="spellStart"/>
      <w:r w:rsidRPr="00710B6A">
        <w:rPr>
          <w:rFonts w:ascii="Times New Roman" w:hAnsi="Times New Roman" w:cs="Times New Roman"/>
          <w:i/>
          <w:sz w:val="24"/>
          <w:szCs w:val="24"/>
        </w:rPr>
        <w:t>ferenda</w:t>
      </w:r>
      <w:proofErr w:type="spellEnd"/>
      <w:r w:rsidRPr="00710B6A">
        <w:rPr>
          <w:rFonts w:ascii="Times New Roman" w:hAnsi="Times New Roman" w:cs="Times New Roman"/>
          <w:i/>
          <w:sz w:val="24"/>
          <w:szCs w:val="24"/>
        </w:rPr>
        <w:t>, un principio de insignificancia</w:t>
      </w:r>
      <w:r>
        <w:rPr>
          <w:rFonts w:ascii="Times New Roman" w:hAnsi="Times New Roman" w:cs="Times New Roman"/>
          <w:sz w:val="24"/>
          <w:szCs w:val="24"/>
        </w:rPr>
        <w:t>”.</w:t>
      </w:r>
    </w:p>
    <w:p w:rsidR="00F41816" w:rsidRDefault="00F41816" w:rsidP="00F41816">
      <w:pPr>
        <w:ind w:left="360"/>
        <w:rPr>
          <w:rFonts w:ascii="Times New Roman" w:hAnsi="Times New Roman" w:cs="Times New Roman"/>
          <w:sz w:val="24"/>
          <w:szCs w:val="24"/>
        </w:rPr>
      </w:pP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Como se observa,  la situación de incompatibilidad llevó de forma irremediable al Tribunal Supremo a tener que acudir al Instituto Nacional de Toxicología para que éste estableciera unos criterios que sirvieran de base al Alto Tribunal y así poder empezar a unificar doctrina. </w:t>
      </w: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Hay que tener presente que la simple aparición de una sustancia no puede implicar un riesgo para la salud de las personas, pues hay que saber el tipo de sustancia, en qué medida ésta puede llegar a dañar el organismo con una determinada cantidad, etc., y esto hay que hacerlo desde la máxima objetividad posible; teniendo en cuenta también las circunstancias del autor y del propio caso en concreto. </w:t>
      </w: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Por ello, el Instituto Nacional de Toxicología emitió un Informe (Informe 12691/03, de 22 de diciembre de 2003), según el cual se formulaban datos relevantes acerca de unos índices mínimos a partir de los cuáles las sustancias podían afectar a las funciones físicas o psíquicas de un ser humano, y así poner en peligro la salud. Dicho Informe ofrece además información acerca de dosis de uso habitual, de consumo diario y  dosis mínima psicoactiva de un total de 29 sustancias, agrupadas en 6 familias, teniendo en cuenta las definiciones de cada sustancia y fiscalización en los Convenios Internacionales de 1961 y 1971 (de los que se ha hecho mención en el punto número dos de este trabajo). </w:t>
      </w:r>
      <w:r w:rsidR="00683510">
        <w:rPr>
          <w:rStyle w:val="Refdenotaalpie"/>
          <w:rFonts w:ascii="Times New Roman" w:hAnsi="Times New Roman" w:cs="Times New Roman"/>
          <w:sz w:val="24"/>
          <w:szCs w:val="24"/>
        </w:rPr>
        <w:footnoteReference w:id="18"/>
      </w:r>
      <w:r>
        <w:rPr>
          <w:rFonts w:ascii="Times New Roman" w:hAnsi="Times New Roman" w:cs="Times New Roman"/>
          <w:sz w:val="24"/>
          <w:szCs w:val="24"/>
        </w:rPr>
        <w:t xml:space="preserve">Lo que se buscaba con este Informe y su interpretación, era dar una mayor seguridad jurídica a todas estas cuestiones tan debatidas y contradictorias. </w:t>
      </w:r>
    </w:p>
    <w:p w:rsidR="00F41816" w:rsidRDefault="00F41816" w:rsidP="00556FB6">
      <w:pPr>
        <w:ind w:left="360"/>
        <w:rPr>
          <w:rFonts w:ascii="Times New Roman" w:hAnsi="Times New Roman" w:cs="Times New Roman"/>
          <w:sz w:val="24"/>
          <w:szCs w:val="24"/>
        </w:rPr>
      </w:pPr>
      <w:r>
        <w:rPr>
          <w:rFonts w:ascii="Times New Roman" w:hAnsi="Times New Roman" w:cs="Times New Roman"/>
          <w:sz w:val="24"/>
          <w:szCs w:val="24"/>
        </w:rPr>
        <w:t>El citado Informe llega a manos del Tribunal Supremo un mes después, en enero de 2004 y este Tribunal, lejos de debatir las posibles problemas o interpretaciones, decide simplemente remitir a los Magistrados de la Sala Segunda, un cuadro resumen en el cual constan 6 sustancias con sus correspondientes dosis mínimas psicoactivas:</w:t>
      </w:r>
    </w:p>
    <w:p w:rsidR="00F41816" w:rsidRPr="00710B6A" w:rsidRDefault="00F41816" w:rsidP="00F41816">
      <w:pPr>
        <w:ind w:left="360"/>
        <w:rPr>
          <w:rFonts w:ascii="Times New Roman" w:hAnsi="Times New Roman" w:cs="Times New Roman"/>
          <w:b/>
          <w:sz w:val="24"/>
          <w:szCs w:val="24"/>
        </w:rPr>
      </w:pPr>
      <w:r>
        <w:rPr>
          <w:rFonts w:ascii="Times New Roman" w:hAnsi="Times New Roman" w:cs="Times New Roman"/>
          <w:b/>
          <w:sz w:val="24"/>
          <w:szCs w:val="24"/>
        </w:rPr>
        <w:t>Tabla elaborada por el Gabinete del Tribunal Supremo con la información precedente del Instituto Nacional de Toxicología:</w:t>
      </w:r>
    </w:p>
    <w:tbl>
      <w:tblPr>
        <w:tblStyle w:val="Tablaconcuadrcula"/>
        <w:tblW w:w="9743" w:type="dxa"/>
        <w:tblBorders>
          <w:top w:val="thinThickSmallGap" w:sz="24" w:space="0" w:color="auto"/>
          <w:left w:val="thinThickSmallGap" w:sz="24" w:space="0" w:color="auto"/>
          <w:bottom w:val="thinThickSmallGap" w:sz="24" w:space="0" w:color="auto"/>
          <w:right w:val="thinThickSmallGap" w:sz="24" w:space="0" w:color="auto"/>
        </w:tblBorders>
        <w:tblLayout w:type="fixed"/>
        <w:tblLook w:val="04A0" w:firstRow="1" w:lastRow="0" w:firstColumn="1" w:lastColumn="0" w:noHBand="0" w:noVBand="1"/>
      </w:tblPr>
      <w:tblGrid>
        <w:gridCol w:w="1766"/>
        <w:gridCol w:w="1417"/>
        <w:gridCol w:w="1418"/>
        <w:gridCol w:w="1417"/>
        <w:gridCol w:w="1123"/>
        <w:gridCol w:w="1145"/>
        <w:gridCol w:w="1457"/>
      </w:tblGrid>
      <w:tr w:rsidR="00F41816" w:rsidRPr="002A09D1" w:rsidTr="00CC0EA9">
        <w:tc>
          <w:tcPr>
            <w:tcW w:w="1766"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SUSTANCIA TÓXICA</w:t>
            </w:r>
          </w:p>
        </w:tc>
        <w:tc>
          <w:tcPr>
            <w:tcW w:w="1417"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HEROÍNA</w:t>
            </w:r>
          </w:p>
        </w:tc>
        <w:tc>
          <w:tcPr>
            <w:tcW w:w="1418"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COCAÍNA</w:t>
            </w:r>
          </w:p>
        </w:tc>
        <w:tc>
          <w:tcPr>
            <w:tcW w:w="1417"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HACHÍS</w:t>
            </w:r>
          </w:p>
        </w:tc>
        <w:tc>
          <w:tcPr>
            <w:tcW w:w="1123"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LSD</w:t>
            </w:r>
          </w:p>
        </w:tc>
        <w:tc>
          <w:tcPr>
            <w:tcW w:w="1145"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MDMA</w:t>
            </w:r>
          </w:p>
        </w:tc>
        <w:tc>
          <w:tcPr>
            <w:tcW w:w="1457"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MORFINA</w:t>
            </w:r>
          </w:p>
        </w:tc>
      </w:tr>
      <w:tr w:rsidR="00F41816" w:rsidRPr="002A09D1" w:rsidTr="00CC0EA9">
        <w:tc>
          <w:tcPr>
            <w:tcW w:w="1766" w:type="dxa"/>
            <w:shd w:val="clear" w:color="auto" w:fill="D9D9D9" w:themeFill="background1" w:themeFillShade="D9"/>
          </w:tcPr>
          <w:p w:rsidR="00F41816" w:rsidRPr="00CC0EA9" w:rsidRDefault="00F41816" w:rsidP="00537449">
            <w:pPr>
              <w:jc w:val="center"/>
              <w:rPr>
                <w:rFonts w:ascii="Times New Roman" w:hAnsi="Times New Roman" w:cs="Times New Roman"/>
                <w:b/>
                <w:sz w:val="24"/>
                <w:szCs w:val="24"/>
              </w:rPr>
            </w:pPr>
            <w:r w:rsidRPr="00CC0EA9">
              <w:rPr>
                <w:rFonts w:ascii="Times New Roman" w:hAnsi="Times New Roman" w:cs="Times New Roman"/>
                <w:b/>
                <w:sz w:val="24"/>
                <w:szCs w:val="24"/>
              </w:rPr>
              <w:t>Dosis mínima psicoactiva</w:t>
            </w:r>
          </w:p>
        </w:tc>
        <w:tc>
          <w:tcPr>
            <w:tcW w:w="1417"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0,66 miligramos ó 0,00066 gramos</w:t>
            </w:r>
          </w:p>
        </w:tc>
        <w:tc>
          <w:tcPr>
            <w:tcW w:w="1418"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50 miligramos ó 0,05 gramos</w:t>
            </w:r>
          </w:p>
        </w:tc>
        <w:tc>
          <w:tcPr>
            <w:tcW w:w="1417"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10 miligramos ó 0,01 gramos de THC</w:t>
            </w:r>
          </w:p>
        </w:tc>
        <w:tc>
          <w:tcPr>
            <w:tcW w:w="1123"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 xml:space="preserve">20 </w:t>
            </w:r>
            <w:proofErr w:type="spellStart"/>
            <w:r>
              <w:rPr>
                <w:rFonts w:ascii="Times New Roman" w:hAnsi="Times New Roman" w:cs="Times New Roman"/>
                <w:sz w:val="24"/>
                <w:szCs w:val="24"/>
              </w:rPr>
              <w:t>mcg</w:t>
            </w:r>
            <w:proofErr w:type="spellEnd"/>
            <w:r>
              <w:rPr>
                <w:rFonts w:ascii="Times New Roman" w:hAnsi="Times New Roman" w:cs="Times New Roman"/>
                <w:sz w:val="24"/>
                <w:szCs w:val="24"/>
              </w:rPr>
              <w:t>. ó 0,000002 gramos</w:t>
            </w:r>
          </w:p>
        </w:tc>
        <w:tc>
          <w:tcPr>
            <w:tcW w:w="1145"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 xml:space="preserve">20 </w:t>
            </w:r>
            <w:proofErr w:type="spellStart"/>
            <w:r>
              <w:rPr>
                <w:rFonts w:ascii="Times New Roman" w:hAnsi="Times New Roman" w:cs="Times New Roman"/>
                <w:sz w:val="24"/>
                <w:szCs w:val="24"/>
              </w:rPr>
              <w:t>miligra-mos</w:t>
            </w:r>
            <w:proofErr w:type="spellEnd"/>
            <w:r>
              <w:rPr>
                <w:rFonts w:ascii="Times New Roman" w:hAnsi="Times New Roman" w:cs="Times New Roman"/>
                <w:sz w:val="24"/>
                <w:szCs w:val="24"/>
              </w:rPr>
              <w:t xml:space="preserve"> ó 0,02 gramos</w:t>
            </w:r>
          </w:p>
        </w:tc>
        <w:tc>
          <w:tcPr>
            <w:tcW w:w="1457" w:type="dxa"/>
          </w:tcPr>
          <w:p w:rsidR="00F41816" w:rsidRPr="002A09D1" w:rsidRDefault="00F41816" w:rsidP="00537449">
            <w:pPr>
              <w:jc w:val="center"/>
              <w:rPr>
                <w:rFonts w:ascii="Times New Roman" w:hAnsi="Times New Roman" w:cs="Times New Roman"/>
                <w:sz w:val="24"/>
                <w:szCs w:val="24"/>
              </w:rPr>
            </w:pPr>
            <w:r>
              <w:rPr>
                <w:rFonts w:ascii="Times New Roman" w:hAnsi="Times New Roman" w:cs="Times New Roman"/>
                <w:sz w:val="24"/>
                <w:szCs w:val="24"/>
              </w:rPr>
              <w:t>2 miligramos ó 0,002 gramos</w:t>
            </w:r>
          </w:p>
        </w:tc>
      </w:tr>
    </w:tbl>
    <w:p w:rsidR="00F41816" w:rsidRPr="00FB624A" w:rsidRDefault="00F41816" w:rsidP="00F41816">
      <w:pPr>
        <w:ind w:left="360"/>
        <w:rPr>
          <w:rFonts w:ascii="Times New Roman" w:hAnsi="Times New Roman" w:cs="Times New Roman"/>
          <w:i/>
          <w:sz w:val="20"/>
          <w:szCs w:val="20"/>
        </w:rPr>
      </w:pPr>
      <w:r w:rsidRPr="00FB624A">
        <w:rPr>
          <w:rFonts w:ascii="Times New Roman" w:hAnsi="Times New Roman" w:cs="Times New Roman"/>
          <w:i/>
          <w:sz w:val="20"/>
          <w:szCs w:val="20"/>
        </w:rPr>
        <w:t xml:space="preserve">Referencia o fuente: Instituto Nacional de Toxicología. </w:t>
      </w:r>
    </w:p>
    <w:p w:rsidR="00F41816" w:rsidRDefault="00F41816" w:rsidP="00F41816">
      <w:pPr>
        <w:ind w:left="360"/>
        <w:rPr>
          <w:rFonts w:ascii="Times New Roman" w:hAnsi="Times New Roman" w:cs="Times New Roman"/>
          <w:sz w:val="20"/>
          <w:szCs w:val="20"/>
        </w:rPr>
      </w:pPr>
      <w:r>
        <w:rPr>
          <w:rFonts w:ascii="Times New Roman" w:hAnsi="Times New Roman" w:cs="Times New Roman"/>
          <w:sz w:val="20"/>
          <w:szCs w:val="20"/>
        </w:rPr>
        <w:lastRenderedPageBreak/>
        <w:t xml:space="preserve">Los datos que se pueden observar en la  tabla  hacen referencia a la dosis mínima psicoactiva de las sustancias consideradas tóxicas en el delito de tráfico de drogas y que pueden tener repercusión en los ámbitos físicos y psíquicos de cualquier persona. Los datos vienen expresados en miligramos, microgramos y gramos. La abreviatura THC representa al </w:t>
      </w:r>
      <w:proofErr w:type="spellStart"/>
      <w:r>
        <w:rPr>
          <w:rFonts w:ascii="Times New Roman" w:hAnsi="Times New Roman" w:cs="Times New Roman"/>
          <w:sz w:val="20"/>
          <w:szCs w:val="20"/>
        </w:rPr>
        <w:t>Tetrahidrocannabinol</w:t>
      </w:r>
      <w:proofErr w:type="spellEnd"/>
      <w:r>
        <w:rPr>
          <w:rFonts w:ascii="Times New Roman" w:hAnsi="Times New Roman" w:cs="Times New Roman"/>
          <w:sz w:val="20"/>
          <w:szCs w:val="20"/>
        </w:rPr>
        <w:t xml:space="preserve"> (componente del principio activo del cannabis).</w:t>
      </w:r>
    </w:p>
    <w:p w:rsidR="00F41816" w:rsidRDefault="00F41816" w:rsidP="00F41816">
      <w:pPr>
        <w:ind w:left="360"/>
        <w:rPr>
          <w:rFonts w:ascii="Times New Roman" w:hAnsi="Times New Roman" w:cs="Times New Roman"/>
          <w:sz w:val="20"/>
          <w:szCs w:val="20"/>
        </w:rPr>
      </w:pP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Con respecto a la interpretación de este cuadro resumen, hay que dejar claro que sus datos no son totalmente exactos o minuciosos con lo que el Instituto Nacional de Toxicología declaró en el mencionado informe. En primer lugar, y refiriéndome al LSD, el informe fijaba la dosis mínima psicoactiva entre 20 y 25 microgramos; con la heroína, el informe establece un margen entre 0,66 miligramos y 1 miligramo; y con el MDMA se fija un intervalo entre 20 y 50 miligramos. Se puede extraer claramente de esto, que el Tribunal Supremo juega a escoger las mínimas cantidades rechazando de lleno los topes máximos. Sin embargo con el hachís, el Tribunal se mantiene bastante acorde, pues tanto para éste (hachís) y sus derivados: la marihuana y el aceite de hachís, se fija la dosis mínima psicoactiva en 10 miligramos. </w:t>
      </w: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Como se puede entender, esto fue muy criticado por la doctrina, llegando el Instituto Nacional de Toxicología a la emisión de un segundo informe en marzo del año 2004, para aclarar entre otras cosas el índice psicoactivo del THC, construyendo una cantidad de 100 miligramos para el hachís y de 6,67 miligramos para el aceite de hachís. Esto no sirvió absolutamente para nada, pues el Tribunal Supremo jamás aplicó este segundo informe.</w:t>
      </w: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De la misma manera en el citado informe, aparecen las dosis mínimas psicoactivas de varias sustancias denominadas “drogas de síntesis”, cuyo índice psicoactivo se encuentra en los 20 miligramos, que como se puede contemplar tampoco aparecen en el cuadro resumen elaborado por el Gabinete del Tribunal. Algunas de estas sustancias a las que me refiero son el GHB –</w:t>
      </w:r>
      <w:proofErr w:type="spellStart"/>
      <w:r>
        <w:rPr>
          <w:rFonts w:ascii="Times New Roman" w:hAnsi="Times New Roman" w:cs="Times New Roman"/>
          <w:sz w:val="24"/>
          <w:szCs w:val="24"/>
        </w:rPr>
        <w:t>gammabutirolactona</w:t>
      </w:r>
      <w:proofErr w:type="spellEnd"/>
      <w:r>
        <w:rPr>
          <w:rFonts w:ascii="Times New Roman" w:hAnsi="Times New Roman" w:cs="Times New Roman"/>
          <w:sz w:val="24"/>
          <w:szCs w:val="24"/>
        </w:rPr>
        <w:t>-  o éxtasis líquido o GBL, potencialmente peligrosas para dañar la salud e incluso causar la muerte.</w:t>
      </w:r>
    </w:p>
    <w:p w:rsidR="00F41816" w:rsidRDefault="00F41816" w:rsidP="00F41816">
      <w:pPr>
        <w:ind w:left="360"/>
        <w:rPr>
          <w:rFonts w:ascii="Times New Roman" w:hAnsi="Times New Roman" w:cs="Times New Roman"/>
          <w:sz w:val="24"/>
          <w:szCs w:val="24"/>
        </w:rPr>
      </w:pP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Para ratificar las  posturas existentes  que confrontaban en la sede del Alto Tribunal, conviene traer a colación a modo de ejemplo, unas cuantas sentencias tanto absolutorias como condenatorias que ponen de manifiesto estas posiciones u orientaciones a partir del Cuadro fijado por el Instituto Nacional de Toxicología, pues, una vez que se fija el cuadro, el Tribunal Supremo se basa en él a la hora de apoyar sus razonamientos en las sentencias. Si al analizar la droga salen índices inferiores a los plasmados en el cuadro, la conducta </w:t>
      </w:r>
      <w:r>
        <w:rPr>
          <w:rFonts w:ascii="Times New Roman" w:hAnsi="Times New Roman" w:cs="Times New Roman"/>
          <w:sz w:val="24"/>
          <w:szCs w:val="24"/>
        </w:rPr>
        <w:lastRenderedPageBreak/>
        <w:t>será atípica, pues no estaríamos hablando de droga tóxica, es como si no existiera el objeto material del delito. Como ejemplos, las siguientes sentencias:</w:t>
      </w:r>
    </w:p>
    <w:p w:rsidR="00F41816" w:rsidRPr="00D21680" w:rsidRDefault="00F41816" w:rsidP="00F41816">
      <w:pPr>
        <w:pStyle w:val="Prrafodelista"/>
        <w:numPr>
          <w:ilvl w:val="0"/>
          <w:numId w:val="2"/>
        </w:numPr>
        <w:rPr>
          <w:rFonts w:ascii="Times New Roman" w:hAnsi="Times New Roman" w:cs="Times New Roman"/>
          <w:sz w:val="24"/>
          <w:szCs w:val="24"/>
        </w:rPr>
      </w:pPr>
      <w:r>
        <w:rPr>
          <w:rFonts w:ascii="Times New Roman" w:hAnsi="Times New Roman" w:cs="Times New Roman"/>
          <w:b/>
          <w:sz w:val="24"/>
          <w:szCs w:val="24"/>
        </w:rPr>
        <w:t>STS 1583/2008, de 29 de abril.</w:t>
      </w:r>
      <w:r>
        <w:rPr>
          <w:rFonts w:ascii="Times New Roman" w:hAnsi="Times New Roman" w:cs="Times New Roman"/>
          <w:sz w:val="24"/>
          <w:szCs w:val="24"/>
        </w:rPr>
        <w:t xml:space="preserve"> Esta sentencia en su fundamento jurídico segundo, argumenta que la porción no alcanza los 50 miligramos plasmados en la tabla, estando por debajo la dosis mínima de la sustancia (en este caso cocaína) prevista en los acuerdos. Una vez más la tabla muestra unos valores farmacológicos los cuales se tienen que tener en cuenta para delimitar la tipicidad de la atipicidad.</w:t>
      </w:r>
    </w:p>
    <w:p w:rsidR="00F41816" w:rsidRDefault="00F41816" w:rsidP="00F41816">
      <w:pPr>
        <w:ind w:left="360"/>
        <w:rPr>
          <w:rFonts w:ascii="Times New Roman" w:hAnsi="Times New Roman" w:cs="Times New Roman"/>
          <w:sz w:val="24"/>
          <w:szCs w:val="24"/>
        </w:rPr>
      </w:pPr>
    </w:p>
    <w:p w:rsidR="00F41816" w:rsidRPr="00FA3F1B" w:rsidRDefault="00F41816" w:rsidP="00F41816">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En la siguiente </w:t>
      </w:r>
      <w:r>
        <w:rPr>
          <w:rFonts w:ascii="Times New Roman" w:hAnsi="Times New Roman" w:cs="Times New Roman"/>
          <w:b/>
          <w:sz w:val="24"/>
          <w:szCs w:val="24"/>
        </w:rPr>
        <w:t xml:space="preserve">STS 253/2011 de 28 de Enero, </w:t>
      </w:r>
      <w:r w:rsidRPr="00292000">
        <w:rPr>
          <w:rFonts w:ascii="Times New Roman" w:hAnsi="Times New Roman" w:cs="Times New Roman"/>
          <w:sz w:val="24"/>
          <w:szCs w:val="24"/>
        </w:rPr>
        <w:t xml:space="preserve">también se absuelve a un hombre por la venta de una papelina de 0,387 gramos al 11.7 %, lo que hace una cantidad pura de 0,045 </w:t>
      </w:r>
      <w:r>
        <w:rPr>
          <w:rFonts w:ascii="Times New Roman" w:hAnsi="Times New Roman" w:cs="Times New Roman"/>
          <w:sz w:val="24"/>
          <w:szCs w:val="24"/>
        </w:rPr>
        <w:t>gramos. La sentencia lo motiva de la siguiente forma: “</w:t>
      </w:r>
      <w:r>
        <w:rPr>
          <w:rFonts w:ascii="Times New Roman" w:hAnsi="Times New Roman" w:cs="Times New Roman"/>
          <w:i/>
          <w:sz w:val="24"/>
          <w:szCs w:val="24"/>
        </w:rPr>
        <w:t>Pues es criterio de esta sala –por todas, sentencia 1139/2010, de 24 noviembre-, fundado en un informe emitido al respecto por el Instituto Nacional de Toxicología que, tratándose de cocaína, la dosis mínima psicoactiva es de 50 miligramos ó 0,05 gramos de sustancia pura. Y en este caso, la presente en la dosis incautada al que ahora recurre es de 0,045 gramos, lo que sitúa a aquélla claramente por debajo del umbral de toxicidad que permitiría considerar a la acción enjuiciada como de riesgo para la salud pública. Falta, por tanto, un elemento objetivo del tipo penal central para su aplicación, lo que es determinante de la atipicidad de la conducta”.</w:t>
      </w:r>
    </w:p>
    <w:p w:rsidR="00F41816" w:rsidRDefault="00F41816" w:rsidP="00F41816">
      <w:pPr>
        <w:pStyle w:val="Prrafodelista"/>
        <w:ind w:left="426"/>
        <w:rPr>
          <w:rFonts w:ascii="Times New Roman" w:hAnsi="Times New Roman" w:cs="Times New Roman"/>
          <w:sz w:val="24"/>
          <w:szCs w:val="24"/>
        </w:rPr>
      </w:pPr>
    </w:p>
    <w:p w:rsidR="00F41816" w:rsidRDefault="00F41816" w:rsidP="00F41816">
      <w:pPr>
        <w:pStyle w:val="Prrafodelista"/>
        <w:ind w:left="426"/>
        <w:rPr>
          <w:rFonts w:ascii="Times New Roman" w:hAnsi="Times New Roman" w:cs="Times New Roman"/>
          <w:sz w:val="24"/>
          <w:szCs w:val="24"/>
        </w:rPr>
      </w:pPr>
      <w:r>
        <w:rPr>
          <w:rFonts w:ascii="Times New Roman" w:hAnsi="Times New Roman" w:cs="Times New Roman"/>
          <w:sz w:val="24"/>
          <w:szCs w:val="24"/>
        </w:rPr>
        <w:t>El raz</w:t>
      </w:r>
      <w:r w:rsidR="00B10135">
        <w:rPr>
          <w:rFonts w:ascii="Times New Roman" w:hAnsi="Times New Roman" w:cs="Times New Roman"/>
          <w:sz w:val="24"/>
          <w:szCs w:val="24"/>
        </w:rPr>
        <w:t xml:space="preserve">onamiento de estas absoluciones, y de cualquiera otra en estos casos, </w:t>
      </w:r>
      <w:r>
        <w:rPr>
          <w:rFonts w:ascii="Times New Roman" w:hAnsi="Times New Roman" w:cs="Times New Roman"/>
          <w:sz w:val="24"/>
          <w:szCs w:val="24"/>
        </w:rPr>
        <w:t>se puede basar en dos líneas:</w:t>
      </w:r>
    </w:p>
    <w:p w:rsidR="00F41816" w:rsidRDefault="00F41816" w:rsidP="00F41816">
      <w:pPr>
        <w:pStyle w:val="Prrafodelista"/>
        <w:numPr>
          <w:ilvl w:val="0"/>
          <w:numId w:val="6"/>
        </w:numPr>
        <w:rPr>
          <w:rFonts w:ascii="Times New Roman" w:hAnsi="Times New Roman" w:cs="Times New Roman"/>
          <w:sz w:val="24"/>
          <w:szCs w:val="24"/>
        </w:rPr>
      </w:pPr>
      <w:r>
        <w:rPr>
          <w:rFonts w:ascii="Times New Roman" w:hAnsi="Times New Roman" w:cs="Times New Roman"/>
          <w:sz w:val="24"/>
          <w:szCs w:val="24"/>
        </w:rPr>
        <w:t>Se absolverá una conducta cuando del análisis de la sustancia objeto material del delito se pueda apreciar que la cantidad de sustancia rica se encuentra por debajo del mínimo psicoactivo (por lo que se puede decir que, en realidad, lo que se está aplicando de forma indirecta es el principio de insignificancia) y</w:t>
      </w:r>
    </w:p>
    <w:p w:rsidR="00F41816" w:rsidRPr="00A51C36" w:rsidRDefault="00F41816" w:rsidP="00F41816">
      <w:pPr>
        <w:pStyle w:val="Prrafodelista"/>
        <w:numPr>
          <w:ilvl w:val="0"/>
          <w:numId w:val="6"/>
        </w:numPr>
        <w:rPr>
          <w:rFonts w:ascii="Times New Roman" w:hAnsi="Times New Roman" w:cs="Times New Roman"/>
          <w:sz w:val="24"/>
          <w:szCs w:val="24"/>
        </w:rPr>
      </w:pPr>
      <w:r>
        <w:rPr>
          <w:rFonts w:ascii="Times New Roman" w:hAnsi="Times New Roman" w:cs="Times New Roman"/>
          <w:sz w:val="24"/>
          <w:szCs w:val="24"/>
        </w:rPr>
        <w:t xml:space="preserve">porque no se pueda acreditar la pureza del componente en cuestión, y si se hace se podría entender vulnerado el principio </w:t>
      </w:r>
      <w:r>
        <w:rPr>
          <w:rFonts w:ascii="Times New Roman" w:hAnsi="Times New Roman" w:cs="Times New Roman"/>
          <w:i/>
          <w:sz w:val="24"/>
          <w:szCs w:val="24"/>
        </w:rPr>
        <w:t>in dubio pro reo.</w:t>
      </w:r>
      <w:r w:rsidR="00B10135">
        <w:rPr>
          <w:rFonts w:ascii="Times New Roman" w:hAnsi="Times New Roman" w:cs="Times New Roman"/>
          <w:i/>
          <w:sz w:val="24"/>
          <w:szCs w:val="24"/>
        </w:rPr>
        <w:t xml:space="preserve"> </w:t>
      </w:r>
      <w:r w:rsidR="00556FB6">
        <w:rPr>
          <w:rFonts w:ascii="Times New Roman" w:hAnsi="Times New Roman" w:cs="Times New Roman"/>
          <w:sz w:val="24"/>
          <w:szCs w:val="24"/>
        </w:rPr>
        <w:t>(Ver nota número 25</w:t>
      </w:r>
      <w:r w:rsidR="00B10135">
        <w:rPr>
          <w:rFonts w:ascii="Times New Roman" w:hAnsi="Times New Roman" w:cs="Times New Roman"/>
          <w:sz w:val="24"/>
          <w:szCs w:val="24"/>
        </w:rPr>
        <w:t>).</w:t>
      </w:r>
    </w:p>
    <w:p w:rsidR="00F41816" w:rsidRDefault="00F41816" w:rsidP="00F41816">
      <w:pPr>
        <w:ind w:left="426"/>
        <w:rPr>
          <w:rFonts w:ascii="Times New Roman" w:hAnsi="Times New Roman" w:cs="Times New Roman"/>
          <w:sz w:val="24"/>
          <w:szCs w:val="24"/>
        </w:rPr>
      </w:pPr>
    </w:p>
    <w:p w:rsidR="00F41816" w:rsidRDefault="00F41816" w:rsidP="00F41816">
      <w:pPr>
        <w:ind w:left="426"/>
        <w:rPr>
          <w:rFonts w:ascii="Times New Roman" w:hAnsi="Times New Roman" w:cs="Times New Roman"/>
          <w:sz w:val="24"/>
          <w:szCs w:val="24"/>
        </w:rPr>
      </w:pPr>
      <w:r>
        <w:rPr>
          <w:rFonts w:ascii="Times New Roman" w:hAnsi="Times New Roman" w:cs="Times New Roman"/>
          <w:sz w:val="24"/>
          <w:szCs w:val="24"/>
        </w:rPr>
        <w:t xml:space="preserve">Pero existen claras contradicciones al examinar todo lo expuesto. En primer lugar, ya se ha entendido que del concepto “mínimo psicoactivo” se desprende que con tales dosis en una sustancia que las contenga, se puede crear algún efecto nocivo para el organismo. Pero es desequilibrado pensar eso, pues una persona con las dosis que figuran en el </w:t>
      </w:r>
      <w:r>
        <w:rPr>
          <w:rFonts w:ascii="Times New Roman" w:hAnsi="Times New Roman" w:cs="Times New Roman"/>
          <w:sz w:val="24"/>
          <w:szCs w:val="24"/>
        </w:rPr>
        <w:lastRenderedPageBreak/>
        <w:t xml:space="preserve">cuadro no está ni drogada ni mucho menos intoxicada. Hay que recordar que toxicidad y dosis mínima psicoactiva no son conceptos equiparables. </w:t>
      </w:r>
    </w:p>
    <w:p w:rsidR="00F41816" w:rsidRDefault="00F41816" w:rsidP="00F41816">
      <w:pPr>
        <w:ind w:left="426"/>
        <w:rPr>
          <w:rFonts w:ascii="Times New Roman" w:hAnsi="Times New Roman" w:cs="Times New Roman"/>
          <w:sz w:val="24"/>
          <w:szCs w:val="24"/>
        </w:rPr>
      </w:pPr>
      <w:r>
        <w:rPr>
          <w:rFonts w:ascii="Times New Roman" w:hAnsi="Times New Roman" w:cs="Times New Roman"/>
          <w:sz w:val="24"/>
          <w:szCs w:val="24"/>
        </w:rPr>
        <w:t xml:space="preserve">En segundo lugar, se ha visto cómo cuando la riqueza de una sustancia se encuentra por debajo de esos índices psicoactivos, la conducta es impune por aplicar el principio de </w:t>
      </w:r>
      <w:r w:rsidR="0055198D">
        <w:rPr>
          <w:rFonts w:ascii="Times New Roman" w:hAnsi="Times New Roman" w:cs="Times New Roman"/>
          <w:sz w:val="24"/>
          <w:szCs w:val="24"/>
        </w:rPr>
        <w:t>insignificancia, aunque esta impunidad resultaría más acorde justificada al decir que la propia sustancia no se considera droga al no llegar a los índices establecidos en la Tabla y es que, resulta</w:t>
      </w:r>
      <w:r>
        <w:rPr>
          <w:rFonts w:ascii="Times New Roman" w:hAnsi="Times New Roman" w:cs="Times New Roman"/>
          <w:sz w:val="24"/>
          <w:szCs w:val="24"/>
        </w:rPr>
        <w:t xml:space="preserve"> imposible aplicar el principio de insignificancia en sustancias que ni siquiera se pueden considerar drogas, psicotrópicos o estupefacientes. Está claro, si no hay objeto material no puede haber delito alguno, y esto es lo que se puede extraer como conclusión cuando una sustancia se encuentra por debajo del mínimo psicoactivo: no se considera droga. Por lo tanto, no se puede aplicar ningún principio a un objeto material inexistente. Pero si esos índices se rebasan, la conducta ya es típica, pues la sustancia o compuesto indica que su composición puede ya crear un riesgo para la salud pública, (y se puede hablar ya de que hay objeto material) y en consideración, desbordar esa dosis mínima, significaría que ahora la sustancia sí que puede tener efectos en el organismo</w:t>
      </w:r>
      <w:r w:rsidR="00661157">
        <w:rPr>
          <w:rFonts w:ascii="Times New Roman" w:hAnsi="Times New Roman" w:cs="Times New Roman"/>
          <w:sz w:val="24"/>
          <w:szCs w:val="24"/>
        </w:rPr>
        <w:t>.</w:t>
      </w:r>
      <w:r w:rsidR="00B10135">
        <w:rPr>
          <w:rFonts w:ascii="Times New Roman" w:hAnsi="Times New Roman" w:cs="Times New Roman"/>
          <w:i/>
          <w:sz w:val="24"/>
          <w:szCs w:val="24"/>
        </w:rPr>
        <w:t xml:space="preserve"> </w:t>
      </w:r>
      <w:r>
        <w:rPr>
          <w:rFonts w:ascii="Times New Roman" w:hAnsi="Times New Roman" w:cs="Times New Roman"/>
          <w:sz w:val="24"/>
          <w:szCs w:val="24"/>
        </w:rPr>
        <w:t>En definitiva, cuando los índices se superan florece el ámbito de lo punible</w:t>
      </w:r>
      <w:r w:rsidR="004151D9">
        <w:rPr>
          <w:rFonts w:ascii="Times New Roman" w:hAnsi="Times New Roman" w:cs="Times New Roman"/>
          <w:sz w:val="24"/>
          <w:szCs w:val="24"/>
        </w:rPr>
        <w:t>, salvo alguna excepción</w:t>
      </w:r>
      <w:r>
        <w:rPr>
          <w:rFonts w:ascii="Times New Roman" w:hAnsi="Times New Roman" w:cs="Times New Roman"/>
          <w:sz w:val="24"/>
          <w:szCs w:val="24"/>
        </w:rPr>
        <w:t>:</w:t>
      </w:r>
    </w:p>
    <w:p w:rsidR="00F41816" w:rsidRDefault="00F41816" w:rsidP="00F41816">
      <w:pPr>
        <w:rPr>
          <w:rFonts w:ascii="Times New Roman" w:hAnsi="Times New Roman" w:cs="Times New Roman"/>
          <w:sz w:val="24"/>
          <w:szCs w:val="24"/>
        </w:rPr>
      </w:pPr>
    </w:p>
    <w:p w:rsidR="00F41816" w:rsidRDefault="00F41816" w:rsidP="00F41816">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La </w:t>
      </w:r>
      <w:r>
        <w:rPr>
          <w:rFonts w:ascii="Times New Roman" w:hAnsi="Times New Roman" w:cs="Times New Roman"/>
          <w:b/>
          <w:sz w:val="24"/>
          <w:szCs w:val="24"/>
        </w:rPr>
        <w:t xml:space="preserve">STS 1106/2004 de 20 de febrero, </w:t>
      </w:r>
      <w:r>
        <w:rPr>
          <w:rFonts w:ascii="Times New Roman" w:hAnsi="Times New Roman" w:cs="Times New Roman"/>
          <w:sz w:val="24"/>
          <w:szCs w:val="24"/>
        </w:rPr>
        <w:t>condena a un sujeto por un delito de tráfico de drogas al intervenirse una cantidad de 0,132 gramos de heroína, con una pureza de un 24,6 % (lo que quiere decir 32,472 miligramos de pureza). Como vemos, la cantidad establecida en el cuadro para considerar una conducta atípica, estaría por debajo de los 0,66 miligramos (aunque los márgenes reales establecidos por el Instituto Nacional de Toxicología podían llegar en el caso de la cocaína hasta 1 miligramo). Resulta indudable que en este caso la dosis mínima psicoactiva está muy por encima de la que figura en la tabla que nos sirve de referencia.</w:t>
      </w:r>
    </w:p>
    <w:p w:rsidR="00F41816" w:rsidRDefault="00F41816" w:rsidP="00F41816">
      <w:pPr>
        <w:pStyle w:val="Prrafodelista"/>
        <w:rPr>
          <w:rFonts w:ascii="Times New Roman" w:hAnsi="Times New Roman" w:cs="Times New Roman"/>
          <w:sz w:val="24"/>
          <w:szCs w:val="24"/>
        </w:rPr>
      </w:pPr>
    </w:p>
    <w:p w:rsidR="00F41816" w:rsidRDefault="00F41816" w:rsidP="00F41816">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La </w:t>
      </w:r>
      <w:r>
        <w:rPr>
          <w:rFonts w:ascii="Times New Roman" w:hAnsi="Times New Roman" w:cs="Times New Roman"/>
          <w:b/>
          <w:sz w:val="24"/>
          <w:szCs w:val="24"/>
        </w:rPr>
        <w:t xml:space="preserve">STS 5441/2013 de 14 de noviembre, </w:t>
      </w:r>
      <w:r>
        <w:rPr>
          <w:rFonts w:ascii="Times New Roman" w:hAnsi="Times New Roman" w:cs="Times New Roman"/>
          <w:sz w:val="24"/>
          <w:szCs w:val="24"/>
        </w:rPr>
        <w:t>establece el problema de identificar el THC en el hachís. En esta sentencia se condena a un hombre por el delito de tráfico de drogas por la venta de un trozo de hachís que contenía 10,19 gramos de la mencionada sustancia con una riqueza media del 16,06%; por contener otro trozo de hachís de 3,30 gramos con una riqueza media del 7,94 %; por la cantidad de 14,77 gramos de hachís con una riqueza media del 9,60%; todo esto en numerosos días consecutivos. Pues bien, la fundamentación de la sentencia se basa para condenar en que: “</w:t>
      </w:r>
      <w:r w:rsidRPr="00BF01F1">
        <w:rPr>
          <w:rFonts w:ascii="Times New Roman" w:hAnsi="Times New Roman" w:cs="Times New Roman"/>
          <w:i/>
          <w:sz w:val="24"/>
          <w:szCs w:val="24"/>
        </w:rPr>
        <w:t xml:space="preserve">…la </w:t>
      </w:r>
      <w:r w:rsidRPr="00BF01F1">
        <w:rPr>
          <w:rFonts w:ascii="Times New Roman" w:hAnsi="Times New Roman" w:cs="Times New Roman"/>
          <w:i/>
          <w:sz w:val="24"/>
          <w:szCs w:val="24"/>
        </w:rPr>
        <w:lastRenderedPageBreak/>
        <w:t>jurisprudencia ha considerado que no es preciso concretar el grado de THC –</w:t>
      </w:r>
      <w:proofErr w:type="spellStart"/>
      <w:r w:rsidRPr="00BF01F1">
        <w:rPr>
          <w:rFonts w:ascii="Times New Roman" w:hAnsi="Times New Roman" w:cs="Times New Roman"/>
          <w:i/>
          <w:sz w:val="24"/>
          <w:szCs w:val="24"/>
        </w:rPr>
        <w:t>tetrahidrocannabinol</w:t>
      </w:r>
      <w:proofErr w:type="spellEnd"/>
      <w:r w:rsidRPr="00BF01F1">
        <w:rPr>
          <w:rFonts w:ascii="Times New Roman" w:hAnsi="Times New Roman" w:cs="Times New Roman"/>
          <w:i/>
          <w:sz w:val="24"/>
          <w:szCs w:val="24"/>
        </w:rPr>
        <w:t>- que posee el hachís, sino que basta con tener presente el peso bruto de la droga intervenida, porque es un producto vegetal, obtenido sin procesos químicos, que no admite manipulaciones ni adulteraciones, cuyo grado de pureza deriva de causas naturales como la calidad de la planta según la zona de cultivo (…) no faltan precedentes que exigen, sin embargo, una pureza mínima del 4% del THC, frente a aquellos otros supuestos de hachís con pobre contenido en principio activo, parifican aquella sustancia a la marihuana, concluyendo que &lt;en ningún caso puede dejar de conceptuarse como droga&gt; (STS 111/2010, de 24 de febrero)”</w:t>
      </w:r>
      <w:r w:rsidR="0071067A">
        <w:rPr>
          <w:rFonts w:ascii="Times New Roman" w:hAnsi="Times New Roman" w:cs="Times New Roman"/>
          <w:i/>
          <w:sz w:val="24"/>
          <w:szCs w:val="24"/>
        </w:rPr>
        <w:t>.</w:t>
      </w:r>
    </w:p>
    <w:p w:rsidR="0071067A" w:rsidRDefault="0071067A" w:rsidP="0071067A">
      <w:pPr>
        <w:ind w:left="360"/>
        <w:rPr>
          <w:rFonts w:ascii="Times New Roman" w:hAnsi="Times New Roman" w:cs="Times New Roman"/>
          <w:sz w:val="24"/>
          <w:szCs w:val="24"/>
        </w:rPr>
      </w:pPr>
    </w:p>
    <w:p w:rsidR="0071067A" w:rsidRPr="004151D9" w:rsidRDefault="004151D9" w:rsidP="004151D9">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La </w:t>
      </w:r>
      <w:r w:rsidR="0071067A" w:rsidRPr="004151D9">
        <w:rPr>
          <w:rFonts w:ascii="Times New Roman" w:hAnsi="Times New Roman" w:cs="Times New Roman"/>
          <w:b/>
          <w:sz w:val="24"/>
          <w:szCs w:val="24"/>
        </w:rPr>
        <w:t>STS 2329/2014 de 10 de junio</w:t>
      </w:r>
      <w:r w:rsidR="0071067A" w:rsidRPr="004151D9">
        <w:rPr>
          <w:rFonts w:ascii="Times New Roman" w:hAnsi="Times New Roman" w:cs="Times New Roman"/>
          <w:sz w:val="24"/>
          <w:szCs w:val="24"/>
        </w:rPr>
        <w:t xml:space="preserve">, </w:t>
      </w:r>
      <w:r>
        <w:rPr>
          <w:rFonts w:ascii="Times New Roman" w:hAnsi="Times New Roman" w:cs="Times New Roman"/>
          <w:sz w:val="24"/>
          <w:szCs w:val="24"/>
        </w:rPr>
        <w:t>absuelve a un sujeto que vende cocaína porque al analizar la riqueza de la sustancia para llegar al mínimo psicoactivo, se debe contemplar un margen</w:t>
      </w:r>
      <w:r w:rsidRPr="004151D9">
        <w:rPr>
          <w:rFonts w:ascii="Times New Roman" w:hAnsi="Times New Roman" w:cs="Times New Roman"/>
          <w:sz w:val="24"/>
          <w:szCs w:val="24"/>
        </w:rPr>
        <w:t xml:space="preserve"> de error del 5% </w:t>
      </w:r>
      <w:r>
        <w:rPr>
          <w:rFonts w:ascii="Times New Roman" w:hAnsi="Times New Roman" w:cs="Times New Roman"/>
          <w:sz w:val="24"/>
          <w:szCs w:val="24"/>
        </w:rPr>
        <w:t xml:space="preserve">existente en este tipo de pericias. </w:t>
      </w:r>
      <w:r>
        <w:rPr>
          <w:rStyle w:val="Refdenotaalpie"/>
          <w:rFonts w:ascii="Times New Roman" w:hAnsi="Times New Roman" w:cs="Times New Roman"/>
          <w:sz w:val="24"/>
          <w:szCs w:val="24"/>
        </w:rPr>
        <w:footnoteReference w:id="19"/>
      </w:r>
      <w:r>
        <w:rPr>
          <w:rFonts w:ascii="Times New Roman" w:hAnsi="Times New Roman" w:cs="Times New Roman"/>
          <w:sz w:val="24"/>
          <w:szCs w:val="24"/>
        </w:rPr>
        <w:t>A</w:t>
      </w:r>
      <w:r w:rsidR="0071067A" w:rsidRPr="004151D9">
        <w:rPr>
          <w:rFonts w:ascii="Times New Roman" w:hAnsi="Times New Roman" w:cs="Times New Roman"/>
          <w:sz w:val="24"/>
          <w:szCs w:val="24"/>
        </w:rPr>
        <w:t>s</w:t>
      </w:r>
      <w:r>
        <w:rPr>
          <w:rFonts w:ascii="Times New Roman" w:hAnsi="Times New Roman" w:cs="Times New Roman"/>
          <w:sz w:val="24"/>
          <w:szCs w:val="24"/>
        </w:rPr>
        <w:t>í es</w:t>
      </w:r>
      <w:r w:rsidR="0071067A" w:rsidRPr="004151D9">
        <w:rPr>
          <w:rFonts w:ascii="Times New Roman" w:hAnsi="Times New Roman" w:cs="Times New Roman"/>
          <w:sz w:val="24"/>
          <w:szCs w:val="24"/>
        </w:rPr>
        <w:t xml:space="preserve"> ratifica</w:t>
      </w:r>
      <w:r>
        <w:rPr>
          <w:rFonts w:ascii="Times New Roman" w:hAnsi="Times New Roman" w:cs="Times New Roman"/>
          <w:sz w:val="24"/>
          <w:szCs w:val="24"/>
        </w:rPr>
        <w:t>do</w:t>
      </w:r>
      <w:r w:rsidR="0071067A" w:rsidRPr="004151D9">
        <w:rPr>
          <w:rFonts w:ascii="Times New Roman" w:hAnsi="Times New Roman" w:cs="Times New Roman"/>
          <w:sz w:val="24"/>
          <w:szCs w:val="24"/>
        </w:rPr>
        <w:t xml:space="preserve"> en un caso en el que un sujeto vende cocaína: “</w:t>
      </w:r>
      <w:r w:rsidR="0071067A" w:rsidRPr="004151D9">
        <w:rPr>
          <w:rFonts w:ascii="Times New Roman" w:hAnsi="Times New Roman" w:cs="Times New Roman"/>
          <w:i/>
          <w:sz w:val="24"/>
          <w:szCs w:val="24"/>
        </w:rPr>
        <w:t xml:space="preserve">En el caso concreto que ahora se juzga, el envoltorio vendido por el acusado contiene 0,405 gramos de cocaína, con una riqueza del 12,4%. Por consiguiente, la cantidad de cocaína vendida por el acusado se cifra en 50,22 miligramos, casi en el límite de los 50 miligramos que se fija como mínima cantidad psicoactiva subsumible en la norma penal. Sin embargo, como en estos casos las pericias fijan un margen de error en torno al 5% del índice de riqueza (…) ello significa que el porcentaje de riqueza a computar es del 11,78% y no del 12,4%. Y como la </w:t>
      </w:r>
      <w:r w:rsidRPr="004151D9">
        <w:rPr>
          <w:rFonts w:ascii="Times New Roman" w:hAnsi="Times New Roman" w:cs="Times New Roman"/>
          <w:i/>
          <w:sz w:val="24"/>
          <w:szCs w:val="24"/>
        </w:rPr>
        <w:t>aplicación de ese porcentaje determina que la cantidad de cocaína vendida son realmente 47,70 y no 50,22 miligramos, es claro que la operación de tráfico se halla por debajo del mínimo de toxicidad que fija la jurisprudencia de esta Sala”</w:t>
      </w:r>
      <w:r w:rsidRPr="004151D9">
        <w:rPr>
          <w:rFonts w:ascii="Times New Roman" w:hAnsi="Times New Roman" w:cs="Times New Roman"/>
          <w:sz w:val="24"/>
          <w:szCs w:val="24"/>
        </w:rPr>
        <w:t>.</w:t>
      </w:r>
    </w:p>
    <w:p w:rsidR="00F41816" w:rsidRDefault="00F41816" w:rsidP="00F41816">
      <w:pPr>
        <w:pStyle w:val="Prrafodelista"/>
        <w:ind w:left="1224"/>
        <w:rPr>
          <w:rFonts w:ascii="Times New Roman" w:hAnsi="Times New Roman" w:cs="Times New Roman"/>
          <w:b/>
          <w:sz w:val="24"/>
          <w:szCs w:val="24"/>
        </w:rPr>
      </w:pPr>
    </w:p>
    <w:p w:rsidR="00F41816" w:rsidRDefault="00F41816" w:rsidP="00F41816">
      <w:pPr>
        <w:ind w:left="360"/>
        <w:rPr>
          <w:rFonts w:ascii="Times New Roman" w:hAnsi="Times New Roman" w:cs="Times New Roman"/>
          <w:sz w:val="24"/>
          <w:szCs w:val="24"/>
        </w:rPr>
      </w:pPr>
      <w:r w:rsidRPr="00BF01F1">
        <w:rPr>
          <w:rFonts w:ascii="Times New Roman" w:hAnsi="Times New Roman" w:cs="Times New Roman"/>
          <w:sz w:val="24"/>
          <w:szCs w:val="24"/>
        </w:rPr>
        <w:t>Podría seguir citando innumerables sentencias que condenan cuando las cantidades intervenidas a los sujetos superan estos índices mínimos psicoactivos. De hecho, ya he dicho que es esta la fundamentación que sostiene el Tribunal Supremo en la mayoría de sus sentencias para dar una cierta seguridad jurídica a la hora de sancionar penalmente, pues son datos aportados por un ente ajeno</w:t>
      </w:r>
      <w:r>
        <w:rPr>
          <w:rFonts w:ascii="Times New Roman" w:hAnsi="Times New Roman" w:cs="Times New Roman"/>
          <w:sz w:val="24"/>
          <w:szCs w:val="24"/>
        </w:rPr>
        <w:t xml:space="preserve"> a los juzgados y tribunales</w:t>
      </w:r>
      <w:r w:rsidRPr="00BF01F1">
        <w:rPr>
          <w:rFonts w:ascii="Times New Roman" w:hAnsi="Times New Roman" w:cs="Times New Roman"/>
          <w:sz w:val="24"/>
          <w:szCs w:val="24"/>
        </w:rPr>
        <w:t>, especialista en análisis de sustancias, como es el Instituto Nacional de Toxicología y no un juez, que de sobra se sabe que sus conocimientos no pueden llegar a estas conjeturas.</w:t>
      </w:r>
    </w:p>
    <w:p w:rsidR="00F41816" w:rsidRDefault="00F41816" w:rsidP="00F41816">
      <w:pPr>
        <w:ind w:left="360"/>
        <w:rPr>
          <w:rFonts w:ascii="Times New Roman" w:hAnsi="Times New Roman" w:cs="Times New Roman"/>
          <w:sz w:val="24"/>
          <w:szCs w:val="24"/>
        </w:rPr>
      </w:pPr>
    </w:p>
    <w:p w:rsidR="00F41816" w:rsidRDefault="00F41816" w:rsidP="00F41816">
      <w:pPr>
        <w:ind w:left="360"/>
        <w:rPr>
          <w:rFonts w:ascii="Times New Roman" w:hAnsi="Times New Roman" w:cs="Times New Roman"/>
          <w:sz w:val="24"/>
          <w:szCs w:val="24"/>
        </w:rPr>
      </w:pPr>
      <w:r>
        <w:rPr>
          <w:rFonts w:ascii="Times New Roman" w:hAnsi="Times New Roman" w:cs="Times New Roman"/>
          <w:sz w:val="24"/>
          <w:szCs w:val="24"/>
        </w:rPr>
        <w:t xml:space="preserve">Otra cuestión que se puede plantear es la de ¿qué ocurriría cuando un sujeto es imputado por tener en su poder varias papelinas de cocaína? ¿Al ser varias, cómo se le sancionaría si ninguna de ellas supera la dosis mínima psicoactiva? Pues bien, el Tribunal Supremo ha asentado doctrina al respecto estableciendo que la dosis mínima psicoactiva se fija  teniendo en cuenta el total de papelinas que se intervengan (aplicación del </w:t>
      </w:r>
      <w:r w:rsidRPr="00B10135">
        <w:rPr>
          <w:rFonts w:ascii="Times New Roman" w:hAnsi="Times New Roman" w:cs="Times New Roman"/>
          <w:b/>
          <w:sz w:val="24"/>
          <w:szCs w:val="24"/>
        </w:rPr>
        <w:t>principio de acumulación</w:t>
      </w:r>
      <w:r>
        <w:rPr>
          <w:rFonts w:ascii="Times New Roman" w:hAnsi="Times New Roman" w:cs="Times New Roman"/>
          <w:sz w:val="24"/>
          <w:szCs w:val="24"/>
        </w:rPr>
        <w:t xml:space="preserve">). La </w:t>
      </w:r>
      <w:r>
        <w:rPr>
          <w:rFonts w:ascii="Times New Roman" w:hAnsi="Times New Roman" w:cs="Times New Roman"/>
          <w:b/>
          <w:sz w:val="24"/>
          <w:szCs w:val="24"/>
        </w:rPr>
        <w:t>STS 7278/2012 de fecha 31 de octubre</w:t>
      </w:r>
      <w:r>
        <w:rPr>
          <w:rFonts w:ascii="Times New Roman" w:hAnsi="Times New Roman" w:cs="Times New Roman"/>
          <w:sz w:val="24"/>
          <w:szCs w:val="24"/>
        </w:rPr>
        <w:t xml:space="preserve"> así lo determina en un caso al que se pretendía dividir el número de papelinas entre los imputados, algo que no resulta adecuado, pues para poder fijar la cuantía de la dosis psicoactiva, es necesario sumar todas y cada una de las mencionadas papelinas. No se puede dar lugar a la creación de un error en este tipo de supuestos, (que es lo que intentó crear la defensa, se entiende) pues si se tuvieran en cuenta individualmente, tres de las que se intervinieron, superarían dicho límite establecido en el cuadro por el Gabinete del Tribunal Supremo en base a la información aportada por el Instituto Nacional de Toxicología. Además, una de ellas por sí sola, contenía dosis mínima psicoactiva para superar los 50 miligramos fijados.</w:t>
      </w:r>
      <w:r>
        <w:rPr>
          <w:rStyle w:val="Refdenotaalpie"/>
          <w:rFonts w:ascii="Times New Roman" w:hAnsi="Times New Roman" w:cs="Times New Roman"/>
          <w:sz w:val="24"/>
          <w:szCs w:val="24"/>
        </w:rPr>
        <w:footnoteReference w:id="20"/>
      </w:r>
      <w:r>
        <w:rPr>
          <w:rFonts w:ascii="Times New Roman" w:hAnsi="Times New Roman" w:cs="Times New Roman"/>
          <w:sz w:val="24"/>
          <w:szCs w:val="24"/>
        </w:rPr>
        <w:t xml:space="preserve"> “</w:t>
      </w:r>
      <w:r>
        <w:rPr>
          <w:rFonts w:ascii="Times New Roman" w:hAnsi="Times New Roman" w:cs="Times New Roman"/>
          <w:i/>
          <w:sz w:val="24"/>
          <w:szCs w:val="24"/>
        </w:rPr>
        <w:t>En efecto cuando se trata de la tenencia de drogas con destino al tráfico habrá de estarse a la cantidad total y al porcentaje de principio activo de las sustancias poseídas, por más que éstas estuviesen distribuidas en mayor o menor número de envoltorios, porque aunque hipotéticamente se admitiera que cada una de ellas contuviera una cantidad de droga que no superase el límite establecido jurisprudencialmente para establecer la “nocividad”, nada obliga al sujeto activo a transmitir al tercero una sola papelina y nada impide que el objeto de la transacción sean varias, muchas o todas las papelinas a una misma persona</w:t>
      </w:r>
      <w:r>
        <w:rPr>
          <w:rFonts w:ascii="Times New Roman" w:hAnsi="Times New Roman" w:cs="Times New Roman"/>
          <w:sz w:val="24"/>
          <w:szCs w:val="24"/>
        </w:rPr>
        <w:t>”.</w:t>
      </w:r>
      <w:r>
        <w:rPr>
          <w:rStyle w:val="Refdenotaalpie"/>
          <w:rFonts w:ascii="Times New Roman" w:hAnsi="Times New Roman" w:cs="Times New Roman"/>
          <w:sz w:val="24"/>
          <w:szCs w:val="24"/>
        </w:rPr>
        <w:footnoteReference w:id="21"/>
      </w:r>
      <w:r w:rsidR="002E6F5B">
        <w:rPr>
          <w:rFonts w:ascii="Times New Roman" w:hAnsi="Times New Roman" w:cs="Times New Roman"/>
          <w:sz w:val="24"/>
          <w:szCs w:val="24"/>
        </w:rPr>
        <w:t xml:space="preserve"> </w:t>
      </w:r>
    </w:p>
    <w:p w:rsidR="00556FB6" w:rsidRPr="00BD5CA8" w:rsidRDefault="00556FB6" w:rsidP="00F41816">
      <w:pPr>
        <w:ind w:left="360"/>
        <w:rPr>
          <w:rFonts w:ascii="Times New Roman" w:hAnsi="Times New Roman" w:cs="Times New Roman"/>
          <w:sz w:val="24"/>
          <w:szCs w:val="24"/>
        </w:rPr>
      </w:pPr>
    </w:p>
    <w:p w:rsidR="00F41816" w:rsidRPr="00F41816" w:rsidRDefault="00F41816" w:rsidP="003148ED">
      <w:pPr>
        <w:ind w:left="360"/>
      </w:pPr>
      <w:r>
        <w:rPr>
          <w:rFonts w:ascii="Times New Roman" w:hAnsi="Times New Roman" w:cs="Times New Roman"/>
          <w:sz w:val="24"/>
          <w:szCs w:val="24"/>
        </w:rPr>
        <w:t xml:space="preserve">En definitiva, en casos en los que se intervengan a un sujeto varias cantidades de la misma droga o sustancia, éstas deben ser sumadas en su conjunto para poder determinar correctamente la dosis mínima psicoactiva, algo que aún hace más difícil escapar de la condena del artículo 368 del Código Penal, la variación de pena derivará de si es una sustancia que causa grave daño a la salud o no lo causa, habrá que tener en cuenta la cantidad intervenida una vez reducida a pureza para ver si hablamos de notoria </w:t>
      </w:r>
      <w:r>
        <w:rPr>
          <w:rFonts w:ascii="Times New Roman" w:hAnsi="Times New Roman" w:cs="Times New Roman"/>
          <w:sz w:val="24"/>
          <w:szCs w:val="24"/>
        </w:rPr>
        <w:lastRenderedPageBreak/>
        <w:t>importancia o extrema gravedad, o por el contrario, nos encontramos ante un caso de posesión para el consumo propio, pero a ello me referiré más adelante</w:t>
      </w:r>
    </w:p>
    <w:p w:rsidR="00F41816" w:rsidRDefault="00F41816" w:rsidP="00F41816">
      <w:pPr>
        <w:pStyle w:val="Ttulo3"/>
        <w:numPr>
          <w:ilvl w:val="2"/>
          <w:numId w:val="9"/>
        </w:numPr>
        <w:rPr>
          <w:rFonts w:ascii="Times New Roman" w:hAnsi="Times New Roman" w:cs="Times New Roman"/>
          <w:color w:val="auto"/>
          <w:sz w:val="24"/>
          <w:szCs w:val="24"/>
        </w:rPr>
      </w:pPr>
      <w:bookmarkStart w:id="36" w:name="_Toc393739394"/>
      <w:r w:rsidRPr="00DF3379">
        <w:rPr>
          <w:rFonts w:ascii="Times New Roman" w:hAnsi="Times New Roman" w:cs="Times New Roman"/>
          <w:color w:val="auto"/>
          <w:sz w:val="24"/>
          <w:szCs w:val="24"/>
        </w:rPr>
        <w:t>Mínimo psicoactivo y principio de insignificancia</w:t>
      </w:r>
      <w:bookmarkEnd w:id="36"/>
    </w:p>
    <w:p w:rsidR="00F41816" w:rsidRP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Ya se ha podido comprobar, que los conceptos de “mínimo psicoactivo” y  “principio de insignificancia” están íntimamente relacionados. Hasta  lo expuesto, una conducta carecía del factor de la tipicidad cuando la cantidad de droga examinada era inferior al mínimo psicoactivo apuntado en los índices que figuraban en la Tabla resumen elaborada por el Gabinete del Tribunal Supremo a raíz del Informe del Instituto Nacional de Toxicología en diciembre de 2003. La explicación era porque esos mínimos reflejaban la cantidad rica de sustancia a partir de la cual se podría considerar que una determinada substancia podría causar efectos nocivos en la salud de las personas (algo que escapa un poco de la realidad como dejé ver anteriormente), y si de ese examen toxicológico del compuesto se derivaba una cantidad inferior, la conducta era atípica por no afectar a la salud, y por ser ésta insignificante.</w:t>
      </w:r>
      <w:r w:rsidR="00661157" w:rsidRPr="00661157">
        <w:rPr>
          <w:rFonts w:ascii="Times New Roman" w:hAnsi="Times New Roman" w:cs="Times New Roman"/>
          <w:sz w:val="24"/>
          <w:szCs w:val="24"/>
        </w:rPr>
        <w:t xml:space="preserve"> En palabras de MAGRO SERVET</w:t>
      </w:r>
      <w:r w:rsidR="00661157">
        <w:rPr>
          <w:rStyle w:val="Refdenotaalpie"/>
          <w:rFonts w:ascii="Times New Roman" w:hAnsi="Times New Roman" w:cs="Times New Roman"/>
          <w:sz w:val="24"/>
          <w:szCs w:val="24"/>
        </w:rPr>
        <w:footnoteReference w:id="22"/>
      </w:r>
      <w:r w:rsidR="00661157" w:rsidRPr="00661157">
        <w:rPr>
          <w:rFonts w:ascii="Times New Roman" w:hAnsi="Times New Roman" w:cs="Times New Roman"/>
          <w:sz w:val="24"/>
          <w:szCs w:val="24"/>
        </w:rPr>
        <w:t xml:space="preserve">: </w:t>
      </w:r>
      <w:r w:rsidR="00661157">
        <w:rPr>
          <w:rFonts w:ascii="Times New Roman" w:hAnsi="Times New Roman" w:cs="Times New Roman"/>
          <w:sz w:val="24"/>
          <w:szCs w:val="24"/>
        </w:rPr>
        <w:t>“</w:t>
      </w:r>
      <w:r w:rsidR="00661157" w:rsidRPr="00661157">
        <w:rPr>
          <w:rFonts w:ascii="Times New Roman" w:hAnsi="Times New Roman" w:cs="Times New Roman"/>
          <w:i/>
          <w:sz w:val="24"/>
          <w:szCs w:val="24"/>
        </w:rPr>
        <w:t>porque está claro que si la cantidad se sitúa en el marco del</w:t>
      </w:r>
      <w:r w:rsidR="00661157">
        <w:rPr>
          <w:rFonts w:ascii="Times New Roman" w:hAnsi="Times New Roman" w:cs="Times New Roman"/>
          <w:i/>
          <w:sz w:val="24"/>
          <w:szCs w:val="24"/>
        </w:rPr>
        <w:t xml:space="preserve"> principio de insignificancia, </w:t>
      </w:r>
      <w:r w:rsidR="00661157" w:rsidRPr="00661157">
        <w:rPr>
          <w:rFonts w:ascii="Times New Roman" w:hAnsi="Times New Roman" w:cs="Times New Roman"/>
          <w:i/>
          <w:sz w:val="24"/>
          <w:szCs w:val="24"/>
        </w:rPr>
        <w:t>no es punible ni aunque exista tráfico</w:t>
      </w:r>
      <w:r w:rsidR="00661157" w:rsidRPr="00661157">
        <w:rPr>
          <w:rFonts w:ascii="Times New Roman" w:hAnsi="Times New Roman" w:cs="Times New Roman"/>
          <w:sz w:val="24"/>
          <w:szCs w:val="24"/>
        </w:rPr>
        <w:t>”</w:t>
      </w:r>
      <w:r w:rsidRPr="00F41816">
        <w:rPr>
          <w:rFonts w:ascii="Times New Roman" w:hAnsi="Times New Roman" w:cs="Times New Roman"/>
          <w:sz w:val="24"/>
          <w:szCs w:val="24"/>
        </w:rPr>
        <w:t xml:space="preserve"> Por tanto, y paralelamente, se aplicaba el principio de insignificancia cuando se daba este tipo de supuestos.</w:t>
      </w:r>
    </w:p>
    <w:p w:rsidR="00F41816" w:rsidRP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Lo cierto es que después del citado acuerdo y creación de la Tabla, se pueden seguir encontrando sentencias del Alto Tribunal en las que se sigue utilizando este principio de insignificancia junto al del inferior mínimo psicoactivo para descartar la tipicidad, esto se supone así porque “</w:t>
      </w:r>
      <w:r w:rsidRPr="00F41816">
        <w:rPr>
          <w:rFonts w:ascii="Times New Roman" w:hAnsi="Times New Roman" w:cs="Times New Roman"/>
          <w:i/>
          <w:sz w:val="24"/>
          <w:szCs w:val="24"/>
        </w:rPr>
        <w:t>deben quedar excluidas de la punición por este delito contra la salud pública aquellas conductas, que por las especiales circunstancias que concurren en el caso concreto, puede excluirse totalmente la generación de riesgo alguno para el bien jurídico protegido. En este ámbito se ha hecho referencia en sentencias de esta Salsa al principio de insignificancia: cuando la cantidad de droga es tan insignificante que resulta incapaz de producir efecto alguno en la salud”</w:t>
      </w:r>
      <w:r w:rsidRPr="009E2638">
        <w:rPr>
          <w:rStyle w:val="Refdenotaalpie"/>
          <w:rFonts w:ascii="Times New Roman" w:hAnsi="Times New Roman" w:cs="Times New Roman"/>
          <w:sz w:val="24"/>
          <w:szCs w:val="24"/>
        </w:rPr>
        <w:footnoteReference w:id="23"/>
      </w:r>
      <w:r w:rsidRPr="00F41816">
        <w:rPr>
          <w:rFonts w:ascii="Times New Roman" w:hAnsi="Times New Roman" w:cs="Times New Roman"/>
          <w:sz w:val="24"/>
          <w:szCs w:val="24"/>
        </w:rPr>
        <w:t>.</w:t>
      </w:r>
    </w:p>
    <w:p w:rsidR="00F41816" w:rsidRPr="00F41816" w:rsidRDefault="00F41816" w:rsidP="00F41816">
      <w:pPr>
        <w:rPr>
          <w:rFonts w:ascii="Times New Roman" w:hAnsi="Times New Roman" w:cs="Times New Roman"/>
          <w:sz w:val="24"/>
          <w:szCs w:val="24"/>
        </w:rPr>
      </w:pPr>
    </w:p>
    <w:p w:rsidR="00F41816" w:rsidRP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 xml:space="preserve">Se ha llegado a razonar también sobre que el principio de insignificancia tendría aplicación siempre y cuando la droga no se considere sustancia tóxica, pues no habría riesgo o peligro para la salud. Este límite también lo marca el mínimo psicoactivo, </w:t>
      </w:r>
      <w:r w:rsidRPr="00F41816">
        <w:rPr>
          <w:rFonts w:ascii="Times New Roman" w:hAnsi="Times New Roman" w:cs="Times New Roman"/>
          <w:sz w:val="24"/>
          <w:szCs w:val="24"/>
        </w:rPr>
        <w:lastRenderedPageBreak/>
        <w:t xml:space="preserve">siendo éste, además de la frontera entre la tipicidad y atipicidad, el margen entre el concepto de droga y lo que no lo es. La </w:t>
      </w:r>
      <w:r w:rsidRPr="00F41816">
        <w:rPr>
          <w:rFonts w:ascii="Times New Roman" w:hAnsi="Times New Roman" w:cs="Times New Roman"/>
          <w:b/>
          <w:sz w:val="24"/>
          <w:szCs w:val="24"/>
        </w:rPr>
        <w:t>STS 4327/2011 de 21 de junio</w:t>
      </w:r>
      <w:r w:rsidRPr="00F41816">
        <w:rPr>
          <w:rFonts w:ascii="Times New Roman" w:hAnsi="Times New Roman" w:cs="Times New Roman"/>
          <w:sz w:val="24"/>
          <w:szCs w:val="24"/>
        </w:rPr>
        <w:t xml:space="preserve"> entre muchas otras han puesto de manifiesto lo siguiente: “</w:t>
      </w:r>
      <w:r w:rsidRPr="00F41816">
        <w:rPr>
          <w:rFonts w:ascii="Times New Roman" w:hAnsi="Times New Roman" w:cs="Times New Roman"/>
          <w:i/>
          <w:sz w:val="24"/>
          <w:szCs w:val="24"/>
        </w:rPr>
        <w:t>la insignificancia ha de aplicarse de forma excepcional y restrictiva y limitarse a los casos en que la desnaturalización cualitativa o la extrema nimiedad cuantitativa de la sustancia entregada, determina que ésta carezca absolutamente de los efectos potencialmente dañinos que sirven de fundamento a la prohibición penal. Es decir, cuando por dicha absoluta nimiedad la sustancia ya no constituya, por sus efectos, una droga tóxica o sustancia estupefaciente, sino un producto inocuo”.</w:t>
      </w:r>
      <w:r w:rsidRPr="00F41816">
        <w:rPr>
          <w:rFonts w:ascii="Times New Roman" w:hAnsi="Times New Roman" w:cs="Times New Roman"/>
          <w:sz w:val="24"/>
          <w:szCs w:val="24"/>
        </w:rPr>
        <w:t xml:space="preserve"> Por este razonamiento, sale a relucir lo ya expuesto con anterioridad y que es sumamente importante con el principio de insignificancia: si lo que se transmite no se considera droga, es imposible que a algo que no es penalmente objeto material del delito pueda aplicársele un principio de insignificancia.</w:t>
      </w:r>
    </w:p>
    <w:p w:rsidR="00F41816" w:rsidRPr="00F41816" w:rsidRDefault="00F41816" w:rsidP="00F41816">
      <w:pPr>
        <w:rPr>
          <w:rFonts w:ascii="Times New Roman" w:hAnsi="Times New Roman" w:cs="Times New Roman"/>
          <w:sz w:val="24"/>
          <w:szCs w:val="24"/>
        </w:rPr>
      </w:pPr>
    </w:p>
    <w:p w:rsidR="00F41816" w:rsidRP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 xml:space="preserve">La postura en contra del principio se puede seguir encontrando en muchas sentencias de nuestro Tribunal Supremo. Muchas de ellas se oponen a tal principio argumentando que, en estos casos, nos encontramos ante delitos graves. Como prueba, traigo a colación la </w:t>
      </w:r>
      <w:r w:rsidRPr="00F41816">
        <w:rPr>
          <w:rFonts w:ascii="Times New Roman" w:hAnsi="Times New Roman" w:cs="Times New Roman"/>
          <w:b/>
          <w:sz w:val="24"/>
          <w:szCs w:val="24"/>
        </w:rPr>
        <w:t xml:space="preserve">STS 6795/2008,  de 16 de diciembre </w:t>
      </w:r>
      <w:r w:rsidRPr="00F41816">
        <w:rPr>
          <w:rFonts w:ascii="Times New Roman" w:hAnsi="Times New Roman" w:cs="Times New Roman"/>
          <w:sz w:val="24"/>
          <w:szCs w:val="24"/>
        </w:rPr>
        <w:t>que textualmente recoge en su Fundamento Jurídico primero lo que se cita: “</w:t>
      </w:r>
      <w:r w:rsidRPr="00F41816">
        <w:rPr>
          <w:rFonts w:ascii="Times New Roman" w:hAnsi="Times New Roman" w:cs="Times New Roman"/>
          <w:i/>
          <w:sz w:val="24"/>
          <w:szCs w:val="24"/>
        </w:rPr>
        <w:t xml:space="preserve">La última corriente jurisprudencial afirma que en el caso de los delitos graves, como son los delitos del tráfico de drogas, no cabe invocar un “principio de insignificancia” que podría excluir la tipicidad, cuando ésta, formalmente, ha sido constatada u opera como causa </w:t>
      </w:r>
      <w:proofErr w:type="spellStart"/>
      <w:r w:rsidRPr="00F41816">
        <w:rPr>
          <w:rFonts w:ascii="Times New Roman" w:hAnsi="Times New Roman" w:cs="Times New Roman"/>
          <w:i/>
          <w:sz w:val="24"/>
          <w:szCs w:val="24"/>
        </w:rPr>
        <w:t>supralegal</w:t>
      </w:r>
      <w:proofErr w:type="spellEnd"/>
      <w:r w:rsidRPr="00F41816">
        <w:rPr>
          <w:rFonts w:ascii="Times New Roman" w:hAnsi="Times New Roman" w:cs="Times New Roman"/>
          <w:i/>
          <w:sz w:val="24"/>
          <w:szCs w:val="24"/>
        </w:rPr>
        <w:t xml:space="preserve"> de justificación, o bien, excluir de alguna manera la punibilidad”.</w:t>
      </w:r>
    </w:p>
    <w:p w:rsidR="00F41816" w:rsidRPr="00F41816" w:rsidRDefault="00F41816" w:rsidP="00615EC5">
      <w:pPr>
        <w:ind w:left="708"/>
        <w:rPr>
          <w:rFonts w:ascii="Times New Roman" w:hAnsi="Times New Roman" w:cs="Times New Roman"/>
          <w:sz w:val="24"/>
          <w:szCs w:val="24"/>
        </w:rPr>
      </w:pPr>
      <w:r w:rsidRPr="00F41816">
        <w:rPr>
          <w:rFonts w:ascii="Times New Roman" w:hAnsi="Times New Roman" w:cs="Times New Roman"/>
          <w:sz w:val="24"/>
          <w:szCs w:val="24"/>
        </w:rPr>
        <w:t>Como se puede apreciar la situación actualmente, sigue estando bastante difusa e indeterminada, p</w:t>
      </w:r>
      <w:r w:rsidR="00615EC5">
        <w:rPr>
          <w:rFonts w:ascii="Times New Roman" w:hAnsi="Times New Roman" w:cs="Times New Roman"/>
          <w:sz w:val="24"/>
          <w:szCs w:val="24"/>
        </w:rPr>
        <w:t>ues el propio Tribunal Supremo, muestra incoherencias</w:t>
      </w:r>
      <w:r w:rsidRPr="00F41816">
        <w:rPr>
          <w:rFonts w:ascii="Times New Roman" w:hAnsi="Times New Roman" w:cs="Times New Roman"/>
          <w:sz w:val="24"/>
          <w:szCs w:val="24"/>
        </w:rPr>
        <w:t xml:space="preserve"> en cuanto a este asunto. Algo cuanto menos preocupante a la hora de mantener una postura defensora o atacante cuando se lleva un caso de este paradigma.</w:t>
      </w:r>
    </w:p>
    <w:p w:rsidR="00F41816" w:rsidRPr="00F41816" w:rsidRDefault="00F41816" w:rsidP="00F41816">
      <w:pPr>
        <w:rPr>
          <w:rFonts w:ascii="Times New Roman" w:hAnsi="Times New Roman" w:cs="Times New Roman"/>
          <w:sz w:val="24"/>
          <w:szCs w:val="24"/>
        </w:rPr>
      </w:pPr>
    </w:p>
    <w:p w:rsidR="00F41816" w:rsidRP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 xml:space="preserve">Otra forma de contrariar a este principio es cuando se habla de la “toxicidad” de la sustancia, pues hay que diferenciar los conceptos de </w:t>
      </w:r>
      <w:r w:rsidRPr="00F41816">
        <w:rPr>
          <w:rFonts w:ascii="Times New Roman" w:hAnsi="Times New Roman" w:cs="Times New Roman"/>
          <w:i/>
          <w:sz w:val="24"/>
          <w:szCs w:val="24"/>
        </w:rPr>
        <w:t>psicoactividad</w:t>
      </w:r>
      <w:r w:rsidRPr="00F41816">
        <w:rPr>
          <w:rFonts w:ascii="Times New Roman" w:hAnsi="Times New Roman" w:cs="Times New Roman"/>
          <w:sz w:val="24"/>
          <w:szCs w:val="24"/>
        </w:rPr>
        <w:t xml:space="preserve"> y </w:t>
      </w:r>
      <w:r w:rsidRPr="00F41816">
        <w:rPr>
          <w:rFonts w:ascii="Times New Roman" w:hAnsi="Times New Roman" w:cs="Times New Roman"/>
          <w:i/>
          <w:sz w:val="24"/>
          <w:szCs w:val="24"/>
        </w:rPr>
        <w:t>toxicidad</w:t>
      </w:r>
      <w:r w:rsidRPr="00F41816">
        <w:rPr>
          <w:rFonts w:ascii="Times New Roman" w:hAnsi="Times New Roman" w:cs="Times New Roman"/>
          <w:sz w:val="24"/>
          <w:szCs w:val="24"/>
        </w:rPr>
        <w:t xml:space="preserve">. Hay que marcar la pauta indiscutible de que, para considerar una acción como relevante y punible penalmente en un supuesto de tráfico de drogas, no solamente una sustancia tiene que rebasar los índices de psicoactividad, sino también los de toxicidad, pues si no, no se consideraría dañado el bien jurídico que se intenta proteger. La toxicidad de </w:t>
      </w:r>
      <w:r w:rsidRPr="00F41816">
        <w:rPr>
          <w:rFonts w:ascii="Times New Roman" w:hAnsi="Times New Roman" w:cs="Times New Roman"/>
          <w:sz w:val="24"/>
          <w:szCs w:val="24"/>
        </w:rPr>
        <w:lastRenderedPageBreak/>
        <w:t>una droga (por eso en la descripción del tipo base 368 del Código Penal se habla de droga tóxica y no de droga sin más) es lo que mantiene a un sujeto drogado, es lo que crea habituación, dependencia física y psíquica, abstinencia si no se consume y todos los efectos adversos que este tipo de sustancias producen. No es consumir una reducida cantidad con unos mínimos psicoactivos, es que de verdad esa substancia perjudique, dañe y ponga en peligro la salud, por eso tiene que ser tóxica.</w:t>
      </w:r>
    </w:p>
    <w:p w:rsidR="00F41816" w:rsidRDefault="00F41816" w:rsidP="00484AA7">
      <w:pPr>
        <w:ind w:left="708"/>
        <w:rPr>
          <w:rFonts w:ascii="Times New Roman" w:hAnsi="Times New Roman" w:cs="Times New Roman"/>
          <w:sz w:val="24"/>
          <w:szCs w:val="24"/>
        </w:rPr>
      </w:pPr>
      <w:r w:rsidRPr="00F41816">
        <w:rPr>
          <w:rFonts w:ascii="Times New Roman" w:hAnsi="Times New Roman" w:cs="Times New Roman"/>
          <w:sz w:val="24"/>
          <w:szCs w:val="24"/>
        </w:rPr>
        <w:t>Igual problema en contra de este principio plantea el fraccionamiento, pues una persona consume una cantidad que se considera  por debajo del mínimo psicoactivo, y por lo tanto, inocua para la salud humana, no se puede argumentar positivamente que el mismo consumo en la misma cantidad por cientos de personas sí que supondría un riesgo dañino para la salud.</w:t>
      </w:r>
      <w:r>
        <w:rPr>
          <w:rStyle w:val="Refdenotaalpie"/>
          <w:rFonts w:ascii="Times New Roman" w:hAnsi="Times New Roman" w:cs="Times New Roman"/>
          <w:sz w:val="24"/>
          <w:szCs w:val="24"/>
        </w:rPr>
        <w:footnoteReference w:id="24"/>
      </w:r>
    </w:p>
    <w:p w:rsidR="00FB14A6" w:rsidRDefault="00FB14A6" w:rsidP="00484AA7">
      <w:pPr>
        <w:ind w:left="708"/>
        <w:rPr>
          <w:rFonts w:ascii="Times New Roman" w:hAnsi="Times New Roman" w:cs="Times New Roman"/>
          <w:sz w:val="24"/>
          <w:szCs w:val="24"/>
        </w:rPr>
      </w:pPr>
    </w:p>
    <w:p w:rsidR="00FB14A6" w:rsidRPr="00A22029" w:rsidRDefault="00FB14A6" w:rsidP="00484AA7">
      <w:pPr>
        <w:ind w:left="708"/>
        <w:rPr>
          <w:rFonts w:ascii="Times New Roman" w:hAnsi="Times New Roman" w:cs="Times New Roman"/>
          <w:sz w:val="24"/>
          <w:szCs w:val="24"/>
        </w:rPr>
      </w:pPr>
    </w:p>
    <w:p w:rsidR="00F41816" w:rsidRPr="00DF3379" w:rsidRDefault="00A22029" w:rsidP="00F41816">
      <w:pPr>
        <w:pStyle w:val="Ttulo3"/>
        <w:numPr>
          <w:ilvl w:val="2"/>
          <w:numId w:val="9"/>
        </w:numPr>
        <w:rPr>
          <w:rFonts w:ascii="Times New Roman" w:hAnsi="Times New Roman" w:cs="Times New Roman"/>
          <w:color w:val="auto"/>
          <w:sz w:val="24"/>
          <w:szCs w:val="24"/>
        </w:rPr>
      </w:pPr>
      <w:bookmarkStart w:id="37" w:name="_Toc393739395"/>
      <w:r w:rsidRPr="00DF3379">
        <w:rPr>
          <w:rFonts w:ascii="Times New Roman" w:hAnsi="Times New Roman" w:cs="Times New Roman"/>
          <w:color w:val="auto"/>
          <w:sz w:val="24"/>
          <w:szCs w:val="24"/>
        </w:rPr>
        <w:t>La importancia de la pureza</w:t>
      </w:r>
      <w:bookmarkEnd w:id="37"/>
    </w:p>
    <w:p w:rsidR="00A22029" w:rsidRPr="00A22029" w:rsidRDefault="00A22029" w:rsidP="00484AA7">
      <w:pPr>
        <w:pStyle w:val="Prrafodelista"/>
        <w:ind w:left="708"/>
        <w:rPr>
          <w:rFonts w:ascii="Times New Roman" w:hAnsi="Times New Roman" w:cs="Times New Roman"/>
          <w:sz w:val="24"/>
          <w:szCs w:val="24"/>
        </w:rPr>
      </w:pPr>
      <w:r w:rsidRPr="00A22029">
        <w:rPr>
          <w:rFonts w:ascii="Times New Roman" w:hAnsi="Times New Roman" w:cs="Times New Roman"/>
          <w:sz w:val="24"/>
          <w:szCs w:val="24"/>
        </w:rPr>
        <w:t>La pureza de la droga es fundamental para conocer cuántas dosis pueden producirse con una determinada cantidad de sustancia, porque no es lo mismo 100 gramos de cocaína al 40% que al 60%, ya que con los primeros 100 gramos, siempre se podrán hacer menos dosis de consumo medio que con los segundos, más “ricos”.</w:t>
      </w:r>
    </w:p>
    <w:p w:rsidR="00A22029" w:rsidRPr="00A22029" w:rsidRDefault="00A22029" w:rsidP="00484AA7">
      <w:pPr>
        <w:pStyle w:val="Prrafodelista"/>
        <w:ind w:left="708"/>
        <w:rPr>
          <w:rFonts w:ascii="Times New Roman" w:hAnsi="Times New Roman" w:cs="Times New Roman"/>
          <w:sz w:val="24"/>
          <w:szCs w:val="24"/>
        </w:rPr>
      </w:pPr>
      <w:r w:rsidRPr="00A22029">
        <w:rPr>
          <w:rFonts w:ascii="Times New Roman" w:hAnsi="Times New Roman" w:cs="Times New Roman"/>
          <w:sz w:val="24"/>
          <w:szCs w:val="24"/>
        </w:rPr>
        <w:t>Para ello, se necesita saber cómo el Supremo interpreta esos porcentajes de pureza que relaciona con los índices psicoactivos, y que en realidad son conocimientos totalmente diferentes. La forma de extraer la pureza es realmente simple: 100 gramos de droga bruta al 40% serán 40 gramos de droga pura, y 100 gramos de droga bruta al 60% serán 60 gramos de droga pura. Igualmente, 327 gramos al 30%  formarán 98,1 gramos de droga pura y así sucesivamente.</w:t>
      </w:r>
    </w:p>
    <w:p w:rsidR="00A22029" w:rsidRPr="00A22029" w:rsidRDefault="00A22029" w:rsidP="00484AA7">
      <w:pPr>
        <w:pStyle w:val="Prrafodelista"/>
        <w:ind w:left="708"/>
        <w:rPr>
          <w:rFonts w:ascii="Times New Roman" w:hAnsi="Times New Roman" w:cs="Times New Roman"/>
          <w:i/>
          <w:sz w:val="24"/>
          <w:szCs w:val="24"/>
        </w:rPr>
      </w:pPr>
      <w:r w:rsidRPr="00A22029">
        <w:rPr>
          <w:rFonts w:ascii="Times New Roman" w:hAnsi="Times New Roman" w:cs="Times New Roman"/>
          <w:sz w:val="24"/>
          <w:szCs w:val="24"/>
        </w:rPr>
        <w:t xml:space="preserve">Pero hay que tener en cuenta una cuestión de vital importancia, y es que esto no opera con el porcentaje de </w:t>
      </w:r>
      <w:proofErr w:type="spellStart"/>
      <w:r w:rsidRPr="00A22029">
        <w:rPr>
          <w:rFonts w:ascii="Times New Roman" w:hAnsi="Times New Roman" w:cs="Times New Roman"/>
          <w:sz w:val="24"/>
          <w:szCs w:val="24"/>
        </w:rPr>
        <w:t>tetrahidrocannabinol</w:t>
      </w:r>
      <w:proofErr w:type="spellEnd"/>
      <w:r w:rsidRPr="00A22029">
        <w:rPr>
          <w:rFonts w:ascii="Times New Roman" w:hAnsi="Times New Roman" w:cs="Times New Roman"/>
          <w:sz w:val="24"/>
          <w:szCs w:val="24"/>
        </w:rPr>
        <w:t xml:space="preserve"> (THC) de los derivados del cannabis, pues con 1 kilogramo de hachís, marihuana, etc., se producirán las mismas dosis (porros, canutos, etc.), independientemente de su pureza, que lo único que indicará será la “calidad” de la “fumada” correspondiente. Es lógico, pues la marihuana sale de una planta, igual que sus derivados, y es más complicado manipular o “cortar” este tipo de droga que por ejemplo la cocaína, pues ésta es un producto químico que puede resultar adulterado de una forma muchísimo más fácil. La </w:t>
      </w:r>
      <w:r w:rsidRPr="00A22029">
        <w:rPr>
          <w:rFonts w:ascii="Times New Roman" w:hAnsi="Times New Roman" w:cs="Times New Roman"/>
          <w:b/>
          <w:sz w:val="24"/>
          <w:szCs w:val="24"/>
        </w:rPr>
        <w:t xml:space="preserve">STS 5441/2013 de 14 de </w:t>
      </w:r>
      <w:r w:rsidRPr="00A22029">
        <w:rPr>
          <w:rFonts w:ascii="Times New Roman" w:hAnsi="Times New Roman" w:cs="Times New Roman"/>
          <w:b/>
          <w:sz w:val="24"/>
          <w:szCs w:val="24"/>
        </w:rPr>
        <w:lastRenderedPageBreak/>
        <w:t xml:space="preserve">noviembre, </w:t>
      </w:r>
      <w:r w:rsidRPr="00A22029">
        <w:rPr>
          <w:rFonts w:ascii="Times New Roman" w:hAnsi="Times New Roman" w:cs="Times New Roman"/>
          <w:sz w:val="24"/>
          <w:szCs w:val="24"/>
        </w:rPr>
        <w:t>cita: “</w:t>
      </w:r>
      <w:r w:rsidRPr="00A22029">
        <w:rPr>
          <w:rFonts w:ascii="Times New Roman" w:hAnsi="Times New Roman" w:cs="Times New Roman"/>
          <w:i/>
          <w:sz w:val="24"/>
          <w:szCs w:val="24"/>
        </w:rPr>
        <w:t>Los argumentos defensivos ligados a una posible insignificancia de la dosis psicoactiva que integraban las piezas de hachís, chocan con el obstáculo de una jurisprudencia que .no sin algunas oscilaciones- ha considerado que no es preciso concretar el grado de THC –</w:t>
      </w:r>
      <w:proofErr w:type="spellStart"/>
      <w:r w:rsidRPr="00A22029">
        <w:rPr>
          <w:rFonts w:ascii="Times New Roman" w:hAnsi="Times New Roman" w:cs="Times New Roman"/>
          <w:i/>
          <w:sz w:val="24"/>
          <w:szCs w:val="24"/>
        </w:rPr>
        <w:t>tetrahidrocannabinol</w:t>
      </w:r>
      <w:proofErr w:type="spellEnd"/>
      <w:r w:rsidRPr="00A22029">
        <w:rPr>
          <w:rFonts w:ascii="Times New Roman" w:hAnsi="Times New Roman" w:cs="Times New Roman"/>
          <w:i/>
          <w:sz w:val="24"/>
          <w:szCs w:val="24"/>
        </w:rPr>
        <w:t>- que posee el hachís, sino que basta con tener presente el peso bruto de la droga intervenida, porque es un producto vegetal, obtenido sin procesos químicos, que no admite manipulaciones ni adulteraciones, cuyo grado de pureza deriva de causas naturales como la calidad de la planta según la zona de cultivo, o la sección de las partes componentes de la misma, como el tallo, las hojas o las flores.”</w:t>
      </w:r>
      <w:r w:rsidRPr="00A22029">
        <w:rPr>
          <w:rFonts w:ascii="Times New Roman" w:hAnsi="Times New Roman" w:cs="Times New Roman"/>
          <w:sz w:val="24"/>
          <w:szCs w:val="24"/>
        </w:rPr>
        <w:t xml:space="preserve"> La misma postura se mantiene en la </w:t>
      </w:r>
      <w:r w:rsidRPr="00A22029">
        <w:rPr>
          <w:rFonts w:ascii="Times New Roman" w:hAnsi="Times New Roman" w:cs="Times New Roman"/>
          <w:b/>
          <w:sz w:val="24"/>
          <w:szCs w:val="24"/>
        </w:rPr>
        <w:t>STS 1703/2007 de 1 de marzo</w:t>
      </w:r>
      <w:r w:rsidRPr="00A22029">
        <w:rPr>
          <w:rFonts w:ascii="Times New Roman" w:hAnsi="Times New Roman" w:cs="Times New Roman"/>
          <w:sz w:val="24"/>
          <w:szCs w:val="24"/>
        </w:rPr>
        <w:t>: “</w:t>
      </w:r>
      <w:r w:rsidRPr="00A22029">
        <w:rPr>
          <w:rFonts w:ascii="Times New Roman" w:hAnsi="Times New Roman" w:cs="Times New Roman"/>
          <w:i/>
          <w:sz w:val="24"/>
          <w:szCs w:val="24"/>
        </w:rPr>
        <w:t xml:space="preserve">Hay una tesis jurisprudencial según la cual la notoriedad del hachís ha de apoyarse en el kilo atendiendo al peso bruto de la sustancia aprehendida con independencia del grado de concentración de </w:t>
      </w:r>
      <w:proofErr w:type="spellStart"/>
      <w:r w:rsidRPr="00A22029">
        <w:rPr>
          <w:rFonts w:ascii="Times New Roman" w:hAnsi="Times New Roman" w:cs="Times New Roman"/>
          <w:i/>
          <w:sz w:val="24"/>
          <w:szCs w:val="24"/>
        </w:rPr>
        <w:t>tetrahidrocannabinol</w:t>
      </w:r>
      <w:proofErr w:type="spellEnd"/>
      <w:r w:rsidRPr="00A22029">
        <w:rPr>
          <w:rFonts w:ascii="Times New Roman" w:hAnsi="Times New Roman" w:cs="Times New Roman"/>
          <w:i/>
          <w:sz w:val="24"/>
          <w:szCs w:val="24"/>
        </w:rPr>
        <w:t xml:space="preserve">. Se afirma entonces que en esta droga no juegan los índices de pureza al no admitir el </w:t>
      </w:r>
      <w:proofErr w:type="spellStart"/>
      <w:r w:rsidRPr="00A22029">
        <w:rPr>
          <w:rFonts w:ascii="Times New Roman" w:hAnsi="Times New Roman" w:cs="Times New Roman"/>
          <w:i/>
          <w:sz w:val="24"/>
          <w:szCs w:val="24"/>
        </w:rPr>
        <w:t>hachis</w:t>
      </w:r>
      <w:proofErr w:type="spellEnd"/>
      <w:r w:rsidRPr="00A22029">
        <w:rPr>
          <w:rFonts w:ascii="Times New Roman" w:hAnsi="Times New Roman" w:cs="Times New Roman"/>
          <w:i/>
          <w:sz w:val="24"/>
          <w:szCs w:val="24"/>
        </w:rPr>
        <w:t xml:space="preserve"> adulteración con otros productos. En consecuencia, si se rebasa el peso bruto del kilo, se consuma el tipo.</w:t>
      </w:r>
      <w:r w:rsidRPr="00A22029">
        <w:rPr>
          <w:rFonts w:ascii="Times New Roman" w:hAnsi="Times New Roman" w:cs="Times New Roman"/>
          <w:sz w:val="24"/>
          <w:szCs w:val="24"/>
        </w:rPr>
        <w:t>” Aun así, en la misma sentencia se establece: “</w:t>
      </w:r>
      <w:r w:rsidRPr="00A22029">
        <w:rPr>
          <w:rFonts w:ascii="Times New Roman" w:hAnsi="Times New Roman" w:cs="Times New Roman"/>
          <w:i/>
          <w:sz w:val="24"/>
          <w:szCs w:val="24"/>
        </w:rPr>
        <w:t>una segunda tesis aprueba la necesariedad de tener en cuenta el peso bruto en relación con el grado de concentración de la sustancia activa, por lo cual se exige para la notoriedad no sólo el kilo de peso sino también una pureza desde el 4%</w:t>
      </w:r>
      <w:r w:rsidRPr="00A22029">
        <w:rPr>
          <w:rFonts w:ascii="Times New Roman" w:hAnsi="Times New Roman" w:cs="Times New Roman"/>
          <w:sz w:val="24"/>
          <w:szCs w:val="24"/>
        </w:rPr>
        <w:t xml:space="preserve">”. </w:t>
      </w:r>
      <w:r w:rsidRPr="00A22029">
        <w:rPr>
          <w:rFonts w:ascii="Times New Roman" w:hAnsi="Times New Roman" w:cs="Times New Roman"/>
          <w:i/>
          <w:sz w:val="24"/>
          <w:szCs w:val="24"/>
        </w:rPr>
        <w:t xml:space="preserve"> </w:t>
      </w:r>
    </w:p>
    <w:p w:rsidR="00A22029" w:rsidRPr="00A22029" w:rsidRDefault="00A22029" w:rsidP="00484AA7">
      <w:pPr>
        <w:pStyle w:val="Prrafodelista"/>
        <w:ind w:left="708"/>
        <w:rPr>
          <w:rFonts w:ascii="Times New Roman" w:hAnsi="Times New Roman" w:cs="Times New Roman"/>
          <w:sz w:val="24"/>
          <w:szCs w:val="24"/>
        </w:rPr>
      </w:pPr>
      <w:r w:rsidRPr="00A22029">
        <w:rPr>
          <w:rFonts w:ascii="Times New Roman" w:hAnsi="Times New Roman" w:cs="Times New Roman"/>
          <w:sz w:val="24"/>
          <w:szCs w:val="24"/>
        </w:rPr>
        <w:t xml:space="preserve">Algo semejante ocurre con las anfetaminas y otras sustancias de “diseño” en las que la dosis viene determinada por el comprimido o pastilla en que se presentan, sin más. </w:t>
      </w:r>
    </w:p>
    <w:p w:rsidR="00A22029" w:rsidRPr="00A22029" w:rsidRDefault="00A22029" w:rsidP="00A22029">
      <w:pPr>
        <w:pStyle w:val="Prrafodelista"/>
        <w:ind w:left="360"/>
        <w:rPr>
          <w:rFonts w:ascii="Times New Roman" w:hAnsi="Times New Roman" w:cs="Times New Roman"/>
          <w:sz w:val="24"/>
          <w:szCs w:val="24"/>
        </w:rPr>
      </w:pPr>
    </w:p>
    <w:p w:rsidR="00A22029" w:rsidRPr="00A22029" w:rsidRDefault="00A22029" w:rsidP="00484AA7">
      <w:pPr>
        <w:pStyle w:val="Prrafodelista"/>
        <w:ind w:left="708"/>
        <w:rPr>
          <w:rFonts w:ascii="Times New Roman" w:hAnsi="Times New Roman" w:cs="Times New Roman"/>
          <w:sz w:val="24"/>
          <w:szCs w:val="24"/>
        </w:rPr>
      </w:pPr>
      <w:r w:rsidRPr="00A22029">
        <w:rPr>
          <w:rFonts w:ascii="Times New Roman" w:hAnsi="Times New Roman" w:cs="Times New Roman"/>
          <w:sz w:val="24"/>
          <w:szCs w:val="24"/>
        </w:rPr>
        <w:t>Por tanto, la pureza y todo lo explicado sirve para conocer la cantidad real de droga, especialmente con vistas a determinar si se cumple o no el requisito de la “notoria importancia” (al que se hará referencia en puntos posteriores) de la sustancia, contemplado en el artículo 369 del nuestro Código Penal como supuesto  de especial agravación. En este sentido, el Acuerdo del Pleno no Jurisdiccional de la Sala Segunda del Tribunal Supremo, de 19 de Octubre de 2001, fija, para cada sustancia y con base en el nivel de las 500 dosis, ese límite cuantitativo para construir el supuesto agravado, pues tales límites cuantitativos se refieren siempre a la “droga pura”, pero  esto se analizará más detenidamente  en el último punto del trabajo, a lo que hago referencia expresa.</w:t>
      </w:r>
    </w:p>
    <w:p w:rsidR="00A22029" w:rsidRPr="00A22029" w:rsidRDefault="00A22029" w:rsidP="00A22029">
      <w:pPr>
        <w:pStyle w:val="Prrafodelista"/>
        <w:ind w:left="360"/>
        <w:rPr>
          <w:rFonts w:ascii="Times New Roman" w:hAnsi="Times New Roman" w:cs="Times New Roman"/>
          <w:sz w:val="24"/>
          <w:szCs w:val="24"/>
        </w:rPr>
      </w:pPr>
    </w:p>
    <w:p w:rsidR="00A22029" w:rsidRPr="00A22029" w:rsidRDefault="00A22029" w:rsidP="00484AA7">
      <w:pPr>
        <w:pStyle w:val="Prrafodelista"/>
        <w:ind w:left="708"/>
        <w:rPr>
          <w:rFonts w:ascii="Times New Roman" w:hAnsi="Times New Roman" w:cs="Times New Roman"/>
          <w:sz w:val="24"/>
          <w:szCs w:val="24"/>
        </w:rPr>
      </w:pPr>
      <w:r w:rsidRPr="00A22029">
        <w:rPr>
          <w:rFonts w:ascii="Times New Roman" w:hAnsi="Times New Roman" w:cs="Times New Roman"/>
          <w:sz w:val="24"/>
          <w:szCs w:val="24"/>
        </w:rPr>
        <w:t xml:space="preserve">En resumen, poco todo tiene todo ello que ver con la cuestión del mínimo psicoactivo, si bien las cantidades facilitadas por el Instituto Nacional de Toxicología y que el </w:t>
      </w:r>
      <w:r w:rsidRPr="00A22029">
        <w:rPr>
          <w:rFonts w:ascii="Times New Roman" w:hAnsi="Times New Roman" w:cs="Times New Roman"/>
          <w:sz w:val="24"/>
          <w:szCs w:val="24"/>
        </w:rPr>
        <w:lastRenderedPageBreak/>
        <w:t xml:space="preserve">propio Tribunal Supremo asume, se refieren también, en todo caso, a sustancia “pura”. Es decir, para ver si se cumplen esas mínimas cuantías, previamente hay que efectuar la reducción a pureza a la que antes me he estado refiriendo. Es básico conocer la pureza de la sustancia de que se trate pues, de lo contrario, podría llegarse a la atipicidad, en palabras de BARÓN QUINTERO, apoyándose en la </w:t>
      </w:r>
      <w:r w:rsidRPr="006A44EA">
        <w:rPr>
          <w:rFonts w:ascii="Times New Roman" w:hAnsi="Times New Roman" w:cs="Times New Roman"/>
          <w:b/>
          <w:sz w:val="24"/>
          <w:szCs w:val="24"/>
        </w:rPr>
        <w:t>Sentencia  7599/2003 de 28 de noviembre</w:t>
      </w:r>
      <w:r w:rsidRPr="00A22029">
        <w:rPr>
          <w:rFonts w:ascii="Times New Roman" w:hAnsi="Times New Roman" w:cs="Times New Roman"/>
          <w:sz w:val="24"/>
          <w:szCs w:val="24"/>
        </w:rPr>
        <w:t xml:space="preserve"> “</w:t>
      </w:r>
      <w:r w:rsidRPr="00A22029">
        <w:rPr>
          <w:rFonts w:ascii="Times New Roman" w:hAnsi="Times New Roman" w:cs="Times New Roman"/>
          <w:i/>
          <w:sz w:val="24"/>
          <w:szCs w:val="24"/>
        </w:rPr>
        <w:t>No constituye una conducta delictiva, y no es subsumible en el artículo 368 del CP, la consistente en vender una papelina de heroína de un peso de 0,08 gramos, cuando falte el análisis de la pureza de la sustancia intervenida</w:t>
      </w:r>
      <w:r w:rsidRPr="00F60C0B">
        <w:rPr>
          <w:rFonts w:ascii="Times New Roman" w:hAnsi="Times New Roman" w:cs="Times New Roman"/>
          <w:sz w:val="24"/>
          <w:szCs w:val="24"/>
        </w:rPr>
        <w:t>”</w:t>
      </w:r>
      <w:r w:rsidRPr="00A22029">
        <w:rPr>
          <w:rFonts w:ascii="Times New Roman" w:hAnsi="Times New Roman" w:cs="Times New Roman"/>
          <w:sz w:val="24"/>
          <w:szCs w:val="24"/>
        </w:rPr>
        <w:t>.</w:t>
      </w:r>
      <w:r>
        <w:rPr>
          <w:rStyle w:val="Refdenotaalpie"/>
          <w:rFonts w:ascii="Times New Roman" w:hAnsi="Times New Roman" w:cs="Times New Roman"/>
          <w:sz w:val="24"/>
          <w:szCs w:val="24"/>
        </w:rPr>
        <w:footnoteReference w:id="25"/>
      </w:r>
    </w:p>
    <w:p w:rsidR="00A22029" w:rsidRPr="00A22029" w:rsidRDefault="00A22029" w:rsidP="00A22029"/>
    <w:p w:rsidR="00A22029" w:rsidRPr="00DB1B01" w:rsidRDefault="00A22029" w:rsidP="00A22029">
      <w:pPr>
        <w:pStyle w:val="Prrafodelista"/>
        <w:ind w:left="360"/>
        <w:rPr>
          <w:rFonts w:ascii="Times New Roman" w:hAnsi="Times New Roman" w:cs="Times New Roman"/>
          <w:b/>
          <w:sz w:val="24"/>
          <w:szCs w:val="24"/>
        </w:rPr>
      </w:pPr>
    </w:p>
    <w:p w:rsidR="00A22029" w:rsidRPr="00DF3379" w:rsidRDefault="00A22029" w:rsidP="00A22029">
      <w:pPr>
        <w:pStyle w:val="Ttulo1"/>
        <w:numPr>
          <w:ilvl w:val="0"/>
          <w:numId w:val="9"/>
        </w:numPr>
        <w:rPr>
          <w:rFonts w:ascii="Times New Roman" w:hAnsi="Times New Roman" w:cs="Times New Roman"/>
          <w:color w:val="auto"/>
          <w:sz w:val="24"/>
          <w:szCs w:val="24"/>
        </w:rPr>
      </w:pPr>
      <w:bookmarkStart w:id="38" w:name="_Toc393739396"/>
      <w:r w:rsidRPr="00DF3379">
        <w:rPr>
          <w:rFonts w:ascii="Times New Roman" w:hAnsi="Times New Roman" w:cs="Times New Roman"/>
          <w:color w:val="auto"/>
          <w:sz w:val="24"/>
          <w:szCs w:val="24"/>
        </w:rPr>
        <w:t>LA POSESIÓN DE DROGA NO ILÍCITA PENALMENTE</w:t>
      </w:r>
      <w:bookmarkEnd w:id="38"/>
    </w:p>
    <w:p w:rsidR="00A22029" w:rsidRDefault="00A22029" w:rsidP="00484AA7">
      <w:pPr>
        <w:rPr>
          <w:rFonts w:ascii="Times New Roman" w:hAnsi="Times New Roman" w:cs="Times New Roman"/>
          <w:sz w:val="24"/>
          <w:szCs w:val="24"/>
        </w:rPr>
      </w:pPr>
      <w:r>
        <w:rPr>
          <w:rFonts w:ascii="Times New Roman" w:hAnsi="Times New Roman" w:cs="Times New Roman"/>
          <w:sz w:val="24"/>
          <w:szCs w:val="24"/>
        </w:rPr>
        <w:t>En este punto se pretenden abordar las cuestiones suscitadas acerca de la posesión de drogas con un fin distinto al del tráfico: la posesión para el consumo propio o el consumo compartido. En teoría, la tenencia de estas sustancias para consumirlas de forma individual o colectiva es impune, siempre y cuando no se vea afectada la salud pública. Pero este asunto no es ni resulta tan fácil como parece, pues como intentaré explicar a lo largo del texto, el Tribunal Supremo se muestra muy contradictorio frente a este tipo de cuestiones. Desde un principio, la sala segunda del Alto Tribunal siempre ha tenido como referencia la definición de tal concepto, llegando incluso a acudir a los artículos 430, 431 y 438 del Código Civil para lograr formar un significado de posesión más acertado y acorde jurídicamente. Por ello, tal posesión se puede dar desde varios puntos de vista: actual, material, física, mediata, indirecta e incluso a distancia y sin necesidad de contacto físico.</w:t>
      </w:r>
      <w:r>
        <w:rPr>
          <w:rStyle w:val="Refdenotaalpie"/>
          <w:rFonts w:ascii="Times New Roman" w:hAnsi="Times New Roman" w:cs="Times New Roman"/>
          <w:sz w:val="24"/>
          <w:szCs w:val="24"/>
        </w:rPr>
        <w:footnoteReference w:id="26"/>
      </w:r>
      <w:r>
        <w:rPr>
          <w:rFonts w:ascii="Times New Roman" w:hAnsi="Times New Roman" w:cs="Times New Roman"/>
          <w:sz w:val="24"/>
          <w:szCs w:val="24"/>
        </w:rPr>
        <w:t xml:space="preserve"> Por tanto, y con ámbito general, la idea de posesión ha ido asociada como una presunción al tráfico, como dice frecuentemente la doctrina y jurisprudencia “la posesión preordenada al tráfico”. Pero resulta evidente, que existen unas excepciones a esa regla general, y son aquellas que describen la posesión, no como una tenencia preordenada al tráfico ni como un acto de promoción o favorecimiento, sino con la mera intención de consumir las sustancias para sí mismo o compartirlas (autoconsumo o consumo compartido). </w:t>
      </w:r>
    </w:p>
    <w:p w:rsidR="00A22029" w:rsidRPr="00BE61AE" w:rsidRDefault="00A22029" w:rsidP="00484AA7">
      <w:pPr>
        <w:rPr>
          <w:rFonts w:ascii="Times New Roman" w:hAnsi="Times New Roman" w:cs="Times New Roman"/>
          <w:sz w:val="24"/>
          <w:szCs w:val="24"/>
        </w:rPr>
      </w:pPr>
      <w:r>
        <w:rPr>
          <w:rFonts w:ascii="Times New Roman" w:hAnsi="Times New Roman" w:cs="Times New Roman"/>
          <w:sz w:val="24"/>
          <w:szCs w:val="24"/>
        </w:rPr>
        <w:t xml:space="preserve">También resulta básico en esta esfera conocer el ámbito subjetivo en este tipo de conductas delictivas, pues será clave para delimitar si estamos ante un sujeto que quiere favorecer, </w:t>
      </w:r>
      <w:r>
        <w:rPr>
          <w:rFonts w:ascii="Times New Roman" w:hAnsi="Times New Roman" w:cs="Times New Roman"/>
          <w:sz w:val="24"/>
          <w:szCs w:val="24"/>
        </w:rPr>
        <w:lastRenderedPageBreak/>
        <w:t xml:space="preserve">promover o facilitar o simplemente quiere o incluso necesita consumir. Los tipos recogidos en los delitos de tráfico de drogas no admiten el comportamiento imprudente del sujeto, lo que significa que cualquier error sea vencible o invencible nos lleva directamente a la no punibilidad de la conducta y puede que a una posible absolución. Ahora bien, el error que versa sobre la cantidad, la edad del sujeto al que se vende, etc., son puntos que  hacen típicas las conductas, pues la Jurisprudencia dictamina que es suficiente con que exista dolo eventual, por ejemplo las </w:t>
      </w:r>
      <w:r w:rsidRPr="00BE61AE">
        <w:rPr>
          <w:rFonts w:ascii="Times New Roman" w:hAnsi="Times New Roman" w:cs="Times New Roman"/>
          <w:b/>
          <w:sz w:val="24"/>
          <w:szCs w:val="24"/>
        </w:rPr>
        <w:t>STS</w:t>
      </w:r>
      <w:r>
        <w:rPr>
          <w:rFonts w:ascii="Times New Roman" w:hAnsi="Times New Roman" w:cs="Times New Roman"/>
          <w:b/>
          <w:sz w:val="24"/>
          <w:szCs w:val="24"/>
        </w:rPr>
        <w:t xml:space="preserve"> 1462/2007 de 28 de febrero</w:t>
      </w:r>
      <w:r w:rsidRPr="00BE61AE">
        <w:rPr>
          <w:rFonts w:ascii="Times New Roman" w:hAnsi="Times New Roman" w:cs="Times New Roman"/>
          <w:b/>
          <w:sz w:val="24"/>
          <w:szCs w:val="24"/>
        </w:rPr>
        <w:t xml:space="preserve"> </w:t>
      </w:r>
      <w:r>
        <w:rPr>
          <w:rFonts w:ascii="Times New Roman" w:hAnsi="Times New Roman" w:cs="Times New Roman"/>
          <w:sz w:val="24"/>
          <w:szCs w:val="24"/>
        </w:rPr>
        <w:t xml:space="preserve">y </w:t>
      </w:r>
      <w:r>
        <w:rPr>
          <w:rFonts w:ascii="Times New Roman" w:hAnsi="Times New Roman" w:cs="Times New Roman"/>
          <w:b/>
          <w:sz w:val="24"/>
          <w:szCs w:val="24"/>
        </w:rPr>
        <w:t>STS 911</w:t>
      </w:r>
      <w:r w:rsidRPr="00BE61AE">
        <w:rPr>
          <w:rFonts w:ascii="Times New Roman" w:hAnsi="Times New Roman" w:cs="Times New Roman"/>
          <w:b/>
          <w:sz w:val="24"/>
          <w:szCs w:val="24"/>
        </w:rPr>
        <w:t>/2009 de 12 de febrero</w:t>
      </w:r>
      <w:r>
        <w:rPr>
          <w:rFonts w:ascii="Times New Roman" w:hAnsi="Times New Roman" w:cs="Times New Roman"/>
          <w:b/>
          <w:sz w:val="24"/>
          <w:szCs w:val="24"/>
        </w:rPr>
        <w:t xml:space="preserve">. </w:t>
      </w:r>
      <w:r>
        <w:rPr>
          <w:rFonts w:ascii="Times New Roman" w:hAnsi="Times New Roman" w:cs="Times New Roman"/>
          <w:sz w:val="24"/>
          <w:szCs w:val="24"/>
        </w:rPr>
        <w:t xml:space="preserve">Tiene su sentido. El querer contribuir, favorecer, vender o entregar cantidades de droga desconociendo su calidad o cantidad, no es en realidad error sino indiferencia, por ello, desmontar un dolo eventual en este tipo de asuntos resulta difícil. Tiene, en definitiva, que faltar ese ánimo de traficar y que tal intención resulte ser la de investigar, consumir o incluso coleccionar. </w:t>
      </w:r>
    </w:p>
    <w:p w:rsidR="00A22029" w:rsidRDefault="00A22029" w:rsidP="00BA48B3">
      <w:pPr>
        <w:ind w:firstLine="708"/>
      </w:pPr>
    </w:p>
    <w:p w:rsidR="00BA48B3" w:rsidRPr="00A22029" w:rsidRDefault="00BA48B3" w:rsidP="00BA48B3">
      <w:pPr>
        <w:ind w:firstLine="708"/>
      </w:pPr>
    </w:p>
    <w:p w:rsidR="00A22029" w:rsidRDefault="00A22029" w:rsidP="00A22029">
      <w:pPr>
        <w:pStyle w:val="Ttulo2"/>
        <w:numPr>
          <w:ilvl w:val="1"/>
          <w:numId w:val="9"/>
        </w:numPr>
        <w:rPr>
          <w:rFonts w:ascii="Times New Roman" w:hAnsi="Times New Roman" w:cs="Times New Roman"/>
          <w:color w:val="auto"/>
          <w:sz w:val="24"/>
          <w:szCs w:val="24"/>
        </w:rPr>
      </w:pPr>
      <w:r>
        <w:t xml:space="preserve"> </w:t>
      </w:r>
      <w:bookmarkStart w:id="39" w:name="_Toc393739397"/>
      <w:r w:rsidR="009361BD">
        <w:rPr>
          <w:rFonts w:ascii="Times New Roman" w:hAnsi="Times New Roman" w:cs="Times New Roman"/>
          <w:color w:val="auto"/>
          <w:sz w:val="24"/>
          <w:szCs w:val="24"/>
        </w:rPr>
        <w:t>La nueva reforma. Tipo atenuado por la cuantía.</w:t>
      </w:r>
      <w:bookmarkEnd w:id="39"/>
    </w:p>
    <w:p w:rsidR="009361BD" w:rsidRPr="00A1695B" w:rsidRDefault="009361BD" w:rsidP="00A1695B">
      <w:pPr>
        <w:ind w:left="360"/>
        <w:rPr>
          <w:rFonts w:ascii="Times New Roman" w:hAnsi="Times New Roman" w:cs="Times New Roman"/>
          <w:sz w:val="24"/>
          <w:szCs w:val="24"/>
        </w:rPr>
      </w:pPr>
      <w:r w:rsidRPr="00A1695B">
        <w:rPr>
          <w:rFonts w:ascii="Times New Roman" w:hAnsi="Times New Roman" w:cs="Times New Roman"/>
          <w:sz w:val="24"/>
          <w:szCs w:val="24"/>
        </w:rPr>
        <w:t>El párrafo segundo del artículo 368 del Código Penal es algo que el Tribunal Supremo venía reclamando desde hace unos años. El motivo estaba claro, se buscaba atemperar las penas impuestas en el párrafo primero</w:t>
      </w:r>
      <w:r w:rsidRPr="00A1695B">
        <w:rPr>
          <w:rStyle w:val="Refdenotaalpie"/>
          <w:rFonts w:ascii="Times New Roman" w:hAnsi="Times New Roman" w:cs="Times New Roman"/>
          <w:sz w:val="24"/>
          <w:szCs w:val="24"/>
        </w:rPr>
        <w:footnoteReference w:id="27"/>
      </w:r>
      <w:r w:rsidRPr="00A1695B">
        <w:rPr>
          <w:rFonts w:ascii="Times New Roman" w:hAnsi="Times New Roman" w:cs="Times New Roman"/>
          <w:sz w:val="24"/>
          <w:szCs w:val="24"/>
        </w:rPr>
        <w:t xml:space="preserve"> para aquellos supuestos en los que o bien, se rebasaba ínfimamente el mínimo psicoactivo de la sustancia, o se transmitían cantidades que superaban escasamente la dosis de consumo. En este tipo de supuestos, las conductas deberán de ir enjuiciadas conforme a las reglas del párrafo segundo del artículo 368, pues ya he hecho referencia a lo largo de todo el trabajo que las cantidades que se encuentren por debajo de los mínimos psicoactivos se considerarán atípicas por no calificarse la sustancia como objeto material de tal delito. En palabras del Alto Tribunal:</w:t>
      </w:r>
      <w:r w:rsidR="00BF612F" w:rsidRPr="00A1695B">
        <w:rPr>
          <w:rFonts w:ascii="Times New Roman" w:hAnsi="Times New Roman" w:cs="Times New Roman"/>
          <w:sz w:val="24"/>
          <w:szCs w:val="24"/>
        </w:rPr>
        <w:t xml:space="preserve"> </w:t>
      </w:r>
      <w:r w:rsidRPr="00A1695B">
        <w:rPr>
          <w:rFonts w:ascii="Times New Roman" w:hAnsi="Times New Roman" w:cs="Times New Roman"/>
          <w:sz w:val="24"/>
          <w:szCs w:val="24"/>
        </w:rPr>
        <w:t>“</w:t>
      </w:r>
      <w:r w:rsidRPr="00A1695B">
        <w:rPr>
          <w:rFonts w:ascii="Times New Roman" w:hAnsi="Times New Roman" w:cs="Times New Roman"/>
          <w:i/>
          <w:sz w:val="24"/>
          <w:szCs w:val="24"/>
        </w:rPr>
        <w:t>Esta Sala ha venido excluyendo de la aplicación del artículo 368 del Código Penal determinados supuestos de tenencia e incluso transmisión de drogas cuando se limitan a cantidades ínfimas, que se estima que no son punibles por falta de peligro para el bien jurídico protegido y por la inadecuación de la acción para la creación de dicho peligro</w:t>
      </w:r>
      <w:r w:rsidRPr="00A1695B">
        <w:rPr>
          <w:rFonts w:ascii="Times New Roman" w:hAnsi="Times New Roman" w:cs="Times New Roman"/>
          <w:sz w:val="24"/>
          <w:szCs w:val="24"/>
        </w:rPr>
        <w:t>”</w:t>
      </w:r>
      <w:r w:rsidR="00BF612F" w:rsidRPr="00A1695B">
        <w:rPr>
          <w:rStyle w:val="Refdenotaalpie"/>
          <w:rFonts w:ascii="Times New Roman" w:hAnsi="Times New Roman" w:cs="Times New Roman"/>
          <w:sz w:val="24"/>
          <w:szCs w:val="24"/>
        </w:rPr>
        <w:footnoteReference w:id="28"/>
      </w:r>
      <w:r w:rsidR="00BF612F" w:rsidRPr="00A1695B">
        <w:rPr>
          <w:rFonts w:ascii="Times New Roman" w:hAnsi="Times New Roman" w:cs="Times New Roman"/>
          <w:sz w:val="24"/>
          <w:szCs w:val="24"/>
        </w:rPr>
        <w:t>.</w:t>
      </w:r>
    </w:p>
    <w:p w:rsidR="00BF612F" w:rsidRDefault="00BF612F" w:rsidP="009361BD"/>
    <w:p w:rsidR="00BF612F" w:rsidRPr="009361BD" w:rsidRDefault="00BF612F" w:rsidP="00A1695B">
      <w:pPr>
        <w:ind w:left="360"/>
      </w:pPr>
      <w:r w:rsidRPr="00A1695B">
        <w:rPr>
          <w:rFonts w:ascii="Times New Roman" w:hAnsi="Times New Roman" w:cs="Times New Roman"/>
          <w:sz w:val="24"/>
          <w:szCs w:val="24"/>
        </w:rPr>
        <w:t>En el año 2005, con fecha 3 de febrero, se acordó seguir con los criterios adoptados en la Tabla del Instituto Nacional de Toxicología en relación con los mínimos psicoactivos de las sustancias mientras no hubiese una nueva reforma legal o no se adoptasen otros criterios</w:t>
      </w:r>
      <w:r w:rsidRPr="00A1695B">
        <w:rPr>
          <w:rStyle w:val="Refdenotaalpie"/>
          <w:rFonts w:ascii="Times New Roman" w:hAnsi="Times New Roman" w:cs="Times New Roman"/>
          <w:sz w:val="24"/>
          <w:szCs w:val="24"/>
        </w:rPr>
        <w:footnoteReference w:id="29"/>
      </w:r>
      <w:r w:rsidRPr="00A1695B">
        <w:rPr>
          <w:rFonts w:ascii="Times New Roman" w:hAnsi="Times New Roman" w:cs="Times New Roman"/>
          <w:sz w:val="24"/>
          <w:szCs w:val="24"/>
        </w:rPr>
        <w:t xml:space="preserve"> (que no ha sucedido), pero como digo, intentando “suavizar” las penas que venían impuestas por el artículo 368. Por eso y en relación con “la escasa entidad del hecho y a las circunstancias personales del culpable” se redactó un segundo párrafo del citado artículo a propuesta de los Magistrados Don José Antonio Martín </w:t>
      </w:r>
      <w:proofErr w:type="spellStart"/>
      <w:r w:rsidRPr="00A1695B">
        <w:rPr>
          <w:rFonts w:ascii="Times New Roman" w:hAnsi="Times New Roman" w:cs="Times New Roman"/>
          <w:sz w:val="24"/>
          <w:szCs w:val="24"/>
        </w:rPr>
        <w:t>Pallín</w:t>
      </w:r>
      <w:proofErr w:type="spellEnd"/>
      <w:r w:rsidRPr="00A1695B">
        <w:rPr>
          <w:rFonts w:ascii="Times New Roman" w:hAnsi="Times New Roman" w:cs="Times New Roman"/>
          <w:sz w:val="24"/>
          <w:szCs w:val="24"/>
        </w:rPr>
        <w:t xml:space="preserve"> y Don Andrés Martínez Arrieta, aprobado en el Acuerdo del Pleno No Jurisdiccional de la Sala Segunda del Tribunal Supremo con fecha 25-10-2005</w:t>
      </w:r>
      <w:r w:rsidRPr="00A1695B">
        <w:rPr>
          <w:rStyle w:val="Refdenotaalpie"/>
          <w:rFonts w:ascii="Times New Roman" w:hAnsi="Times New Roman" w:cs="Times New Roman"/>
          <w:sz w:val="24"/>
          <w:szCs w:val="24"/>
        </w:rPr>
        <w:footnoteReference w:id="30"/>
      </w:r>
      <w:r w:rsidRPr="00A1695B">
        <w:rPr>
          <w:rFonts w:ascii="Times New Roman" w:hAnsi="Times New Roman" w:cs="Times New Roman"/>
          <w:sz w:val="24"/>
          <w:szCs w:val="24"/>
        </w:rPr>
        <w:t>. Este párrafo se añadió definitivamente al artículo 368 con la entrada en vigor de la LO 5/2010.</w:t>
      </w:r>
      <w:r w:rsidRPr="00A1695B">
        <w:rPr>
          <w:rStyle w:val="Refdenotaalpie"/>
          <w:rFonts w:ascii="Times New Roman" w:hAnsi="Times New Roman" w:cs="Times New Roman"/>
          <w:sz w:val="24"/>
          <w:szCs w:val="24"/>
        </w:rPr>
        <w:footnoteReference w:id="31"/>
      </w:r>
    </w:p>
    <w:p w:rsidR="009361BD" w:rsidRPr="00A1695B" w:rsidRDefault="00BF612F" w:rsidP="00A1695B">
      <w:pPr>
        <w:ind w:left="360"/>
        <w:rPr>
          <w:rFonts w:ascii="Times New Roman" w:hAnsi="Times New Roman" w:cs="Times New Roman"/>
          <w:sz w:val="24"/>
          <w:szCs w:val="24"/>
        </w:rPr>
      </w:pPr>
      <w:r w:rsidRPr="00A1695B">
        <w:rPr>
          <w:rFonts w:ascii="Times New Roman" w:hAnsi="Times New Roman" w:cs="Times New Roman"/>
          <w:sz w:val="24"/>
          <w:szCs w:val="24"/>
        </w:rPr>
        <w:t>El párrafo suplementado dice textualmente: “</w:t>
      </w:r>
      <w:r w:rsidRPr="00A1695B">
        <w:rPr>
          <w:rFonts w:ascii="Times New Roman" w:hAnsi="Times New Roman" w:cs="Times New Roman"/>
          <w:i/>
          <w:sz w:val="24"/>
          <w:szCs w:val="24"/>
        </w:rPr>
        <w:t>No obstante lo dispuesto en el párrafo anterior, los tribunales podrán imponer la pena inferior en grado a las señaladas en atención a la escasa entidad del hecho y a las circunstancias personales del culpable. No se podrá hacer uso de esta facultad si concurriere alguna de las circunstancias a que se hace referencia en los artículos 369 bis y 370</w:t>
      </w:r>
      <w:r w:rsidRPr="00A1695B">
        <w:rPr>
          <w:rFonts w:ascii="Times New Roman" w:hAnsi="Times New Roman" w:cs="Times New Roman"/>
          <w:sz w:val="24"/>
          <w:szCs w:val="24"/>
        </w:rPr>
        <w:t>.”</w:t>
      </w:r>
      <w:r w:rsidRPr="00A1695B">
        <w:rPr>
          <w:rStyle w:val="Refdenotaalpie"/>
          <w:rFonts w:ascii="Times New Roman" w:hAnsi="Times New Roman" w:cs="Times New Roman"/>
          <w:sz w:val="24"/>
          <w:szCs w:val="24"/>
        </w:rPr>
        <w:footnoteReference w:id="32"/>
      </w:r>
    </w:p>
    <w:p w:rsidR="009361BD" w:rsidRDefault="009361BD" w:rsidP="009361BD"/>
    <w:p w:rsidR="009361BD" w:rsidRPr="00A1695B" w:rsidRDefault="00BF612F" w:rsidP="00A1695B">
      <w:pPr>
        <w:ind w:left="360"/>
        <w:rPr>
          <w:rFonts w:ascii="Times New Roman" w:hAnsi="Times New Roman" w:cs="Times New Roman"/>
          <w:sz w:val="24"/>
          <w:szCs w:val="24"/>
        </w:rPr>
      </w:pPr>
      <w:r w:rsidRPr="00A1695B">
        <w:rPr>
          <w:rFonts w:ascii="Times New Roman" w:hAnsi="Times New Roman" w:cs="Times New Roman"/>
          <w:sz w:val="24"/>
          <w:szCs w:val="24"/>
        </w:rPr>
        <w:t>Como se puede extraer de su lectura, este segundo párrafo exige la concurrencia de unos requisitos: una menor antijuricidad (cuando se refiere a la escasa entidad del hecho) y una menor culpabilidad (cuando se refiere a las circunstancias personales del culpable). Pero, ¿deben concurrir los dos requisitos para poder proceder a la aplicación de este tipo atenuado? Según la Fiscalía General del Estado es necesario que ambos contextos (objetivo y subjetivo) se den para poder aplicar la atenuación oportuna. Esto se establece así porque el citado precepto contiene la  conjunción “y”, y no en cambio “o”, lo que nos lleva ineludiblemente a verificar que ambos presupuestos se den. La misma circular de la Fiscalía intenta aminorar esta cuestión, pues establece que serán los Tribunales los que ponderarán ambos motivos, ya que siempre se podrá atenuar la conducta cuando concurra de forma clara uno de ellos, sin que el otro sea negativo, bastando con que sea neutro.</w:t>
      </w:r>
      <w:r w:rsidR="0097088F" w:rsidRPr="00A1695B">
        <w:rPr>
          <w:rStyle w:val="Refdenotaalpie"/>
          <w:rFonts w:ascii="Times New Roman" w:hAnsi="Times New Roman" w:cs="Times New Roman"/>
          <w:sz w:val="24"/>
          <w:szCs w:val="24"/>
        </w:rPr>
        <w:footnoteReference w:id="33"/>
      </w:r>
    </w:p>
    <w:p w:rsidR="009361BD" w:rsidRDefault="009361BD" w:rsidP="009361BD"/>
    <w:p w:rsidR="009361BD" w:rsidRDefault="0097088F" w:rsidP="00A1695B">
      <w:pPr>
        <w:ind w:left="360"/>
      </w:pPr>
      <w:r w:rsidRPr="00A1695B">
        <w:rPr>
          <w:rFonts w:ascii="Times New Roman" w:hAnsi="Times New Roman" w:cs="Times New Roman"/>
          <w:sz w:val="24"/>
          <w:szCs w:val="24"/>
        </w:rPr>
        <w:lastRenderedPageBreak/>
        <w:t>Este arbitrio que se les da a los tribunales cuando en el precepto se cita “los Tribunales podrán”, puede ser malinterpretado. No se quiere decir con esto que los Jueces tienen campo abierto a la hora de decidir si aplicar la atenuación o no, sino que deben de valorar y estudiar de forma meticulosa y pormenorizada esas circunstancias personales que envuelven a cada sujeto (situación familiar, necesidades económicas, personas que cometen el hecho delictivo para poder seguir consumiendo…), es decir, hay que estudiar y evaluar el caso concreto y actuar con prudencia, puesto que en algunos casos, puede resultar difícil analizar dichas circunstancias debido a las innumerables situaciones que  pueden aparecer en este tipo de delitos. Tampoco hay que tener en cuenta sólo y únicamente como referencia la cuantía, pues como bien dice ETXEBARRIA ZARRABEITIA “</w:t>
      </w:r>
      <w:r w:rsidRPr="00A1695B">
        <w:rPr>
          <w:rFonts w:ascii="Times New Roman" w:hAnsi="Times New Roman" w:cs="Times New Roman"/>
          <w:i/>
          <w:sz w:val="24"/>
          <w:szCs w:val="24"/>
        </w:rPr>
        <w:t>La entidad del hecho comprende más juicios valorativos que la mera importancia de la cantidad, aunque obviamente será uno de ellos</w:t>
      </w:r>
      <w:r w:rsidRPr="00A1695B">
        <w:rPr>
          <w:rFonts w:ascii="Times New Roman" w:hAnsi="Times New Roman" w:cs="Times New Roman"/>
          <w:sz w:val="24"/>
          <w:szCs w:val="24"/>
        </w:rPr>
        <w:t>”.</w:t>
      </w:r>
      <w:r w:rsidRPr="00A1695B">
        <w:rPr>
          <w:rStyle w:val="Refdenotaalpie"/>
          <w:rFonts w:ascii="Times New Roman" w:hAnsi="Times New Roman" w:cs="Times New Roman"/>
          <w:sz w:val="24"/>
          <w:szCs w:val="24"/>
        </w:rPr>
        <w:footnoteReference w:id="34"/>
      </w:r>
    </w:p>
    <w:p w:rsidR="009361BD" w:rsidRDefault="009361BD" w:rsidP="009361BD"/>
    <w:p w:rsidR="0097088F" w:rsidRPr="00A1695B"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Existe otro matiz sobre el que hay que profundizar. El tipo alude a la idea de que no se podrá atenuar la conducta cuando concurra “alguna” de las circunstancias de los artículos 369 bis y 370. Resulta lógico pues, el primero hace referencia a la realización de tales hechos por organizaciones criminales, y el segundo se dirige a la extrema gravedad, pero, ¿se puede aplicar la atenuación si se da alguna circunstancia del artículo 369?  La misma Circular de la Fiscalía ha hecho alusión a este extremo en relación a si se podría prever esta atenuación en supuestos del artículo 369 del Código Penal. Aclara, que la Circular de la Fiscalía General del Estado nº2/2005 efectuó un análisis de las mencionadas agravaciones del citado artículo 369, y cuyos criterios siguen en vigor por lo que, se entiende que la atenuación contemplada en el parágrafo segundo del 368 tiene cabida cuando asista algún indicio tanto del tipo básico del citado artículo, como de los subtipos agravados del 369 (pero teniendo siempre presente que determinados supuestos de este artículo resultan incongruentes con la atenuación, por ello ha de estudiarse cada caso concreto).</w:t>
      </w:r>
      <w:r w:rsidR="00F60C0B">
        <w:rPr>
          <w:rStyle w:val="Refdenotaalpie"/>
          <w:rFonts w:ascii="Times New Roman" w:hAnsi="Times New Roman" w:cs="Times New Roman"/>
          <w:sz w:val="24"/>
          <w:szCs w:val="24"/>
        </w:rPr>
        <w:footnoteReference w:id="35"/>
      </w:r>
    </w:p>
    <w:p w:rsidR="009361BD" w:rsidRDefault="009361BD" w:rsidP="009361BD"/>
    <w:p w:rsidR="0097088F"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A modo de ejemplo, voy a exponer unos cuantos casos para ver cuándo el Tribunal Supremo aplica esta atenuación.  FERNÁNDEZ HERNÁNDEZ</w:t>
      </w:r>
      <w:r w:rsidRPr="00A1695B">
        <w:rPr>
          <w:rStyle w:val="Refdenotaalpie"/>
          <w:rFonts w:ascii="Times New Roman" w:hAnsi="Times New Roman" w:cs="Times New Roman"/>
          <w:sz w:val="24"/>
          <w:szCs w:val="24"/>
        </w:rPr>
        <w:footnoteReference w:id="36"/>
      </w:r>
      <w:r w:rsidRPr="00A1695B">
        <w:rPr>
          <w:rFonts w:ascii="Times New Roman" w:hAnsi="Times New Roman" w:cs="Times New Roman"/>
          <w:sz w:val="24"/>
          <w:szCs w:val="24"/>
        </w:rPr>
        <w:t xml:space="preserve">, comenta dos sentencias en las que se puede apreciar cuando concurre la atenuación y cuando no. La primera de </w:t>
      </w:r>
      <w:r w:rsidRPr="00A1695B">
        <w:rPr>
          <w:rFonts w:ascii="Times New Roman" w:hAnsi="Times New Roman" w:cs="Times New Roman"/>
          <w:sz w:val="24"/>
          <w:szCs w:val="24"/>
        </w:rPr>
        <w:lastRenderedPageBreak/>
        <w:t>ellas (</w:t>
      </w:r>
      <w:r w:rsidRPr="00F60C0B">
        <w:rPr>
          <w:rFonts w:ascii="Times New Roman" w:hAnsi="Times New Roman" w:cs="Times New Roman"/>
          <w:b/>
          <w:sz w:val="24"/>
          <w:szCs w:val="24"/>
        </w:rPr>
        <w:t>STS 3778/2013 de 25 de junio</w:t>
      </w:r>
      <w:r w:rsidRPr="00A1695B">
        <w:rPr>
          <w:rFonts w:ascii="Times New Roman" w:hAnsi="Times New Roman" w:cs="Times New Roman"/>
          <w:sz w:val="24"/>
          <w:szCs w:val="24"/>
        </w:rPr>
        <w:t xml:space="preserve">) se refiere a un supuesto en el que se le aplica al sujeto la atenuación por concurrir en el la circunstancia de grave adicción. La Audiencia no aplica la atenuación por entender que existen dos actos de venta (cantidades de 0,271 gramos y 0,286 gramos de cocaína respectivamente). El Alto Tribunal sí que aprecia la coincidencia del tipo atenuado por ser un caso de “delincuencia funcional”.  </w:t>
      </w:r>
    </w:p>
    <w:p w:rsidR="00F60C0B" w:rsidRPr="00A1695B" w:rsidRDefault="00F60C0B" w:rsidP="00A1695B">
      <w:pPr>
        <w:ind w:left="360"/>
        <w:rPr>
          <w:rFonts w:ascii="Times New Roman" w:hAnsi="Times New Roman" w:cs="Times New Roman"/>
          <w:sz w:val="24"/>
          <w:szCs w:val="24"/>
        </w:rPr>
      </w:pPr>
    </w:p>
    <w:p w:rsidR="0097088F" w:rsidRPr="00A1695B"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En la segunda sentencia (</w:t>
      </w:r>
      <w:r w:rsidRPr="00F60C0B">
        <w:rPr>
          <w:rFonts w:ascii="Times New Roman" w:hAnsi="Times New Roman" w:cs="Times New Roman"/>
          <w:b/>
          <w:sz w:val="24"/>
          <w:szCs w:val="24"/>
        </w:rPr>
        <w:t>STS 3430/2013 de 18 de junio</w:t>
      </w:r>
      <w:r w:rsidRPr="00A1695B">
        <w:rPr>
          <w:rFonts w:ascii="Times New Roman" w:hAnsi="Times New Roman" w:cs="Times New Roman"/>
          <w:sz w:val="24"/>
          <w:szCs w:val="24"/>
        </w:rPr>
        <w:t xml:space="preserve">) que comenta el citado autor, la Audiencia Provincial condena al sujeto como autor del delito tipificado en el artículo 368 párrafo primero y segundo, siendo éste no consumidor de sustancias estupefacientes en el momento de comisión del delito (se le encontraron 143,734 gramos de resina cannabis; 1923 gramos de cocaína con una pureza del 40,14 % y 411 comprimidos de </w:t>
      </w:r>
      <w:proofErr w:type="spellStart"/>
      <w:r w:rsidRPr="00A1695B">
        <w:rPr>
          <w:rFonts w:ascii="Times New Roman" w:hAnsi="Times New Roman" w:cs="Times New Roman"/>
          <w:sz w:val="24"/>
          <w:szCs w:val="24"/>
        </w:rPr>
        <w:t>metandienona</w:t>
      </w:r>
      <w:proofErr w:type="spellEnd"/>
      <w:r w:rsidRPr="00A1695B">
        <w:rPr>
          <w:rFonts w:ascii="Times New Roman" w:hAnsi="Times New Roman" w:cs="Times New Roman"/>
          <w:sz w:val="24"/>
          <w:szCs w:val="24"/>
        </w:rPr>
        <w:t>, cuando venía de establecer una comunicación íntima con su compañera sentimental en la centro penitenciario). El Supremo revoca la sentencia por entender que no concurren las circunstancias que el párrafo segundo exige.</w:t>
      </w:r>
    </w:p>
    <w:p w:rsidR="0097088F" w:rsidRDefault="0097088F" w:rsidP="0097088F"/>
    <w:p w:rsidR="0097088F" w:rsidRPr="00A1695B"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El último punto sobre al que hay que hacer referencia resulta extremadamente interesante. Ya se ha dicho que el tipo atenuado del artículo 368 del Código Penal “</w:t>
      </w:r>
      <w:r w:rsidRPr="00A1695B">
        <w:rPr>
          <w:rFonts w:ascii="Times New Roman" w:hAnsi="Times New Roman" w:cs="Times New Roman"/>
          <w:i/>
          <w:sz w:val="24"/>
          <w:szCs w:val="24"/>
        </w:rPr>
        <w:t>tiene carácter reglado, en la medida en</w:t>
      </w:r>
      <w:r w:rsidRPr="00A1695B">
        <w:rPr>
          <w:rFonts w:ascii="Times New Roman" w:hAnsi="Times New Roman" w:cs="Times New Roman"/>
          <w:sz w:val="24"/>
          <w:szCs w:val="24"/>
        </w:rPr>
        <w:t xml:space="preserve"> </w:t>
      </w:r>
      <w:r w:rsidRPr="00A1695B">
        <w:rPr>
          <w:rFonts w:ascii="Times New Roman" w:hAnsi="Times New Roman" w:cs="Times New Roman"/>
          <w:i/>
          <w:sz w:val="24"/>
          <w:szCs w:val="24"/>
        </w:rPr>
        <w:t>que su concreción se asocia a dos presupuestos de hecho, uno de naturaleza objetiva, el otro de carácter subjetivo… y por tanto es susceptible de impugnación casacional</w:t>
      </w:r>
      <w:r w:rsidRPr="00A1695B">
        <w:rPr>
          <w:rFonts w:ascii="Times New Roman" w:hAnsi="Times New Roman" w:cs="Times New Roman"/>
          <w:sz w:val="24"/>
          <w:szCs w:val="24"/>
        </w:rPr>
        <w:t>”</w:t>
      </w:r>
      <w:r w:rsidRPr="00A1695B">
        <w:rPr>
          <w:rStyle w:val="Refdenotaalpie"/>
          <w:rFonts w:ascii="Times New Roman" w:hAnsi="Times New Roman" w:cs="Times New Roman"/>
          <w:sz w:val="24"/>
          <w:szCs w:val="24"/>
        </w:rPr>
        <w:footnoteReference w:id="37"/>
      </w:r>
      <w:r w:rsidRPr="00A1695B">
        <w:rPr>
          <w:rFonts w:ascii="Times New Roman" w:hAnsi="Times New Roman" w:cs="Times New Roman"/>
          <w:sz w:val="24"/>
          <w:szCs w:val="24"/>
        </w:rPr>
        <w:t>.</w:t>
      </w:r>
    </w:p>
    <w:p w:rsidR="0097088F" w:rsidRPr="00A1695B"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Con esta última matización llevada a cabo por el Tribunal, surge la duda de si cabría la retroactividad de la norma y por tanto, la posible revisión de sentencias firmes para este tipo de supuestos. En principio, y según se desprende de lo citado por el Tribunal, parece que sí cabe una posible revisión. Toda esta cuestión viene por lo reflejado en la Disposición Transitoria Segunda 1. II de la LO5/2010 de 22 de junio, que parece también admitirla, pero bajo la concurrencia de ciertas circunstancias: “</w:t>
      </w:r>
      <w:r w:rsidRPr="00A1695B">
        <w:rPr>
          <w:rFonts w:ascii="Times New Roman" w:hAnsi="Times New Roman" w:cs="Times New Roman"/>
          <w:i/>
          <w:sz w:val="24"/>
          <w:szCs w:val="24"/>
        </w:rPr>
        <w:t xml:space="preserve">Dichos jueces o tribunales procederán a revisar las sentencias firmes y en las que el penado esté cumpliendo efectivamente la pena, aplicando la disposición más favorable considerada taxativamente y no por el ejercicio del arbitrio judicial. En las penas privativas de libertad no se considerará más favorable esta Ley cuando la duración de la pena anterior impuesta al hecho con sus circunstancias sea también imponible con arreglo a esta reforma del Código. Se exceptúa el supuesto en que esta Ley contenga para el mismo hecho la </w:t>
      </w:r>
      <w:r w:rsidRPr="00A1695B">
        <w:rPr>
          <w:rFonts w:ascii="Times New Roman" w:hAnsi="Times New Roman" w:cs="Times New Roman"/>
          <w:i/>
          <w:sz w:val="24"/>
          <w:szCs w:val="24"/>
        </w:rPr>
        <w:lastRenderedPageBreak/>
        <w:t>previsión alternativa de una pena no privativa de libertad; en tal caso, deberá revisarse la sentencia</w:t>
      </w:r>
      <w:r w:rsidRPr="00A1695B">
        <w:rPr>
          <w:rFonts w:ascii="Times New Roman" w:hAnsi="Times New Roman" w:cs="Times New Roman"/>
          <w:sz w:val="24"/>
          <w:szCs w:val="24"/>
        </w:rPr>
        <w:t>.”</w:t>
      </w:r>
      <w:r w:rsidRPr="00A1695B">
        <w:rPr>
          <w:rStyle w:val="Refdenotaalpie"/>
          <w:rFonts w:ascii="Times New Roman" w:hAnsi="Times New Roman" w:cs="Times New Roman"/>
          <w:sz w:val="24"/>
          <w:szCs w:val="24"/>
        </w:rPr>
        <w:footnoteReference w:id="38"/>
      </w:r>
    </w:p>
    <w:p w:rsidR="0097088F" w:rsidRDefault="0097088F" w:rsidP="0097088F"/>
    <w:p w:rsidR="0097088F" w:rsidRDefault="0097088F" w:rsidP="00A1695B">
      <w:pPr>
        <w:ind w:left="360"/>
      </w:pPr>
      <w:r w:rsidRPr="00A1695B">
        <w:rPr>
          <w:rFonts w:ascii="Times New Roman" w:hAnsi="Times New Roman" w:cs="Times New Roman"/>
          <w:sz w:val="24"/>
          <w:szCs w:val="24"/>
        </w:rPr>
        <w:t>Sin duda, esto ha sido punto de controversias por parte de la doctrina e incluso por la propia Sala Segunda del Tribunal Supremo. FRÍGOLS I BRINES</w:t>
      </w:r>
      <w:r w:rsidRPr="00A1695B">
        <w:rPr>
          <w:rStyle w:val="Refdenotaalpie"/>
          <w:rFonts w:ascii="Times New Roman" w:hAnsi="Times New Roman" w:cs="Times New Roman"/>
          <w:sz w:val="24"/>
          <w:szCs w:val="24"/>
        </w:rPr>
        <w:footnoteReference w:id="39"/>
      </w:r>
      <w:r w:rsidRPr="00A1695B">
        <w:rPr>
          <w:rFonts w:ascii="Times New Roman" w:hAnsi="Times New Roman" w:cs="Times New Roman"/>
          <w:sz w:val="24"/>
          <w:szCs w:val="24"/>
        </w:rPr>
        <w:t xml:space="preserve"> intenta poner de manifiesto las diferentes posturas que el Tribunal Supremo sostiene a la hora de apreciar o no una revisión de sentencias, dejando claro que no existe unanimidad por parte de la Sala Segunda.</w:t>
      </w:r>
    </w:p>
    <w:p w:rsidR="0097088F" w:rsidRPr="00A1695B" w:rsidRDefault="0097088F" w:rsidP="00A1695B">
      <w:pPr>
        <w:ind w:left="360"/>
        <w:rPr>
          <w:rFonts w:ascii="Times New Roman" w:hAnsi="Times New Roman" w:cs="Times New Roman"/>
          <w:sz w:val="24"/>
          <w:szCs w:val="24"/>
        </w:rPr>
      </w:pPr>
      <w:r w:rsidRPr="00A1695B">
        <w:rPr>
          <w:rFonts w:ascii="Times New Roman" w:hAnsi="Times New Roman" w:cs="Times New Roman"/>
          <w:sz w:val="24"/>
          <w:szCs w:val="24"/>
        </w:rPr>
        <w:t xml:space="preserve">El citado autor mantiene la idea de que la jurisprudencia del Tribunal Supremo entiende el texto de la Disposición Transitoria Segunda de dos formas: la primera de ellas es que el Tribunal acepta el principio de retroactividad favorable teniendo como fundamento el principio de proporcionalidad. La segunda posición que mantiene la Sala es la de una interpretación muy literal del precepto, excluyendo tal retroactividad basándose en la “teoría de la pena justificada”, es decir, que si la pena anterior impuesta, no supera los seis años de prisión (que es el límite máximo actual con la nueva legislación) no cabe revisión alguna. En otras palabras, si la condena anterior impuesta con el antiguo marco legal tiene cabida en la nueva horquilla penal, la sentencia no debe de revisarse. Esta última postura, puede dañar no sólo el principio de proporcionalidad sino también el principio de igualdad contemplado en nuestra Constitución, pues debemos de ser conscientes y entender que lo que se está intentado valorar ahora es algo que no existía con anterioridad y que se ve justificado, tal y como son unas circunstancias personales del sujeto y del hecho en sí. Con esto no se les está dando a nuestros jueces un arbitrio judicial, sino la aplicación de forma limitada de una nueva norma.  </w:t>
      </w:r>
    </w:p>
    <w:p w:rsidR="00A1695B" w:rsidRPr="00A1695B" w:rsidRDefault="00A1695B" w:rsidP="00A1695B">
      <w:pPr>
        <w:ind w:left="360"/>
        <w:rPr>
          <w:rFonts w:ascii="Times New Roman" w:hAnsi="Times New Roman" w:cs="Times New Roman"/>
          <w:sz w:val="24"/>
          <w:szCs w:val="24"/>
        </w:rPr>
      </w:pPr>
      <w:r w:rsidRPr="00A1695B">
        <w:rPr>
          <w:rFonts w:ascii="Times New Roman" w:hAnsi="Times New Roman" w:cs="Times New Roman"/>
          <w:sz w:val="24"/>
          <w:szCs w:val="24"/>
        </w:rPr>
        <w:t>Una postura a favor de la retroactividad de la norma la tiene MANJÓN-CABEZA OLMEDA</w:t>
      </w:r>
      <w:r w:rsidRPr="00A1695B">
        <w:rPr>
          <w:rStyle w:val="Refdenotaalpie"/>
          <w:rFonts w:ascii="Times New Roman" w:hAnsi="Times New Roman" w:cs="Times New Roman"/>
          <w:sz w:val="24"/>
          <w:szCs w:val="24"/>
        </w:rPr>
        <w:footnoteReference w:id="40"/>
      </w:r>
      <w:r w:rsidRPr="00A1695B">
        <w:rPr>
          <w:rFonts w:ascii="Times New Roman" w:hAnsi="Times New Roman" w:cs="Times New Roman"/>
          <w:sz w:val="24"/>
          <w:szCs w:val="24"/>
        </w:rPr>
        <w:t>: “</w:t>
      </w:r>
      <w:r w:rsidRPr="00A1695B">
        <w:rPr>
          <w:rFonts w:ascii="Times New Roman" w:hAnsi="Times New Roman" w:cs="Times New Roman"/>
          <w:i/>
          <w:sz w:val="24"/>
          <w:szCs w:val="24"/>
        </w:rPr>
        <w:t xml:space="preserve">no puede negarse la revisión de una sentencia firme por menudeo de droga dura por encima del mínimo psicoactivo, en la que por aplicación del CP de 1995 se haya condenado al mínimo de tres años de prisión, pues no estaríamos ante ejercicio de arbitrio judicial, sino ante consideración taxativa de la nueva legislación. El entendimiento contrario llevaría al siguiente razonamiento que rechazo: una prisión de 3 años impuesta con la legislación anterior no es revisable puesto que a 3 años también </w:t>
      </w:r>
      <w:r w:rsidRPr="00A1695B">
        <w:rPr>
          <w:rFonts w:ascii="Times New Roman" w:hAnsi="Times New Roman" w:cs="Times New Roman"/>
          <w:i/>
          <w:sz w:val="24"/>
          <w:szCs w:val="24"/>
        </w:rPr>
        <w:lastRenderedPageBreak/>
        <w:t>puede llegarse con la nueva legislación (de 3 a 6 años) y la opción por el tipo atenuado sería ejercicio de arbitrio</w:t>
      </w:r>
      <w:r w:rsidRPr="00A1695B">
        <w:rPr>
          <w:rFonts w:ascii="Times New Roman" w:hAnsi="Times New Roman" w:cs="Times New Roman"/>
          <w:sz w:val="24"/>
          <w:szCs w:val="24"/>
        </w:rPr>
        <w:t>”.</w:t>
      </w:r>
    </w:p>
    <w:p w:rsidR="00A1695B" w:rsidRDefault="00A1695B" w:rsidP="0097088F"/>
    <w:p w:rsidR="00A22029" w:rsidRPr="00EB4A6A" w:rsidRDefault="00A1695B" w:rsidP="00EB4A6A">
      <w:pPr>
        <w:ind w:left="360"/>
        <w:rPr>
          <w:rFonts w:ascii="Times New Roman" w:hAnsi="Times New Roman" w:cs="Times New Roman"/>
          <w:sz w:val="24"/>
          <w:szCs w:val="24"/>
        </w:rPr>
      </w:pPr>
      <w:r w:rsidRPr="00A1695B">
        <w:rPr>
          <w:rFonts w:ascii="Times New Roman" w:hAnsi="Times New Roman" w:cs="Times New Roman"/>
          <w:sz w:val="24"/>
          <w:szCs w:val="24"/>
        </w:rPr>
        <w:t>A mi modo de ver las cosas, he de decir que lo más lógico y razonable es aplicar esa retroactividad en supuestos en los que ahora sí se les admite o reconoce unas circunstancias que tienen repercusión en su condena por los motivos objetivos y subjetivos que con la antigua legislación no se apreciaron. Sin duda, si el Tribunal no admitiera la revisión en aquellos supuestos en los que la atenuación debiera darse, se estaría vulnerando no sólo un principio de</w:t>
      </w:r>
      <w:r w:rsidRPr="00A1695B">
        <w:t xml:space="preserve"> </w:t>
      </w:r>
      <w:r w:rsidRPr="00A1695B">
        <w:rPr>
          <w:rFonts w:ascii="Times New Roman" w:hAnsi="Times New Roman" w:cs="Times New Roman"/>
          <w:sz w:val="24"/>
          <w:szCs w:val="24"/>
        </w:rPr>
        <w:t>proporcionalidad, sino el derecho a la igualdad que todo ciudadano tiene, obligando en su caso, a cualquier Letrado acudir al mismísimo Tribunal Constitucional para el reconocimiento de tal derecho, pero no sólo el de la igualdad contemplado en el artículo 14 de la Carta Magna, sino también ese derecho protagonista en el ámbito penal como es el de la libertad, contemplado en el artículo 17 del mismo texto legal.</w:t>
      </w:r>
    </w:p>
    <w:p w:rsidR="00FB14A6" w:rsidRDefault="00FB14A6" w:rsidP="00484AA7">
      <w:pPr>
        <w:ind w:left="360"/>
      </w:pPr>
    </w:p>
    <w:p w:rsidR="00BA48B3" w:rsidRPr="00A22029" w:rsidRDefault="00BA48B3" w:rsidP="00484AA7">
      <w:pPr>
        <w:ind w:left="360"/>
      </w:pPr>
    </w:p>
    <w:p w:rsidR="00A22029" w:rsidRPr="00DF3379" w:rsidRDefault="00804B9A" w:rsidP="00804B9A">
      <w:pPr>
        <w:pStyle w:val="Ttulo2"/>
        <w:numPr>
          <w:ilvl w:val="1"/>
          <w:numId w:val="9"/>
        </w:numPr>
        <w:rPr>
          <w:rFonts w:ascii="Times New Roman" w:hAnsi="Times New Roman" w:cs="Times New Roman"/>
          <w:sz w:val="24"/>
          <w:szCs w:val="24"/>
        </w:rPr>
      </w:pPr>
      <w:r>
        <w:t xml:space="preserve"> </w:t>
      </w:r>
      <w:bookmarkStart w:id="40" w:name="_Toc393739398"/>
      <w:r w:rsidR="00A1695B">
        <w:rPr>
          <w:rFonts w:ascii="Times New Roman" w:hAnsi="Times New Roman" w:cs="Times New Roman"/>
          <w:color w:val="auto"/>
          <w:sz w:val="24"/>
          <w:szCs w:val="24"/>
        </w:rPr>
        <w:t>Autoconsumo o consumo propio.</w:t>
      </w:r>
      <w:bookmarkEnd w:id="40"/>
    </w:p>
    <w:p w:rsidR="00804B9A" w:rsidRDefault="00A1695B" w:rsidP="00A1695B">
      <w:pPr>
        <w:ind w:left="360"/>
        <w:rPr>
          <w:rFonts w:ascii="Times New Roman" w:hAnsi="Times New Roman" w:cs="Times New Roman"/>
          <w:sz w:val="24"/>
          <w:szCs w:val="24"/>
        </w:rPr>
      </w:pPr>
      <w:r w:rsidRPr="00A1695B">
        <w:rPr>
          <w:rFonts w:ascii="Times New Roman" w:hAnsi="Times New Roman" w:cs="Times New Roman"/>
          <w:sz w:val="24"/>
          <w:szCs w:val="24"/>
        </w:rPr>
        <w:t>Se puede decir que el autoconsumo resultará típico penalmente cuando sea ajeno, afecte a terceras personas, pues debemos de tener siempre presente que el bien jurídico protegido se verá menoscabado cuando exista un riesgo de difusión. Se puede entender por tanto, que el tipo básico del 368 lo que plasma son las conductas dirigidas hacia un consumo ilegal ajeno, pues el consumo ilegal propio no repercutirá efectos sobre la salud pública vista desde un aspecto externo, sí en cambio la individual desde un ámbito interno, por ello yo lo puedo llegar a interpretar como una propia</w:t>
      </w:r>
      <w:r>
        <w:rPr>
          <w:rFonts w:ascii="Times New Roman" w:hAnsi="Times New Roman" w:cs="Times New Roman"/>
          <w:sz w:val="24"/>
          <w:szCs w:val="24"/>
        </w:rPr>
        <w:t xml:space="preserve"> </w:t>
      </w:r>
      <w:r w:rsidRPr="00A1695B">
        <w:rPr>
          <w:rFonts w:ascii="Times New Roman" w:hAnsi="Times New Roman" w:cs="Times New Roman"/>
          <w:i/>
          <w:sz w:val="24"/>
          <w:szCs w:val="24"/>
        </w:rPr>
        <w:t>autopuesta en peligro</w:t>
      </w:r>
      <w:r w:rsidRPr="00A1695B">
        <w:rPr>
          <w:rFonts w:ascii="Times New Roman" w:hAnsi="Times New Roman" w:cs="Times New Roman"/>
          <w:sz w:val="24"/>
          <w:szCs w:val="24"/>
        </w:rPr>
        <w:t xml:space="preserve"> que debe mantenerse alejada del ámbito de la norma del citado artículo (lo que no excluirá su correspondiente sanción administrativa por consumir este tipo de sustancias no legalizadas en lugares públicos)</w:t>
      </w:r>
      <w:r w:rsidR="00662340">
        <w:rPr>
          <w:rStyle w:val="Refdenotaalpie"/>
          <w:rFonts w:ascii="Times New Roman" w:hAnsi="Times New Roman" w:cs="Times New Roman"/>
          <w:sz w:val="24"/>
          <w:szCs w:val="24"/>
        </w:rPr>
        <w:footnoteReference w:id="41"/>
      </w:r>
      <w:r w:rsidR="00662340">
        <w:rPr>
          <w:rFonts w:ascii="Times New Roman" w:hAnsi="Times New Roman" w:cs="Times New Roman"/>
          <w:sz w:val="24"/>
          <w:szCs w:val="24"/>
        </w:rPr>
        <w:t>.</w:t>
      </w:r>
    </w:p>
    <w:p w:rsidR="00662340" w:rsidRDefault="00662340" w:rsidP="00A1695B">
      <w:pPr>
        <w:ind w:left="360"/>
        <w:rPr>
          <w:rFonts w:ascii="Times New Roman" w:hAnsi="Times New Roman" w:cs="Times New Roman"/>
          <w:sz w:val="24"/>
          <w:szCs w:val="24"/>
        </w:rPr>
      </w:pPr>
    </w:p>
    <w:p w:rsidR="00662340" w:rsidRDefault="00662340" w:rsidP="00A1695B">
      <w:pPr>
        <w:ind w:left="360"/>
        <w:rPr>
          <w:rFonts w:ascii="Times New Roman" w:hAnsi="Times New Roman" w:cs="Times New Roman"/>
          <w:sz w:val="24"/>
          <w:szCs w:val="24"/>
        </w:rPr>
      </w:pPr>
      <w:r w:rsidRPr="00662340">
        <w:rPr>
          <w:rFonts w:ascii="Times New Roman" w:hAnsi="Times New Roman" w:cs="Times New Roman"/>
          <w:sz w:val="24"/>
          <w:szCs w:val="24"/>
        </w:rPr>
        <w:t xml:space="preserve">Es fundamental conocer la opinión que mantiene al respecto  nuestro Tribunal Supremo cuando surgen este tipo de conductas que a primera vista resultan impunes. Desde muy antiguo, allá por el año 1971, se ha venido considerado que la tenencia de drogas </w:t>
      </w:r>
      <w:r w:rsidRPr="00662340">
        <w:rPr>
          <w:rFonts w:ascii="Times New Roman" w:hAnsi="Times New Roman" w:cs="Times New Roman"/>
          <w:sz w:val="24"/>
          <w:szCs w:val="24"/>
        </w:rPr>
        <w:lastRenderedPageBreak/>
        <w:t>encaminada al autoconsumo no es punible, pues la posesión destinada al tráfico es lo que tiene relevancia desde un punto de vista penal</w:t>
      </w:r>
      <w:r>
        <w:rPr>
          <w:rFonts w:ascii="Times New Roman" w:hAnsi="Times New Roman" w:cs="Times New Roman"/>
          <w:sz w:val="24"/>
          <w:szCs w:val="24"/>
        </w:rPr>
        <w:t>.</w:t>
      </w:r>
    </w:p>
    <w:p w:rsidR="00662340" w:rsidRDefault="00662340" w:rsidP="00A1695B">
      <w:pPr>
        <w:ind w:left="360"/>
        <w:rPr>
          <w:rFonts w:ascii="Times New Roman" w:hAnsi="Times New Roman" w:cs="Times New Roman"/>
          <w:sz w:val="24"/>
          <w:szCs w:val="24"/>
        </w:rPr>
      </w:pPr>
    </w:p>
    <w:p w:rsidR="00662340" w:rsidRDefault="00662340" w:rsidP="00A1695B">
      <w:pPr>
        <w:ind w:left="360"/>
        <w:rPr>
          <w:rFonts w:ascii="Times New Roman" w:hAnsi="Times New Roman" w:cs="Times New Roman"/>
          <w:sz w:val="24"/>
          <w:szCs w:val="24"/>
        </w:rPr>
      </w:pPr>
      <w:r w:rsidRPr="00662340">
        <w:rPr>
          <w:rFonts w:ascii="Times New Roman" w:hAnsi="Times New Roman" w:cs="Times New Roman"/>
          <w:sz w:val="24"/>
          <w:szCs w:val="24"/>
        </w:rPr>
        <w:t>Para saber si estamos dentro de las conductas sancionables penalmente, el Tribunal Supremo marca una guía o referencia a la hora de sancionar: la cantidad. Puede entenderse que esta guía se interpreta mediante indicios: si existe poca cantidad, seguramente la droga estará destinada al autoconsumo, si la cuantía es mayor, el destino de la misma será muy posiblemente el tráfico. Pero esto es sólo una mera conjetura, pues deben existir un conjunto de circunstancias aparte de la cuantía, que nos lleven a asegurar que la posesión es para consumo propio, tales como: 1.- la pequeña cantidad de droga intervenida, 2.- no encontrar objetos relacionados con el tráfico en el lugar (balanzas de precisión, papelinas o envoltorios para transportar la droga), 3.- la correcta acreditación de una posible adicción del sujeto, o que este sea consumidor y 4.- no localizar varios tipos de sustancias o drogas, etc.</w:t>
      </w:r>
    </w:p>
    <w:p w:rsidR="00662340" w:rsidRPr="00662340" w:rsidRDefault="00662340" w:rsidP="00662340">
      <w:pPr>
        <w:ind w:left="360"/>
        <w:rPr>
          <w:rFonts w:ascii="Times New Roman" w:hAnsi="Times New Roman" w:cs="Times New Roman"/>
          <w:sz w:val="24"/>
          <w:szCs w:val="24"/>
        </w:rPr>
      </w:pPr>
      <w:r w:rsidRPr="00662340">
        <w:rPr>
          <w:rFonts w:ascii="Times New Roman" w:hAnsi="Times New Roman" w:cs="Times New Roman"/>
          <w:sz w:val="24"/>
          <w:szCs w:val="24"/>
        </w:rPr>
        <w:t xml:space="preserve">En contraposición, PASTOR MUÑOZ establece que pueden ser o representar indicios de tráfico: </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La posesión de grandes cantidades de droga (cantidad que debe de evaluarse conforme a su pureza, tipo de sustancia, dosis de consumo, etc.).</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Que el sujeto poseedor no sea consumidor o adicto a tales sustancias.</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Que se encuentren las sustancias en condiciones apropiadas para su distribución (aunque esto resulta ser bastante discutible, pues el propio sujeto ha podido comprar así la droga para consumirla, por ejemplo, si hablamos de cocaína, dividida en papelinas).</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Encontrarse la droga oculta.</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La actitud que tenga el sujeto ante las autoridades.</w:t>
      </w:r>
    </w:p>
    <w:p w:rsidR="00662340" w:rsidRP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La aparición de grandes cantidades de dinero en metálico.</w:t>
      </w:r>
    </w:p>
    <w:p w:rsidR="00662340" w:rsidRDefault="00662340" w:rsidP="00662340">
      <w:pPr>
        <w:pStyle w:val="Prrafodelista"/>
        <w:numPr>
          <w:ilvl w:val="0"/>
          <w:numId w:val="2"/>
        </w:numPr>
        <w:rPr>
          <w:rFonts w:ascii="Times New Roman" w:hAnsi="Times New Roman" w:cs="Times New Roman"/>
          <w:sz w:val="24"/>
          <w:szCs w:val="24"/>
        </w:rPr>
      </w:pPr>
      <w:r w:rsidRPr="00662340">
        <w:rPr>
          <w:rFonts w:ascii="Times New Roman" w:hAnsi="Times New Roman" w:cs="Times New Roman"/>
          <w:sz w:val="24"/>
          <w:szCs w:val="24"/>
        </w:rPr>
        <w:t>Encontrar aparejos para adulterar las sustancias</w:t>
      </w:r>
      <w:r>
        <w:rPr>
          <w:rFonts w:ascii="Times New Roman" w:hAnsi="Times New Roman" w:cs="Times New Roman"/>
          <w:sz w:val="24"/>
          <w:szCs w:val="24"/>
        </w:rPr>
        <w:t>.</w:t>
      </w:r>
      <w:r>
        <w:rPr>
          <w:rStyle w:val="Refdenotaalpie"/>
          <w:rFonts w:ascii="Times New Roman" w:hAnsi="Times New Roman" w:cs="Times New Roman"/>
          <w:sz w:val="24"/>
          <w:szCs w:val="24"/>
        </w:rPr>
        <w:footnoteReference w:id="42"/>
      </w:r>
    </w:p>
    <w:p w:rsidR="00662340" w:rsidRPr="00662340" w:rsidRDefault="00662340" w:rsidP="00662340">
      <w:pPr>
        <w:pStyle w:val="Prrafodelista"/>
        <w:rPr>
          <w:rFonts w:ascii="Times New Roman" w:hAnsi="Times New Roman" w:cs="Times New Roman"/>
          <w:sz w:val="24"/>
          <w:szCs w:val="24"/>
        </w:rPr>
      </w:pPr>
    </w:p>
    <w:p w:rsidR="00662340" w:rsidRDefault="00662340" w:rsidP="00662340">
      <w:pPr>
        <w:ind w:left="360"/>
        <w:rPr>
          <w:rFonts w:ascii="Times New Roman" w:hAnsi="Times New Roman" w:cs="Times New Roman"/>
          <w:sz w:val="24"/>
          <w:szCs w:val="24"/>
        </w:rPr>
      </w:pPr>
      <w:r w:rsidRPr="00662340">
        <w:rPr>
          <w:rFonts w:ascii="Times New Roman" w:hAnsi="Times New Roman" w:cs="Times New Roman"/>
          <w:sz w:val="24"/>
          <w:szCs w:val="24"/>
        </w:rPr>
        <w:t>Pero sin duda el pilar base en el que la Jurisprudencia mayormente se apoya para marcar la línea divisoria entre el autoconsumo y el tráfico de drogas es la cuantía. ¿Qué cantidad establece el Tribunal Supremo como dosis para el autoconsumo? La siguiente tabla lo muestra:</w:t>
      </w:r>
    </w:p>
    <w:p w:rsidR="00662340" w:rsidRPr="00662340" w:rsidRDefault="00662340" w:rsidP="00662340">
      <w:pPr>
        <w:ind w:left="360"/>
        <w:rPr>
          <w:rFonts w:ascii="Times New Roman" w:hAnsi="Times New Roman" w:cs="Times New Roman"/>
          <w:b/>
          <w:sz w:val="24"/>
          <w:szCs w:val="24"/>
        </w:rPr>
      </w:pPr>
      <w:r w:rsidRPr="00662340">
        <w:rPr>
          <w:rFonts w:ascii="Times New Roman" w:hAnsi="Times New Roman" w:cs="Times New Roman"/>
          <w:b/>
          <w:sz w:val="24"/>
          <w:szCs w:val="24"/>
        </w:rPr>
        <w:lastRenderedPageBreak/>
        <w:t>Tabla del Instituto Nacional de Toxicología con fecha 18 de octubre de 2001:</w:t>
      </w:r>
    </w:p>
    <w:tbl>
      <w:tblPr>
        <w:tblStyle w:val="Tablaconcuadrcula"/>
        <w:tblW w:w="0" w:type="auto"/>
        <w:tblBorders>
          <w:top w:val="thinThickSmallGap" w:sz="24" w:space="0" w:color="auto"/>
          <w:left w:val="thinThickSmallGap" w:sz="24" w:space="0" w:color="auto"/>
          <w:bottom w:val="thinThickSmallGap" w:sz="24" w:space="0" w:color="auto"/>
          <w:right w:val="thinThickSmallGap" w:sz="24" w:space="0" w:color="auto"/>
        </w:tblBorders>
        <w:tblLayout w:type="fixed"/>
        <w:tblLook w:val="04A0" w:firstRow="1" w:lastRow="0" w:firstColumn="1" w:lastColumn="0" w:noHBand="0" w:noVBand="1"/>
      </w:tblPr>
      <w:tblGrid>
        <w:gridCol w:w="2114"/>
        <w:gridCol w:w="2973"/>
        <w:gridCol w:w="1983"/>
        <w:gridCol w:w="2216"/>
      </w:tblGrid>
      <w:tr w:rsidR="00662340" w:rsidRPr="009250B9" w:rsidTr="00662340">
        <w:tc>
          <w:tcPr>
            <w:tcW w:w="2114" w:type="dxa"/>
            <w:shd w:val="clear" w:color="auto" w:fill="D9D9D9" w:themeFill="background1" w:themeFillShade="D9"/>
          </w:tcPr>
          <w:p w:rsidR="00662340" w:rsidRPr="00CC0EA9" w:rsidRDefault="00662340" w:rsidP="00237177">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Sustancia</w:t>
            </w:r>
          </w:p>
        </w:tc>
        <w:tc>
          <w:tcPr>
            <w:tcW w:w="2973" w:type="dxa"/>
            <w:shd w:val="clear" w:color="auto" w:fill="D9D9D9" w:themeFill="background1" w:themeFillShade="D9"/>
          </w:tcPr>
          <w:p w:rsidR="00662340" w:rsidRPr="00CC0EA9" w:rsidRDefault="00662340" w:rsidP="00237177">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Dosis de abuso habitual  (media entre paréntesis)</w:t>
            </w:r>
          </w:p>
        </w:tc>
        <w:tc>
          <w:tcPr>
            <w:tcW w:w="1983" w:type="dxa"/>
            <w:shd w:val="clear" w:color="auto" w:fill="D9D9D9" w:themeFill="background1" w:themeFillShade="D9"/>
          </w:tcPr>
          <w:p w:rsidR="00662340" w:rsidRPr="00CC0EA9" w:rsidRDefault="00662340" w:rsidP="00237177">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Frecuencia de uso diario</w:t>
            </w:r>
          </w:p>
        </w:tc>
        <w:tc>
          <w:tcPr>
            <w:tcW w:w="2216" w:type="dxa"/>
            <w:shd w:val="clear" w:color="auto" w:fill="D9D9D9" w:themeFill="background1" w:themeFillShade="D9"/>
          </w:tcPr>
          <w:p w:rsidR="00662340" w:rsidRPr="00CC0EA9" w:rsidRDefault="00662340" w:rsidP="00237177">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Previsión (3 a 5 días de consumo)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Heroína</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50-150 mgrs. (100mgrs)</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3-4 papelinas (600 mgrs.)</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3 grs.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Cocaína</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100-260 mgrs. (2-4 rayas)</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6 papelinas máx. (1,5 mgr.)</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7,5 grs.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Marihuana</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1,5 a 2 grs.</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15-20 grs.</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100 grs.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Hachís</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0,3 a 0,5 grs.</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5 grs.</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25 grs.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LSD</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0,019-0,032 mgrs. (0,132 mgr.)</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2 dosis (0,6 mgrs.)</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3 mgr.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Sulfato de anfetamina</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30-60 mgr.</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 xml:space="preserve">180 mgr. </w:t>
            </w:r>
            <w:proofErr w:type="gramStart"/>
            <w:r>
              <w:rPr>
                <w:rFonts w:ascii="Times New Roman" w:hAnsi="Times New Roman" w:cs="Times New Roman"/>
                <w:sz w:val="24"/>
                <w:szCs w:val="24"/>
              </w:rPr>
              <w:t>máximo</w:t>
            </w:r>
            <w:proofErr w:type="gramEnd"/>
            <w:r>
              <w:rPr>
                <w:rFonts w:ascii="Times New Roman" w:hAnsi="Times New Roman" w:cs="Times New Roman"/>
                <w:sz w:val="24"/>
                <w:szCs w:val="24"/>
              </w:rPr>
              <w:t>.</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900 mgr. máximo</w:t>
            </w:r>
          </w:p>
        </w:tc>
      </w:tr>
      <w:tr w:rsidR="00662340"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Metanfetamina</w:t>
            </w:r>
          </w:p>
        </w:tc>
        <w:tc>
          <w:tcPr>
            <w:tcW w:w="297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2,5-15 mgr.</w:t>
            </w:r>
          </w:p>
        </w:tc>
        <w:tc>
          <w:tcPr>
            <w:tcW w:w="1983"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4 dosis (60 mgr.)</w:t>
            </w:r>
          </w:p>
        </w:tc>
        <w:tc>
          <w:tcPr>
            <w:tcW w:w="2216" w:type="dxa"/>
          </w:tcPr>
          <w:p w:rsidR="00662340"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300 mgr. máximo</w:t>
            </w:r>
          </w:p>
        </w:tc>
      </w:tr>
      <w:tr w:rsidR="00662340" w:rsidRPr="00CD3D94"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MDA, MDMA, MDEA</w:t>
            </w:r>
          </w:p>
        </w:tc>
        <w:tc>
          <w:tcPr>
            <w:tcW w:w="2973" w:type="dxa"/>
          </w:tcPr>
          <w:p w:rsidR="00662340" w:rsidRPr="00CD3D94" w:rsidRDefault="00662340" w:rsidP="00237177">
            <w:pPr>
              <w:pStyle w:val="Prrafodelista"/>
              <w:ind w:left="0"/>
              <w:jc w:val="left"/>
              <w:rPr>
                <w:rFonts w:ascii="Times New Roman" w:hAnsi="Times New Roman" w:cs="Times New Roman"/>
                <w:sz w:val="24"/>
                <w:szCs w:val="24"/>
              </w:rPr>
            </w:pPr>
            <w:r w:rsidRPr="00CD3D94">
              <w:rPr>
                <w:rFonts w:ascii="Times New Roman" w:hAnsi="Times New Roman" w:cs="Times New Roman"/>
                <w:sz w:val="24"/>
                <w:szCs w:val="24"/>
              </w:rPr>
              <w:t>20-150 mgr. (80 mgrs.)</w:t>
            </w:r>
          </w:p>
        </w:tc>
        <w:tc>
          <w:tcPr>
            <w:tcW w:w="1983"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480 mgrs.</w:t>
            </w:r>
          </w:p>
        </w:tc>
        <w:tc>
          <w:tcPr>
            <w:tcW w:w="2216"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1.440 mgrs. máximo</w:t>
            </w:r>
          </w:p>
        </w:tc>
      </w:tr>
      <w:tr w:rsidR="00662340" w:rsidRPr="00CD3D94"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Trankimazin</w:t>
            </w:r>
          </w:p>
        </w:tc>
        <w:tc>
          <w:tcPr>
            <w:tcW w:w="2973" w:type="dxa"/>
          </w:tcPr>
          <w:p w:rsidR="00662340" w:rsidRPr="00CD3D94" w:rsidRDefault="00662340" w:rsidP="00237177">
            <w:pPr>
              <w:pStyle w:val="Prrafodelista"/>
              <w:ind w:left="0"/>
              <w:jc w:val="left"/>
              <w:rPr>
                <w:rFonts w:ascii="Times New Roman" w:hAnsi="Times New Roman" w:cs="Times New Roman"/>
                <w:sz w:val="24"/>
                <w:szCs w:val="24"/>
              </w:rPr>
            </w:pPr>
            <w:r w:rsidRPr="00CD3D94">
              <w:rPr>
                <w:rFonts w:ascii="Times New Roman" w:hAnsi="Times New Roman" w:cs="Times New Roman"/>
                <w:sz w:val="24"/>
                <w:szCs w:val="24"/>
              </w:rPr>
              <w:t>1 mgr.</w:t>
            </w:r>
          </w:p>
        </w:tc>
        <w:tc>
          <w:tcPr>
            <w:tcW w:w="1983"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15 mgr.</w:t>
            </w:r>
          </w:p>
        </w:tc>
        <w:tc>
          <w:tcPr>
            <w:tcW w:w="2216"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75 mgrs. máximo</w:t>
            </w:r>
          </w:p>
        </w:tc>
      </w:tr>
      <w:tr w:rsidR="00662340" w:rsidRPr="00CD3D94"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Rohipnol</w:t>
            </w:r>
          </w:p>
        </w:tc>
        <w:tc>
          <w:tcPr>
            <w:tcW w:w="2973" w:type="dxa"/>
          </w:tcPr>
          <w:p w:rsidR="00662340" w:rsidRPr="00CD3D94" w:rsidRDefault="00662340" w:rsidP="00237177">
            <w:pPr>
              <w:pStyle w:val="Prrafodelista"/>
              <w:ind w:left="0"/>
              <w:jc w:val="left"/>
              <w:rPr>
                <w:rFonts w:ascii="Times New Roman" w:hAnsi="Times New Roman" w:cs="Times New Roman"/>
                <w:sz w:val="24"/>
                <w:szCs w:val="24"/>
              </w:rPr>
            </w:pPr>
            <w:r w:rsidRPr="00CD3D94">
              <w:rPr>
                <w:rFonts w:ascii="Times New Roman" w:hAnsi="Times New Roman" w:cs="Times New Roman"/>
                <w:sz w:val="24"/>
                <w:szCs w:val="24"/>
              </w:rPr>
              <w:t>1-2 mgrs.</w:t>
            </w:r>
          </w:p>
        </w:tc>
        <w:tc>
          <w:tcPr>
            <w:tcW w:w="1983"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10 mgrs.</w:t>
            </w:r>
          </w:p>
        </w:tc>
        <w:tc>
          <w:tcPr>
            <w:tcW w:w="2216"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50 mgrs. máximo</w:t>
            </w:r>
          </w:p>
        </w:tc>
      </w:tr>
      <w:tr w:rsidR="00662340" w:rsidRPr="00CD3D94" w:rsidTr="00662340">
        <w:tc>
          <w:tcPr>
            <w:tcW w:w="2114" w:type="dxa"/>
            <w:shd w:val="clear" w:color="auto" w:fill="D9D9D9" w:themeFill="background1" w:themeFillShade="D9"/>
          </w:tcPr>
          <w:p w:rsidR="00662340" w:rsidRPr="00CC0EA9" w:rsidRDefault="00662340" w:rsidP="00237177">
            <w:pPr>
              <w:pStyle w:val="Prrafodelista"/>
              <w:ind w:left="0"/>
              <w:jc w:val="left"/>
              <w:rPr>
                <w:rFonts w:ascii="Times New Roman" w:hAnsi="Times New Roman" w:cs="Times New Roman"/>
                <w:b/>
                <w:sz w:val="24"/>
                <w:szCs w:val="24"/>
              </w:rPr>
            </w:pPr>
            <w:r w:rsidRPr="00CC0EA9">
              <w:rPr>
                <w:rFonts w:ascii="Times New Roman" w:hAnsi="Times New Roman" w:cs="Times New Roman"/>
                <w:b/>
                <w:sz w:val="24"/>
                <w:szCs w:val="24"/>
              </w:rPr>
              <w:t>Tranxilium</w:t>
            </w:r>
          </w:p>
        </w:tc>
        <w:tc>
          <w:tcPr>
            <w:tcW w:w="2973" w:type="dxa"/>
          </w:tcPr>
          <w:p w:rsidR="00662340" w:rsidRPr="00CD3D94" w:rsidRDefault="00662340" w:rsidP="00237177">
            <w:pPr>
              <w:pStyle w:val="Prrafodelista"/>
              <w:ind w:left="0"/>
              <w:jc w:val="left"/>
              <w:rPr>
                <w:rFonts w:ascii="Times New Roman" w:hAnsi="Times New Roman" w:cs="Times New Roman"/>
                <w:sz w:val="24"/>
                <w:szCs w:val="24"/>
              </w:rPr>
            </w:pPr>
            <w:r w:rsidRPr="00CD3D94">
              <w:rPr>
                <w:rFonts w:ascii="Times New Roman" w:hAnsi="Times New Roman" w:cs="Times New Roman"/>
                <w:sz w:val="24"/>
                <w:szCs w:val="24"/>
              </w:rPr>
              <w:t>25 mgrs.</w:t>
            </w:r>
          </w:p>
        </w:tc>
        <w:tc>
          <w:tcPr>
            <w:tcW w:w="1983" w:type="dxa"/>
          </w:tcPr>
          <w:p w:rsidR="00662340" w:rsidRPr="00CD3D94" w:rsidRDefault="00662340" w:rsidP="00237177">
            <w:pPr>
              <w:pStyle w:val="Prrafodelista"/>
              <w:ind w:left="0"/>
              <w:jc w:val="left"/>
              <w:rPr>
                <w:rFonts w:ascii="Times New Roman" w:hAnsi="Times New Roman" w:cs="Times New Roman"/>
                <w:sz w:val="24"/>
                <w:szCs w:val="24"/>
              </w:rPr>
            </w:pPr>
            <w:r w:rsidRPr="00CD3D94">
              <w:rPr>
                <w:rFonts w:ascii="Times New Roman" w:hAnsi="Times New Roman" w:cs="Times New Roman"/>
                <w:sz w:val="24"/>
                <w:szCs w:val="24"/>
              </w:rPr>
              <w:t>150 mgrs.</w:t>
            </w:r>
          </w:p>
        </w:tc>
        <w:tc>
          <w:tcPr>
            <w:tcW w:w="2216" w:type="dxa"/>
          </w:tcPr>
          <w:p w:rsidR="00662340" w:rsidRPr="00CD3D94" w:rsidRDefault="00662340" w:rsidP="00237177">
            <w:pPr>
              <w:pStyle w:val="Prrafodelista"/>
              <w:ind w:left="0"/>
              <w:jc w:val="left"/>
              <w:rPr>
                <w:rFonts w:ascii="Times New Roman" w:hAnsi="Times New Roman" w:cs="Times New Roman"/>
                <w:sz w:val="24"/>
                <w:szCs w:val="24"/>
              </w:rPr>
            </w:pPr>
            <w:r>
              <w:rPr>
                <w:rFonts w:ascii="Times New Roman" w:hAnsi="Times New Roman" w:cs="Times New Roman"/>
                <w:sz w:val="24"/>
                <w:szCs w:val="24"/>
              </w:rPr>
              <w:t>750 mgrs. máximo</w:t>
            </w:r>
          </w:p>
        </w:tc>
      </w:tr>
    </w:tbl>
    <w:p w:rsidR="00662340" w:rsidRDefault="00662340" w:rsidP="00A1695B">
      <w:pPr>
        <w:ind w:left="360"/>
        <w:rPr>
          <w:rFonts w:ascii="Times New Roman" w:hAnsi="Times New Roman" w:cs="Times New Roman"/>
          <w:i/>
          <w:sz w:val="20"/>
          <w:szCs w:val="20"/>
        </w:rPr>
      </w:pPr>
      <w:r>
        <w:rPr>
          <w:rFonts w:ascii="Times New Roman" w:hAnsi="Times New Roman" w:cs="Times New Roman"/>
          <w:i/>
          <w:sz w:val="20"/>
          <w:szCs w:val="20"/>
        </w:rPr>
        <w:t>Fuente: Instituto Nacional de Toxicología</w:t>
      </w:r>
    </w:p>
    <w:p w:rsidR="00804B9A" w:rsidRDefault="00662340" w:rsidP="00662340">
      <w:pPr>
        <w:ind w:left="360"/>
        <w:rPr>
          <w:rFonts w:ascii="Times New Roman" w:hAnsi="Times New Roman" w:cs="Times New Roman"/>
          <w:sz w:val="24"/>
          <w:szCs w:val="24"/>
        </w:rPr>
      </w:pPr>
      <w:r w:rsidRPr="00662340">
        <w:rPr>
          <w:rFonts w:ascii="Times New Roman" w:hAnsi="Times New Roman" w:cs="Times New Roman"/>
          <w:sz w:val="24"/>
          <w:szCs w:val="24"/>
        </w:rPr>
        <w:t>La tabla muestra las cantidades en gramos y miligramos que entrarían dentro del autoconsumo en la diversidad de sustancias nocivas que se muestran. Se divide en columnas donde se puede contemplar cómo la primera de ellas alude a la dosis de consumo habitual, la segunda columna a la frecuencia de uso diario, lo que se traduce en la dosis permitida de consumo al día y la tercera hace un acopio en días, con una previsión de 3 a 5, es decir, los gramos o miligramos máximos que una persona puede tener en su poder para consumirlos en el período comprendido entre los días que se señalan.</w:t>
      </w:r>
    </w:p>
    <w:p w:rsidR="00662340" w:rsidRDefault="00662340" w:rsidP="00662340">
      <w:pPr>
        <w:ind w:left="360"/>
        <w:rPr>
          <w:rFonts w:ascii="Times New Roman" w:hAnsi="Times New Roman" w:cs="Times New Roman"/>
          <w:sz w:val="24"/>
          <w:szCs w:val="24"/>
        </w:rPr>
      </w:pPr>
    </w:p>
    <w:p w:rsidR="00662340" w:rsidRDefault="00662340" w:rsidP="00662340">
      <w:pPr>
        <w:ind w:left="360"/>
        <w:rPr>
          <w:rFonts w:ascii="Times New Roman" w:hAnsi="Times New Roman" w:cs="Times New Roman"/>
          <w:sz w:val="24"/>
          <w:szCs w:val="24"/>
        </w:rPr>
      </w:pPr>
      <w:r w:rsidRPr="00662340">
        <w:rPr>
          <w:rFonts w:ascii="Times New Roman" w:hAnsi="Times New Roman" w:cs="Times New Roman"/>
          <w:sz w:val="24"/>
          <w:szCs w:val="24"/>
        </w:rPr>
        <w:t>Pero con todo y con esto, la jurisprudencia no se muestra tajante con este tipo de cantidades. Como he mencionado repetidas veces, la posesión es el presupuesto objetivo del tipo 368 del Código Penal. Pero el Tribunal es el que debe de juzgar correctamente y decidir, bajo este criterio de la cantidad y el resto de indicios, cuál era efectivamente el destino de tales sustancias. La cantidad será el indicio más prominente aunque no del todo adecuado a veces. Ya se ha visto en la tabla y se deduce de ella, que toda cantidad que supere los límites establecidos para una previsión de entre 3 y 5 días será bastante para poder penar al sujeto por tráfico de drogas. Pero claro deben tenerse en cuenta unos factores que son cruciales y que a la hora de ponderar la cuestión penal pueden plantear serias dudas. En palabras de ARÁNQUEZ SÁNCHEZ</w:t>
      </w:r>
      <w:r>
        <w:rPr>
          <w:rStyle w:val="Refdenotaalpie"/>
          <w:rFonts w:ascii="Times New Roman" w:hAnsi="Times New Roman" w:cs="Times New Roman"/>
          <w:sz w:val="24"/>
          <w:szCs w:val="24"/>
        </w:rPr>
        <w:footnoteReference w:id="43"/>
      </w:r>
      <w:r>
        <w:rPr>
          <w:rFonts w:ascii="Times New Roman" w:hAnsi="Times New Roman" w:cs="Times New Roman"/>
          <w:sz w:val="24"/>
          <w:szCs w:val="24"/>
        </w:rPr>
        <w:t xml:space="preserve"> </w:t>
      </w:r>
      <w:r w:rsidRPr="00662340">
        <w:rPr>
          <w:rFonts w:ascii="Times New Roman" w:hAnsi="Times New Roman" w:cs="Times New Roman"/>
          <w:sz w:val="24"/>
          <w:szCs w:val="24"/>
        </w:rPr>
        <w:t>“</w:t>
      </w:r>
      <w:r>
        <w:rPr>
          <w:rFonts w:ascii="Times New Roman" w:hAnsi="Times New Roman" w:cs="Times New Roman"/>
          <w:i/>
          <w:sz w:val="24"/>
          <w:szCs w:val="24"/>
        </w:rPr>
        <w:t>e</w:t>
      </w:r>
      <w:r w:rsidRPr="00662340">
        <w:rPr>
          <w:rFonts w:ascii="Times New Roman" w:hAnsi="Times New Roman" w:cs="Times New Roman"/>
          <w:i/>
          <w:sz w:val="24"/>
          <w:szCs w:val="24"/>
        </w:rPr>
        <w:t xml:space="preserve">l grado de habituación, </w:t>
      </w:r>
      <w:r w:rsidRPr="00662340">
        <w:rPr>
          <w:rFonts w:ascii="Times New Roman" w:hAnsi="Times New Roman" w:cs="Times New Roman"/>
          <w:i/>
          <w:sz w:val="24"/>
          <w:szCs w:val="24"/>
        </w:rPr>
        <w:lastRenderedPageBreak/>
        <w:t>asimilación y tolerancia del toxicómano.</w:t>
      </w:r>
      <w:r w:rsidRPr="00662340">
        <w:rPr>
          <w:rFonts w:ascii="Times New Roman" w:hAnsi="Times New Roman" w:cs="Times New Roman"/>
          <w:sz w:val="24"/>
          <w:szCs w:val="24"/>
        </w:rPr>
        <w:t>”</w:t>
      </w:r>
      <w:r w:rsidRPr="00662340">
        <w:t xml:space="preserve"> </w:t>
      </w:r>
      <w:r w:rsidRPr="00662340">
        <w:rPr>
          <w:rFonts w:ascii="Times New Roman" w:hAnsi="Times New Roman" w:cs="Times New Roman"/>
          <w:sz w:val="24"/>
          <w:szCs w:val="24"/>
        </w:rPr>
        <w:t>Para intentar aclarar este asunto, el Tribunal Supremo ha ido estableciendo cantidades habituales para el adicto medio, pero si profundizamos en su jurisprudencia, nos encontramos con casos absolutamente contradictorios que lejos de arrojar luz al asunto lo que hacen es enturbiarlo. Así las cosas, el Alto Tribunal afirma que “</w:t>
      </w:r>
      <w:r w:rsidRPr="009A37D9">
        <w:rPr>
          <w:rFonts w:ascii="Times New Roman" w:hAnsi="Times New Roman" w:cs="Times New Roman"/>
          <w:i/>
          <w:sz w:val="24"/>
          <w:szCs w:val="24"/>
        </w:rPr>
        <w:t>de principio ha de saberse que las apriorísticas, para determinar la cantidad susceptible de ser consumida diariamente por quien es drogodependiente, pueden inducir a error ya que cada persona tendrá un punto distinto de habituación, de asimilación y de tolerancia para el estupefaciente</w:t>
      </w:r>
      <w:r w:rsidR="009A37D9">
        <w:rPr>
          <w:rFonts w:ascii="Times New Roman" w:hAnsi="Times New Roman" w:cs="Times New Roman"/>
          <w:i/>
          <w:sz w:val="24"/>
          <w:szCs w:val="24"/>
        </w:rPr>
        <w:t>.</w:t>
      </w:r>
      <w:r w:rsidRPr="00662340">
        <w:rPr>
          <w:rFonts w:ascii="Times New Roman" w:hAnsi="Times New Roman" w:cs="Times New Roman"/>
          <w:sz w:val="24"/>
          <w:szCs w:val="24"/>
        </w:rPr>
        <w:t>”</w:t>
      </w:r>
      <w:r w:rsidR="009A37D9">
        <w:rPr>
          <w:rStyle w:val="Refdenotaalpie"/>
          <w:rFonts w:ascii="Times New Roman" w:hAnsi="Times New Roman" w:cs="Times New Roman"/>
          <w:sz w:val="24"/>
          <w:szCs w:val="24"/>
        </w:rPr>
        <w:footnoteReference w:id="44"/>
      </w:r>
    </w:p>
    <w:p w:rsidR="009A37D9" w:rsidRDefault="009A37D9" w:rsidP="00662340">
      <w:pPr>
        <w:ind w:left="360"/>
        <w:rPr>
          <w:rFonts w:ascii="Times New Roman" w:hAnsi="Times New Roman" w:cs="Times New Roman"/>
          <w:sz w:val="24"/>
          <w:szCs w:val="24"/>
        </w:rPr>
      </w:pP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 xml:space="preserve">Este extremo me resulta imprescindible a la hora de tener en cuenta las circunstancias del sujeto, pues puede ser que estemos frente a una conducta impune por ser la persona drogodependiente o toxicómano y necesitar tales cantidades para evitar el síndrome de abstinencia. En la </w:t>
      </w:r>
      <w:r w:rsidRPr="001A40D0">
        <w:rPr>
          <w:rFonts w:ascii="Times New Roman" w:hAnsi="Times New Roman" w:cs="Times New Roman"/>
          <w:b/>
          <w:sz w:val="24"/>
          <w:szCs w:val="24"/>
        </w:rPr>
        <w:t>STS 243/2013 de 31 de enero</w:t>
      </w:r>
      <w:r w:rsidRPr="009A37D9">
        <w:rPr>
          <w:rFonts w:ascii="Times New Roman" w:hAnsi="Times New Roman" w:cs="Times New Roman"/>
          <w:sz w:val="24"/>
          <w:szCs w:val="24"/>
        </w:rPr>
        <w:t xml:space="preserve"> se encuentran las definiciones de toxicomanía y dependencia establecidas por OMS en su informe 116/57: Toxicomanía es “</w:t>
      </w:r>
      <w:r w:rsidRPr="009A37D9">
        <w:rPr>
          <w:rFonts w:ascii="Times New Roman" w:hAnsi="Times New Roman" w:cs="Times New Roman"/>
          <w:i/>
          <w:sz w:val="24"/>
          <w:szCs w:val="24"/>
        </w:rPr>
        <w:t>el estado de intoxicación periódica o crónica producido por el consumo reiterado de una droga natural o sintética” y la dependencia como el estado de sumisión física o psicológico respecto de una determinada droga resultado de la absorción periódica o repetitiva de la misma</w:t>
      </w:r>
      <w:r w:rsidRPr="009A37D9">
        <w:rPr>
          <w:rFonts w:ascii="Times New Roman" w:hAnsi="Times New Roman" w:cs="Times New Roman"/>
          <w:sz w:val="24"/>
          <w:szCs w:val="24"/>
        </w:rPr>
        <w:t>”. Es evidente que estas ilustraciones pueden mostrar la idea de que dichas personas pueden encontrarse bajo un estado de necesidad que se les debería de apreciar como una fundamentación de la completa impunidad que merecen, y que sus conductas se entienden ajustadas a la vía de la atipicidad de la conducta al no llegar a producirse un peligro para el bien jurídico preservado y al no existir tampoco un ánimo de traficar.</w:t>
      </w:r>
      <w:r>
        <w:rPr>
          <w:rStyle w:val="Refdenotaalpie"/>
          <w:rFonts w:ascii="Times New Roman" w:hAnsi="Times New Roman" w:cs="Times New Roman"/>
          <w:sz w:val="24"/>
          <w:szCs w:val="24"/>
        </w:rPr>
        <w:footnoteReference w:id="45"/>
      </w:r>
    </w:p>
    <w:p w:rsidR="009A37D9" w:rsidRDefault="009A37D9" w:rsidP="00662340">
      <w:pPr>
        <w:ind w:left="360"/>
        <w:rPr>
          <w:rFonts w:ascii="Times New Roman" w:hAnsi="Times New Roman" w:cs="Times New Roman"/>
          <w:sz w:val="24"/>
          <w:szCs w:val="24"/>
        </w:rPr>
      </w:pP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 xml:space="preserve">Nuestro Código Penal actual mantiene dentro de la esfera de la imputabilidad las opciones de excluir total o parcialmente la responsabilidad penal en los artículos 20.2 y 21.1., o incluso aplicando una atenuación por el tipo del 21.2 del mismo texto legal e inclusive la propia atenuante por drogadicción del artículo 21.6. Pero estas atenuaciones no se aplican de forma tan simple, deben de darse una serie de requisitos enumerados por nuestro Tribunal: 1.- </w:t>
      </w:r>
      <w:r w:rsidRPr="006F195C">
        <w:rPr>
          <w:rFonts w:ascii="Times New Roman" w:hAnsi="Times New Roman" w:cs="Times New Roman"/>
          <w:sz w:val="24"/>
          <w:szCs w:val="24"/>
          <w:u w:val="single"/>
        </w:rPr>
        <w:t>Requisito biopatológico</w:t>
      </w:r>
      <w:r w:rsidRPr="009A37D9">
        <w:rPr>
          <w:rFonts w:ascii="Times New Roman" w:hAnsi="Times New Roman" w:cs="Times New Roman"/>
          <w:sz w:val="24"/>
          <w:szCs w:val="24"/>
        </w:rPr>
        <w:t xml:space="preserve">, lo que significa que nos hallemos ante un toxicómano reconocido y para ello será necesario, en primer lugar, que se trate de una intoxicación grave y que tenga cierta antigüedad, que se consuma de manera habitual y </w:t>
      </w:r>
      <w:r w:rsidRPr="009A37D9">
        <w:rPr>
          <w:rFonts w:ascii="Times New Roman" w:hAnsi="Times New Roman" w:cs="Times New Roman"/>
          <w:sz w:val="24"/>
          <w:szCs w:val="24"/>
        </w:rPr>
        <w:lastRenderedPageBreak/>
        <w:t xml:space="preserve">dilatada en el tiempo.    2.- </w:t>
      </w:r>
      <w:r w:rsidRPr="006F195C">
        <w:rPr>
          <w:rFonts w:ascii="Times New Roman" w:hAnsi="Times New Roman" w:cs="Times New Roman"/>
          <w:sz w:val="24"/>
          <w:szCs w:val="24"/>
          <w:u w:val="single"/>
        </w:rPr>
        <w:t>Requisito psicológico</w:t>
      </w:r>
      <w:r w:rsidRPr="009A37D9">
        <w:rPr>
          <w:rFonts w:ascii="Times New Roman" w:hAnsi="Times New Roman" w:cs="Times New Roman"/>
          <w:sz w:val="24"/>
          <w:szCs w:val="24"/>
        </w:rPr>
        <w:t xml:space="preserve">, lo que se traduce en la afectación del sujeto de sus facultades mentales, es necesario aparte de ser drogadicto, que la droga afecte a  los elementos intelectivos y volitivos. 3.- </w:t>
      </w:r>
      <w:r w:rsidRPr="006F195C">
        <w:rPr>
          <w:rFonts w:ascii="Times New Roman" w:hAnsi="Times New Roman" w:cs="Times New Roman"/>
          <w:sz w:val="24"/>
          <w:szCs w:val="24"/>
          <w:u w:val="single"/>
        </w:rPr>
        <w:t>Requisito temporal o cronológico</w:t>
      </w:r>
      <w:r w:rsidRPr="009A37D9">
        <w:rPr>
          <w:rFonts w:ascii="Times New Roman" w:hAnsi="Times New Roman" w:cs="Times New Roman"/>
          <w:sz w:val="24"/>
          <w:szCs w:val="24"/>
        </w:rPr>
        <w:t xml:space="preserve">, es decir, que el sujeto se encuentre inmerso en esa afectación psíquica a la hora de realizar el delito, o que la persona actúe bajo el denominado síndrome de abstinencia por su grave adicción. 4.- </w:t>
      </w:r>
      <w:r w:rsidRPr="006F195C">
        <w:rPr>
          <w:rFonts w:ascii="Times New Roman" w:hAnsi="Times New Roman" w:cs="Times New Roman"/>
          <w:sz w:val="24"/>
          <w:szCs w:val="24"/>
          <w:u w:val="single"/>
        </w:rPr>
        <w:t>Requisito normativo</w:t>
      </w:r>
      <w:r w:rsidRPr="009A37D9">
        <w:rPr>
          <w:rFonts w:ascii="Times New Roman" w:hAnsi="Times New Roman" w:cs="Times New Roman"/>
          <w:sz w:val="24"/>
          <w:szCs w:val="24"/>
        </w:rPr>
        <w:t>, lo que quiere decir que se debe de medir la intensidad o influencia de la droga en los cimientos mentales del sujeto para poder apreciar una eximente completa, incompleta o una simple atenuación.</w:t>
      </w:r>
      <w:r>
        <w:rPr>
          <w:rStyle w:val="Refdenotaalpie"/>
          <w:rFonts w:ascii="Times New Roman" w:hAnsi="Times New Roman" w:cs="Times New Roman"/>
          <w:sz w:val="24"/>
          <w:szCs w:val="24"/>
        </w:rPr>
        <w:footnoteReference w:id="46"/>
      </w:r>
    </w:p>
    <w:p w:rsidR="009A37D9" w:rsidRDefault="009A37D9" w:rsidP="00662340">
      <w:pPr>
        <w:ind w:left="360"/>
        <w:rPr>
          <w:rFonts w:ascii="Times New Roman" w:hAnsi="Times New Roman" w:cs="Times New Roman"/>
          <w:sz w:val="24"/>
          <w:szCs w:val="24"/>
        </w:rPr>
      </w:pP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En este apartado también cabe mencionar la atenuación reflejada en el párrafo segundo del artículo 376 del Código Penal para aquellos casos en que los sujetos activos del delito son drogodependientes. Pero este tipo es diferente: muestra una rebaja de la pena en uno o dos grados (según valúe el Juez o Tribunal oportuno) siempre y cuando se den los tres requisitos que se extraen de la lectura del citado precepto legal: a) que la persona fuere drogodependiente a la hora de cometer el delito, b) que se haya sometido a tratamiento de deshabituación habiéndolo superado con éxito y c) que esa cantidad de drogas o estupefacientes no superasen la cantidad de notoria importancia o extrema gravedad (artículos 369.5º y 370.3º).</w:t>
      </w:r>
    </w:p>
    <w:p w:rsidR="009A37D9" w:rsidRDefault="009A37D9" w:rsidP="00662340">
      <w:pPr>
        <w:ind w:left="360"/>
        <w:rPr>
          <w:rFonts w:ascii="Times New Roman" w:hAnsi="Times New Roman" w:cs="Times New Roman"/>
          <w:sz w:val="24"/>
          <w:szCs w:val="24"/>
        </w:rPr>
      </w:pP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Llegados a este punto, me resulta imprescindible diferenciar lo que el Alto Tribunal difundía hace casi más de una década de lo que actualmente emite, pues nos encontramos con claras contrariedades. Ya hemos visto como actualmente el acopio se encuentra delimitado entre 3 y 5 días, pero si echamos la vista atrás, nos encontramos sentencias en las que el acopio para autoconsumo en el caso de un sujeto autoconsumidor se entablaba incluso de 10 hasta 12 días: “</w:t>
      </w:r>
      <w:r w:rsidRPr="009A37D9">
        <w:rPr>
          <w:rFonts w:ascii="Times New Roman" w:hAnsi="Times New Roman" w:cs="Times New Roman"/>
          <w:i/>
          <w:sz w:val="24"/>
          <w:szCs w:val="24"/>
        </w:rPr>
        <w:t>Es normal y conforme a reglas razonables de lógica el afirmar el fin de tráfico cuando la cantidad de droga poseída excede notablemente de las dosis calculables para el consumidor medio a corto plazo (de 10 a 12 días como máximo)</w:t>
      </w:r>
      <w:r>
        <w:rPr>
          <w:rFonts w:ascii="Times New Roman" w:hAnsi="Times New Roman" w:cs="Times New Roman"/>
          <w:sz w:val="24"/>
          <w:szCs w:val="24"/>
        </w:rPr>
        <w:t>.</w:t>
      </w:r>
      <w:r>
        <w:rPr>
          <w:rStyle w:val="Refdenotaalpie"/>
          <w:rFonts w:ascii="Times New Roman" w:hAnsi="Times New Roman" w:cs="Times New Roman"/>
          <w:sz w:val="24"/>
          <w:szCs w:val="24"/>
        </w:rPr>
        <w:footnoteReference w:id="47"/>
      </w: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 xml:space="preserve">Resulta obvio que a lo largo del tiempo el Derecho ha ido adaptándose a los cambios de nuestra sociedad, y quizás por ello puede llegarse a explicar la variación de acopios </w:t>
      </w:r>
      <w:r w:rsidRPr="009A37D9">
        <w:rPr>
          <w:rFonts w:ascii="Times New Roman" w:hAnsi="Times New Roman" w:cs="Times New Roman"/>
          <w:sz w:val="24"/>
          <w:szCs w:val="24"/>
        </w:rPr>
        <w:lastRenderedPageBreak/>
        <w:t>durante las diferentes épocas, “</w:t>
      </w:r>
      <w:r w:rsidRPr="009A37D9">
        <w:rPr>
          <w:rFonts w:ascii="Times New Roman" w:hAnsi="Times New Roman" w:cs="Times New Roman"/>
          <w:i/>
          <w:sz w:val="24"/>
          <w:szCs w:val="24"/>
        </w:rPr>
        <w:t>aunque es cierto que el parámetro de los cinco días es meramente orientativo</w:t>
      </w:r>
      <w:r w:rsidRPr="009A37D9">
        <w:rPr>
          <w:rFonts w:ascii="Times New Roman" w:hAnsi="Times New Roman" w:cs="Times New Roman"/>
          <w:sz w:val="24"/>
          <w:szCs w:val="24"/>
        </w:rPr>
        <w:t>”</w:t>
      </w:r>
      <w:r>
        <w:rPr>
          <w:rFonts w:ascii="Times New Roman" w:hAnsi="Times New Roman" w:cs="Times New Roman"/>
          <w:sz w:val="24"/>
          <w:szCs w:val="24"/>
        </w:rPr>
        <w:t>.</w:t>
      </w:r>
      <w:r>
        <w:rPr>
          <w:rStyle w:val="Refdenotaalpie"/>
          <w:rFonts w:ascii="Times New Roman" w:hAnsi="Times New Roman" w:cs="Times New Roman"/>
          <w:sz w:val="24"/>
          <w:szCs w:val="24"/>
        </w:rPr>
        <w:footnoteReference w:id="48"/>
      </w: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Pero durante este tiempo, también resulta llamativo el caso en el cual a tres sujetos se les intervienen nada más y nada menos que las cantidades de 400, 240 y 200 gramos de hachís. El Ministerio Fiscal recurre en casación y es sorprendente lo que el Tribunal Supremo señala al respecto: “</w:t>
      </w:r>
      <w:r w:rsidRPr="009A37D9">
        <w:rPr>
          <w:rFonts w:ascii="Times New Roman" w:hAnsi="Times New Roman" w:cs="Times New Roman"/>
          <w:i/>
          <w:sz w:val="24"/>
          <w:szCs w:val="24"/>
        </w:rPr>
        <w:t>…que los tres portadores de la sustancia aprehendida eran fumadores habituales de dicha droga. Partiendo de este dato, la fundamentación jurídica de la sentencia impugnada llega a la conclusión –ciertamente no alejada de las reglas de la experiencia racional y lógica- de que las cantidades ocupadas eran parificables a un acopio de dos a cuatro cartones de cigarrillos de tabaco y que por ello la deducción de que se destinasen al consumo propio es la adecuada</w:t>
      </w:r>
      <w:r w:rsidRPr="009A37D9">
        <w:rPr>
          <w:rFonts w:ascii="Times New Roman" w:hAnsi="Times New Roman" w:cs="Times New Roman"/>
          <w:sz w:val="24"/>
          <w:szCs w:val="24"/>
        </w:rPr>
        <w:t>”.</w:t>
      </w:r>
      <w:r>
        <w:rPr>
          <w:rStyle w:val="Refdenotaalpie"/>
          <w:rFonts w:ascii="Times New Roman" w:hAnsi="Times New Roman" w:cs="Times New Roman"/>
          <w:sz w:val="24"/>
          <w:szCs w:val="24"/>
        </w:rPr>
        <w:footnoteReference w:id="49"/>
      </w:r>
    </w:p>
    <w:p w:rsidR="009A37D9" w:rsidRDefault="009A37D9" w:rsidP="00662340">
      <w:pPr>
        <w:ind w:left="360"/>
        <w:rPr>
          <w:rFonts w:ascii="Times New Roman" w:hAnsi="Times New Roman" w:cs="Times New Roman"/>
          <w:sz w:val="24"/>
          <w:szCs w:val="24"/>
        </w:rPr>
      </w:pPr>
    </w:p>
    <w:p w:rsidR="009A37D9" w:rsidRDefault="009A37D9" w:rsidP="00662340">
      <w:pPr>
        <w:ind w:left="360"/>
        <w:rPr>
          <w:rFonts w:ascii="Times New Roman" w:hAnsi="Times New Roman" w:cs="Times New Roman"/>
          <w:sz w:val="24"/>
          <w:szCs w:val="24"/>
        </w:rPr>
      </w:pPr>
      <w:r w:rsidRPr="009A37D9">
        <w:rPr>
          <w:rFonts w:ascii="Times New Roman" w:hAnsi="Times New Roman" w:cs="Times New Roman"/>
          <w:sz w:val="24"/>
          <w:szCs w:val="24"/>
        </w:rPr>
        <w:t>Actualmente, es difícil encontrar un supuesto en el cual se declare la impunidad de una conducta cuando ésta se encuentra delimitada dentro de los márgenes de la tipicidad por superar la cantidad de droga incautada  para los cinco días de acopio, lo que significa que el Tribunal se ciñe escrupulosamente al cuadro de 18 de octubre de 2001 aportado por el Instituto Nacional de Toxicología, pero aun así se dan graves contradicciones. Es cuanto menos llamativo el suceso de un sujeto al que se le interviene la cantidad de 1,14 gramos de cocaína junto con un molinillo y una báscula de precisión. Ya he aludido con anterioridad que el criterio de la cuantía a veces no resulta suficiente, y que hay que basarse en otros tipos de indicios para imputar a un sujeto por la posesión de drogas destinada al tráfico. Pues bien, en esta sentencia, el Tribunal Supremo subraya: “</w:t>
      </w:r>
      <w:r w:rsidRPr="001A40D0">
        <w:rPr>
          <w:rFonts w:ascii="Times New Roman" w:hAnsi="Times New Roman" w:cs="Times New Roman"/>
          <w:i/>
          <w:sz w:val="24"/>
          <w:szCs w:val="24"/>
        </w:rPr>
        <w:t>en el presente caso esa cantidad es mínima y la tenencia del molinillo y la balanza pueden ser también utilizadas para operaciones normales del propio consumo. Tampoco se ha probado que el recurrente realizara operaciones de tráfico con anterioridad</w:t>
      </w:r>
      <w:r w:rsidR="001A40D0">
        <w:rPr>
          <w:rFonts w:ascii="Times New Roman" w:hAnsi="Times New Roman" w:cs="Times New Roman"/>
          <w:i/>
          <w:sz w:val="24"/>
          <w:szCs w:val="24"/>
        </w:rPr>
        <w:t>.</w:t>
      </w:r>
      <w:r w:rsidRPr="009A37D9">
        <w:rPr>
          <w:rFonts w:ascii="Times New Roman" w:hAnsi="Times New Roman" w:cs="Times New Roman"/>
          <w:sz w:val="24"/>
          <w:szCs w:val="24"/>
        </w:rPr>
        <w:t>”</w:t>
      </w:r>
      <w:r w:rsidR="001A40D0">
        <w:rPr>
          <w:rStyle w:val="Refdenotaalpie"/>
          <w:rFonts w:ascii="Times New Roman" w:hAnsi="Times New Roman" w:cs="Times New Roman"/>
          <w:sz w:val="24"/>
          <w:szCs w:val="24"/>
        </w:rPr>
        <w:footnoteReference w:id="50"/>
      </w:r>
    </w:p>
    <w:p w:rsidR="001A40D0" w:rsidRDefault="001A40D0" w:rsidP="001A40D0">
      <w:pPr>
        <w:ind w:left="360"/>
        <w:rPr>
          <w:rFonts w:ascii="Times New Roman" w:hAnsi="Times New Roman" w:cs="Times New Roman"/>
          <w:sz w:val="24"/>
          <w:szCs w:val="24"/>
        </w:rPr>
      </w:pPr>
      <w:r w:rsidRPr="001A40D0">
        <w:rPr>
          <w:rFonts w:ascii="Times New Roman" w:hAnsi="Times New Roman" w:cs="Times New Roman"/>
          <w:sz w:val="24"/>
          <w:szCs w:val="24"/>
        </w:rPr>
        <w:t>En contraposición, la siguiente sentencia rebate, a mi entender, lo que dice la anterior, pues es un caso en el cual un sujeto posee una cantidad de casi 12 gramos de cocaína (supera escasamente el límite del autoconsumo si tenemos en cuenta que la dosis diaria se encuentra entre 1,5 y 2 gramos en un acopio de 5 días) siendo consumidor habitual, y sanciona al sujeto porque además de la cocaína se encontraba otro tipo de sustancia que era hachís, y señala: “</w:t>
      </w:r>
      <w:r w:rsidRPr="001A40D0">
        <w:rPr>
          <w:rFonts w:ascii="Times New Roman" w:hAnsi="Times New Roman" w:cs="Times New Roman"/>
          <w:i/>
          <w:sz w:val="24"/>
          <w:szCs w:val="24"/>
        </w:rPr>
        <w:t xml:space="preserve">A mayor abundamiento, no puede dejar de señalarse que este dato </w:t>
      </w:r>
      <w:r w:rsidRPr="001A40D0">
        <w:rPr>
          <w:rFonts w:ascii="Times New Roman" w:hAnsi="Times New Roman" w:cs="Times New Roman"/>
          <w:i/>
          <w:sz w:val="24"/>
          <w:szCs w:val="24"/>
        </w:rPr>
        <w:lastRenderedPageBreak/>
        <w:t>de la cantidad de droga incautada a que se refiere el recurrente, ha de ponerse en relación con el resto de indicios de que en cada caso se disponga. Así, incluso en supuestos de tenencia de cantidades inferiores a los baremos jurisprudenciales orientativos, ello no es obstáculo para la condena, si otras pruebas acreditan que el destino de aquellas sustancias era su distribución a terceros</w:t>
      </w:r>
      <w:r w:rsidRPr="001A40D0">
        <w:rPr>
          <w:rFonts w:ascii="Times New Roman" w:hAnsi="Times New Roman" w:cs="Times New Roman"/>
          <w:sz w:val="24"/>
          <w:szCs w:val="24"/>
        </w:rPr>
        <w:t>”</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1"/>
      </w:r>
    </w:p>
    <w:p w:rsidR="001A40D0" w:rsidRPr="001A40D0" w:rsidRDefault="001A40D0" w:rsidP="001A40D0">
      <w:pPr>
        <w:ind w:left="360"/>
        <w:rPr>
          <w:rFonts w:ascii="Times New Roman" w:hAnsi="Times New Roman" w:cs="Times New Roman"/>
          <w:sz w:val="24"/>
          <w:szCs w:val="24"/>
        </w:rPr>
      </w:pPr>
      <w:r w:rsidRPr="001A40D0">
        <w:rPr>
          <w:rFonts w:ascii="Times New Roman" w:hAnsi="Times New Roman" w:cs="Times New Roman"/>
          <w:sz w:val="24"/>
          <w:szCs w:val="24"/>
        </w:rPr>
        <w:t xml:space="preserve">En este supuesto tampoco llega a apreciarse el tipo atenuado del segundo párrafo del artículo 368. La </w:t>
      </w:r>
      <w:r w:rsidRPr="001A40D0">
        <w:rPr>
          <w:rFonts w:ascii="Times New Roman" w:hAnsi="Times New Roman" w:cs="Times New Roman"/>
          <w:b/>
          <w:sz w:val="24"/>
          <w:szCs w:val="24"/>
        </w:rPr>
        <w:t>STS 2397/1998 de 14 de abril</w:t>
      </w:r>
      <w:r w:rsidRPr="001A40D0">
        <w:rPr>
          <w:rFonts w:ascii="Times New Roman" w:hAnsi="Times New Roman" w:cs="Times New Roman"/>
          <w:sz w:val="24"/>
          <w:szCs w:val="24"/>
        </w:rPr>
        <w:t>, muestra una justificación totalmente opuesta: se le intervienen a un sujeto la cantidad de 54 pastillas de MDMA. La Audiencia Provincial absuelve al individuo por entender que se encuentra ante un caso de consumo propio, y el Ministerio Fiscal recurre al Supremo para que éste, finalmente, case la sentencia</w:t>
      </w:r>
      <w:r w:rsidR="006F195C">
        <w:rPr>
          <w:rFonts w:ascii="Times New Roman" w:hAnsi="Times New Roman" w:cs="Times New Roman"/>
          <w:sz w:val="24"/>
          <w:szCs w:val="24"/>
        </w:rPr>
        <w:t>, pero le da</w:t>
      </w:r>
      <w:r w:rsidRPr="001A40D0">
        <w:rPr>
          <w:rFonts w:ascii="Times New Roman" w:hAnsi="Times New Roman" w:cs="Times New Roman"/>
          <w:sz w:val="24"/>
          <w:szCs w:val="24"/>
        </w:rPr>
        <w:t xml:space="preserve"> la razón a la misma Audiencia. Su fundamentación se basa en que: “</w:t>
      </w:r>
      <w:r w:rsidRPr="001A40D0">
        <w:rPr>
          <w:rFonts w:ascii="Times New Roman" w:hAnsi="Times New Roman" w:cs="Times New Roman"/>
          <w:i/>
          <w:sz w:val="24"/>
          <w:szCs w:val="24"/>
        </w:rPr>
        <w:t>operando sobre la condición de autoconsumidor del acusado y la circunstancia de no hallarse en su poder al ser detenido cantidad alguna de dinero, activa el principio in dubio</w:t>
      </w:r>
      <w:r w:rsidRPr="001A40D0">
        <w:rPr>
          <w:rFonts w:ascii="Times New Roman" w:hAnsi="Times New Roman" w:cs="Times New Roman"/>
          <w:sz w:val="24"/>
          <w:szCs w:val="24"/>
        </w:rPr>
        <w:t xml:space="preserve"> </w:t>
      </w:r>
      <w:r w:rsidRPr="001A40D0">
        <w:rPr>
          <w:rFonts w:ascii="Times New Roman" w:hAnsi="Times New Roman" w:cs="Times New Roman"/>
          <w:i/>
          <w:sz w:val="24"/>
          <w:szCs w:val="24"/>
        </w:rPr>
        <w:t>pro reo para justificar su decisión. La conocida y perfecta compatibilidad de la adicción con el tráfico de drogas cancela el poder exculpatorio de los contraindicios que supone el autoconsumo y la no ocupación del metálico, dada la cantidad de éxtasis (MDMA) hallada en poder del acusado</w:t>
      </w:r>
      <w:r w:rsidRPr="001A40D0">
        <w:rPr>
          <w:rFonts w:ascii="Times New Roman" w:hAnsi="Times New Roman" w:cs="Times New Roman"/>
          <w:sz w:val="24"/>
          <w:szCs w:val="24"/>
        </w:rPr>
        <w:t>”.</w:t>
      </w:r>
    </w:p>
    <w:p w:rsidR="001A40D0" w:rsidRDefault="001A40D0" w:rsidP="001A40D0">
      <w:pPr>
        <w:ind w:left="360"/>
        <w:rPr>
          <w:rFonts w:ascii="Times New Roman" w:hAnsi="Times New Roman" w:cs="Times New Roman"/>
          <w:sz w:val="24"/>
          <w:szCs w:val="24"/>
        </w:rPr>
      </w:pPr>
      <w:r w:rsidRPr="001A40D0">
        <w:rPr>
          <w:rFonts w:ascii="Times New Roman" w:hAnsi="Times New Roman" w:cs="Times New Roman"/>
          <w:sz w:val="24"/>
          <w:szCs w:val="24"/>
        </w:rPr>
        <w:t>En relación con el caso anterior, resulta el supuesto en el que a un sujeto se le aprehenden 10,15 gramos de cocaína y es condenado por la Audiencia Provincial a la pena de tres años de prisión por un delito de tráfico de drogas al concurrir el requisito de que la cantidad ocupada excede del acopio de los 5 días a razón de 1,5 gramos de dosis diaria. La cuestión llega al Alto Tribunal y éste absuelve por entender que:</w:t>
      </w:r>
      <w:r w:rsidRPr="001A40D0">
        <w:t xml:space="preserve"> </w:t>
      </w:r>
      <w:r w:rsidRPr="001A40D0">
        <w:rPr>
          <w:rFonts w:ascii="Times New Roman" w:hAnsi="Times New Roman" w:cs="Times New Roman"/>
          <w:sz w:val="24"/>
          <w:szCs w:val="24"/>
        </w:rPr>
        <w:t>“</w:t>
      </w:r>
      <w:r w:rsidRPr="001A40D0">
        <w:rPr>
          <w:rFonts w:ascii="Times New Roman" w:hAnsi="Times New Roman" w:cs="Times New Roman"/>
          <w:i/>
          <w:sz w:val="24"/>
          <w:szCs w:val="24"/>
        </w:rPr>
        <w:t>Tal cuantía no supera los 5 gramos de sustancia con principio activo. La sentencia recurrida hace amplia cita de sentencias de este Tribunal en que la inferencia del destino ordenado al tráfico se proclama a partir de posesiones de mayores cuantías. La exclusión de tal alternativa se justifica en el caso por dicha resolución recurrida partiendo de la ausencia de prueba de que el acusado consuma a diario cocaína</w:t>
      </w:r>
      <w:r w:rsidRPr="001A40D0">
        <w:rPr>
          <w:rFonts w:ascii="Times New Roman" w:hAnsi="Times New Roman" w:cs="Times New Roman"/>
          <w:sz w:val="24"/>
          <w:szCs w:val="24"/>
        </w:rPr>
        <w:t>”</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2"/>
      </w:r>
    </w:p>
    <w:p w:rsidR="001A40D0" w:rsidRDefault="001A40D0" w:rsidP="001A40D0">
      <w:pPr>
        <w:ind w:left="360"/>
        <w:rPr>
          <w:rFonts w:ascii="Times New Roman" w:hAnsi="Times New Roman" w:cs="Times New Roman"/>
          <w:sz w:val="24"/>
          <w:szCs w:val="24"/>
        </w:rPr>
      </w:pPr>
    </w:p>
    <w:p w:rsidR="001A40D0" w:rsidRDefault="001A40D0" w:rsidP="001A40D0">
      <w:pPr>
        <w:ind w:left="360"/>
        <w:rPr>
          <w:rFonts w:ascii="Times New Roman" w:hAnsi="Times New Roman" w:cs="Times New Roman"/>
          <w:sz w:val="24"/>
          <w:szCs w:val="24"/>
        </w:rPr>
      </w:pPr>
      <w:r w:rsidRPr="001A40D0">
        <w:rPr>
          <w:rFonts w:ascii="Times New Roman" w:hAnsi="Times New Roman" w:cs="Times New Roman"/>
          <w:sz w:val="24"/>
          <w:szCs w:val="24"/>
        </w:rPr>
        <w:t xml:space="preserve">Como se puede deducir de todo lo expuesto en el caso de posesión de drogas para   autoconsumo o consumo propio, la jurisprudencia es discordante, contradictoria y nada clara, lo que me lleva a pensar que hay que atender al caso concreto de forma muy precisa e incluso inflexible en algunos supuestos. Tiene que quedar marcada la idea de que existe </w:t>
      </w:r>
      <w:r w:rsidRPr="001A40D0">
        <w:rPr>
          <w:rFonts w:ascii="Times New Roman" w:hAnsi="Times New Roman" w:cs="Times New Roman"/>
          <w:sz w:val="24"/>
          <w:szCs w:val="24"/>
        </w:rPr>
        <w:lastRenderedPageBreak/>
        <w:t>una compatibilidad entre la condición de consumidor y el tráfico de drogas, es más, en estos casos la cuantía ha de concebirse de un modo mucho más maleable o flexible, pues nos encontraremos con cantidades mayores pero que coinciden con las características de un consumidor. Bien es cierto que de todo lo declarado hasta ahora, el Tribunal será menos receptivo a apreciar un autoconsumo en personas que, aunque posean pequeñas cantidades de droga  inferiores a las del acopio correspondiente, no sean consumidores, pues la presunción al tráfico y su difusión a terceros puede quedar con este indicio suficientemente acreditada. Y al revés, se podrán encontrar supuestos en los que se rebase ese límite de cantidad acorde con el acopio por demostrar que la persona en este caso sí era consumidor habitual e incluso drogodependiente. Pero a pesar de ello, la jurisprudencia sigue sin mostrar una línea lo suficientemente notoria, máxime teniendo en cuenta el número de sentencias que se acaban de citar.</w:t>
      </w:r>
    </w:p>
    <w:p w:rsidR="001A40D0" w:rsidRDefault="001A40D0" w:rsidP="001A40D0">
      <w:pPr>
        <w:ind w:left="360"/>
        <w:rPr>
          <w:rFonts w:ascii="Times New Roman" w:hAnsi="Times New Roman" w:cs="Times New Roman"/>
          <w:sz w:val="24"/>
          <w:szCs w:val="24"/>
        </w:rPr>
      </w:pPr>
      <w:r w:rsidRPr="001A40D0">
        <w:rPr>
          <w:rFonts w:ascii="Times New Roman" w:hAnsi="Times New Roman" w:cs="Times New Roman"/>
          <w:sz w:val="24"/>
          <w:szCs w:val="24"/>
        </w:rPr>
        <w:t>También, ARÁNGUEZ SÁNCHEZ señala como factor importante “</w:t>
      </w:r>
      <w:r w:rsidRPr="001A40D0">
        <w:rPr>
          <w:rFonts w:ascii="Times New Roman" w:hAnsi="Times New Roman" w:cs="Times New Roman"/>
          <w:i/>
          <w:sz w:val="24"/>
          <w:szCs w:val="24"/>
        </w:rPr>
        <w:t>la oferta de la droga</w:t>
      </w:r>
      <w:r w:rsidRPr="001A40D0">
        <w:rPr>
          <w:rFonts w:ascii="Times New Roman" w:hAnsi="Times New Roman" w:cs="Times New Roman"/>
          <w:sz w:val="24"/>
          <w:szCs w:val="24"/>
        </w:rPr>
        <w:t>”. Pues se ha llegado a interpretar por el Tribunal Supremo, que existen casos de atipicidad cuando un sujeto adquiere mayor cantidades de droga que las permitidas en acopio cuando el precio de la misma es escaso o muy barato y el sujeto se desplaza para adquirirlas, pues su justificación es un acopio planificado. Y de forma contraria, con cantidades afines, el mismo Tribunal ha condenado por entender que tales cantidades van destinadas al tráfico.</w:t>
      </w:r>
      <w:r>
        <w:rPr>
          <w:rStyle w:val="Refdenotaalpie"/>
          <w:rFonts w:ascii="Times New Roman" w:hAnsi="Times New Roman" w:cs="Times New Roman"/>
          <w:sz w:val="24"/>
          <w:szCs w:val="24"/>
        </w:rPr>
        <w:footnoteReference w:id="53"/>
      </w:r>
    </w:p>
    <w:p w:rsidR="00804B9A" w:rsidRDefault="001A40D0" w:rsidP="00E82EDE">
      <w:pPr>
        <w:ind w:left="360"/>
        <w:rPr>
          <w:rFonts w:ascii="Times New Roman" w:hAnsi="Times New Roman" w:cs="Times New Roman"/>
          <w:sz w:val="24"/>
          <w:szCs w:val="24"/>
        </w:rPr>
      </w:pPr>
      <w:r w:rsidRPr="001A40D0">
        <w:rPr>
          <w:rFonts w:ascii="Times New Roman" w:hAnsi="Times New Roman" w:cs="Times New Roman"/>
          <w:sz w:val="24"/>
          <w:szCs w:val="24"/>
        </w:rPr>
        <w:t>Con respecto al precio de las drogas, me resulta ilustrativo mostrar, el coste de las mismas durante el año 2012 aportado por el Plan Nacional Sobre Drogas, en los que se muestra una clara variación de precio en el mercado de menudeo con referencia a los precios/dosis; precios/gramos y precios/kilo.</w:t>
      </w:r>
      <w:r>
        <w:rPr>
          <w:rStyle w:val="Refdenotaalpie"/>
          <w:rFonts w:ascii="Times New Roman" w:hAnsi="Times New Roman" w:cs="Times New Roman"/>
          <w:sz w:val="24"/>
          <w:szCs w:val="24"/>
        </w:rPr>
        <w:footnoteReference w:id="54"/>
      </w:r>
    </w:p>
    <w:p w:rsidR="00473D7C" w:rsidRDefault="00473D7C" w:rsidP="00E82EDE">
      <w:pPr>
        <w:ind w:left="360"/>
        <w:rPr>
          <w:rFonts w:ascii="Times New Roman" w:hAnsi="Times New Roman" w:cs="Times New Roman"/>
          <w:sz w:val="24"/>
          <w:szCs w:val="24"/>
        </w:rPr>
      </w:pPr>
    </w:p>
    <w:p w:rsidR="00BA48B3" w:rsidRDefault="00BA48B3" w:rsidP="00E82EDE">
      <w:pPr>
        <w:ind w:left="360"/>
        <w:rPr>
          <w:rFonts w:ascii="Times New Roman" w:hAnsi="Times New Roman" w:cs="Times New Roman"/>
          <w:sz w:val="24"/>
          <w:szCs w:val="24"/>
        </w:rPr>
      </w:pPr>
    </w:p>
    <w:p w:rsidR="00EB4A6A" w:rsidRPr="00DF3379" w:rsidRDefault="00EB4A6A" w:rsidP="00EB4A6A">
      <w:pPr>
        <w:pStyle w:val="Ttulo2"/>
        <w:numPr>
          <w:ilvl w:val="1"/>
          <w:numId w:val="9"/>
        </w:numPr>
        <w:rPr>
          <w:rFonts w:ascii="Times New Roman" w:hAnsi="Times New Roman" w:cs="Times New Roman"/>
          <w:sz w:val="24"/>
          <w:szCs w:val="24"/>
        </w:rPr>
      </w:pPr>
      <w:bookmarkStart w:id="41" w:name="_Toc393739399"/>
      <w:r w:rsidRPr="00DF3379">
        <w:rPr>
          <w:rFonts w:ascii="Times New Roman" w:hAnsi="Times New Roman" w:cs="Times New Roman"/>
          <w:color w:val="auto"/>
          <w:sz w:val="24"/>
          <w:szCs w:val="24"/>
        </w:rPr>
        <w:t>Autoconsumo compartido</w:t>
      </w:r>
      <w:bookmarkEnd w:id="41"/>
    </w:p>
    <w:p w:rsidR="00EB4A6A" w:rsidRDefault="00EB4A6A" w:rsidP="00E82EDE">
      <w:pPr>
        <w:ind w:left="360"/>
        <w:rPr>
          <w:rFonts w:ascii="Times New Roman" w:hAnsi="Times New Roman" w:cs="Times New Roman"/>
          <w:sz w:val="24"/>
          <w:szCs w:val="24"/>
        </w:rPr>
      </w:pPr>
      <w:r w:rsidRPr="00EB4A6A">
        <w:rPr>
          <w:rFonts w:ascii="Times New Roman" w:hAnsi="Times New Roman" w:cs="Times New Roman"/>
          <w:sz w:val="24"/>
          <w:szCs w:val="24"/>
        </w:rPr>
        <w:t xml:space="preserve">Este tipo de conducta se puede llegar a entablar dentro de las de autoconsumo propio como una modalidad derivada de ésta. El autoconsumo compartido hace referencia a la posesión de drogas o estupefacientes para consumirlas de forma grupal (entre amigos, con la pareja, compañeros de piso, en una fiesta…). Si bien es cierto que el autoconsumo propio, si queda probado, es impune o atípico, también el consumo compartido lo es, pues </w:t>
      </w:r>
      <w:r w:rsidRPr="00EB4A6A">
        <w:rPr>
          <w:rFonts w:ascii="Times New Roman" w:hAnsi="Times New Roman" w:cs="Times New Roman"/>
          <w:sz w:val="24"/>
          <w:szCs w:val="24"/>
        </w:rPr>
        <w:lastRenderedPageBreak/>
        <w:t>lo que caracteriza a este tipo de comportamiento es la invitación o donación que se hace entre varios sujetos a modo de cortesía, sin que exista de por medio ninguna forma de remuneración, y por supuesto, se de una cantidad mínima. Esa cantidad mínima es la misma que figura en la tabla planteada en el punto anterior: la procedente del Instituto Nacional de Toxicología con fecha de 18 de octubre de 2001, por lo que el montante o la cantidad total que se incaute, deberá de ser dividida entre el número de miembros para poder apreciar que ciertamente existe un consumo compartido o colectivo, y por tanto, se deviene en atípica. Aparece la figura del “servidor de la posesión</w:t>
      </w:r>
      <w:r>
        <w:rPr>
          <w:rFonts w:ascii="Times New Roman" w:hAnsi="Times New Roman" w:cs="Times New Roman"/>
          <w:sz w:val="24"/>
          <w:szCs w:val="24"/>
        </w:rPr>
        <w:t>”,</w:t>
      </w:r>
      <w:r>
        <w:rPr>
          <w:rStyle w:val="Refdenotaalpie"/>
          <w:rFonts w:ascii="Times New Roman" w:hAnsi="Times New Roman" w:cs="Times New Roman"/>
          <w:sz w:val="24"/>
          <w:szCs w:val="24"/>
        </w:rPr>
        <w:footnoteReference w:id="55"/>
      </w:r>
      <w:r w:rsidRPr="00EB4A6A">
        <w:t xml:space="preserve"> </w:t>
      </w:r>
      <w:r w:rsidRPr="00EB4A6A">
        <w:rPr>
          <w:rFonts w:ascii="Times New Roman" w:hAnsi="Times New Roman" w:cs="Times New Roman"/>
          <w:sz w:val="24"/>
          <w:szCs w:val="24"/>
        </w:rPr>
        <w:t>definido como la persona que se encarga de ir a adquirir las sustancias con el fondo de dinero común que han puesto el resto de acompañantes para consumir tales productos ilegales.</w:t>
      </w:r>
    </w:p>
    <w:p w:rsidR="00EB4A6A" w:rsidRDefault="00EB4A6A" w:rsidP="00E82EDE">
      <w:pPr>
        <w:ind w:left="360"/>
        <w:rPr>
          <w:rFonts w:ascii="Times New Roman" w:hAnsi="Times New Roman" w:cs="Times New Roman"/>
          <w:sz w:val="24"/>
          <w:szCs w:val="24"/>
        </w:rPr>
      </w:pPr>
      <w:r w:rsidRPr="00EB4A6A">
        <w:rPr>
          <w:rFonts w:ascii="Times New Roman" w:hAnsi="Times New Roman" w:cs="Times New Roman"/>
          <w:sz w:val="24"/>
          <w:szCs w:val="24"/>
        </w:rPr>
        <w:t>No obstante, la jurisprudencia del Tribunal Supremo delimita este ámbito exigiendo el cumplimiento de una serie de requisitos para lograr la impunidad de la conducta: “</w:t>
      </w:r>
      <w:r w:rsidRPr="00EB4A6A">
        <w:rPr>
          <w:rFonts w:ascii="Times New Roman" w:hAnsi="Times New Roman" w:cs="Times New Roman"/>
          <w:i/>
          <w:sz w:val="24"/>
          <w:szCs w:val="24"/>
        </w:rPr>
        <w:t>A) Los consumidores que se agrupan han de ser adictos, ya que si así no fuera, el grave riesgo de impulsarles al consumo o habituación no podría soslayar la aplicación del artículo 368 del Código Penal. B) El proyectado consumo compartido ha de realizarse en lugar cerrado, y ello en evitación de que terceros desconocidos puedan inmiscuirse y ser partícipes en la distribución o consumo. C) La cantidad de droga programada para la consumición ha de ser insignificante. D) La coparticipación consumista ha de venir referida a un pequeño núcleo de drogodependientes, como acto esporádico e íntimo, sin trascendencia social. E) Los consumidores deber ser personas ciertas y determinadas. F) Ha de tratarse de un consumo inmediato de las sustancias adquiridas.</w:t>
      </w:r>
      <w:r w:rsidRPr="00EB4A6A">
        <w:rPr>
          <w:rFonts w:ascii="Times New Roman" w:hAnsi="Times New Roman" w:cs="Times New Roman"/>
          <w:sz w:val="24"/>
          <w:szCs w:val="24"/>
        </w:rPr>
        <w:t>”</w:t>
      </w:r>
      <w:r>
        <w:rPr>
          <w:rStyle w:val="Refdenotaalpie"/>
          <w:rFonts w:ascii="Times New Roman" w:hAnsi="Times New Roman" w:cs="Times New Roman"/>
          <w:sz w:val="24"/>
          <w:szCs w:val="24"/>
        </w:rPr>
        <w:footnoteReference w:id="56"/>
      </w:r>
    </w:p>
    <w:p w:rsidR="00EB4A6A" w:rsidRDefault="00EB4A6A" w:rsidP="00EB4A6A">
      <w:pPr>
        <w:ind w:left="360"/>
        <w:rPr>
          <w:rFonts w:ascii="Times New Roman" w:hAnsi="Times New Roman" w:cs="Times New Roman"/>
          <w:sz w:val="24"/>
          <w:szCs w:val="24"/>
        </w:rPr>
      </w:pPr>
      <w:r w:rsidRPr="00EB4A6A">
        <w:rPr>
          <w:rFonts w:ascii="Times New Roman" w:hAnsi="Times New Roman" w:cs="Times New Roman"/>
          <w:sz w:val="24"/>
          <w:szCs w:val="24"/>
        </w:rPr>
        <w:t xml:space="preserve">Esta misma sentencia muestra el caso en el que se le decomisan a un número total de seis sujetos 69 comprimidos de MDMA (20.577 mgrs.) y 23.280 mgrs. </w:t>
      </w:r>
      <w:proofErr w:type="gramStart"/>
      <w:r w:rsidRPr="00EB4A6A">
        <w:rPr>
          <w:rFonts w:ascii="Times New Roman" w:hAnsi="Times New Roman" w:cs="Times New Roman"/>
          <w:sz w:val="24"/>
          <w:szCs w:val="24"/>
        </w:rPr>
        <w:t>de</w:t>
      </w:r>
      <w:proofErr w:type="gramEnd"/>
      <w:r w:rsidRPr="00EB4A6A">
        <w:rPr>
          <w:rFonts w:ascii="Times New Roman" w:hAnsi="Times New Roman" w:cs="Times New Roman"/>
          <w:sz w:val="24"/>
          <w:szCs w:val="24"/>
        </w:rPr>
        <w:t xml:space="preserve"> cocaína. Es importante esta sentencia porque, aparte de contener las condiciones para poder apreciar un consumo compartido, implanta la idea de que, a la hora de realizar las correspondientes fracciones entre los seis miembros de grupo, hay que tomar la sustancia pura, es decir, reducida a pureza para poder apreciar dicho consumo en grupo. Si la cantidad aprehendida no hubiera sido pura, las cantidades pasarían, evidentemente, el límite del autoconsumo penando tal conducta, por lo que la distinción es vitalísima. </w:t>
      </w:r>
    </w:p>
    <w:p w:rsidR="00EB4A6A" w:rsidRPr="00EB4A6A" w:rsidRDefault="00EB4A6A" w:rsidP="00EB4A6A">
      <w:pPr>
        <w:ind w:left="360"/>
        <w:rPr>
          <w:rFonts w:ascii="Times New Roman" w:hAnsi="Times New Roman" w:cs="Times New Roman"/>
          <w:sz w:val="24"/>
          <w:szCs w:val="24"/>
        </w:rPr>
      </w:pPr>
    </w:p>
    <w:p w:rsidR="00EB4A6A" w:rsidRDefault="00EB4A6A" w:rsidP="00EB4A6A">
      <w:pPr>
        <w:ind w:left="360"/>
        <w:rPr>
          <w:rFonts w:ascii="Times New Roman" w:hAnsi="Times New Roman" w:cs="Times New Roman"/>
          <w:sz w:val="24"/>
          <w:szCs w:val="24"/>
        </w:rPr>
      </w:pPr>
      <w:r w:rsidRPr="00EB4A6A">
        <w:rPr>
          <w:rFonts w:ascii="Times New Roman" w:hAnsi="Times New Roman" w:cs="Times New Roman"/>
          <w:sz w:val="24"/>
          <w:szCs w:val="24"/>
        </w:rPr>
        <w:t xml:space="preserve">En contraposición, </w:t>
      </w:r>
      <w:r w:rsidRPr="00EB4A6A">
        <w:rPr>
          <w:rFonts w:ascii="Times New Roman" w:hAnsi="Times New Roman" w:cs="Times New Roman"/>
          <w:b/>
          <w:sz w:val="24"/>
          <w:szCs w:val="24"/>
        </w:rPr>
        <w:t>la STS 6824/2009 de 11 de noviembre</w:t>
      </w:r>
      <w:r w:rsidRPr="00EB4A6A">
        <w:rPr>
          <w:rFonts w:ascii="Times New Roman" w:hAnsi="Times New Roman" w:cs="Times New Roman"/>
          <w:sz w:val="24"/>
          <w:szCs w:val="24"/>
        </w:rPr>
        <w:t xml:space="preserve">, condena a dos individuos por delito de tráfico de drogas porque uno de ellos tenía en su poder la cantidad de 178 </w:t>
      </w:r>
      <w:r w:rsidRPr="00EB4A6A">
        <w:rPr>
          <w:rFonts w:ascii="Times New Roman" w:hAnsi="Times New Roman" w:cs="Times New Roman"/>
          <w:sz w:val="24"/>
          <w:szCs w:val="24"/>
        </w:rPr>
        <w:lastRenderedPageBreak/>
        <w:t>pastillas de MDMA (éxtasis) con la intención de distribuirla y consumirlas entre todos los ocupantes de un autobús. El Alto Tribunal condena por entender, que no concurre ni queda acreditado que todos los partícipes que viajaran en el autobús pusieran ese fondo común para adquirir la sustancia, ni  que todos y cada uno de los viajantes fueran adictos o al menos consumidores de fin de semana.</w:t>
      </w:r>
    </w:p>
    <w:p w:rsidR="00EB4A6A" w:rsidRPr="00E82EDE" w:rsidRDefault="00EB4A6A" w:rsidP="00E82EDE">
      <w:pPr>
        <w:ind w:left="360"/>
        <w:rPr>
          <w:rFonts w:ascii="Times New Roman" w:hAnsi="Times New Roman" w:cs="Times New Roman"/>
          <w:sz w:val="24"/>
          <w:szCs w:val="24"/>
        </w:rPr>
      </w:pPr>
    </w:p>
    <w:p w:rsidR="00804B9A" w:rsidRPr="00DF3379" w:rsidRDefault="00DF3379" w:rsidP="00804B9A">
      <w:pPr>
        <w:pStyle w:val="Ttulo1"/>
        <w:numPr>
          <w:ilvl w:val="0"/>
          <w:numId w:val="9"/>
        </w:numPr>
        <w:rPr>
          <w:rFonts w:ascii="Times New Roman" w:hAnsi="Times New Roman" w:cs="Times New Roman"/>
          <w:sz w:val="24"/>
          <w:szCs w:val="24"/>
        </w:rPr>
      </w:pPr>
      <w:r>
        <w:t xml:space="preserve"> </w:t>
      </w:r>
      <w:bookmarkStart w:id="42" w:name="_Toc393739400"/>
      <w:r w:rsidRPr="00DF3379">
        <w:rPr>
          <w:rFonts w:ascii="Times New Roman" w:hAnsi="Times New Roman" w:cs="Times New Roman"/>
          <w:color w:val="auto"/>
          <w:sz w:val="24"/>
          <w:szCs w:val="24"/>
        </w:rPr>
        <w:t>LA IMPOTANCIA DE LA CA</w:t>
      </w:r>
      <w:r w:rsidR="00804B9A" w:rsidRPr="00DF3379">
        <w:rPr>
          <w:rFonts w:ascii="Times New Roman" w:hAnsi="Times New Roman" w:cs="Times New Roman"/>
          <w:color w:val="auto"/>
          <w:sz w:val="24"/>
          <w:szCs w:val="24"/>
        </w:rPr>
        <w:t>NTIDAD. NOTORIA IMPORTANCIA Y EXTREMA GRAVEDAD</w:t>
      </w:r>
      <w:bookmarkEnd w:id="42"/>
    </w:p>
    <w:p w:rsidR="00804B9A" w:rsidRPr="00484AA7" w:rsidRDefault="00804B9A" w:rsidP="00484AA7">
      <w:pPr>
        <w:rPr>
          <w:rFonts w:ascii="Times New Roman" w:hAnsi="Times New Roman" w:cs="Times New Roman"/>
          <w:sz w:val="24"/>
          <w:szCs w:val="24"/>
        </w:rPr>
      </w:pPr>
      <w:r w:rsidRPr="00484AA7">
        <w:rPr>
          <w:rFonts w:ascii="Times New Roman" w:hAnsi="Times New Roman" w:cs="Times New Roman"/>
          <w:sz w:val="24"/>
          <w:szCs w:val="24"/>
        </w:rPr>
        <w:t>Cuando analicé la relevancia que tiene este tipo de delitos con vistas a analizar la pureza, ya hice mención sobre lo que es la notoria importancia. En este último punto voy a hacer  una breve referencia a lo que se estipula en los artículos 369 y 370 en relación a la cantidad.</w:t>
      </w:r>
    </w:p>
    <w:p w:rsidR="00804B9A" w:rsidRDefault="00804B9A" w:rsidP="00804B9A">
      <w:pPr>
        <w:pStyle w:val="Prrafodelista"/>
        <w:ind w:left="360"/>
        <w:rPr>
          <w:rFonts w:ascii="Times New Roman" w:hAnsi="Times New Roman" w:cs="Times New Roman"/>
          <w:sz w:val="24"/>
          <w:szCs w:val="24"/>
        </w:rPr>
      </w:pPr>
    </w:p>
    <w:p w:rsidR="00804B9A" w:rsidRPr="00484AA7" w:rsidRDefault="00804B9A" w:rsidP="00484AA7">
      <w:pPr>
        <w:rPr>
          <w:rFonts w:ascii="Times New Roman" w:hAnsi="Times New Roman" w:cs="Times New Roman"/>
          <w:sz w:val="24"/>
          <w:szCs w:val="24"/>
        </w:rPr>
      </w:pPr>
      <w:r w:rsidRPr="00484AA7">
        <w:rPr>
          <w:rFonts w:ascii="Times New Roman" w:hAnsi="Times New Roman" w:cs="Times New Roman"/>
          <w:sz w:val="24"/>
          <w:szCs w:val="24"/>
        </w:rPr>
        <w:t>El tipo del 369 contiene lo que podemos llamar agravaciones que se ven reflejadas en un aumento de la pena y multa del tipo base (penas superior en grado y multas del tanto al cuádruplo) si se llegan a dar algunas de las circunstancias que el artículo enumera. En este caso me voy  a centrar en la contemplada en el párrafo quinto de tal precepto: “</w:t>
      </w:r>
      <w:r w:rsidRPr="00484AA7">
        <w:rPr>
          <w:rFonts w:ascii="Times New Roman" w:hAnsi="Times New Roman" w:cs="Times New Roman"/>
          <w:i/>
          <w:sz w:val="24"/>
          <w:szCs w:val="24"/>
        </w:rPr>
        <w:t>fuere de notoria importancia la cantidad de las citadas sustancias objeto de las conductas a que se refiere el artículo anterior</w:t>
      </w:r>
      <w:r w:rsidRPr="00484AA7">
        <w:rPr>
          <w:rFonts w:ascii="Times New Roman" w:hAnsi="Times New Roman" w:cs="Times New Roman"/>
          <w:sz w:val="24"/>
          <w:szCs w:val="24"/>
        </w:rPr>
        <w:t>”</w:t>
      </w:r>
      <w:r>
        <w:rPr>
          <w:rStyle w:val="Refdenotaalpie"/>
          <w:rFonts w:ascii="Times New Roman" w:hAnsi="Times New Roman" w:cs="Times New Roman"/>
          <w:sz w:val="24"/>
          <w:szCs w:val="24"/>
        </w:rPr>
        <w:footnoteReference w:id="57"/>
      </w:r>
      <w:r w:rsidRPr="00484AA7">
        <w:rPr>
          <w:rFonts w:ascii="Times New Roman" w:hAnsi="Times New Roman" w:cs="Times New Roman"/>
          <w:sz w:val="24"/>
          <w:szCs w:val="24"/>
        </w:rPr>
        <w:t>. En este caso la penalidad corresponde a un mayor riesgo para la salud pública, pues hablamos ya de cantidades que superan con creces las contempladas en el tipo básico. Por esa razón y por el mayor riesgo de difusión y afectación hacia un mayor número de personas, se hace necesario el traslado de las conductas más graves a este artículo.</w:t>
      </w:r>
    </w:p>
    <w:p w:rsidR="00804B9A" w:rsidRDefault="00804B9A" w:rsidP="00804B9A">
      <w:pPr>
        <w:pStyle w:val="Prrafodelista"/>
        <w:ind w:left="360"/>
        <w:rPr>
          <w:rFonts w:ascii="Times New Roman" w:hAnsi="Times New Roman" w:cs="Times New Roman"/>
          <w:sz w:val="24"/>
          <w:szCs w:val="24"/>
        </w:rPr>
      </w:pPr>
    </w:p>
    <w:p w:rsidR="00484AA7" w:rsidRDefault="00804B9A" w:rsidP="00484AA7">
      <w:pPr>
        <w:rPr>
          <w:rFonts w:ascii="Times New Roman" w:hAnsi="Times New Roman" w:cs="Times New Roman"/>
          <w:sz w:val="24"/>
          <w:szCs w:val="24"/>
        </w:rPr>
      </w:pPr>
      <w:r w:rsidRPr="00484AA7">
        <w:rPr>
          <w:rFonts w:ascii="Times New Roman" w:hAnsi="Times New Roman" w:cs="Times New Roman"/>
          <w:sz w:val="24"/>
          <w:szCs w:val="24"/>
        </w:rPr>
        <w:t>El Gabinete Técnico del Tribunal Supremo el día 19 de octubre del año 2001 acuerda lo que se expone:</w:t>
      </w:r>
    </w:p>
    <w:p w:rsidR="00804B9A" w:rsidRPr="00484AA7" w:rsidRDefault="00804B9A" w:rsidP="00484AA7">
      <w:pPr>
        <w:rPr>
          <w:rFonts w:ascii="Times New Roman" w:hAnsi="Times New Roman" w:cs="Times New Roman"/>
          <w:i/>
          <w:sz w:val="24"/>
          <w:szCs w:val="24"/>
        </w:rPr>
      </w:pPr>
      <w:r w:rsidRPr="00484AA7">
        <w:rPr>
          <w:rFonts w:ascii="Times New Roman" w:hAnsi="Times New Roman" w:cs="Times New Roman"/>
          <w:sz w:val="24"/>
          <w:szCs w:val="24"/>
        </w:rPr>
        <w:t xml:space="preserve"> “</w:t>
      </w:r>
      <w:r w:rsidRPr="00484AA7">
        <w:rPr>
          <w:rFonts w:ascii="Times New Roman" w:hAnsi="Times New Roman" w:cs="Times New Roman"/>
          <w:i/>
          <w:sz w:val="24"/>
          <w:szCs w:val="24"/>
        </w:rPr>
        <w:t xml:space="preserve">1. La agravante específica de cantidad de notoria importancia de drogas tóxicas, estupefacientes o sustancias psicotrópicas, prevista en el número 3º del artículo 369 del código penal, se determina a partir de las quinientas dosis referidas al consumo diario que aparece actualizado en el informe del Instituto Nacional de Toxicología de 18 de Octubre de 2001”. </w:t>
      </w:r>
    </w:p>
    <w:p w:rsidR="00804B9A" w:rsidRDefault="00804B9A" w:rsidP="00484AA7">
      <w:pPr>
        <w:pStyle w:val="Prrafodelista"/>
        <w:ind w:left="0"/>
        <w:rPr>
          <w:rFonts w:ascii="Times New Roman" w:hAnsi="Times New Roman" w:cs="Times New Roman"/>
          <w:i/>
          <w:sz w:val="24"/>
          <w:szCs w:val="24"/>
        </w:rPr>
      </w:pPr>
      <w:r>
        <w:rPr>
          <w:rFonts w:ascii="Times New Roman" w:hAnsi="Times New Roman" w:cs="Times New Roman"/>
          <w:i/>
          <w:sz w:val="24"/>
          <w:szCs w:val="24"/>
        </w:rPr>
        <w:lastRenderedPageBreak/>
        <w:t>2. Para la concreción de la agravante de cantidad de notoria importancia se mantendrá el criterio seguido por esta Sala de tener exclusivamente en cuenta la sustancia base o tóxica, esto es reducida a pureza, con la salvedad del hachís y de sus derivados”.</w:t>
      </w:r>
    </w:p>
    <w:p w:rsidR="00804B9A" w:rsidRPr="00484AA7" w:rsidRDefault="00804B9A" w:rsidP="00484AA7">
      <w:pPr>
        <w:rPr>
          <w:rFonts w:ascii="Times New Roman" w:hAnsi="Times New Roman" w:cs="Times New Roman"/>
          <w:i/>
          <w:sz w:val="24"/>
          <w:szCs w:val="24"/>
        </w:rPr>
      </w:pPr>
      <w:r w:rsidRPr="00484AA7">
        <w:rPr>
          <w:rFonts w:ascii="Times New Roman" w:hAnsi="Times New Roman" w:cs="Times New Roman"/>
          <w:i/>
          <w:sz w:val="24"/>
          <w:szCs w:val="24"/>
        </w:rPr>
        <w:t>3. No procederá la revisión de las sentencias firmes, sin perjuicio de que se informen favorablemente las solicitudes del indulto para que las condenas se correspondan a lo que resulta del presente acuerdo.</w:t>
      </w:r>
    </w:p>
    <w:p w:rsidR="00804B9A" w:rsidRPr="00484AA7" w:rsidRDefault="00804B9A" w:rsidP="00484AA7">
      <w:pPr>
        <w:rPr>
          <w:rFonts w:ascii="Times New Roman" w:hAnsi="Times New Roman" w:cs="Times New Roman"/>
          <w:sz w:val="24"/>
          <w:szCs w:val="24"/>
        </w:rPr>
      </w:pPr>
      <w:r w:rsidRPr="00484AA7">
        <w:rPr>
          <w:rFonts w:ascii="Times New Roman" w:hAnsi="Times New Roman" w:cs="Times New Roman"/>
          <w:i/>
          <w:sz w:val="24"/>
          <w:szCs w:val="24"/>
        </w:rPr>
        <w:t>4. Para facilitar la aplicación de esta agravante específica, según lo acordado, se acompaña un cuadro- sobre la base del remitido por el Instituto Nacional de toxicología- en el que se determinan las cantidades que resultan de las quinientas dosis, atendido el consumo diario estimado, de acuerdo con el informe de dicho instituto”.</w:t>
      </w:r>
      <w:r w:rsidRPr="00553BD9">
        <w:rPr>
          <w:rStyle w:val="Refdenotaalpie"/>
          <w:rFonts w:ascii="Times New Roman" w:hAnsi="Times New Roman" w:cs="Times New Roman"/>
          <w:sz w:val="24"/>
          <w:szCs w:val="24"/>
        </w:rPr>
        <w:footnoteReference w:id="58"/>
      </w:r>
      <w:r w:rsidRPr="00484AA7">
        <w:rPr>
          <w:rFonts w:ascii="Times New Roman" w:hAnsi="Times New Roman" w:cs="Times New Roman"/>
          <w:sz w:val="24"/>
          <w:szCs w:val="24"/>
        </w:rPr>
        <w:t xml:space="preserve"> </w:t>
      </w:r>
    </w:p>
    <w:p w:rsidR="00804B9A" w:rsidRDefault="00804B9A" w:rsidP="00804B9A">
      <w:pPr>
        <w:pStyle w:val="Prrafodelista"/>
        <w:ind w:left="360"/>
        <w:rPr>
          <w:rFonts w:ascii="Times New Roman" w:hAnsi="Times New Roman" w:cs="Times New Roman"/>
          <w:sz w:val="24"/>
          <w:szCs w:val="24"/>
        </w:rPr>
      </w:pPr>
    </w:p>
    <w:p w:rsidR="00804B9A" w:rsidRDefault="00804B9A" w:rsidP="00484AA7">
      <w:pPr>
        <w:pStyle w:val="Prrafodelista"/>
        <w:ind w:left="0"/>
        <w:rPr>
          <w:rFonts w:ascii="Times New Roman" w:hAnsi="Times New Roman" w:cs="Times New Roman"/>
          <w:sz w:val="24"/>
          <w:szCs w:val="24"/>
        </w:rPr>
      </w:pPr>
      <w:r>
        <w:rPr>
          <w:rFonts w:ascii="Times New Roman" w:hAnsi="Times New Roman" w:cs="Times New Roman"/>
          <w:sz w:val="24"/>
          <w:szCs w:val="24"/>
        </w:rPr>
        <w:t>A modo ejemplificativo voy a ilustrar con un cuadro algunas de las sustancias más frecuentes donde se reflejan las cantidades de notoria importancia:</w:t>
      </w:r>
    </w:p>
    <w:p w:rsidR="00804B9A" w:rsidRDefault="00804B9A" w:rsidP="00804B9A">
      <w:pPr>
        <w:pStyle w:val="Prrafodelista"/>
        <w:ind w:left="360"/>
        <w:rPr>
          <w:rFonts w:ascii="Times New Roman" w:hAnsi="Times New Roman" w:cs="Times New Roman"/>
          <w:sz w:val="24"/>
          <w:szCs w:val="24"/>
        </w:rPr>
      </w:pPr>
    </w:p>
    <w:p w:rsidR="00804B9A" w:rsidRDefault="00804B9A" w:rsidP="00804B9A">
      <w:pPr>
        <w:pStyle w:val="Prrafodelista"/>
        <w:ind w:left="360"/>
        <w:rPr>
          <w:rFonts w:ascii="Times New Roman" w:hAnsi="Times New Roman" w:cs="Times New Roman"/>
          <w:sz w:val="24"/>
          <w:szCs w:val="24"/>
        </w:rPr>
      </w:pPr>
    </w:p>
    <w:p w:rsidR="00804B9A" w:rsidRPr="00A4188C" w:rsidRDefault="00195871" w:rsidP="00804B9A">
      <w:pPr>
        <w:pStyle w:val="Prrafodelista"/>
        <w:ind w:left="360"/>
        <w:rPr>
          <w:rFonts w:ascii="Times New Roman" w:hAnsi="Times New Roman" w:cs="Times New Roman"/>
          <w:sz w:val="24"/>
          <w:szCs w:val="24"/>
        </w:rPr>
      </w:pPr>
      <w:r>
        <w:rPr>
          <w:rFonts w:ascii="Times New Roman" w:hAnsi="Times New Roman" w:cs="Times New Roman"/>
          <w:b/>
          <w:sz w:val="24"/>
          <w:szCs w:val="24"/>
        </w:rPr>
        <w:t xml:space="preserve">Tabla fijada en el </w:t>
      </w:r>
      <w:r w:rsidRPr="00195871">
        <w:rPr>
          <w:rFonts w:ascii="Times New Roman" w:hAnsi="Times New Roman" w:cs="Times New Roman"/>
          <w:b/>
          <w:sz w:val="24"/>
          <w:szCs w:val="24"/>
        </w:rPr>
        <w:t>Acuerdo del Pleno no Jurisd</w:t>
      </w:r>
      <w:r w:rsidR="00FB14A6">
        <w:rPr>
          <w:rFonts w:ascii="Times New Roman" w:hAnsi="Times New Roman" w:cs="Times New Roman"/>
          <w:b/>
          <w:sz w:val="24"/>
          <w:szCs w:val="24"/>
        </w:rPr>
        <w:t xml:space="preserve">iccional de la Sala Segunda del </w:t>
      </w:r>
      <w:r w:rsidRPr="00195871">
        <w:rPr>
          <w:rFonts w:ascii="Times New Roman" w:hAnsi="Times New Roman" w:cs="Times New Roman"/>
          <w:b/>
          <w:sz w:val="24"/>
          <w:szCs w:val="24"/>
        </w:rPr>
        <w:t>Tribunal Supremo, de 19 de Octubre de 2001</w:t>
      </w:r>
      <w:r>
        <w:rPr>
          <w:rFonts w:ascii="Times New Roman" w:hAnsi="Times New Roman" w:cs="Times New Roman"/>
          <w:b/>
          <w:sz w:val="24"/>
          <w:szCs w:val="24"/>
        </w:rPr>
        <w:t xml:space="preserve"> a través del Instituto Nacional de Toxicología.</w:t>
      </w:r>
    </w:p>
    <w:tbl>
      <w:tblPr>
        <w:tblStyle w:val="Tablaconcuadrcula"/>
        <w:tblW w:w="0" w:type="auto"/>
        <w:tblBorders>
          <w:top w:val="thinThickSmallGap" w:sz="24" w:space="0" w:color="auto"/>
          <w:left w:val="thinThickSmallGap" w:sz="24" w:space="0" w:color="auto"/>
          <w:bottom w:val="thinThickSmallGap" w:sz="24" w:space="0" w:color="auto"/>
          <w:right w:val="thinThickSmallGap" w:sz="24" w:space="0" w:color="auto"/>
        </w:tblBorders>
        <w:tblLayout w:type="fixed"/>
        <w:tblLook w:val="04A0" w:firstRow="1" w:lastRow="0" w:firstColumn="1" w:lastColumn="0" w:noHBand="0" w:noVBand="1"/>
      </w:tblPr>
      <w:tblGrid>
        <w:gridCol w:w="2432"/>
        <w:gridCol w:w="2325"/>
        <w:gridCol w:w="2375"/>
        <w:gridCol w:w="2154"/>
      </w:tblGrid>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SUSTANCIA</w:t>
            </w:r>
          </w:p>
        </w:tc>
        <w:tc>
          <w:tcPr>
            <w:tcW w:w="2325"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NOMBRES ALTERNATIVOS O COMERCIALES</w:t>
            </w:r>
          </w:p>
        </w:tc>
        <w:tc>
          <w:tcPr>
            <w:tcW w:w="2375"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 xml:space="preserve">FISCALIZACION </w:t>
            </w:r>
          </w:p>
        </w:tc>
        <w:tc>
          <w:tcPr>
            <w:tcW w:w="2154"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CANTIDAD DE NOTORIA IMPORTANCIA</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HEROÍNA</w:t>
            </w:r>
          </w:p>
        </w:tc>
        <w:tc>
          <w:tcPr>
            <w:tcW w:w="232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CABALLO</w:t>
            </w:r>
          </w:p>
        </w:tc>
        <w:tc>
          <w:tcPr>
            <w:tcW w:w="237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LISTA I Y IV DEL C.U. DE 1961</w:t>
            </w:r>
          </w:p>
        </w:tc>
        <w:tc>
          <w:tcPr>
            <w:tcW w:w="2154"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300 GRAMOS</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COCAÍNA</w:t>
            </w:r>
          </w:p>
        </w:tc>
        <w:tc>
          <w:tcPr>
            <w:tcW w:w="2325" w:type="dxa"/>
          </w:tcPr>
          <w:p w:rsidR="00804B9A"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NIEVE, PERICO</w:t>
            </w:r>
          </w:p>
        </w:tc>
        <w:tc>
          <w:tcPr>
            <w:tcW w:w="2375" w:type="dxa"/>
          </w:tcPr>
          <w:p w:rsidR="00804B9A"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LISTA I DEL C.U. 1961</w:t>
            </w:r>
          </w:p>
        </w:tc>
        <w:tc>
          <w:tcPr>
            <w:tcW w:w="2154" w:type="dxa"/>
          </w:tcPr>
          <w:p w:rsidR="00804B9A"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750 GRAMOS</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MARIHUANA</w:t>
            </w:r>
          </w:p>
        </w:tc>
        <w:tc>
          <w:tcPr>
            <w:tcW w:w="232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HIERBA, MARÍA</w:t>
            </w:r>
          </w:p>
        </w:tc>
        <w:tc>
          <w:tcPr>
            <w:tcW w:w="237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LISTA I Y IV DEL C.U. DE 1961/ LISTA II C. VIENA 1971</w:t>
            </w:r>
          </w:p>
        </w:tc>
        <w:tc>
          <w:tcPr>
            <w:tcW w:w="2154"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10 KG.</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HACHÍS</w:t>
            </w:r>
          </w:p>
        </w:tc>
        <w:tc>
          <w:tcPr>
            <w:tcW w:w="232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CHOCOLATE</w:t>
            </w:r>
          </w:p>
        </w:tc>
        <w:tc>
          <w:tcPr>
            <w:tcW w:w="237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LISTA I Y IV DEL C.U. DE 1961/ LISTA II C. VIENA 1971</w:t>
            </w:r>
          </w:p>
        </w:tc>
        <w:tc>
          <w:tcPr>
            <w:tcW w:w="2154"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2,5 KG.</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ACEÍTE DE HACHÍS</w:t>
            </w:r>
          </w:p>
        </w:tc>
        <w:tc>
          <w:tcPr>
            <w:tcW w:w="2325" w:type="dxa"/>
          </w:tcPr>
          <w:p w:rsidR="00804B9A" w:rsidRPr="002A4D16" w:rsidRDefault="00804B9A" w:rsidP="00537449">
            <w:pPr>
              <w:pStyle w:val="Prrafodelista"/>
              <w:ind w:left="0"/>
              <w:jc w:val="center"/>
              <w:rPr>
                <w:rFonts w:ascii="Times New Roman" w:hAnsi="Times New Roman" w:cs="Times New Roman"/>
                <w:sz w:val="24"/>
                <w:szCs w:val="24"/>
              </w:rPr>
            </w:pPr>
          </w:p>
        </w:tc>
        <w:tc>
          <w:tcPr>
            <w:tcW w:w="237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LISTA I Y IV DEL C.U. DE 1961/ LISTA II C. VIENA 1971</w:t>
            </w:r>
          </w:p>
        </w:tc>
        <w:tc>
          <w:tcPr>
            <w:tcW w:w="2154"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300 GRAMOS</w:t>
            </w:r>
          </w:p>
        </w:tc>
      </w:tr>
      <w:tr w:rsidR="00804B9A" w:rsidRPr="002A4D16"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rPr>
            </w:pPr>
            <w:r w:rsidRPr="00CC0EA9">
              <w:rPr>
                <w:rFonts w:ascii="Times New Roman" w:hAnsi="Times New Roman" w:cs="Times New Roman"/>
                <w:b/>
                <w:sz w:val="24"/>
                <w:szCs w:val="24"/>
              </w:rPr>
              <w:t xml:space="preserve">L.S.D </w:t>
            </w:r>
          </w:p>
        </w:tc>
        <w:tc>
          <w:tcPr>
            <w:tcW w:w="232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TRIPI ÁCIDO</w:t>
            </w:r>
          </w:p>
        </w:tc>
        <w:tc>
          <w:tcPr>
            <w:tcW w:w="2375"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t xml:space="preserve">LISTA I C. VIENA </w:t>
            </w:r>
            <w:r>
              <w:rPr>
                <w:rFonts w:ascii="Times New Roman" w:hAnsi="Times New Roman" w:cs="Times New Roman"/>
                <w:sz w:val="24"/>
                <w:szCs w:val="24"/>
              </w:rPr>
              <w:lastRenderedPageBreak/>
              <w:t>1971</w:t>
            </w:r>
          </w:p>
        </w:tc>
        <w:tc>
          <w:tcPr>
            <w:tcW w:w="2154" w:type="dxa"/>
          </w:tcPr>
          <w:p w:rsidR="00804B9A" w:rsidRPr="002A4D16" w:rsidRDefault="00804B9A" w:rsidP="00537449">
            <w:pPr>
              <w:pStyle w:val="Prrafodelista"/>
              <w:ind w:left="0"/>
              <w:jc w:val="center"/>
              <w:rPr>
                <w:rFonts w:ascii="Times New Roman" w:hAnsi="Times New Roman" w:cs="Times New Roman"/>
                <w:sz w:val="24"/>
                <w:szCs w:val="24"/>
              </w:rPr>
            </w:pPr>
            <w:r>
              <w:rPr>
                <w:rFonts w:ascii="Times New Roman" w:hAnsi="Times New Roman" w:cs="Times New Roman"/>
                <w:sz w:val="24"/>
                <w:szCs w:val="24"/>
              </w:rPr>
              <w:lastRenderedPageBreak/>
              <w:t xml:space="preserve">300 </w:t>
            </w:r>
            <w:r>
              <w:rPr>
                <w:rFonts w:ascii="Times New Roman" w:hAnsi="Times New Roman" w:cs="Times New Roman"/>
                <w:sz w:val="24"/>
                <w:szCs w:val="24"/>
              </w:rPr>
              <w:lastRenderedPageBreak/>
              <w:t>MILIGRAMOS</w:t>
            </w:r>
          </w:p>
        </w:tc>
      </w:tr>
      <w:tr w:rsidR="00804B9A" w:rsidRPr="00CD0AFD"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lang w:val="en-US"/>
              </w:rPr>
            </w:pPr>
            <w:r w:rsidRPr="00CC0EA9">
              <w:rPr>
                <w:rFonts w:ascii="Times New Roman" w:hAnsi="Times New Roman" w:cs="Times New Roman"/>
                <w:b/>
                <w:sz w:val="24"/>
                <w:szCs w:val="24"/>
                <w:lang w:val="en-US"/>
              </w:rPr>
              <w:lastRenderedPageBreak/>
              <w:t>D. METANFETAMINA</w:t>
            </w:r>
          </w:p>
        </w:tc>
        <w:tc>
          <w:tcPr>
            <w:tcW w:w="232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SPEED, TRIPI</w:t>
            </w:r>
          </w:p>
        </w:tc>
        <w:tc>
          <w:tcPr>
            <w:tcW w:w="2375" w:type="dxa"/>
          </w:tcPr>
          <w:p w:rsidR="00804B9A" w:rsidRPr="00CD0AFD" w:rsidRDefault="00804B9A" w:rsidP="00537449">
            <w:pPr>
              <w:pStyle w:val="Prrafodelista"/>
              <w:ind w:left="0"/>
              <w:jc w:val="center"/>
              <w:rPr>
                <w:rFonts w:ascii="Times New Roman" w:hAnsi="Times New Roman" w:cs="Times New Roman"/>
                <w:sz w:val="24"/>
                <w:szCs w:val="24"/>
                <w:lang w:val="en-US"/>
              </w:rPr>
            </w:pPr>
            <w:r w:rsidRPr="00CD0AFD">
              <w:rPr>
                <w:rFonts w:ascii="Times New Roman" w:hAnsi="Times New Roman" w:cs="Times New Roman"/>
                <w:sz w:val="24"/>
                <w:szCs w:val="24"/>
                <w:lang w:val="en-US"/>
              </w:rPr>
              <w:t>LISTA I</w:t>
            </w:r>
            <w:r>
              <w:rPr>
                <w:rFonts w:ascii="Times New Roman" w:hAnsi="Times New Roman" w:cs="Times New Roman"/>
                <w:sz w:val="24"/>
                <w:szCs w:val="24"/>
                <w:lang w:val="en-US"/>
              </w:rPr>
              <w:t>I</w:t>
            </w:r>
            <w:r w:rsidRPr="00CD0AFD">
              <w:rPr>
                <w:rFonts w:ascii="Times New Roman" w:hAnsi="Times New Roman" w:cs="Times New Roman"/>
                <w:sz w:val="24"/>
                <w:szCs w:val="24"/>
                <w:lang w:val="en-US"/>
              </w:rPr>
              <w:t xml:space="preserve"> C. VIENA 1971</w:t>
            </w:r>
          </w:p>
        </w:tc>
        <w:tc>
          <w:tcPr>
            <w:tcW w:w="2154"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30 GRAMOS</w:t>
            </w:r>
          </w:p>
        </w:tc>
      </w:tr>
      <w:tr w:rsidR="00804B9A" w:rsidRPr="00CD0AFD"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lang w:val="en-US"/>
              </w:rPr>
            </w:pPr>
            <w:r w:rsidRPr="00CC0EA9">
              <w:rPr>
                <w:rFonts w:ascii="Times New Roman" w:hAnsi="Times New Roman" w:cs="Times New Roman"/>
                <w:b/>
                <w:sz w:val="24"/>
                <w:szCs w:val="24"/>
                <w:lang w:val="en-US"/>
              </w:rPr>
              <w:t>MDA</w:t>
            </w:r>
          </w:p>
        </w:tc>
        <w:tc>
          <w:tcPr>
            <w:tcW w:w="232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PÍLDORA DEL AMOR</w:t>
            </w:r>
          </w:p>
        </w:tc>
        <w:tc>
          <w:tcPr>
            <w:tcW w:w="237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LISTA I C. VIENA 1971</w:t>
            </w:r>
          </w:p>
        </w:tc>
        <w:tc>
          <w:tcPr>
            <w:tcW w:w="2154"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240 GRAMOS</w:t>
            </w:r>
          </w:p>
        </w:tc>
      </w:tr>
      <w:tr w:rsidR="00804B9A" w:rsidRPr="00CD0AFD"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lang w:val="en-US"/>
              </w:rPr>
            </w:pPr>
            <w:r w:rsidRPr="00CC0EA9">
              <w:rPr>
                <w:rFonts w:ascii="Times New Roman" w:hAnsi="Times New Roman" w:cs="Times New Roman"/>
                <w:b/>
                <w:sz w:val="24"/>
                <w:szCs w:val="24"/>
                <w:lang w:val="en-US"/>
              </w:rPr>
              <w:t>MDMA</w:t>
            </w:r>
          </w:p>
        </w:tc>
        <w:tc>
          <w:tcPr>
            <w:tcW w:w="232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ÉXTASIS</w:t>
            </w:r>
          </w:p>
        </w:tc>
        <w:tc>
          <w:tcPr>
            <w:tcW w:w="237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LISTA I C. VIENA 1971</w:t>
            </w:r>
          </w:p>
        </w:tc>
        <w:tc>
          <w:tcPr>
            <w:tcW w:w="2154"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240 GRAMOS</w:t>
            </w:r>
          </w:p>
        </w:tc>
      </w:tr>
      <w:tr w:rsidR="00804B9A" w:rsidRPr="00CD0AFD" w:rsidTr="001A40D0">
        <w:tc>
          <w:tcPr>
            <w:tcW w:w="2432" w:type="dxa"/>
            <w:shd w:val="clear" w:color="auto" w:fill="D9D9D9" w:themeFill="background1" w:themeFillShade="D9"/>
          </w:tcPr>
          <w:p w:rsidR="00804B9A" w:rsidRPr="00CC0EA9" w:rsidRDefault="00804B9A" w:rsidP="00537449">
            <w:pPr>
              <w:pStyle w:val="Prrafodelista"/>
              <w:ind w:left="0"/>
              <w:jc w:val="center"/>
              <w:rPr>
                <w:rFonts w:ascii="Times New Roman" w:hAnsi="Times New Roman" w:cs="Times New Roman"/>
                <w:b/>
                <w:sz w:val="24"/>
                <w:szCs w:val="24"/>
                <w:lang w:val="en-US"/>
              </w:rPr>
            </w:pPr>
            <w:r w:rsidRPr="00CC0EA9">
              <w:rPr>
                <w:rFonts w:ascii="Times New Roman" w:hAnsi="Times New Roman" w:cs="Times New Roman"/>
                <w:b/>
                <w:sz w:val="24"/>
                <w:szCs w:val="24"/>
                <w:lang w:val="en-US"/>
              </w:rPr>
              <w:t>MDEA</w:t>
            </w:r>
          </w:p>
        </w:tc>
        <w:tc>
          <w:tcPr>
            <w:tcW w:w="232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EVA</w:t>
            </w:r>
          </w:p>
        </w:tc>
        <w:tc>
          <w:tcPr>
            <w:tcW w:w="2375"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LISTA I C. VIENA 1971</w:t>
            </w:r>
          </w:p>
        </w:tc>
        <w:tc>
          <w:tcPr>
            <w:tcW w:w="2154" w:type="dxa"/>
          </w:tcPr>
          <w:p w:rsidR="00804B9A" w:rsidRPr="00CD0AFD" w:rsidRDefault="00804B9A" w:rsidP="00537449">
            <w:pPr>
              <w:pStyle w:val="Prrafodelista"/>
              <w:ind w:left="0"/>
              <w:jc w:val="center"/>
              <w:rPr>
                <w:rFonts w:ascii="Times New Roman" w:hAnsi="Times New Roman" w:cs="Times New Roman"/>
                <w:sz w:val="24"/>
                <w:szCs w:val="24"/>
                <w:lang w:val="en-US"/>
              </w:rPr>
            </w:pPr>
            <w:r>
              <w:rPr>
                <w:rFonts w:ascii="Times New Roman" w:hAnsi="Times New Roman" w:cs="Times New Roman"/>
                <w:sz w:val="24"/>
                <w:szCs w:val="24"/>
                <w:lang w:val="en-US"/>
              </w:rPr>
              <w:t>240 GRAMOS</w:t>
            </w:r>
          </w:p>
        </w:tc>
      </w:tr>
    </w:tbl>
    <w:p w:rsidR="00804B9A" w:rsidRDefault="00804B9A" w:rsidP="00804B9A">
      <w:pPr>
        <w:rPr>
          <w:rFonts w:ascii="Times New Roman" w:hAnsi="Times New Roman" w:cs="Times New Roman"/>
          <w:i/>
          <w:sz w:val="20"/>
          <w:szCs w:val="20"/>
        </w:rPr>
      </w:pPr>
      <w:r>
        <w:rPr>
          <w:rFonts w:ascii="Times New Roman" w:hAnsi="Times New Roman" w:cs="Times New Roman"/>
          <w:i/>
          <w:sz w:val="20"/>
          <w:szCs w:val="20"/>
        </w:rPr>
        <w:t>Fuente: Instituto Nacional de Toxicología</w:t>
      </w:r>
    </w:p>
    <w:p w:rsidR="00804B9A" w:rsidRDefault="00804B9A" w:rsidP="00804B9A">
      <w:pPr>
        <w:rPr>
          <w:rFonts w:ascii="Times New Roman" w:hAnsi="Times New Roman" w:cs="Times New Roman"/>
          <w:sz w:val="20"/>
          <w:szCs w:val="20"/>
        </w:rPr>
      </w:pPr>
      <w:r>
        <w:rPr>
          <w:rFonts w:ascii="Times New Roman" w:hAnsi="Times New Roman" w:cs="Times New Roman"/>
          <w:sz w:val="20"/>
          <w:szCs w:val="20"/>
        </w:rPr>
        <w:t>Las cantidades reflejan en kilogramos, gramos, y miligramos el peso a partir del cual se determina la notoria importancia de las sustancias reflejadas en el cuadro.</w:t>
      </w:r>
      <w:r>
        <w:rPr>
          <w:rStyle w:val="Refdenotaalpie"/>
          <w:rFonts w:ascii="Times New Roman" w:hAnsi="Times New Roman" w:cs="Times New Roman"/>
          <w:sz w:val="20"/>
          <w:szCs w:val="20"/>
        </w:rPr>
        <w:footnoteReference w:id="59"/>
      </w:r>
    </w:p>
    <w:p w:rsidR="00804B9A" w:rsidRDefault="00804B9A" w:rsidP="00804B9A">
      <w:pPr>
        <w:rPr>
          <w:rFonts w:ascii="Times New Roman" w:hAnsi="Times New Roman" w:cs="Times New Roman"/>
          <w:sz w:val="20"/>
          <w:szCs w:val="20"/>
        </w:rPr>
      </w:pPr>
    </w:p>
    <w:p w:rsidR="00804B9A" w:rsidRPr="00206706" w:rsidRDefault="00804B9A" w:rsidP="00484AA7">
      <w:pPr>
        <w:rPr>
          <w:rFonts w:ascii="Times New Roman" w:hAnsi="Times New Roman" w:cs="Times New Roman"/>
          <w:sz w:val="20"/>
          <w:szCs w:val="20"/>
        </w:rPr>
      </w:pPr>
      <w:r>
        <w:rPr>
          <w:rFonts w:ascii="Times New Roman" w:hAnsi="Times New Roman" w:cs="Times New Roman"/>
          <w:sz w:val="24"/>
          <w:szCs w:val="24"/>
        </w:rPr>
        <w:t>De todo lo expuesto se pueden extraer importantes conclusiones:</w:t>
      </w:r>
    </w:p>
    <w:p w:rsidR="00804B9A" w:rsidRPr="00483117" w:rsidRDefault="00804B9A" w:rsidP="00484AA7">
      <w:pPr>
        <w:rPr>
          <w:rFonts w:ascii="Times New Roman" w:hAnsi="Times New Roman" w:cs="Times New Roman"/>
          <w:sz w:val="24"/>
          <w:szCs w:val="24"/>
        </w:rPr>
      </w:pPr>
      <w:r>
        <w:rPr>
          <w:rFonts w:ascii="Times New Roman" w:hAnsi="Times New Roman" w:cs="Times New Roman"/>
          <w:sz w:val="24"/>
          <w:szCs w:val="24"/>
        </w:rPr>
        <w:t xml:space="preserve">En primer lugar, y con referencia a la determinación de la cantidad de notoria importancia, hay que decir que esta cantidad opera una vez que se ve reducida a pureza la cantidad o peso de la sustancia aprehendida. Es decir, no porque se decomisen 800 gramos de cocaína ya se debe proceder a aplicar el agravante de notoria importancia, si no que de ese alijo de cocaína debe de haber una cantidad pura de 750 gramos para proceder a aplicar el agravante de notoria importancia. Hay que decir también al respecto, que nuestro Tribunal Supremo ha creado un posible margen de error a la hora de fijar la pureza y que debe de ser interpretado a favor de reo. La </w:t>
      </w:r>
      <w:r>
        <w:rPr>
          <w:rFonts w:ascii="Times New Roman" w:hAnsi="Times New Roman" w:cs="Times New Roman"/>
          <w:b/>
          <w:sz w:val="24"/>
          <w:szCs w:val="24"/>
        </w:rPr>
        <w:t xml:space="preserve">STS 3427/2007 de 9 de mayo </w:t>
      </w:r>
      <w:r>
        <w:rPr>
          <w:rFonts w:ascii="Times New Roman" w:hAnsi="Times New Roman" w:cs="Times New Roman"/>
          <w:sz w:val="24"/>
          <w:szCs w:val="24"/>
        </w:rPr>
        <w:t>establece lo siguiente al respecto en un caso en el que se le encontraron a un sujeto 934 gramos de heroína: “</w:t>
      </w:r>
      <w:r>
        <w:rPr>
          <w:rFonts w:ascii="Times New Roman" w:hAnsi="Times New Roman" w:cs="Times New Roman"/>
          <w:i/>
          <w:sz w:val="24"/>
          <w:szCs w:val="24"/>
        </w:rPr>
        <w:t>En el caso presente nos hallamos ante una cantidad de 934,0 gramos de heroína que al 32,5% de riqueza, nos da un resultado de sustancia pura de 303 gramos con 55 centigramos. Si de esta cantidad deducimos, no ya el 5% al que se refieren expresamente las dos últimas de esas tres STS que acabamos de indicar, sino sólo el 1,2%, nos situamos en 299,91 gramos es, una cantidad inferior a los 300 requeridos para la aplicación de esta agravación”.</w:t>
      </w:r>
      <w:r w:rsidR="00483117">
        <w:rPr>
          <w:rFonts w:ascii="Times New Roman" w:hAnsi="Times New Roman" w:cs="Times New Roman"/>
          <w:sz w:val="24"/>
          <w:szCs w:val="24"/>
        </w:rPr>
        <w:t xml:space="preserve"> De esto se deduce que ese margen de error del 5% debe ser aplicado a la sustancia pura y no al montante requisado. A parte de constatarlo en la citada sentencia, el Tribunal Supremo lo asentó como doctrina jurisprudencial.</w:t>
      </w:r>
      <w:r w:rsidR="00483117">
        <w:rPr>
          <w:rStyle w:val="Refdenotaalpie"/>
          <w:rFonts w:ascii="Times New Roman" w:hAnsi="Times New Roman" w:cs="Times New Roman"/>
          <w:sz w:val="24"/>
          <w:szCs w:val="24"/>
        </w:rPr>
        <w:footnoteReference w:id="60"/>
      </w:r>
    </w:p>
    <w:p w:rsidR="00804B9A" w:rsidRDefault="00804B9A" w:rsidP="00804B9A">
      <w:pPr>
        <w:rPr>
          <w:rFonts w:ascii="Times New Roman" w:hAnsi="Times New Roman" w:cs="Times New Roman"/>
          <w:sz w:val="24"/>
          <w:szCs w:val="24"/>
        </w:rPr>
      </w:pPr>
    </w:p>
    <w:p w:rsidR="00804B9A" w:rsidRDefault="00804B9A" w:rsidP="00484AA7">
      <w:pPr>
        <w:rPr>
          <w:rFonts w:ascii="Times New Roman" w:hAnsi="Times New Roman" w:cs="Times New Roman"/>
          <w:sz w:val="24"/>
          <w:szCs w:val="24"/>
        </w:rPr>
      </w:pPr>
      <w:r>
        <w:rPr>
          <w:rFonts w:ascii="Times New Roman" w:hAnsi="Times New Roman" w:cs="Times New Roman"/>
          <w:sz w:val="24"/>
          <w:szCs w:val="24"/>
        </w:rPr>
        <w:lastRenderedPageBreak/>
        <w:t>En segundo lugar y como establece MANJÓN-CABEZA OLMEDA</w:t>
      </w:r>
      <w:r>
        <w:rPr>
          <w:rStyle w:val="Refdenotaalpie"/>
          <w:rFonts w:ascii="Times New Roman" w:hAnsi="Times New Roman" w:cs="Times New Roman"/>
          <w:sz w:val="24"/>
          <w:szCs w:val="24"/>
        </w:rPr>
        <w:footnoteReference w:id="61"/>
      </w:r>
      <w:r>
        <w:rPr>
          <w:rFonts w:ascii="Times New Roman" w:hAnsi="Times New Roman" w:cs="Times New Roman"/>
          <w:sz w:val="24"/>
          <w:szCs w:val="24"/>
        </w:rPr>
        <w:t xml:space="preserve"> otros asp</w:t>
      </w:r>
      <w:r w:rsidR="0071067A">
        <w:rPr>
          <w:rFonts w:ascii="Times New Roman" w:hAnsi="Times New Roman" w:cs="Times New Roman"/>
          <w:sz w:val="24"/>
          <w:szCs w:val="24"/>
        </w:rPr>
        <w:t xml:space="preserve">ectos a tener en cuenta son: 1.) </w:t>
      </w:r>
      <w:r>
        <w:rPr>
          <w:rFonts w:ascii="Times New Roman" w:hAnsi="Times New Roman" w:cs="Times New Roman"/>
          <w:sz w:val="24"/>
          <w:szCs w:val="24"/>
        </w:rPr>
        <w:t>Cuando la droga va contenida en diversos paquetes no hace falta analizar cada uno de estos bultos, sino que basta con coger muestras homogeneizadas de cada uno de ellos para poder extraer la cantidad de pureza total. 2.</w:t>
      </w:r>
      <w:r w:rsidR="0071067A">
        <w:rPr>
          <w:rFonts w:ascii="Times New Roman" w:hAnsi="Times New Roman" w:cs="Times New Roman"/>
          <w:sz w:val="24"/>
          <w:szCs w:val="24"/>
        </w:rPr>
        <w:t>)</w:t>
      </w:r>
      <w:r>
        <w:rPr>
          <w:rFonts w:ascii="Times New Roman" w:hAnsi="Times New Roman" w:cs="Times New Roman"/>
          <w:sz w:val="24"/>
          <w:szCs w:val="24"/>
        </w:rPr>
        <w:t xml:space="preserve"> Se puede llegar a esa notoria importancia sumando las dosis de las diferentes sustancias que se incauten, pero aclarando que no se pueden sumar sustancias que causen grave daño a la salud y las que no lo causen. 3.</w:t>
      </w:r>
      <w:r w:rsidR="0071067A">
        <w:rPr>
          <w:rFonts w:ascii="Times New Roman" w:hAnsi="Times New Roman" w:cs="Times New Roman"/>
          <w:sz w:val="24"/>
          <w:szCs w:val="24"/>
        </w:rPr>
        <w:t>)</w:t>
      </w:r>
      <w:r>
        <w:rPr>
          <w:rFonts w:ascii="Times New Roman" w:hAnsi="Times New Roman" w:cs="Times New Roman"/>
          <w:sz w:val="24"/>
          <w:szCs w:val="24"/>
        </w:rPr>
        <w:t xml:space="preserve"> Para poder aplicar la agravante de la notoria importancia, previamente hay que restar a tal cantidad la que correspondería  a un autoconsumo y 4.</w:t>
      </w:r>
      <w:r w:rsidR="0071067A">
        <w:rPr>
          <w:rFonts w:ascii="Times New Roman" w:hAnsi="Times New Roman" w:cs="Times New Roman"/>
          <w:sz w:val="24"/>
          <w:szCs w:val="24"/>
        </w:rPr>
        <w:t>)</w:t>
      </w:r>
      <w:r>
        <w:rPr>
          <w:rFonts w:ascii="Times New Roman" w:hAnsi="Times New Roman" w:cs="Times New Roman"/>
          <w:sz w:val="24"/>
          <w:szCs w:val="24"/>
        </w:rPr>
        <w:t xml:space="preserve"> Cuando intervienen un gran número de sujetos, la cantidad no se divide entre estos miembros, basta con que la cantidad en su conjunto llegue a esas quinientas dosis para aplicar la notoria importancia.</w:t>
      </w:r>
    </w:p>
    <w:p w:rsidR="00804B9A" w:rsidRDefault="00804B9A" w:rsidP="00804B9A">
      <w:pPr>
        <w:rPr>
          <w:rFonts w:ascii="Times New Roman" w:hAnsi="Times New Roman" w:cs="Times New Roman"/>
          <w:sz w:val="24"/>
          <w:szCs w:val="24"/>
        </w:rPr>
      </w:pPr>
    </w:p>
    <w:p w:rsidR="00804B9A" w:rsidRDefault="00804B9A" w:rsidP="00484AA7">
      <w:pPr>
        <w:rPr>
          <w:rFonts w:ascii="Times New Roman" w:hAnsi="Times New Roman" w:cs="Times New Roman"/>
          <w:sz w:val="24"/>
          <w:szCs w:val="24"/>
        </w:rPr>
      </w:pPr>
      <w:r>
        <w:rPr>
          <w:rFonts w:ascii="Times New Roman" w:hAnsi="Times New Roman" w:cs="Times New Roman"/>
          <w:sz w:val="24"/>
          <w:szCs w:val="24"/>
        </w:rPr>
        <w:t>Como vemos las conductas contempladas en este tipo referidas a la cantidad marcan unos matices que deben ser tenidos muy en cuenta a la hora de aplicar este artículo. Como dice JAÉN VALLEJO analizando sentencias del Alto Tribunal, el principio de proporcionalidad es fundamental, pues desde esta perspectiva, la agravante de notoria importancia es considerable, las penas son bastante severas (9 años mínimo), por lo que se hace necesario que la aplicación de este artículo se use en casos de importancia en los que se evidencie de manera importante este aumento de pena.</w:t>
      </w:r>
      <w:r>
        <w:rPr>
          <w:rStyle w:val="Refdenotaalpie"/>
          <w:rFonts w:ascii="Times New Roman" w:hAnsi="Times New Roman" w:cs="Times New Roman"/>
          <w:sz w:val="24"/>
          <w:szCs w:val="24"/>
        </w:rPr>
        <w:footnoteReference w:id="62"/>
      </w:r>
      <w:r w:rsidR="00253C6A">
        <w:rPr>
          <w:rFonts w:ascii="Times New Roman" w:hAnsi="Times New Roman" w:cs="Times New Roman"/>
          <w:sz w:val="24"/>
          <w:szCs w:val="24"/>
        </w:rPr>
        <w:t xml:space="preserve"> Con vistas a la posible vulneración de este principio, </w:t>
      </w:r>
      <w:r w:rsidR="00805B6A">
        <w:rPr>
          <w:rFonts w:ascii="Times New Roman" w:hAnsi="Times New Roman" w:cs="Times New Roman"/>
          <w:sz w:val="24"/>
          <w:szCs w:val="24"/>
        </w:rPr>
        <w:t>MAGRO SERVET</w:t>
      </w:r>
      <w:r w:rsidR="00805B6A">
        <w:rPr>
          <w:rStyle w:val="Refdenotaalpie"/>
          <w:rFonts w:ascii="Times New Roman" w:hAnsi="Times New Roman" w:cs="Times New Roman"/>
          <w:sz w:val="24"/>
          <w:szCs w:val="24"/>
        </w:rPr>
        <w:footnoteReference w:id="63"/>
      </w:r>
      <w:r w:rsidR="00805B6A">
        <w:rPr>
          <w:rFonts w:ascii="Times New Roman" w:hAnsi="Times New Roman" w:cs="Times New Roman"/>
          <w:sz w:val="24"/>
          <w:szCs w:val="24"/>
        </w:rPr>
        <w:t xml:space="preserve"> comenta que el Tribunal Supremo no entiende que se vulnere el principio de proporcionalidad por agravar la pena si se dan los requisitos para penar por la notoria importancia, pues la sanción está plenamente justificada por el cumplimiento de los elementos objetivos de la cuantía de la droga que se incaute y su pureza.</w:t>
      </w:r>
    </w:p>
    <w:p w:rsidR="00804B9A" w:rsidRDefault="00804B9A" w:rsidP="00804B9A">
      <w:pPr>
        <w:ind w:left="426"/>
        <w:rPr>
          <w:rFonts w:ascii="Times New Roman" w:hAnsi="Times New Roman" w:cs="Times New Roman"/>
          <w:sz w:val="24"/>
          <w:szCs w:val="24"/>
        </w:rPr>
      </w:pPr>
    </w:p>
    <w:p w:rsidR="00804B9A" w:rsidRPr="0046530E" w:rsidRDefault="00804B9A" w:rsidP="00484AA7">
      <w:pPr>
        <w:rPr>
          <w:rFonts w:ascii="Times New Roman" w:hAnsi="Times New Roman" w:cs="Times New Roman"/>
          <w:sz w:val="24"/>
          <w:szCs w:val="24"/>
        </w:rPr>
      </w:pPr>
      <w:r>
        <w:rPr>
          <w:rFonts w:ascii="Times New Roman" w:hAnsi="Times New Roman" w:cs="Times New Roman"/>
          <w:sz w:val="24"/>
          <w:szCs w:val="24"/>
        </w:rPr>
        <w:t>El tipo del 370.3º es una agravación mayor, pues se sancionan conductas de extre</w:t>
      </w:r>
      <w:r w:rsidR="002004E8">
        <w:rPr>
          <w:rFonts w:ascii="Times New Roman" w:hAnsi="Times New Roman" w:cs="Times New Roman"/>
          <w:sz w:val="24"/>
          <w:szCs w:val="24"/>
        </w:rPr>
        <w:t xml:space="preserve">ma gravedad. A diferencia de lo </w:t>
      </w:r>
      <w:r>
        <w:rPr>
          <w:rFonts w:ascii="Times New Roman" w:hAnsi="Times New Roman" w:cs="Times New Roman"/>
          <w:sz w:val="24"/>
          <w:szCs w:val="24"/>
        </w:rPr>
        <w:t>ocurrido en el artículo anterior, aquí se hace una definición expresa a lo que son conductas de extrema gravedad: “</w:t>
      </w:r>
      <w:r>
        <w:rPr>
          <w:rFonts w:ascii="Times New Roman" w:hAnsi="Times New Roman" w:cs="Times New Roman"/>
          <w:i/>
          <w:sz w:val="24"/>
          <w:szCs w:val="24"/>
        </w:rPr>
        <w:t>Se consideran extrema gravedad los casos en que la cantidad de las sustancias a que se refiere el artículo 368 excediere notablemente de la considerada como de notoria importancia, o se hayan utilizado buques, embarcaciones o aeronaves…”.</w:t>
      </w:r>
      <w:r w:rsidRPr="0046530E">
        <w:rPr>
          <w:rStyle w:val="Refdenotaalpie"/>
          <w:rFonts w:ascii="Times New Roman" w:hAnsi="Times New Roman" w:cs="Times New Roman"/>
          <w:sz w:val="24"/>
          <w:szCs w:val="24"/>
        </w:rPr>
        <w:footnoteReference w:id="64"/>
      </w:r>
      <w:r>
        <w:rPr>
          <w:rFonts w:ascii="Times New Roman" w:hAnsi="Times New Roman" w:cs="Times New Roman"/>
          <w:sz w:val="24"/>
          <w:szCs w:val="24"/>
        </w:rPr>
        <w:t xml:space="preserve"> </w:t>
      </w:r>
    </w:p>
    <w:p w:rsidR="00425542" w:rsidRDefault="00804B9A" w:rsidP="00484AA7">
      <w:pPr>
        <w:rPr>
          <w:rFonts w:ascii="Times New Roman" w:hAnsi="Times New Roman" w:cs="Times New Roman"/>
          <w:sz w:val="24"/>
          <w:szCs w:val="24"/>
        </w:rPr>
      </w:pPr>
      <w:r>
        <w:rPr>
          <w:rFonts w:ascii="Times New Roman" w:hAnsi="Times New Roman" w:cs="Times New Roman"/>
          <w:sz w:val="24"/>
          <w:szCs w:val="24"/>
        </w:rPr>
        <w:t xml:space="preserve">Pero con todo y con esto el legislador no se ha mostrado claro al definir con precisión lo que se debe entender por “exceder notablemente de la notoria importancia”. Como bien dice </w:t>
      </w:r>
      <w:r>
        <w:rPr>
          <w:rFonts w:ascii="Times New Roman" w:hAnsi="Times New Roman" w:cs="Times New Roman"/>
          <w:sz w:val="24"/>
          <w:szCs w:val="24"/>
        </w:rPr>
        <w:lastRenderedPageBreak/>
        <w:t>EXPÓSITO LÓPEZ</w:t>
      </w:r>
      <w:r>
        <w:rPr>
          <w:rStyle w:val="Refdenotaalpie"/>
          <w:rFonts w:ascii="Times New Roman" w:hAnsi="Times New Roman" w:cs="Times New Roman"/>
          <w:sz w:val="24"/>
          <w:szCs w:val="24"/>
        </w:rPr>
        <w:footnoteReference w:id="65"/>
      </w:r>
      <w:r>
        <w:rPr>
          <w:rFonts w:ascii="Times New Roman" w:hAnsi="Times New Roman" w:cs="Times New Roman"/>
          <w:sz w:val="24"/>
          <w:szCs w:val="24"/>
        </w:rPr>
        <w:t>, la definición del concepto de extrema gravedad ha de ser desarrollada de forma jurisprudencial, pues el precepto no nos aclara los límites, ni se puede llegar a saber a ciencia cierta si a lo que se debe estar es a la cuantía de la droga exclusivamente, y con ello poder interpretar que con que exista un exceso en relación con la notoria importancia, ya existe motivo suficiente para enmarcar la conducta dentro de este artículo, o por el contrario, había que seguir investigando sobre aspe</w:t>
      </w:r>
      <w:r w:rsidR="00490F3D">
        <w:rPr>
          <w:rFonts w:ascii="Times New Roman" w:hAnsi="Times New Roman" w:cs="Times New Roman"/>
          <w:sz w:val="24"/>
          <w:szCs w:val="24"/>
        </w:rPr>
        <w:t>ctos objetivos u otros factores (la misma postura mantiene al respecto ARMENTEROS LEÓN</w:t>
      </w:r>
      <w:r w:rsidR="00490F3D">
        <w:rPr>
          <w:rStyle w:val="Refdenotaalpie"/>
          <w:rFonts w:ascii="Times New Roman" w:hAnsi="Times New Roman" w:cs="Times New Roman"/>
          <w:sz w:val="24"/>
          <w:szCs w:val="24"/>
        </w:rPr>
        <w:footnoteReference w:id="66"/>
      </w:r>
      <w:r w:rsidR="00490F3D">
        <w:rPr>
          <w:rFonts w:ascii="Times New Roman" w:hAnsi="Times New Roman" w:cs="Times New Roman"/>
          <w:sz w:val="24"/>
          <w:szCs w:val="24"/>
        </w:rPr>
        <w:t>).</w:t>
      </w:r>
    </w:p>
    <w:p w:rsidR="003B0ECF" w:rsidRDefault="003B0ECF" w:rsidP="00484AA7">
      <w:pPr>
        <w:rPr>
          <w:rFonts w:ascii="Times New Roman" w:hAnsi="Times New Roman" w:cs="Times New Roman"/>
          <w:sz w:val="24"/>
          <w:szCs w:val="24"/>
        </w:rPr>
      </w:pPr>
      <w:r w:rsidRPr="003B0ECF">
        <w:rPr>
          <w:rFonts w:ascii="Times New Roman" w:hAnsi="Times New Roman" w:cs="Times New Roman"/>
          <w:sz w:val="24"/>
          <w:szCs w:val="24"/>
        </w:rPr>
        <w:t>Resulta interesante lo que manifiesta SEQUEROS SAZATRONIL</w:t>
      </w:r>
      <w:r w:rsidR="00547D5B">
        <w:rPr>
          <w:rStyle w:val="Refdenotaalpie"/>
          <w:rFonts w:ascii="Times New Roman" w:hAnsi="Times New Roman" w:cs="Times New Roman"/>
          <w:sz w:val="24"/>
          <w:szCs w:val="24"/>
        </w:rPr>
        <w:footnoteReference w:id="67"/>
      </w:r>
      <w:r w:rsidRPr="003B0ECF">
        <w:rPr>
          <w:rFonts w:ascii="Times New Roman" w:hAnsi="Times New Roman" w:cs="Times New Roman"/>
          <w:sz w:val="24"/>
          <w:szCs w:val="24"/>
        </w:rPr>
        <w:t>: la Comisión Técnica de Reforma del Sistema de Penas (grupos de trabajo especializados) nombrada por el propio Ministerio de Justicia, ya propuso  que la cantidad de droga para satisfacer el tipo penal de la extrema gravedad debería superar mil veces lo establecido como notoria importancia, pero esto fue desaprovechado y abandonado.</w:t>
      </w:r>
    </w:p>
    <w:p w:rsidR="00425542" w:rsidRDefault="00425542" w:rsidP="00484AA7">
      <w:pPr>
        <w:rPr>
          <w:rFonts w:ascii="Times New Roman" w:hAnsi="Times New Roman" w:cs="Times New Roman"/>
          <w:sz w:val="24"/>
          <w:szCs w:val="24"/>
        </w:rPr>
      </w:pPr>
    </w:p>
    <w:p w:rsidR="00804B9A" w:rsidRDefault="00804B9A" w:rsidP="00484AA7">
      <w:pPr>
        <w:rPr>
          <w:rFonts w:ascii="Times New Roman" w:hAnsi="Times New Roman" w:cs="Times New Roman"/>
          <w:sz w:val="24"/>
          <w:szCs w:val="24"/>
        </w:rPr>
      </w:pPr>
      <w:r>
        <w:rPr>
          <w:rFonts w:ascii="Times New Roman" w:hAnsi="Times New Roman" w:cs="Times New Roman"/>
          <w:sz w:val="24"/>
          <w:szCs w:val="24"/>
        </w:rPr>
        <w:t xml:space="preserve">Por ello no queda más remedio que acudir a la jurisprudencia del Tribunal Supremo para que éste establezca cuál es ese límite de una forma más precisa para así, poder fijar un escalón de cierta seguridad jurídica. La </w:t>
      </w:r>
      <w:r>
        <w:rPr>
          <w:rFonts w:ascii="Times New Roman" w:hAnsi="Times New Roman" w:cs="Times New Roman"/>
          <w:b/>
          <w:sz w:val="24"/>
          <w:szCs w:val="24"/>
        </w:rPr>
        <w:t>STS 5775/2013 de 12 de noviembre</w:t>
      </w:r>
      <w:r>
        <w:rPr>
          <w:rFonts w:ascii="Times New Roman" w:hAnsi="Times New Roman" w:cs="Times New Roman"/>
          <w:sz w:val="24"/>
          <w:szCs w:val="24"/>
        </w:rPr>
        <w:t>, recuerda la interpretación que viene manteniendo el Alto Tribunal con respecto a lo que son conductas de extrema gravedad. En la presente sentencia, se relata un caso en el que a un sujeto le sustraen más de tres mil kilos de hachís, por lo que evidentemente se aplica el artículo 370.3º,  define lo que debe entenderse por extrema gravedad: “</w:t>
      </w:r>
      <w:r>
        <w:rPr>
          <w:rFonts w:ascii="Times New Roman" w:hAnsi="Times New Roman" w:cs="Times New Roman"/>
          <w:i/>
          <w:sz w:val="24"/>
          <w:szCs w:val="24"/>
        </w:rPr>
        <w:t>Siendo así debe entenderse, que los 4.103,68 kg. constituyen una cantidad de notoria importancia en grado extremo, en cuanto supera en más de 1600 veces la cuantía que venimos considerando como el límite para aplicar en el hachís la agravación específica de notoria importancia (a partir de 2,5 kg. según el Pleno no jurisdiccional de 19.10.2001).</w:t>
      </w:r>
      <w:r>
        <w:rPr>
          <w:rFonts w:ascii="Times New Roman" w:hAnsi="Times New Roman" w:cs="Times New Roman"/>
          <w:sz w:val="24"/>
          <w:szCs w:val="24"/>
        </w:rPr>
        <w:t xml:space="preserve"> Para mayor esclarecimiento, la misma sentencia añade el criterio delimitador a través del cual debe de entenderse que ciertamente nos encontramos ante un caso de extrema gravedad por la cuantía: “</w:t>
      </w:r>
      <w:r>
        <w:rPr>
          <w:rFonts w:ascii="Times New Roman" w:hAnsi="Times New Roman" w:cs="Times New Roman"/>
          <w:i/>
          <w:sz w:val="24"/>
          <w:szCs w:val="24"/>
        </w:rPr>
        <w:t>Y en el pleno no jurisdiccional de esta Sala celebrado el 25 de noviembre de 2008 se examina la conveniencia de utilizar un criterio numérico de cantidad de sustancia estupefaciente para integrar la hiperagravación del artículo 370.3 del CP y se tomó el siguiente Acuerdo: la aplicación de la ag</w:t>
      </w:r>
      <w:r w:rsidR="000A2BEA">
        <w:rPr>
          <w:rFonts w:ascii="Times New Roman" w:hAnsi="Times New Roman" w:cs="Times New Roman"/>
          <w:i/>
          <w:sz w:val="24"/>
          <w:szCs w:val="24"/>
        </w:rPr>
        <w:t>ravación del art. 370.3 CP</w:t>
      </w:r>
      <w:r>
        <w:rPr>
          <w:rFonts w:ascii="Times New Roman" w:hAnsi="Times New Roman" w:cs="Times New Roman"/>
          <w:i/>
          <w:sz w:val="24"/>
          <w:szCs w:val="24"/>
        </w:rPr>
        <w:t xml:space="preserve">, referida a la extrema gravedad de la cuantía de sustancia estupefaciente, procederá en todos aquellos casos en que el objeto del delito esté representado por una </w:t>
      </w:r>
      <w:r>
        <w:rPr>
          <w:rFonts w:ascii="Times New Roman" w:hAnsi="Times New Roman" w:cs="Times New Roman"/>
          <w:i/>
          <w:sz w:val="24"/>
          <w:szCs w:val="24"/>
        </w:rPr>
        <w:lastRenderedPageBreak/>
        <w:t>cantidad que exceda de la resultante de multiplicar por mil la cuantía aceptada por esta Sala como módulo para la apreciación de la agravación de notoria importancia”.</w:t>
      </w:r>
    </w:p>
    <w:p w:rsidR="003B0ECF" w:rsidRDefault="003B0ECF" w:rsidP="00484AA7">
      <w:pPr>
        <w:rPr>
          <w:rFonts w:ascii="Times New Roman" w:hAnsi="Times New Roman" w:cs="Times New Roman"/>
          <w:sz w:val="24"/>
          <w:szCs w:val="24"/>
        </w:rPr>
      </w:pPr>
    </w:p>
    <w:p w:rsidR="00804B9A" w:rsidRDefault="00804B9A" w:rsidP="00484AA7">
      <w:pPr>
        <w:rPr>
          <w:rFonts w:ascii="Times New Roman" w:hAnsi="Times New Roman" w:cs="Times New Roman"/>
          <w:sz w:val="24"/>
          <w:szCs w:val="24"/>
        </w:rPr>
      </w:pPr>
      <w:r>
        <w:rPr>
          <w:rFonts w:ascii="Times New Roman" w:hAnsi="Times New Roman" w:cs="Times New Roman"/>
          <w:sz w:val="24"/>
          <w:szCs w:val="24"/>
        </w:rPr>
        <w:t>Pues con esta aclaración ya se tiene un criterio numérico fijo que delimita la cantidad de droga a partir de la cual se considera que la conducta se reviste de extrema gravedad: el exceso de multiplicar por mil lo considerado como notoria importancia.</w:t>
      </w:r>
    </w:p>
    <w:p w:rsidR="00425542" w:rsidRDefault="00425542" w:rsidP="00484AA7">
      <w:pPr>
        <w:rPr>
          <w:rFonts w:ascii="Times New Roman" w:hAnsi="Times New Roman" w:cs="Times New Roman"/>
          <w:sz w:val="24"/>
          <w:szCs w:val="24"/>
        </w:rPr>
      </w:pPr>
    </w:p>
    <w:p w:rsidR="00804B9A" w:rsidRPr="00804B9A" w:rsidRDefault="00804B9A" w:rsidP="00804B9A"/>
    <w:p w:rsidR="00804B9A" w:rsidRPr="00DF3379" w:rsidRDefault="00804B9A" w:rsidP="00804B9A">
      <w:pPr>
        <w:pStyle w:val="Ttulo1"/>
        <w:numPr>
          <w:ilvl w:val="0"/>
          <w:numId w:val="9"/>
        </w:numPr>
        <w:rPr>
          <w:rFonts w:ascii="Times New Roman" w:hAnsi="Times New Roman" w:cs="Times New Roman"/>
          <w:color w:val="auto"/>
          <w:sz w:val="24"/>
          <w:szCs w:val="24"/>
        </w:rPr>
      </w:pPr>
      <w:bookmarkStart w:id="43" w:name="_Toc393739401"/>
      <w:r w:rsidRPr="00DF3379">
        <w:rPr>
          <w:rFonts w:ascii="Times New Roman" w:hAnsi="Times New Roman" w:cs="Times New Roman"/>
          <w:color w:val="auto"/>
          <w:sz w:val="24"/>
          <w:szCs w:val="24"/>
        </w:rPr>
        <w:t>CONCLUSIONES</w:t>
      </w:r>
      <w:bookmarkEnd w:id="43"/>
    </w:p>
    <w:p w:rsidR="009E7325" w:rsidRDefault="00C7216E" w:rsidP="00804B9A">
      <w:pPr>
        <w:rPr>
          <w:rFonts w:ascii="Times New Roman" w:hAnsi="Times New Roman" w:cs="Times New Roman"/>
          <w:sz w:val="24"/>
          <w:szCs w:val="24"/>
        </w:rPr>
      </w:pPr>
      <w:r>
        <w:rPr>
          <w:rFonts w:ascii="Times New Roman" w:hAnsi="Times New Roman" w:cs="Times New Roman"/>
          <w:sz w:val="24"/>
          <w:szCs w:val="24"/>
        </w:rPr>
        <w:t>Bajo mi criterio puedo llegar a varios remates con respecto a la elaboración de este trabajo. El delito de tráfico de drogas es un delito presente y actual pero que necesita amplísimas aclaraciones. La primera de ella es referente al objeto material del delito. Ya se ha podido ver que nuestro Código Penal no da una definición de lo que es droga, estupefaciente o psicotrópico, algo que nos hace recurrir a esos Convenios Internacionales. Pero aquí se encuentra otro problema y es que, esos C</w:t>
      </w:r>
      <w:r w:rsidR="00DA2992">
        <w:rPr>
          <w:rFonts w:ascii="Times New Roman" w:hAnsi="Times New Roman" w:cs="Times New Roman"/>
          <w:sz w:val="24"/>
          <w:szCs w:val="24"/>
        </w:rPr>
        <w:t>onvenios se limitan a enumerar</w:t>
      </w:r>
      <w:r>
        <w:rPr>
          <w:rFonts w:ascii="Times New Roman" w:hAnsi="Times New Roman" w:cs="Times New Roman"/>
          <w:sz w:val="24"/>
          <w:szCs w:val="24"/>
        </w:rPr>
        <w:t xml:space="preserve"> sustancias que existen en el Mercado, por lo que nos encontramo</w:t>
      </w:r>
      <w:r w:rsidR="00DA2992">
        <w:rPr>
          <w:rFonts w:ascii="Times New Roman" w:hAnsi="Times New Roman" w:cs="Times New Roman"/>
          <w:sz w:val="24"/>
          <w:szCs w:val="24"/>
        </w:rPr>
        <w:t xml:space="preserve">s ante regulaciones algo incompletas, pues pudiera aparecer una nueva sustancia o compuesto no contemplado en las listas </w:t>
      </w:r>
      <w:r w:rsidR="00556FB6">
        <w:rPr>
          <w:rFonts w:ascii="Times New Roman" w:hAnsi="Times New Roman" w:cs="Times New Roman"/>
          <w:sz w:val="24"/>
          <w:szCs w:val="24"/>
        </w:rPr>
        <w:t>y esto podría acarrear inconvenientes</w:t>
      </w:r>
      <w:r>
        <w:rPr>
          <w:rFonts w:ascii="Times New Roman" w:hAnsi="Times New Roman" w:cs="Times New Roman"/>
          <w:sz w:val="24"/>
          <w:szCs w:val="24"/>
        </w:rPr>
        <w:t xml:space="preserve">. </w:t>
      </w:r>
      <w:r w:rsidR="007D52D8">
        <w:rPr>
          <w:rFonts w:ascii="Times New Roman" w:hAnsi="Times New Roman" w:cs="Times New Roman"/>
          <w:sz w:val="24"/>
          <w:szCs w:val="24"/>
        </w:rPr>
        <w:t xml:space="preserve">Considero que la normativa no es correcta del todo, pues </w:t>
      </w:r>
      <w:r w:rsidR="00DA2992">
        <w:rPr>
          <w:rFonts w:ascii="Times New Roman" w:hAnsi="Times New Roman" w:cs="Times New Roman"/>
          <w:sz w:val="24"/>
          <w:szCs w:val="24"/>
        </w:rPr>
        <w:t>para clasificar una sustancia como dañina, no basta con acudir a una lista “numerus clausus” y ver si ésta se encuentra, lo correcto sería</w:t>
      </w:r>
      <w:r>
        <w:rPr>
          <w:rFonts w:ascii="Times New Roman" w:hAnsi="Times New Roman" w:cs="Times New Roman"/>
          <w:sz w:val="24"/>
          <w:szCs w:val="24"/>
        </w:rPr>
        <w:t xml:space="preserve"> conocer sus elementos, posibles síntomas</w:t>
      </w:r>
      <w:r w:rsidR="00DA2992">
        <w:rPr>
          <w:rFonts w:ascii="Times New Roman" w:hAnsi="Times New Roman" w:cs="Times New Roman"/>
          <w:sz w:val="24"/>
          <w:szCs w:val="24"/>
        </w:rPr>
        <w:t>, capacidad que tiene la sustancia para “enganchar”, crear adicción y en definitiva, la repercusión que ésta pueda tener</w:t>
      </w:r>
      <w:r>
        <w:rPr>
          <w:rFonts w:ascii="Times New Roman" w:hAnsi="Times New Roman" w:cs="Times New Roman"/>
          <w:sz w:val="24"/>
          <w:szCs w:val="24"/>
        </w:rPr>
        <w:t xml:space="preserve"> con respecto a lo que se intenta proteger en este tipo de conductas: la salud pública. No </w:t>
      </w:r>
      <w:r w:rsidR="007D52D8">
        <w:rPr>
          <w:rFonts w:ascii="Times New Roman" w:hAnsi="Times New Roman" w:cs="Times New Roman"/>
          <w:sz w:val="24"/>
          <w:szCs w:val="24"/>
        </w:rPr>
        <w:t xml:space="preserve">se puede extraer con suficiente nitidez </w:t>
      </w:r>
      <w:r>
        <w:rPr>
          <w:rFonts w:ascii="Times New Roman" w:hAnsi="Times New Roman" w:cs="Times New Roman"/>
          <w:sz w:val="24"/>
          <w:szCs w:val="24"/>
        </w:rPr>
        <w:t>si para sancionar a un sujeto basta con acudir a los citados Convenios y comprobar que esa droga aparezca, o si por el contrario, es suficiente con que nos encontremos con una sustancia totalmente desconocida pero que produce adicción, tolerancia, dependencia…</w:t>
      </w:r>
      <w:r w:rsidR="00DA2992">
        <w:rPr>
          <w:rFonts w:ascii="Times New Roman" w:hAnsi="Times New Roman" w:cs="Times New Roman"/>
          <w:sz w:val="24"/>
          <w:szCs w:val="24"/>
        </w:rPr>
        <w:t>Es correcta</w:t>
      </w:r>
      <w:r w:rsidR="00EF32C7">
        <w:rPr>
          <w:rFonts w:ascii="Times New Roman" w:hAnsi="Times New Roman" w:cs="Times New Roman"/>
          <w:sz w:val="24"/>
          <w:szCs w:val="24"/>
        </w:rPr>
        <w:t xml:space="preserve"> la diferenciación que hace el tipo con respecto a la división de sustancias en torno a su nocivida</w:t>
      </w:r>
      <w:r w:rsidR="00DA2992">
        <w:rPr>
          <w:rFonts w:ascii="Times New Roman" w:hAnsi="Times New Roman" w:cs="Times New Roman"/>
          <w:sz w:val="24"/>
          <w:szCs w:val="24"/>
        </w:rPr>
        <w:t>d, pero creo que la normativa puede mejorar para así dar una mayor seguridad jurídica a la hora de sancionar.</w:t>
      </w:r>
    </w:p>
    <w:p w:rsidR="000C76C9" w:rsidRDefault="00EF32C7" w:rsidP="00804B9A">
      <w:pPr>
        <w:rPr>
          <w:rFonts w:ascii="Times New Roman" w:hAnsi="Times New Roman" w:cs="Times New Roman"/>
          <w:sz w:val="24"/>
          <w:szCs w:val="24"/>
        </w:rPr>
      </w:pPr>
      <w:r>
        <w:rPr>
          <w:rFonts w:ascii="Times New Roman" w:hAnsi="Times New Roman" w:cs="Times New Roman"/>
          <w:sz w:val="24"/>
          <w:szCs w:val="24"/>
        </w:rPr>
        <w:t xml:space="preserve"> </w:t>
      </w:r>
    </w:p>
    <w:p w:rsidR="005651BE" w:rsidRDefault="00EF32C7" w:rsidP="00804B9A">
      <w:pPr>
        <w:rPr>
          <w:rFonts w:ascii="Times New Roman" w:hAnsi="Times New Roman" w:cs="Times New Roman"/>
          <w:sz w:val="24"/>
          <w:szCs w:val="24"/>
        </w:rPr>
      </w:pPr>
      <w:r>
        <w:rPr>
          <w:rFonts w:ascii="Times New Roman" w:hAnsi="Times New Roman" w:cs="Times New Roman"/>
          <w:sz w:val="24"/>
          <w:szCs w:val="24"/>
        </w:rPr>
        <w:t>En segundo lugar, es evidente que se necesitaba un criterio de seguridad jurídica proporcionado por un ente especializado a la hora de penalizar estas conductas</w:t>
      </w:r>
      <w:r w:rsidR="009E7325">
        <w:rPr>
          <w:rFonts w:ascii="Times New Roman" w:hAnsi="Times New Roman" w:cs="Times New Roman"/>
          <w:sz w:val="24"/>
          <w:szCs w:val="24"/>
        </w:rPr>
        <w:t xml:space="preserve"> (y así poder sostener una justificación)</w:t>
      </w:r>
      <w:r>
        <w:rPr>
          <w:rFonts w:ascii="Times New Roman" w:hAnsi="Times New Roman" w:cs="Times New Roman"/>
          <w:sz w:val="24"/>
          <w:szCs w:val="24"/>
        </w:rPr>
        <w:t xml:space="preserve">: el mínimo psicoactivo. </w:t>
      </w:r>
      <w:r w:rsidR="009E7325">
        <w:rPr>
          <w:rFonts w:ascii="Times New Roman" w:hAnsi="Times New Roman" w:cs="Times New Roman"/>
          <w:sz w:val="24"/>
          <w:szCs w:val="24"/>
        </w:rPr>
        <w:t xml:space="preserve">Este mínimo psicoactivo ha sido también bastante confuso, pues ya se han podido contemplar casos en los que el propio Tribunal </w:t>
      </w:r>
      <w:r w:rsidR="009E7325">
        <w:rPr>
          <w:rFonts w:ascii="Times New Roman" w:hAnsi="Times New Roman" w:cs="Times New Roman"/>
          <w:sz w:val="24"/>
          <w:szCs w:val="24"/>
        </w:rPr>
        <w:lastRenderedPageBreak/>
        <w:t>Supremo ha absuelto a sujetos por considerar</w:t>
      </w:r>
      <w:r w:rsidR="00A52574">
        <w:rPr>
          <w:rFonts w:ascii="Times New Roman" w:hAnsi="Times New Roman" w:cs="Times New Roman"/>
          <w:sz w:val="24"/>
          <w:szCs w:val="24"/>
        </w:rPr>
        <w:t xml:space="preserve"> </w:t>
      </w:r>
      <w:r w:rsidR="009E7325">
        <w:rPr>
          <w:rFonts w:ascii="Times New Roman" w:hAnsi="Times New Roman" w:cs="Times New Roman"/>
          <w:sz w:val="24"/>
          <w:szCs w:val="24"/>
        </w:rPr>
        <w:t>que las sustancias con las que traficaba</w:t>
      </w:r>
      <w:r w:rsidR="00A52574">
        <w:rPr>
          <w:rFonts w:ascii="Times New Roman" w:hAnsi="Times New Roman" w:cs="Times New Roman"/>
          <w:sz w:val="24"/>
          <w:szCs w:val="24"/>
        </w:rPr>
        <w:t>,</w:t>
      </w:r>
      <w:r w:rsidR="00705F99">
        <w:rPr>
          <w:rFonts w:ascii="Times New Roman" w:hAnsi="Times New Roman" w:cs="Times New Roman"/>
          <w:sz w:val="24"/>
          <w:szCs w:val="24"/>
        </w:rPr>
        <w:t xml:space="preserve"> en concreto</w:t>
      </w:r>
      <w:r w:rsidR="009E7325">
        <w:rPr>
          <w:rFonts w:ascii="Times New Roman" w:hAnsi="Times New Roman" w:cs="Times New Roman"/>
          <w:sz w:val="24"/>
          <w:szCs w:val="24"/>
        </w:rPr>
        <w:t xml:space="preserve"> </w:t>
      </w:r>
      <w:r w:rsidR="00705F99">
        <w:rPr>
          <w:rFonts w:ascii="Times New Roman" w:hAnsi="Times New Roman" w:cs="Times New Roman"/>
          <w:sz w:val="24"/>
          <w:szCs w:val="24"/>
        </w:rPr>
        <w:t xml:space="preserve">sus índices o digamos la propia pureza del compuesto, se encontraban </w:t>
      </w:r>
      <w:r w:rsidR="009E7325">
        <w:rPr>
          <w:rFonts w:ascii="Times New Roman" w:hAnsi="Times New Roman" w:cs="Times New Roman"/>
          <w:sz w:val="24"/>
          <w:szCs w:val="24"/>
        </w:rPr>
        <w:t xml:space="preserve">por </w:t>
      </w:r>
      <w:r w:rsidR="00705F99">
        <w:rPr>
          <w:rFonts w:ascii="Times New Roman" w:hAnsi="Times New Roman" w:cs="Times New Roman"/>
          <w:sz w:val="24"/>
          <w:szCs w:val="24"/>
        </w:rPr>
        <w:t xml:space="preserve"> debajo de esa marca que </w:t>
      </w:r>
      <w:r w:rsidR="009E7325">
        <w:rPr>
          <w:rFonts w:ascii="Times New Roman" w:hAnsi="Times New Roman" w:cs="Times New Roman"/>
          <w:sz w:val="24"/>
          <w:szCs w:val="24"/>
        </w:rPr>
        <w:t>el Instituto Nacional de Toxicología</w:t>
      </w:r>
      <w:r w:rsidR="00705F99">
        <w:rPr>
          <w:rFonts w:ascii="Times New Roman" w:hAnsi="Times New Roman" w:cs="Times New Roman"/>
          <w:sz w:val="24"/>
          <w:szCs w:val="24"/>
        </w:rPr>
        <w:t xml:space="preserve"> plasmaba en su tabla. El Tribunal Supremo</w:t>
      </w:r>
      <w:r w:rsidR="009E7325">
        <w:rPr>
          <w:rFonts w:ascii="Times New Roman" w:hAnsi="Times New Roman" w:cs="Times New Roman"/>
          <w:sz w:val="24"/>
          <w:szCs w:val="24"/>
        </w:rPr>
        <w:t xml:space="preserve"> </w:t>
      </w:r>
      <w:r w:rsidR="00A52574">
        <w:rPr>
          <w:rFonts w:ascii="Times New Roman" w:hAnsi="Times New Roman" w:cs="Times New Roman"/>
          <w:sz w:val="24"/>
          <w:szCs w:val="24"/>
        </w:rPr>
        <w:t>moti</w:t>
      </w:r>
      <w:r w:rsidR="00705F99">
        <w:rPr>
          <w:rFonts w:ascii="Times New Roman" w:hAnsi="Times New Roman" w:cs="Times New Roman"/>
          <w:sz w:val="24"/>
          <w:szCs w:val="24"/>
        </w:rPr>
        <w:t>vaba la absolución por entender que las cantidades eran ínfimas y tenía cabida el</w:t>
      </w:r>
      <w:r w:rsidR="009E7325">
        <w:rPr>
          <w:rFonts w:ascii="Times New Roman" w:hAnsi="Times New Roman" w:cs="Times New Roman"/>
          <w:sz w:val="24"/>
          <w:szCs w:val="24"/>
        </w:rPr>
        <w:t xml:space="preserve"> principio de</w:t>
      </w:r>
      <w:r w:rsidR="00705F99">
        <w:rPr>
          <w:rFonts w:ascii="Times New Roman" w:hAnsi="Times New Roman" w:cs="Times New Roman"/>
          <w:sz w:val="24"/>
          <w:szCs w:val="24"/>
        </w:rPr>
        <w:t xml:space="preserve"> insignif</w:t>
      </w:r>
      <w:r w:rsidR="005651BE">
        <w:rPr>
          <w:rFonts w:ascii="Times New Roman" w:hAnsi="Times New Roman" w:cs="Times New Roman"/>
          <w:sz w:val="24"/>
          <w:szCs w:val="24"/>
        </w:rPr>
        <w:t>icancia aunque existiera tráfico.</w:t>
      </w:r>
      <w:r w:rsidR="00705F99">
        <w:rPr>
          <w:rFonts w:ascii="Times New Roman" w:hAnsi="Times New Roman" w:cs="Times New Roman"/>
          <w:sz w:val="24"/>
          <w:szCs w:val="24"/>
        </w:rPr>
        <w:t xml:space="preserve"> Pero </w:t>
      </w:r>
      <w:r w:rsidR="005651BE">
        <w:rPr>
          <w:rFonts w:ascii="Times New Roman" w:hAnsi="Times New Roman" w:cs="Times New Roman"/>
          <w:sz w:val="24"/>
          <w:szCs w:val="24"/>
        </w:rPr>
        <w:t>no veo acertada la interpretación de tal principio a la hora de aplicarlo,  ya</w:t>
      </w:r>
      <w:r w:rsidR="00705F99">
        <w:rPr>
          <w:rFonts w:ascii="Times New Roman" w:hAnsi="Times New Roman" w:cs="Times New Roman"/>
          <w:sz w:val="24"/>
          <w:szCs w:val="24"/>
        </w:rPr>
        <w:t xml:space="preserve"> </w:t>
      </w:r>
      <w:r w:rsidR="009E7325">
        <w:rPr>
          <w:rFonts w:ascii="Times New Roman" w:hAnsi="Times New Roman" w:cs="Times New Roman"/>
          <w:sz w:val="24"/>
          <w:szCs w:val="24"/>
        </w:rPr>
        <w:t>que la misma Sala Segunda</w:t>
      </w:r>
      <w:r w:rsidR="00705F99">
        <w:rPr>
          <w:rFonts w:ascii="Times New Roman" w:hAnsi="Times New Roman" w:cs="Times New Roman"/>
          <w:sz w:val="24"/>
          <w:szCs w:val="24"/>
        </w:rPr>
        <w:t xml:space="preserve"> </w:t>
      </w:r>
      <w:r w:rsidR="005651BE">
        <w:rPr>
          <w:rFonts w:ascii="Times New Roman" w:hAnsi="Times New Roman" w:cs="Times New Roman"/>
          <w:sz w:val="24"/>
          <w:szCs w:val="24"/>
        </w:rPr>
        <w:t>ha condenado</w:t>
      </w:r>
      <w:r w:rsidR="00705F99">
        <w:rPr>
          <w:rFonts w:ascii="Times New Roman" w:hAnsi="Times New Roman" w:cs="Times New Roman"/>
          <w:sz w:val="24"/>
          <w:szCs w:val="24"/>
        </w:rPr>
        <w:t xml:space="preserve"> por no entender ajustado a derecho </w:t>
      </w:r>
      <w:r w:rsidR="005651BE">
        <w:rPr>
          <w:rFonts w:ascii="Times New Roman" w:hAnsi="Times New Roman" w:cs="Times New Roman"/>
          <w:sz w:val="24"/>
          <w:szCs w:val="24"/>
        </w:rPr>
        <w:t xml:space="preserve">tal </w:t>
      </w:r>
      <w:r w:rsidR="00705F99">
        <w:rPr>
          <w:rFonts w:ascii="Times New Roman" w:hAnsi="Times New Roman" w:cs="Times New Roman"/>
          <w:sz w:val="24"/>
          <w:szCs w:val="24"/>
        </w:rPr>
        <w:t xml:space="preserve">principio en este tipo de delitos, justificando que </w:t>
      </w:r>
      <w:r w:rsidR="009E7325">
        <w:rPr>
          <w:rFonts w:ascii="Times New Roman" w:hAnsi="Times New Roman" w:cs="Times New Roman"/>
          <w:sz w:val="24"/>
          <w:szCs w:val="24"/>
        </w:rPr>
        <w:t>nos encontramos ante d</w:t>
      </w:r>
      <w:r w:rsidR="00705F99">
        <w:rPr>
          <w:rFonts w:ascii="Times New Roman" w:hAnsi="Times New Roman" w:cs="Times New Roman"/>
          <w:sz w:val="24"/>
          <w:szCs w:val="24"/>
        </w:rPr>
        <w:t>elitos graves</w:t>
      </w:r>
      <w:r w:rsidR="005651BE">
        <w:rPr>
          <w:rFonts w:ascii="Times New Roman" w:hAnsi="Times New Roman" w:cs="Times New Roman"/>
          <w:sz w:val="24"/>
          <w:szCs w:val="24"/>
        </w:rPr>
        <w:t xml:space="preserve"> y que con esta objeción basta</w:t>
      </w:r>
      <w:r w:rsidR="00705F99">
        <w:rPr>
          <w:rFonts w:ascii="Times New Roman" w:hAnsi="Times New Roman" w:cs="Times New Roman"/>
          <w:sz w:val="24"/>
          <w:szCs w:val="24"/>
        </w:rPr>
        <w:t xml:space="preserve">. Es como si este propio principio quedara vacío de </w:t>
      </w:r>
      <w:r w:rsidR="003B3DA8">
        <w:rPr>
          <w:rFonts w:ascii="Times New Roman" w:hAnsi="Times New Roman" w:cs="Times New Roman"/>
          <w:sz w:val="24"/>
          <w:szCs w:val="24"/>
        </w:rPr>
        <w:t>contenido, pues lo que entiendo</w:t>
      </w:r>
      <w:r w:rsidR="00705F99">
        <w:rPr>
          <w:rFonts w:ascii="Times New Roman" w:hAnsi="Times New Roman" w:cs="Times New Roman"/>
          <w:sz w:val="24"/>
          <w:szCs w:val="24"/>
        </w:rPr>
        <w:t xml:space="preserve"> es q</w:t>
      </w:r>
      <w:r w:rsidR="003B3DA8">
        <w:rPr>
          <w:rFonts w:ascii="Times New Roman" w:hAnsi="Times New Roman" w:cs="Times New Roman"/>
          <w:sz w:val="24"/>
          <w:szCs w:val="24"/>
        </w:rPr>
        <w:t>ue si una droga no llega a alcanzar</w:t>
      </w:r>
      <w:r w:rsidR="00705F99">
        <w:rPr>
          <w:rFonts w:ascii="Times New Roman" w:hAnsi="Times New Roman" w:cs="Times New Roman"/>
          <w:sz w:val="24"/>
          <w:szCs w:val="24"/>
        </w:rPr>
        <w:t xml:space="preserve"> el mínimo psicoactivo</w:t>
      </w:r>
      <w:r w:rsidR="005651BE">
        <w:rPr>
          <w:rFonts w:ascii="Times New Roman" w:hAnsi="Times New Roman" w:cs="Times New Roman"/>
          <w:sz w:val="24"/>
          <w:szCs w:val="24"/>
        </w:rPr>
        <w:t>, la conducta ya es atípica, ya existe esa seguridad jurídica, no tiene sentido hablar de insignificancia</w:t>
      </w:r>
      <w:r w:rsidR="003B3DA8">
        <w:rPr>
          <w:rFonts w:ascii="Times New Roman" w:hAnsi="Times New Roman" w:cs="Times New Roman"/>
          <w:sz w:val="24"/>
          <w:szCs w:val="24"/>
        </w:rPr>
        <w:t xml:space="preserve"> para justificar la absolución o atipicidad de la conducta</w:t>
      </w:r>
      <w:r w:rsidR="005651BE">
        <w:rPr>
          <w:rFonts w:ascii="Times New Roman" w:hAnsi="Times New Roman" w:cs="Times New Roman"/>
          <w:sz w:val="24"/>
          <w:szCs w:val="24"/>
        </w:rPr>
        <w:t xml:space="preserve">. Por tales razones, veo más correcta o acorde la aplicación de ese principio cuando se rebasen por muy poco esas cantidades, </w:t>
      </w:r>
      <w:r w:rsidR="00450799">
        <w:rPr>
          <w:rFonts w:ascii="Times New Roman" w:hAnsi="Times New Roman" w:cs="Times New Roman"/>
          <w:sz w:val="24"/>
          <w:szCs w:val="24"/>
        </w:rPr>
        <w:t>pero para ello ya existe ese margen de error del 5% que se establece en las pericias. Es por ello, que estimo más adecuada aquí la interpretación y aplicación de un principio de insignificancia. O incluso cuando tenemos ese intervalo de dosis mínima psicoactiva en el caso de la heroína, fijado entre 0,66 y 1 miligramo. El Tribunal Supremo ha rechazado el extremo superior y ha admitido como límite el inferior</w:t>
      </w:r>
      <w:r w:rsidR="00587620">
        <w:rPr>
          <w:rFonts w:ascii="Times New Roman" w:hAnsi="Times New Roman" w:cs="Times New Roman"/>
          <w:sz w:val="24"/>
          <w:szCs w:val="24"/>
        </w:rPr>
        <w:t>, y podría resultar adecuado aplicar aquí tal principio si nos movemos entre estos márgenes.</w:t>
      </w:r>
    </w:p>
    <w:p w:rsidR="00450799" w:rsidRDefault="00450799" w:rsidP="00804B9A">
      <w:pPr>
        <w:rPr>
          <w:rFonts w:ascii="Times New Roman" w:hAnsi="Times New Roman" w:cs="Times New Roman"/>
          <w:sz w:val="24"/>
          <w:szCs w:val="24"/>
        </w:rPr>
      </w:pPr>
    </w:p>
    <w:p w:rsidR="00587620" w:rsidRDefault="009E7325" w:rsidP="00804B9A">
      <w:pPr>
        <w:rPr>
          <w:rFonts w:ascii="Times New Roman" w:hAnsi="Times New Roman" w:cs="Times New Roman"/>
          <w:sz w:val="24"/>
          <w:szCs w:val="24"/>
        </w:rPr>
      </w:pPr>
      <w:r>
        <w:rPr>
          <w:rFonts w:ascii="Times New Roman" w:hAnsi="Times New Roman" w:cs="Times New Roman"/>
          <w:sz w:val="24"/>
          <w:szCs w:val="24"/>
        </w:rPr>
        <w:t xml:space="preserve">Este criterio de mínimo psicoactivo en realidad es correcto, pero </w:t>
      </w:r>
      <w:r w:rsidR="00352E64">
        <w:rPr>
          <w:rFonts w:ascii="Times New Roman" w:hAnsi="Times New Roman" w:cs="Times New Roman"/>
          <w:sz w:val="24"/>
          <w:szCs w:val="24"/>
        </w:rPr>
        <w:t>debe</w:t>
      </w:r>
      <w:r>
        <w:rPr>
          <w:rFonts w:ascii="Times New Roman" w:hAnsi="Times New Roman" w:cs="Times New Roman"/>
          <w:sz w:val="24"/>
          <w:szCs w:val="24"/>
        </w:rPr>
        <w:t xml:space="preserve"> tenerse en cuenta que cuando hablamos de mínimo psicoactivo</w:t>
      </w:r>
      <w:r w:rsidR="00A52574">
        <w:rPr>
          <w:rFonts w:ascii="Times New Roman" w:hAnsi="Times New Roman" w:cs="Times New Roman"/>
          <w:sz w:val="24"/>
          <w:szCs w:val="24"/>
        </w:rPr>
        <w:t>,</w:t>
      </w:r>
      <w:r>
        <w:rPr>
          <w:rFonts w:ascii="Times New Roman" w:hAnsi="Times New Roman" w:cs="Times New Roman"/>
          <w:sz w:val="24"/>
          <w:szCs w:val="24"/>
        </w:rPr>
        <w:t xml:space="preserve"> hacemos refer</w:t>
      </w:r>
      <w:r w:rsidR="00352E64">
        <w:rPr>
          <w:rFonts w:ascii="Times New Roman" w:hAnsi="Times New Roman" w:cs="Times New Roman"/>
          <w:sz w:val="24"/>
          <w:szCs w:val="24"/>
        </w:rPr>
        <w:t>encia a índices que</w:t>
      </w:r>
      <w:r w:rsidR="00450799">
        <w:rPr>
          <w:rFonts w:ascii="Times New Roman" w:hAnsi="Times New Roman" w:cs="Times New Roman"/>
          <w:sz w:val="24"/>
          <w:szCs w:val="24"/>
        </w:rPr>
        <w:t xml:space="preserve"> separan lo que es toxicidad y objeto material del delito, </w:t>
      </w:r>
      <w:r w:rsidR="00352E64">
        <w:rPr>
          <w:rFonts w:ascii="Times New Roman" w:hAnsi="Times New Roman" w:cs="Times New Roman"/>
          <w:sz w:val="24"/>
          <w:szCs w:val="24"/>
        </w:rPr>
        <w:t>y que ese límite</w:t>
      </w:r>
      <w:r w:rsidR="00450799">
        <w:rPr>
          <w:rFonts w:ascii="Times New Roman" w:hAnsi="Times New Roman" w:cs="Times New Roman"/>
          <w:sz w:val="24"/>
          <w:szCs w:val="24"/>
        </w:rPr>
        <w:t xml:space="preserve"> de psicoactividad</w:t>
      </w:r>
      <w:r w:rsidR="00352E64">
        <w:rPr>
          <w:rFonts w:ascii="Times New Roman" w:hAnsi="Times New Roman" w:cs="Times New Roman"/>
          <w:sz w:val="24"/>
          <w:szCs w:val="24"/>
        </w:rPr>
        <w:t xml:space="preserve"> debe superarse para poder considerar a tales elementos como verdaderos objetos del delito</w:t>
      </w:r>
      <w:r w:rsidR="00587620">
        <w:rPr>
          <w:rFonts w:ascii="Times New Roman" w:hAnsi="Times New Roman" w:cs="Times New Roman"/>
          <w:sz w:val="24"/>
          <w:szCs w:val="24"/>
        </w:rPr>
        <w:t>.</w:t>
      </w:r>
    </w:p>
    <w:p w:rsidR="00587620" w:rsidRDefault="00587620" w:rsidP="00804B9A">
      <w:pPr>
        <w:rPr>
          <w:rFonts w:ascii="Times New Roman" w:hAnsi="Times New Roman" w:cs="Times New Roman"/>
          <w:sz w:val="24"/>
          <w:szCs w:val="24"/>
        </w:rPr>
      </w:pPr>
    </w:p>
    <w:p w:rsidR="00210447" w:rsidRDefault="00F062DE" w:rsidP="00804B9A">
      <w:pPr>
        <w:rPr>
          <w:rFonts w:ascii="Times New Roman" w:hAnsi="Times New Roman" w:cs="Times New Roman"/>
          <w:sz w:val="24"/>
          <w:szCs w:val="24"/>
        </w:rPr>
      </w:pPr>
      <w:r>
        <w:rPr>
          <w:rFonts w:ascii="Times New Roman" w:hAnsi="Times New Roman" w:cs="Times New Roman"/>
          <w:sz w:val="24"/>
          <w:szCs w:val="24"/>
        </w:rPr>
        <w:t xml:space="preserve">En </w:t>
      </w:r>
      <w:r w:rsidR="008846D5">
        <w:rPr>
          <w:rFonts w:ascii="Times New Roman" w:hAnsi="Times New Roman" w:cs="Times New Roman"/>
          <w:sz w:val="24"/>
          <w:szCs w:val="24"/>
        </w:rPr>
        <w:t>tercer lugar, y en clara y fundamental relación con la cuantía</w:t>
      </w:r>
      <w:r w:rsidR="00A52574">
        <w:rPr>
          <w:rFonts w:ascii="Times New Roman" w:hAnsi="Times New Roman" w:cs="Times New Roman"/>
          <w:sz w:val="24"/>
          <w:szCs w:val="24"/>
        </w:rPr>
        <w:t>,</w:t>
      </w:r>
      <w:r w:rsidR="008846D5">
        <w:rPr>
          <w:rFonts w:ascii="Times New Roman" w:hAnsi="Times New Roman" w:cs="Times New Roman"/>
          <w:sz w:val="24"/>
          <w:szCs w:val="24"/>
        </w:rPr>
        <w:t xml:space="preserve"> es el análisis de s</w:t>
      </w:r>
      <w:r w:rsidR="00210447">
        <w:rPr>
          <w:rFonts w:ascii="Times New Roman" w:hAnsi="Times New Roman" w:cs="Times New Roman"/>
          <w:sz w:val="24"/>
          <w:szCs w:val="24"/>
        </w:rPr>
        <w:t xml:space="preserve">u pureza. Mi conclusión extraída al respecto es que </w:t>
      </w:r>
      <w:r w:rsidR="008846D5">
        <w:rPr>
          <w:rFonts w:ascii="Times New Roman" w:hAnsi="Times New Roman" w:cs="Times New Roman"/>
          <w:sz w:val="24"/>
          <w:szCs w:val="24"/>
        </w:rPr>
        <w:t xml:space="preserve">al hablar de pureza es cuando verdaderamente </w:t>
      </w:r>
      <w:r w:rsidR="00CC753D">
        <w:rPr>
          <w:rFonts w:ascii="Times New Roman" w:hAnsi="Times New Roman" w:cs="Times New Roman"/>
          <w:sz w:val="24"/>
          <w:szCs w:val="24"/>
        </w:rPr>
        <w:t xml:space="preserve">se </w:t>
      </w:r>
      <w:r w:rsidR="00210447">
        <w:rPr>
          <w:rFonts w:ascii="Times New Roman" w:hAnsi="Times New Roman" w:cs="Times New Roman"/>
          <w:sz w:val="24"/>
          <w:szCs w:val="24"/>
        </w:rPr>
        <w:t>entiende</w:t>
      </w:r>
      <w:r w:rsidR="00CC753D">
        <w:rPr>
          <w:rFonts w:ascii="Times New Roman" w:hAnsi="Times New Roman" w:cs="Times New Roman"/>
          <w:sz w:val="24"/>
          <w:szCs w:val="24"/>
        </w:rPr>
        <w:t xml:space="preserve"> que ya </w:t>
      </w:r>
      <w:r w:rsidR="00587620">
        <w:rPr>
          <w:rFonts w:ascii="Times New Roman" w:hAnsi="Times New Roman" w:cs="Times New Roman"/>
          <w:sz w:val="24"/>
          <w:szCs w:val="24"/>
        </w:rPr>
        <w:t>tenemos un objeto material</w:t>
      </w:r>
      <w:r w:rsidR="00022609">
        <w:rPr>
          <w:rFonts w:ascii="Times New Roman" w:hAnsi="Times New Roman" w:cs="Times New Roman"/>
          <w:sz w:val="24"/>
          <w:szCs w:val="24"/>
        </w:rPr>
        <w:t>.</w:t>
      </w:r>
      <w:r w:rsidR="00587620">
        <w:rPr>
          <w:rFonts w:ascii="Times New Roman" w:hAnsi="Times New Roman" w:cs="Times New Roman"/>
          <w:sz w:val="24"/>
          <w:szCs w:val="24"/>
        </w:rPr>
        <w:t xml:space="preserve"> </w:t>
      </w:r>
      <w:r w:rsidR="00CC753D">
        <w:rPr>
          <w:rFonts w:ascii="Times New Roman" w:hAnsi="Times New Roman" w:cs="Times New Roman"/>
          <w:sz w:val="24"/>
          <w:szCs w:val="24"/>
        </w:rPr>
        <w:t>Además, la pureza está íntimamente relacionada con la cuantía, pues dependiendo de la propia cantidad de pureza estaremos ante un tipo penal u otro. De hecho</w:t>
      </w:r>
      <w:r w:rsidR="003B3DA8">
        <w:rPr>
          <w:rFonts w:ascii="Times New Roman" w:hAnsi="Times New Roman" w:cs="Times New Roman"/>
          <w:sz w:val="24"/>
          <w:szCs w:val="24"/>
        </w:rPr>
        <w:t>,</w:t>
      </w:r>
      <w:r w:rsidR="00CC753D">
        <w:rPr>
          <w:rFonts w:ascii="Times New Roman" w:hAnsi="Times New Roman" w:cs="Times New Roman"/>
          <w:sz w:val="24"/>
          <w:szCs w:val="24"/>
        </w:rPr>
        <w:t xml:space="preserve"> es el </w:t>
      </w:r>
      <w:r w:rsidR="00684FBE">
        <w:rPr>
          <w:rFonts w:ascii="Times New Roman" w:hAnsi="Times New Roman" w:cs="Times New Roman"/>
          <w:sz w:val="24"/>
          <w:szCs w:val="24"/>
        </w:rPr>
        <w:t>eslabón a partir del cual se empieza a crear la cadena de agravaciones: hay que medir la cantidad no desde un peso bruto, si no limpio y rico para poder ser más neutrales u objetivos</w:t>
      </w:r>
      <w:r w:rsidR="00210447">
        <w:rPr>
          <w:rFonts w:ascii="Times New Roman" w:hAnsi="Times New Roman" w:cs="Times New Roman"/>
          <w:sz w:val="24"/>
          <w:szCs w:val="24"/>
        </w:rPr>
        <w:t xml:space="preserve">. </w:t>
      </w:r>
      <w:r w:rsidR="00022609" w:rsidRPr="00022609">
        <w:rPr>
          <w:rFonts w:ascii="Times New Roman" w:hAnsi="Times New Roman" w:cs="Times New Roman"/>
          <w:sz w:val="24"/>
          <w:szCs w:val="24"/>
        </w:rPr>
        <w:t xml:space="preserve">A diferencia de esto, el mínimo psicoactivo queda como un mero referente para hablar de droga o no, pero no para sancionar más o menos. </w:t>
      </w:r>
      <w:r w:rsidR="00210447">
        <w:rPr>
          <w:rFonts w:ascii="Times New Roman" w:hAnsi="Times New Roman" w:cs="Times New Roman"/>
          <w:sz w:val="24"/>
          <w:szCs w:val="24"/>
        </w:rPr>
        <w:t xml:space="preserve">El análisis de la pureza resulta imprescindible, de lo contrario podría </w:t>
      </w:r>
      <w:r w:rsidR="00AD463E">
        <w:rPr>
          <w:rFonts w:ascii="Times New Roman" w:hAnsi="Times New Roman" w:cs="Times New Roman"/>
          <w:sz w:val="24"/>
          <w:szCs w:val="24"/>
        </w:rPr>
        <w:t xml:space="preserve">correr peligro </w:t>
      </w:r>
      <w:r w:rsidR="00210447">
        <w:rPr>
          <w:rFonts w:ascii="Times New Roman" w:hAnsi="Times New Roman" w:cs="Times New Roman"/>
          <w:sz w:val="24"/>
          <w:szCs w:val="24"/>
        </w:rPr>
        <w:t>el principio de presunción de inocencia y afloraría un posible arbitrio judicial.</w:t>
      </w:r>
    </w:p>
    <w:p w:rsidR="00642D23" w:rsidRDefault="00642D23" w:rsidP="00804B9A">
      <w:pPr>
        <w:rPr>
          <w:rFonts w:ascii="Times New Roman" w:hAnsi="Times New Roman" w:cs="Times New Roman"/>
          <w:sz w:val="24"/>
          <w:szCs w:val="24"/>
        </w:rPr>
      </w:pPr>
    </w:p>
    <w:p w:rsidR="00642D23" w:rsidRDefault="00642D23" w:rsidP="00804B9A">
      <w:pPr>
        <w:rPr>
          <w:rFonts w:ascii="Times New Roman" w:hAnsi="Times New Roman" w:cs="Times New Roman"/>
          <w:sz w:val="24"/>
          <w:szCs w:val="24"/>
        </w:rPr>
      </w:pPr>
      <w:r>
        <w:rPr>
          <w:rFonts w:ascii="Times New Roman" w:hAnsi="Times New Roman" w:cs="Times New Roman"/>
          <w:sz w:val="24"/>
          <w:szCs w:val="24"/>
        </w:rPr>
        <w:t>En cuarto lugar, los c</w:t>
      </w:r>
      <w:r w:rsidR="00ED78C0">
        <w:rPr>
          <w:rFonts w:ascii="Times New Roman" w:hAnsi="Times New Roman" w:cs="Times New Roman"/>
          <w:sz w:val="24"/>
          <w:szCs w:val="24"/>
        </w:rPr>
        <w:t>as</w:t>
      </w:r>
      <w:r>
        <w:rPr>
          <w:rFonts w:ascii="Times New Roman" w:hAnsi="Times New Roman" w:cs="Times New Roman"/>
          <w:sz w:val="24"/>
          <w:szCs w:val="24"/>
        </w:rPr>
        <w:t xml:space="preserve">os de autoconsumo </w:t>
      </w:r>
      <w:r w:rsidR="00ED78C0">
        <w:rPr>
          <w:rFonts w:ascii="Times New Roman" w:hAnsi="Times New Roman" w:cs="Times New Roman"/>
          <w:sz w:val="24"/>
          <w:szCs w:val="24"/>
        </w:rPr>
        <w:t>o consumo compartido presentan algunas incoherencias.</w:t>
      </w:r>
      <w:r w:rsidR="00A52574">
        <w:rPr>
          <w:rFonts w:ascii="Times New Roman" w:hAnsi="Times New Roman" w:cs="Times New Roman"/>
          <w:sz w:val="24"/>
          <w:szCs w:val="24"/>
        </w:rPr>
        <w:t xml:space="preserve"> </w:t>
      </w:r>
      <w:r w:rsidR="00ED78C0">
        <w:rPr>
          <w:rFonts w:ascii="Times New Roman" w:hAnsi="Times New Roman" w:cs="Times New Roman"/>
          <w:sz w:val="24"/>
          <w:szCs w:val="24"/>
        </w:rPr>
        <w:t xml:space="preserve">El </w:t>
      </w:r>
      <w:r>
        <w:rPr>
          <w:rFonts w:ascii="Times New Roman" w:hAnsi="Times New Roman" w:cs="Times New Roman"/>
          <w:sz w:val="24"/>
          <w:szCs w:val="24"/>
        </w:rPr>
        <w:t xml:space="preserve">Alto Tribunal en este tipo de conductas </w:t>
      </w:r>
      <w:r w:rsidR="00ED78C0">
        <w:rPr>
          <w:rFonts w:ascii="Times New Roman" w:hAnsi="Times New Roman" w:cs="Times New Roman"/>
          <w:sz w:val="24"/>
          <w:szCs w:val="24"/>
        </w:rPr>
        <w:t>no muestra uniformidad,</w:t>
      </w:r>
      <w:r>
        <w:rPr>
          <w:rFonts w:ascii="Times New Roman" w:hAnsi="Times New Roman" w:cs="Times New Roman"/>
          <w:sz w:val="24"/>
          <w:szCs w:val="24"/>
        </w:rPr>
        <w:t xml:space="preserve"> pues ya se ha podido ver</w:t>
      </w:r>
      <w:r w:rsidR="00ED78C0">
        <w:rPr>
          <w:rFonts w:ascii="Times New Roman" w:hAnsi="Times New Roman" w:cs="Times New Roman"/>
          <w:sz w:val="24"/>
          <w:szCs w:val="24"/>
        </w:rPr>
        <w:t xml:space="preserve"> las controversias que existen, algo que sin duda puede afectar al principio de seguridad jurídica. </w:t>
      </w:r>
      <w:r>
        <w:rPr>
          <w:rFonts w:ascii="Times New Roman" w:hAnsi="Times New Roman" w:cs="Times New Roman"/>
          <w:sz w:val="24"/>
          <w:szCs w:val="24"/>
        </w:rPr>
        <w:t>En mi opinión, hay que tener presente que estos delitos se denominan tráfico de drogas y no consumo de drogas, y que no sólo es de vital importancia tener en cuenta la cantidad de sustancia pura aprehendida</w:t>
      </w:r>
      <w:r w:rsidR="00126335">
        <w:rPr>
          <w:rFonts w:ascii="Times New Roman" w:hAnsi="Times New Roman" w:cs="Times New Roman"/>
          <w:sz w:val="24"/>
          <w:szCs w:val="24"/>
        </w:rPr>
        <w:t xml:space="preserve"> para poder p</w:t>
      </w:r>
      <w:r w:rsidR="00ED78C0">
        <w:rPr>
          <w:rFonts w:ascii="Times New Roman" w:hAnsi="Times New Roman" w:cs="Times New Roman"/>
          <w:sz w:val="24"/>
          <w:szCs w:val="24"/>
        </w:rPr>
        <w:t xml:space="preserve">enalizar estas conductas. La normativa debería contemplar, para mayor acierto, las </w:t>
      </w:r>
      <w:r w:rsidR="00126335">
        <w:rPr>
          <w:rFonts w:ascii="Times New Roman" w:hAnsi="Times New Roman" w:cs="Times New Roman"/>
          <w:sz w:val="24"/>
          <w:szCs w:val="24"/>
        </w:rPr>
        <w:t>características propias del sujeto y de los hechos</w:t>
      </w:r>
      <w:r w:rsidR="00A52574">
        <w:rPr>
          <w:rFonts w:ascii="Times New Roman" w:hAnsi="Times New Roman" w:cs="Times New Roman"/>
          <w:sz w:val="24"/>
          <w:szCs w:val="24"/>
        </w:rPr>
        <w:t>,</w:t>
      </w:r>
      <w:r w:rsidR="00126335">
        <w:rPr>
          <w:rFonts w:ascii="Times New Roman" w:hAnsi="Times New Roman" w:cs="Times New Roman"/>
          <w:sz w:val="24"/>
          <w:szCs w:val="24"/>
        </w:rPr>
        <w:t xml:space="preserve"> y ver si es factible, que así será en la mayoría de los casos, aplicar el ansiado tipo atenuado que el propio Tribunal Supremo ha venido reclamando durante tanto tiempo o incluso la propia atipicidad del hecho. Elementos como la adicción del sujeto, la economía, el estar consumiendo con un grupo determinado de personas en un lugar p</w:t>
      </w:r>
      <w:r w:rsidR="00A52574">
        <w:rPr>
          <w:rFonts w:ascii="Times New Roman" w:hAnsi="Times New Roman" w:cs="Times New Roman"/>
          <w:sz w:val="24"/>
          <w:szCs w:val="24"/>
        </w:rPr>
        <w:t>rivado</w:t>
      </w:r>
      <w:r w:rsidR="00126335">
        <w:rPr>
          <w:rFonts w:ascii="Times New Roman" w:hAnsi="Times New Roman" w:cs="Times New Roman"/>
          <w:sz w:val="24"/>
          <w:szCs w:val="24"/>
        </w:rPr>
        <w:t xml:space="preserve"> y sin posible repercusión </w:t>
      </w:r>
      <w:r w:rsidR="00E2331A">
        <w:rPr>
          <w:rFonts w:ascii="Times New Roman" w:hAnsi="Times New Roman" w:cs="Times New Roman"/>
          <w:sz w:val="24"/>
          <w:szCs w:val="24"/>
        </w:rPr>
        <w:t>a terceras personas y la in</w:t>
      </w:r>
      <w:r w:rsidR="003B3DA8">
        <w:rPr>
          <w:rFonts w:ascii="Times New Roman" w:hAnsi="Times New Roman" w:cs="Times New Roman"/>
          <w:sz w:val="24"/>
          <w:szCs w:val="24"/>
        </w:rPr>
        <w:t xml:space="preserve">tención de simplemente consumir </w:t>
      </w:r>
      <w:r w:rsidR="00E2331A">
        <w:rPr>
          <w:rFonts w:ascii="Times New Roman" w:hAnsi="Times New Roman" w:cs="Times New Roman"/>
          <w:sz w:val="24"/>
          <w:szCs w:val="24"/>
        </w:rPr>
        <w:t xml:space="preserve">(aunque a veces esas cantidades superen las tablas </w:t>
      </w:r>
      <w:r w:rsidR="00126335">
        <w:rPr>
          <w:rFonts w:ascii="Times New Roman" w:hAnsi="Times New Roman" w:cs="Times New Roman"/>
          <w:sz w:val="24"/>
          <w:szCs w:val="24"/>
        </w:rPr>
        <w:t xml:space="preserve"> </w:t>
      </w:r>
      <w:r w:rsidR="00E2331A">
        <w:rPr>
          <w:rFonts w:ascii="Times New Roman" w:hAnsi="Times New Roman" w:cs="Times New Roman"/>
          <w:sz w:val="24"/>
          <w:szCs w:val="24"/>
        </w:rPr>
        <w:t>del autoconsumo)  y no traficar</w:t>
      </w:r>
      <w:r w:rsidR="003B3DA8">
        <w:rPr>
          <w:rFonts w:ascii="Times New Roman" w:hAnsi="Times New Roman" w:cs="Times New Roman"/>
          <w:sz w:val="24"/>
          <w:szCs w:val="24"/>
        </w:rPr>
        <w:t xml:space="preserve"> (simple «</w:t>
      </w:r>
      <w:r w:rsidR="00860EC3">
        <w:rPr>
          <w:rFonts w:ascii="Times New Roman" w:hAnsi="Times New Roman" w:cs="Times New Roman"/>
          <w:sz w:val="24"/>
          <w:szCs w:val="24"/>
        </w:rPr>
        <w:t>a</w:t>
      </w:r>
      <w:r w:rsidR="003B3DA8">
        <w:rPr>
          <w:rFonts w:ascii="Times New Roman" w:hAnsi="Times New Roman" w:cs="Times New Roman"/>
          <w:sz w:val="24"/>
          <w:szCs w:val="24"/>
        </w:rPr>
        <w:t>nimus</w:t>
      </w:r>
      <w:r w:rsidR="00860EC3">
        <w:rPr>
          <w:rFonts w:ascii="Times New Roman" w:hAnsi="Times New Roman" w:cs="Times New Roman"/>
          <w:sz w:val="24"/>
          <w:szCs w:val="24"/>
        </w:rPr>
        <w:t>»),</w:t>
      </w:r>
      <w:r w:rsidR="00E2331A">
        <w:rPr>
          <w:rFonts w:ascii="Times New Roman" w:hAnsi="Times New Roman" w:cs="Times New Roman"/>
          <w:sz w:val="24"/>
          <w:szCs w:val="24"/>
        </w:rPr>
        <w:t xml:space="preserve"> son indicios bastantes a tener en cuenta a la hora de pensarse los años de condena o de libertad que recaen en la vida de un sujeto.</w:t>
      </w:r>
      <w:r w:rsidR="00860EC3">
        <w:rPr>
          <w:rFonts w:ascii="Times New Roman" w:hAnsi="Times New Roman" w:cs="Times New Roman"/>
          <w:sz w:val="24"/>
          <w:szCs w:val="24"/>
        </w:rPr>
        <w:t xml:space="preserve"> La norma debería de contemplar una mayor </w:t>
      </w:r>
      <w:r w:rsidR="00ED78C0">
        <w:rPr>
          <w:rFonts w:ascii="Times New Roman" w:hAnsi="Times New Roman" w:cs="Times New Roman"/>
          <w:sz w:val="24"/>
          <w:szCs w:val="24"/>
        </w:rPr>
        <w:t xml:space="preserve"> proporcional</w:t>
      </w:r>
      <w:r w:rsidR="00860EC3">
        <w:rPr>
          <w:rFonts w:ascii="Times New Roman" w:hAnsi="Times New Roman" w:cs="Times New Roman"/>
          <w:sz w:val="24"/>
          <w:szCs w:val="24"/>
        </w:rPr>
        <w:t>idad</w:t>
      </w:r>
      <w:r w:rsidR="00ED78C0">
        <w:rPr>
          <w:rFonts w:ascii="Times New Roman" w:hAnsi="Times New Roman" w:cs="Times New Roman"/>
          <w:sz w:val="24"/>
          <w:szCs w:val="24"/>
        </w:rPr>
        <w:t>, pues no es lo mismo que nos encontremos ante un sujeto que empieza a con</w:t>
      </w:r>
      <w:r w:rsidR="001B2A9E">
        <w:rPr>
          <w:rFonts w:ascii="Times New Roman" w:hAnsi="Times New Roman" w:cs="Times New Roman"/>
          <w:sz w:val="24"/>
          <w:szCs w:val="24"/>
        </w:rPr>
        <w:t>sumir que un sujeto dependiente. Es obvio que éste último necesitará más cantidad de sustancia en los mismos días de acopio que un sujeto normal que consuma por simple hábito o costumbre.</w:t>
      </w:r>
      <w:r w:rsidR="00ED78C0">
        <w:rPr>
          <w:rFonts w:ascii="Times New Roman" w:hAnsi="Times New Roman" w:cs="Times New Roman"/>
          <w:sz w:val="24"/>
          <w:szCs w:val="24"/>
        </w:rPr>
        <w:t xml:space="preserve"> Por ello, es coherente entender que éste </w:t>
      </w:r>
      <w:r w:rsidR="001B2A9E">
        <w:rPr>
          <w:rFonts w:ascii="Times New Roman" w:hAnsi="Times New Roman" w:cs="Times New Roman"/>
          <w:sz w:val="24"/>
          <w:szCs w:val="24"/>
        </w:rPr>
        <w:t xml:space="preserve">sujeto adicto </w:t>
      </w:r>
      <w:r w:rsidR="00ED78C0">
        <w:rPr>
          <w:rFonts w:ascii="Times New Roman" w:hAnsi="Times New Roman" w:cs="Times New Roman"/>
          <w:sz w:val="24"/>
          <w:szCs w:val="24"/>
        </w:rPr>
        <w:t>tenderá a consumir más, y quizás la norma debería de ser más flexible en este tipo de conductas, buscando no la atenuación del segundo párrafo del tipo base, sino una comp</w:t>
      </w:r>
      <w:r w:rsidR="001B2A9E">
        <w:rPr>
          <w:rFonts w:ascii="Times New Roman" w:hAnsi="Times New Roman" w:cs="Times New Roman"/>
          <w:sz w:val="24"/>
          <w:szCs w:val="24"/>
        </w:rPr>
        <w:t>leta atipicidad de la conducta</w:t>
      </w:r>
      <w:bookmarkStart w:id="44" w:name="_GoBack"/>
      <w:bookmarkEnd w:id="44"/>
      <w:r w:rsidR="001B2A9E">
        <w:rPr>
          <w:rFonts w:ascii="Times New Roman" w:hAnsi="Times New Roman" w:cs="Times New Roman"/>
          <w:sz w:val="24"/>
          <w:szCs w:val="24"/>
        </w:rPr>
        <w:t>.</w:t>
      </w:r>
    </w:p>
    <w:p w:rsidR="00E2331A" w:rsidRDefault="00E2331A" w:rsidP="00804B9A">
      <w:pPr>
        <w:rPr>
          <w:rFonts w:ascii="Times New Roman" w:hAnsi="Times New Roman" w:cs="Times New Roman"/>
          <w:sz w:val="24"/>
          <w:szCs w:val="24"/>
        </w:rPr>
      </w:pPr>
    </w:p>
    <w:p w:rsidR="00E2331A" w:rsidRDefault="00E2331A" w:rsidP="00804B9A">
      <w:r>
        <w:rPr>
          <w:rFonts w:ascii="Times New Roman" w:hAnsi="Times New Roman" w:cs="Times New Roman"/>
          <w:sz w:val="24"/>
          <w:szCs w:val="24"/>
        </w:rPr>
        <w:t xml:space="preserve">En </w:t>
      </w:r>
      <w:r w:rsidR="00A52574">
        <w:rPr>
          <w:rFonts w:ascii="Times New Roman" w:hAnsi="Times New Roman" w:cs="Times New Roman"/>
          <w:sz w:val="24"/>
          <w:szCs w:val="24"/>
        </w:rPr>
        <w:t>definitiva</w:t>
      </w:r>
      <w:r>
        <w:rPr>
          <w:rFonts w:ascii="Times New Roman" w:hAnsi="Times New Roman" w:cs="Times New Roman"/>
          <w:sz w:val="24"/>
          <w:szCs w:val="24"/>
        </w:rPr>
        <w:t xml:space="preserve">, siguen faltando delimitaciones claves que el propio Tribunal Supremo debería tener en cuenta y que deben de quedar correctamente fijadas por el legislador, pues a fin de cuentas, los jueces sólo pueden aplicar lo que la propia Ley les dice, pero usando ese margen de interpretación que también </w:t>
      </w:r>
      <w:r w:rsidR="00D16DC0">
        <w:rPr>
          <w:rFonts w:ascii="Times New Roman" w:hAnsi="Times New Roman" w:cs="Times New Roman"/>
          <w:sz w:val="24"/>
          <w:szCs w:val="24"/>
        </w:rPr>
        <w:t>le es concedido,</w:t>
      </w:r>
      <w:r w:rsidR="00A52574">
        <w:rPr>
          <w:rFonts w:ascii="Times New Roman" w:hAnsi="Times New Roman" w:cs="Times New Roman"/>
          <w:sz w:val="24"/>
          <w:szCs w:val="24"/>
        </w:rPr>
        <w:t xml:space="preserve"> usando el</w:t>
      </w:r>
      <w:r>
        <w:rPr>
          <w:rFonts w:ascii="Times New Roman" w:hAnsi="Times New Roman" w:cs="Times New Roman"/>
          <w:sz w:val="24"/>
          <w:szCs w:val="24"/>
        </w:rPr>
        <w:t xml:space="preserve"> razonamiento y observancia hacia cada caso concreto</w:t>
      </w:r>
      <w:r w:rsidR="00D16DC0">
        <w:rPr>
          <w:rFonts w:ascii="Times New Roman" w:hAnsi="Times New Roman" w:cs="Times New Roman"/>
          <w:sz w:val="24"/>
          <w:szCs w:val="24"/>
        </w:rPr>
        <w:t>,</w:t>
      </w:r>
      <w:r>
        <w:rPr>
          <w:rFonts w:ascii="Times New Roman" w:hAnsi="Times New Roman" w:cs="Times New Roman"/>
          <w:sz w:val="24"/>
          <w:szCs w:val="24"/>
        </w:rPr>
        <w:t xml:space="preserve"> porque en este tipo de infracciones las penas son, bajo mi criterio, bastante desproporcionadas.</w:t>
      </w:r>
    </w:p>
    <w:p w:rsidR="000C76C9" w:rsidRPr="00804B9A" w:rsidRDefault="000C76C9" w:rsidP="00804B9A"/>
    <w:p w:rsidR="00804B9A" w:rsidRDefault="00804B9A" w:rsidP="00804B9A">
      <w:pPr>
        <w:pStyle w:val="Ttulo1"/>
        <w:numPr>
          <w:ilvl w:val="0"/>
          <w:numId w:val="9"/>
        </w:numPr>
        <w:rPr>
          <w:rFonts w:ascii="Times New Roman" w:hAnsi="Times New Roman" w:cs="Times New Roman"/>
          <w:color w:val="auto"/>
          <w:sz w:val="24"/>
          <w:szCs w:val="24"/>
        </w:rPr>
      </w:pPr>
      <w:bookmarkStart w:id="45" w:name="_Toc393739402"/>
      <w:r w:rsidRPr="00DF3379">
        <w:rPr>
          <w:rFonts w:ascii="Times New Roman" w:hAnsi="Times New Roman" w:cs="Times New Roman"/>
          <w:color w:val="auto"/>
          <w:sz w:val="24"/>
          <w:szCs w:val="24"/>
        </w:rPr>
        <w:t>BIBLIOGRAFÍA</w:t>
      </w:r>
      <w:bookmarkEnd w:id="45"/>
    </w:p>
    <w:p w:rsidR="009B1A2F" w:rsidRPr="009B1A2F" w:rsidRDefault="00163DA2" w:rsidP="009B1A2F">
      <w:pPr>
        <w:pStyle w:val="Prrafodelista"/>
        <w:numPr>
          <w:ilvl w:val="0"/>
          <w:numId w:val="2"/>
        </w:numPr>
        <w:rPr>
          <w:rFonts w:ascii="Times New Roman" w:hAnsi="Times New Roman" w:cs="Times New Roman"/>
          <w:sz w:val="24"/>
          <w:szCs w:val="24"/>
          <w:lang w:val="es-ES"/>
        </w:rPr>
      </w:pPr>
      <w:r>
        <w:rPr>
          <w:rFonts w:ascii="Times New Roman" w:hAnsi="Times New Roman" w:cs="Times New Roman"/>
          <w:sz w:val="24"/>
          <w:szCs w:val="24"/>
        </w:rPr>
        <w:t>Arángu</w:t>
      </w:r>
      <w:r w:rsidR="009C23C8" w:rsidRPr="009C23C8">
        <w:rPr>
          <w:rFonts w:ascii="Times New Roman" w:hAnsi="Times New Roman" w:cs="Times New Roman"/>
          <w:sz w:val="24"/>
          <w:szCs w:val="24"/>
        </w:rPr>
        <w:t xml:space="preserve">ez Sánchez, C., (1999), “Criterios del Tribunal Supremo para delimitar el ámbito de lo punible en la posesión de drogas”, </w:t>
      </w:r>
      <w:r w:rsidR="009C23C8" w:rsidRPr="009C23C8">
        <w:rPr>
          <w:rFonts w:ascii="Times New Roman" w:hAnsi="Times New Roman" w:cs="Times New Roman"/>
          <w:i/>
          <w:sz w:val="24"/>
          <w:szCs w:val="24"/>
        </w:rPr>
        <w:t xml:space="preserve">Revista Electrónica de Ciencia Penal </w:t>
      </w:r>
      <w:r w:rsidR="009C23C8" w:rsidRPr="009C23C8">
        <w:rPr>
          <w:rFonts w:ascii="Times New Roman" w:hAnsi="Times New Roman" w:cs="Times New Roman"/>
          <w:i/>
          <w:sz w:val="24"/>
          <w:szCs w:val="24"/>
        </w:rPr>
        <w:lastRenderedPageBreak/>
        <w:t>y Criminología</w:t>
      </w:r>
      <w:r w:rsidR="009C23C8" w:rsidRPr="009C23C8">
        <w:rPr>
          <w:rFonts w:ascii="Times New Roman" w:hAnsi="Times New Roman" w:cs="Times New Roman"/>
          <w:sz w:val="24"/>
          <w:szCs w:val="24"/>
        </w:rPr>
        <w:t>, RECPC 01-04.</w:t>
      </w:r>
      <w:r w:rsidR="00C54EC9">
        <w:rPr>
          <w:rFonts w:ascii="Times New Roman" w:hAnsi="Times New Roman" w:cs="Times New Roman"/>
          <w:sz w:val="24"/>
          <w:szCs w:val="24"/>
        </w:rPr>
        <w:t xml:space="preserve"> (No paginado), </w:t>
      </w:r>
      <w:r w:rsidR="009C23C8" w:rsidRPr="009C23C8">
        <w:rPr>
          <w:rFonts w:ascii="Times New Roman" w:hAnsi="Times New Roman" w:cs="Times New Roman"/>
          <w:sz w:val="24"/>
          <w:szCs w:val="24"/>
          <w:lang w:val="es-ES"/>
        </w:rPr>
        <w:t>Disponible</w:t>
      </w:r>
      <w:r w:rsidR="009C23C8" w:rsidRPr="00163DA2">
        <w:rPr>
          <w:rFonts w:ascii="Times New Roman" w:hAnsi="Times New Roman" w:cs="Times New Roman"/>
          <w:sz w:val="24"/>
          <w:szCs w:val="24"/>
          <w:lang w:val="es-ES"/>
        </w:rPr>
        <w:t xml:space="preserve"> </w:t>
      </w:r>
      <w:r w:rsidR="00626031">
        <w:rPr>
          <w:rFonts w:ascii="Times New Roman" w:hAnsi="Times New Roman" w:cs="Times New Roman"/>
          <w:sz w:val="24"/>
          <w:szCs w:val="24"/>
          <w:lang w:val="es-ES"/>
        </w:rPr>
        <w:t xml:space="preserve">on-line: </w:t>
      </w:r>
      <w:r w:rsidR="009B1A2F" w:rsidRPr="009B1A2F">
        <w:rPr>
          <w:rFonts w:ascii="Times New Roman" w:hAnsi="Times New Roman" w:cs="Times New Roman"/>
          <w:sz w:val="24"/>
          <w:szCs w:val="24"/>
          <w:lang w:val="es-ES"/>
        </w:rPr>
        <w:t>http://criminet.ugr.es/recpc/recpc_01-04.html</w:t>
      </w:r>
    </w:p>
    <w:p w:rsidR="00490F3D" w:rsidRPr="00E22DAB" w:rsidRDefault="00490F3D" w:rsidP="006A65AC">
      <w:pPr>
        <w:pStyle w:val="Prrafodelista"/>
        <w:numPr>
          <w:ilvl w:val="0"/>
          <w:numId w:val="2"/>
        </w:numPr>
        <w:rPr>
          <w:rFonts w:ascii="Times New Roman" w:hAnsi="Times New Roman" w:cs="Times New Roman"/>
          <w:sz w:val="24"/>
          <w:szCs w:val="24"/>
          <w:lang w:val="es-ES"/>
        </w:rPr>
      </w:pPr>
      <w:r>
        <w:rPr>
          <w:rFonts w:ascii="Times New Roman" w:hAnsi="Times New Roman" w:cs="Times New Roman"/>
          <w:sz w:val="24"/>
          <w:szCs w:val="24"/>
          <w:lang w:val="es-ES"/>
        </w:rPr>
        <w:t xml:space="preserve">Armenteros León, M., (2009), “Criterios para la aplicación del subtipo agravado de extrema gravedad en el delito de tráfico de drogas”, </w:t>
      </w:r>
      <w:r>
        <w:rPr>
          <w:rFonts w:ascii="Times New Roman" w:hAnsi="Times New Roman" w:cs="Times New Roman"/>
          <w:i/>
          <w:sz w:val="24"/>
          <w:szCs w:val="24"/>
          <w:lang w:val="es-ES"/>
        </w:rPr>
        <w:t>Diario La Ley</w:t>
      </w:r>
      <w:r>
        <w:rPr>
          <w:rFonts w:ascii="Times New Roman" w:hAnsi="Times New Roman" w:cs="Times New Roman"/>
          <w:sz w:val="24"/>
          <w:szCs w:val="24"/>
          <w:lang w:val="es-ES"/>
        </w:rPr>
        <w:t>, nº 7174.</w:t>
      </w:r>
      <w:r w:rsidR="006A65AC">
        <w:rPr>
          <w:rFonts w:ascii="Times New Roman" w:hAnsi="Times New Roman" w:cs="Times New Roman"/>
          <w:sz w:val="24"/>
          <w:szCs w:val="24"/>
          <w:lang w:val="es-ES"/>
        </w:rPr>
        <w:t xml:space="preserve"> </w:t>
      </w:r>
      <w:r w:rsidR="00C54EC9">
        <w:rPr>
          <w:rFonts w:ascii="Times New Roman" w:hAnsi="Times New Roman" w:cs="Times New Roman"/>
          <w:sz w:val="24"/>
          <w:szCs w:val="24"/>
          <w:lang w:val="es-ES"/>
        </w:rPr>
        <w:t>(</w:t>
      </w:r>
      <w:r w:rsidR="006A65AC">
        <w:rPr>
          <w:rFonts w:ascii="Times New Roman" w:hAnsi="Times New Roman" w:cs="Times New Roman"/>
          <w:sz w:val="24"/>
          <w:szCs w:val="24"/>
          <w:lang w:val="es-ES"/>
        </w:rPr>
        <w:t xml:space="preserve">No </w:t>
      </w:r>
      <w:r w:rsidR="00C54EC9">
        <w:rPr>
          <w:rFonts w:ascii="Times New Roman" w:hAnsi="Times New Roman" w:cs="Times New Roman"/>
          <w:sz w:val="24"/>
          <w:szCs w:val="24"/>
          <w:lang w:val="es-ES"/>
        </w:rPr>
        <w:t>paginado),</w:t>
      </w:r>
      <w:r w:rsidR="006A65AC">
        <w:rPr>
          <w:rFonts w:ascii="Times New Roman" w:hAnsi="Times New Roman" w:cs="Times New Roman"/>
          <w:sz w:val="24"/>
          <w:szCs w:val="24"/>
          <w:lang w:val="es-ES"/>
        </w:rPr>
        <w:t xml:space="preserve"> Disponible on-line a través de la base de datos de laleydigital.es: </w:t>
      </w:r>
      <w:r w:rsidR="006A65AC" w:rsidRPr="006A65AC">
        <w:rPr>
          <w:rFonts w:ascii="Times New Roman" w:hAnsi="Times New Roman" w:cs="Times New Roman"/>
          <w:sz w:val="24"/>
          <w:szCs w:val="24"/>
          <w:lang w:val="es-ES"/>
        </w:rPr>
        <w:t>http://0-laleydigital.laley.es.avalos.</w:t>
      </w:r>
      <w:r w:rsidR="006A65AC">
        <w:rPr>
          <w:rFonts w:ascii="Times New Roman" w:hAnsi="Times New Roman" w:cs="Times New Roman"/>
          <w:sz w:val="24"/>
          <w:szCs w:val="24"/>
          <w:lang w:val="es-ES"/>
        </w:rPr>
        <w:t>ujaen.es/.</w:t>
      </w:r>
    </w:p>
    <w:p w:rsidR="009C23C8" w:rsidRPr="00E22DAB" w:rsidRDefault="009C23C8" w:rsidP="009C23C8">
      <w:pPr>
        <w:pStyle w:val="Prrafodelista"/>
        <w:numPr>
          <w:ilvl w:val="0"/>
          <w:numId w:val="2"/>
        </w:numPr>
        <w:rPr>
          <w:rFonts w:ascii="Times New Roman" w:hAnsi="Times New Roman" w:cs="Times New Roman"/>
          <w:sz w:val="24"/>
          <w:szCs w:val="24"/>
          <w:lang w:val="es-ES"/>
        </w:rPr>
      </w:pPr>
      <w:r w:rsidRPr="009C23C8">
        <w:rPr>
          <w:rFonts w:ascii="Times New Roman" w:hAnsi="Times New Roman" w:cs="Times New Roman"/>
          <w:sz w:val="24"/>
          <w:szCs w:val="24"/>
          <w:lang w:val="es-ES"/>
        </w:rPr>
        <w:t xml:space="preserve">Barón Quintero, S., (2004), “Delitos contra la seguridad colectiva: salud pública y seguridad del tráfico”, </w:t>
      </w:r>
      <w:r w:rsidRPr="009C23C8">
        <w:rPr>
          <w:rFonts w:ascii="Times New Roman" w:hAnsi="Times New Roman" w:cs="Times New Roman"/>
          <w:i/>
          <w:sz w:val="24"/>
          <w:szCs w:val="24"/>
          <w:lang w:val="es-ES"/>
        </w:rPr>
        <w:t>Revista General de Derecho Penal</w:t>
      </w:r>
      <w:r w:rsidRPr="009C23C8">
        <w:rPr>
          <w:rFonts w:ascii="Times New Roman" w:hAnsi="Times New Roman" w:cs="Times New Roman"/>
          <w:sz w:val="24"/>
          <w:szCs w:val="24"/>
          <w:lang w:val="es-ES"/>
        </w:rPr>
        <w:t xml:space="preserve">, (2) (Ref. </w:t>
      </w:r>
      <w:r w:rsidRPr="00E22DAB">
        <w:rPr>
          <w:rFonts w:ascii="Times New Roman" w:hAnsi="Times New Roman" w:cs="Times New Roman"/>
          <w:sz w:val="24"/>
          <w:szCs w:val="24"/>
          <w:lang w:val="es-ES"/>
        </w:rPr>
        <w:t>Iustel §403287), pp.</w:t>
      </w:r>
      <w:r w:rsidR="00C54EC9">
        <w:rPr>
          <w:rFonts w:ascii="Times New Roman" w:hAnsi="Times New Roman" w:cs="Times New Roman"/>
          <w:sz w:val="24"/>
          <w:szCs w:val="24"/>
          <w:lang w:val="es-ES"/>
        </w:rPr>
        <w:t xml:space="preserve"> </w:t>
      </w:r>
      <w:r w:rsidRPr="00E22DAB">
        <w:rPr>
          <w:rFonts w:ascii="Times New Roman" w:hAnsi="Times New Roman" w:cs="Times New Roman"/>
          <w:sz w:val="24"/>
          <w:szCs w:val="24"/>
          <w:lang w:val="es-ES"/>
        </w:rPr>
        <w:t xml:space="preserve">2-8. </w:t>
      </w:r>
      <w:r w:rsidRPr="009C23C8">
        <w:rPr>
          <w:rFonts w:ascii="Times New Roman" w:hAnsi="Times New Roman" w:cs="Times New Roman"/>
          <w:sz w:val="24"/>
          <w:szCs w:val="24"/>
        </w:rPr>
        <w:t>Disponible</w:t>
      </w:r>
      <w:r w:rsidRPr="00E22DAB">
        <w:rPr>
          <w:rFonts w:ascii="Times New Roman" w:hAnsi="Times New Roman" w:cs="Times New Roman"/>
          <w:sz w:val="24"/>
          <w:szCs w:val="24"/>
          <w:lang w:val="es-ES"/>
        </w:rPr>
        <w:t xml:space="preserve"> on-line: http://0-www.iustel.com.</w:t>
      </w:r>
    </w:p>
    <w:p w:rsidR="000C76C9" w:rsidRDefault="000C76C9" w:rsidP="003062B8">
      <w:pPr>
        <w:pStyle w:val="Prrafodelista"/>
        <w:numPr>
          <w:ilvl w:val="0"/>
          <w:numId w:val="2"/>
        </w:numPr>
        <w:rPr>
          <w:rFonts w:ascii="Times New Roman" w:hAnsi="Times New Roman" w:cs="Times New Roman"/>
          <w:sz w:val="24"/>
          <w:szCs w:val="24"/>
        </w:rPr>
      </w:pPr>
      <w:r w:rsidRPr="000C76C9">
        <w:rPr>
          <w:rFonts w:ascii="Times New Roman" w:hAnsi="Times New Roman" w:cs="Times New Roman"/>
          <w:sz w:val="24"/>
          <w:szCs w:val="24"/>
        </w:rPr>
        <w:t>Domínguez Izquierdo, E.</w:t>
      </w:r>
      <w:r w:rsidR="003062B8">
        <w:rPr>
          <w:rFonts w:ascii="Times New Roman" w:hAnsi="Times New Roman" w:cs="Times New Roman"/>
          <w:sz w:val="24"/>
          <w:szCs w:val="24"/>
        </w:rPr>
        <w:t>,</w:t>
      </w:r>
      <w:r w:rsidRPr="000C76C9">
        <w:rPr>
          <w:rFonts w:ascii="Times New Roman" w:hAnsi="Times New Roman" w:cs="Times New Roman"/>
          <w:sz w:val="24"/>
          <w:szCs w:val="24"/>
        </w:rPr>
        <w:t xml:space="preserve"> </w:t>
      </w:r>
      <w:r w:rsidR="003062B8" w:rsidRPr="003062B8">
        <w:rPr>
          <w:rFonts w:ascii="Times New Roman" w:hAnsi="Times New Roman" w:cs="Times New Roman"/>
          <w:sz w:val="24"/>
          <w:szCs w:val="24"/>
        </w:rPr>
        <w:t>(2003</w:t>
      </w:r>
      <w:r w:rsidR="003062B8">
        <w:rPr>
          <w:rFonts w:ascii="Times New Roman" w:hAnsi="Times New Roman" w:cs="Times New Roman"/>
          <w:sz w:val="24"/>
          <w:szCs w:val="24"/>
        </w:rPr>
        <w:t xml:space="preserve">), </w:t>
      </w:r>
      <w:r w:rsidRPr="000C76C9">
        <w:rPr>
          <w:rFonts w:ascii="Times New Roman" w:hAnsi="Times New Roman" w:cs="Times New Roman"/>
          <w:sz w:val="24"/>
          <w:szCs w:val="24"/>
        </w:rPr>
        <w:t>“El delito de tráfico de drogas: las causas de justificación y las circunstancias modificativas que ag</w:t>
      </w:r>
      <w:r w:rsidR="003062B8">
        <w:rPr>
          <w:rFonts w:ascii="Times New Roman" w:hAnsi="Times New Roman" w:cs="Times New Roman"/>
          <w:sz w:val="24"/>
          <w:szCs w:val="24"/>
        </w:rPr>
        <w:t>ravan la responsabilidad penal”</w:t>
      </w:r>
      <w:r w:rsidRPr="000C76C9">
        <w:rPr>
          <w:rFonts w:ascii="Times New Roman" w:hAnsi="Times New Roman" w:cs="Times New Roman"/>
          <w:sz w:val="24"/>
          <w:szCs w:val="24"/>
        </w:rPr>
        <w:t xml:space="preserve"> en Morillas Cueva</w:t>
      </w:r>
      <w:r w:rsidR="00AC74EC">
        <w:rPr>
          <w:rFonts w:ascii="Times New Roman" w:hAnsi="Times New Roman" w:cs="Times New Roman"/>
          <w:sz w:val="24"/>
          <w:szCs w:val="24"/>
        </w:rPr>
        <w:t>, L.,</w:t>
      </w:r>
      <w:r w:rsidR="003062B8">
        <w:rPr>
          <w:rFonts w:ascii="Times New Roman" w:hAnsi="Times New Roman" w:cs="Times New Roman"/>
          <w:sz w:val="24"/>
          <w:szCs w:val="24"/>
        </w:rPr>
        <w:t xml:space="preserve"> (Coord.):</w:t>
      </w:r>
      <w:r w:rsidRPr="000C76C9">
        <w:rPr>
          <w:rFonts w:ascii="Times New Roman" w:hAnsi="Times New Roman" w:cs="Times New Roman"/>
          <w:sz w:val="24"/>
          <w:szCs w:val="24"/>
        </w:rPr>
        <w:t xml:space="preserve"> </w:t>
      </w:r>
      <w:r w:rsidRPr="000C76C9">
        <w:rPr>
          <w:rFonts w:ascii="Times New Roman" w:hAnsi="Times New Roman" w:cs="Times New Roman"/>
          <w:i/>
          <w:sz w:val="24"/>
          <w:szCs w:val="24"/>
        </w:rPr>
        <w:t>Estudios jurídico-penales y político-criminales sobre tráfico de drogas y figuras afines</w:t>
      </w:r>
      <w:r w:rsidRPr="000C76C9">
        <w:rPr>
          <w:rFonts w:ascii="Times New Roman" w:hAnsi="Times New Roman" w:cs="Times New Roman"/>
          <w:sz w:val="24"/>
          <w:szCs w:val="24"/>
        </w:rPr>
        <w:t>, Madrid, Dykinson, p</w:t>
      </w:r>
      <w:r w:rsidR="00C54EC9">
        <w:rPr>
          <w:rFonts w:ascii="Times New Roman" w:hAnsi="Times New Roman" w:cs="Times New Roman"/>
          <w:sz w:val="24"/>
          <w:szCs w:val="24"/>
        </w:rPr>
        <w:t>p</w:t>
      </w:r>
      <w:r w:rsidRPr="000C76C9">
        <w:rPr>
          <w:rFonts w:ascii="Times New Roman" w:hAnsi="Times New Roman" w:cs="Times New Roman"/>
          <w:sz w:val="24"/>
          <w:szCs w:val="24"/>
        </w:rPr>
        <w:t>.</w:t>
      </w:r>
      <w:r w:rsidR="00C54EC9">
        <w:rPr>
          <w:rFonts w:ascii="Times New Roman" w:hAnsi="Times New Roman" w:cs="Times New Roman"/>
          <w:sz w:val="24"/>
          <w:szCs w:val="24"/>
        </w:rPr>
        <w:t xml:space="preserve"> </w:t>
      </w:r>
      <w:r w:rsidRPr="000C76C9">
        <w:rPr>
          <w:rFonts w:ascii="Times New Roman" w:hAnsi="Times New Roman" w:cs="Times New Roman"/>
          <w:sz w:val="24"/>
          <w:szCs w:val="24"/>
        </w:rPr>
        <w:t>342-353</w:t>
      </w:r>
      <w:r w:rsidR="003062B8">
        <w:rPr>
          <w:rFonts w:ascii="Times New Roman" w:hAnsi="Times New Roman" w:cs="Times New Roman"/>
          <w:sz w:val="24"/>
          <w:szCs w:val="24"/>
        </w:rPr>
        <w:t>.</w:t>
      </w:r>
    </w:p>
    <w:p w:rsidR="00122A40" w:rsidRPr="000C76C9" w:rsidRDefault="00122A40" w:rsidP="003062B8">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Etxebarría Zarrabeitia, X., (2011), “Propuesta de interpretación del segundo párrafo del artículo 368 del Código Penal), </w:t>
      </w:r>
      <w:r>
        <w:rPr>
          <w:rFonts w:ascii="Times New Roman" w:hAnsi="Times New Roman" w:cs="Times New Roman"/>
          <w:i/>
          <w:sz w:val="24"/>
          <w:szCs w:val="24"/>
        </w:rPr>
        <w:t xml:space="preserve">Revista de derecho penal, procesal y penitenciario La Ley Penal, </w:t>
      </w:r>
      <w:r>
        <w:rPr>
          <w:rFonts w:ascii="Times New Roman" w:hAnsi="Times New Roman" w:cs="Times New Roman"/>
          <w:sz w:val="24"/>
          <w:szCs w:val="24"/>
        </w:rPr>
        <w:t>Nº85, pp.</w:t>
      </w:r>
      <w:r w:rsidR="00C54EC9">
        <w:rPr>
          <w:rFonts w:ascii="Times New Roman" w:hAnsi="Times New Roman" w:cs="Times New Roman"/>
          <w:sz w:val="24"/>
          <w:szCs w:val="24"/>
        </w:rPr>
        <w:t xml:space="preserve"> </w:t>
      </w:r>
      <w:r>
        <w:rPr>
          <w:rFonts w:ascii="Times New Roman" w:hAnsi="Times New Roman" w:cs="Times New Roman"/>
          <w:sz w:val="24"/>
          <w:szCs w:val="24"/>
        </w:rPr>
        <w:t>44-50.</w:t>
      </w:r>
    </w:p>
    <w:p w:rsidR="000C76C9" w:rsidRDefault="000C76C9" w:rsidP="000C76C9">
      <w:pPr>
        <w:pStyle w:val="Prrafodelista"/>
        <w:numPr>
          <w:ilvl w:val="0"/>
          <w:numId w:val="2"/>
        </w:numPr>
        <w:rPr>
          <w:rFonts w:ascii="Times New Roman" w:hAnsi="Times New Roman" w:cs="Times New Roman"/>
          <w:sz w:val="24"/>
          <w:szCs w:val="24"/>
        </w:rPr>
      </w:pPr>
      <w:r w:rsidRPr="000C76C9">
        <w:rPr>
          <w:rFonts w:ascii="Times New Roman" w:hAnsi="Times New Roman" w:cs="Times New Roman"/>
          <w:sz w:val="24"/>
          <w:szCs w:val="24"/>
        </w:rPr>
        <w:t xml:space="preserve">Expósito López, A., (2012), “El delito de tráfico de drogas”, </w:t>
      </w:r>
      <w:r w:rsidRPr="000C76C9">
        <w:rPr>
          <w:rFonts w:ascii="Times New Roman" w:hAnsi="Times New Roman" w:cs="Times New Roman"/>
          <w:i/>
          <w:sz w:val="24"/>
          <w:szCs w:val="24"/>
        </w:rPr>
        <w:t>Revista de Derecho UNED</w:t>
      </w:r>
      <w:r w:rsidRPr="000C76C9">
        <w:rPr>
          <w:rFonts w:ascii="Times New Roman" w:hAnsi="Times New Roman" w:cs="Times New Roman"/>
          <w:sz w:val="24"/>
          <w:szCs w:val="24"/>
        </w:rPr>
        <w:t>, núm. 10, pp.</w:t>
      </w:r>
      <w:r w:rsidR="00C54EC9">
        <w:rPr>
          <w:rFonts w:ascii="Times New Roman" w:hAnsi="Times New Roman" w:cs="Times New Roman"/>
          <w:sz w:val="24"/>
          <w:szCs w:val="24"/>
        </w:rPr>
        <w:t xml:space="preserve"> </w:t>
      </w:r>
      <w:r w:rsidRPr="000C76C9">
        <w:rPr>
          <w:rFonts w:ascii="Times New Roman" w:hAnsi="Times New Roman" w:cs="Times New Roman"/>
          <w:sz w:val="24"/>
          <w:szCs w:val="24"/>
        </w:rPr>
        <w:t>91-124.</w:t>
      </w:r>
    </w:p>
    <w:p w:rsidR="000C76C9" w:rsidRPr="000C76C9" w:rsidRDefault="000C76C9" w:rsidP="000C76C9">
      <w:pPr>
        <w:pStyle w:val="Prrafodelista"/>
        <w:numPr>
          <w:ilvl w:val="0"/>
          <w:numId w:val="2"/>
        </w:numPr>
        <w:rPr>
          <w:rFonts w:ascii="Times New Roman" w:hAnsi="Times New Roman" w:cs="Times New Roman"/>
          <w:sz w:val="24"/>
          <w:szCs w:val="24"/>
        </w:rPr>
      </w:pPr>
      <w:r w:rsidRPr="000C76C9">
        <w:rPr>
          <w:rFonts w:ascii="Times New Roman" w:hAnsi="Times New Roman" w:cs="Times New Roman"/>
          <w:sz w:val="24"/>
          <w:szCs w:val="24"/>
        </w:rPr>
        <w:t xml:space="preserve">Fernández Hernández, A., (2013), “Delitos contra la seguridad colectiva: salud pública y seguridad del tráfico”, </w:t>
      </w:r>
      <w:r w:rsidRPr="000C76C9">
        <w:rPr>
          <w:rFonts w:ascii="Times New Roman" w:hAnsi="Times New Roman" w:cs="Times New Roman"/>
          <w:i/>
          <w:sz w:val="24"/>
          <w:szCs w:val="24"/>
        </w:rPr>
        <w:t>Revista General de Derecho Penal</w:t>
      </w:r>
      <w:r w:rsidR="003062B8">
        <w:rPr>
          <w:rFonts w:ascii="Times New Roman" w:hAnsi="Times New Roman" w:cs="Times New Roman"/>
          <w:sz w:val="24"/>
          <w:szCs w:val="24"/>
        </w:rPr>
        <w:t>,</w:t>
      </w:r>
      <w:r w:rsidRPr="000C76C9">
        <w:rPr>
          <w:rFonts w:ascii="Times New Roman" w:hAnsi="Times New Roman" w:cs="Times New Roman"/>
          <w:sz w:val="24"/>
          <w:szCs w:val="24"/>
        </w:rPr>
        <w:t xml:space="preserve"> (20) </w:t>
      </w:r>
      <w:r w:rsidR="003062B8">
        <w:rPr>
          <w:rFonts w:ascii="Times New Roman" w:hAnsi="Times New Roman" w:cs="Times New Roman"/>
          <w:sz w:val="24"/>
          <w:szCs w:val="24"/>
        </w:rPr>
        <w:t>(Ref. Iustel §413940), pp. 3-10.</w:t>
      </w:r>
      <w:r w:rsidRPr="000C76C9">
        <w:rPr>
          <w:rFonts w:ascii="Times New Roman" w:hAnsi="Times New Roman" w:cs="Times New Roman"/>
          <w:sz w:val="24"/>
          <w:szCs w:val="24"/>
        </w:rPr>
        <w:t xml:space="preserve"> Disponible on-line: http://0-www.iustel.com.</w:t>
      </w:r>
    </w:p>
    <w:p w:rsidR="000C76C9" w:rsidRDefault="000C76C9" w:rsidP="000C76C9">
      <w:pPr>
        <w:pStyle w:val="Prrafodelista"/>
        <w:numPr>
          <w:ilvl w:val="0"/>
          <w:numId w:val="2"/>
        </w:numPr>
        <w:rPr>
          <w:rFonts w:ascii="Times New Roman" w:hAnsi="Times New Roman" w:cs="Times New Roman"/>
          <w:sz w:val="24"/>
          <w:szCs w:val="24"/>
        </w:rPr>
      </w:pPr>
      <w:r w:rsidRPr="000C76C9">
        <w:rPr>
          <w:rFonts w:ascii="Times New Roman" w:hAnsi="Times New Roman" w:cs="Times New Roman"/>
          <w:sz w:val="24"/>
          <w:szCs w:val="24"/>
        </w:rPr>
        <w:t xml:space="preserve">Frígols I Brines, E., (2011), “La determinación de la norma más favorable a partir de las disposiciones transitorias de la Ley Orgánica 5/2010, de 22 de junio, y el fundamento de la retroactividad favorable: a propósito de la nueva redacción del artículo 368 del Código Penal”, </w:t>
      </w:r>
      <w:r w:rsidRPr="000C76C9">
        <w:rPr>
          <w:rFonts w:ascii="Times New Roman" w:hAnsi="Times New Roman" w:cs="Times New Roman"/>
          <w:i/>
          <w:sz w:val="24"/>
          <w:szCs w:val="24"/>
        </w:rPr>
        <w:t>Revista General de Derecho Penal</w:t>
      </w:r>
      <w:r w:rsidRPr="000C76C9">
        <w:rPr>
          <w:rFonts w:ascii="Times New Roman" w:hAnsi="Times New Roman" w:cs="Times New Roman"/>
          <w:sz w:val="24"/>
          <w:szCs w:val="24"/>
        </w:rPr>
        <w:t xml:space="preserve">, (16) (Ref. Iustel: §411028), pp. 1-15. Disponible on-line: </w:t>
      </w:r>
      <w:r w:rsidR="0079038A" w:rsidRPr="0079038A">
        <w:rPr>
          <w:rFonts w:ascii="Times New Roman" w:hAnsi="Times New Roman" w:cs="Times New Roman"/>
          <w:sz w:val="24"/>
          <w:szCs w:val="24"/>
        </w:rPr>
        <w:t>http://0-www.iustel.com</w:t>
      </w:r>
      <w:r w:rsidRPr="000C76C9">
        <w:rPr>
          <w:rFonts w:ascii="Times New Roman" w:hAnsi="Times New Roman" w:cs="Times New Roman"/>
          <w:sz w:val="24"/>
          <w:szCs w:val="24"/>
        </w:rPr>
        <w:t>.</w:t>
      </w:r>
    </w:p>
    <w:p w:rsidR="0079038A" w:rsidRPr="000C76C9" w:rsidRDefault="0079038A" w:rsidP="00B834AC">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Fuentes Osorio, </w:t>
      </w:r>
      <w:r w:rsidR="00B834AC">
        <w:rPr>
          <w:rFonts w:ascii="Times New Roman" w:hAnsi="Times New Roman" w:cs="Times New Roman"/>
          <w:sz w:val="24"/>
          <w:szCs w:val="24"/>
        </w:rPr>
        <w:t>J.L., (2012), “</w:t>
      </w:r>
      <w:r w:rsidR="00B834AC" w:rsidRPr="00B834AC">
        <w:rPr>
          <w:rFonts w:ascii="Times New Roman" w:hAnsi="Times New Roman" w:cs="Times New Roman"/>
          <w:sz w:val="24"/>
          <w:szCs w:val="24"/>
        </w:rPr>
        <w:t>Accesoriedad ad</w:t>
      </w:r>
      <w:r w:rsidR="00B834AC">
        <w:rPr>
          <w:rFonts w:ascii="Times New Roman" w:hAnsi="Times New Roman" w:cs="Times New Roman"/>
          <w:sz w:val="24"/>
          <w:szCs w:val="24"/>
        </w:rPr>
        <w:t>ministrativa y delito ecológico”,</w:t>
      </w:r>
      <w:r w:rsidR="00B834AC" w:rsidRPr="00B834AC">
        <w:rPr>
          <w:rFonts w:ascii="Times New Roman" w:hAnsi="Times New Roman" w:cs="Times New Roman"/>
          <w:sz w:val="24"/>
          <w:szCs w:val="24"/>
        </w:rPr>
        <w:t xml:space="preserve"> </w:t>
      </w:r>
      <w:r w:rsidR="00B834AC" w:rsidRPr="00B834AC">
        <w:rPr>
          <w:rFonts w:ascii="Times New Roman" w:hAnsi="Times New Roman" w:cs="Times New Roman"/>
          <w:i/>
          <w:sz w:val="24"/>
          <w:szCs w:val="24"/>
        </w:rPr>
        <w:t>Derecho, globalización, riesgo y medio ambiente</w:t>
      </w:r>
      <w:r w:rsidR="00B834AC">
        <w:rPr>
          <w:rFonts w:ascii="Times New Roman" w:hAnsi="Times New Roman" w:cs="Times New Roman"/>
          <w:sz w:val="24"/>
          <w:szCs w:val="24"/>
        </w:rPr>
        <w:t xml:space="preserve">, pp. </w:t>
      </w:r>
      <w:r w:rsidR="001F4BB9">
        <w:rPr>
          <w:rFonts w:ascii="Times New Roman" w:hAnsi="Times New Roman" w:cs="Times New Roman"/>
          <w:sz w:val="24"/>
          <w:szCs w:val="24"/>
        </w:rPr>
        <w:t>1-27.</w:t>
      </w:r>
    </w:p>
    <w:p w:rsidR="000C76C9" w:rsidRPr="000C76C9" w:rsidRDefault="000C76C9" w:rsidP="000C76C9">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Gimbernat Ordeig, E., (2012)</w:t>
      </w:r>
      <w:r w:rsidRPr="000C76C9">
        <w:rPr>
          <w:rFonts w:ascii="Times New Roman" w:hAnsi="Times New Roman" w:cs="Times New Roman"/>
          <w:sz w:val="24"/>
          <w:szCs w:val="24"/>
        </w:rPr>
        <w:t>, “De los delitos contra la salud pública: Capí</w:t>
      </w:r>
      <w:r>
        <w:rPr>
          <w:rFonts w:ascii="Times New Roman" w:hAnsi="Times New Roman" w:cs="Times New Roman"/>
          <w:sz w:val="24"/>
          <w:szCs w:val="24"/>
        </w:rPr>
        <w:t>tulo III, Libro II, título XVII”</w:t>
      </w:r>
      <w:r w:rsidR="003062B8">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i/>
          <w:sz w:val="24"/>
          <w:szCs w:val="24"/>
        </w:rPr>
        <w:t>Código Penal</w:t>
      </w:r>
      <w:r>
        <w:rPr>
          <w:rFonts w:ascii="Times New Roman" w:hAnsi="Times New Roman" w:cs="Times New Roman"/>
          <w:sz w:val="24"/>
          <w:szCs w:val="24"/>
        </w:rPr>
        <w:t>, Madrid, Tecnos,</w:t>
      </w:r>
      <w:r w:rsidRPr="000C76C9">
        <w:rPr>
          <w:rFonts w:ascii="Times New Roman" w:hAnsi="Times New Roman" w:cs="Times New Roman"/>
          <w:sz w:val="24"/>
          <w:szCs w:val="24"/>
        </w:rPr>
        <w:t xml:space="preserve"> pp. 344-347</w:t>
      </w:r>
      <w:r w:rsidR="003062B8">
        <w:rPr>
          <w:rFonts w:ascii="Times New Roman" w:hAnsi="Times New Roman" w:cs="Times New Roman"/>
          <w:sz w:val="24"/>
          <w:szCs w:val="24"/>
        </w:rPr>
        <w:t>.</w:t>
      </w:r>
    </w:p>
    <w:p w:rsidR="00AC74EC" w:rsidRPr="00AC74EC" w:rsidRDefault="00AC74EC" w:rsidP="00AC74EC">
      <w:pPr>
        <w:pStyle w:val="Prrafodelista"/>
        <w:numPr>
          <w:ilvl w:val="0"/>
          <w:numId w:val="2"/>
        </w:numPr>
        <w:rPr>
          <w:rFonts w:ascii="Times New Roman" w:hAnsi="Times New Roman" w:cs="Times New Roman"/>
          <w:sz w:val="24"/>
          <w:szCs w:val="24"/>
        </w:rPr>
      </w:pPr>
      <w:r w:rsidRPr="00AC74EC">
        <w:rPr>
          <w:rFonts w:ascii="Times New Roman" w:hAnsi="Times New Roman" w:cs="Times New Roman"/>
          <w:sz w:val="24"/>
          <w:szCs w:val="24"/>
        </w:rPr>
        <w:t>González Marsal, C.</w:t>
      </w:r>
      <w:r>
        <w:rPr>
          <w:rFonts w:ascii="Times New Roman" w:hAnsi="Times New Roman" w:cs="Times New Roman"/>
          <w:sz w:val="24"/>
          <w:szCs w:val="24"/>
        </w:rPr>
        <w:t>,</w:t>
      </w:r>
      <w:r w:rsidRPr="00AC74EC">
        <w:rPr>
          <w:rFonts w:ascii="Times New Roman" w:hAnsi="Times New Roman" w:cs="Times New Roman"/>
          <w:sz w:val="24"/>
          <w:szCs w:val="24"/>
        </w:rPr>
        <w:t xml:space="preserve"> </w:t>
      </w:r>
      <w:r w:rsidR="0042369B">
        <w:rPr>
          <w:rFonts w:ascii="Times New Roman" w:hAnsi="Times New Roman" w:cs="Times New Roman"/>
          <w:sz w:val="24"/>
          <w:szCs w:val="24"/>
        </w:rPr>
        <w:t xml:space="preserve">(2009), </w:t>
      </w:r>
      <w:r w:rsidRPr="00AC74EC">
        <w:rPr>
          <w:rFonts w:ascii="Times New Roman" w:hAnsi="Times New Roman" w:cs="Times New Roman"/>
          <w:sz w:val="24"/>
          <w:szCs w:val="24"/>
        </w:rPr>
        <w:t xml:space="preserve">“Dosis Mínima Psicoactiva: Jurisprudencia del Tribunal Supremo Español”, </w:t>
      </w:r>
      <w:r w:rsidRPr="00AC74EC">
        <w:rPr>
          <w:rFonts w:ascii="Times New Roman" w:hAnsi="Times New Roman" w:cs="Times New Roman"/>
          <w:i/>
          <w:sz w:val="24"/>
          <w:szCs w:val="24"/>
        </w:rPr>
        <w:t>Revista Jurídica Online</w:t>
      </w:r>
      <w:r>
        <w:rPr>
          <w:rFonts w:ascii="Times New Roman" w:hAnsi="Times New Roman" w:cs="Times New Roman"/>
          <w:sz w:val="24"/>
          <w:szCs w:val="24"/>
        </w:rPr>
        <w:t>, pp. 337-350. Disponible on-</w:t>
      </w:r>
      <w:r w:rsidRPr="00AC74EC">
        <w:rPr>
          <w:rFonts w:ascii="Times New Roman" w:hAnsi="Times New Roman" w:cs="Times New Roman"/>
          <w:sz w:val="24"/>
          <w:szCs w:val="24"/>
        </w:rPr>
        <w:t>line: http://www.revistajuridicaonline.com.</w:t>
      </w:r>
    </w:p>
    <w:p w:rsidR="00AC74EC" w:rsidRPr="00AC74EC" w:rsidRDefault="00AC74EC" w:rsidP="00AC74EC">
      <w:pPr>
        <w:pStyle w:val="Prrafodelista"/>
        <w:numPr>
          <w:ilvl w:val="0"/>
          <w:numId w:val="2"/>
        </w:numPr>
        <w:rPr>
          <w:rFonts w:ascii="Times New Roman" w:hAnsi="Times New Roman" w:cs="Times New Roman"/>
          <w:sz w:val="24"/>
          <w:szCs w:val="24"/>
        </w:rPr>
      </w:pPr>
      <w:r w:rsidRPr="00AC74EC">
        <w:rPr>
          <w:rFonts w:ascii="Times New Roman" w:hAnsi="Times New Roman" w:cs="Times New Roman"/>
          <w:sz w:val="24"/>
          <w:szCs w:val="24"/>
        </w:rPr>
        <w:lastRenderedPageBreak/>
        <w:t xml:space="preserve">Jaén Vallejo, M., (2002), “El nuevo criterio para la determinación de la circunstancia de agravación de </w:t>
      </w:r>
      <w:r w:rsidR="009C24D6">
        <w:rPr>
          <w:rFonts w:ascii="Times New Roman" w:hAnsi="Times New Roman" w:cs="Times New Roman"/>
          <w:sz w:val="24"/>
          <w:szCs w:val="24"/>
        </w:rPr>
        <w:t>«</w:t>
      </w:r>
      <w:r w:rsidRPr="00AC74EC">
        <w:rPr>
          <w:rFonts w:ascii="Times New Roman" w:hAnsi="Times New Roman" w:cs="Times New Roman"/>
          <w:sz w:val="24"/>
          <w:szCs w:val="24"/>
        </w:rPr>
        <w:t>c</w:t>
      </w:r>
      <w:r w:rsidR="009C24D6">
        <w:rPr>
          <w:rFonts w:ascii="Times New Roman" w:hAnsi="Times New Roman" w:cs="Times New Roman"/>
          <w:sz w:val="24"/>
          <w:szCs w:val="24"/>
        </w:rPr>
        <w:t>antidad de notoria importancia»”</w:t>
      </w:r>
      <w:r w:rsidRPr="00AC74EC">
        <w:rPr>
          <w:rFonts w:ascii="Times New Roman" w:hAnsi="Times New Roman" w:cs="Times New Roman"/>
          <w:sz w:val="24"/>
          <w:szCs w:val="24"/>
        </w:rPr>
        <w:t xml:space="preserve"> del artículo 369.3º CP. Nota sobre el acuerdo del Pleno no Jurisdiccional de la Sala Segunda del Tribunal Supremo de 19 de octubre de 2001”, </w:t>
      </w:r>
      <w:r w:rsidRPr="00AC74EC">
        <w:rPr>
          <w:rFonts w:ascii="Times New Roman" w:hAnsi="Times New Roman" w:cs="Times New Roman"/>
          <w:i/>
          <w:sz w:val="24"/>
          <w:szCs w:val="24"/>
        </w:rPr>
        <w:t>Revista Electrónica de Ciencia Penal y Criminología</w:t>
      </w:r>
      <w:r w:rsidRPr="00AC74EC">
        <w:rPr>
          <w:rFonts w:ascii="Times New Roman" w:hAnsi="Times New Roman" w:cs="Times New Roman"/>
          <w:sz w:val="24"/>
          <w:szCs w:val="24"/>
        </w:rPr>
        <w:t>, RECPC 04-j02. p</w:t>
      </w:r>
      <w:r>
        <w:rPr>
          <w:rFonts w:ascii="Times New Roman" w:hAnsi="Times New Roman" w:cs="Times New Roman"/>
          <w:sz w:val="24"/>
          <w:szCs w:val="24"/>
        </w:rPr>
        <w:t>p</w:t>
      </w:r>
      <w:r w:rsidRPr="00AC74EC">
        <w:rPr>
          <w:rFonts w:ascii="Times New Roman" w:hAnsi="Times New Roman" w:cs="Times New Roman"/>
          <w:sz w:val="24"/>
          <w:szCs w:val="24"/>
        </w:rPr>
        <w:t>. 1-4.</w:t>
      </w:r>
    </w:p>
    <w:p w:rsidR="00AC74EC" w:rsidRDefault="00AC74EC" w:rsidP="00AC74EC">
      <w:pPr>
        <w:pStyle w:val="Prrafodelista"/>
        <w:numPr>
          <w:ilvl w:val="0"/>
          <w:numId w:val="2"/>
        </w:numPr>
        <w:rPr>
          <w:rFonts w:ascii="Times New Roman" w:hAnsi="Times New Roman" w:cs="Times New Roman"/>
          <w:sz w:val="24"/>
          <w:szCs w:val="24"/>
        </w:rPr>
      </w:pPr>
      <w:r w:rsidRPr="00AC74EC">
        <w:rPr>
          <w:rFonts w:ascii="Times New Roman" w:hAnsi="Times New Roman" w:cs="Times New Roman"/>
          <w:sz w:val="24"/>
          <w:szCs w:val="24"/>
        </w:rPr>
        <w:t>Magro Servet, V., (2002), “El tráfico de d</w:t>
      </w:r>
      <w:r w:rsidR="009C24D6">
        <w:rPr>
          <w:rFonts w:ascii="Times New Roman" w:hAnsi="Times New Roman" w:cs="Times New Roman"/>
          <w:sz w:val="24"/>
          <w:szCs w:val="24"/>
        </w:rPr>
        <w:t>rogas y el «quantum»</w:t>
      </w:r>
      <w:r w:rsidRPr="00AC74EC">
        <w:rPr>
          <w:rFonts w:ascii="Times New Roman" w:hAnsi="Times New Roman" w:cs="Times New Roman"/>
          <w:sz w:val="24"/>
          <w:szCs w:val="24"/>
        </w:rPr>
        <w:t xml:space="preserve"> de la droga aprehendida como circunstancia de agravación de la pena del artículo 368 del Código Penal”, </w:t>
      </w:r>
      <w:r w:rsidRPr="00AC74EC">
        <w:rPr>
          <w:rFonts w:ascii="Times New Roman" w:hAnsi="Times New Roman" w:cs="Times New Roman"/>
          <w:i/>
          <w:sz w:val="24"/>
          <w:szCs w:val="24"/>
        </w:rPr>
        <w:t>Revista General del Poder Judicial</w:t>
      </w:r>
      <w:r w:rsidRPr="00AC74EC">
        <w:rPr>
          <w:rFonts w:ascii="Times New Roman" w:hAnsi="Times New Roman" w:cs="Times New Roman"/>
          <w:sz w:val="24"/>
          <w:szCs w:val="24"/>
        </w:rPr>
        <w:t xml:space="preserve"> Nº 65, Con</w:t>
      </w:r>
      <w:r w:rsidR="00EE5F6D">
        <w:rPr>
          <w:rFonts w:ascii="Times New Roman" w:hAnsi="Times New Roman" w:cs="Times New Roman"/>
          <w:sz w:val="24"/>
          <w:szCs w:val="24"/>
        </w:rPr>
        <w:t>sejo General Del Poder Judicial, pp. 13- 58.</w:t>
      </w:r>
    </w:p>
    <w:p w:rsidR="006E3A2A" w:rsidRPr="00AC74EC" w:rsidRDefault="006E3A2A" w:rsidP="00AC74EC">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Magro Servet, V., (2013), “Algunas cuestiones sobre la cantidad insignificante en la droga aprehendida y la reforma del Código Penal por la Ley Orgánica 5/2010, de 22 de junio: ¿hay un delito aunque se trate de un acto de venta?”, </w:t>
      </w:r>
      <w:r>
        <w:rPr>
          <w:rFonts w:ascii="Times New Roman" w:hAnsi="Times New Roman" w:cs="Times New Roman"/>
          <w:i/>
          <w:sz w:val="24"/>
          <w:szCs w:val="24"/>
        </w:rPr>
        <w:t xml:space="preserve">Revista </w:t>
      </w:r>
      <w:r w:rsidR="00122A40">
        <w:rPr>
          <w:rFonts w:ascii="Times New Roman" w:hAnsi="Times New Roman" w:cs="Times New Roman"/>
          <w:i/>
          <w:sz w:val="24"/>
          <w:szCs w:val="24"/>
        </w:rPr>
        <w:t xml:space="preserve"> de derecho penal, procesal y penitenciario </w:t>
      </w:r>
      <w:r>
        <w:rPr>
          <w:rFonts w:ascii="Times New Roman" w:hAnsi="Times New Roman" w:cs="Times New Roman"/>
          <w:i/>
          <w:sz w:val="24"/>
          <w:szCs w:val="24"/>
        </w:rPr>
        <w:t>La Ley Penal</w:t>
      </w:r>
      <w:r>
        <w:rPr>
          <w:rFonts w:ascii="Times New Roman" w:hAnsi="Times New Roman" w:cs="Times New Roman"/>
          <w:sz w:val="24"/>
          <w:szCs w:val="24"/>
        </w:rPr>
        <w:t>, Nº 100, pp. 122-130.</w:t>
      </w:r>
    </w:p>
    <w:p w:rsidR="00AC74EC" w:rsidRPr="00AC74EC" w:rsidRDefault="00AC74EC" w:rsidP="00AC74EC">
      <w:pPr>
        <w:pStyle w:val="Prrafodelista"/>
        <w:numPr>
          <w:ilvl w:val="0"/>
          <w:numId w:val="2"/>
        </w:numPr>
        <w:rPr>
          <w:rFonts w:ascii="Times New Roman" w:hAnsi="Times New Roman" w:cs="Times New Roman"/>
          <w:sz w:val="24"/>
          <w:szCs w:val="24"/>
        </w:rPr>
      </w:pPr>
      <w:r w:rsidRPr="00AC74EC">
        <w:rPr>
          <w:rFonts w:ascii="Times New Roman" w:hAnsi="Times New Roman" w:cs="Times New Roman"/>
          <w:sz w:val="24"/>
          <w:szCs w:val="24"/>
        </w:rPr>
        <w:t>Manjón-Cabeza Olmeda, A.</w:t>
      </w:r>
      <w:r w:rsidR="003062B8">
        <w:rPr>
          <w:rFonts w:ascii="Times New Roman" w:hAnsi="Times New Roman" w:cs="Times New Roman"/>
          <w:sz w:val="24"/>
          <w:szCs w:val="24"/>
        </w:rPr>
        <w:t>,</w:t>
      </w:r>
      <w:r w:rsidRPr="00AC74EC">
        <w:rPr>
          <w:rFonts w:ascii="Times New Roman" w:hAnsi="Times New Roman" w:cs="Times New Roman"/>
          <w:sz w:val="24"/>
          <w:szCs w:val="24"/>
        </w:rPr>
        <w:t xml:space="preserve"> (2011)</w:t>
      </w:r>
      <w:r w:rsidR="003062B8">
        <w:rPr>
          <w:rFonts w:ascii="Times New Roman" w:hAnsi="Times New Roman" w:cs="Times New Roman"/>
          <w:sz w:val="24"/>
          <w:szCs w:val="24"/>
        </w:rPr>
        <w:t>,</w:t>
      </w:r>
      <w:r w:rsidRPr="00AC74EC">
        <w:rPr>
          <w:rFonts w:ascii="Times New Roman" w:hAnsi="Times New Roman" w:cs="Times New Roman"/>
          <w:sz w:val="24"/>
          <w:szCs w:val="24"/>
        </w:rPr>
        <w:t xml:space="preserve"> “Tráfico de drogas (I) y (II)” en Álvarez García, F.J.</w:t>
      </w:r>
      <w:r w:rsidR="003062B8">
        <w:rPr>
          <w:rFonts w:ascii="Times New Roman" w:hAnsi="Times New Roman" w:cs="Times New Roman"/>
          <w:sz w:val="24"/>
          <w:szCs w:val="24"/>
        </w:rPr>
        <w:t>,</w:t>
      </w:r>
      <w:r w:rsidRPr="00AC74EC">
        <w:rPr>
          <w:rFonts w:ascii="Times New Roman" w:hAnsi="Times New Roman" w:cs="Times New Roman"/>
          <w:sz w:val="24"/>
          <w:szCs w:val="24"/>
        </w:rPr>
        <w:t xml:space="preserve"> (Dir.)</w:t>
      </w:r>
      <w:r w:rsidR="003062B8">
        <w:rPr>
          <w:rFonts w:ascii="Times New Roman" w:hAnsi="Times New Roman" w:cs="Times New Roman"/>
          <w:sz w:val="24"/>
          <w:szCs w:val="24"/>
        </w:rPr>
        <w:t>:</w:t>
      </w:r>
      <w:r w:rsidRPr="00AC74EC">
        <w:rPr>
          <w:rFonts w:ascii="Times New Roman" w:hAnsi="Times New Roman" w:cs="Times New Roman"/>
          <w:sz w:val="24"/>
          <w:szCs w:val="24"/>
        </w:rPr>
        <w:t xml:space="preserve"> </w:t>
      </w:r>
      <w:r w:rsidRPr="00AC74EC">
        <w:rPr>
          <w:rFonts w:ascii="Times New Roman" w:hAnsi="Times New Roman" w:cs="Times New Roman"/>
          <w:i/>
          <w:sz w:val="24"/>
          <w:szCs w:val="24"/>
        </w:rPr>
        <w:t>Derecho penal español parte especial II</w:t>
      </w:r>
      <w:r w:rsidR="00C54EC9">
        <w:rPr>
          <w:rFonts w:ascii="Times New Roman" w:hAnsi="Times New Roman" w:cs="Times New Roman"/>
          <w:sz w:val="24"/>
          <w:szCs w:val="24"/>
        </w:rPr>
        <w:t xml:space="preserve">, Valencia, Tirant lo Blanch, </w:t>
      </w:r>
      <w:r w:rsidRPr="00AC74EC">
        <w:rPr>
          <w:rFonts w:ascii="Times New Roman" w:hAnsi="Times New Roman" w:cs="Times New Roman"/>
          <w:sz w:val="24"/>
          <w:szCs w:val="24"/>
        </w:rPr>
        <w:t>pp. 1218-1301.</w:t>
      </w:r>
    </w:p>
    <w:p w:rsidR="00A431B8" w:rsidRPr="00A431B8" w:rsidRDefault="00A431B8" w:rsidP="00A431B8">
      <w:pPr>
        <w:pStyle w:val="Prrafodelista"/>
        <w:numPr>
          <w:ilvl w:val="0"/>
          <w:numId w:val="2"/>
        </w:numPr>
        <w:rPr>
          <w:rFonts w:ascii="Times New Roman" w:hAnsi="Times New Roman" w:cs="Times New Roman"/>
          <w:sz w:val="24"/>
          <w:szCs w:val="24"/>
        </w:rPr>
      </w:pPr>
      <w:r w:rsidRPr="00A431B8">
        <w:rPr>
          <w:rFonts w:ascii="Times New Roman" w:hAnsi="Times New Roman" w:cs="Times New Roman"/>
          <w:sz w:val="24"/>
          <w:szCs w:val="24"/>
        </w:rPr>
        <w:t>Manjón-Cabeza Olmeda, A.</w:t>
      </w:r>
      <w:r w:rsidR="003062B8">
        <w:rPr>
          <w:rFonts w:ascii="Times New Roman" w:hAnsi="Times New Roman" w:cs="Times New Roman"/>
          <w:sz w:val="24"/>
          <w:szCs w:val="24"/>
        </w:rPr>
        <w:t>,</w:t>
      </w:r>
      <w:r w:rsidRPr="00A431B8">
        <w:rPr>
          <w:rFonts w:ascii="Times New Roman" w:hAnsi="Times New Roman" w:cs="Times New Roman"/>
          <w:sz w:val="24"/>
          <w:szCs w:val="24"/>
        </w:rPr>
        <w:t xml:space="preserve"> (2003)</w:t>
      </w:r>
      <w:r w:rsidR="003062B8">
        <w:rPr>
          <w:rFonts w:ascii="Times New Roman" w:hAnsi="Times New Roman" w:cs="Times New Roman"/>
          <w:sz w:val="24"/>
          <w:szCs w:val="24"/>
        </w:rPr>
        <w:t>,</w:t>
      </w:r>
      <w:r w:rsidRPr="00A431B8">
        <w:rPr>
          <w:rFonts w:ascii="Times New Roman" w:hAnsi="Times New Roman" w:cs="Times New Roman"/>
          <w:sz w:val="24"/>
          <w:szCs w:val="24"/>
        </w:rPr>
        <w:t xml:space="preserve"> “Venta de cantidades mínimas de droga: insignificancia y proporcionalidad. Bien jurídico y (des)pro</w:t>
      </w:r>
      <w:r>
        <w:rPr>
          <w:rFonts w:ascii="Times New Roman" w:hAnsi="Times New Roman" w:cs="Times New Roman"/>
          <w:sz w:val="24"/>
          <w:szCs w:val="24"/>
        </w:rPr>
        <w:t xml:space="preserve">tección de menores e incapaces, </w:t>
      </w:r>
      <w:r w:rsidRPr="00A431B8">
        <w:rPr>
          <w:rFonts w:ascii="Times New Roman" w:hAnsi="Times New Roman" w:cs="Times New Roman"/>
          <w:i/>
          <w:sz w:val="24"/>
          <w:szCs w:val="24"/>
        </w:rPr>
        <w:t>Anuario de derecho penal y ciencias penales</w:t>
      </w:r>
      <w:r w:rsidRPr="00A431B8">
        <w:rPr>
          <w:rFonts w:ascii="Times New Roman" w:hAnsi="Times New Roman" w:cs="Times New Roman"/>
          <w:sz w:val="24"/>
          <w:szCs w:val="24"/>
        </w:rPr>
        <w:t>, Tomo 56, dialnet, pp. 45-103.</w:t>
      </w:r>
    </w:p>
    <w:p w:rsidR="00A431B8" w:rsidRPr="00A431B8" w:rsidRDefault="005120BB" w:rsidP="005120BB">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Molina Fernández, F., </w:t>
      </w:r>
      <w:r w:rsidR="00A431B8" w:rsidRPr="00A431B8">
        <w:rPr>
          <w:rFonts w:ascii="Times New Roman" w:hAnsi="Times New Roman" w:cs="Times New Roman"/>
          <w:sz w:val="24"/>
          <w:szCs w:val="24"/>
        </w:rPr>
        <w:t>(2011)</w:t>
      </w:r>
      <w:r w:rsidRPr="00A431B8">
        <w:rPr>
          <w:rFonts w:ascii="Times New Roman" w:hAnsi="Times New Roman" w:cs="Times New Roman"/>
          <w:sz w:val="24"/>
          <w:szCs w:val="24"/>
        </w:rPr>
        <w:t>,</w:t>
      </w:r>
      <w:r w:rsidR="003062B8">
        <w:rPr>
          <w:rFonts w:ascii="Times New Roman" w:hAnsi="Times New Roman" w:cs="Times New Roman"/>
          <w:sz w:val="24"/>
          <w:szCs w:val="24"/>
        </w:rPr>
        <w:t xml:space="preserve"> “</w:t>
      </w:r>
      <w:r w:rsidR="00A431B8" w:rsidRPr="00A431B8">
        <w:rPr>
          <w:rFonts w:ascii="Times New Roman" w:hAnsi="Times New Roman" w:cs="Times New Roman"/>
          <w:sz w:val="24"/>
          <w:szCs w:val="24"/>
        </w:rPr>
        <w:t>Delitos contra la seguridad c</w:t>
      </w:r>
      <w:r>
        <w:rPr>
          <w:rFonts w:ascii="Times New Roman" w:hAnsi="Times New Roman" w:cs="Times New Roman"/>
          <w:sz w:val="24"/>
          <w:szCs w:val="24"/>
        </w:rPr>
        <w:t xml:space="preserve">olectiva: el tráfico de drogas”, </w:t>
      </w:r>
      <w:r w:rsidRPr="005120BB">
        <w:rPr>
          <w:rFonts w:ascii="Times New Roman" w:hAnsi="Times New Roman" w:cs="Times New Roman"/>
          <w:i/>
          <w:sz w:val="24"/>
          <w:szCs w:val="24"/>
        </w:rPr>
        <w:t>Memento Práctico</w:t>
      </w:r>
      <w:r w:rsidRPr="005120BB">
        <w:rPr>
          <w:rFonts w:ascii="Times New Roman" w:hAnsi="Times New Roman" w:cs="Times New Roman"/>
          <w:sz w:val="24"/>
          <w:szCs w:val="24"/>
        </w:rPr>
        <w:t xml:space="preserve">, </w:t>
      </w:r>
      <w:r w:rsidR="00A431B8" w:rsidRPr="00A431B8">
        <w:rPr>
          <w:rFonts w:ascii="Times New Roman" w:hAnsi="Times New Roman" w:cs="Times New Roman"/>
          <w:sz w:val="24"/>
          <w:szCs w:val="24"/>
        </w:rPr>
        <w:t>Madrid, Francis Lefebvre, pp. 1310-1337.</w:t>
      </w:r>
    </w:p>
    <w:p w:rsidR="005120BB" w:rsidRDefault="005120BB" w:rsidP="005120BB">
      <w:pPr>
        <w:pStyle w:val="Prrafodelista"/>
        <w:numPr>
          <w:ilvl w:val="0"/>
          <w:numId w:val="2"/>
        </w:numPr>
        <w:rPr>
          <w:rFonts w:ascii="Times New Roman" w:hAnsi="Times New Roman" w:cs="Times New Roman"/>
          <w:sz w:val="24"/>
          <w:szCs w:val="24"/>
        </w:rPr>
      </w:pPr>
      <w:r w:rsidRPr="005120BB">
        <w:rPr>
          <w:rFonts w:ascii="Times New Roman" w:hAnsi="Times New Roman" w:cs="Times New Roman"/>
          <w:sz w:val="24"/>
          <w:szCs w:val="24"/>
        </w:rPr>
        <w:t>Morales García, O.</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(2011)</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w:t>
      </w:r>
      <w:r w:rsidRPr="00686C77">
        <w:rPr>
          <w:rFonts w:ascii="Times New Roman" w:hAnsi="Times New Roman" w:cs="Times New Roman"/>
          <w:sz w:val="24"/>
          <w:szCs w:val="24"/>
        </w:rPr>
        <w:t>“</w:t>
      </w:r>
      <w:r w:rsidR="00686C77">
        <w:rPr>
          <w:rFonts w:ascii="Times New Roman" w:hAnsi="Times New Roman" w:cs="Times New Roman"/>
          <w:sz w:val="24"/>
          <w:szCs w:val="24"/>
        </w:rPr>
        <w:t>Título</w:t>
      </w:r>
      <w:r w:rsidR="002B2D43">
        <w:rPr>
          <w:rFonts w:ascii="Times New Roman" w:hAnsi="Times New Roman" w:cs="Times New Roman"/>
          <w:sz w:val="24"/>
          <w:szCs w:val="24"/>
        </w:rPr>
        <w:t xml:space="preserve"> XVII De los delitos contra la seguridad colectiva (arts</w:t>
      </w:r>
      <w:r w:rsidR="00686C77">
        <w:rPr>
          <w:rFonts w:ascii="Times New Roman" w:hAnsi="Times New Roman" w:cs="Times New Roman"/>
          <w:sz w:val="24"/>
          <w:szCs w:val="24"/>
        </w:rPr>
        <w:t>. 341 a 385). Capítulo III De los Delitos contra la salud pública (arts.359 a 378)</w:t>
      </w:r>
      <w:r w:rsidRPr="00686C77">
        <w:rPr>
          <w:rFonts w:ascii="Times New Roman" w:hAnsi="Times New Roman" w:cs="Times New Roman"/>
          <w:sz w:val="24"/>
          <w:szCs w:val="24"/>
        </w:rPr>
        <w:t xml:space="preserve">” </w:t>
      </w:r>
      <w:r>
        <w:rPr>
          <w:rFonts w:ascii="Times New Roman" w:hAnsi="Times New Roman" w:cs="Times New Roman"/>
          <w:sz w:val="24"/>
          <w:szCs w:val="24"/>
        </w:rPr>
        <w:t xml:space="preserve">en  Quintero Olivares, G., </w:t>
      </w:r>
      <w:r w:rsidRPr="005120BB">
        <w:rPr>
          <w:rFonts w:ascii="Times New Roman" w:hAnsi="Times New Roman" w:cs="Times New Roman"/>
          <w:sz w:val="24"/>
          <w:szCs w:val="24"/>
        </w:rPr>
        <w:t>(Dir.)</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w:t>
      </w:r>
      <w:r w:rsidRPr="005120BB">
        <w:rPr>
          <w:rFonts w:ascii="Times New Roman" w:hAnsi="Times New Roman" w:cs="Times New Roman"/>
          <w:i/>
          <w:sz w:val="24"/>
          <w:szCs w:val="24"/>
        </w:rPr>
        <w:t>Comentarios a la Parte Especial del Derecho Penal</w:t>
      </w:r>
      <w:r w:rsidRPr="005120BB">
        <w:rPr>
          <w:rFonts w:ascii="Times New Roman" w:hAnsi="Times New Roman" w:cs="Times New Roman"/>
          <w:sz w:val="24"/>
          <w:szCs w:val="24"/>
        </w:rPr>
        <w:t>, Na</w:t>
      </w:r>
      <w:r>
        <w:rPr>
          <w:rFonts w:ascii="Times New Roman" w:hAnsi="Times New Roman" w:cs="Times New Roman"/>
          <w:sz w:val="24"/>
          <w:szCs w:val="24"/>
        </w:rPr>
        <w:t>varra, Thomson-Aranzadi, p.1487-1550.</w:t>
      </w:r>
    </w:p>
    <w:p w:rsidR="00A250BC" w:rsidRPr="00C54EC9" w:rsidRDefault="00A250BC" w:rsidP="00C54EC9">
      <w:pPr>
        <w:pStyle w:val="Prrafodelista"/>
        <w:numPr>
          <w:ilvl w:val="0"/>
          <w:numId w:val="2"/>
        </w:numPr>
        <w:rPr>
          <w:rFonts w:ascii="Times New Roman" w:hAnsi="Times New Roman" w:cs="Times New Roman"/>
          <w:sz w:val="24"/>
          <w:szCs w:val="24"/>
        </w:rPr>
      </w:pPr>
      <w:r w:rsidRPr="00A250BC">
        <w:rPr>
          <w:rFonts w:ascii="Times New Roman" w:hAnsi="Times New Roman" w:cs="Times New Roman"/>
          <w:sz w:val="24"/>
          <w:szCs w:val="24"/>
        </w:rPr>
        <w:t xml:space="preserve">Naciones Unidas, </w:t>
      </w:r>
      <w:r w:rsidRPr="00A250BC">
        <w:rPr>
          <w:rFonts w:ascii="Times New Roman" w:hAnsi="Times New Roman" w:cs="Times New Roman"/>
          <w:i/>
          <w:sz w:val="24"/>
          <w:szCs w:val="24"/>
        </w:rPr>
        <w:t>Convención Única de 1961 sobre estupefacientes</w:t>
      </w:r>
      <w:r w:rsidRPr="00A250BC">
        <w:rPr>
          <w:rFonts w:ascii="Times New Roman" w:hAnsi="Times New Roman" w:cs="Times New Roman"/>
          <w:sz w:val="24"/>
          <w:szCs w:val="24"/>
        </w:rPr>
        <w:t>, enmendada por el Protocolo de 1972 de Modificación de la Convención Única de 1961 sobre Estupefacientes.</w:t>
      </w:r>
    </w:p>
    <w:p w:rsidR="005120BB" w:rsidRDefault="005120BB" w:rsidP="005120BB">
      <w:pPr>
        <w:pStyle w:val="Prrafodelista"/>
        <w:numPr>
          <w:ilvl w:val="0"/>
          <w:numId w:val="2"/>
        </w:numPr>
        <w:rPr>
          <w:rFonts w:ascii="Times New Roman" w:hAnsi="Times New Roman" w:cs="Times New Roman"/>
          <w:sz w:val="24"/>
          <w:szCs w:val="24"/>
        </w:rPr>
      </w:pPr>
      <w:r w:rsidRPr="005120BB">
        <w:rPr>
          <w:rFonts w:ascii="Times New Roman" w:hAnsi="Times New Roman" w:cs="Times New Roman"/>
          <w:sz w:val="24"/>
          <w:szCs w:val="24"/>
        </w:rPr>
        <w:t>Pastor Muñoz, N.</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(2011) “Delitos contra la salud pública: el tráfico de drogas” en Silva Sánchez, J.M</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w:t>
      </w:r>
      <w:r w:rsidR="003062B8">
        <w:rPr>
          <w:rFonts w:ascii="Times New Roman" w:hAnsi="Times New Roman" w:cs="Times New Roman"/>
          <w:sz w:val="24"/>
          <w:szCs w:val="24"/>
        </w:rPr>
        <w:t>(Dir.) y Ramón Ragués i Valliès:</w:t>
      </w:r>
      <w:r w:rsidRPr="005120BB">
        <w:rPr>
          <w:rFonts w:ascii="Times New Roman" w:hAnsi="Times New Roman" w:cs="Times New Roman"/>
          <w:sz w:val="24"/>
          <w:szCs w:val="24"/>
        </w:rPr>
        <w:t xml:space="preserve"> </w:t>
      </w:r>
      <w:r w:rsidRPr="005120BB">
        <w:rPr>
          <w:rFonts w:ascii="Times New Roman" w:hAnsi="Times New Roman" w:cs="Times New Roman"/>
          <w:i/>
          <w:sz w:val="24"/>
          <w:szCs w:val="24"/>
        </w:rPr>
        <w:t>Lecciones de Derecho Penal parte especial</w:t>
      </w:r>
      <w:r w:rsidRPr="005120BB">
        <w:rPr>
          <w:rFonts w:ascii="Times New Roman" w:hAnsi="Times New Roman" w:cs="Times New Roman"/>
          <w:sz w:val="24"/>
          <w:szCs w:val="24"/>
        </w:rPr>
        <w:t>, Barcelona, Atelier, pp.275-281.</w:t>
      </w:r>
    </w:p>
    <w:p w:rsidR="00A250BC" w:rsidRPr="00A250BC" w:rsidRDefault="00A250BC" w:rsidP="00A250BC">
      <w:pPr>
        <w:pStyle w:val="Prrafodelista"/>
        <w:numPr>
          <w:ilvl w:val="0"/>
          <w:numId w:val="2"/>
        </w:numPr>
        <w:rPr>
          <w:rFonts w:ascii="Times New Roman" w:hAnsi="Times New Roman" w:cs="Times New Roman"/>
          <w:i/>
          <w:sz w:val="24"/>
          <w:szCs w:val="24"/>
        </w:rPr>
      </w:pPr>
      <w:r w:rsidRPr="00A250BC">
        <w:rPr>
          <w:rFonts w:ascii="Times New Roman" w:hAnsi="Times New Roman" w:cs="Times New Roman"/>
          <w:sz w:val="24"/>
          <w:szCs w:val="24"/>
        </w:rPr>
        <w:t xml:space="preserve">Plan Nacional Sobre Drogas, </w:t>
      </w:r>
      <w:r w:rsidRPr="00A250BC">
        <w:rPr>
          <w:rFonts w:ascii="Times New Roman" w:hAnsi="Times New Roman" w:cs="Times New Roman"/>
          <w:i/>
          <w:sz w:val="24"/>
          <w:szCs w:val="24"/>
        </w:rPr>
        <w:t>Convenio sobre sustancias psicotrópicas de</w:t>
      </w:r>
      <w:r>
        <w:rPr>
          <w:rFonts w:ascii="Times New Roman" w:hAnsi="Times New Roman" w:cs="Times New Roman"/>
          <w:i/>
          <w:sz w:val="24"/>
          <w:szCs w:val="24"/>
        </w:rPr>
        <w:t xml:space="preserve"> Viena de 21 de febrero de 1971</w:t>
      </w:r>
      <w:r>
        <w:rPr>
          <w:rFonts w:ascii="Times New Roman" w:hAnsi="Times New Roman" w:cs="Times New Roman"/>
          <w:sz w:val="24"/>
          <w:szCs w:val="24"/>
        </w:rPr>
        <w:t>, Disponible on-line:</w:t>
      </w:r>
      <w:r w:rsidRPr="00A250BC">
        <w:t xml:space="preserve"> </w:t>
      </w:r>
      <w:r w:rsidRPr="00A250BC">
        <w:rPr>
          <w:rFonts w:ascii="Times New Roman" w:hAnsi="Times New Roman" w:cs="Times New Roman"/>
          <w:sz w:val="24"/>
          <w:szCs w:val="24"/>
        </w:rPr>
        <w:t>www.pnsd.msc.es</w:t>
      </w:r>
      <w:r>
        <w:rPr>
          <w:rFonts w:ascii="Times New Roman" w:hAnsi="Times New Roman" w:cs="Times New Roman"/>
          <w:sz w:val="24"/>
          <w:szCs w:val="24"/>
        </w:rPr>
        <w:t>.</w:t>
      </w:r>
    </w:p>
    <w:p w:rsidR="00A250BC" w:rsidRPr="00A250BC" w:rsidRDefault="00A250BC" w:rsidP="00A250BC">
      <w:pPr>
        <w:pStyle w:val="Prrafodelista"/>
        <w:numPr>
          <w:ilvl w:val="0"/>
          <w:numId w:val="2"/>
        </w:numPr>
        <w:rPr>
          <w:rFonts w:ascii="Times New Roman" w:hAnsi="Times New Roman" w:cs="Times New Roman"/>
          <w:sz w:val="24"/>
          <w:szCs w:val="24"/>
        </w:rPr>
      </w:pPr>
      <w:r w:rsidRPr="00A250BC">
        <w:rPr>
          <w:rFonts w:ascii="Times New Roman" w:hAnsi="Times New Roman" w:cs="Times New Roman"/>
          <w:sz w:val="24"/>
          <w:szCs w:val="24"/>
        </w:rPr>
        <w:lastRenderedPageBreak/>
        <w:t>Plan Nacional Sobre Drogas</w:t>
      </w:r>
      <w:r w:rsidRPr="00A250BC">
        <w:rPr>
          <w:rFonts w:ascii="Times New Roman" w:hAnsi="Times New Roman" w:cs="Times New Roman"/>
          <w:i/>
          <w:sz w:val="24"/>
          <w:szCs w:val="24"/>
        </w:rPr>
        <w:t xml:space="preserve">, Anexo al convenio de 21 de febrero de 1971, ratificado por instrumento de 2 de febrero de 1973., </w:t>
      </w:r>
      <w:r w:rsidRPr="00A250BC">
        <w:rPr>
          <w:rFonts w:ascii="Times New Roman" w:hAnsi="Times New Roman" w:cs="Times New Roman"/>
          <w:sz w:val="24"/>
          <w:szCs w:val="24"/>
        </w:rPr>
        <w:t>Disponible on-line: http://www.pnsd.msc.es</w:t>
      </w:r>
      <w:r>
        <w:rPr>
          <w:rFonts w:ascii="Times New Roman" w:hAnsi="Times New Roman" w:cs="Times New Roman"/>
          <w:sz w:val="24"/>
          <w:szCs w:val="24"/>
        </w:rPr>
        <w:t>.</w:t>
      </w:r>
    </w:p>
    <w:p w:rsidR="005120BB" w:rsidRDefault="005120BB" w:rsidP="00A4154C">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 xml:space="preserve">Queralt </w:t>
      </w:r>
      <w:r w:rsidRPr="005120BB">
        <w:rPr>
          <w:rFonts w:ascii="Times New Roman" w:hAnsi="Times New Roman" w:cs="Times New Roman"/>
          <w:sz w:val="24"/>
          <w:szCs w:val="24"/>
        </w:rPr>
        <w:t>Jiménez, J.J.</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(2010), “Delitos contra la salud pública (II): tráfico de drogas: cuestiones político-criminales, actos preparatorios punibles, tráfico de drogas blandas, tráfico de drogas</w:t>
      </w:r>
      <w:r w:rsidR="00A4154C">
        <w:rPr>
          <w:rFonts w:ascii="Times New Roman" w:hAnsi="Times New Roman" w:cs="Times New Roman"/>
          <w:sz w:val="24"/>
          <w:szCs w:val="24"/>
        </w:rPr>
        <w:t xml:space="preserve"> duras, tráfico de precursores” en Queralt Jiménez, J.J.,</w:t>
      </w:r>
      <w:r w:rsidRPr="005120BB">
        <w:rPr>
          <w:rFonts w:ascii="Times New Roman" w:hAnsi="Times New Roman" w:cs="Times New Roman"/>
          <w:sz w:val="24"/>
          <w:szCs w:val="24"/>
        </w:rPr>
        <w:t xml:space="preserve"> </w:t>
      </w:r>
      <w:r w:rsidRPr="005120BB">
        <w:rPr>
          <w:rFonts w:ascii="Times New Roman" w:hAnsi="Times New Roman" w:cs="Times New Roman"/>
          <w:i/>
          <w:sz w:val="24"/>
          <w:szCs w:val="24"/>
        </w:rPr>
        <w:t>Derecho penal español Parte especial</w:t>
      </w:r>
      <w:r w:rsidRPr="005120BB">
        <w:rPr>
          <w:rFonts w:ascii="Times New Roman" w:hAnsi="Times New Roman" w:cs="Times New Roman"/>
          <w:sz w:val="24"/>
          <w:szCs w:val="24"/>
        </w:rPr>
        <w:t>, Barcelona, Atelier, pp. 1039-1078.</w:t>
      </w:r>
    </w:p>
    <w:p w:rsidR="00E25188" w:rsidRDefault="00E25188" w:rsidP="00E25188">
      <w:pPr>
        <w:pStyle w:val="Prrafodelista"/>
        <w:numPr>
          <w:ilvl w:val="0"/>
          <w:numId w:val="2"/>
        </w:numPr>
        <w:rPr>
          <w:rFonts w:ascii="Times New Roman" w:hAnsi="Times New Roman" w:cs="Times New Roman"/>
          <w:sz w:val="24"/>
          <w:szCs w:val="24"/>
        </w:rPr>
      </w:pPr>
      <w:r w:rsidRPr="00E25188">
        <w:rPr>
          <w:rFonts w:ascii="Times New Roman" w:hAnsi="Times New Roman" w:cs="Times New Roman"/>
          <w:sz w:val="24"/>
          <w:szCs w:val="24"/>
        </w:rPr>
        <w:t>Sánchez Tomás, JM., (2002)</w:t>
      </w:r>
      <w:r w:rsidR="003062B8">
        <w:rPr>
          <w:rFonts w:ascii="Times New Roman" w:hAnsi="Times New Roman" w:cs="Times New Roman"/>
          <w:sz w:val="24"/>
          <w:szCs w:val="24"/>
        </w:rPr>
        <w:t>,</w:t>
      </w:r>
      <w:r w:rsidRPr="00E25188">
        <w:rPr>
          <w:rFonts w:ascii="Times New Roman" w:hAnsi="Times New Roman" w:cs="Times New Roman"/>
          <w:sz w:val="24"/>
          <w:szCs w:val="24"/>
        </w:rPr>
        <w:t xml:space="preserve"> </w:t>
      </w:r>
      <w:r>
        <w:rPr>
          <w:rFonts w:ascii="Times New Roman" w:hAnsi="Times New Roman" w:cs="Times New Roman"/>
          <w:sz w:val="24"/>
          <w:szCs w:val="24"/>
        </w:rPr>
        <w:t>“</w:t>
      </w:r>
      <w:r w:rsidRPr="00E25188">
        <w:rPr>
          <w:rFonts w:ascii="Times New Roman" w:hAnsi="Times New Roman" w:cs="Times New Roman"/>
          <w:sz w:val="24"/>
          <w:szCs w:val="24"/>
        </w:rPr>
        <w:t>Derecho de las drogas y las drogodependencias</w:t>
      </w:r>
      <w:r>
        <w:rPr>
          <w:rFonts w:ascii="Times New Roman" w:hAnsi="Times New Roman" w:cs="Times New Roman"/>
          <w:sz w:val="24"/>
          <w:szCs w:val="24"/>
        </w:rPr>
        <w:t>”</w:t>
      </w:r>
      <w:r w:rsidRPr="00E25188">
        <w:rPr>
          <w:rFonts w:ascii="Times New Roman" w:hAnsi="Times New Roman" w:cs="Times New Roman"/>
          <w:sz w:val="24"/>
          <w:szCs w:val="24"/>
        </w:rPr>
        <w:t>. Madrid.</w:t>
      </w:r>
    </w:p>
    <w:p w:rsidR="00547D5B" w:rsidRPr="00E25188" w:rsidRDefault="00547D5B" w:rsidP="00547D5B">
      <w:pPr>
        <w:pStyle w:val="Prrafodelista"/>
        <w:numPr>
          <w:ilvl w:val="0"/>
          <w:numId w:val="2"/>
        </w:numPr>
        <w:rPr>
          <w:rFonts w:ascii="Times New Roman" w:hAnsi="Times New Roman" w:cs="Times New Roman"/>
          <w:sz w:val="24"/>
          <w:szCs w:val="24"/>
        </w:rPr>
      </w:pPr>
      <w:r>
        <w:rPr>
          <w:rFonts w:ascii="Times New Roman" w:hAnsi="Times New Roman" w:cs="Times New Roman"/>
          <w:sz w:val="24"/>
          <w:szCs w:val="24"/>
        </w:rPr>
        <w:t>Sequeros Sazatornil, F., (2011), “Título XVII. De los delitos contra la seguridad colectiva. Capítulo III. De los delitos contra la salud pública. Artículos 368 a 37</w:t>
      </w:r>
      <w:r w:rsidR="003062B8">
        <w:rPr>
          <w:rFonts w:ascii="Times New Roman" w:hAnsi="Times New Roman" w:cs="Times New Roman"/>
          <w:sz w:val="24"/>
          <w:szCs w:val="24"/>
        </w:rPr>
        <w:t>8” en Gómez Tomillo, M., (Dir.):</w:t>
      </w:r>
      <w:r>
        <w:rPr>
          <w:rFonts w:ascii="Times New Roman" w:hAnsi="Times New Roman" w:cs="Times New Roman"/>
          <w:sz w:val="24"/>
          <w:szCs w:val="24"/>
        </w:rPr>
        <w:t xml:space="preserve"> </w:t>
      </w:r>
      <w:r>
        <w:rPr>
          <w:rFonts w:ascii="Times New Roman" w:hAnsi="Times New Roman" w:cs="Times New Roman"/>
          <w:i/>
          <w:sz w:val="24"/>
          <w:szCs w:val="24"/>
        </w:rPr>
        <w:t>Comentarios al Código Penal</w:t>
      </w:r>
      <w:r>
        <w:rPr>
          <w:rFonts w:ascii="Times New Roman" w:hAnsi="Times New Roman" w:cs="Times New Roman"/>
          <w:sz w:val="24"/>
          <w:szCs w:val="24"/>
        </w:rPr>
        <w:t xml:space="preserve">, </w:t>
      </w:r>
      <w:r w:rsidRPr="00547D5B">
        <w:rPr>
          <w:rFonts w:ascii="Times New Roman" w:hAnsi="Times New Roman" w:cs="Times New Roman"/>
          <w:sz w:val="24"/>
          <w:szCs w:val="24"/>
        </w:rPr>
        <w:t>Valladolid, Lex Nova. pp.1399-1450.</w:t>
      </w:r>
    </w:p>
    <w:p w:rsidR="00E25188" w:rsidRPr="004947C5" w:rsidRDefault="005120BB" w:rsidP="004947C5">
      <w:pPr>
        <w:pStyle w:val="Prrafodelista"/>
        <w:numPr>
          <w:ilvl w:val="0"/>
          <w:numId w:val="2"/>
        </w:numPr>
        <w:rPr>
          <w:rFonts w:ascii="Times New Roman" w:hAnsi="Times New Roman" w:cs="Times New Roman"/>
          <w:sz w:val="24"/>
          <w:szCs w:val="24"/>
        </w:rPr>
      </w:pPr>
      <w:r w:rsidRPr="005120BB">
        <w:rPr>
          <w:rFonts w:ascii="Times New Roman" w:hAnsi="Times New Roman" w:cs="Times New Roman"/>
          <w:sz w:val="24"/>
          <w:szCs w:val="24"/>
        </w:rPr>
        <w:t>Serrano Gómez, A. y Serrano Maíllo, A.</w:t>
      </w:r>
      <w:r w:rsidR="003062B8">
        <w:rPr>
          <w:rFonts w:ascii="Times New Roman" w:hAnsi="Times New Roman" w:cs="Times New Roman"/>
          <w:sz w:val="24"/>
          <w:szCs w:val="24"/>
        </w:rPr>
        <w:t>,</w:t>
      </w:r>
      <w:r w:rsidRPr="005120BB">
        <w:rPr>
          <w:rFonts w:ascii="Times New Roman" w:hAnsi="Times New Roman" w:cs="Times New Roman"/>
          <w:sz w:val="24"/>
          <w:szCs w:val="24"/>
        </w:rPr>
        <w:t xml:space="preserve"> (2011), “Delitos contra la seguridad colectiva. Tráfico ilegal de drogas”, </w:t>
      </w:r>
      <w:r w:rsidRPr="005120BB">
        <w:rPr>
          <w:rFonts w:ascii="Times New Roman" w:hAnsi="Times New Roman" w:cs="Times New Roman"/>
          <w:i/>
          <w:sz w:val="24"/>
          <w:szCs w:val="24"/>
        </w:rPr>
        <w:t>Derecho Penal Parte Especial</w:t>
      </w:r>
      <w:r>
        <w:rPr>
          <w:rFonts w:ascii="Times New Roman" w:hAnsi="Times New Roman" w:cs="Times New Roman"/>
          <w:i/>
          <w:sz w:val="24"/>
          <w:szCs w:val="24"/>
        </w:rPr>
        <w:t>,</w:t>
      </w:r>
      <w:r w:rsidRPr="005120BB">
        <w:rPr>
          <w:rFonts w:ascii="Times New Roman" w:hAnsi="Times New Roman" w:cs="Times New Roman"/>
          <w:sz w:val="24"/>
          <w:szCs w:val="24"/>
        </w:rPr>
        <w:t xml:space="preserve"> Madrid,  Dyknson, pp. 707-736</w:t>
      </w:r>
      <w:r w:rsidR="00FD1B7A">
        <w:rPr>
          <w:rFonts w:ascii="Times New Roman" w:hAnsi="Times New Roman" w:cs="Times New Roman"/>
          <w:sz w:val="24"/>
          <w:szCs w:val="24"/>
        </w:rPr>
        <w:t>.</w:t>
      </w:r>
    </w:p>
    <w:p w:rsidR="00E25188" w:rsidRDefault="00E25188" w:rsidP="00E25188">
      <w:pPr>
        <w:rPr>
          <w:rFonts w:ascii="Times New Roman" w:hAnsi="Times New Roman" w:cs="Times New Roman"/>
          <w:sz w:val="24"/>
          <w:szCs w:val="24"/>
        </w:rPr>
      </w:pPr>
    </w:p>
    <w:p w:rsidR="00810111" w:rsidRDefault="00810111" w:rsidP="00922DE3">
      <w:pPr>
        <w:pStyle w:val="Ttulo1"/>
        <w:numPr>
          <w:ilvl w:val="0"/>
          <w:numId w:val="9"/>
        </w:numPr>
        <w:rPr>
          <w:rFonts w:ascii="Times New Roman" w:hAnsi="Times New Roman" w:cs="Times New Roman"/>
          <w:color w:val="000000" w:themeColor="text1"/>
          <w:sz w:val="24"/>
          <w:szCs w:val="24"/>
        </w:rPr>
      </w:pPr>
      <w:bookmarkStart w:id="46" w:name="_Toc393739403"/>
      <w:r w:rsidRPr="00922DE3">
        <w:rPr>
          <w:rFonts w:ascii="Times New Roman" w:hAnsi="Times New Roman" w:cs="Times New Roman"/>
          <w:caps/>
          <w:color w:val="000000" w:themeColor="text1"/>
          <w:sz w:val="24"/>
          <w:szCs w:val="24"/>
        </w:rPr>
        <w:t>Jurisprud</w:t>
      </w:r>
      <w:r w:rsidR="004947C5">
        <w:rPr>
          <w:rFonts w:ascii="Times New Roman" w:hAnsi="Times New Roman" w:cs="Times New Roman"/>
          <w:caps/>
          <w:color w:val="000000" w:themeColor="text1"/>
          <w:sz w:val="24"/>
          <w:szCs w:val="24"/>
        </w:rPr>
        <w:t xml:space="preserve">encia, </w:t>
      </w:r>
      <w:r w:rsidRPr="00922DE3">
        <w:rPr>
          <w:rFonts w:ascii="Times New Roman" w:hAnsi="Times New Roman" w:cs="Times New Roman"/>
          <w:caps/>
          <w:color w:val="000000" w:themeColor="text1"/>
          <w:sz w:val="24"/>
          <w:szCs w:val="24"/>
        </w:rPr>
        <w:t>Acuerdos</w:t>
      </w:r>
      <w:r w:rsidR="00922DE3" w:rsidRPr="00922DE3">
        <w:rPr>
          <w:rFonts w:ascii="Times New Roman" w:hAnsi="Times New Roman" w:cs="Times New Roman"/>
          <w:caps/>
          <w:color w:val="000000" w:themeColor="text1"/>
          <w:sz w:val="24"/>
          <w:szCs w:val="24"/>
        </w:rPr>
        <w:t xml:space="preserve"> y Circulares</w:t>
      </w:r>
      <w:r w:rsidRPr="00922DE3">
        <w:rPr>
          <w:rFonts w:ascii="Times New Roman" w:hAnsi="Times New Roman" w:cs="Times New Roman"/>
          <w:color w:val="000000" w:themeColor="text1"/>
          <w:sz w:val="24"/>
          <w:szCs w:val="24"/>
        </w:rPr>
        <w:t>:</w:t>
      </w:r>
      <w:bookmarkEnd w:id="46"/>
    </w:p>
    <w:p w:rsidR="00B93CF2" w:rsidRPr="00B93CF2" w:rsidRDefault="00B93CF2" w:rsidP="00B93CF2">
      <w:pPr>
        <w:pStyle w:val="Prrafodelista"/>
        <w:numPr>
          <w:ilvl w:val="0"/>
          <w:numId w:val="2"/>
        </w:numPr>
        <w:rPr>
          <w:rFonts w:ascii="Times New Roman" w:hAnsi="Times New Roman" w:cs="Times New Roman"/>
          <w:sz w:val="24"/>
          <w:szCs w:val="24"/>
        </w:rPr>
      </w:pPr>
      <w:r w:rsidRPr="00B93CF2">
        <w:rPr>
          <w:rFonts w:ascii="Times New Roman" w:hAnsi="Times New Roman" w:cs="Times New Roman"/>
          <w:sz w:val="24"/>
          <w:szCs w:val="24"/>
        </w:rPr>
        <w:t xml:space="preserve">Circular nº3/2011 Sobre la reforma del Código Penal efectuada por la Ley Orgánica 5/2010, de 22 de Junio, en relación con los delitos de tráfico ilegal de drogas y de precursores, </w:t>
      </w:r>
      <w:r w:rsidRPr="00B93CF2">
        <w:rPr>
          <w:rFonts w:ascii="Times New Roman" w:hAnsi="Times New Roman" w:cs="Times New Roman"/>
          <w:i/>
          <w:sz w:val="24"/>
          <w:szCs w:val="24"/>
        </w:rPr>
        <w:t>Fiscalía General del Estado</w:t>
      </w:r>
      <w:r w:rsidRPr="00B93CF2">
        <w:rPr>
          <w:rFonts w:ascii="Times New Roman" w:hAnsi="Times New Roman" w:cs="Times New Roman"/>
          <w:sz w:val="24"/>
          <w:szCs w:val="24"/>
        </w:rPr>
        <w:t>, Disponible on-line: http://www.fiscal.es.</w:t>
      </w:r>
    </w:p>
    <w:p w:rsidR="00810111" w:rsidRDefault="00810111" w:rsidP="00810111">
      <w:pPr>
        <w:pStyle w:val="Prrafodelista"/>
        <w:numPr>
          <w:ilvl w:val="0"/>
          <w:numId w:val="2"/>
        </w:numPr>
        <w:rPr>
          <w:rFonts w:ascii="Times New Roman" w:hAnsi="Times New Roman" w:cs="Times New Roman"/>
          <w:sz w:val="24"/>
          <w:szCs w:val="24"/>
        </w:rPr>
      </w:pPr>
      <w:r w:rsidRPr="00810111">
        <w:rPr>
          <w:rFonts w:ascii="Times New Roman" w:hAnsi="Times New Roman" w:cs="Times New Roman"/>
          <w:sz w:val="24"/>
          <w:szCs w:val="24"/>
        </w:rPr>
        <w:t xml:space="preserve">Gabinete Técnico del Tribunal Supremo, “Acuerdos del Pleno Sala Segunda del Tribunal Supremo </w:t>
      </w:r>
      <w:r w:rsidR="007C7DA6">
        <w:rPr>
          <w:rFonts w:ascii="Times New Roman" w:hAnsi="Times New Roman" w:cs="Times New Roman"/>
          <w:sz w:val="24"/>
          <w:szCs w:val="24"/>
        </w:rPr>
        <w:t xml:space="preserve">años 2000-2012.” Poder Judicial. </w:t>
      </w:r>
      <w:r w:rsidRPr="00810111">
        <w:rPr>
          <w:rFonts w:ascii="Times New Roman" w:hAnsi="Times New Roman" w:cs="Times New Roman"/>
          <w:sz w:val="24"/>
          <w:szCs w:val="24"/>
        </w:rPr>
        <w:t xml:space="preserve">Disponible on-line: </w:t>
      </w:r>
      <w:r w:rsidR="007C7DA6" w:rsidRPr="007C7DA6">
        <w:rPr>
          <w:rFonts w:ascii="Times New Roman" w:hAnsi="Times New Roman" w:cs="Times New Roman"/>
          <w:sz w:val="24"/>
          <w:szCs w:val="24"/>
        </w:rPr>
        <w:t>http://www.poderjudicial.es</w:t>
      </w:r>
      <w:r w:rsidRPr="00810111">
        <w:rPr>
          <w:rFonts w:ascii="Times New Roman" w:hAnsi="Times New Roman" w:cs="Times New Roman"/>
          <w:sz w:val="24"/>
          <w:szCs w:val="24"/>
        </w:rPr>
        <w:t>.</w:t>
      </w:r>
    </w:p>
    <w:p w:rsidR="007C7DA6" w:rsidRDefault="007C7DA6" w:rsidP="007C7DA6">
      <w:pPr>
        <w:pStyle w:val="Prrafodelista"/>
        <w:numPr>
          <w:ilvl w:val="0"/>
          <w:numId w:val="2"/>
        </w:numPr>
        <w:rPr>
          <w:rFonts w:ascii="Times New Roman" w:hAnsi="Times New Roman" w:cs="Times New Roman"/>
          <w:sz w:val="24"/>
          <w:szCs w:val="24"/>
        </w:rPr>
      </w:pPr>
      <w:r w:rsidRPr="007C7DA6">
        <w:rPr>
          <w:rFonts w:ascii="Times New Roman" w:hAnsi="Times New Roman" w:cs="Times New Roman"/>
          <w:sz w:val="24"/>
          <w:szCs w:val="24"/>
        </w:rPr>
        <w:t>Gabinete Técnico del Tribunal Supremo, “Doctrina Jurisprudencial de la Sala de lo Penal del Tribunal Supremo año judi</w:t>
      </w:r>
      <w:r>
        <w:rPr>
          <w:rFonts w:ascii="Times New Roman" w:hAnsi="Times New Roman" w:cs="Times New Roman"/>
          <w:sz w:val="24"/>
          <w:szCs w:val="24"/>
        </w:rPr>
        <w:t xml:space="preserve">cial 2012-2013”, Poder Judicial. </w:t>
      </w:r>
      <w:r w:rsidRPr="007C7DA6">
        <w:rPr>
          <w:rFonts w:ascii="Times New Roman" w:hAnsi="Times New Roman" w:cs="Times New Roman"/>
          <w:sz w:val="24"/>
          <w:szCs w:val="24"/>
        </w:rPr>
        <w:t>Disponible online: http://www.poderjudicial.es</w:t>
      </w:r>
      <w:r>
        <w:rPr>
          <w:rFonts w:ascii="Times New Roman" w:hAnsi="Times New Roman" w:cs="Times New Roman"/>
          <w:sz w:val="24"/>
          <w:szCs w:val="24"/>
        </w:rPr>
        <w:t>.</w:t>
      </w:r>
    </w:p>
    <w:p w:rsidR="007C7DA6" w:rsidRPr="007C7DA6" w:rsidRDefault="007C7DA6" w:rsidP="007C7DA6">
      <w:pPr>
        <w:rPr>
          <w:rFonts w:ascii="Times New Roman" w:hAnsi="Times New Roman" w:cs="Times New Roman"/>
          <w:sz w:val="24"/>
          <w:szCs w:val="24"/>
        </w:rPr>
      </w:pP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4182/1990 de 1 de junio.</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581/1991 de 4 de febrero.</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4408/1991 de 24 de julio.</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4888/1991 de 27 de septiembre.</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lastRenderedPageBreak/>
        <w:t>STS 5654/1991 de 23 de octubre.</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7966/1992 de 26 de octubre.</w:t>
      </w:r>
    </w:p>
    <w:p w:rsidR="00242C89" w:rsidRPr="007C5BFF" w:rsidRDefault="00242C8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5459/1993 de 19 de Julio.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6591/1993 de 5 de octubre.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778/1996 de 9 de febrero.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 xml:space="preserve">STS </w:t>
      </w:r>
      <w:r w:rsidR="009C5C26">
        <w:rPr>
          <w:rFonts w:ascii="Times New Roman" w:hAnsi="Times New Roman" w:cs="Times New Roman"/>
          <w:sz w:val="24"/>
          <w:szCs w:val="24"/>
        </w:rPr>
        <w:t>1680/1996 de 18 de marzo.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2397/1998 de 14 de abril.</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9063/2000 de 11 de diciembre.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4162/2003 de 16 de junio.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4335/2003 de 21 de junio.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7240/2003 de 17 de noviembre.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7542/2003 de 27 de noviembre.</w:t>
      </w:r>
    </w:p>
    <w:p w:rsidR="00CC5D19"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7599/2003 de 28 de noviembre.</w:t>
      </w:r>
    </w:p>
    <w:p w:rsidR="00B071EC" w:rsidRPr="007C5BFF" w:rsidRDefault="00B071EC" w:rsidP="00B071EC">
      <w:pPr>
        <w:pStyle w:val="Prrafodelista"/>
        <w:numPr>
          <w:ilvl w:val="0"/>
          <w:numId w:val="13"/>
        </w:numPr>
        <w:rPr>
          <w:rFonts w:ascii="Times New Roman" w:hAnsi="Times New Roman" w:cs="Times New Roman"/>
          <w:sz w:val="24"/>
          <w:szCs w:val="24"/>
        </w:rPr>
      </w:pPr>
      <w:r w:rsidRPr="00B071EC">
        <w:rPr>
          <w:rFonts w:ascii="Times New Roman" w:hAnsi="Times New Roman" w:cs="Times New Roman"/>
          <w:sz w:val="24"/>
          <w:szCs w:val="24"/>
        </w:rPr>
        <w:t>STS 1106/2004 de 20 de febrero.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1905/2004 de 18 de marzo.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1703/2007 de 1 de marzo.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2752/2007 de 7 de mayo.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3427/2007 de 9 de mayo.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1583/2008 de 29 de abril.</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6795/2008 de 16 de diciembre.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6124/2009 de 7 de octubre.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6824/2009 de 11 de noviembre.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7671/2009 de 12 de noviembre.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629/2010 de 9 de febrero.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354/2011 de 26 de enero.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253/2011 de 28 de Enero.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4327/2011 de 21 de junio.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5753/2011 de 16 de septiembre.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3746/2012 de 25 de mayo.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7278/2012 de fecha 31 de octubre.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8041/2012 de 31 de octubre.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243/2013 de 31 de enero.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3430/2013 de 18 de junio.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3778/2013 de 25 de junio.</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lastRenderedPageBreak/>
        <w:t>STS 5775/2013 de 12 de noviembre.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5441/2013 de 14 de noviembre.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STS 5868/2013 de 11 de diciembre.</w:t>
      </w:r>
    </w:p>
    <w:p w:rsidR="00CC5D19" w:rsidRPr="007C5BFF"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ATS 4463/2014 de 10 de abril.</w:t>
      </w:r>
    </w:p>
    <w:p w:rsidR="00CC5D19" w:rsidRDefault="00CC5D19" w:rsidP="00B071EC">
      <w:pPr>
        <w:pStyle w:val="Prrafodelista"/>
        <w:numPr>
          <w:ilvl w:val="0"/>
          <w:numId w:val="13"/>
        </w:numPr>
        <w:rPr>
          <w:rFonts w:ascii="Times New Roman" w:hAnsi="Times New Roman" w:cs="Times New Roman"/>
          <w:sz w:val="24"/>
          <w:szCs w:val="24"/>
        </w:rPr>
      </w:pPr>
      <w:r w:rsidRPr="007C5BFF">
        <w:rPr>
          <w:rFonts w:ascii="Times New Roman" w:hAnsi="Times New Roman" w:cs="Times New Roman"/>
          <w:sz w:val="24"/>
          <w:szCs w:val="24"/>
        </w:rPr>
        <w:t>ATS 4500/2014 de 14 de mayo.</w:t>
      </w:r>
    </w:p>
    <w:p w:rsidR="004947C5" w:rsidRPr="00473D7C" w:rsidRDefault="00C21C23" w:rsidP="00276A28">
      <w:pPr>
        <w:pStyle w:val="Prrafodelista"/>
        <w:numPr>
          <w:ilvl w:val="0"/>
          <w:numId w:val="13"/>
        </w:numPr>
        <w:rPr>
          <w:rFonts w:ascii="Times New Roman" w:hAnsi="Times New Roman" w:cs="Times New Roman"/>
          <w:sz w:val="24"/>
          <w:szCs w:val="24"/>
        </w:rPr>
      </w:pPr>
      <w:r w:rsidRPr="00C21C23">
        <w:rPr>
          <w:rFonts w:ascii="Times New Roman" w:hAnsi="Times New Roman" w:cs="Times New Roman"/>
          <w:sz w:val="24"/>
          <w:szCs w:val="24"/>
        </w:rPr>
        <w:t>STS 2329/2014 de 10 de junio</w:t>
      </w:r>
      <w:r>
        <w:rPr>
          <w:rFonts w:ascii="Times New Roman" w:hAnsi="Times New Roman" w:cs="Times New Roman"/>
          <w:sz w:val="24"/>
          <w:szCs w:val="24"/>
        </w:rPr>
        <w:t>.</w:t>
      </w:r>
      <w:r>
        <w:rPr>
          <w:rStyle w:val="Refdenotaalpie"/>
          <w:rFonts w:ascii="Times New Roman" w:hAnsi="Times New Roman" w:cs="Times New Roman"/>
          <w:sz w:val="24"/>
          <w:szCs w:val="24"/>
        </w:rPr>
        <w:footnoteReference w:id="68"/>
      </w:r>
    </w:p>
    <w:p w:rsidR="00804B9A" w:rsidRDefault="00804B9A" w:rsidP="00804B9A">
      <w:pPr>
        <w:pStyle w:val="Ttulo1"/>
        <w:numPr>
          <w:ilvl w:val="0"/>
          <w:numId w:val="9"/>
        </w:numPr>
        <w:rPr>
          <w:rFonts w:ascii="Times New Roman" w:hAnsi="Times New Roman" w:cs="Times New Roman"/>
          <w:color w:val="auto"/>
          <w:sz w:val="24"/>
          <w:szCs w:val="24"/>
        </w:rPr>
      </w:pPr>
      <w:bookmarkStart w:id="47" w:name="_Toc393739404"/>
      <w:r w:rsidRPr="00DF3379">
        <w:rPr>
          <w:rFonts w:ascii="Times New Roman" w:hAnsi="Times New Roman" w:cs="Times New Roman"/>
          <w:color w:val="auto"/>
          <w:sz w:val="24"/>
          <w:szCs w:val="24"/>
        </w:rPr>
        <w:t>ANEXOS</w:t>
      </w:r>
      <w:bookmarkEnd w:id="47"/>
    </w:p>
    <w:p w:rsidR="00DF3379" w:rsidRPr="00DF3379" w:rsidRDefault="00DF3379" w:rsidP="00DF3379"/>
    <w:p w:rsidR="00804B9A" w:rsidRDefault="00DF3379" w:rsidP="00804B9A">
      <w:pPr>
        <w:jc w:val="center"/>
        <w:rPr>
          <w:rFonts w:ascii="Times New Roman" w:hAnsi="Times New Roman" w:cs="Times New Roman"/>
          <w:b/>
          <w:sz w:val="24"/>
          <w:szCs w:val="24"/>
        </w:rPr>
      </w:pPr>
      <w:r>
        <w:rPr>
          <w:rFonts w:ascii="Times New Roman" w:hAnsi="Times New Roman" w:cs="Times New Roman"/>
          <w:b/>
          <w:sz w:val="24"/>
          <w:szCs w:val="24"/>
        </w:rPr>
        <w:t>ANEXO 1</w:t>
      </w:r>
    </w:p>
    <w:p w:rsidR="00DF3379" w:rsidRDefault="00DF3379" w:rsidP="00DF3379">
      <w:pPr>
        <w:rPr>
          <w:rFonts w:ascii="Times New Roman" w:hAnsi="Times New Roman" w:cs="Times New Roman"/>
          <w:b/>
          <w:sz w:val="24"/>
          <w:szCs w:val="24"/>
        </w:rPr>
      </w:pPr>
    </w:p>
    <w:p w:rsidR="00804B9A" w:rsidRDefault="00804B9A" w:rsidP="00804B9A">
      <w:pPr>
        <w:rPr>
          <w:rFonts w:ascii="Times New Roman" w:hAnsi="Times New Roman" w:cs="Times New Roman"/>
          <w:b/>
          <w:sz w:val="24"/>
          <w:szCs w:val="24"/>
        </w:rPr>
      </w:pPr>
      <w:r w:rsidRPr="007A412C">
        <w:rPr>
          <w:rFonts w:ascii="Times New Roman" w:hAnsi="Times New Roman" w:cs="Times New Roman"/>
          <w:noProof/>
          <w:sz w:val="24"/>
          <w:szCs w:val="24"/>
          <w:lang w:val="es-ES" w:eastAsia="es-ES"/>
        </w:rPr>
        <w:drawing>
          <wp:anchor distT="0" distB="0" distL="114300" distR="114300" simplePos="0" relativeHeight="251659264" behindDoc="0" locked="0" layoutInCell="1" allowOverlap="1" wp14:anchorId="496D52C4" wp14:editId="020CF735">
            <wp:simplePos x="0" y="0"/>
            <wp:positionH relativeFrom="column">
              <wp:posOffset>-70485</wp:posOffset>
            </wp:positionH>
            <wp:positionV relativeFrom="paragraph">
              <wp:posOffset>300355</wp:posOffset>
            </wp:positionV>
            <wp:extent cx="5400040" cy="3150235"/>
            <wp:effectExtent l="0" t="0" r="10160" b="12065"/>
            <wp:wrapSquare wrapText="bothSides"/>
            <wp:docPr id="1"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14:sizeRelH relativeFrom="page">
              <wp14:pctWidth>0</wp14:pctWidth>
            </wp14:sizeRelH>
            <wp14:sizeRelV relativeFrom="page">
              <wp14:pctHeight>0</wp14:pctHeight>
            </wp14:sizeRelV>
          </wp:anchor>
        </w:drawing>
      </w:r>
      <w:r w:rsidRPr="007A412C">
        <w:rPr>
          <w:rFonts w:ascii="Times New Roman" w:hAnsi="Times New Roman" w:cs="Times New Roman"/>
          <w:b/>
          <w:sz w:val="24"/>
          <w:szCs w:val="24"/>
        </w:rPr>
        <w:t>PRECIOS DE LAS DROGAS EN 2012</w:t>
      </w:r>
    </w:p>
    <w:p w:rsidR="00804B9A" w:rsidRDefault="00804B9A" w:rsidP="00804B9A">
      <w:pPr>
        <w:rPr>
          <w:rFonts w:ascii="Times New Roman" w:hAnsi="Times New Roman" w:cs="Times New Roman"/>
          <w:sz w:val="24"/>
          <w:szCs w:val="24"/>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Default="00804B9A" w:rsidP="00804B9A">
      <w:pPr>
        <w:rPr>
          <w:rFonts w:ascii="Times New Roman" w:hAnsi="Times New Roman" w:cs="Times New Roman"/>
          <w:i/>
          <w:sz w:val="20"/>
          <w:szCs w:val="20"/>
        </w:rPr>
      </w:pPr>
    </w:p>
    <w:p w:rsidR="00804B9A" w:rsidRPr="007A412C" w:rsidRDefault="00804B9A" w:rsidP="00804B9A">
      <w:pPr>
        <w:rPr>
          <w:rFonts w:ascii="Times New Roman" w:hAnsi="Times New Roman" w:cs="Times New Roman"/>
          <w:i/>
          <w:sz w:val="20"/>
          <w:szCs w:val="20"/>
        </w:rPr>
      </w:pPr>
      <w:r>
        <w:rPr>
          <w:rFonts w:ascii="Times New Roman" w:hAnsi="Times New Roman" w:cs="Times New Roman"/>
          <w:i/>
          <w:sz w:val="20"/>
          <w:szCs w:val="20"/>
        </w:rPr>
        <w:t>Fuente: Plan Nacional Sobre Drogas. Informe de precios y purezas 2012.</w:t>
      </w:r>
    </w:p>
    <w:p w:rsidR="00804B9A" w:rsidRDefault="00804B9A" w:rsidP="00804B9A">
      <w:pPr>
        <w:rPr>
          <w:rFonts w:ascii="Times New Roman" w:hAnsi="Times New Roman" w:cs="Times New Roman"/>
          <w:sz w:val="24"/>
          <w:szCs w:val="24"/>
        </w:rPr>
      </w:pPr>
      <w:r>
        <w:rPr>
          <w:rFonts w:ascii="Times New Roman" w:hAnsi="Times New Roman" w:cs="Times New Roman"/>
          <w:sz w:val="24"/>
          <w:szCs w:val="24"/>
        </w:rPr>
        <w:t>Como se observa, en el mercado del menudeo el precio con referencia al sulfato de anfetamina (</w:t>
      </w:r>
      <w:proofErr w:type="spellStart"/>
      <w:r>
        <w:rPr>
          <w:rFonts w:ascii="Times New Roman" w:hAnsi="Times New Roman" w:cs="Times New Roman"/>
          <w:sz w:val="24"/>
          <w:szCs w:val="24"/>
        </w:rPr>
        <w:t>speed</w:t>
      </w:r>
      <w:proofErr w:type="spellEnd"/>
      <w:r>
        <w:rPr>
          <w:rFonts w:ascii="Times New Roman" w:hAnsi="Times New Roman" w:cs="Times New Roman"/>
          <w:sz w:val="24"/>
          <w:szCs w:val="24"/>
        </w:rPr>
        <w:t>)  y LSD mostró una bajada del año 2011 al año 2012, en contraposición de la cocaína, heroína y éxtasis.</w:t>
      </w:r>
    </w:p>
    <w:p w:rsidR="00804B9A" w:rsidRDefault="00804B9A" w:rsidP="00804B9A">
      <w:pPr>
        <w:rPr>
          <w:rFonts w:ascii="Times New Roman" w:hAnsi="Times New Roman" w:cs="Times New Roman"/>
          <w:sz w:val="24"/>
          <w:szCs w:val="24"/>
        </w:rPr>
      </w:pPr>
    </w:p>
    <w:p w:rsidR="00804B9A" w:rsidRPr="007A412C" w:rsidRDefault="00804B9A" w:rsidP="00804B9A">
      <w:pPr>
        <w:rPr>
          <w:rFonts w:ascii="Times New Roman" w:hAnsi="Times New Roman" w:cs="Times New Roman"/>
          <w:sz w:val="24"/>
          <w:szCs w:val="24"/>
        </w:rPr>
      </w:pPr>
      <w:r>
        <w:rPr>
          <w:rFonts w:ascii="Times New Roman" w:hAnsi="Times New Roman" w:cs="Times New Roman"/>
          <w:noProof/>
          <w:sz w:val="24"/>
          <w:szCs w:val="24"/>
          <w:lang w:val="es-ES" w:eastAsia="es-ES"/>
        </w:rPr>
        <w:lastRenderedPageBreak/>
        <w:drawing>
          <wp:inline distT="0" distB="0" distL="0" distR="0" wp14:anchorId="4674631A" wp14:editId="7A0AB4C9">
            <wp:extent cx="5400040" cy="3150235"/>
            <wp:effectExtent l="0" t="0" r="10160" b="12065"/>
            <wp:docPr id="2" name="Gráfico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804B9A" w:rsidRDefault="00804B9A" w:rsidP="00804B9A">
      <w:pPr>
        <w:rPr>
          <w:rFonts w:ascii="Times New Roman" w:hAnsi="Times New Roman" w:cs="Times New Roman"/>
          <w:i/>
          <w:sz w:val="20"/>
          <w:szCs w:val="20"/>
        </w:rPr>
      </w:pPr>
      <w:r>
        <w:rPr>
          <w:rFonts w:ascii="Times New Roman" w:hAnsi="Times New Roman" w:cs="Times New Roman"/>
          <w:i/>
          <w:sz w:val="20"/>
          <w:szCs w:val="20"/>
        </w:rPr>
        <w:t>Fuente: Plan Nacional Sobre Drogas. Informe de precios y purezas 2012.</w:t>
      </w:r>
    </w:p>
    <w:p w:rsidR="00804B9A" w:rsidRDefault="00804B9A" w:rsidP="00804B9A">
      <w:pPr>
        <w:rPr>
          <w:rFonts w:ascii="Times New Roman" w:hAnsi="Times New Roman" w:cs="Times New Roman"/>
          <w:sz w:val="24"/>
          <w:szCs w:val="24"/>
        </w:rPr>
      </w:pPr>
      <w:r>
        <w:rPr>
          <w:rFonts w:ascii="Times New Roman" w:hAnsi="Times New Roman" w:cs="Times New Roman"/>
          <w:sz w:val="24"/>
          <w:szCs w:val="24"/>
        </w:rPr>
        <w:t>Como se puede observar, todos los precios en relación con los gramos, ascendieron en el año 2012 con la sola excepción de la heroína que descendió.</w:t>
      </w:r>
    </w:p>
    <w:p w:rsidR="00804B9A" w:rsidRDefault="00804B9A" w:rsidP="00804B9A">
      <w:pPr>
        <w:rPr>
          <w:rFonts w:ascii="Times New Roman" w:hAnsi="Times New Roman" w:cs="Times New Roman"/>
          <w:sz w:val="24"/>
          <w:szCs w:val="24"/>
        </w:rPr>
      </w:pPr>
    </w:p>
    <w:p w:rsidR="00804B9A" w:rsidRDefault="00804B9A" w:rsidP="00804B9A">
      <w:pPr>
        <w:rPr>
          <w:rFonts w:ascii="Times New Roman" w:hAnsi="Times New Roman" w:cs="Times New Roman"/>
          <w:sz w:val="24"/>
          <w:szCs w:val="24"/>
        </w:rPr>
      </w:pPr>
    </w:p>
    <w:p w:rsidR="00804B9A" w:rsidRPr="00BA4881" w:rsidRDefault="00804B9A" w:rsidP="00804B9A">
      <w:pPr>
        <w:rPr>
          <w:rFonts w:ascii="Times New Roman" w:hAnsi="Times New Roman" w:cs="Times New Roman"/>
          <w:sz w:val="24"/>
          <w:szCs w:val="24"/>
        </w:rPr>
      </w:pPr>
    </w:p>
    <w:p w:rsidR="00804B9A" w:rsidRDefault="00804B9A" w:rsidP="00804B9A">
      <w:pPr>
        <w:rPr>
          <w:rFonts w:ascii="Times New Roman" w:hAnsi="Times New Roman" w:cs="Times New Roman"/>
          <w:sz w:val="24"/>
          <w:szCs w:val="24"/>
        </w:rPr>
      </w:pPr>
      <w:r>
        <w:rPr>
          <w:rFonts w:ascii="Times New Roman" w:hAnsi="Times New Roman" w:cs="Times New Roman"/>
          <w:noProof/>
          <w:sz w:val="24"/>
          <w:szCs w:val="24"/>
          <w:lang w:val="es-ES" w:eastAsia="es-ES"/>
        </w:rPr>
        <w:drawing>
          <wp:inline distT="0" distB="0" distL="0" distR="0" wp14:anchorId="07C679C9" wp14:editId="643AC3BF">
            <wp:extent cx="5486400" cy="3200400"/>
            <wp:effectExtent l="0" t="0" r="19050" b="19050"/>
            <wp:docPr id="3" name="Gráfico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804B9A" w:rsidRDefault="00804B9A" w:rsidP="00804B9A">
      <w:pPr>
        <w:rPr>
          <w:rFonts w:ascii="Times New Roman" w:hAnsi="Times New Roman" w:cs="Times New Roman"/>
          <w:i/>
          <w:sz w:val="20"/>
          <w:szCs w:val="20"/>
        </w:rPr>
      </w:pPr>
      <w:r>
        <w:rPr>
          <w:rFonts w:ascii="Times New Roman" w:hAnsi="Times New Roman" w:cs="Times New Roman"/>
          <w:i/>
          <w:sz w:val="20"/>
          <w:szCs w:val="20"/>
        </w:rPr>
        <w:t>Fuente: Plan Nacional Sobre Drogas. Informe de precios y purezas 2012.</w:t>
      </w:r>
    </w:p>
    <w:p w:rsidR="00804B9A" w:rsidRDefault="00804B9A" w:rsidP="00804B9A">
      <w:pPr>
        <w:rPr>
          <w:rFonts w:ascii="Times New Roman" w:hAnsi="Times New Roman" w:cs="Times New Roman"/>
          <w:sz w:val="24"/>
          <w:szCs w:val="24"/>
        </w:rPr>
      </w:pPr>
    </w:p>
    <w:p w:rsidR="00804B9A" w:rsidRDefault="00804B9A" w:rsidP="00804B9A">
      <w:pPr>
        <w:rPr>
          <w:rFonts w:ascii="Times New Roman" w:hAnsi="Times New Roman" w:cs="Times New Roman"/>
          <w:sz w:val="24"/>
          <w:szCs w:val="24"/>
        </w:rPr>
      </w:pPr>
      <w:r>
        <w:rPr>
          <w:rFonts w:ascii="Times New Roman" w:hAnsi="Times New Roman" w:cs="Times New Roman"/>
          <w:sz w:val="24"/>
          <w:szCs w:val="24"/>
        </w:rPr>
        <w:lastRenderedPageBreak/>
        <w:t>Se contempla que el precio de la marihuana ascendió aproximadamente un 2 por ciento, mientras que el precio del sulfato de anfetamina (</w:t>
      </w:r>
      <w:proofErr w:type="spellStart"/>
      <w:r>
        <w:rPr>
          <w:rFonts w:ascii="Times New Roman" w:hAnsi="Times New Roman" w:cs="Times New Roman"/>
          <w:sz w:val="24"/>
          <w:szCs w:val="24"/>
        </w:rPr>
        <w:t>Speed</w:t>
      </w:r>
      <w:proofErr w:type="spellEnd"/>
      <w:r>
        <w:rPr>
          <w:rFonts w:ascii="Times New Roman" w:hAnsi="Times New Roman" w:cs="Times New Roman"/>
          <w:sz w:val="24"/>
          <w:szCs w:val="24"/>
        </w:rPr>
        <w:t>) lo hizo en 1,21 por ciento.</w:t>
      </w:r>
    </w:p>
    <w:p w:rsidR="00804B9A" w:rsidRDefault="00804B9A" w:rsidP="00804B9A">
      <w:pPr>
        <w:rPr>
          <w:rFonts w:ascii="Times New Roman" w:hAnsi="Times New Roman" w:cs="Times New Roman"/>
          <w:sz w:val="24"/>
          <w:szCs w:val="24"/>
        </w:rPr>
      </w:pPr>
    </w:p>
    <w:p w:rsidR="00804B9A" w:rsidRPr="002F79E8" w:rsidRDefault="00804B9A" w:rsidP="00804B9A">
      <w:pPr>
        <w:rPr>
          <w:rFonts w:ascii="Times New Roman" w:hAnsi="Times New Roman" w:cs="Times New Roman"/>
          <w:b/>
          <w:sz w:val="24"/>
          <w:szCs w:val="24"/>
        </w:rPr>
      </w:pPr>
    </w:p>
    <w:p w:rsidR="00804B9A" w:rsidRPr="00804B9A" w:rsidRDefault="00804B9A" w:rsidP="00804B9A"/>
    <w:sectPr w:rsidR="00804B9A" w:rsidRPr="00804B9A" w:rsidSect="00FB624A">
      <w:footerReference w:type="default" r:id="rId12"/>
      <w:pgSz w:w="11906" w:h="16838"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51C3" w:rsidRDefault="007A51C3" w:rsidP="00DB4E07">
      <w:pPr>
        <w:spacing w:line="240" w:lineRule="auto"/>
      </w:pPr>
      <w:r>
        <w:separator/>
      </w:r>
    </w:p>
  </w:endnote>
  <w:endnote w:type="continuationSeparator" w:id="0">
    <w:p w:rsidR="007A51C3" w:rsidRDefault="007A51C3" w:rsidP="00DB4E0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61002A87" w:usb1="80000000" w:usb2="00000008"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55996548"/>
      <w:docPartObj>
        <w:docPartGallery w:val="Page Numbers (Bottom of Page)"/>
        <w:docPartUnique/>
      </w:docPartObj>
    </w:sdtPr>
    <w:sdtContent>
      <w:p w:rsidR="00556FB6" w:rsidRDefault="00556FB6">
        <w:pPr>
          <w:pStyle w:val="Piedepgina"/>
          <w:jc w:val="right"/>
        </w:pPr>
        <w:r>
          <w:fldChar w:fldCharType="begin"/>
        </w:r>
        <w:r>
          <w:instrText>PAGE   \* MERGEFORMAT</w:instrText>
        </w:r>
        <w:r>
          <w:fldChar w:fldCharType="separate"/>
        </w:r>
        <w:r w:rsidR="00860EC3">
          <w:rPr>
            <w:noProof/>
          </w:rPr>
          <w:t>47</w:t>
        </w:r>
        <w:r>
          <w:fldChar w:fldCharType="end"/>
        </w:r>
      </w:p>
    </w:sdtContent>
  </w:sdt>
  <w:p w:rsidR="00556FB6" w:rsidRDefault="00556FB6">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51C3" w:rsidRDefault="007A51C3" w:rsidP="00DB4E07">
      <w:pPr>
        <w:spacing w:line="240" w:lineRule="auto"/>
      </w:pPr>
      <w:r>
        <w:separator/>
      </w:r>
    </w:p>
  </w:footnote>
  <w:footnote w:type="continuationSeparator" w:id="0">
    <w:p w:rsidR="007A51C3" w:rsidRDefault="007A51C3" w:rsidP="00DB4E07">
      <w:pPr>
        <w:spacing w:line="240" w:lineRule="auto"/>
      </w:pPr>
      <w:r>
        <w:continuationSeparator/>
      </w:r>
    </w:p>
  </w:footnote>
  <w:footnote w:id="1">
    <w:p w:rsidR="00556FB6" w:rsidRPr="0079038A" w:rsidRDefault="00556FB6">
      <w:pPr>
        <w:pStyle w:val="Textonotapie"/>
        <w:rPr>
          <w:rFonts w:ascii="Times New Roman" w:hAnsi="Times New Roman" w:cs="Times New Roman"/>
          <w:lang w:val="es-ES"/>
        </w:rPr>
      </w:pPr>
      <w:r w:rsidRPr="0079038A">
        <w:rPr>
          <w:rStyle w:val="Refdenotaalpie"/>
          <w:rFonts w:ascii="Times New Roman" w:hAnsi="Times New Roman" w:cs="Times New Roman"/>
        </w:rPr>
        <w:footnoteRef/>
      </w:r>
      <w:r w:rsidRPr="0079038A">
        <w:rPr>
          <w:rFonts w:ascii="Times New Roman" w:hAnsi="Times New Roman" w:cs="Times New Roman"/>
        </w:rPr>
        <w:t xml:space="preserve"> </w:t>
      </w:r>
      <w:r>
        <w:rPr>
          <w:rFonts w:ascii="Times New Roman" w:hAnsi="Times New Roman" w:cs="Times New Roman"/>
        </w:rPr>
        <w:t>Fuentes Osorio, J.L., (2012), p.2.</w:t>
      </w:r>
    </w:p>
  </w:footnote>
  <w:footnote w:id="2">
    <w:p w:rsidR="00556FB6" w:rsidRPr="00FF5BA1" w:rsidRDefault="00556FB6">
      <w:pPr>
        <w:pStyle w:val="Textonotapie"/>
        <w:rPr>
          <w:rFonts w:ascii="Times New Roman" w:hAnsi="Times New Roman" w:cs="Times New Roman"/>
        </w:rPr>
      </w:pPr>
      <w:r w:rsidRPr="00FF5BA1">
        <w:rPr>
          <w:rStyle w:val="Refdenotaalpie"/>
          <w:rFonts w:ascii="Times New Roman" w:hAnsi="Times New Roman" w:cs="Times New Roman"/>
        </w:rPr>
        <w:footnoteRef/>
      </w:r>
      <w:r w:rsidRPr="00FF5BA1">
        <w:rPr>
          <w:rFonts w:ascii="Times New Roman" w:hAnsi="Times New Roman" w:cs="Times New Roman"/>
        </w:rPr>
        <w:t xml:space="preserve"> </w:t>
      </w:r>
      <w:r>
        <w:rPr>
          <w:rFonts w:ascii="Times New Roman" w:hAnsi="Times New Roman" w:cs="Times New Roman"/>
        </w:rPr>
        <w:t>Molina Fernández, F.,  (2011),  pp. 1310-1311.</w:t>
      </w:r>
    </w:p>
  </w:footnote>
  <w:footnote w:id="3">
    <w:p w:rsidR="00556FB6" w:rsidRPr="00904ED2" w:rsidRDefault="00556FB6">
      <w:pPr>
        <w:pStyle w:val="Textonotapie"/>
        <w:rPr>
          <w:rFonts w:ascii="Times New Roman" w:hAnsi="Times New Roman" w:cs="Times New Roman"/>
        </w:rPr>
      </w:pPr>
      <w:r w:rsidRPr="00904ED2">
        <w:rPr>
          <w:rStyle w:val="Refdenotaalpie"/>
          <w:rFonts w:ascii="Times New Roman" w:hAnsi="Times New Roman" w:cs="Times New Roman"/>
        </w:rPr>
        <w:footnoteRef/>
      </w:r>
      <w:r w:rsidRPr="00904ED2">
        <w:rPr>
          <w:rFonts w:ascii="Times New Roman" w:hAnsi="Times New Roman" w:cs="Times New Roman"/>
        </w:rPr>
        <w:t xml:space="preserve"> </w:t>
      </w:r>
      <w:r>
        <w:rPr>
          <w:rFonts w:ascii="Times New Roman" w:hAnsi="Times New Roman" w:cs="Times New Roman"/>
        </w:rPr>
        <w:t>Pastor Muñoz, N., (2011), p.277.</w:t>
      </w:r>
    </w:p>
  </w:footnote>
  <w:footnote w:id="4">
    <w:p w:rsidR="00556FB6" w:rsidRPr="0044526D" w:rsidRDefault="00556FB6" w:rsidP="00CF452F">
      <w:pPr>
        <w:pStyle w:val="Textonotapie"/>
        <w:rPr>
          <w:rFonts w:ascii="Times New Roman" w:hAnsi="Times New Roman" w:cs="Times New Roman"/>
        </w:rPr>
      </w:pPr>
      <w:r w:rsidRPr="0044526D">
        <w:rPr>
          <w:rStyle w:val="Refdenotaalpie"/>
          <w:rFonts w:ascii="Times New Roman" w:hAnsi="Times New Roman" w:cs="Times New Roman"/>
        </w:rPr>
        <w:footnoteRef/>
      </w:r>
      <w:r>
        <w:rPr>
          <w:rFonts w:ascii="Times New Roman" w:hAnsi="Times New Roman" w:cs="Times New Roman"/>
        </w:rPr>
        <w:t xml:space="preserve"> Molina Fernández, F., (2011), p.1311.</w:t>
      </w:r>
    </w:p>
  </w:footnote>
  <w:footnote w:id="5">
    <w:p w:rsidR="00556FB6" w:rsidRPr="0044526D" w:rsidRDefault="00556FB6" w:rsidP="00CF452F">
      <w:pPr>
        <w:pStyle w:val="Textonotapie"/>
        <w:rPr>
          <w:rFonts w:ascii="Times New Roman" w:hAnsi="Times New Roman" w:cs="Times New Roman"/>
        </w:rPr>
      </w:pPr>
      <w:r w:rsidRPr="0044526D">
        <w:rPr>
          <w:rStyle w:val="Refdenotaalpie"/>
          <w:rFonts w:ascii="Times New Roman" w:hAnsi="Times New Roman" w:cs="Times New Roman"/>
        </w:rPr>
        <w:footnoteRef/>
      </w:r>
      <w:r w:rsidRPr="0044526D">
        <w:rPr>
          <w:rFonts w:ascii="Times New Roman" w:hAnsi="Times New Roman" w:cs="Times New Roman"/>
        </w:rPr>
        <w:t xml:space="preserve"> Convención Única de 1961 sobre estupefacientes. </w:t>
      </w:r>
    </w:p>
  </w:footnote>
  <w:footnote w:id="6">
    <w:p w:rsidR="00556FB6" w:rsidRPr="0044526D" w:rsidRDefault="00556FB6" w:rsidP="00CF452F">
      <w:pPr>
        <w:pStyle w:val="Textonotapie"/>
        <w:rPr>
          <w:rFonts w:ascii="Times New Roman" w:hAnsi="Times New Roman" w:cs="Times New Roman"/>
        </w:rPr>
      </w:pPr>
      <w:r w:rsidRPr="0044526D">
        <w:rPr>
          <w:rStyle w:val="Refdenotaalpie"/>
          <w:rFonts w:ascii="Times New Roman" w:hAnsi="Times New Roman" w:cs="Times New Roman"/>
        </w:rPr>
        <w:footnoteRef/>
      </w:r>
      <w:r w:rsidRPr="0044526D">
        <w:rPr>
          <w:rFonts w:ascii="Times New Roman" w:hAnsi="Times New Roman" w:cs="Times New Roman"/>
        </w:rPr>
        <w:t xml:space="preserve"> Artículo 1º letra e del Convenio sobre sustancias psicotrópicas de Viena de 21 de febrero de 1971</w:t>
      </w:r>
    </w:p>
  </w:footnote>
  <w:footnote w:id="7">
    <w:p w:rsidR="00556FB6" w:rsidRPr="0044526D" w:rsidRDefault="00556FB6" w:rsidP="00CF452F">
      <w:pPr>
        <w:pStyle w:val="Textonotapie"/>
        <w:rPr>
          <w:rFonts w:ascii="Times New Roman" w:hAnsi="Times New Roman" w:cs="Times New Roman"/>
        </w:rPr>
      </w:pPr>
      <w:r w:rsidRPr="0044526D">
        <w:rPr>
          <w:rStyle w:val="Refdenotaalpie"/>
          <w:rFonts w:ascii="Times New Roman" w:hAnsi="Times New Roman" w:cs="Times New Roman"/>
        </w:rPr>
        <w:footnoteRef/>
      </w:r>
      <w:r w:rsidRPr="0044526D">
        <w:rPr>
          <w:rFonts w:ascii="Times New Roman" w:hAnsi="Times New Roman" w:cs="Times New Roman"/>
        </w:rPr>
        <w:t xml:space="preserve"> Anexo al convenio de 21 de febrero de 1971, ratificado por instrumento de 2 de</w:t>
      </w:r>
      <w:r>
        <w:rPr>
          <w:rFonts w:ascii="Times New Roman" w:hAnsi="Times New Roman" w:cs="Times New Roman"/>
        </w:rPr>
        <w:t xml:space="preserve"> febrero de 1973. </w:t>
      </w:r>
    </w:p>
  </w:footnote>
  <w:footnote w:id="8">
    <w:p w:rsidR="00556FB6" w:rsidRPr="002157A5" w:rsidRDefault="00556FB6" w:rsidP="00CF452F">
      <w:pPr>
        <w:pStyle w:val="Textonotapie"/>
        <w:rPr>
          <w:rFonts w:ascii="Times New Roman" w:hAnsi="Times New Roman" w:cs="Times New Roman"/>
        </w:rPr>
      </w:pPr>
      <w:r w:rsidRPr="0044526D">
        <w:rPr>
          <w:rStyle w:val="Refdenotaalpie"/>
          <w:rFonts w:ascii="Times New Roman" w:hAnsi="Times New Roman" w:cs="Times New Roman"/>
        </w:rPr>
        <w:footnoteRef/>
      </w:r>
      <w:r>
        <w:t xml:space="preserve"> </w:t>
      </w:r>
      <w:r>
        <w:rPr>
          <w:rFonts w:ascii="Times New Roman" w:hAnsi="Times New Roman" w:cs="Times New Roman"/>
        </w:rPr>
        <w:t>Serrano Gómez, A. y Serrano Maíllo, A., (2011)</w:t>
      </w:r>
      <w:r>
        <w:rPr>
          <w:rFonts w:ascii="Times New Roman" w:hAnsi="Times New Roman" w:cs="Times New Roman"/>
          <w:i/>
        </w:rPr>
        <w:t xml:space="preserve">, </w:t>
      </w:r>
      <w:r>
        <w:rPr>
          <w:rFonts w:ascii="Times New Roman" w:hAnsi="Times New Roman" w:cs="Times New Roman"/>
        </w:rPr>
        <w:t>p. 711.</w:t>
      </w:r>
    </w:p>
  </w:footnote>
  <w:footnote w:id="9">
    <w:p w:rsidR="00556FB6" w:rsidRDefault="00556FB6" w:rsidP="00CF452F">
      <w:pPr>
        <w:pStyle w:val="Textonotapie"/>
      </w:pPr>
      <w:r w:rsidRPr="0044526D">
        <w:rPr>
          <w:rStyle w:val="Refdenotaalpie"/>
          <w:rFonts w:ascii="Times New Roman" w:hAnsi="Times New Roman" w:cs="Times New Roman"/>
        </w:rPr>
        <w:footnoteRef/>
      </w:r>
      <w:r>
        <w:t xml:space="preserve"> </w:t>
      </w:r>
      <w:r>
        <w:rPr>
          <w:rFonts w:ascii="Times New Roman" w:hAnsi="Times New Roman" w:cs="Times New Roman"/>
        </w:rPr>
        <w:t xml:space="preserve">Manjón-Cabeza Olmeda, A., (2011), </w:t>
      </w:r>
      <w:r w:rsidRPr="0044526D">
        <w:rPr>
          <w:rFonts w:ascii="Times New Roman" w:hAnsi="Times New Roman" w:cs="Times New Roman"/>
        </w:rPr>
        <w:t>pp. 1268-1269.</w:t>
      </w:r>
    </w:p>
  </w:footnote>
  <w:footnote w:id="10">
    <w:p w:rsidR="00556FB6" w:rsidRPr="00DB6D20" w:rsidRDefault="00556FB6" w:rsidP="00CF452F">
      <w:pPr>
        <w:pStyle w:val="Textonotapie"/>
        <w:rPr>
          <w:rFonts w:ascii="Times New Roman" w:hAnsi="Times New Roman" w:cs="Times New Roman"/>
        </w:rPr>
      </w:pPr>
      <w:r w:rsidRPr="00DB6D20">
        <w:rPr>
          <w:rStyle w:val="Refdenotaalpie"/>
          <w:rFonts w:ascii="Times New Roman" w:hAnsi="Times New Roman" w:cs="Times New Roman"/>
        </w:rPr>
        <w:footnoteRef/>
      </w:r>
      <w:r w:rsidRPr="00DB6D20">
        <w:rPr>
          <w:rFonts w:ascii="Times New Roman" w:hAnsi="Times New Roman" w:cs="Times New Roman"/>
        </w:rPr>
        <w:t xml:space="preserve"> </w:t>
      </w:r>
      <w:r>
        <w:rPr>
          <w:rFonts w:ascii="Times New Roman" w:hAnsi="Times New Roman" w:cs="Times New Roman"/>
        </w:rPr>
        <w:t>Morales García, O., (2011), p.1491.</w:t>
      </w:r>
    </w:p>
  </w:footnote>
  <w:footnote w:id="11">
    <w:p w:rsidR="00556FB6" w:rsidRPr="00CC3C82" w:rsidRDefault="00556FB6" w:rsidP="00CF452F">
      <w:pPr>
        <w:pStyle w:val="Textonotapie"/>
        <w:rPr>
          <w:rFonts w:ascii="Times New Roman" w:hAnsi="Times New Roman" w:cs="Times New Roman"/>
        </w:rPr>
      </w:pPr>
      <w:r w:rsidRPr="00CC3C82">
        <w:rPr>
          <w:rStyle w:val="Refdenotaalpie"/>
          <w:rFonts w:ascii="Times New Roman" w:hAnsi="Times New Roman" w:cs="Times New Roman"/>
        </w:rPr>
        <w:footnoteRef/>
      </w:r>
      <w:r>
        <w:rPr>
          <w:rFonts w:ascii="Times New Roman" w:hAnsi="Times New Roman" w:cs="Times New Roman"/>
        </w:rPr>
        <w:t xml:space="preserve"> </w:t>
      </w:r>
      <w:r w:rsidRPr="00E858E6">
        <w:rPr>
          <w:rFonts w:ascii="Times New Roman" w:hAnsi="Times New Roman" w:cs="Times New Roman"/>
        </w:rPr>
        <w:t xml:space="preserve">Molina Fernández, F., </w:t>
      </w:r>
      <w:r>
        <w:rPr>
          <w:rFonts w:ascii="Times New Roman" w:hAnsi="Times New Roman" w:cs="Times New Roman"/>
        </w:rPr>
        <w:t>(2011),</w:t>
      </w:r>
      <w:r w:rsidRPr="00E858E6">
        <w:rPr>
          <w:rFonts w:ascii="Times New Roman" w:hAnsi="Times New Roman" w:cs="Times New Roman"/>
        </w:rPr>
        <w:t xml:space="preserve"> </w:t>
      </w:r>
      <w:r>
        <w:rPr>
          <w:rFonts w:ascii="Times New Roman" w:hAnsi="Times New Roman" w:cs="Times New Roman"/>
        </w:rPr>
        <w:t>p.1312.</w:t>
      </w:r>
    </w:p>
  </w:footnote>
  <w:footnote w:id="12">
    <w:p w:rsidR="00556FB6" w:rsidRPr="00FD3215" w:rsidRDefault="00556FB6" w:rsidP="00CF452F">
      <w:pPr>
        <w:pStyle w:val="Textonotapie"/>
        <w:rPr>
          <w:rFonts w:ascii="Times New Roman" w:hAnsi="Times New Roman" w:cs="Times New Roman"/>
        </w:rPr>
      </w:pPr>
      <w:r w:rsidRPr="00FD3215">
        <w:rPr>
          <w:rStyle w:val="Refdenotaalpie"/>
          <w:rFonts w:ascii="Times New Roman" w:hAnsi="Times New Roman" w:cs="Times New Roman"/>
        </w:rPr>
        <w:footnoteRef/>
      </w:r>
      <w:r w:rsidRPr="00FD3215">
        <w:rPr>
          <w:rFonts w:ascii="Times New Roman" w:hAnsi="Times New Roman" w:cs="Times New Roman"/>
        </w:rPr>
        <w:t xml:space="preserve"> </w:t>
      </w:r>
      <w:r>
        <w:rPr>
          <w:rFonts w:ascii="Times New Roman" w:hAnsi="Times New Roman" w:cs="Times New Roman"/>
        </w:rPr>
        <w:t>STS 5459/1993 de 19 de Julio.</w:t>
      </w:r>
    </w:p>
  </w:footnote>
  <w:footnote w:id="13">
    <w:p w:rsidR="00556FB6" w:rsidRPr="00BD1CC0" w:rsidRDefault="00556FB6" w:rsidP="00CF452F">
      <w:pPr>
        <w:pStyle w:val="Textonotapie"/>
        <w:rPr>
          <w:rFonts w:ascii="Times New Roman" w:hAnsi="Times New Roman" w:cs="Times New Roman"/>
        </w:rPr>
      </w:pPr>
      <w:r w:rsidRPr="00BD1CC0">
        <w:rPr>
          <w:rStyle w:val="Refdenotaalpie"/>
          <w:rFonts w:ascii="Times New Roman" w:hAnsi="Times New Roman" w:cs="Times New Roman"/>
        </w:rPr>
        <w:footnoteRef/>
      </w:r>
      <w:r w:rsidRPr="00BD1CC0">
        <w:rPr>
          <w:rFonts w:ascii="Times New Roman" w:hAnsi="Times New Roman" w:cs="Times New Roman"/>
        </w:rPr>
        <w:t xml:space="preserve"> </w:t>
      </w:r>
      <w:r>
        <w:rPr>
          <w:rFonts w:ascii="Times New Roman" w:hAnsi="Times New Roman" w:cs="Times New Roman"/>
        </w:rPr>
        <w:t>Morales García, O., (2011), p. 1499.</w:t>
      </w:r>
    </w:p>
  </w:footnote>
  <w:footnote w:id="14">
    <w:p w:rsidR="00556FB6" w:rsidRPr="004C4DFB" w:rsidRDefault="00556FB6">
      <w:pPr>
        <w:pStyle w:val="Textonotapie"/>
        <w:rPr>
          <w:rFonts w:ascii="Times New Roman" w:hAnsi="Times New Roman" w:cs="Times New Roman"/>
          <w:lang w:val="es-ES"/>
        </w:rPr>
      </w:pPr>
      <w:r w:rsidRPr="004C4DFB">
        <w:rPr>
          <w:rStyle w:val="Refdenotaalpie"/>
          <w:rFonts w:ascii="Times New Roman" w:hAnsi="Times New Roman" w:cs="Times New Roman"/>
        </w:rPr>
        <w:footnoteRef/>
      </w:r>
      <w:r w:rsidRPr="004C4DFB">
        <w:rPr>
          <w:rFonts w:ascii="Times New Roman" w:hAnsi="Times New Roman" w:cs="Times New Roman"/>
        </w:rPr>
        <w:t xml:space="preserve"> </w:t>
      </w:r>
      <w:r>
        <w:rPr>
          <w:rFonts w:ascii="Times New Roman" w:hAnsi="Times New Roman" w:cs="Times New Roman"/>
        </w:rPr>
        <w:t>Manjón Cabeza-Olmeda, A., (2011), pp. 1270-1271.</w:t>
      </w:r>
    </w:p>
  </w:footnote>
  <w:footnote w:id="15">
    <w:p w:rsidR="00556FB6" w:rsidRPr="00962A6F" w:rsidRDefault="00556FB6" w:rsidP="000E359E">
      <w:pPr>
        <w:pStyle w:val="Textonotapie"/>
        <w:rPr>
          <w:rFonts w:ascii="Times New Roman" w:hAnsi="Times New Roman" w:cs="Times New Roman"/>
        </w:rPr>
      </w:pPr>
      <w:r w:rsidRPr="00962A6F">
        <w:rPr>
          <w:rStyle w:val="Refdenotaalpie"/>
          <w:rFonts w:ascii="Times New Roman" w:hAnsi="Times New Roman" w:cs="Times New Roman"/>
        </w:rPr>
        <w:footnoteRef/>
      </w:r>
      <w:r w:rsidRPr="00962A6F">
        <w:rPr>
          <w:rFonts w:ascii="Times New Roman" w:hAnsi="Times New Roman" w:cs="Times New Roman"/>
        </w:rPr>
        <w:t xml:space="preserve"> </w:t>
      </w:r>
      <w:r>
        <w:rPr>
          <w:rFonts w:ascii="Times New Roman" w:hAnsi="Times New Roman" w:cs="Times New Roman"/>
        </w:rPr>
        <w:t>Queralt Jiménez, J.J., (2010), p. 1059.</w:t>
      </w:r>
    </w:p>
  </w:footnote>
  <w:footnote w:id="16">
    <w:p w:rsidR="00556FB6" w:rsidRPr="000D13DC" w:rsidRDefault="00556FB6" w:rsidP="000E359E">
      <w:pPr>
        <w:pStyle w:val="Textonotapie"/>
        <w:rPr>
          <w:rFonts w:ascii="Times New Roman" w:hAnsi="Times New Roman" w:cs="Times New Roman"/>
        </w:rPr>
      </w:pPr>
      <w:r w:rsidRPr="000D13DC">
        <w:rPr>
          <w:rStyle w:val="Refdenotaalpie"/>
          <w:rFonts w:ascii="Times New Roman" w:hAnsi="Times New Roman" w:cs="Times New Roman"/>
        </w:rPr>
        <w:footnoteRef/>
      </w:r>
      <w:r>
        <w:rPr>
          <w:rFonts w:ascii="Times New Roman" w:hAnsi="Times New Roman" w:cs="Times New Roman"/>
        </w:rPr>
        <w:t xml:space="preserve"> Manjón-Cabeza Olmeda</w:t>
      </w:r>
      <w:r w:rsidRPr="000D13DC">
        <w:rPr>
          <w:rFonts w:ascii="Times New Roman" w:hAnsi="Times New Roman" w:cs="Times New Roman"/>
        </w:rPr>
        <w:t>, A.</w:t>
      </w:r>
      <w:r>
        <w:rPr>
          <w:rFonts w:ascii="Times New Roman" w:hAnsi="Times New Roman" w:cs="Times New Roman"/>
        </w:rPr>
        <w:t>, (2003), p.60.</w:t>
      </w:r>
    </w:p>
  </w:footnote>
  <w:footnote w:id="17">
    <w:p w:rsidR="00556FB6" w:rsidRPr="00141477" w:rsidRDefault="00556FB6" w:rsidP="000E359E">
      <w:pPr>
        <w:pStyle w:val="Textonotapie"/>
        <w:rPr>
          <w:rFonts w:ascii="Times New Roman" w:hAnsi="Times New Roman" w:cs="Times New Roman"/>
        </w:rPr>
      </w:pPr>
      <w:r w:rsidRPr="00141477">
        <w:rPr>
          <w:rStyle w:val="Refdenotaalpie"/>
          <w:rFonts w:ascii="Times New Roman" w:hAnsi="Times New Roman" w:cs="Times New Roman"/>
        </w:rPr>
        <w:footnoteRef/>
      </w:r>
      <w:r w:rsidRPr="00141477">
        <w:rPr>
          <w:rFonts w:ascii="Times New Roman" w:hAnsi="Times New Roman" w:cs="Times New Roman"/>
        </w:rPr>
        <w:t xml:space="preserve"> Manjón-Cabeza Olmeda, A.</w:t>
      </w:r>
      <w:r>
        <w:rPr>
          <w:rFonts w:ascii="Times New Roman" w:hAnsi="Times New Roman" w:cs="Times New Roman"/>
        </w:rPr>
        <w:t xml:space="preserve">, (2003), </w:t>
      </w:r>
      <w:r w:rsidRPr="00141477">
        <w:rPr>
          <w:rFonts w:ascii="Times New Roman" w:hAnsi="Times New Roman" w:cs="Times New Roman"/>
        </w:rPr>
        <w:t>pp.</w:t>
      </w:r>
      <w:r>
        <w:rPr>
          <w:rFonts w:ascii="Times New Roman" w:hAnsi="Times New Roman" w:cs="Times New Roman"/>
        </w:rPr>
        <w:t xml:space="preserve"> 50-62.</w:t>
      </w:r>
    </w:p>
  </w:footnote>
  <w:footnote w:id="18">
    <w:p w:rsidR="00556FB6" w:rsidRPr="00683510" w:rsidRDefault="00556FB6">
      <w:pPr>
        <w:pStyle w:val="Textonotapie"/>
        <w:rPr>
          <w:rFonts w:ascii="Times New Roman" w:hAnsi="Times New Roman" w:cs="Times New Roman"/>
        </w:rPr>
      </w:pPr>
      <w:r w:rsidRPr="00683510">
        <w:rPr>
          <w:rStyle w:val="Refdenotaalpie"/>
          <w:rFonts w:ascii="Times New Roman" w:hAnsi="Times New Roman" w:cs="Times New Roman"/>
        </w:rPr>
        <w:footnoteRef/>
      </w:r>
      <w:r w:rsidRPr="00683510">
        <w:rPr>
          <w:rFonts w:ascii="Times New Roman" w:hAnsi="Times New Roman" w:cs="Times New Roman"/>
        </w:rPr>
        <w:t xml:space="preserve"> M</w:t>
      </w:r>
      <w:r>
        <w:rPr>
          <w:rFonts w:ascii="Times New Roman" w:hAnsi="Times New Roman" w:cs="Times New Roman"/>
        </w:rPr>
        <w:t>anjón-Cabeza Olmeda, A., (2003), p. 46.</w:t>
      </w:r>
    </w:p>
  </w:footnote>
  <w:footnote w:id="19">
    <w:p w:rsidR="00556FB6" w:rsidRPr="004151D9" w:rsidRDefault="00556FB6">
      <w:pPr>
        <w:pStyle w:val="Textonotapie"/>
        <w:rPr>
          <w:rFonts w:ascii="Times New Roman" w:hAnsi="Times New Roman" w:cs="Times New Roman"/>
        </w:rPr>
      </w:pPr>
      <w:r w:rsidRPr="004151D9">
        <w:rPr>
          <w:rStyle w:val="Refdenotaalpie"/>
          <w:rFonts w:ascii="Times New Roman" w:hAnsi="Times New Roman" w:cs="Times New Roman"/>
        </w:rPr>
        <w:footnoteRef/>
      </w:r>
      <w:r w:rsidRPr="004151D9">
        <w:rPr>
          <w:rFonts w:ascii="Times New Roman" w:hAnsi="Times New Roman" w:cs="Times New Roman"/>
        </w:rPr>
        <w:t xml:space="preserve"> </w:t>
      </w:r>
      <w:r>
        <w:rPr>
          <w:rFonts w:ascii="Times New Roman" w:hAnsi="Times New Roman" w:cs="Times New Roman"/>
        </w:rPr>
        <w:t>Este margen de error también se contemplará en el supuesto del análisis de la pureza para la aplicación de la notoria importancia. En el punto correspondiente a este asunto también se tratará esta cuestión.</w:t>
      </w:r>
    </w:p>
  </w:footnote>
  <w:footnote w:id="20">
    <w:p w:rsidR="00556FB6" w:rsidRPr="00030637" w:rsidRDefault="00556FB6" w:rsidP="00F41816">
      <w:pPr>
        <w:pStyle w:val="Textonotapie"/>
        <w:rPr>
          <w:rFonts w:ascii="Times New Roman" w:hAnsi="Times New Roman" w:cs="Times New Roman"/>
        </w:rPr>
      </w:pPr>
      <w:r w:rsidRPr="00030637">
        <w:rPr>
          <w:rStyle w:val="Refdenotaalpie"/>
          <w:rFonts w:ascii="Times New Roman" w:hAnsi="Times New Roman" w:cs="Times New Roman"/>
        </w:rPr>
        <w:footnoteRef/>
      </w:r>
      <w:r w:rsidRPr="00030637">
        <w:rPr>
          <w:rFonts w:ascii="Times New Roman" w:hAnsi="Times New Roman" w:cs="Times New Roman"/>
        </w:rPr>
        <w:t xml:space="preserve"> </w:t>
      </w:r>
      <w:r>
        <w:rPr>
          <w:rFonts w:ascii="Times New Roman" w:hAnsi="Times New Roman" w:cs="Times New Roman"/>
        </w:rPr>
        <w:t>Gabinete Técnico del Tribunal Supremo, “</w:t>
      </w:r>
      <w:r w:rsidRPr="00810111">
        <w:rPr>
          <w:rFonts w:ascii="Times New Roman" w:hAnsi="Times New Roman" w:cs="Times New Roman"/>
        </w:rPr>
        <w:t>Doctrina Jurisprudencial de la Sala de lo Penal del Tribunal Supremo año judicial 2012-2013</w:t>
      </w:r>
      <w:r>
        <w:rPr>
          <w:rFonts w:ascii="Times New Roman" w:hAnsi="Times New Roman" w:cs="Times New Roman"/>
        </w:rPr>
        <w:t>”</w:t>
      </w:r>
      <w:r w:rsidRPr="00810111">
        <w:rPr>
          <w:rFonts w:ascii="Times New Roman" w:hAnsi="Times New Roman" w:cs="Times New Roman"/>
        </w:rPr>
        <w:t xml:space="preserve">, </w:t>
      </w:r>
      <w:r>
        <w:rPr>
          <w:rFonts w:ascii="Times New Roman" w:hAnsi="Times New Roman" w:cs="Times New Roman"/>
        </w:rPr>
        <w:t xml:space="preserve">p 130. </w:t>
      </w:r>
    </w:p>
  </w:footnote>
  <w:footnote w:id="21">
    <w:p w:rsidR="00556FB6" w:rsidRPr="00BD5CA8" w:rsidRDefault="00556FB6" w:rsidP="00F41816">
      <w:pPr>
        <w:pStyle w:val="Textonotapie"/>
        <w:rPr>
          <w:rFonts w:ascii="Times New Roman" w:hAnsi="Times New Roman" w:cs="Times New Roman"/>
        </w:rPr>
      </w:pPr>
      <w:r w:rsidRPr="00BD5CA8">
        <w:rPr>
          <w:rStyle w:val="Refdenotaalpie"/>
          <w:rFonts w:ascii="Times New Roman" w:hAnsi="Times New Roman" w:cs="Times New Roman"/>
        </w:rPr>
        <w:footnoteRef/>
      </w:r>
      <w:r w:rsidRPr="00BD5CA8">
        <w:rPr>
          <w:rFonts w:ascii="Times New Roman" w:hAnsi="Times New Roman" w:cs="Times New Roman"/>
        </w:rPr>
        <w:t xml:space="preserve"> </w:t>
      </w:r>
      <w:r>
        <w:rPr>
          <w:rFonts w:ascii="Times New Roman" w:hAnsi="Times New Roman" w:cs="Times New Roman"/>
        </w:rPr>
        <w:t>STS 5868/2013 de 11 de diciembre.</w:t>
      </w:r>
    </w:p>
  </w:footnote>
  <w:footnote w:id="22">
    <w:p w:rsidR="00556FB6" w:rsidRPr="00661157" w:rsidRDefault="00556FB6">
      <w:pPr>
        <w:pStyle w:val="Textonotapie"/>
        <w:rPr>
          <w:rFonts w:ascii="Times New Roman" w:hAnsi="Times New Roman" w:cs="Times New Roman"/>
          <w:lang w:val="es-ES"/>
        </w:rPr>
      </w:pPr>
      <w:r w:rsidRPr="00661157">
        <w:rPr>
          <w:rStyle w:val="Refdenotaalpie"/>
          <w:rFonts w:ascii="Times New Roman" w:hAnsi="Times New Roman" w:cs="Times New Roman"/>
        </w:rPr>
        <w:footnoteRef/>
      </w:r>
      <w:r w:rsidRPr="00661157">
        <w:rPr>
          <w:rFonts w:ascii="Times New Roman" w:hAnsi="Times New Roman" w:cs="Times New Roman"/>
        </w:rPr>
        <w:t xml:space="preserve"> </w:t>
      </w:r>
      <w:r>
        <w:rPr>
          <w:rFonts w:ascii="Times New Roman" w:hAnsi="Times New Roman" w:cs="Times New Roman"/>
        </w:rPr>
        <w:t>Magro Servet, V., (2013), p.128.</w:t>
      </w:r>
    </w:p>
  </w:footnote>
  <w:footnote w:id="23">
    <w:p w:rsidR="00556FB6" w:rsidRPr="00011E3F" w:rsidRDefault="00556FB6" w:rsidP="00F41816">
      <w:pPr>
        <w:pStyle w:val="Textonotapie"/>
        <w:rPr>
          <w:rFonts w:ascii="Times New Roman" w:hAnsi="Times New Roman" w:cs="Times New Roman"/>
        </w:rPr>
      </w:pPr>
      <w:r w:rsidRPr="00011E3F">
        <w:rPr>
          <w:rStyle w:val="Refdenotaalpie"/>
          <w:rFonts w:ascii="Times New Roman" w:hAnsi="Times New Roman" w:cs="Times New Roman"/>
        </w:rPr>
        <w:footnoteRef/>
      </w:r>
      <w:r w:rsidRPr="00011E3F">
        <w:rPr>
          <w:rFonts w:ascii="Times New Roman" w:hAnsi="Times New Roman" w:cs="Times New Roman"/>
        </w:rPr>
        <w:t xml:space="preserve"> </w:t>
      </w:r>
      <w:r>
        <w:rPr>
          <w:rFonts w:ascii="Times New Roman" w:hAnsi="Times New Roman" w:cs="Times New Roman"/>
        </w:rPr>
        <w:t>STS 7671/2009 de 12 de noviembre.</w:t>
      </w:r>
    </w:p>
  </w:footnote>
  <w:footnote w:id="24">
    <w:p w:rsidR="00556FB6" w:rsidRPr="00D53F3D" w:rsidRDefault="00556FB6" w:rsidP="00F41816">
      <w:pPr>
        <w:pStyle w:val="Textonotapie"/>
        <w:rPr>
          <w:rFonts w:ascii="Times New Roman" w:hAnsi="Times New Roman" w:cs="Times New Roman"/>
        </w:rPr>
      </w:pPr>
      <w:r w:rsidRPr="00D53F3D">
        <w:rPr>
          <w:rStyle w:val="Refdenotaalpie"/>
          <w:rFonts w:ascii="Times New Roman" w:hAnsi="Times New Roman" w:cs="Times New Roman"/>
        </w:rPr>
        <w:footnoteRef/>
      </w:r>
      <w:r w:rsidRPr="00D53F3D">
        <w:rPr>
          <w:rFonts w:ascii="Times New Roman" w:hAnsi="Times New Roman" w:cs="Times New Roman"/>
        </w:rPr>
        <w:t xml:space="preserve"> González Marsal, C.</w:t>
      </w:r>
      <w:r>
        <w:rPr>
          <w:rFonts w:ascii="Times New Roman" w:hAnsi="Times New Roman" w:cs="Times New Roman"/>
        </w:rPr>
        <w:t>,</w:t>
      </w:r>
      <w:r w:rsidRPr="00D53F3D">
        <w:rPr>
          <w:rFonts w:ascii="Times New Roman" w:hAnsi="Times New Roman" w:cs="Times New Roman"/>
        </w:rPr>
        <w:t xml:space="preserve"> </w:t>
      </w:r>
      <w:r>
        <w:rPr>
          <w:rFonts w:ascii="Times New Roman" w:hAnsi="Times New Roman" w:cs="Times New Roman"/>
        </w:rPr>
        <w:t>(2009), pp. 349-350.</w:t>
      </w:r>
    </w:p>
  </w:footnote>
  <w:footnote w:id="25">
    <w:p w:rsidR="00556FB6" w:rsidRPr="00D77F06" w:rsidRDefault="00556FB6" w:rsidP="00A22029">
      <w:pPr>
        <w:pStyle w:val="Textonotapie"/>
        <w:rPr>
          <w:rFonts w:ascii="Times New Roman" w:hAnsi="Times New Roman" w:cs="Times New Roman"/>
        </w:rPr>
      </w:pPr>
      <w:r w:rsidRPr="00102B5F">
        <w:rPr>
          <w:rStyle w:val="Refdenotaalpie"/>
          <w:rFonts w:ascii="Times New Roman" w:hAnsi="Times New Roman" w:cs="Times New Roman"/>
        </w:rPr>
        <w:footnoteRef/>
      </w:r>
      <w:r w:rsidRPr="00102B5F">
        <w:rPr>
          <w:rFonts w:ascii="Times New Roman" w:hAnsi="Times New Roman" w:cs="Times New Roman"/>
        </w:rPr>
        <w:t xml:space="preserve"> </w:t>
      </w:r>
      <w:r>
        <w:rPr>
          <w:rFonts w:ascii="Times New Roman" w:hAnsi="Times New Roman" w:cs="Times New Roman"/>
        </w:rPr>
        <w:t>Barón Quintero, S., (2004), p.4.</w:t>
      </w:r>
    </w:p>
  </w:footnote>
  <w:footnote w:id="26">
    <w:p w:rsidR="00556FB6" w:rsidRPr="005B6151" w:rsidRDefault="00556FB6" w:rsidP="00A22029">
      <w:pPr>
        <w:pStyle w:val="Textonotapie"/>
        <w:rPr>
          <w:rFonts w:ascii="Times New Roman" w:hAnsi="Times New Roman" w:cs="Times New Roman"/>
        </w:rPr>
      </w:pPr>
      <w:r w:rsidRPr="003F0B12">
        <w:rPr>
          <w:rStyle w:val="Refdenotaalpie"/>
          <w:rFonts w:ascii="Times New Roman" w:hAnsi="Times New Roman" w:cs="Times New Roman"/>
        </w:rPr>
        <w:footnoteRef/>
      </w:r>
      <w:r>
        <w:t xml:space="preserve"> </w:t>
      </w:r>
      <w:r w:rsidRPr="003F0B12">
        <w:rPr>
          <w:rFonts w:ascii="Times New Roman" w:hAnsi="Times New Roman" w:cs="Times New Roman"/>
        </w:rPr>
        <w:t>STS 6124/2009 de 7 de octubre</w:t>
      </w:r>
    </w:p>
  </w:footnote>
  <w:footnote w:id="27">
    <w:p w:rsidR="00556FB6" w:rsidRPr="009361BD" w:rsidRDefault="00556FB6">
      <w:pPr>
        <w:pStyle w:val="Textonotapie"/>
        <w:rPr>
          <w:rFonts w:ascii="Times New Roman" w:hAnsi="Times New Roman" w:cs="Times New Roman"/>
        </w:rPr>
      </w:pPr>
      <w:r w:rsidRPr="009361BD">
        <w:rPr>
          <w:rStyle w:val="Refdenotaalpie"/>
          <w:rFonts w:ascii="Times New Roman" w:hAnsi="Times New Roman" w:cs="Times New Roman"/>
        </w:rPr>
        <w:footnoteRef/>
      </w:r>
      <w:r w:rsidRPr="009361BD">
        <w:rPr>
          <w:rFonts w:ascii="Times New Roman" w:hAnsi="Times New Roman" w:cs="Times New Roman"/>
        </w:rPr>
        <w:t xml:space="preserve"> Con la anterior legislación, la pena impuesta para tráfico de sustancias que causan grave daño a la salud (aunque no existía diferenciación de sustancias), se encontraba en el marco de penal de entre los 3 y los 9 años. Con la actual redacción a raíz de la reforma con la LO 5/2010, el nuevo marco penal queda encajado entre los 3 y los 6 años para este tipo de delitos con referencia a estas sustancias consideradas como graves, y de 1 a 3 para las consideradas que causan menor daño. Con la anterior legislación, era terreno vedado el poder interponer sanciones más acordes con las circunstancias personales de cada sujeto, máxime cuando no existía ninguna circunstancia atenuante o cuando existiese, no podría aplicarse con carácter de muy calificada. Ahora, se puede apreciar la imposición de la pena inferior en grado para ambos tipos de sustancias siempre que concurran los dos elementos citados en el texto</w:t>
      </w:r>
      <w:r>
        <w:rPr>
          <w:rFonts w:ascii="Times New Roman" w:hAnsi="Times New Roman" w:cs="Times New Roman"/>
        </w:rPr>
        <w:t>.</w:t>
      </w:r>
    </w:p>
  </w:footnote>
  <w:footnote w:id="28">
    <w:p w:rsidR="00556FB6" w:rsidRPr="00BF612F" w:rsidRDefault="00556FB6">
      <w:pPr>
        <w:pStyle w:val="Textonotapie"/>
        <w:rPr>
          <w:rFonts w:ascii="Times New Roman" w:hAnsi="Times New Roman" w:cs="Times New Roman"/>
        </w:rPr>
      </w:pPr>
      <w:r w:rsidRPr="00BF612F">
        <w:rPr>
          <w:rStyle w:val="Refdenotaalpie"/>
          <w:rFonts w:ascii="Times New Roman" w:hAnsi="Times New Roman" w:cs="Times New Roman"/>
        </w:rPr>
        <w:footnoteRef/>
      </w:r>
      <w:r w:rsidRPr="00BF612F">
        <w:rPr>
          <w:rFonts w:ascii="Times New Roman" w:hAnsi="Times New Roman" w:cs="Times New Roman"/>
        </w:rPr>
        <w:t xml:space="preserve"> STS 3746/2012 de 25 de mayo.</w:t>
      </w:r>
    </w:p>
  </w:footnote>
  <w:footnote w:id="29">
    <w:p w:rsidR="00556FB6" w:rsidRPr="00BF612F" w:rsidRDefault="00556FB6">
      <w:pPr>
        <w:pStyle w:val="Textonotapie"/>
        <w:rPr>
          <w:rFonts w:ascii="Times New Roman" w:hAnsi="Times New Roman" w:cs="Times New Roman"/>
        </w:rPr>
      </w:pPr>
      <w:r w:rsidRPr="00BF612F">
        <w:rPr>
          <w:rStyle w:val="Refdenotaalpie"/>
          <w:rFonts w:ascii="Times New Roman" w:hAnsi="Times New Roman" w:cs="Times New Roman"/>
        </w:rPr>
        <w:footnoteRef/>
      </w:r>
      <w:r w:rsidRPr="00BF612F">
        <w:rPr>
          <w:rFonts w:ascii="Times New Roman" w:hAnsi="Times New Roman" w:cs="Times New Roman"/>
        </w:rPr>
        <w:t xml:space="preserve"> Gabinete Técnico del Tribunal Supremo, “Acuerdos del Pleno Sala Segunda del Tribunal Supremo años 2000-2012.”, p.23.</w:t>
      </w:r>
    </w:p>
  </w:footnote>
  <w:footnote w:id="30">
    <w:p w:rsidR="00556FB6" w:rsidRPr="00BF612F" w:rsidRDefault="00556FB6">
      <w:pPr>
        <w:pStyle w:val="Textonotapie"/>
        <w:rPr>
          <w:rFonts w:ascii="Times New Roman" w:hAnsi="Times New Roman" w:cs="Times New Roman"/>
        </w:rPr>
      </w:pPr>
      <w:r w:rsidRPr="00BF612F">
        <w:rPr>
          <w:rStyle w:val="Refdenotaalpie"/>
          <w:rFonts w:ascii="Times New Roman" w:hAnsi="Times New Roman" w:cs="Times New Roman"/>
        </w:rPr>
        <w:footnoteRef/>
      </w:r>
      <w:r w:rsidRPr="00BF612F">
        <w:rPr>
          <w:rFonts w:ascii="Times New Roman" w:hAnsi="Times New Roman" w:cs="Times New Roman"/>
        </w:rPr>
        <w:t xml:space="preserve"> Gabinete Técnico del Tribunal Supremo, “Acuerdos del Pleno Sala Segunda del Tribunal Supremo años 2000-2012.”, pp.27-28.</w:t>
      </w:r>
    </w:p>
  </w:footnote>
  <w:footnote w:id="31">
    <w:p w:rsidR="00556FB6" w:rsidRPr="00BF612F" w:rsidRDefault="00556FB6">
      <w:pPr>
        <w:pStyle w:val="Textonotapie"/>
        <w:rPr>
          <w:rFonts w:ascii="Times New Roman" w:hAnsi="Times New Roman" w:cs="Times New Roman"/>
        </w:rPr>
      </w:pPr>
      <w:r w:rsidRPr="00BF612F">
        <w:rPr>
          <w:rStyle w:val="Refdenotaalpie"/>
          <w:rFonts w:ascii="Times New Roman" w:hAnsi="Times New Roman" w:cs="Times New Roman"/>
        </w:rPr>
        <w:footnoteRef/>
      </w:r>
      <w:r w:rsidRPr="00BF612F">
        <w:rPr>
          <w:rFonts w:ascii="Times New Roman" w:hAnsi="Times New Roman" w:cs="Times New Roman"/>
        </w:rPr>
        <w:t xml:space="preserve"> González Marsal, C., (2009), pp. 349-350.</w:t>
      </w:r>
    </w:p>
  </w:footnote>
  <w:footnote w:id="32">
    <w:p w:rsidR="00556FB6" w:rsidRPr="00BF612F" w:rsidRDefault="00556FB6">
      <w:pPr>
        <w:pStyle w:val="Textonotapie"/>
        <w:rPr>
          <w:rFonts w:ascii="Times New Roman" w:hAnsi="Times New Roman" w:cs="Times New Roman"/>
        </w:rPr>
      </w:pPr>
      <w:r w:rsidRPr="00BF612F">
        <w:rPr>
          <w:rStyle w:val="Refdenotaalpie"/>
          <w:rFonts w:ascii="Times New Roman" w:hAnsi="Times New Roman" w:cs="Times New Roman"/>
        </w:rPr>
        <w:footnoteRef/>
      </w:r>
      <w:r w:rsidRPr="00BF612F">
        <w:rPr>
          <w:rFonts w:ascii="Times New Roman" w:hAnsi="Times New Roman" w:cs="Times New Roman"/>
        </w:rPr>
        <w:t xml:space="preserve"> Gimbernat Ordeig, E., (2012), pp. 344-347.</w:t>
      </w:r>
    </w:p>
  </w:footnote>
  <w:footnote w:id="33">
    <w:p w:rsidR="00556FB6" w:rsidRPr="0097088F" w:rsidRDefault="00556FB6">
      <w:pPr>
        <w:pStyle w:val="Textonotapie"/>
        <w:rPr>
          <w:rFonts w:ascii="Times New Roman" w:hAnsi="Times New Roman" w:cs="Times New Roman"/>
        </w:rPr>
      </w:pPr>
      <w:r w:rsidRPr="0097088F">
        <w:rPr>
          <w:rStyle w:val="Refdenotaalpie"/>
          <w:rFonts w:ascii="Times New Roman" w:hAnsi="Times New Roman" w:cs="Times New Roman"/>
        </w:rPr>
        <w:footnoteRef/>
      </w:r>
      <w:r w:rsidRPr="0097088F">
        <w:rPr>
          <w:rFonts w:ascii="Times New Roman" w:hAnsi="Times New Roman" w:cs="Times New Roman"/>
        </w:rPr>
        <w:t xml:space="preserve"> Circular nº3/2011 de la Fiscalía General del Estado.</w:t>
      </w:r>
    </w:p>
  </w:footnote>
  <w:footnote w:id="34">
    <w:p w:rsidR="00556FB6" w:rsidRPr="0097088F" w:rsidRDefault="00556FB6">
      <w:pPr>
        <w:pStyle w:val="Textonotapie"/>
        <w:rPr>
          <w:rFonts w:ascii="Times New Roman" w:hAnsi="Times New Roman" w:cs="Times New Roman"/>
        </w:rPr>
      </w:pPr>
      <w:r w:rsidRPr="0097088F">
        <w:rPr>
          <w:rStyle w:val="Refdenotaalpie"/>
          <w:rFonts w:ascii="Times New Roman" w:hAnsi="Times New Roman" w:cs="Times New Roman"/>
        </w:rPr>
        <w:footnoteRef/>
      </w:r>
      <w:r w:rsidRPr="0097088F">
        <w:rPr>
          <w:rFonts w:ascii="Times New Roman" w:hAnsi="Times New Roman" w:cs="Times New Roman"/>
        </w:rPr>
        <w:t xml:space="preserve"> Etxebarría Zarrabeitia, X., (2011), p. 44.</w:t>
      </w:r>
    </w:p>
  </w:footnote>
  <w:footnote w:id="35">
    <w:p w:rsidR="00556FB6" w:rsidRPr="00F60C0B" w:rsidRDefault="00556FB6">
      <w:pPr>
        <w:pStyle w:val="Textonotapie"/>
        <w:rPr>
          <w:rFonts w:ascii="Times New Roman" w:hAnsi="Times New Roman" w:cs="Times New Roman"/>
          <w:lang w:val="es-ES"/>
        </w:rPr>
      </w:pPr>
      <w:r w:rsidRPr="00F60C0B">
        <w:rPr>
          <w:rStyle w:val="Refdenotaalpie"/>
          <w:rFonts w:ascii="Times New Roman" w:hAnsi="Times New Roman" w:cs="Times New Roman"/>
        </w:rPr>
        <w:footnoteRef/>
      </w:r>
      <w:r w:rsidRPr="00F60C0B">
        <w:rPr>
          <w:rFonts w:ascii="Times New Roman" w:hAnsi="Times New Roman" w:cs="Times New Roman"/>
        </w:rPr>
        <w:t xml:space="preserve"> Circular nº3/2011 de la Fiscalía General del Estado.</w:t>
      </w:r>
    </w:p>
  </w:footnote>
  <w:footnote w:id="36">
    <w:p w:rsidR="00556FB6" w:rsidRPr="0097088F" w:rsidRDefault="00556FB6">
      <w:pPr>
        <w:pStyle w:val="Textonotapie"/>
        <w:rPr>
          <w:rFonts w:ascii="Times New Roman" w:hAnsi="Times New Roman" w:cs="Times New Roman"/>
        </w:rPr>
      </w:pPr>
      <w:r w:rsidRPr="0097088F">
        <w:rPr>
          <w:rStyle w:val="Refdenotaalpie"/>
          <w:rFonts w:ascii="Times New Roman" w:hAnsi="Times New Roman" w:cs="Times New Roman"/>
        </w:rPr>
        <w:footnoteRef/>
      </w:r>
      <w:r w:rsidRPr="0097088F">
        <w:rPr>
          <w:rFonts w:ascii="Times New Roman" w:hAnsi="Times New Roman" w:cs="Times New Roman"/>
        </w:rPr>
        <w:t xml:space="preserve"> Fernández Hernández, A., (2013), p.4.</w:t>
      </w:r>
    </w:p>
  </w:footnote>
  <w:footnote w:id="37">
    <w:p w:rsidR="00556FB6" w:rsidRPr="0097088F" w:rsidRDefault="00556FB6">
      <w:pPr>
        <w:pStyle w:val="Textonotapie"/>
        <w:rPr>
          <w:rFonts w:ascii="Times New Roman" w:hAnsi="Times New Roman" w:cs="Times New Roman"/>
        </w:rPr>
      </w:pPr>
      <w:r w:rsidRPr="0097088F">
        <w:rPr>
          <w:rStyle w:val="Refdenotaalpie"/>
          <w:rFonts w:ascii="Times New Roman" w:hAnsi="Times New Roman" w:cs="Times New Roman"/>
        </w:rPr>
        <w:footnoteRef/>
      </w:r>
      <w:r w:rsidRPr="0097088F">
        <w:rPr>
          <w:rFonts w:ascii="Times New Roman" w:hAnsi="Times New Roman" w:cs="Times New Roman"/>
        </w:rPr>
        <w:t xml:space="preserve"> STS 354/2011 de 26 de enero.</w:t>
      </w:r>
    </w:p>
  </w:footnote>
  <w:footnote w:id="38">
    <w:p w:rsidR="00556FB6" w:rsidRPr="0097088F" w:rsidRDefault="00556FB6">
      <w:pPr>
        <w:pStyle w:val="Textonotapie"/>
        <w:rPr>
          <w:rFonts w:ascii="Times New Roman" w:hAnsi="Times New Roman" w:cs="Times New Roman"/>
        </w:rPr>
      </w:pPr>
      <w:r w:rsidRPr="0097088F">
        <w:rPr>
          <w:rStyle w:val="Refdenotaalpie"/>
          <w:rFonts w:ascii="Times New Roman" w:hAnsi="Times New Roman" w:cs="Times New Roman"/>
        </w:rPr>
        <w:footnoteRef/>
      </w:r>
      <w:r w:rsidRPr="0097088F">
        <w:rPr>
          <w:rFonts w:ascii="Times New Roman" w:hAnsi="Times New Roman" w:cs="Times New Roman"/>
        </w:rPr>
        <w:t xml:space="preserve"> Disposición Transitoria Segunda 1., párrafo II de la LO 5/2010,  de 22 de junio.</w:t>
      </w:r>
    </w:p>
  </w:footnote>
  <w:footnote w:id="39">
    <w:p w:rsidR="00556FB6" w:rsidRPr="0097088F" w:rsidRDefault="00556FB6">
      <w:pPr>
        <w:pStyle w:val="Textonotapie"/>
        <w:rPr>
          <w:rFonts w:ascii="Times New Roman" w:hAnsi="Times New Roman" w:cs="Times New Roman"/>
          <w:lang w:val="en-US"/>
        </w:rPr>
      </w:pPr>
      <w:r w:rsidRPr="0097088F">
        <w:rPr>
          <w:rStyle w:val="Refdenotaalpie"/>
          <w:rFonts w:ascii="Times New Roman" w:hAnsi="Times New Roman" w:cs="Times New Roman"/>
        </w:rPr>
        <w:footnoteRef/>
      </w:r>
      <w:r w:rsidRPr="0097088F">
        <w:rPr>
          <w:rFonts w:ascii="Times New Roman" w:hAnsi="Times New Roman" w:cs="Times New Roman"/>
          <w:lang w:val="en-US"/>
        </w:rPr>
        <w:t xml:space="preserve"> Frígols I Brines, E., (2011), pp. 8-15.</w:t>
      </w:r>
    </w:p>
  </w:footnote>
  <w:footnote w:id="40">
    <w:p w:rsidR="00556FB6" w:rsidRPr="00A1695B" w:rsidRDefault="00556FB6">
      <w:pPr>
        <w:pStyle w:val="Textonotapie"/>
        <w:rPr>
          <w:rFonts w:ascii="Times New Roman" w:hAnsi="Times New Roman" w:cs="Times New Roman"/>
        </w:rPr>
      </w:pPr>
      <w:r w:rsidRPr="00A1695B">
        <w:rPr>
          <w:rStyle w:val="Refdenotaalpie"/>
          <w:rFonts w:ascii="Times New Roman" w:hAnsi="Times New Roman" w:cs="Times New Roman"/>
        </w:rPr>
        <w:footnoteRef/>
      </w:r>
      <w:r w:rsidRPr="00A1695B">
        <w:rPr>
          <w:rFonts w:ascii="Times New Roman" w:hAnsi="Times New Roman" w:cs="Times New Roman"/>
        </w:rPr>
        <w:t xml:space="preserve"> Manjón-Cabeza Olmeda, A., (2011), p. 1292.</w:t>
      </w:r>
    </w:p>
  </w:footnote>
  <w:footnote w:id="41">
    <w:p w:rsidR="00556FB6" w:rsidRPr="00662340" w:rsidRDefault="00556FB6">
      <w:pPr>
        <w:pStyle w:val="Textonotapie"/>
        <w:rPr>
          <w:rFonts w:ascii="Times New Roman" w:hAnsi="Times New Roman" w:cs="Times New Roman"/>
          <w:lang w:val="es-ES"/>
        </w:rPr>
      </w:pPr>
      <w:r w:rsidRPr="00662340">
        <w:rPr>
          <w:rStyle w:val="Refdenotaalpie"/>
          <w:rFonts w:ascii="Times New Roman" w:hAnsi="Times New Roman" w:cs="Times New Roman"/>
        </w:rPr>
        <w:footnoteRef/>
      </w:r>
      <w:r w:rsidRPr="00662340">
        <w:rPr>
          <w:rFonts w:ascii="Times New Roman" w:hAnsi="Times New Roman" w:cs="Times New Roman"/>
        </w:rPr>
        <w:t xml:space="preserve"> Ver artículos 23 y 25 de la Ley 1/1992 de 21 de febrero sobre Protección de la Seguridad Ciudadana.</w:t>
      </w:r>
    </w:p>
  </w:footnote>
  <w:footnote w:id="42">
    <w:p w:rsidR="00556FB6" w:rsidRPr="00662340" w:rsidRDefault="00556FB6">
      <w:pPr>
        <w:pStyle w:val="Textonotapie"/>
        <w:rPr>
          <w:rFonts w:ascii="Times New Roman" w:hAnsi="Times New Roman" w:cs="Times New Roman"/>
          <w:lang w:val="es-ES"/>
        </w:rPr>
      </w:pPr>
      <w:r w:rsidRPr="00662340">
        <w:rPr>
          <w:rStyle w:val="Refdenotaalpie"/>
          <w:rFonts w:ascii="Times New Roman" w:hAnsi="Times New Roman" w:cs="Times New Roman"/>
        </w:rPr>
        <w:footnoteRef/>
      </w:r>
      <w:r w:rsidRPr="00662340">
        <w:rPr>
          <w:rFonts w:ascii="Times New Roman" w:hAnsi="Times New Roman" w:cs="Times New Roman"/>
        </w:rPr>
        <w:t xml:space="preserve"> Pastor Muñoz, N. (2011), pp. 276-280.</w:t>
      </w:r>
    </w:p>
  </w:footnote>
  <w:footnote w:id="43">
    <w:p w:rsidR="00556FB6" w:rsidRPr="00662340" w:rsidRDefault="00556FB6">
      <w:pPr>
        <w:pStyle w:val="Textonotapie"/>
        <w:rPr>
          <w:rFonts w:ascii="Times New Roman" w:hAnsi="Times New Roman" w:cs="Times New Roman"/>
          <w:lang w:val="es-ES"/>
        </w:rPr>
      </w:pPr>
      <w:r w:rsidRPr="00662340">
        <w:rPr>
          <w:rStyle w:val="Refdenotaalpie"/>
          <w:rFonts w:ascii="Times New Roman" w:hAnsi="Times New Roman" w:cs="Times New Roman"/>
        </w:rPr>
        <w:footnoteRef/>
      </w:r>
      <w:r w:rsidRPr="00662340">
        <w:rPr>
          <w:rFonts w:ascii="Times New Roman" w:hAnsi="Times New Roman" w:cs="Times New Roman"/>
        </w:rPr>
        <w:t xml:space="preserve"> Aránguez Sánchez, C., (1999).</w:t>
      </w:r>
    </w:p>
  </w:footnote>
  <w:footnote w:id="44">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STS 6591/1993 de 5 de octubre.</w:t>
      </w:r>
    </w:p>
  </w:footnote>
  <w:footnote w:id="45">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Domínguez Izquierdo, E., (2003), p.237.</w:t>
      </w:r>
    </w:p>
  </w:footnote>
  <w:footnote w:id="46">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STS 243/2013 de 31 de enero. Ver también la STS 778/1996 de 9 de febrero, en la que se da un caso con similares cantidades a tres sujetos y se condena por un delito contra la salud pública.</w:t>
      </w:r>
    </w:p>
  </w:footnote>
  <w:footnote w:id="47">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STS 7966/1992 de 26 de octubre.</w:t>
      </w:r>
    </w:p>
  </w:footnote>
  <w:footnote w:id="48">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ATS 4500/2014 de 14 de mayo.</w:t>
      </w:r>
    </w:p>
  </w:footnote>
  <w:footnote w:id="49">
    <w:p w:rsidR="00556FB6" w:rsidRPr="009A37D9" w:rsidRDefault="00556FB6">
      <w:pPr>
        <w:pStyle w:val="Textonotapie"/>
        <w:rPr>
          <w:rFonts w:ascii="Times New Roman" w:hAnsi="Times New Roman" w:cs="Times New Roman"/>
          <w:lang w:val="es-ES"/>
        </w:rPr>
      </w:pPr>
      <w:r w:rsidRPr="009A37D9">
        <w:rPr>
          <w:rStyle w:val="Refdenotaalpie"/>
          <w:rFonts w:ascii="Times New Roman" w:hAnsi="Times New Roman" w:cs="Times New Roman"/>
        </w:rPr>
        <w:footnoteRef/>
      </w:r>
      <w:r w:rsidRPr="009A37D9">
        <w:rPr>
          <w:rFonts w:ascii="Times New Roman" w:hAnsi="Times New Roman" w:cs="Times New Roman"/>
        </w:rPr>
        <w:t xml:space="preserve"> STS 581/1991 de 4 de febrero.</w:t>
      </w:r>
    </w:p>
  </w:footnote>
  <w:footnote w:id="50">
    <w:p w:rsidR="00556FB6" w:rsidRPr="001A40D0" w:rsidRDefault="00556FB6">
      <w:pPr>
        <w:pStyle w:val="Textonotapie"/>
        <w:rPr>
          <w:rFonts w:ascii="Times New Roman" w:hAnsi="Times New Roman" w:cs="Times New Roman"/>
          <w:lang w:val="es-ES"/>
        </w:rPr>
      </w:pPr>
      <w:r w:rsidRPr="001A40D0">
        <w:rPr>
          <w:rStyle w:val="Refdenotaalpie"/>
          <w:rFonts w:ascii="Times New Roman" w:hAnsi="Times New Roman" w:cs="Times New Roman"/>
        </w:rPr>
        <w:footnoteRef/>
      </w:r>
      <w:r w:rsidRPr="001A40D0">
        <w:rPr>
          <w:rFonts w:ascii="Times New Roman" w:hAnsi="Times New Roman" w:cs="Times New Roman"/>
        </w:rPr>
        <w:t xml:space="preserve"> STS 2752/2007 de 7 de mayo.</w:t>
      </w:r>
    </w:p>
  </w:footnote>
  <w:footnote w:id="51">
    <w:p w:rsidR="00556FB6" w:rsidRPr="001A40D0" w:rsidRDefault="00556FB6">
      <w:pPr>
        <w:pStyle w:val="Textonotapie"/>
        <w:rPr>
          <w:rFonts w:ascii="Times New Roman" w:hAnsi="Times New Roman" w:cs="Times New Roman"/>
          <w:lang w:val="es-ES"/>
        </w:rPr>
      </w:pPr>
      <w:r w:rsidRPr="001A40D0">
        <w:rPr>
          <w:rStyle w:val="Refdenotaalpie"/>
          <w:rFonts w:ascii="Times New Roman" w:hAnsi="Times New Roman" w:cs="Times New Roman"/>
        </w:rPr>
        <w:footnoteRef/>
      </w:r>
      <w:r w:rsidRPr="001A40D0">
        <w:rPr>
          <w:rFonts w:ascii="Times New Roman" w:hAnsi="Times New Roman" w:cs="Times New Roman"/>
        </w:rPr>
        <w:t xml:space="preserve"> ATS 4463/2014 de 10 de abril.</w:t>
      </w:r>
    </w:p>
  </w:footnote>
  <w:footnote w:id="52">
    <w:p w:rsidR="00556FB6" w:rsidRPr="001A40D0" w:rsidRDefault="00556FB6">
      <w:pPr>
        <w:pStyle w:val="Textonotapie"/>
        <w:rPr>
          <w:rFonts w:ascii="Times New Roman" w:hAnsi="Times New Roman" w:cs="Times New Roman"/>
          <w:lang w:val="es-ES"/>
        </w:rPr>
      </w:pPr>
      <w:r w:rsidRPr="001A40D0">
        <w:rPr>
          <w:rStyle w:val="Refdenotaalpie"/>
          <w:rFonts w:ascii="Times New Roman" w:hAnsi="Times New Roman" w:cs="Times New Roman"/>
        </w:rPr>
        <w:footnoteRef/>
      </w:r>
      <w:r w:rsidRPr="001A40D0">
        <w:rPr>
          <w:rFonts w:ascii="Times New Roman" w:hAnsi="Times New Roman" w:cs="Times New Roman"/>
        </w:rPr>
        <w:t xml:space="preserve"> STS 5753/2011 de 16 de septiembre.</w:t>
      </w:r>
    </w:p>
  </w:footnote>
  <w:footnote w:id="53">
    <w:p w:rsidR="00556FB6" w:rsidRPr="001A40D0" w:rsidRDefault="00556FB6">
      <w:pPr>
        <w:pStyle w:val="Textonotapie"/>
        <w:rPr>
          <w:rFonts w:ascii="Times New Roman" w:hAnsi="Times New Roman" w:cs="Times New Roman"/>
          <w:lang w:val="es-ES"/>
        </w:rPr>
      </w:pPr>
      <w:r w:rsidRPr="001A40D0">
        <w:rPr>
          <w:rStyle w:val="Refdenotaalpie"/>
          <w:rFonts w:ascii="Times New Roman" w:hAnsi="Times New Roman" w:cs="Times New Roman"/>
        </w:rPr>
        <w:footnoteRef/>
      </w:r>
      <w:r>
        <w:rPr>
          <w:rFonts w:ascii="Times New Roman" w:hAnsi="Times New Roman" w:cs="Times New Roman"/>
        </w:rPr>
        <w:t xml:space="preserve"> Ver nota de pie número 46, 47, 48, 49 y 50  pueden servir como fundamento las mismas sentencias</w:t>
      </w:r>
      <w:r w:rsidRPr="001A40D0">
        <w:rPr>
          <w:rFonts w:ascii="Times New Roman" w:hAnsi="Times New Roman" w:cs="Times New Roman"/>
        </w:rPr>
        <w:t>.</w:t>
      </w:r>
    </w:p>
  </w:footnote>
  <w:footnote w:id="54">
    <w:p w:rsidR="00556FB6" w:rsidRPr="001A40D0" w:rsidRDefault="00556FB6">
      <w:pPr>
        <w:pStyle w:val="Textonotapie"/>
        <w:rPr>
          <w:rFonts w:ascii="Times New Roman" w:hAnsi="Times New Roman" w:cs="Times New Roman"/>
          <w:lang w:val="es-ES"/>
        </w:rPr>
      </w:pPr>
      <w:r w:rsidRPr="001A40D0">
        <w:rPr>
          <w:rStyle w:val="Refdenotaalpie"/>
          <w:rFonts w:ascii="Times New Roman" w:hAnsi="Times New Roman" w:cs="Times New Roman"/>
        </w:rPr>
        <w:footnoteRef/>
      </w:r>
      <w:r w:rsidRPr="001A40D0">
        <w:rPr>
          <w:rFonts w:ascii="Times New Roman" w:hAnsi="Times New Roman" w:cs="Times New Roman"/>
        </w:rPr>
        <w:t xml:space="preserve"> Ver anexo 1.</w:t>
      </w:r>
    </w:p>
  </w:footnote>
  <w:footnote w:id="55">
    <w:p w:rsidR="00556FB6" w:rsidRPr="00EB4A6A" w:rsidRDefault="00556FB6">
      <w:pPr>
        <w:pStyle w:val="Textonotapie"/>
        <w:rPr>
          <w:rFonts w:ascii="Times New Roman" w:hAnsi="Times New Roman" w:cs="Times New Roman"/>
          <w:lang w:val="es-ES"/>
        </w:rPr>
      </w:pPr>
      <w:r w:rsidRPr="00EB4A6A">
        <w:rPr>
          <w:rStyle w:val="Refdenotaalpie"/>
          <w:rFonts w:ascii="Times New Roman" w:hAnsi="Times New Roman" w:cs="Times New Roman"/>
        </w:rPr>
        <w:footnoteRef/>
      </w:r>
      <w:r w:rsidRPr="00EB4A6A">
        <w:rPr>
          <w:rFonts w:ascii="Times New Roman" w:hAnsi="Times New Roman" w:cs="Times New Roman"/>
        </w:rPr>
        <w:t xml:space="preserve"> Molina Fernández, F., (2011), p.1314.</w:t>
      </w:r>
    </w:p>
  </w:footnote>
  <w:footnote w:id="56">
    <w:p w:rsidR="00556FB6" w:rsidRPr="00EB4A6A" w:rsidRDefault="00556FB6">
      <w:pPr>
        <w:pStyle w:val="Textonotapie"/>
        <w:rPr>
          <w:rFonts w:ascii="Times New Roman" w:hAnsi="Times New Roman" w:cs="Times New Roman"/>
          <w:lang w:val="es-ES"/>
        </w:rPr>
      </w:pPr>
      <w:r w:rsidRPr="00EB4A6A">
        <w:rPr>
          <w:rStyle w:val="Refdenotaalpie"/>
          <w:rFonts w:ascii="Times New Roman" w:hAnsi="Times New Roman" w:cs="Times New Roman"/>
        </w:rPr>
        <w:footnoteRef/>
      </w:r>
      <w:r w:rsidRPr="00EB4A6A">
        <w:rPr>
          <w:rFonts w:ascii="Times New Roman" w:hAnsi="Times New Roman" w:cs="Times New Roman"/>
        </w:rPr>
        <w:t xml:space="preserve"> STS 629/2010 de 9 de febrero.</w:t>
      </w:r>
    </w:p>
  </w:footnote>
  <w:footnote w:id="57">
    <w:p w:rsidR="00556FB6" w:rsidRPr="00FA4C6F" w:rsidRDefault="00556FB6" w:rsidP="00804B9A">
      <w:pPr>
        <w:pStyle w:val="Textonotapie"/>
        <w:rPr>
          <w:rFonts w:ascii="Times New Roman" w:hAnsi="Times New Roman" w:cs="Times New Roman"/>
        </w:rPr>
      </w:pPr>
      <w:r w:rsidRPr="00FA4C6F">
        <w:rPr>
          <w:rStyle w:val="Refdenotaalpie"/>
          <w:rFonts w:ascii="Times New Roman" w:hAnsi="Times New Roman" w:cs="Times New Roman"/>
        </w:rPr>
        <w:footnoteRef/>
      </w:r>
      <w:r w:rsidRPr="00FA4C6F">
        <w:rPr>
          <w:rFonts w:ascii="Times New Roman" w:hAnsi="Times New Roman" w:cs="Times New Roman"/>
        </w:rPr>
        <w:t xml:space="preserve"> </w:t>
      </w:r>
      <w:r>
        <w:rPr>
          <w:rFonts w:ascii="Times New Roman" w:hAnsi="Times New Roman" w:cs="Times New Roman"/>
        </w:rPr>
        <w:t>Artículo 369.5º del Código Penal</w:t>
      </w:r>
    </w:p>
  </w:footnote>
  <w:footnote w:id="58">
    <w:p w:rsidR="00556FB6" w:rsidRPr="00AC507E" w:rsidRDefault="00556FB6" w:rsidP="00804B9A">
      <w:pPr>
        <w:pStyle w:val="Textonotapie"/>
        <w:rPr>
          <w:rFonts w:ascii="Times New Roman" w:hAnsi="Times New Roman" w:cs="Times New Roman"/>
        </w:rPr>
      </w:pPr>
      <w:r w:rsidRPr="00AC507E">
        <w:rPr>
          <w:rStyle w:val="Refdenotaalpie"/>
          <w:rFonts w:ascii="Times New Roman" w:hAnsi="Times New Roman" w:cs="Times New Roman"/>
        </w:rPr>
        <w:footnoteRef/>
      </w:r>
      <w:r w:rsidRPr="00AC507E">
        <w:rPr>
          <w:rFonts w:ascii="Times New Roman" w:hAnsi="Times New Roman" w:cs="Times New Roman"/>
        </w:rPr>
        <w:t xml:space="preserve"> Gabinete Técnico del Tribunal Supremo, “Acuerdos del Pleno Sala Segunda del Tr</w:t>
      </w:r>
      <w:r>
        <w:rPr>
          <w:rFonts w:ascii="Times New Roman" w:hAnsi="Times New Roman" w:cs="Times New Roman"/>
        </w:rPr>
        <w:t>ibunal Supremo años 2000-2012.”, p.15</w:t>
      </w:r>
      <w:r w:rsidRPr="00AC507E">
        <w:rPr>
          <w:rFonts w:ascii="Times New Roman" w:hAnsi="Times New Roman" w:cs="Times New Roman"/>
        </w:rPr>
        <w:t xml:space="preserve">. </w:t>
      </w:r>
    </w:p>
  </w:footnote>
  <w:footnote w:id="59">
    <w:p w:rsidR="00556FB6" w:rsidRPr="00CD0AFD" w:rsidRDefault="00556FB6" w:rsidP="00804B9A">
      <w:pPr>
        <w:pStyle w:val="Textonotapie"/>
        <w:rPr>
          <w:rFonts w:ascii="Times New Roman" w:hAnsi="Times New Roman" w:cs="Times New Roman"/>
        </w:rPr>
      </w:pPr>
      <w:r w:rsidRPr="00CD0AFD">
        <w:rPr>
          <w:rStyle w:val="Refdenotaalpie"/>
          <w:rFonts w:ascii="Times New Roman" w:hAnsi="Times New Roman" w:cs="Times New Roman"/>
        </w:rPr>
        <w:footnoteRef/>
      </w:r>
      <w:r w:rsidRPr="00CD0AFD">
        <w:rPr>
          <w:rFonts w:ascii="Times New Roman" w:hAnsi="Times New Roman" w:cs="Times New Roman"/>
        </w:rPr>
        <w:t xml:space="preserve"> </w:t>
      </w:r>
      <w:r>
        <w:rPr>
          <w:rFonts w:ascii="Times New Roman" w:hAnsi="Times New Roman" w:cs="Times New Roman"/>
        </w:rPr>
        <w:t>Para mayor abundamiento se puede ver la lista completa a través del informe elaborado por el Gabinete Técnico del Tribunal Supremo “Acuerdos del Pleno Sala Segunda del Tribunal Supremo años 2000-2012” en la página web del poder judicial.</w:t>
      </w:r>
    </w:p>
  </w:footnote>
  <w:footnote w:id="60">
    <w:p w:rsidR="00556FB6" w:rsidRPr="00483117" w:rsidRDefault="00556FB6">
      <w:pPr>
        <w:pStyle w:val="Textonotapie"/>
        <w:rPr>
          <w:rFonts w:ascii="Times New Roman" w:hAnsi="Times New Roman" w:cs="Times New Roman"/>
        </w:rPr>
      </w:pPr>
      <w:r w:rsidRPr="00483117">
        <w:rPr>
          <w:rStyle w:val="Refdenotaalpie"/>
          <w:rFonts w:ascii="Times New Roman" w:hAnsi="Times New Roman" w:cs="Times New Roman"/>
        </w:rPr>
        <w:footnoteRef/>
      </w:r>
      <w:r w:rsidRPr="00483117">
        <w:rPr>
          <w:rFonts w:ascii="Times New Roman" w:hAnsi="Times New Roman" w:cs="Times New Roman"/>
        </w:rPr>
        <w:t xml:space="preserve"> </w:t>
      </w:r>
      <w:r>
        <w:rPr>
          <w:rFonts w:ascii="Times New Roman" w:hAnsi="Times New Roman" w:cs="Times New Roman"/>
        </w:rPr>
        <w:t>Gabinete Técnico del Tribunal Supremo (2013), “Doctrina Jurisprudencial de la Sala de lo Penal Año Judicial 2012-2013”,  pp. 125-126.</w:t>
      </w:r>
    </w:p>
  </w:footnote>
  <w:footnote w:id="61">
    <w:p w:rsidR="00556FB6" w:rsidRPr="004E3DDF" w:rsidRDefault="00556FB6" w:rsidP="00804B9A">
      <w:pPr>
        <w:pStyle w:val="Textonotapie"/>
        <w:rPr>
          <w:rFonts w:ascii="Times New Roman" w:hAnsi="Times New Roman" w:cs="Times New Roman"/>
        </w:rPr>
      </w:pPr>
      <w:r w:rsidRPr="004E3DDF">
        <w:rPr>
          <w:rStyle w:val="Refdenotaalpie"/>
          <w:rFonts w:ascii="Times New Roman" w:hAnsi="Times New Roman" w:cs="Times New Roman"/>
        </w:rPr>
        <w:footnoteRef/>
      </w:r>
      <w:r w:rsidRPr="004E3DDF">
        <w:rPr>
          <w:rFonts w:ascii="Times New Roman" w:hAnsi="Times New Roman" w:cs="Times New Roman"/>
        </w:rPr>
        <w:t xml:space="preserve"> </w:t>
      </w:r>
      <w:r>
        <w:rPr>
          <w:rFonts w:ascii="Times New Roman" w:hAnsi="Times New Roman" w:cs="Times New Roman"/>
        </w:rPr>
        <w:t>Manjón-Cabeza Olmeda, A., (2011), pp. 1318-1320</w:t>
      </w:r>
      <w:r w:rsidRPr="004E3DDF">
        <w:rPr>
          <w:rFonts w:ascii="Times New Roman" w:hAnsi="Times New Roman" w:cs="Times New Roman"/>
        </w:rPr>
        <w:t>.</w:t>
      </w:r>
    </w:p>
  </w:footnote>
  <w:footnote w:id="62">
    <w:p w:rsidR="00556FB6" w:rsidRPr="00A9646A" w:rsidRDefault="00556FB6" w:rsidP="00804B9A">
      <w:pPr>
        <w:pStyle w:val="Textonotapie"/>
        <w:rPr>
          <w:rFonts w:ascii="Times New Roman" w:hAnsi="Times New Roman" w:cs="Times New Roman"/>
        </w:rPr>
      </w:pPr>
      <w:r w:rsidRPr="00A9646A">
        <w:rPr>
          <w:rStyle w:val="Refdenotaalpie"/>
          <w:rFonts w:ascii="Times New Roman" w:hAnsi="Times New Roman" w:cs="Times New Roman"/>
        </w:rPr>
        <w:footnoteRef/>
      </w:r>
      <w:r w:rsidRPr="00A9646A">
        <w:rPr>
          <w:rFonts w:ascii="Times New Roman" w:hAnsi="Times New Roman" w:cs="Times New Roman"/>
        </w:rPr>
        <w:t xml:space="preserve"> </w:t>
      </w:r>
      <w:r>
        <w:rPr>
          <w:rFonts w:ascii="Times New Roman" w:hAnsi="Times New Roman" w:cs="Times New Roman"/>
        </w:rPr>
        <w:t>Jaén Vallejo, M., (2002), p. 1- 4.</w:t>
      </w:r>
    </w:p>
  </w:footnote>
  <w:footnote w:id="63">
    <w:p w:rsidR="00556FB6" w:rsidRPr="00805B6A" w:rsidRDefault="00556FB6">
      <w:pPr>
        <w:pStyle w:val="Textonotapie"/>
        <w:rPr>
          <w:rFonts w:ascii="Times New Roman" w:hAnsi="Times New Roman" w:cs="Times New Roman"/>
          <w:lang w:val="es-ES"/>
        </w:rPr>
      </w:pPr>
      <w:r w:rsidRPr="00805B6A">
        <w:rPr>
          <w:rStyle w:val="Refdenotaalpie"/>
          <w:rFonts w:ascii="Times New Roman" w:hAnsi="Times New Roman" w:cs="Times New Roman"/>
        </w:rPr>
        <w:footnoteRef/>
      </w:r>
      <w:r w:rsidRPr="00805B6A">
        <w:rPr>
          <w:rFonts w:ascii="Times New Roman" w:hAnsi="Times New Roman" w:cs="Times New Roman"/>
        </w:rPr>
        <w:t xml:space="preserve"> </w:t>
      </w:r>
      <w:r>
        <w:rPr>
          <w:rFonts w:ascii="Times New Roman" w:hAnsi="Times New Roman" w:cs="Times New Roman"/>
        </w:rPr>
        <w:t>Magro Servet, V., (2002), pp. 13-58.</w:t>
      </w:r>
    </w:p>
  </w:footnote>
  <w:footnote w:id="64">
    <w:p w:rsidR="00556FB6" w:rsidRPr="0046530E" w:rsidRDefault="00556FB6" w:rsidP="00804B9A">
      <w:pPr>
        <w:pStyle w:val="Textonotapie"/>
        <w:rPr>
          <w:rFonts w:ascii="Times New Roman" w:hAnsi="Times New Roman" w:cs="Times New Roman"/>
        </w:rPr>
      </w:pPr>
      <w:r w:rsidRPr="0046530E">
        <w:rPr>
          <w:rStyle w:val="Refdenotaalpie"/>
          <w:rFonts w:ascii="Times New Roman" w:hAnsi="Times New Roman" w:cs="Times New Roman"/>
        </w:rPr>
        <w:footnoteRef/>
      </w:r>
      <w:r w:rsidRPr="0046530E">
        <w:rPr>
          <w:rFonts w:ascii="Times New Roman" w:hAnsi="Times New Roman" w:cs="Times New Roman"/>
        </w:rPr>
        <w:t xml:space="preserve"> </w:t>
      </w:r>
      <w:r>
        <w:rPr>
          <w:rFonts w:ascii="Times New Roman" w:hAnsi="Times New Roman" w:cs="Times New Roman"/>
        </w:rPr>
        <w:t>Artículo 370 del Código Penal</w:t>
      </w:r>
    </w:p>
  </w:footnote>
  <w:footnote w:id="65">
    <w:p w:rsidR="00556FB6" w:rsidRPr="00EF34CB" w:rsidRDefault="00556FB6" w:rsidP="00804B9A">
      <w:pPr>
        <w:pStyle w:val="Textonotapie"/>
        <w:rPr>
          <w:rFonts w:ascii="Times New Roman" w:hAnsi="Times New Roman" w:cs="Times New Roman"/>
        </w:rPr>
      </w:pPr>
      <w:r w:rsidRPr="00EF34CB">
        <w:rPr>
          <w:rStyle w:val="Refdenotaalpie"/>
          <w:rFonts w:ascii="Times New Roman" w:hAnsi="Times New Roman" w:cs="Times New Roman"/>
        </w:rPr>
        <w:footnoteRef/>
      </w:r>
      <w:r w:rsidRPr="00EF34CB">
        <w:rPr>
          <w:rFonts w:ascii="Times New Roman" w:hAnsi="Times New Roman" w:cs="Times New Roman"/>
        </w:rPr>
        <w:t xml:space="preserve"> </w:t>
      </w:r>
      <w:r>
        <w:rPr>
          <w:rFonts w:ascii="Times New Roman" w:hAnsi="Times New Roman" w:cs="Times New Roman"/>
        </w:rPr>
        <w:t>Expósito López, A., (2012), pp.106-107.</w:t>
      </w:r>
    </w:p>
  </w:footnote>
  <w:footnote w:id="66">
    <w:p w:rsidR="00556FB6" w:rsidRPr="00490F3D" w:rsidRDefault="00556FB6">
      <w:pPr>
        <w:pStyle w:val="Textonotapie"/>
        <w:rPr>
          <w:rFonts w:ascii="Times New Roman" w:hAnsi="Times New Roman" w:cs="Times New Roman"/>
          <w:lang w:val="es-ES"/>
        </w:rPr>
      </w:pPr>
      <w:r w:rsidRPr="00490F3D">
        <w:rPr>
          <w:rStyle w:val="Refdenotaalpie"/>
          <w:rFonts w:ascii="Times New Roman" w:hAnsi="Times New Roman" w:cs="Times New Roman"/>
        </w:rPr>
        <w:footnoteRef/>
      </w:r>
      <w:r w:rsidRPr="00490F3D">
        <w:rPr>
          <w:rFonts w:ascii="Times New Roman" w:hAnsi="Times New Roman" w:cs="Times New Roman"/>
        </w:rPr>
        <w:t xml:space="preserve"> </w:t>
      </w:r>
      <w:r>
        <w:rPr>
          <w:rFonts w:ascii="Times New Roman" w:hAnsi="Times New Roman" w:cs="Times New Roman"/>
        </w:rPr>
        <w:t>Armenteros León, M., (2009).</w:t>
      </w:r>
    </w:p>
  </w:footnote>
  <w:footnote w:id="67">
    <w:p w:rsidR="00556FB6" w:rsidRPr="00547D5B" w:rsidRDefault="00556FB6">
      <w:pPr>
        <w:pStyle w:val="Textonotapie"/>
        <w:rPr>
          <w:rFonts w:ascii="Times New Roman" w:hAnsi="Times New Roman" w:cs="Times New Roman"/>
          <w:lang w:val="es-ES"/>
        </w:rPr>
      </w:pPr>
      <w:r w:rsidRPr="00547D5B">
        <w:rPr>
          <w:rStyle w:val="Refdenotaalpie"/>
          <w:rFonts w:ascii="Times New Roman" w:hAnsi="Times New Roman" w:cs="Times New Roman"/>
        </w:rPr>
        <w:footnoteRef/>
      </w:r>
      <w:r w:rsidRPr="00547D5B">
        <w:rPr>
          <w:rFonts w:ascii="Times New Roman" w:hAnsi="Times New Roman" w:cs="Times New Roman"/>
        </w:rPr>
        <w:t xml:space="preserve"> </w:t>
      </w:r>
      <w:r>
        <w:rPr>
          <w:rFonts w:ascii="Times New Roman" w:hAnsi="Times New Roman" w:cs="Times New Roman"/>
        </w:rPr>
        <w:t>Sequeros Sazatornil, F., (2011), p. 1429.</w:t>
      </w:r>
    </w:p>
  </w:footnote>
  <w:footnote w:id="68">
    <w:p w:rsidR="00556FB6" w:rsidRPr="00C21C23" w:rsidRDefault="00556FB6">
      <w:pPr>
        <w:pStyle w:val="Textonotapie"/>
        <w:rPr>
          <w:rFonts w:ascii="Times New Roman" w:hAnsi="Times New Roman" w:cs="Times New Roman"/>
          <w:lang w:val="es-ES"/>
        </w:rPr>
      </w:pPr>
      <w:r w:rsidRPr="00C21C23">
        <w:rPr>
          <w:rStyle w:val="Refdenotaalpie"/>
          <w:rFonts w:ascii="Times New Roman" w:hAnsi="Times New Roman" w:cs="Times New Roman"/>
        </w:rPr>
        <w:footnoteRef/>
      </w:r>
      <w:r w:rsidRPr="00C21C23">
        <w:rPr>
          <w:rFonts w:ascii="Times New Roman" w:hAnsi="Times New Roman" w:cs="Times New Roman"/>
        </w:rPr>
        <w:t xml:space="preserve"> Toda la jurisprudencia ha sido localizada a través del buscador de jurisprudencia del Tribunal Supremo Cendoj, a través de la web del poder judicial: http://www.poderjudicial.es/.  La citación de sentencias es lo que se corresponde como  “Nº ROJ.”</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5B099C"/>
    <w:multiLevelType w:val="hybridMultilevel"/>
    <w:tmpl w:val="A2D8D2B4"/>
    <w:lvl w:ilvl="0" w:tplc="F4EA5E58">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nsid w:val="098D09D5"/>
    <w:multiLevelType w:val="multilevel"/>
    <w:tmpl w:val="B588C34C"/>
    <w:lvl w:ilvl="0">
      <w:start w:val="3"/>
      <w:numFmt w:val="decimal"/>
      <w:lvlText w:val="%1"/>
      <w:lvlJc w:val="left"/>
      <w:pPr>
        <w:ind w:left="480" w:hanging="480"/>
      </w:pPr>
      <w:rPr>
        <w:rFonts w:hint="default"/>
      </w:rPr>
    </w:lvl>
    <w:lvl w:ilvl="1">
      <w:start w:val="2"/>
      <w:numFmt w:val="decimal"/>
      <w:lvlText w:val="%1.%2"/>
      <w:lvlJc w:val="left"/>
      <w:pPr>
        <w:ind w:left="876" w:hanging="480"/>
      </w:pPr>
      <w:rPr>
        <w:rFonts w:hint="default"/>
      </w:rPr>
    </w:lvl>
    <w:lvl w:ilvl="2">
      <w:start w:val="2"/>
      <w:numFmt w:val="decimal"/>
      <w:lvlText w:val="%1.%2.%3"/>
      <w:lvlJc w:val="left"/>
      <w:pPr>
        <w:ind w:left="1512" w:hanging="720"/>
      </w:pPr>
      <w:rPr>
        <w:rFonts w:hint="default"/>
      </w:rPr>
    </w:lvl>
    <w:lvl w:ilvl="3">
      <w:start w:val="1"/>
      <w:numFmt w:val="decimal"/>
      <w:lvlText w:val="%1.%2.%3.%4"/>
      <w:lvlJc w:val="left"/>
      <w:pPr>
        <w:ind w:left="1908" w:hanging="720"/>
      </w:pPr>
      <w:rPr>
        <w:rFonts w:hint="default"/>
      </w:rPr>
    </w:lvl>
    <w:lvl w:ilvl="4">
      <w:start w:val="1"/>
      <w:numFmt w:val="decimal"/>
      <w:lvlText w:val="%1.%2.%3.%4.%5"/>
      <w:lvlJc w:val="left"/>
      <w:pPr>
        <w:ind w:left="2664" w:hanging="1080"/>
      </w:pPr>
      <w:rPr>
        <w:rFonts w:hint="default"/>
      </w:rPr>
    </w:lvl>
    <w:lvl w:ilvl="5">
      <w:start w:val="1"/>
      <w:numFmt w:val="decimal"/>
      <w:lvlText w:val="%1.%2.%3.%4.%5.%6"/>
      <w:lvlJc w:val="left"/>
      <w:pPr>
        <w:ind w:left="3060" w:hanging="1080"/>
      </w:pPr>
      <w:rPr>
        <w:rFonts w:hint="default"/>
      </w:rPr>
    </w:lvl>
    <w:lvl w:ilvl="6">
      <w:start w:val="1"/>
      <w:numFmt w:val="decimal"/>
      <w:lvlText w:val="%1.%2.%3.%4.%5.%6.%7"/>
      <w:lvlJc w:val="left"/>
      <w:pPr>
        <w:ind w:left="3816" w:hanging="1440"/>
      </w:pPr>
      <w:rPr>
        <w:rFonts w:hint="default"/>
      </w:rPr>
    </w:lvl>
    <w:lvl w:ilvl="7">
      <w:start w:val="1"/>
      <w:numFmt w:val="decimal"/>
      <w:lvlText w:val="%1.%2.%3.%4.%5.%6.%7.%8"/>
      <w:lvlJc w:val="left"/>
      <w:pPr>
        <w:ind w:left="4212" w:hanging="1440"/>
      </w:pPr>
      <w:rPr>
        <w:rFonts w:hint="default"/>
      </w:rPr>
    </w:lvl>
    <w:lvl w:ilvl="8">
      <w:start w:val="1"/>
      <w:numFmt w:val="decimal"/>
      <w:lvlText w:val="%1.%2.%3.%4.%5.%6.%7.%8.%9"/>
      <w:lvlJc w:val="left"/>
      <w:pPr>
        <w:ind w:left="4968" w:hanging="1800"/>
      </w:pPr>
      <w:rPr>
        <w:rFonts w:hint="default"/>
      </w:rPr>
    </w:lvl>
  </w:abstractNum>
  <w:abstractNum w:abstractNumId="2">
    <w:nsid w:val="0EAB6134"/>
    <w:multiLevelType w:val="hybridMultilevel"/>
    <w:tmpl w:val="CAF81370"/>
    <w:lvl w:ilvl="0" w:tplc="F4EA5E58">
      <w:numFmt w:val="bullet"/>
      <w:lvlText w:val="-"/>
      <w:lvlJc w:val="left"/>
      <w:pPr>
        <w:ind w:left="720" w:hanging="360"/>
      </w:pPr>
      <w:rPr>
        <w:rFonts w:ascii="Times New Roman" w:eastAsiaTheme="minorHAnsi" w:hAnsi="Times New Roman" w:cs="Times New Roman" w:hint="default"/>
      </w:rPr>
    </w:lvl>
    <w:lvl w:ilvl="1" w:tplc="F4EA5E58">
      <w:numFmt w:val="bullet"/>
      <w:lvlText w:val="-"/>
      <w:lvlJc w:val="left"/>
      <w:pPr>
        <w:ind w:left="1440" w:hanging="360"/>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nsid w:val="1E001911"/>
    <w:multiLevelType w:val="hybridMultilevel"/>
    <w:tmpl w:val="A6186CC0"/>
    <w:lvl w:ilvl="0" w:tplc="0C0A0017">
      <w:start w:val="1"/>
      <w:numFmt w:val="lowerLetter"/>
      <w:lvlText w:val="%1)"/>
      <w:lvlJc w:val="left"/>
      <w:pPr>
        <w:ind w:left="1512" w:hanging="360"/>
      </w:pPr>
    </w:lvl>
    <w:lvl w:ilvl="1" w:tplc="0C0A0019" w:tentative="1">
      <w:start w:val="1"/>
      <w:numFmt w:val="lowerLetter"/>
      <w:lvlText w:val="%2."/>
      <w:lvlJc w:val="left"/>
      <w:pPr>
        <w:ind w:left="2232" w:hanging="360"/>
      </w:pPr>
    </w:lvl>
    <w:lvl w:ilvl="2" w:tplc="0C0A001B" w:tentative="1">
      <w:start w:val="1"/>
      <w:numFmt w:val="lowerRoman"/>
      <w:lvlText w:val="%3."/>
      <w:lvlJc w:val="right"/>
      <w:pPr>
        <w:ind w:left="2952" w:hanging="180"/>
      </w:pPr>
    </w:lvl>
    <w:lvl w:ilvl="3" w:tplc="0C0A000F" w:tentative="1">
      <w:start w:val="1"/>
      <w:numFmt w:val="decimal"/>
      <w:lvlText w:val="%4."/>
      <w:lvlJc w:val="left"/>
      <w:pPr>
        <w:ind w:left="3672" w:hanging="360"/>
      </w:pPr>
    </w:lvl>
    <w:lvl w:ilvl="4" w:tplc="0C0A0019" w:tentative="1">
      <w:start w:val="1"/>
      <w:numFmt w:val="lowerLetter"/>
      <w:lvlText w:val="%5."/>
      <w:lvlJc w:val="left"/>
      <w:pPr>
        <w:ind w:left="4392" w:hanging="360"/>
      </w:pPr>
    </w:lvl>
    <w:lvl w:ilvl="5" w:tplc="0C0A001B" w:tentative="1">
      <w:start w:val="1"/>
      <w:numFmt w:val="lowerRoman"/>
      <w:lvlText w:val="%6."/>
      <w:lvlJc w:val="right"/>
      <w:pPr>
        <w:ind w:left="5112" w:hanging="180"/>
      </w:pPr>
    </w:lvl>
    <w:lvl w:ilvl="6" w:tplc="0C0A000F" w:tentative="1">
      <w:start w:val="1"/>
      <w:numFmt w:val="decimal"/>
      <w:lvlText w:val="%7."/>
      <w:lvlJc w:val="left"/>
      <w:pPr>
        <w:ind w:left="5832" w:hanging="360"/>
      </w:pPr>
    </w:lvl>
    <w:lvl w:ilvl="7" w:tplc="0C0A0019" w:tentative="1">
      <w:start w:val="1"/>
      <w:numFmt w:val="lowerLetter"/>
      <w:lvlText w:val="%8."/>
      <w:lvlJc w:val="left"/>
      <w:pPr>
        <w:ind w:left="6552" w:hanging="360"/>
      </w:pPr>
    </w:lvl>
    <w:lvl w:ilvl="8" w:tplc="0C0A001B" w:tentative="1">
      <w:start w:val="1"/>
      <w:numFmt w:val="lowerRoman"/>
      <w:lvlText w:val="%9."/>
      <w:lvlJc w:val="right"/>
      <w:pPr>
        <w:ind w:left="7272" w:hanging="180"/>
      </w:pPr>
    </w:lvl>
  </w:abstractNum>
  <w:abstractNum w:abstractNumId="4">
    <w:nsid w:val="236F042A"/>
    <w:multiLevelType w:val="hybridMultilevel"/>
    <w:tmpl w:val="C01C6BE0"/>
    <w:lvl w:ilvl="0" w:tplc="F4EA5E58">
      <w:numFmt w:val="bullet"/>
      <w:lvlText w:val="-"/>
      <w:lvlJc w:val="left"/>
      <w:pPr>
        <w:ind w:left="720" w:hanging="360"/>
      </w:pPr>
      <w:rPr>
        <w:rFonts w:ascii="Times New Roman" w:eastAsiaTheme="minorHAnsi" w:hAnsi="Times New Roman"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24FA56D4"/>
    <w:multiLevelType w:val="multilevel"/>
    <w:tmpl w:val="82243A02"/>
    <w:lvl w:ilvl="0">
      <w:start w:val="1"/>
      <w:numFmt w:val="decimal"/>
      <w:lvlText w:val="%1."/>
      <w:lvlJc w:val="left"/>
      <w:pPr>
        <w:ind w:left="360" w:hanging="360"/>
      </w:pPr>
      <w:rPr>
        <w:b/>
      </w:rPr>
    </w:lvl>
    <w:lvl w:ilvl="1">
      <w:start w:val="1"/>
      <w:numFmt w:val="decimal"/>
      <w:lvlText w:val="%1.%2."/>
      <w:lvlJc w:val="left"/>
      <w:pPr>
        <w:ind w:left="43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33A913F9"/>
    <w:multiLevelType w:val="hybridMultilevel"/>
    <w:tmpl w:val="D0AE5DD0"/>
    <w:lvl w:ilvl="0" w:tplc="0C0A000F">
      <w:start w:val="1"/>
      <w:numFmt w:val="decimal"/>
      <w:lvlText w:val="%1."/>
      <w:lvlJc w:val="left"/>
      <w:pPr>
        <w:ind w:left="720" w:hanging="360"/>
      </w:pPr>
      <w:rPr>
        <w:rFont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nsid w:val="45797336"/>
    <w:multiLevelType w:val="multilevel"/>
    <w:tmpl w:val="6B2AC4DE"/>
    <w:lvl w:ilvl="0">
      <w:start w:val="1"/>
      <w:numFmt w:val="decimal"/>
      <w:lvlText w:val="%1."/>
      <w:lvlJc w:val="left"/>
      <w:pPr>
        <w:ind w:left="360" w:hanging="360"/>
      </w:pPr>
      <w:rPr>
        <w:color w:val="auto"/>
      </w:r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586489C"/>
    <w:multiLevelType w:val="multilevel"/>
    <w:tmpl w:val="0C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5D7464D4"/>
    <w:multiLevelType w:val="hybridMultilevel"/>
    <w:tmpl w:val="1102BE98"/>
    <w:lvl w:ilvl="0" w:tplc="59801CCC">
      <w:start w:val="1"/>
      <w:numFmt w:val="decimal"/>
      <w:lvlText w:val="%1."/>
      <w:lvlJc w:val="left"/>
      <w:pPr>
        <w:ind w:left="720" w:hanging="360"/>
      </w:pPr>
      <w:rPr>
        <w:b/>
        <w:i w:val="0"/>
        <w:color w:val="auto"/>
        <w:sz w:val="24"/>
        <w:szCs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nsid w:val="5F905744"/>
    <w:multiLevelType w:val="hybridMultilevel"/>
    <w:tmpl w:val="02D86FF6"/>
    <w:lvl w:ilvl="0" w:tplc="0C0A000F">
      <w:start w:val="1"/>
      <w:numFmt w:val="decimal"/>
      <w:lvlText w:val="%1."/>
      <w:lvlJc w:val="left"/>
      <w:pPr>
        <w:ind w:left="720" w:hanging="360"/>
      </w:pPr>
      <w:rPr>
        <w:rFonts w:hint="default"/>
      </w:rPr>
    </w:lvl>
    <w:lvl w:ilvl="1" w:tplc="F4EA5E58">
      <w:numFmt w:val="bullet"/>
      <w:lvlText w:val="-"/>
      <w:lvlJc w:val="left"/>
      <w:pPr>
        <w:ind w:left="1440" w:hanging="360"/>
      </w:pPr>
      <w:rPr>
        <w:rFonts w:ascii="Times New Roman" w:eastAsiaTheme="minorHAnsi" w:hAnsi="Times New Roman" w:cs="Times New Roman"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nsid w:val="6AA870FB"/>
    <w:multiLevelType w:val="hybridMultilevel"/>
    <w:tmpl w:val="1C0A0828"/>
    <w:lvl w:ilvl="0" w:tplc="0C0A0017">
      <w:start w:val="1"/>
      <w:numFmt w:val="lowerLetter"/>
      <w:lvlText w:val="%1)"/>
      <w:lvlJc w:val="left"/>
      <w:pPr>
        <w:ind w:left="1068" w:hanging="360"/>
      </w:pPr>
      <w:rPr>
        <w:rFonts w:hint="default"/>
      </w:rPr>
    </w:lvl>
    <w:lvl w:ilvl="1" w:tplc="0C0A0019" w:tentative="1">
      <w:start w:val="1"/>
      <w:numFmt w:val="lowerLetter"/>
      <w:lvlText w:val="%2."/>
      <w:lvlJc w:val="left"/>
      <w:pPr>
        <w:ind w:left="1788" w:hanging="360"/>
      </w:pPr>
    </w:lvl>
    <w:lvl w:ilvl="2" w:tplc="0C0A001B" w:tentative="1">
      <w:start w:val="1"/>
      <w:numFmt w:val="lowerRoman"/>
      <w:lvlText w:val="%3."/>
      <w:lvlJc w:val="right"/>
      <w:pPr>
        <w:ind w:left="2508" w:hanging="180"/>
      </w:pPr>
    </w:lvl>
    <w:lvl w:ilvl="3" w:tplc="0C0A000F" w:tentative="1">
      <w:start w:val="1"/>
      <w:numFmt w:val="decimal"/>
      <w:lvlText w:val="%4."/>
      <w:lvlJc w:val="left"/>
      <w:pPr>
        <w:ind w:left="3228" w:hanging="360"/>
      </w:pPr>
    </w:lvl>
    <w:lvl w:ilvl="4" w:tplc="0C0A0019" w:tentative="1">
      <w:start w:val="1"/>
      <w:numFmt w:val="lowerLetter"/>
      <w:lvlText w:val="%5."/>
      <w:lvlJc w:val="left"/>
      <w:pPr>
        <w:ind w:left="3948" w:hanging="360"/>
      </w:pPr>
    </w:lvl>
    <w:lvl w:ilvl="5" w:tplc="0C0A001B" w:tentative="1">
      <w:start w:val="1"/>
      <w:numFmt w:val="lowerRoman"/>
      <w:lvlText w:val="%6."/>
      <w:lvlJc w:val="right"/>
      <w:pPr>
        <w:ind w:left="4668" w:hanging="180"/>
      </w:pPr>
    </w:lvl>
    <w:lvl w:ilvl="6" w:tplc="0C0A000F" w:tentative="1">
      <w:start w:val="1"/>
      <w:numFmt w:val="decimal"/>
      <w:lvlText w:val="%7."/>
      <w:lvlJc w:val="left"/>
      <w:pPr>
        <w:ind w:left="5388" w:hanging="360"/>
      </w:pPr>
    </w:lvl>
    <w:lvl w:ilvl="7" w:tplc="0C0A0019" w:tentative="1">
      <w:start w:val="1"/>
      <w:numFmt w:val="lowerLetter"/>
      <w:lvlText w:val="%8."/>
      <w:lvlJc w:val="left"/>
      <w:pPr>
        <w:ind w:left="6108" w:hanging="360"/>
      </w:pPr>
    </w:lvl>
    <w:lvl w:ilvl="8" w:tplc="0C0A001B" w:tentative="1">
      <w:start w:val="1"/>
      <w:numFmt w:val="lowerRoman"/>
      <w:lvlText w:val="%9."/>
      <w:lvlJc w:val="right"/>
      <w:pPr>
        <w:ind w:left="6828" w:hanging="180"/>
      </w:pPr>
    </w:lvl>
  </w:abstractNum>
  <w:abstractNum w:abstractNumId="12">
    <w:nsid w:val="77DF684A"/>
    <w:multiLevelType w:val="hybridMultilevel"/>
    <w:tmpl w:val="E004AB58"/>
    <w:lvl w:ilvl="0" w:tplc="AA90CB6E">
      <w:start w:val="1"/>
      <w:numFmt w:val="lowerLetter"/>
      <w:lvlText w:val="%1)"/>
      <w:lvlJc w:val="left"/>
      <w:pPr>
        <w:ind w:left="786" w:hanging="360"/>
      </w:pPr>
      <w:rPr>
        <w:rFonts w:hint="default"/>
      </w:rPr>
    </w:lvl>
    <w:lvl w:ilvl="1" w:tplc="0C0A0019" w:tentative="1">
      <w:start w:val="1"/>
      <w:numFmt w:val="lowerLetter"/>
      <w:lvlText w:val="%2."/>
      <w:lvlJc w:val="left"/>
      <w:pPr>
        <w:ind w:left="1506" w:hanging="360"/>
      </w:pPr>
    </w:lvl>
    <w:lvl w:ilvl="2" w:tplc="0C0A001B" w:tentative="1">
      <w:start w:val="1"/>
      <w:numFmt w:val="lowerRoman"/>
      <w:lvlText w:val="%3."/>
      <w:lvlJc w:val="right"/>
      <w:pPr>
        <w:ind w:left="2226" w:hanging="180"/>
      </w:pPr>
    </w:lvl>
    <w:lvl w:ilvl="3" w:tplc="0C0A000F" w:tentative="1">
      <w:start w:val="1"/>
      <w:numFmt w:val="decimal"/>
      <w:lvlText w:val="%4."/>
      <w:lvlJc w:val="left"/>
      <w:pPr>
        <w:ind w:left="2946" w:hanging="360"/>
      </w:pPr>
    </w:lvl>
    <w:lvl w:ilvl="4" w:tplc="0C0A0019" w:tentative="1">
      <w:start w:val="1"/>
      <w:numFmt w:val="lowerLetter"/>
      <w:lvlText w:val="%5."/>
      <w:lvlJc w:val="left"/>
      <w:pPr>
        <w:ind w:left="3666" w:hanging="360"/>
      </w:pPr>
    </w:lvl>
    <w:lvl w:ilvl="5" w:tplc="0C0A001B" w:tentative="1">
      <w:start w:val="1"/>
      <w:numFmt w:val="lowerRoman"/>
      <w:lvlText w:val="%6."/>
      <w:lvlJc w:val="right"/>
      <w:pPr>
        <w:ind w:left="4386" w:hanging="180"/>
      </w:pPr>
    </w:lvl>
    <w:lvl w:ilvl="6" w:tplc="0C0A000F" w:tentative="1">
      <w:start w:val="1"/>
      <w:numFmt w:val="decimal"/>
      <w:lvlText w:val="%7."/>
      <w:lvlJc w:val="left"/>
      <w:pPr>
        <w:ind w:left="5106" w:hanging="360"/>
      </w:pPr>
    </w:lvl>
    <w:lvl w:ilvl="7" w:tplc="0C0A0019" w:tentative="1">
      <w:start w:val="1"/>
      <w:numFmt w:val="lowerLetter"/>
      <w:lvlText w:val="%8."/>
      <w:lvlJc w:val="left"/>
      <w:pPr>
        <w:ind w:left="5826" w:hanging="360"/>
      </w:pPr>
    </w:lvl>
    <w:lvl w:ilvl="8" w:tplc="0C0A001B" w:tentative="1">
      <w:start w:val="1"/>
      <w:numFmt w:val="lowerRoman"/>
      <w:lvlText w:val="%9."/>
      <w:lvlJc w:val="right"/>
      <w:pPr>
        <w:ind w:left="6546" w:hanging="180"/>
      </w:pPr>
    </w:lvl>
  </w:abstractNum>
  <w:abstractNum w:abstractNumId="13">
    <w:nsid w:val="7DA60B57"/>
    <w:multiLevelType w:val="hybridMultilevel"/>
    <w:tmpl w:val="4E9C2784"/>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num w:numId="1">
    <w:abstractNumId w:val="8"/>
  </w:num>
  <w:num w:numId="2">
    <w:abstractNumId w:val="2"/>
  </w:num>
  <w:num w:numId="3">
    <w:abstractNumId w:val="5"/>
  </w:num>
  <w:num w:numId="4">
    <w:abstractNumId w:val="3"/>
  </w:num>
  <w:num w:numId="5">
    <w:abstractNumId w:val="11"/>
  </w:num>
  <w:num w:numId="6">
    <w:abstractNumId w:val="12"/>
  </w:num>
  <w:num w:numId="7">
    <w:abstractNumId w:val="1"/>
  </w:num>
  <w:num w:numId="8">
    <w:abstractNumId w:val="9"/>
  </w:num>
  <w:num w:numId="9">
    <w:abstractNumId w:val="7"/>
  </w:num>
  <w:num w:numId="10">
    <w:abstractNumId w:val="10"/>
  </w:num>
  <w:num w:numId="11">
    <w:abstractNumId w:val="0"/>
  </w:num>
  <w:num w:numId="12">
    <w:abstractNumId w:val="6"/>
  </w:num>
  <w:num w:numId="13">
    <w:abstractNumId w:val="4"/>
  </w:num>
  <w:num w:numId="14">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4E07"/>
    <w:rsid w:val="00000049"/>
    <w:rsid w:val="00004359"/>
    <w:rsid w:val="00011E3F"/>
    <w:rsid w:val="00015238"/>
    <w:rsid w:val="00015986"/>
    <w:rsid w:val="00016033"/>
    <w:rsid w:val="000164AE"/>
    <w:rsid w:val="00020D3E"/>
    <w:rsid w:val="00020F66"/>
    <w:rsid w:val="00022609"/>
    <w:rsid w:val="0002628B"/>
    <w:rsid w:val="00030637"/>
    <w:rsid w:val="00032542"/>
    <w:rsid w:val="00034930"/>
    <w:rsid w:val="000355BB"/>
    <w:rsid w:val="00041920"/>
    <w:rsid w:val="0004434C"/>
    <w:rsid w:val="000454F3"/>
    <w:rsid w:val="00045775"/>
    <w:rsid w:val="000544B9"/>
    <w:rsid w:val="000565BD"/>
    <w:rsid w:val="00063166"/>
    <w:rsid w:val="00067D79"/>
    <w:rsid w:val="00092F1A"/>
    <w:rsid w:val="000A2BEA"/>
    <w:rsid w:val="000A65CF"/>
    <w:rsid w:val="000A7831"/>
    <w:rsid w:val="000B010A"/>
    <w:rsid w:val="000B080F"/>
    <w:rsid w:val="000B4C4B"/>
    <w:rsid w:val="000B6B22"/>
    <w:rsid w:val="000C4AF7"/>
    <w:rsid w:val="000C76C9"/>
    <w:rsid w:val="000D04D8"/>
    <w:rsid w:val="000D13DC"/>
    <w:rsid w:val="000D77F3"/>
    <w:rsid w:val="000E1108"/>
    <w:rsid w:val="000E13BA"/>
    <w:rsid w:val="000E359E"/>
    <w:rsid w:val="000E4AF6"/>
    <w:rsid w:val="000F1FE5"/>
    <w:rsid w:val="000F5FB4"/>
    <w:rsid w:val="00102B5F"/>
    <w:rsid w:val="001078B0"/>
    <w:rsid w:val="00121D5E"/>
    <w:rsid w:val="00122A40"/>
    <w:rsid w:val="00124C49"/>
    <w:rsid w:val="00126335"/>
    <w:rsid w:val="00126F7D"/>
    <w:rsid w:val="00132ACF"/>
    <w:rsid w:val="00137DCC"/>
    <w:rsid w:val="00141477"/>
    <w:rsid w:val="001429E6"/>
    <w:rsid w:val="00146FD7"/>
    <w:rsid w:val="0015121E"/>
    <w:rsid w:val="00153965"/>
    <w:rsid w:val="00163DA2"/>
    <w:rsid w:val="001662DF"/>
    <w:rsid w:val="00167A7C"/>
    <w:rsid w:val="0017177C"/>
    <w:rsid w:val="00176029"/>
    <w:rsid w:val="00180B12"/>
    <w:rsid w:val="00181AF8"/>
    <w:rsid w:val="00190335"/>
    <w:rsid w:val="001916BC"/>
    <w:rsid w:val="00195871"/>
    <w:rsid w:val="00195D30"/>
    <w:rsid w:val="001A3BA2"/>
    <w:rsid w:val="001A40D0"/>
    <w:rsid w:val="001A4C60"/>
    <w:rsid w:val="001A5A20"/>
    <w:rsid w:val="001B0AA7"/>
    <w:rsid w:val="001B2A9E"/>
    <w:rsid w:val="001B461D"/>
    <w:rsid w:val="001B4773"/>
    <w:rsid w:val="001B5950"/>
    <w:rsid w:val="001C5934"/>
    <w:rsid w:val="001D0FD2"/>
    <w:rsid w:val="001D2D01"/>
    <w:rsid w:val="001D58AC"/>
    <w:rsid w:val="001D794D"/>
    <w:rsid w:val="001E1C51"/>
    <w:rsid w:val="001E2F59"/>
    <w:rsid w:val="001E60F0"/>
    <w:rsid w:val="001F4BB9"/>
    <w:rsid w:val="002004E8"/>
    <w:rsid w:val="00200714"/>
    <w:rsid w:val="00206706"/>
    <w:rsid w:val="00210447"/>
    <w:rsid w:val="002157A5"/>
    <w:rsid w:val="00221540"/>
    <w:rsid w:val="00221FDD"/>
    <w:rsid w:val="0022677A"/>
    <w:rsid w:val="00226844"/>
    <w:rsid w:val="0023102F"/>
    <w:rsid w:val="00237177"/>
    <w:rsid w:val="0024053D"/>
    <w:rsid w:val="00241024"/>
    <w:rsid w:val="00242C89"/>
    <w:rsid w:val="00245C4A"/>
    <w:rsid w:val="00251969"/>
    <w:rsid w:val="00253C6A"/>
    <w:rsid w:val="0026301C"/>
    <w:rsid w:val="0026706E"/>
    <w:rsid w:val="00276A28"/>
    <w:rsid w:val="00292000"/>
    <w:rsid w:val="0029423B"/>
    <w:rsid w:val="00294874"/>
    <w:rsid w:val="002A09D1"/>
    <w:rsid w:val="002A2B2B"/>
    <w:rsid w:val="002A4D16"/>
    <w:rsid w:val="002A4D36"/>
    <w:rsid w:val="002A50FC"/>
    <w:rsid w:val="002A5B9F"/>
    <w:rsid w:val="002B2967"/>
    <w:rsid w:val="002B2D43"/>
    <w:rsid w:val="002B2EA8"/>
    <w:rsid w:val="002B3D56"/>
    <w:rsid w:val="002B5E1F"/>
    <w:rsid w:val="002B6395"/>
    <w:rsid w:val="002B690B"/>
    <w:rsid w:val="002B7FB6"/>
    <w:rsid w:val="002C35A7"/>
    <w:rsid w:val="002C5733"/>
    <w:rsid w:val="002E1A1C"/>
    <w:rsid w:val="002E352C"/>
    <w:rsid w:val="002E44A6"/>
    <w:rsid w:val="002E5776"/>
    <w:rsid w:val="002E6F5B"/>
    <w:rsid w:val="002F2653"/>
    <w:rsid w:val="002F42C5"/>
    <w:rsid w:val="002F4990"/>
    <w:rsid w:val="002F79E8"/>
    <w:rsid w:val="0030086B"/>
    <w:rsid w:val="00304D3D"/>
    <w:rsid w:val="003062B8"/>
    <w:rsid w:val="003070B2"/>
    <w:rsid w:val="003148ED"/>
    <w:rsid w:val="0031668E"/>
    <w:rsid w:val="00323183"/>
    <w:rsid w:val="00324E2A"/>
    <w:rsid w:val="00325F2E"/>
    <w:rsid w:val="003273C1"/>
    <w:rsid w:val="00331BE0"/>
    <w:rsid w:val="00342AA7"/>
    <w:rsid w:val="00344470"/>
    <w:rsid w:val="0034627B"/>
    <w:rsid w:val="00346B10"/>
    <w:rsid w:val="00352E64"/>
    <w:rsid w:val="003540A0"/>
    <w:rsid w:val="00357057"/>
    <w:rsid w:val="00362BA7"/>
    <w:rsid w:val="003723B4"/>
    <w:rsid w:val="00374D4D"/>
    <w:rsid w:val="0037627C"/>
    <w:rsid w:val="00377ED5"/>
    <w:rsid w:val="00396030"/>
    <w:rsid w:val="0039774E"/>
    <w:rsid w:val="003A2AC1"/>
    <w:rsid w:val="003A2BF3"/>
    <w:rsid w:val="003A7608"/>
    <w:rsid w:val="003B0ECF"/>
    <w:rsid w:val="003B1103"/>
    <w:rsid w:val="003B1CE4"/>
    <w:rsid w:val="003B3DA8"/>
    <w:rsid w:val="003B5F04"/>
    <w:rsid w:val="003B7B6E"/>
    <w:rsid w:val="003C5CB2"/>
    <w:rsid w:val="003C7AB4"/>
    <w:rsid w:val="003D3234"/>
    <w:rsid w:val="003E1047"/>
    <w:rsid w:val="003E1D0D"/>
    <w:rsid w:val="003E34DA"/>
    <w:rsid w:val="003F06EC"/>
    <w:rsid w:val="003F0B12"/>
    <w:rsid w:val="0040040D"/>
    <w:rsid w:val="0040077D"/>
    <w:rsid w:val="00402B6C"/>
    <w:rsid w:val="00404072"/>
    <w:rsid w:val="00405E19"/>
    <w:rsid w:val="004151D9"/>
    <w:rsid w:val="00420928"/>
    <w:rsid w:val="00422DB5"/>
    <w:rsid w:val="004234D7"/>
    <w:rsid w:val="0042369B"/>
    <w:rsid w:val="00425542"/>
    <w:rsid w:val="00434E34"/>
    <w:rsid w:val="004373F2"/>
    <w:rsid w:val="004415F1"/>
    <w:rsid w:val="0044526D"/>
    <w:rsid w:val="004461E9"/>
    <w:rsid w:val="0044674D"/>
    <w:rsid w:val="00450799"/>
    <w:rsid w:val="004512A4"/>
    <w:rsid w:val="004642E2"/>
    <w:rsid w:val="0046530E"/>
    <w:rsid w:val="00472A64"/>
    <w:rsid w:val="00473D7C"/>
    <w:rsid w:val="00475853"/>
    <w:rsid w:val="0048230C"/>
    <w:rsid w:val="00483117"/>
    <w:rsid w:val="00483F01"/>
    <w:rsid w:val="00484AA7"/>
    <w:rsid w:val="00490F3D"/>
    <w:rsid w:val="004947C5"/>
    <w:rsid w:val="0049569B"/>
    <w:rsid w:val="004A32A3"/>
    <w:rsid w:val="004A539B"/>
    <w:rsid w:val="004A601D"/>
    <w:rsid w:val="004A6AD4"/>
    <w:rsid w:val="004B0997"/>
    <w:rsid w:val="004B5D85"/>
    <w:rsid w:val="004C1FA9"/>
    <w:rsid w:val="004C4DFB"/>
    <w:rsid w:val="004C6403"/>
    <w:rsid w:val="004D2EA7"/>
    <w:rsid w:val="004D46D3"/>
    <w:rsid w:val="004D6592"/>
    <w:rsid w:val="004E3DDF"/>
    <w:rsid w:val="004E54AA"/>
    <w:rsid w:val="004E6F8F"/>
    <w:rsid w:val="004E7CC9"/>
    <w:rsid w:val="004F0371"/>
    <w:rsid w:val="004F0B5B"/>
    <w:rsid w:val="004F7803"/>
    <w:rsid w:val="00502F3D"/>
    <w:rsid w:val="00510EAB"/>
    <w:rsid w:val="00511631"/>
    <w:rsid w:val="00511C6B"/>
    <w:rsid w:val="00511F70"/>
    <w:rsid w:val="005120BB"/>
    <w:rsid w:val="00521F90"/>
    <w:rsid w:val="0052377A"/>
    <w:rsid w:val="005254B2"/>
    <w:rsid w:val="005307DE"/>
    <w:rsid w:val="005352D4"/>
    <w:rsid w:val="005371F1"/>
    <w:rsid w:val="00537449"/>
    <w:rsid w:val="005379D1"/>
    <w:rsid w:val="00540B1E"/>
    <w:rsid w:val="0054307D"/>
    <w:rsid w:val="005441C9"/>
    <w:rsid w:val="00547D5B"/>
    <w:rsid w:val="0055198D"/>
    <w:rsid w:val="005519EC"/>
    <w:rsid w:val="00553BD9"/>
    <w:rsid w:val="00554394"/>
    <w:rsid w:val="00554E23"/>
    <w:rsid w:val="00556396"/>
    <w:rsid w:val="00556FB6"/>
    <w:rsid w:val="005611AD"/>
    <w:rsid w:val="005651BE"/>
    <w:rsid w:val="0057090A"/>
    <w:rsid w:val="005746A5"/>
    <w:rsid w:val="00574E5A"/>
    <w:rsid w:val="00576FC5"/>
    <w:rsid w:val="005811FE"/>
    <w:rsid w:val="005833E5"/>
    <w:rsid w:val="00583AD7"/>
    <w:rsid w:val="00587620"/>
    <w:rsid w:val="00595CBA"/>
    <w:rsid w:val="005A0DA2"/>
    <w:rsid w:val="005B6151"/>
    <w:rsid w:val="005B664D"/>
    <w:rsid w:val="005B6A99"/>
    <w:rsid w:val="005B7147"/>
    <w:rsid w:val="005C0386"/>
    <w:rsid w:val="005C38E5"/>
    <w:rsid w:val="005D621B"/>
    <w:rsid w:val="005D7211"/>
    <w:rsid w:val="005E1DEE"/>
    <w:rsid w:val="005E22C2"/>
    <w:rsid w:val="005E2B90"/>
    <w:rsid w:val="005E794C"/>
    <w:rsid w:val="005F11A4"/>
    <w:rsid w:val="005F4141"/>
    <w:rsid w:val="005F7A01"/>
    <w:rsid w:val="005F7BA7"/>
    <w:rsid w:val="00603C1C"/>
    <w:rsid w:val="006079E4"/>
    <w:rsid w:val="00607EA3"/>
    <w:rsid w:val="00615EC5"/>
    <w:rsid w:val="00616FE7"/>
    <w:rsid w:val="00626031"/>
    <w:rsid w:val="006262F8"/>
    <w:rsid w:val="00630CB6"/>
    <w:rsid w:val="0063207F"/>
    <w:rsid w:val="006425DE"/>
    <w:rsid w:val="00642D23"/>
    <w:rsid w:val="00643066"/>
    <w:rsid w:val="00646BBE"/>
    <w:rsid w:val="00652249"/>
    <w:rsid w:val="00661157"/>
    <w:rsid w:val="00662340"/>
    <w:rsid w:val="006676D4"/>
    <w:rsid w:val="00672081"/>
    <w:rsid w:val="00677C2E"/>
    <w:rsid w:val="006819B6"/>
    <w:rsid w:val="00683510"/>
    <w:rsid w:val="00684FBE"/>
    <w:rsid w:val="00686C77"/>
    <w:rsid w:val="00693318"/>
    <w:rsid w:val="006A0F8E"/>
    <w:rsid w:val="006A4129"/>
    <w:rsid w:val="006A44EA"/>
    <w:rsid w:val="006A65AC"/>
    <w:rsid w:val="006A6C15"/>
    <w:rsid w:val="006A7D5A"/>
    <w:rsid w:val="006B0877"/>
    <w:rsid w:val="006B4F69"/>
    <w:rsid w:val="006B7B3D"/>
    <w:rsid w:val="006C004D"/>
    <w:rsid w:val="006C062D"/>
    <w:rsid w:val="006C719C"/>
    <w:rsid w:val="006D375E"/>
    <w:rsid w:val="006D77BA"/>
    <w:rsid w:val="006E3A2A"/>
    <w:rsid w:val="006E5484"/>
    <w:rsid w:val="006E6561"/>
    <w:rsid w:val="006F195C"/>
    <w:rsid w:val="006F749B"/>
    <w:rsid w:val="007025C4"/>
    <w:rsid w:val="00704509"/>
    <w:rsid w:val="00705F99"/>
    <w:rsid w:val="0071015B"/>
    <w:rsid w:val="0071067A"/>
    <w:rsid w:val="00710B6A"/>
    <w:rsid w:val="0071660F"/>
    <w:rsid w:val="00734D6D"/>
    <w:rsid w:val="00740AB1"/>
    <w:rsid w:val="00746C87"/>
    <w:rsid w:val="007544F6"/>
    <w:rsid w:val="00763196"/>
    <w:rsid w:val="0076343E"/>
    <w:rsid w:val="0076490E"/>
    <w:rsid w:val="00773164"/>
    <w:rsid w:val="007731C5"/>
    <w:rsid w:val="0078604E"/>
    <w:rsid w:val="0079038A"/>
    <w:rsid w:val="00792E2C"/>
    <w:rsid w:val="0079332C"/>
    <w:rsid w:val="007957E1"/>
    <w:rsid w:val="007A0028"/>
    <w:rsid w:val="007A51C3"/>
    <w:rsid w:val="007B05A9"/>
    <w:rsid w:val="007B1C3B"/>
    <w:rsid w:val="007B6B17"/>
    <w:rsid w:val="007C01F4"/>
    <w:rsid w:val="007C5BFF"/>
    <w:rsid w:val="007C7D20"/>
    <w:rsid w:val="007C7DA6"/>
    <w:rsid w:val="007D20AC"/>
    <w:rsid w:val="007D52D8"/>
    <w:rsid w:val="007D77E4"/>
    <w:rsid w:val="007E6727"/>
    <w:rsid w:val="007E6776"/>
    <w:rsid w:val="007F7049"/>
    <w:rsid w:val="00804B9A"/>
    <w:rsid w:val="00805B6A"/>
    <w:rsid w:val="00810111"/>
    <w:rsid w:val="00813A2D"/>
    <w:rsid w:val="00814832"/>
    <w:rsid w:val="00814EFA"/>
    <w:rsid w:val="0081597A"/>
    <w:rsid w:val="00820154"/>
    <w:rsid w:val="00822657"/>
    <w:rsid w:val="0082378A"/>
    <w:rsid w:val="00824E4C"/>
    <w:rsid w:val="008414F8"/>
    <w:rsid w:val="0084181A"/>
    <w:rsid w:val="008545D9"/>
    <w:rsid w:val="00855F04"/>
    <w:rsid w:val="00856747"/>
    <w:rsid w:val="00857034"/>
    <w:rsid w:val="00857227"/>
    <w:rsid w:val="00860EC3"/>
    <w:rsid w:val="008658FC"/>
    <w:rsid w:val="00867FA4"/>
    <w:rsid w:val="00872169"/>
    <w:rsid w:val="008726F3"/>
    <w:rsid w:val="008846D5"/>
    <w:rsid w:val="00895F92"/>
    <w:rsid w:val="008A596D"/>
    <w:rsid w:val="008A7B85"/>
    <w:rsid w:val="008B3F3B"/>
    <w:rsid w:val="008B5A96"/>
    <w:rsid w:val="008C00A2"/>
    <w:rsid w:val="008D7862"/>
    <w:rsid w:val="008D798C"/>
    <w:rsid w:val="008E4832"/>
    <w:rsid w:val="008F6564"/>
    <w:rsid w:val="00904ED2"/>
    <w:rsid w:val="0090634E"/>
    <w:rsid w:val="00910FFB"/>
    <w:rsid w:val="00912B45"/>
    <w:rsid w:val="009170D2"/>
    <w:rsid w:val="00920CC2"/>
    <w:rsid w:val="00921202"/>
    <w:rsid w:val="00921A3D"/>
    <w:rsid w:val="00922DE3"/>
    <w:rsid w:val="00923567"/>
    <w:rsid w:val="009250B9"/>
    <w:rsid w:val="009318E8"/>
    <w:rsid w:val="00934BA5"/>
    <w:rsid w:val="009361BD"/>
    <w:rsid w:val="00941F13"/>
    <w:rsid w:val="00942FDA"/>
    <w:rsid w:val="00946473"/>
    <w:rsid w:val="0095409E"/>
    <w:rsid w:val="00962A6F"/>
    <w:rsid w:val="0096610D"/>
    <w:rsid w:val="0097088F"/>
    <w:rsid w:val="00977AD6"/>
    <w:rsid w:val="0098377B"/>
    <w:rsid w:val="0099003B"/>
    <w:rsid w:val="009973DB"/>
    <w:rsid w:val="009A37D9"/>
    <w:rsid w:val="009A3EFE"/>
    <w:rsid w:val="009A7533"/>
    <w:rsid w:val="009B1A2F"/>
    <w:rsid w:val="009C23C8"/>
    <w:rsid w:val="009C24D6"/>
    <w:rsid w:val="009C5C26"/>
    <w:rsid w:val="009D0BC9"/>
    <w:rsid w:val="009D2C17"/>
    <w:rsid w:val="009E2638"/>
    <w:rsid w:val="009E6962"/>
    <w:rsid w:val="009E7325"/>
    <w:rsid w:val="009F131B"/>
    <w:rsid w:val="009F1911"/>
    <w:rsid w:val="009F1A9B"/>
    <w:rsid w:val="009F1E9C"/>
    <w:rsid w:val="009F5960"/>
    <w:rsid w:val="00A0010B"/>
    <w:rsid w:val="00A01D2E"/>
    <w:rsid w:val="00A145AE"/>
    <w:rsid w:val="00A14CBD"/>
    <w:rsid w:val="00A1601F"/>
    <w:rsid w:val="00A1695B"/>
    <w:rsid w:val="00A17DC8"/>
    <w:rsid w:val="00A22029"/>
    <w:rsid w:val="00A23237"/>
    <w:rsid w:val="00A250BC"/>
    <w:rsid w:val="00A309F7"/>
    <w:rsid w:val="00A315F4"/>
    <w:rsid w:val="00A4154C"/>
    <w:rsid w:val="00A4188C"/>
    <w:rsid w:val="00A424A4"/>
    <w:rsid w:val="00A431B8"/>
    <w:rsid w:val="00A43AFF"/>
    <w:rsid w:val="00A51A3F"/>
    <w:rsid w:val="00A51C36"/>
    <w:rsid w:val="00A52574"/>
    <w:rsid w:val="00A52766"/>
    <w:rsid w:val="00A553ED"/>
    <w:rsid w:val="00A56A0E"/>
    <w:rsid w:val="00A619BB"/>
    <w:rsid w:val="00A62035"/>
    <w:rsid w:val="00A66AB9"/>
    <w:rsid w:val="00A76ED1"/>
    <w:rsid w:val="00A8007B"/>
    <w:rsid w:val="00A8153F"/>
    <w:rsid w:val="00A816DF"/>
    <w:rsid w:val="00A8282C"/>
    <w:rsid w:val="00A85945"/>
    <w:rsid w:val="00A8795C"/>
    <w:rsid w:val="00A92093"/>
    <w:rsid w:val="00A946EC"/>
    <w:rsid w:val="00A9646A"/>
    <w:rsid w:val="00A966DA"/>
    <w:rsid w:val="00AA1737"/>
    <w:rsid w:val="00AA1F40"/>
    <w:rsid w:val="00AA740C"/>
    <w:rsid w:val="00AA7DA4"/>
    <w:rsid w:val="00AB4996"/>
    <w:rsid w:val="00AB6B48"/>
    <w:rsid w:val="00AC00A6"/>
    <w:rsid w:val="00AC0DE7"/>
    <w:rsid w:val="00AC38EE"/>
    <w:rsid w:val="00AC507E"/>
    <w:rsid w:val="00AC74EC"/>
    <w:rsid w:val="00AD1DE7"/>
    <w:rsid w:val="00AD463E"/>
    <w:rsid w:val="00AD5328"/>
    <w:rsid w:val="00AD6D18"/>
    <w:rsid w:val="00AE3501"/>
    <w:rsid w:val="00AE3E1E"/>
    <w:rsid w:val="00AE58BF"/>
    <w:rsid w:val="00B014CA"/>
    <w:rsid w:val="00B030E1"/>
    <w:rsid w:val="00B071EC"/>
    <w:rsid w:val="00B10135"/>
    <w:rsid w:val="00B106B3"/>
    <w:rsid w:val="00B17E22"/>
    <w:rsid w:val="00B204C4"/>
    <w:rsid w:val="00B20B87"/>
    <w:rsid w:val="00B2327F"/>
    <w:rsid w:val="00B26BD5"/>
    <w:rsid w:val="00B35C61"/>
    <w:rsid w:val="00B4037F"/>
    <w:rsid w:val="00B407AC"/>
    <w:rsid w:val="00B42174"/>
    <w:rsid w:val="00B430F8"/>
    <w:rsid w:val="00B46A0C"/>
    <w:rsid w:val="00B6217F"/>
    <w:rsid w:val="00B802F6"/>
    <w:rsid w:val="00B81FAA"/>
    <w:rsid w:val="00B82421"/>
    <w:rsid w:val="00B834AC"/>
    <w:rsid w:val="00B8487E"/>
    <w:rsid w:val="00B84B55"/>
    <w:rsid w:val="00B84CAD"/>
    <w:rsid w:val="00B87980"/>
    <w:rsid w:val="00B91CB3"/>
    <w:rsid w:val="00B93CF2"/>
    <w:rsid w:val="00B9701C"/>
    <w:rsid w:val="00BA3196"/>
    <w:rsid w:val="00BA48B3"/>
    <w:rsid w:val="00BA5900"/>
    <w:rsid w:val="00BA7FEE"/>
    <w:rsid w:val="00BB16B8"/>
    <w:rsid w:val="00BB5D9B"/>
    <w:rsid w:val="00BC1708"/>
    <w:rsid w:val="00BC3D24"/>
    <w:rsid w:val="00BD0334"/>
    <w:rsid w:val="00BD1CC0"/>
    <w:rsid w:val="00BD5CA8"/>
    <w:rsid w:val="00BE40C1"/>
    <w:rsid w:val="00BE4B69"/>
    <w:rsid w:val="00BE61AE"/>
    <w:rsid w:val="00BF01F1"/>
    <w:rsid w:val="00BF55E5"/>
    <w:rsid w:val="00BF612F"/>
    <w:rsid w:val="00BF7C53"/>
    <w:rsid w:val="00C14F0E"/>
    <w:rsid w:val="00C153D1"/>
    <w:rsid w:val="00C21C23"/>
    <w:rsid w:val="00C33A8A"/>
    <w:rsid w:val="00C34EAF"/>
    <w:rsid w:val="00C50C99"/>
    <w:rsid w:val="00C54EC9"/>
    <w:rsid w:val="00C56670"/>
    <w:rsid w:val="00C606CB"/>
    <w:rsid w:val="00C644B2"/>
    <w:rsid w:val="00C672F4"/>
    <w:rsid w:val="00C7216E"/>
    <w:rsid w:val="00C77603"/>
    <w:rsid w:val="00C84037"/>
    <w:rsid w:val="00C874C8"/>
    <w:rsid w:val="00C92959"/>
    <w:rsid w:val="00C9603D"/>
    <w:rsid w:val="00CA1106"/>
    <w:rsid w:val="00CA1DCB"/>
    <w:rsid w:val="00CA48DE"/>
    <w:rsid w:val="00CC0EA9"/>
    <w:rsid w:val="00CC3C82"/>
    <w:rsid w:val="00CC431A"/>
    <w:rsid w:val="00CC5752"/>
    <w:rsid w:val="00CC5D19"/>
    <w:rsid w:val="00CC753D"/>
    <w:rsid w:val="00CD0AFD"/>
    <w:rsid w:val="00CD3D94"/>
    <w:rsid w:val="00CE22CC"/>
    <w:rsid w:val="00CF3CDD"/>
    <w:rsid w:val="00CF452F"/>
    <w:rsid w:val="00D0206A"/>
    <w:rsid w:val="00D0399C"/>
    <w:rsid w:val="00D10736"/>
    <w:rsid w:val="00D14A34"/>
    <w:rsid w:val="00D16DC0"/>
    <w:rsid w:val="00D21680"/>
    <w:rsid w:val="00D22BED"/>
    <w:rsid w:val="00D2433F"/>
    <w:rsid w:val="00D30D82"/>
    <w:rsid w:val="00D313FD"/>
    <w:rsid w:val="00D32CFE"/>
    <w:rsid w:val="00D32EC5"/>
    <w:rsid w:val="00D33F5A"/>
    <w:rsid w:val="00D34187"/>
    <w:rsid w:val="00D46199"/>
    <w:rsid w:val="00D5135F"/>
    <w:rsid w:val="00D53461"/>
    <w:rsid w:val="00D53F3D"/>
    <w:rsid w:val="00D63EB1"/>
    <w:rsid w:val="00D64ECA"/>
    <w:rsid w:val="00D65AFC"/>
    <w:rsid w:val="00D733B8"/>
    <w:rsid w:val="00D77F06"/>
    <w:rsid w:val="00D8401F"/>
    <w:rsid w:val="00D84FAE"/>
    <w:rsid w:val="00D91D49"/>
    <w:rsid w:val="00DA07D1"/>
    <w:rsid w:val="00DA2992"/>
    <w:rsid w:val="00DB0122"/>
    <w:rsid w:val="00DB0A2A"/>
    <w:rsid w:val="00DB0D1F"/>
    <w:rsid w:val="00DB1B01"/>
    <w:rsid w:val="00DB2028"/>
    <w:rsid w:val="00DB286D"/>
    <w:rsid w:val="00DB2C1D"/>
    <w:rsid w:val="00DB357F"/>
    <w:rsid w:val="00DB4E07"/>
    <w:rsid w:val="00DB5122"/>
    <w:rsid w:val="00DB6D20"/>
    <w:rsid w:val="00DC2625"/>
    <w:rsid w:val="00DC514B"/>
    <w:rsid w:val="00DD6E88"/>
    <w:rsid w:val="00DF2870"/>
    <w:rsid w:val="00DF3379"/>
    <w:rsid w:val="00DF7280"/>
    <w:rsid w:val="00E00DBD"/>
    <w:rsid w:val="00E076AE"/>
    <w:rsid w:val="00E11B6E"/>
    <w:rsid w:val="00E12112"/>
    <w:rsid w:val="00E15406"/>
    <w:rsid w:val="00E15E49"/>
    <w:rsid w:val="00E20A90"/>
    <w:rsid w:val="00E22DAB"/>
    <w:rsid w:val="00E2331A"/>
    <w:rsid w:val="00E25188"/>
    <w:rsid w:val="00E27E08"/>
    <w:rsid w:val="00E52316"/>
    <w:rsid w:val="00E54072"/>
    <w:rsid w:val="00E57A78"/>
    <w:rsid w:val="00E62A02"/>
    <w:rsid w:val="00E6387B"/>
    <w:rsid w:val="00E661C8"/>
    <w:rsid w:val="00E72B1E"/>
    <w:rsid w:val="00E76B77"/>
    <w:rsid w:val="00E82EDE"/>
    <w:rsid w:val="00E83C0E"/>
    <w:rsid w:val="00E83E6E"/>
    <w:rsid w:val="00E858E6"/>
    <w:rsid w:val="00E86861"/>
    <w:rsid w:val="00E91B72"/>
    <w:rsid w:val="00E91FF8"/>
    <w:rsid w:val="00E976A9"/>
    <w:rsid w:val="00EA48B9"/>
    <w:rsid w:val="00EB0E97"/>
    <w:rsid w:val="00EB1C2A"/>
    <w:rsid w:val="00EB415B"/>
    <w:rsid w:val="00EB4A45"/>
    <w:rsid w:val="00EB4A6A"/>
    <w:rsid w:val="00EC3654"/>
    <w:rsid w:val="00EC5150"/>
    <w:rsid w:val="00ED271F"/>
    <w:rsid w:val="00ED6200"/>
    <w:rsid w:val="00ED78C0"/>
    <w:rsid w:val="00EE1685"/>
    <w:rsid w:val="00EE2A07"/>
    <w:rsid w:val="00EE3171"/>
    <w:rsid w:val="00EE3BA9"/>
    <w:rsid w:val="00EE5F6D"/>
    <w:rsid w:val="00EF226E"/>
    <w:rsid w:val="00EF32C7"/>
    <w:rsid w:val="00EF34CB"/>
    <w:rsid w:val="00EF5CCB"/>
    <w:rsid w:val="00F05AC7"/>
    <w:rsid w:val="00F062DE"/>
    <w:rsid w:val="00F07306"/>
    <w:rsid w:val="00F15D78"/>
    <w:rsid w:val="00F230EC"/>
    <w:rsid w:val="00F23A58"/>
    <w:rsid w:val="00F240A5"/>
    <w:rsid w:val="00F2411D"/>
    <w:rsid w:val="00F25559"/>
    <w:rsid w:val="00F26C06"/>
    <w:rsid w:val="00F32581"/>
    <w:rsid w:val="00F33144"/>
    <w:rsid w:val="00F347F4"/>
    <w:rsid w:val="00F40E68"/>
    <w:rsid w:val="00F41816"/>
    <w:rsid w:val="00F41969"/>
    <w:rsid w:val="00F44337"/>
    <w:rsid w:val="00F459F4"/>
    <w:rsid w:val="00F4656E"/>
    <w:rsid w:val="00F46653"/>
    <w:rsid w:val="00F46C95"/>
    <w:rsid w:val="00F50313"/>
    <w:rsid w:val="00F52B05"/>
    <w:rsid w:val="00F60368"/>
    <w:rsid w:val="00F60C0B"/>
    <w:rsid w:val="00F61971"/>
    <w:rsid w:val="00F62BDD"/>
    <w:rsid w:val="00F63F67"/>
    <w:rsid w:val="00F90EB2"/>
    <w:rsid w:val="00F95BB0"/>
    <w:rsid w:val="00FA3F1B"/>
    <w:rsid w:val="00FA4C6F"/>
    <w:rsid w:val="00FA6714"/>
    <w:rsid w:val="00FA7312"/>
    <w:rsid w:val="00FB061B"/>
    <w:rsid w:val="00FB06B3"/>
    <w:rsid w:val="00FB13B8"/>
    <w:rsid w:val="00FB14A6"/>
    <w:rsid w:val="00FB61E9"/>
    <w:rsid w:val="00FB624A"/>
    <w:rsid w:val="00FB7B46"/>
    <w:rsid w:val="00FC0F1F"/>
    <w:rsid w:val="00FC28CF"/>
    <w:rsid w:val="00FC5A0E"/>
    <w:rsid w:val="00FD030E"/>
    <w:rsid w:val="00FD1B7A"/>
    <w:rsid w:val="00FD3215"/>
    <w:rsid w:val="00FD79ED"/>
    <w:rsid w:val="00FE43ED"/>
    <w:rsid w:val="00FE6703"/>
    <w:rsid w:val="00FE70B6"/>
    <w:rsid w:val="00FF37AE"/>
    <w:rsid w:val="00FF5BA1"/>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0544B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F452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41816"/>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4E07"/>
    <w:pPr>
      <w:ind w:left="720"/>
      <w:contextualSpacing/>
    </w:pPr>
  </w:style>
  <w:style w:type="paragraph" w:styleId="Encabezado">
    <w:name w:val="header"/>
    <w:basedOn w:val="Normal"/>
    <w:link w:val="EncabezadoCar"/>
    <w:uiPriority w:val="99"/>
    <w:unhideWhenUsed/>
    <w:rsid w:val="00DB4E0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DB4E07"/>
  </w:style>
  <w:style w:type="paragraph" w:styleId="Piedepgina">
    <w:name w:val="footer"/>
    <w:basedOn w:val="Normal"/>
    <w:link w:val="PiedepginaCar"/>
    <w:uiPriority w:val="99"/>
    <w:unhideWhenUsed/>
    <w:rsid w:val="00DB4E0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DB4E07"/>
  </w:style>
  <w:style w:type="paragraph" w:styleId="Textonotapie">
    <w:name w:val="footnote text"/>
    <w:basedOn w:val="Normal"/>
    <w:link w:val="TextonotapieCar"/>
    <w:uiPriority w:val="99"/>
    <w:semiHidden/>
    <w:unhideWhenUsed/>
    <w:rsid w:val="00FE70B6"/>
    <w:pPr>
      <w:spacing w:line="240" w:lineRule="auto"/>
    </w:pPr>
    <w:rPr>
      <w:sz w:val="20"/>
      <w:szCs w:val="20"/>
    </w:rPr>
  </w:style>
  <w:style w:type="character" w:customStyle="1" w:styleId="TextonotapieCar">
    <w:name w:val="Texto nota pie Car"/>
    <w:basedOn w:val="Fuentedeprrafopredeter"/>
    <w:link w:val="Textonotapie"/>
    <w:uiPriority w:val="99"/>
    <w:semiHidden/>
    <w:rsid w:val="00FE70B6"/>
    <w:rPr>
      <w:sz w:val="20"/>
      <w:szCs w:val="20"/>
    </w:rPr>
  </w:style>
  <w:style w:type="character" w:styleId="Refdenotaalpie">
    <w:name w:val="footnote reference"/>
    <w:basedOn w:val="Fuentedeprrafopredeter"/>
    <w:uiPriority w:val="99"/>
    <w:semiHidden/>
    <w:unhideWhenUsed/>
    <w:rsid w:val="00FE70B6"/>
    <w:rPr>
      <w:vertAlign w:val="superscript"/>
    </w:rPr>
  </w:style>
  <w:style w:type="paragraph" w:styleId="Subttulo">
    <w:name w:val="Subtitle"/>
    <w:basedOn w:val="Normal"/>
    <w:next w:val="Normal"/>
    <w:link w:val="SubttuloCar"/>
    <w:uiPriority w:val="11"/>
    <w:qFormat/>
    <w:rsid w:val="00EC515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EC5150"/>
    <w:rPr>
      <w:rFonts w:asciiTheme="majorHAnsi" w:eastAsiaTheme="majorEastAsia" w:hAnsiTheme="majorHAnsi" w:cstheme="majorBidi"/>
      <w:i/>
      <w:iCs/>
      <w:color w:val="4F81BD" w:themeColor="accent1"/>
      <w:spacing w:val="15"/>
      <w:sz w:val="24"/>
      <w:szCs w:val="24"/>
    </w:rPr>
  </w:style>
  <w:style w:type="paragraph" w:styleId="Textodeglobo">
    <w:name w:val="Balloon Text"/>
    <w:basedOn w:val="Normal"/>
    <w:link w:val="TextodegloboCar"/>
    <w:uiPriority w:val="99"/>
    <w:semiHidden/>
    <w:unhideWhenUsed/>
    <w:rsid w:val="008A7B85"/>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7B85"/>
    <w:rPr>
      <w:rFonts w:ascii="Tahoma" w:hAnsi="Tahoma" w:cs="Tahoma"/>
      <w:sz w:val="16"/>
      <w:szCs w:val="16"/>
    </w:rPr>
  </w:style>
  <w:style w:type="table" w:styleId="Tablaconcuadrcula">
    <w:name w:val="Table Grid"/>
    <w:basedOn w:val="Tablanormal"/>
    <w:uiPriority w:val="59"/>
    <w:rsid w:val="002A09D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media3-nfasis2">
    <w:name w:val="Medium Grid 3 Accent 2"/>
    <w:basedOn w:val="Tablanormal"/>
    <w:uiPriority w:val="69"/>
    <w:rsid w:val="002A09D1"/>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character" w:styleId="Hipervnculo">
    <w:name w:val="Hyperlink"/>
    <w:basedOn w:val="Fuentedeprrafopredeter"/>
    <w:uiPriority w:val="99"/>
    <w:unhideWhenUsed/>
    <w:rsid w:val="00030637"/>
    <w:rPr>
      <w:color w:val="0000FF" w:themeColor="hyperlink"/>
      <w:u w:val="single"/>
    </w:rPr>
  </w:style>
  <w:style w:type="character" w:styleId="Hipervnculovisitado">
    <w:name w:val="FollowedHyperlink"/>
    <w:basedOn w:val="Fuentedeprrafopredeter"/>
    <w:uiPriority w:val="99"/>
    <w:semiHidden/>
    <w:unhideWhenUsed/>
    <w:rsid w:val="00030637"/>
    <w:rPr>
      <w:color w:val="800080" w:themeColor="followedHyperlink"/>
      <w:u w:val="single"/>
    </w:rPr>
  </w:style>
  <w:style w:type="paragraph" w:styleId="TDC1">
    <w:name w:val="toc 1"/>
    <w:basedOn w:val="Normal"/>
    <w:next w:val="Normal"/>
    <w:autoRedefine/>
    <w:uiPriority w:val="39"/>
    <w:unhideWhenUsed/>
    <w:rsid w:val="00BB5D9B"/>
    <w:pPr>
      <w:spacing w:after="100"/>
    </w:pPr>
  </w:style>
  <w:style w:type="table" w:styleId="Cuadrculamedia3-nfasis5">
    <w:name w:val="Medium Grid 3 Accent 5"/>
    <w:basedOn w:val="Tablanormal"/>
    <w:uiPriority w:val="69"/>
    <w:rsid w:val="00CD3D94"/>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3">
    <w:name w:val="Medium Grid 3 Accent 3"/>
    <w:basedOn w:val="Tablanormal"/>
    <w:uiPriority w:val="69"/>
    <w:rsid w:val="002A4D16"/>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character" w:customStyle="1" w:styleId="Ttulo1Car">
    <w:name w:val="Título 1 Car"/>
    <w:basedOn w:val="Fuentedeprrafopredeter"/>
    <w:link w:val="Ttulo1"/>
    <w:uiPriority w:val="9"/>
    <w:rsid w:val="000544B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F452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41816"/>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DF3379"/>
    <w:pPr>
      <w:spacing w:after="100"/>
      <w:ind w:left="220"/>
    </w:pPr>
  </w:style>
  <w:style w:type="paragraph" w:styleId="TDC3">
    <w:name w:val="toc 3"/>
    <w:basedOn w:val="Normal"/>
    <w:next w:val="Normal"/>
    <w:autoRedefine/>
    <w:uiPriority w:val="39"/>
    <w:unhideWhenUsed/>
    <w:rsid w:val="00DF3379"/>
    <w:pPr>
      <w:spacing w:after="100"/>
      <w:ind w:left="440"/>
    </w:pPr>
  </w:style>
  <w:style w:type="paragraph" w:styleId="TtulodeTDC">
    <w:name w:val="TOC Heading"/>
    <w:basedOn w:val="Ttulo1"/>
    <w:next w:val="Normal"/>
    <w:uiPriority w:val="39"/>
    <w:semiHidden/>
    <w:unhideWhenUsed/>
    <w:qFormat/>
    <w:rsid w:val="00DF3379"/>
    <w:pPr>
      <w:spacing w:line="276" w:lineRule="auto"/>
      <w:jc w:val="left"/>
      <w:outlineLvl w:val="9"/>
    </w:pPr>
    <w:rPr>
      <w:lang w:eastAsia="es-ES"/>
    </w:rPr>
  </w:style>
  <w:style w:type="paragraph" w:styleId="Textonotaalfinal">
    <w:name w:val="endnote text"/>
    <w:basedOn w:val="Normal"/>
    <w:link w:val="TextonotaalfinalCar"/>
    <w:uiPriority w:val="99"/>
    <w:semiHidden/>
    <w:unhideWhenUsed/>
    <w:rsid w:val="001A40D0"/>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1A40D0"/>
    <w:rPr>
      <w:sz w:val="20"/>
      <w:szCs w:val="20"/>
      <w:lang w:val="es-ES_tradnl"/>
    </w:rPr>
  </w:style>
  <w:style w:type="character" w:styleId="Refdenotaalfinal">
    <w:name w:val="endnote reference"/>
    <w:basedOn w:val="Fuentedeprrafopredeter"/>
    <w:uiPriority w:val="99"/>
    <w:semiHidden/>
    <w:unhideWhenUsed/>
    <w:rsid w:val="001A40D0"/>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s-ES_tradnl"/>
    </w:rPr>
  </w:style>
  <w:style w:type="paragraph" w:styleId="Ttulo1">
    <w:name w:val="heading 1"/>
    <w:basedOn w:val="Normal"/>
    <w:next w:val="Normal"/>
    <w:link w:val="Ttulo1Car"/>
    <w:uiPriority w:val="9"/>
    <w:qFormat/>
    <w:rsid w:val="000544B9"/>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CF452F"/>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41816"/>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B4E07"/>
    <w:pPr>
      <w:ind w:left="720"/>
      <w:contextualSpacing/>
    </w:pPr>
  </w:style>
  <w:style w:type="paragraph" w:styleId="Encabezado">
    <w:name w:val="header"/>
    <w:basedOn w:val="Normal"/>
    <w:link w:val="EncabezadoCar"/>
    <w:uiPriority w:val="99"/>
    <w:unhideWhenUsed/>
    <w:rsid w:val="00DB4E07"/>
    <w:pPr>
      <w:tabs>
        <w:tab w:val="center" w:pos="4252"/>
        <w:tab w:val="right" w:pos="8504"/>
      </w:tabs>
      <w:spacing w:line="240" w:lineRule="auto"/>
    </w:pPr>
  </w:style>
  <w:style w:type="character" w:customStyle="1" w:styleId="EncabezadoCar">
    <w:name w:val="Encabezado Car"/>
    <w:basedOn w:val="Fuentedeprrafopredeter"/>
    <w:link w:val="Encabezado"/>
    <w:uiPriority w:val="99"/>
    <w:rsid w:val="00DB4E07"/>
  </w:style>
  <w:style w:type="paragraph" w:styleId="Piedepgina">
    <w:name w:val="footer"/>
    <w:basedOn w:val="Normal"/>
    <w:link w:val="PiedepginaCar"/>
    <w:uiPriority w:val="99"/>
    <w:unhideWhenUsed/>
    <w:rsid w:val="00DB4E07"/>
    <w:pPr>
      <w:tabs>
        <w:tab w:val="center" w:pos="4252"/>
        <w:tab w:val="right" w:pos="8504"/>
      </w:tabs>
      <w:spacing w:line="240" w:lineRule="auto"/>
    </w:pPr>
  </w:style>
  <w:style w:type="character" w:customStyle="1" w:styleId="PiedepginaCar">
    <w:name w:val="Pie de página Car"/>
    <w:basedOn w:val="Fuentedeprrafopredeter"/>
    <w:link w:val="Piedepgina"/>
    <w:uiPriority w:val="99"/>
    <w:rsid w:val="00DB4E07"/>
  </w:style>
  <w:style w:type="paragraph" w:styleId="Textonotapie">
    <w:name w:val="footnote text"/>
    <w:basedOn w:val="Normal"/>
    <w:link w:val="TextonotapieCar"/>
    <w:uiPriority w:val="99"/>
    <w:semiHidden/>
    <w:unhideWhenUsed/>
    <w:rsid w:val="00FE70B6"/>
    <w:pPr>
      <w:spacing w:line="240" w:lineRule="auto"/>
    </w:pPr>
    <w:rPr>
      <w:sz w:val="20"/>
      <w:szCs w:val="20"/>
    </w:rPr>
  </w:style>
  <w:style w:type="character" w:customStyle="1" w:styleId="TextonotapieCar">
    <w:name w:val="Texto nota pie Car"/>
    <w:basedOn w:val="Fuentedeprrafopredeter"/>
    <w:link w:val="Textonotapie"/>
    <w:uiPriority w:val="99"/>
    <w:semiHidden/>
    <w:rsid w:val="00FE70B6"/>
    <w:rPr>
      <w:sz w:val="20"/>
      <w:szCs w:val="20"/>
    </w:rPr>
  </w:style>
  <w:style w:type="character" w:styleId="Refdenotaalpie">
    <w:name w:val="footnote reference"/>
    <w:basedOn w:val="Fuentedeprrafopredeter"/>
    <w:uiPriority w:val="99"/>
    <w:semiHidden/>
    <w:unhideWhenUsed/>
    <w:rsid w:val="00FE70B6"/>
    <w:rPr>
      <w:vertAlign w:val="superscript"/>
    </w:rPr>
  </w:style>
  <w:style w:type="paragraph" w:styleId="Subttulo">
    <w:name w:val="Subtitle"/>
    <w:basedOn w:val="Normal"/>
    <w:next w:val="Normal"/>
    <w:link w:val="SubttuloCar"/>
    <w:uiPriority w:val="11"/>
    <w:qFormat/>
    <w:rsid w:val="00EC5150"/>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EC5150"/>
    <w:rPr>
      <w:rFonts w:asciiTheme="majorHAnsi" w:eastAsiaTheme="majorEastAsia" w:hAnsiTheme="majorHAnsi" w:cstheme="majorBidi"/>
      <w:i/>
      <w:iCs/>
      <w:color w:val="4F81BD" w:themeColor="accent1"/>
      <w:spacing w:val="15"/>
      <w:sz w:val="24"/>
      <w:szCs w:val="24"/>
    </w:rPr>
  </w:style>
  <w:style w:type="paragraph" w:styleId="Textodeglobo">
    <w:name w:val="Balloon Text"/>
    <w:basedOn w:val="Normal"/>
    <w:link w:val="TextodegloboCar"/>
    <w:uiPriority w:val="99"/>
    <w:semiHidden/>
    <w:unhideWhenUsed/>
    <w:rsid w:val="008A7B85"/>
    <w:pPr>
      <w:spacing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8A7B85"/>
    <w:rPr>
      <w:rFonts w:ascii="Tahoma" w:hAnsi="Tahoma" w:cs="Tahoma"/>
      <w:sz w:val="16"/>
      <w:szCs w:val="16"/>
    </w:rPr>
  </w:style>
  <w:style w:type="table" w:styleId="Tablaconcuadrcula">
    <w:name w:val="Table Grid"/>
    <w:basedOn w:val="Tablanormal"/>
    <w:uiPriority w:val="59"/>
    <w:rsid w:val="002A09D1"/>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Cuadrculamedia3-nfasis2">
    <w:name w:val="Medium Grid 3 Accent 2"/>
    <w:basedOn w:val="Tablanormal"/>
    <w:uiPriority w:val="69"/>
    <w:rsid w:val="002A09D1"/>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character" w:styleId="Hipervnculo">
    <w:name w:val="Hyperlink"/>
    <w:basedOn w:val="Fuentedeprrafopredeter"/>
    <w:uiPriority w:val="99"/>
    <w:unhideWhenUsed/>
    <w:rsid w:val="00030637"/>
    <w:rPr>
      <w:color w:val="0000FF" w:themeColor="hyperlink"/>
      <w:u w:val="single"/>
    </w:rPr>
  </w:style>
  <w:style w:type="character" w:styleId="Hipervnculovisitado">
    <w:name w:val="FollowedHyperlink"/>
    <w:basedOn w:val="Fuentedeprrafopredeter"/>
    <w:uiPriority w:val="99"/>
    <w:semiHidden/>
    <w:unhideWhenUsed/>
    <w:rsid w:val="00030637"/>
    <w:rPr>
      <w:color w:val="800080" w:themeColor="followedHyperlink"/>
      <w:u w:val="single"/>
    </w:rPr>
  </w:style>
  <w:style w:type="paragraph" w:styleId="TDC1">
    <w:name w:val="toc 1"/>
    <w:basedOn w:val="Normal"/>
    <w:next w:val="Normal"/>
    <w:autoRedefine/>
    <w:uiPriority w:val="39"/>
    <w:unhideWhenUsed/>
    <w:rsid w:val="00BB5D9B"/>
    <w:pPr>
      <w:spacing w:after="100"/>
    </w:pPr>
  </w:style>
  <w:style w:type="table" w:styleId="Cuadrculamedia3-nfasis5">
    <w:name w:val="Medium Grid 3 Accent 5"/>
    <w:basedOn w:val="Tablanormal"/>
    <w:uiPriority w:val="69"/>
    <w:rsid w:val="00CD3D94"/>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3">
    <w:name w:val="Medium Grid 3 Accent 3"/>
    <w:basedOn w:val="Tablanormal"/>
    <w:uiPriority w:val="69"/>
    <w:rsid w:val="002A4D16"/>
    <w:pPr>
      <w:spacing w:line="240" w:lineRule="auto"/>
    </w:pPr>
    <w:tblPr>
      <w:tblStyleRowBandSize w:val="1"/>
      <w:tblStyleColBandSize w:val="1"/>
      <w:tblInd w:w="0" w:type="dxa"/>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CellMar>
        <w:top w:w="0" w:type="dxa"/>
        <w:left w:w="108" w:type="dxa"/>
        <w:bottom w:w="0" w:type="dxa"/>
        <w:right w:w="108" w:type="dxa"/>
      </w:tblCellMar>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character" w:customStyle="1" w:styleId="Ttulo1Car">
    <w:name w:val="Título 1 Car"/>
    <w:basedOn w:val="Fuentedeprrafopredeter"/>
    <w:link w:val="Ttulo1"/>
    <w:uiPriority w:val="9"/>
    <w:rsid w:val="000544B9"/>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CF452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41816"/>
    <w:rPr>
      <w:rFonts w:asciiTheme="majorHAnsi" w:eastAsiaTheme="majorEastAsia" w:hAnsiTheme="majorHAnsi" w:cstheme="majorBidi"/>
      <w:b/>
      <w:bCs/>
      <w:color w:val="4F81BD" w:themeColor="accent1"/>
    </w:rPr>
  </w:style>
  <w:style w:type="paragraph" w:styleId="TDC2">
    <w:name w:val="toc 2"/>
    <w:basedOn w:val="Normal"/>
    <w:next w:val="Normal"/>
    <w:autoRedefine/>
    <w:uiPriority w:val="39"/>
    <w:unhideWhenUsed/>
    <w:rsid w:val="00DF3379"/>
    <w:pPr>
      <w:spacing w:after="100"/>
      <w:ind w:left="220"/>
    </w:pPr>
  </w:style>
  <w:style w:type="paragraph" w:styleId="TDC3">
    <w:name w:val="toc 3"/>
    <w:basedOn w:val="Normal"/>
    <w:next w:val="Normal"/>
    <w:autoRedefine/>
    <w:uiPriority w:val="39"/>
    <w:unhideWhenUsed/>
    <w:rsid w:val="00DF3379"/>
    <w:pPr>
      <w:spacing w:after="100"/>
      <w:ind w:left="440"/>
    </w:pPr>
  </w:style>
  <w:style w:type="paragraph" w:styleId="TtulodeTDC">
    <w:name w:val="TOC Heading"/>
    <w:basedOn w:val="Ttulo1"/>
    <w:next w:val="Normal"/>
    <w:uiPriority w:val="39"/>
    <w:semiHidden/>
    <w:unhideWhenUsed/>
    <w:qFormat/>
    <w:rsid w:val="00DF3379"/>
    <w:pPr>
      <w:spacing w:line="276" w:lineRule="auto"/>
      <w:jc w:val="left"/>
      <w:outlineLvl w:val="9"/>
    </w:pPr>
    <w:rPr>
      <w:lang w:eastAsia="es-ES"/>
    </w:rPr>
  </w:style>
  <w:style w:type="paragraph" w:styleId="Textonotaalfinal">
    <w:name w:val="endnote text"/>
    <w:basedOn w:val="Normal"/>
    <w:link w:val="TextonotaalfinalCar"/>
    <w:uiPriority w:val="99"/>
    <w:semiHidden/>
    <w:unhideWhenUsed/>
    <w:rsid w:val="001A40D0"/>
    <w:pPr>
      <w:spacing w:line="240" w:lineRule="auto"/>
    </w:pPr>
    <w:rPr>
      <w:sz w:val="20"/>
      <w:szCs w:val="20"/>
    </w:rPr>
  </w:style>
  <w:style w:type="character" w:customStyle="1" w:styleId="TextonotaalfinalCar">
    <w:name w:val="Texto nota al final Car"/>
    <w:basedOn w:val="Fuentedeprrafopredeter"/>
    <w:link w:val="Textonotaalfinal"/>
    <w:uiPriority w:val="99"/>
    <w:semiHidden/>
    <w:rsid w:val="001A40D0"/>
    <w:rPr>
      <w:sz w:val="20"/>
      <w:szCs w:val="20"/>
      <w:lang w:val="es-ES_tradnl"/>
    </w:rPr>
  </w:style>
  <w:style w:type="character" w:styleId="Refdenotaalfinal">
    <w:name w:val="endnote reference"/>
    <w:basedOn w:val="Fuentedeprrafopredeter"/>
    <w:uiPriority w:val="99"/>
    <w:semiHidden/>
    <w:unhideWhenUsed/>
    <w:rsid w:val="001A40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3.xml"/><Relationship Id="rId5" Type="http://schemas.openxmlformats.org/officeDocument/2006/relationships/settings" Target="settings.xml"/><Relationship Id="rId10" Type="http://schemas.openxmlformats.org/officeDocument/2006/relationships/chart" Target="charts/chart2.xm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package" Target="../embeddings/Hoja_de_c_lculo_de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Hoja_de_c_lculo_de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Hoja_de_c_lculo_de_Microsoft_Excel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s-ES"/>
              <a:t>Precios/dosis</a:t>
            </a:r>
          </a:p>
        </c:rich>
      </c:tx>
      <c:overlay val="0"/>
    </c:title>
    <c:autoTitleDeleted val="0"/>
    <c:plotArea>
      <c:layout/>
      <c:barChart>
        <c:barDir val="col"/>
        <c:grouping val="clustered"/>
        <c:varyColors val="0"/>
        <c:ser>
          <c:idx val="0"/>
          <c:order val="0"/>
          <c:tx>
            <c:strRef>
              <c:f>Hoja1!$B$1</c:f>
              <c:strCache>
                <c:ptCount val="1"/>
                <c:pt idx="0">
                  <c:v>2012</c:v>
                </c:pt>
              </c:strCache>
            </c:strRef>
          </c:tx>
          <c:invertIfNegative val="0"/>
          <c:dLbls>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SPEED</c:v>
                </c:pt>
                <c:pt idx="1">
                  <c:v>COCAÍNA</c:v>
                </c:pt>
                <c:pt idx="2">
                  <c:v>HEROÍNA</c:v>
                </c:pt>
                <c:pt idx="3">
                  <c:v>ÉXTASIS</c:v>
                </c:pt>
                <c:pt idx="4">
                  <c:v>LSD</c:v>
                </c:pt>
              </c:strCache>
            </c:strRef>
          </c:cat>
          <c:val>
            <c:numRef>
              <c:f>Hoja1!$B$2:$B$6</c:f>
              <c:numCache>
                <c:formatCode>"€"#,##0.00_);[Red]\("€"#,##0.00\)</c:formatCode>
                <c:ptCount val="5"/>
                <c:pt idx="0">
                  <c:v>10.47</c:v>
                </c:pt>
                <c:pt idx="1">
                  <c:v>16.45</c:v>
                </c:pt>
                <c:pt idx="2">
                  <c:v>10.97</c:v>
                </c:pt>
                <c:pt idx="3">
                  <c:v>10.7</c:v>
                </c:pt>
                <c:pt idx="4">
                  <c:v>11.67</c:v>
                </c:pt>
              </c:numCache>
            </c:numRef>
          </c:val>
        </c:ser>
        <c:ser>
          <c:idx val="1"/>
          <c:order val="1"/>
          <c:tx>
            <c:strRef>
              <c:f>Hoja1!$C$1</c:f>
              <c:strCache>
                <c:ptCount val="1"/>
                <c:pt idx="0">
                  <c:v>2011</c:v>
                </c:pt>
              </c:strCache>
            </c:strRef>
          </c:tx>
          <c:invertIfNegative val="0"/>
          <c:dLbls>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SPEED</c:v>
                </c:pt>
                <c:pt idx="1">
                  <c:v>COCAÍNA</c:v>
                </c:pt>
                <c:pt idx="2">
                  <c:v>HEROÍNA</c:v>
                </c:pt>
                <c:pt idx="3">
                  <c:v>ÉXTASIS</c:v>
                </c:pt>
                <c:pt idx="4">
                  <c:v>LSD</c:v>
                </c:pt>
              </c:strCache>
            </c:strRef>
          </c:cat>
          <c:val>
            <c:numRef>
              <c:f>Hoja1!$C$2:$C$6</c:f>
              <c:numCache>
                <c:formatCode>"€"#,##0.00_);[Red]\("€"#,##0.00\)</c:formatCode>
                <c:ptCount val="5"/>
                <c:pt idx="0">
                  <c:v>10.85</c:v>
                </c:pt>
                <c:pt idx="1">
                  <c:v>16.350000000000001</c:v>
                </c:pt>
                <c:pt idx="2">
                  <c:v>10.32</c:v>
                </c:pt>
                <c:pt idx="3">
                  <c:v>10.56</c:v>
                </c:pt>
                <c:pt idx="4">
                  <c:v>11.7</c:v>
                </c:pt>
              </c:numCache>
            </c:numRef>
          </c:val>
        </c:ser>
        <c:dLbls>
          <c:showLegendKey val="0"/>
          <c:showVal val="1"/>
          <c:showCatName val="0"/>
          <c:showSerName val="0"/>
          <c:showPercent val="0"/>
          <c:showBubbleSize val="0"/>
        </c:dLbls>
        <c:gapWidth val="150"/>
        <c:axId val="113462272"/>
        <c:axId val="113468160"/>
      </c:barChart>
      <c:catAx>
        <c:axId val="113462272"/>
        <c:scaling>
          <c:orientation val="minMax"/>
        </c:scaling>
        <c:delete val="0"/>
        <c:axPos val="b"/>
        <c:majorTickMark val="none"/>
        <c:minorTickMark val="none"/>
        <c:tickLblPos val="nextTo"/>
        <c:crossAx val="113468160"/>
        <c:crosses val="autoZero"/>
        <c:auto val="1"/>
        <c:lblAlgn val="ctr"/>
        <c:lblOffset val="100"/>
        <c:noMultiLvlLbl val="0"/>
      </c:catAx>
      <c:valAx>
        <c:axId val="113468160"/>
        <c:scaling>
          <c:orientation val="minMax"/>
        </c:scaling>
        <c:delete val="0"/>
        <c:axPos val="l"/>
        <c:majorGridlines/>
        <c:numFmt formatCode="&quot;€&quot;#,##0.00_);[Red]\(&quot;€&quot;#,##0.00\)" sourceLinked="1"/>
        <c:majorTickMark val="none"/>
        <c:minorTickMark val="none"/>
        <c:tickLblPos val="nextTo"/>
        <c:crossAx val="113462272"/>
        <c:crosses val="autoZero"/>
        <c:crossBetween val="between"/>
      </c:valAx>
    </c:plotArea>
    <c:legend>
      <c:legendPos val="r"/>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s-ES"/>
              <a:t>Precios/gramos</a:t>
            </a:r>
          </a:p>
        </c:rich>
      </c:tx>
      <c:overlay val="0"/>
    </c:title>
    <c:autoTitleDeleted val="0"/>
    <c:plotArea>
      <c:layout/>
      <c:barChart>
        <c:barDir val="col"/>
        <c:grouping val="clustered"/>
        <c:varyColors val="0"/>
        <c:ser>
          <c:idx val="0"/>
          <c:order val="0"/>
          <c:tx>
            <c:strRef>
              <c:f>Hoja1!$B$1</c:f>
              <c:strCache>
                <c:ptCount val="1"/>
                <c:pt idx="0">
                  <c:v>2012</c:v>
                </c:pt>
              </c:strCache>
            </c:strRef>
          </c:tx>
          <c:invertIfNegative val="0"/>
          <c:dLbls>
            <c:dLbl>
              <c:idx val="0"/>
              <c:layout>
                <c:manualLayout>
                  <c:x val="0"/>
                  <c:y val="8.3802364583581129E-3"/>
                </c:manualLayout>
              </c:layout>
              <c:dLblPos val="outEnd"/>
              <c:showLegendKey val="0"/>
              <c:showVal val="1"/>
              <c:showCatName val="0"/>
              <c:showSerName val="0"/>
              <c:showPercent val="0"/>
              <c:showBubbleSize val="0"/>
            </c:dLbl>
            <c:dLbl>
              <c:idx val="1"/>
              <c:layout>
                <c:manualLayout>
                  <c:x val="0"/>
                  <c:y val="5.0073348082245008E-3"/>
                </c:manualLayout>
              </c:layout>
              <c:dLblPos val="outEnd"/>
              <c:showLegendKey val="0"/>
              <c:showVal val="1"/>
              <c:showCatName val="0"/>
              <c:showSerName val="0"/>
              <c:showPercent val="0"/>
              <c:showBubbleSize val="0"/>
            </c:dLbl>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MARIHUANA</c:v>
                </c:pt>
                <c:pt idx="1">
                  <c:v>HACHÍS</c:v>
                </c:pt>
                <c:pt idx="2">
                  <c:v>SPEED</c:v>
                </c:pt>
                <c:pt idx="3">
                  <c:v>COCAÍNA</c:v>
                </c:pt>
                <c:pt idx="4">
                  <c:v>HEROÍNA</c:v>
                </c:pt>
              </c:strCache>
            </c:strRef>
          </c:cat>
          <c:val>
            <c:numRef>
              <c:f>Hoja1!$B$2:$B$6</c:f>
              <c:numCache>
                <c:formatCode>"€"#,##0.00_);[Red]\("€"#,##0.00\)</c:formatCode>
                <c:ptCount val="5"/>
                <c:pt idx="0">
                  <c:v>5.0199999999999996</c:v>
                </c:pt>
                <c:pt idx="1">
                  <c:v>5.85</c:v>
                </c:pt>
                <c:pt idx="2">
                  <c:v>27.74</c:v>
                </c:pt>
                <c:pt idx="3">
                  <c:v>58.95</c:v>
                </c:pt>
                <c:pt idx="4">
                  <c:v>58.8</c:v>
                </c:pt>
              </c:numCache>
            </c:numRef>
          </c:val>
        </c:ser>
        <c:ser>
          <c:idx val="1"/>
          <c:order val="1"/>
          <c:tx>
            <c:strRef>
              <c:f>Hoja1!$C$1</c:f>
              <c:strCache>
                <c:ptCount val="1"/>
                <c:pt idx="0">
                  <c:v>2011</c:v>
                </c:pt>
              </c:strCache>
            </c:strRef>
          </c:tx>
          <c:invertIfNegative val="0"/>
          <c:dLbls>
            <c:dLbl>
              <c:idx val="0"/>
              <c:layout>
                <c:manualLayout>
                  <c:x val="-2.1555698468605279E-17"/>
                  <c:y val="-8.9603603174980766E-4"/>
                </c:manualLayout>
              </c:layout>
              <c:dLblPos val="outEnd"/>
              <c:showLegendKey val="0"/>
              <c:showVal val="1"/>
              <c:showCatName val="0"/>
              <c:showSerName val="0"/>
              <c:showPercent val="0"/>
              <c:showBubbleSize val="0"/>
            </c:dLbl>
            <c:dLbl>
              <c:idx val="1"/>
              <c:layout>
                <c:manualLayout>
                  <c:x val="0"/>
                  <c:y val="1.0229718264068955E-2"/>
                </c:manualLayout>
              </c:layout>
              <c:dLblPos val="outEnd"/>
              <c:showLegendKey val="0"/>
              <c:showVal val="1"/>
              <c:showCatName val="0"/>
              <c:showSerName val="0"/>
              <c:showPercent val="0"/>
              <c:showBubbleSize val="0"/>
            </c:dLbl>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MARIHUANA</c:v>
                </c:pt>
                <c:pt idx="1">
                  <c:v>HACHÍS</c:v>
                </c:pt>
                <c:pt idx="2">
                  <c:v>SPEED</c:v>
                </c:pt>
                <c:pt idx="3">
                  <c:v>COCAÍNA</c:v>
                </c:pt>
                <c:pt idx="4">
                  <c:v>HEROÍNA</c:v>
                </c:pt>
              </c:strCache>
            </c:strRef>
          </c:cat>
          <c:val>
            <c:numRef>
              <c:f>Hoja1!$C$2:$C$6</c:f>
              <c:numCache>
                <c:formatCode>"€"#,##0.00_);[Red]\("€"#,##0.00\)</c:formatCode>
                <c:ptCount val="5"/>
                <c:pt idx="0">
                  <c:v>4.5199999999999996</c:v>
                </c:pt>
                <c:pt idx="1">
                  <c:v>5.58</c:v>
                </c:pt>
                <c:pt idx="2">
                  <c:v>26.46</c:v>
                </c:pt>
                <c:pt idx="3">
                  <c:v>58.92</c:v>
                </c:pt>
                <c:pt idx="4">
                  <c:v>59.13</c:v>
                </c:pt>
              </c:numCache>
            </c:numRef>
          </c:val>
        </c:ser>
        <c:dLbls>
          <c:showLegendKey val="0"/>
          <c:showVal val="1"/>
          <c:showCatName val="0"/>
          <c:showSerName val="0"/>
          <c:showPercent val="0"/>
          <c:showBubbleSize val="0"/>
        </c:dLbls>
        <c:gapWidth val="150"/>
        <c:axId val="113490176"/>
        <c:axId val="113500160"/>
      </c:barChart>
      <c:catAx>
        <c:axId val="113490176"/>
        <c:scaling>
          <c:orientation val="minMax"/>
        </c:scaling>
        <c:delete val="0"/>
        <c:axPos val="b"/>
        <c:majorTickMark val="out"/>
        <c:minorTickMark val="none"/>
        <c:tickLblPos val="nextTo"/>
        <c:crossAx val="113500160"/>
        <c:crosses val="autoZero"/>
        <c:auto val="1"/>
        <c:lblAlgn val="ctr"/>
        <c:lblOffset val="100"/>
        <c:noMultiLvlLbl val="0"/>
      </c:catAx>
      <c:valAx>
        <c:axId val="113500160"/>
        <c:scaling>
          <c:orientation val="minMax"/>
        </c:scaling>
        <c:delete val="0"/>
        <c:axPos val="l"/>
        <c:majorGridlines/>
        <c:numFmt formatCode="&quot;€&quot;#,##0.00_);[Red]\(&quot;€&quot;#,##0.00\)" sourceLinked="1"/>
        <c:majorTickMark val="out"/>
        <c:minorTickMark val="none"/>
        <c:tickLblPos val="nextTo"/>
        <c:crossAx val="113490176"/>
        <c:crosses val="autoZero"/>
        <c:crossBetween val="between"/>
      </c:valAx>
    </c:plotArea>
    <c:legend>
      <c:legendPos val="r"/>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s-ES"/>
  <c:roundedCorners val="0"/>
  <mc:AlternateContent xmlns:mc="http://schemas.openxmlformats.org/markup-compatibility/2006">
    <mc:Choice xmlns:c14="http://schemas.microsoft.com/office/drawing/2007/8/2/chart" Requires="c14">
      <c14:style val="125"/>
    </mc:Choice>
    <mc:Fallback>
      <c:style val="25"/>
    </mc:Fallback>
  </mc:AlternateContent>
  <c:chart>
    <c:title>
      <c:tx>
        <c:rich>
          <a:bodyPr/>
          <a:lstStyle/>
          <a:p>
            <a:pPr>
              <a:defRPr/>
            </a:pPr>
            <a:r>
              <a:rPr lang="es-ES"/>
              <a:t>Precios/kilo</a:t>
            </a:r>
          </a:p>
        </c:rich>
      </c:tx>
      <c:overlay val="0"/>
    </c:title>
    <c:autoTitleDeleted val="0"/>
    <c:plotArea>
      <c:layout/>
      <c:barChart>
        <c:barDir val="col"/>
        <c:grouping val="clustered"/>
        <c:varyColors val="0"/>
        <c:ser>
          <c:idx val="0"/>
          <c:order val="0"/>
          <c:tx>
            <c:strRef>
              <c:f>Hoja1!$B$1</c:f>
              <c:strCache>
                <c:ptCount val="1"/>
                <c:pt idx="0">
                  <c:v>2012</c:v>
                </c:pt>
              </c:strCache>
            </c:strRef>
          </c:tx>
          <c:invertIfNegative val="0"/>
          <c:dLbls>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MARIHUANA</c:v>
                </c:pt>
                <c:pt idx="1">
                  <c:v>HACHÍS</c:v>
                </c:pt>
                <c:pt idx="2">
                  <c:v>SPEED</c:v>
                </c:pt>
                <c:pt idx="3">
                  <c:v>COCAÍNA</c:v>
                </c:pt>
                <c:pt idx="4">
                  <c:v>HEROÍNA</c:v>
                </c:pt>
              </c:strCache>
            </c:strRef>
          </c:cat>
          <c:val>
            <c:numRef>
              <c:f>Hoja1!$B$2:$B$6</c:f>
              <c:numCache>
                <c:formatCode>"€"#,##0_);[Red]\("€"#,##0\)</c:formatCode>
                <c:ptCount val="5"/>
                <c:pt idx="0">
                  <c:v>1077</c:v>
                </c:pt>
                <c:pt idx="1">
                  <c:v>1555</c:v>
                </c:pt>
                <c:pt idx="2">
                  <c:v>17464</c:v>
                </c:pt>
                <c:pt idx="3">
                  <c:v>34073</c:v>
                </c:pt>
                <c:pt idx="4">
                  <c:v>32677</c:v>
                </c:pt>
              </c:numCache>
            </c:numRef>
          </c:val>
        </c:ser>
        <c:ser>
          <c:idx val="1"/>
          <c:order val="1"/>
          <c:tx>
            <c:strRef>
              <c:f>Hoja1!$C$1</c:f>
              <c:strCache>
                <c:ptCount val="1"/>
                <c:pt idx="0">
                  <c:v>2011</c:v>
                </c:pt>
              </c:strCache>
            </c:strRef>
          </c:tx>
          <c:invertIfNegative val="0"/>
          <c:dLbls>
            <c:txPr>
              <a:bodyPr rot="-5400000" vert="horz"/>
              <a:lstStyle/>
              <a:p>
                <a:pPr>
                  <a:defRPr b="1"/>
                </a:pPr>
                <a:endParaRPr lang="es-ES"/>
              </a:p>
            </c:txPr>
            <c:dLblPos val="ctr"/>
            <c:showLegendKey val="0"/>
            <c:showVal val="1"/>
            <c:showCatName val="0"/>
            <c:showSerName val="0"/>
            <c:showPercent val="0"/>
            <c:showBubbleSize val="0"/>
            <c:showLeaderLines val="0"/>
          </c:dLbls>
          <c:cat>
            <c:strRef>
              <c:f>Hoja1!$A$2:$A$6</c:f>
              <c:strCache>
                <c:ptCount val="5"/>
                <c:pt idx="0">
                  <c:v>MARIHUANA</c:v>
                </c:pt>
                <c:pt idx="1">
                  <c:v>HACHÍS</c:v>
                </c:pt>
                <c:pt idx="2">
                  <c:v>SPEED</c:v>
                </c:pt>
                <c:pt idx="3">
                  <c:v>COCAÍNA</c:v>
                </c:pt>
                <c:pt idx="4">
                  <c:v>HEROÍNA</c:v>
                </c:pt>
              </c:strCache>
            </c:strRef>
          </c:cat>
          <c:val>
            <c:numRef>
              <c:f>Hoja1!$C$2:$C$6</c:f>
              <c:numCache>
                <c:formatCode>"€"#,##0_);[Red]\("€"#,##0\)</c:formatCode>
                <c:ptCount val="5"/>
                <c:pt idx="0">
                  <c:v>1059</c:v>
                </c:pt>
                <c:pt idx="1">
                  <c:v>1460</c:v>
                </c:pt>
                <c:pt idx="2">
                  <c:v>17255</c:v>
                </c:pt>
                <c:pt idx="3">
                  <c:v>34294</c:v>
                </c:pt>
                <c:pt idx="4">
                  <c:v>31897</c:v>
                </c:pt>
              </c:numCache>
            </c:numRef>
          </c:val>
        </c:ser>
        <c:dLbls>
          <c:dLblPos val="ctr"/>
          <c:showLegendKey val="0"/>
          <c:showVal val="1"/>
          <c:showCatName val="0"/>
          <c:showSerName val="0"/>
          <c:showPercent val="0"/>
          <c:showBubbleSize val="0"/>
        </c:dLbls>
        <c:gapWidth val="150"/>
        <c:axId val="113616384"/>
        <c:axId val="113617920"/>
      </c:barChart>
      <c:catAx>
        <c:axId val="113616384"/>
        <c:scaling>
          <c:orientation val="minMax"/>
        </c:scaling>
        <c:delete val="0"/>
        <c:axPos val="b"/>
        <c:majorTickMark val="out"/>
        <c:minorTickMark val="none"/>
        <c:tickLblPos val="nextTo"/>
        <c:crossAx val="113617920"/>
        <c:crosses val="autoZero"/>
        <c:auto val="1"/>
        <c:lblAlgn val="ctr"/>
        <c:lblOffset val="100"/>
        <c:noMultiLvlLbl val="0"/>
      </c:catAx>
      <c:valAx>
        <c:axId val="113617920"/>
        <c:scaling>
          <c:orientation val="minMax"/>
        </c:scaling>
        <c:delete val="0"/>
        <c:axPos val="l"/>
        <c:majorGridlines/>
        <c:numFmt formatCode="&quot;€&quot;#,##0_);[Red]\(&quot;€&quot;#,##0\)" sourceLinked="1"/>
        <c:majorTickMark val="out"/>
        <c:minorTickMark val="none"/>
        <c:tickLblPos val="nextTo"/>
        <c:crossAx val="1136163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Álv11</b:Tag>
    <b:SourceType>Book</b:SourceType>
    <b:Guid>{0F6B83C6-08B1-49FE-A48D-4FF2EA0C33D7}</b:Guid>
    <b:Author>
      <b:Author>
        <b:NameList>
          <b:Person>
            <b:Last>Álvarez García</b:Last>
            <b:First>F.J.(dir.)</b:First>
            <b:Middle>Manjón-Cabeza Olmeda, A.</b:Middle>
          </b:Person>
        </b:NameList>
      </b:Author>
    </b:Author>
    <b:Title>Derecho Penal Español Parte Especial (II)</b:Title>
    <b:Year>2011</b:Year>
    <b:City>Valencia</b:City>
    <b:Publisher>Tirant Lo Blanch</b:Publisher>
    <b:RefOrder>1</b:RefOrder>
  </b:Source>
</b:Sources>
</file>

<file path=customXml/itemProps1.xml><?xml version="1.0" encoding="utf-8"?>
<ds:datastoreItem xmlns:ds="http://schemas.openxmlformats.org/officeDocument/2006/customXml" ds:itemID="{9AF5BFCE-1010-45EA-864E-3C11C738FF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1922</TotalTime>
  <Pages>55</Pages>
  <Words>18624</Words>
  <Characters>102438</Characters>
  <Application>Microsoft Office Word</Application>
  <DocSecurity>0</DocSecurity>
  <Lines>853</Lines>
  <Paragraphs>241</Paragraphs>
  <ScaleCrop>false</ScaleCrop>
  <HeadingPairs>
    <vt:vector size="2" baseType="variant">
      <vt:variant>
        <vt:lpstr>Título</vt:lpstr>
      </vt:variant>
      <vt:variant>
        <vt:i4>1</vt:i4>
      </vt:variant>
    </vt:vector>
  </HeadingPairs>
  <TitlesOfParts>
    <vt:vector size="1" baseType="lpstr">
      <vt:lpstr/>
    </vt:vector>
  </TitlesOfParts>
  <Company>GP</Company>
  <LinksUpToDate>false</LinksUpToDate>
  <CharactersWithSpaces>120821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167</cp:revision>
  <dcterms:created xsi:type="dcterms:W3CDTF">2014-07-08T15:02:00Z</dcterms:created>
  <dcterms:modified xsi:type="dcterms:W3CDTF">2014-07-23T10:41:00Z</dcterms:modified>
</cp:coreProperties>
</file>