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2019456324"/>
        <w:docPartObj>
          <w:docPartGallery w:val="Cover Pages"/>
          <w:docPartUnique/>
        </w:docPartObj>
      </w:sdtPr>
      <w:sdtEndPr>
        <w:rPr>
          <w:rFonts w:ascii="Times New Roman" w:hAnsi="Times New Roman" w:cs="Times New Roman"/>
          <w:color w:val="000000" w:themeColor="text1"/>
          <w:sz w:val="24"/>
          <w:szCs w:val="24"/>
        </w:rPr>
      </w:sdtEndPr>
      <w:sdtContent>
        <w:p w:rsidR="00194220" w:rsidRPr="00B9129F" w:rsidRDefault="00194220" w:rsidP="004B3B5B">
          <w:r>
            <w:rPr>
              <w:noProof/>
              <w:lang w:eastAsia="es-ES"/>
            </w:rPr>
            <w:drawing>
              <wp:anchor distT="0" distB="0" distL="114300" distR="114300" simplePos="0" relativeHeight="251661312" behindDoc="0" locked="0" layoutInCell="0" allowOverlap="1" wp14:anchorId="3BFD3EDC" wp14:editId="7D6158CE">
                <wp:simplePos x="0" y="0"/>
                <wp:positionH relativeFrom="column">
                  <wp:posOffset>3354705</wp:posOffset>
                </wp:positionH>
                <wp:positionV relativeFrom="paragraph">
                  <wp:posOffset>197485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s-ES"/>
            </w:rPr>
            <mc:AlternateContent>
              <mc:Choice Requires="wps">
                <w:drawing>
                  <wp:anchor distT="0" distB="0" distL="114300" distR="114300" simplePos="0" relativeHeight="251659264" behindDoc="0" locked="0" layoutInCell="0" allowOverlap="1" wp14:anchorId="1A98E3B4" wp14:editId="76643672">
                    <wp:simplePos x="0" y="0"/>
                    <wp:positionH relativeFrom="column">
                      <wp:posOffset>-891540</wp:posOffset>
                    </wp:positionH>
                    <wp:positionV relativeFrom="paragraph">
                      <wp:posOffset>-800735</wp:posOffset>
                    </wp:positionV>
                    <wp:extent cx="2295525" cy="10496550"/>
                    <wp:effectExtent l="0" t="0" r="9525"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0496550"/>
                            </a:xfrm>
                            <a:prstGeom prst="rect">
                              <a:avLst/>
                            </a:prstGeom>
                            <a:solidFill>
                              <a:srgbClr val="EA0000"/>
                            </a:solidFill>
                            <a:ln>
                              <a:noFill/>
                            </a:ln>
                            <a:extLst/>
                          </wps:spPr>
                          <wps:txbx>
                            <w:txbxContent>
                              <w:p w:rsidR="0046254B" w:rsidRPr="00194220" w:rsidRDefault="0046254B" w:rsidP="00194220">
                                <w:pPr>
                                  <w:pStyle w:val="Ttulo2"/>
                                  <w:jc w:val="center"/>
                                  <w:rPr>
                                    <w:rFonts w:ascii="Arial" w:hAnsi="Arial" w:cs="Arial"/>
                                    <w:color w:val="70AD47" w:themeColor="accent6"/>
                                    <w:sz w:val="72"/>
                                  </w:rPr>
                                </w:pPr>
                                <w:r w:rsidRPr="00194220">
                                  <w:rPr>
                                    <w:rFonts w:ascii="Arial" w:hAnsi="Arial" w:cs="Arial"/>
                                    <w:color w:val="70AD47" w:themeColor="accent6"/>
                                    <w:sz w:val="72"/>
                                  </w:rPr>
                                  <w:t>Facultad de Ciencias Sociales y Jurídicas</w:t>
                                </w:r>
                              </w:p>
                              <w:p w:rsidR="0046254B" w:rsidRPr="00194220" w:rsidRDefault="0046254B" w:rsidP="00194220">
                                <w:pPr>
                                  <w:pStyle w:val="Ttulo1"/>
                                  <w:jc w:val="center"/>
                                  <w:rPr>
                                    <w:rFonts w:ascii="Arial Narrow" w:hAnsi="Arial Narrow"/>
                                    <w:sz w:val="96"/>
                                    <w:szCs w:val="96"/>
                                    <w14:textOutline w14:w="9525" w14:cap="flat" w14:cmpd="sng" w14:algn="ctr">
                                      <w14:solidFill>
                                        <w14:srgbClr w14:val="FFFFFF"/>
                                      </w14:solidFill>
                                      <w14:prstDash w14:val="solid"/>
                                      <w14:round/>
                                    </w14:textOutline>
                                  </w:rPr>
                                </w:pPr>
                                <w:r w:rsidRPr="00194220">
                                  <w:rPr>
                                    <w:rFonts w:ascii="Arial Narrow" w:hAnsi="Arial Narrow"/>
                                    <w:color w:val="000000"/>
                                    <w:sz w:val="96"/>
                                    <w:szCs w:val="96"/>
                                  </w:rPr>
                                  <w:t>Grado en Derecho</w:t>
                                </w:r>
                              </w:p>
                              <w:p w:rsidR="0046254B" w:rsidRDefault="0046254B"/>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70.2pt;margin-top:-63.05pt;width:180.75pt;height:82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" o:allowincell="f" fillcolor="#ea0000" stroked="f">
                    <v:textbox style="layout-flow:vertical;mso-layout-flow-alt:bottom-to-top">
                      <w:txbxContent>
                        <w:p w:rsidR="0046254B" w:rsidRPr="00194220" w:rsidRDefault="0046254B" w:rsidP="00194220">
                          <w:pPr>
                            <w:pStyle w:val="Ttulo2"/>
                            <w:jc w:val="center"/>
                            <w:rPr>
                              <w:rFonts w:ascii="Arial" w:hAnsi="Arial" w:cs="Arial"/>
                              <w:color w:val="70AD47" w:themeColor="accent6"/>
                              <w:sz w:val="72"/>
                            </w:rPr>
                          </w:pPr>
                          <w:r w:rsidRPr="00194220">
                            <w:rPr>
                              <w:rFonts w:ascii="Arial" w:hAnsi="Arial" w:cs="Arial"/>
                              <w:color w:val="70AD47" w:themeColor="accent6"/>
                              <w:sz w:val="72"/>
                            </w:rPr>
                            <w:t>Facultad de Ciencias Sociales y Jurídicas</w:t>
                          </w:r>
                        </w:p>
                        <w:p w:rsidR="0046254B" w:rsidRPr="00194220" w:rsidRDefault="0046254B" w:rsidP="00194220">
                          <w:pPr>
                            <w:pStyle w:val="Ttulo1"/>
                            <w:jc w:val="center"/>
                            <w:rPr>
                              <w:rFonts w:ascii="Arial Narrow" w:hAnsi="Arial Narrow"/>
                              <w:sz w:val="96"/>
                              <w:szCs w:val="96"/>
                              <w14:textOutline w14:w="9525" w14:cap="flat" w14:cmpd="sng" w14:algn="ctr">
                                <w14:solidFill>
                                  <w14:srgbClr w14:val="FFFFFF"/>
                                </w14:solidFill>
                                <w14:prstDash w14:val="solid"/>
                                <w14:round/>
                              </w14:textOutline>
                            </w:rPr>
                          </w:pPr>
                          <w:r w:rsidRPr="00194220">
                            <w:rPr>
                              <w:rFonts w:ascii="Arial Narrow" w:hAnsi="Arial Narrow"/>
                              <w:color w:val="000000"/>
                              <w:sz w:val="96"/>
                              <w:szCs w:val="96"/>
                            </w:rPr>
                            <w:t>Grado en Derecho</w:t>
                          </w:r>
                        </w:p>
                        <w:p w:rsidR="0046254B" w:rsidRDefault="0046254B"/>
                      </w:txbxContent>
                    </v:textbox>
                  </v:shape>
                </w:pict>
              </mc:Fallback>
            </mc:AlternateContent>
          </w:r>
        </w:p>
        <w:p w:rsidR="0018480A" w:rsidRDefault="0018480A">
          <w:pPr>
            <w:rPr>
              <w:rFonts w:ascii="Times New Roman" w:hAnsi="Times New Roman" w:cs="Times New Roman"/>
              <w:color w:val="000000" w:themeColor="text1"/>
              <w:sz w:val="24"/>
              <w:szCs w:val="24"/>
            </w:rPr>
          </w:pPr>
          <w:r>
            <w:rPr>
              <w:noProof/>
              <w:lang w:eastAsia="es-ES"/>
            </w:rPr>
            <mc:AlternateContent>
              <mc:Choice Requires="wps">
                <w:drawing>
                  <wp:anchor distT="0" distB="0" distL="114300" distR="114300" simplePos="0" relativeHeight="251663360" behindDoc="0" locked="0" layoutInCell="0" allowOverlap="1" wp14:anchorId="593C0C9F" wp14:editId="6FBD0E2B">
                    <wp:simplePos x="0" y="0"/>
                    <wp:positionH relativeFrom="column">
                      <wp:posOffset>1393825</wp:posOffset>
                    </wp:positionH>
                    <wp:positionV relativeFrom="paragraph">
                      <wp:posOffset>635</wp:posOffset>
                    </wp:positionV>
                    <wp:extent cx="5113020" cy="2591435"/>
                    <wp:effectExtent l="0" t="0" r="0" b="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25914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6254B" w:rsidRPr="00194220" w:rsidRDefault="0046254B" w:rsidP="00194220">
                                <w:pPr>
                                  <w:pStyle w:val="Ttulo6"/>
                                  <w:jc w:val="center"/>
                                  <w:rPr>
                                    <w:rFonts w:ascii="NewBskvll BT" w:hAnsi="NewBskvll BT"/>
                                    <w:b/>
                                    <w:color w:val="000000" w:themeColor="text1"/>
                                    <w:sz w:val="28"/>
                                    <w:szCs w:val="28"/>
                                  </w:rPr>
                                </w:pPr>
                                <w:r w:rsidRPr="00194220">
                                  <w:rPr>
                                    <w:rFonts w:ascii="NewBskvll BT" w:hAnsi="NewBskvll BT"/>
                                    <w:b/>
                                    <w:color w:val="000000" w:themeColor="text1"/>
                                    <w:sz w:val="28"/>
                                    <w:szCs w:val="28"/>
                                  </w:rPr>
                                  <w:t>UNIVERSIDAD DE JAÉN</w:t>
                                </w:r>
                              </w:p>
                              <w:p w:rsidR="0046254B" w:rsidRPr="00194220" w:rsidRDefault="0046254B" w:rsidP="00194220">
                                <w:pPr>
                                  <w:pStyle w:val="Ttulo3"/>
                                  <w:jc w:val="center"/>
                                  <w:rPr>
                                    <w:rFonts w:ascii="NewBskvll BT" w:hAnsi="NewBskvll BT"/>
                                    <w:i/>
                                    <w:color w:val="000000" w:themeColor="text1"/>
                                  </w:rPr>
                                </w:pPr>
                                <w:r w:rsidRPr="00194220">
                                  <w:rPr>
                                    <w:rFonts w:ascii="NewBskvll BT" w:hAnsi="NewBskvll BT"/>
                                    <w:i/>
                                    <w:color w:val="000000" w:themeColor="text1"/>
                                  </w:rPr>
                                  <w:t>Facultad de Ciencias Sociales y Jurídicas</w:t>
                                </w:r>
                              </w:p>
                              <w:p w:rsidR="0046254B" w:rsidRDefault="0046254B" w:rsidP="00194220"/>
                              <w:p w:rsidR="0046254B" w:rsidRDefault="0046254B" w:rsidP="00194220"/>
                              <w:p w:rsidR="0046254B" w:rsidRPr="0018480A" w:rsidRDefault="0046254B" w:rsidP="00194220">
                                <w:pPr>
                                  <w:jc w:val="center"/>
                                  <w:rPr>
                                    <w:rFonts w:ascii="Times New Roman" w:hAnsi="Times New Roman" w:cs="Times New Roman"/>
                                    <w:sz w:val="44"/>
                                    <w:szCs w:val="44"/>
                                    <w:u w:val="single"/>
                                  </w:rPr>
                                </w:pPr>
                                <w:r w:rsidRPr="0018480A">
                                  <w:rPr>
                                    <w:rFonts w:ascii="Times New Roman" w:hAnsi="Times New Roman" w:cs="Times New Roman"/>
                                    <w:sz w:val="44"/>
                                    <w:szCs w:val="44"/>
                                    <w:u w:val="single"/>
                                  </w:rPr>
                                  <w:t>TRABAJO FIN DE GRADO</w:t>
                                </w:r>
                              </w:p>
                              <w:p w:rsidR="0046254B" w:rsidRPr="0018480A" w:rsidRDefault="0046254B" w:rsidP="00194220">
                                <w:pPr>
                                  <w:rPr>
                                    <w:rFonts w:ascii="Times New Roman" w:hAnsi="Times New Roman" w:cs="Times New Roman"/>
                                  </w:rPr>
                                </w:pPr>
                              </w:p>
                              <w:p w:rsidR="0046254B" w:rsidRDefault="0046254B" w:rsidP="00194220"/>
                              <w:p w:rsidR="0046254B" w:rsidRDefault="0046254B" w:rsidP="00194220">
                                <w:pPr>
                                  <w:pStyle w:val="Textoindependiente"/>
                                  <w:rPr>
                                    <w:rFonts w:ascii="Arial" w:hAnsi="Arial"/>
                                    <w:sz w:val="44"/>
                                    <w:u w:val="singl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margin-left:109.75pt;margin-top:.05pt;width:402.6pt;height:204.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7+M5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" o:allowincell="f" stroked="f">
                    <v:textbox>
                      <w:txbxContent>
                        <w:p w:rsidR="0046254B" w:rsidRPr="00194220" w:rsidRDefault="0046254B" w:rsidP="00194220">
                          <w:pPr>
                            <w:pStyle w:val="Ttulo6"/>
                            <w:jc w:val="center"/>
                            <w:rPr>
                              <w:rFonts w:ascii="NewBskvll BT" w:hAnsi="NewBskvll BT"/>
                              <w:b/>
                              <w:color w:val="000000" w:themeColor="text1"/>
                              <w:sz w:val="28"/>
                              <w:szCs w:val="28"/>
                            </w:rPr>
                          </w:pPr>
                          <w:r w:rsidRPr="00194220">
                            <w:rPr>
                              <w:rFonts w:ascii="NewBskvll BT" w:hAnsi="NewBskvll BT"/>
                              <w:b/>
                              <w:color w:val="000000" w:themeColor="text1"/>
                              <w:sz w:val="28"/>
                              <w:szCs w:val="28"/>
                            </w:rPr>
                            <w:t>UNIVERSIDAD DE JAÉN</w:t>
                          </w:r>
                        </w:p>
                        <w:p w:rsidR="0046254B" w:rsidRPr="00194220" w:rsidRDefault="0046254B" w:rsidP="00194220">
                          <w:pPr>
                            <w:pStyle w:val="Ttulo3"/>
                            <w:jc w:val="center"/>
                            <w:rPr>
                              <w:rFonts w:ascii="NewBskvll BT" w:hAnsi="NewBskvll BT"/>
                              <w:i/>
                              <w:color w:val="000000" w:themeColor="text1"/>
                            </w:rPr>
                          </w:pPr>
                          <w:r w:rsidRPr="00194220">
                            <w:rPr>
                              <w:rFonts w:ascii="NewBskvll BT" w:hAnsi="NewBskvll BT"/>
                              <w:i/>
                              <w:color w:val="000000" w:themeColor="text1"/>
                            </w:rPr>
                            <w:t>Facultad de Ciencias Sociales y Jurídicas</w:t>
                          </w:r>
                        </w:p>
                        <w:p w:rsidR="0046254B" w:rsidRDefault="0046254B" w:rsidP="00194220"/>
                        <w:p w:rsidR="0046254B" w:rsidRDefault="0046254B" w:rsidP="00194220"/>
                        <w:p w:rsidR="0046254B" w:rsidRPr="0018480A" w:rsidRDefault="0046254B" w:rsidP="00194220">
                          <w:pPr>
                            <w:jc w:val="center"/>
                            <w:rPr>
                              <w:rFonts w:ascii="Times New Roman" w:hAnsi="Times New Roman" w:cs="Times New Roman"/>
                              <w:sz w:val="44"/>
                              <w:szCs w:val="44"/>
                              <w:u w:val="single"/>
                            </w:rPr>
                          </w:pPr>
                          <w:r w:rsidRPr="0018480A">
                            <w:rPr>
                              <w:rFonts w:ascii="Times New Roman" w:hAnsi="Times New Roman" w:cs="Times New Roman"/>
                              <w:sz w:val="44"/>
                              <w:szCs w:val="44"/>
                              <w:u w:val="single"/>
                            </w:rPr>
                            <w:t>TRABAJO FIN DE GRADO</w:t>
                          </w:r>
                        </w:p>
                        <w:p w:rsidR="0046254B" w:rsidRPr="0018480A" w:rsidRDefault="0046254B" w:rsidP="00194220">
                          <w:pPr>
                            <w:rPr>
                              <w:rFonts w:ascii="Times New Roman" w:hAnsi="Times New Roman" w:cs="Times New Roman"/>
                            </w:rPr>
                          </w:pPr>
                        </w:p>
                        <w:p w:rsidR="0046254B" w:rsidRDefault="0046254B" w:rsidP="00194220"/>
                        <w:p w:rsidR="0046254B" w:rsidRDefault="0046254B" w:rsidP="00194220">
                          <w:pPr>
                            <w:pStyle w:val="Textoindependiente"/>
                            <w:rPr>
                              <w:rFonts w:ascii="Arial" w:hAnsi="Arial"/>
                              <w:sz w:val="44"/>
                              <w:u w:val="single"/>
                            </w:rPr>
                          </w:pPr>
                        </w:p>
                      </w:txbxContent>
                    </v:textbox>
                  </v:shape>
                </w:pict>
              </mc:Fallback>
            </mc:AlternateContent>
          </w:r>
          <w:r w:rsidR="00194220">
            <w:rPr>
              <w:noProof/>
              <w:lang w:eastAsia="es-ES"/>
            </w:rPr>
            <mc:AlternateContent>
              <mc:Choice Requires="wps">
                <w:drawing>
                  <wp:anchor distT="0" distB="0" distL="114300" distR="114300" simplePos="0" relativeHeight="251667456" behindDoc="0" locked="0" layoutInCell="0" allowOverlap="1" wp14:anchorId="7D89AD3E" wp14:editId="25C83137">
                    <wp:simplePos x="0" y="0"/>
                    <wp:positionH relativeFrom="margin">
                      <wp:posOffset>1545590</wp:posOffset>
                    </wp:positionH>
                    <wp:positionV relativeFrom="paragraph">
                      <wp:posOffset>6525260</wp:posOffset>
                    </wp:positionV>
                    <wp:extent cx="4945380" cy="2834640"/>
                    <wp:effectExtent l="0" t="0" r="7620" b="3810"/>
                    <wp:wrapNone/>
                    <wp:docPr id="1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45380" cy="283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6254B" w:rsidRPr="0018480A" w:rsidRDefault="0046254B" w:rsidP="00194220">
                                <w:pPr>
                                  <w:pStyle w:val="Ttulo5"/>
                                  <w:jc w:val="center"/>
                                  <w:rPr>
                                    <w:rFonts w:ascii="Times New Roman" w:hAnsi="Times New Roman"/>
                                    <w:u w:val="none"/>
                                  </w:rPr>
                                </w:pPr>
                                <w:r w:rsidRPr="0018480A">
                                  <w:rPr>
                                    <w:rFonts w:ascii="Times New Roman" w:hAnsi="Times New Roman"/>
                                    <w:u w:val="none"/>
                                  </w:rPr>
                                  <w:t xml:space="preserve">Alumno: </w:t>
                                </w:r>
                              </w:p>
                              <w:p w:rsidR="0046254B" w:rsidRPr="0018480A" w:rsidRDefault="0046254B" w:rsidP="00194220">
                                <w:pPr>
                                  <w:rPr>
                                    <w:rFonts w:ascii="Times New Roman" w:hAnsi="Times New Roman" w:cs="Times New Roman"/>
                                    <w:lang w:eastAsia="es-ES"/>
                                  </w:rPr>
                                </w:pPr>
                              </w:p>
                              <w:p w:rsidR="0046254B" w:rsidRPr="0018480A" w:rsidRDefault="0046254B" w:rsidP="00194220">
                                <w:pPr>
                                  <w:jc w:val="center"/>
                                  <w:rPr>
                                    <w:rFonts w:ascii="Times New Roman" w:hAnsi="Times New Roman" w:cs="Times New Roman"/>
                                    <w:sz w:val="32"/>
                                    <w:szCs w:val="32"/>
                                    <w:lang w:eastAsia="es-ES"/>
                                  </w:rPr>
                                </w:pPr>
                                <w:r>
                                  <w:rPr>
                                    <w:rFonts w:ascii="Times New Roman" w:hAnsi="Times New Roman" w:cs="Times New Roman"/>
                                    <w:sz w:val="32"/>
                                    <w:szCs w:val="32"/>
                                    <w:lang w:eastAsia="es-ES"/>
                                  </w:rPr>
                                  <w:t>JULIÁN CABRERA LÓPEZ- OBREGÓN</w:t>
                                </w:r>
                              </w:p>
                              <w:p w:rsidR="0046254B" w:rsidRPr="0018480A" w:rsidRDefault="0046254B" w:rsidP="00194220">
                                <w:pPr>
                                  <w:jc w:val="center"/>
                                  <w:rPr>
                                    <w:rFonts w:ascii="Times New Roman" w:hAnsi="Times New Roman" w:cs="Times New Roman"/>
                                    <w:sz w:val="32"/>
                                  </w:rPr>
                                </w:pPr>
                              </w:p>
                              <w:p w:rsidR="0046254B" w:rsidRDefault="0046254B" w:rsidP="00194220">
                                <w:pPr>
                                  <w:jc w:val="center"/>
                                  <w:rPr>
                                    <w:rFonts w:ascii="Arial" w:hAnsi="Arial"/>
                                    <w:sz w:val="32"/>
                                  </w:rPr>
                                </w:pPr>
                              </w:p>
                              <w:p w:rsidR="0046254B" w:rsidRDefault="0046254B" w:rsidP="00194220">
                                <w:pPr>
                                  <w:jc w:val="center"/>
                                  <w:rPr>
                                    <w:rFonts w:ascii="Arial" w:hAnsi="Arial"/>
                                    <w:sz w:val="32"/>
                                  </w:rPr>
                                </w:pPr>
                              </w:p>
                              <w:p w:rsidR="0046254B" w:rsidRDefault="0046254B" w:rsidP="00194220">
                                <w:pPr>
                                  <w:jc w:val="center"/>
                                  <w:rPr>
                                    <w:rFonts w:ascii="Arial" w:hAnsi="Arial"/>
                                    <w:sz w:val="32"/>
                                  </w:rPr>
                                </w:pPr>
                              </w:p>
                              <w:p w:rsidR="0046254B" w:rsidRDefault="0046254B" w:rsidP="00194220">
                                <w:pPr>
                                  <w:pStyle w:val="Ttulo4"/>
                                  <w:rPr>
                                    <w:b/>
                                    <w:sz w:val="36"/>
                                  </w:rPr>
                                </w:pPr>
                                <w:r>
                                  <w:rPr>
                                    <w:b/>
                                    <w:sz w:val="36"/>
                                  </w:rPr>
                                  <w:t>JUNIO, 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margin-left:121.7pt;margin-top:513.8pt;width:389.4pt;height:223.2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" o:allowincell="f" stroked="f">
                    <v:textbox>
                      <w:txbxContent>
                        <w:p w:rsidR="0046254B" w:rsidRPr="0018480A" w:rsidRDefault="0046254B" w:rsidP="00194220">
                          <w:pPr>
                            <w:pStyle w:val="Ttulo5"/>
                            <w:jc w:val="center"/>
                            <w:rPr>
                              <w:rFonts w:ascii="Times New Roman" w:hAnsi="Times New Roman"/>
                              <w:u w:val="none"/>
                            </w:rPr>
                          </w:pPr>
                          <w:r w:rsidRPr="0018480A">
                            <w:rPr>
                              <w:rFonts w:ascii="Times New Roman" w:hAnsi="Times New Roman"/>
                              <w:u w:val="none"/>
                            </w:rPr>
                            <w:t xml:space="preserve">Alumno: </w:t>
                          </w:r>
                        </w:p>
                        <w:p w:rsidR="0046254B" w:rsidRPr="0018480A" w:rsidRDefault="0046254B" w:rsidP="00194220">
                          <w:pPr>
                            <w:rPr>
                              <w:rFonts w:ascii="Times New Roman" w:hAnsi="Times New Roman" w:cs="Times New Roman"/>
                              <w:lang w:eastAsia="es-ES"/>
                            </w:rPr>
                          </w:pPr>
                        </w:p>
                        <w:p w:rsidR="0046254B" w:rsidRPr="0018480A" w:rsidRDefault="0046254B" w:rsidP="00194220">
                          <w:pPr>
                            <w:jc w:val="center"/>
                            <w:rPr>
                              <w:rFonts w:ascii="Times New Roman" w:hAnsi="Times New Roman" w:cs="Times New Roman"/>
                              <w:sz w:val="32"/>
                              <w:szCs w:val="32"/>
                              <w:lang w:eastAsia="es-ES"/>
                            </w:rPr>
                          </w:pPr>
                          <w:r>
                            <w:rPr>
                              <w:rFonts w:ascii="Times New Roman" w:hAnsi="Times New Roman" w:cs="Times New Roman"/>
                              <w:sz w:val="32"/>
                              <w:szCs w:val="32"/>
                              <w:lang w:eastAsia="es-ES"/>
                            </w:rPr>
                            <w:t>JULIÁN CABRERA LÓPEZ- OBREGÓN</w:t>
                          </w:r>
                        </w:p>
                        <w:p w:rsidR="0046254B" w:rsidRPr="0018480A" w:rsidRDefault="0046254B" w:rsidP="00194220">
                          <w:pPr>
                            <w:jc w:val="center"/>
                            <w:rPr>
                              <w:rFonts w:ascii="Times New Roman" w:hAnsi="Times New Roman" w:cs="Times New Roman"/>
                              <w:sz w:val="32"/>
                            </w:rPr>
                          </w:pPr>
                        </w:p>
                        <w:p w:rsidR="0046254B" w:rsidRDefault="0046254B" w:rsidP="00194220">
                          <w:pPr>
                            <w:jc w:val="center"/>
                            <w:rPr>
                              <w:rFonts w:ascii="Arial" w:hAnsi="Arial"/>
                              <w:sz w:val="32"/>
                            </w:rPr>
                          </w:pPr>
                        </w:p>
                        <w:p w:rsidR="0046254B" w:rsidRDefault="0046254B" w:rsidP="00194220">
                          <w:pPr>
                            <w:jc w:val="center"/>
                            <w:rPr>
                              <w:rFonts w:ascii="Arial" w:hAnsi="Arial"/>
                              <w:sz w:val="32"/>
                            </w:rPr>
                          </w:pPr>
                        </w:p>
                        <w:p w:rsidR="0046254B" w:rsidRDefault="0046254B" w:rsidP="00194220">
                          <w:pPr>
                            <w:jc w:val="center"/>
                            <w:rPr>
                              <w:rFonts w:ascii="Arial" w:hAnsi="Arial"/>
                              <w:sz w:val="32"/>
                            </w:rPr>
                          </w:pPr>
                        </w:p>
                        <w:p w:rsidR="0046254B" w:rsidRDefault="0046254B" w:rsidP="00194220">
                          <w:pPr>
                            <w:pStyle w:val="Ttulo4"/>
                            <w:rPr>
                              <w:b/>
                              <w:sz w:val="36"/>
                            </w:rPr>
                          </w:pPr>
                          <w:r>
                            <w:rPr>
                              <w:b/>
                              <w:sz w:val="36"/>
                            </w:rPr>
                            <w:t>JUNIO, 2017</w:t>
                          </w:r>
                        </w:p>
                      </w:txbxContent>
                    </v:textbox>
                    <w10:wrap anchorx="margin"/>
                  </v:shape>
                </w:pict>
              </mc:Fallback>
            </mc:AlternateContent>
          </w:r>
          <w:r w:rsidR="00194220">
            <w:rPr>
              <w:noProof/>
              <w:lang w:eastAsia="es-ES"/>
            </w:rPr>
            <mc:AlternateContent>
              <mc:Choice Requires="wps">
                <w:drawing>
                  <wp:anchor distT="0" distB="0" distL="114300" distR="114300" simplePos="0" relativeHeight="251665408" behindDoc="0" locked="0" layoutInCell="0" allowOverlap="1" wp14:anchorId="0C14D10B" wp14:editId="15A4401B">
                    <wp:simplePos x="0" y="0"/>
                    <wp:positionH relativeFrom="margin">
                      <wp:posOffset>1652270</wp:posOffset>
                    </wp:positionH>
                    <wp:positionV relativeFrom="paragraph">
                      <wp:posOffset>2768600</wp:posOffset>
                    </wp:positionV>
                    <wp:extent cx="4632960" cy="3688080"/>
                    <wp:effectExtent l="0" t="0" r="0" b="762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4632960" cy="36880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6254B" w:rsidRPr="0018480A" w:rsidRDefault="0046254B" w:rsidP="00194220">
                                <w:pPr>
                                  <w:spacing w:line="360" w:lineRule="auto"/>
                                  <w:jc w:val="both"/>
                                  <w:rPr>
                                    <w:rFonts w:ascii="Times New Roman" w:hAnsi="Times New Roman" w:cs="Times New Roman"/>
                                    <w:b/>
                                    <w:color w:val="000000" w:themeColor="text1"/>
                                    <w:sz w:val="64"/>
                                    <w:szCs w:val="64"/>
                                  </w:rPr>
                                </w:pPr>
                                <w:r w:rsidRPr="0018480A">
                                  <w:rPr>
                                    <w:rFonts w:ascii="Times New Roman" w:hAnsi="Times New Roman" w:cs="Times New Roman"/>
                                    <w:b/>
                                    <w:color w:val="000000" w:themeColor="text1"/>
                                    <w:sz w:val="64"/>
                                    <w:szCs w:val="64"/>
                                  </w:rPr>
                                  <w:t>EL ART. 325 CP COMO EJE CENTRAL DE LOS DELITOS MEDIOAMBIENTALES</w:t>
                                </w:r>
                              </w:p>
                              <w:p w:rsidR="0046254B" w:rsidRPr="00194220" w:rsidRDefault="0046254B" w:rsidP="00194220">
                                <w:pPr>
                                  <w:pStyle w:val="Textoindependiente2"/>
                                  <w:rPr>
                                    <w:rFonts w:ascii="Arial" w:hAnsi="Arial" w:cs="Arial"/>
                                    <w:b/>
                                    <w:sz w:val="6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margin-left:130.1pt;margin-top:218pt;width:364.8pt;height:290.4pt;flip:y;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" o:allowincell="f" stroked="f">
                    <v:textbox>
                      <w:txbxContent>
                        <w:p w:rsidR="0046254B" w:rsidRPr="0018480A" w:rsidRDefault="0046254B" w:rsidP="00194220">
                          <w:pPr>
                            <w:spacing w:line="360" w:lineRule="auto"/>
                            <w:jc w:val="both"/>
                            <w:rPr>
                              <w:rFonts w:ascii="Times New Roman" w:hAnsi="Times New Roman" w:cs="Times New Roman"/>
                              <w:b/>
                              <w:color w:val="000000" w:themeColor="text1"/>
                              <w:sz w:val="64"/>
                              <w:szCs w:val="64"/>
                            </w:rPr>
                          </w:pPr>
                          <w:r w:rsidRPr="0018480A">
                            <w:rPr>
                              <w:rFonts w:ascii="Times New Roman" w:hAnsi="Times New Roman" w:cs="Times New Roman"/>
                              <w:b/>
                              <w:color w:val="000000" w:themeColor="text1"/>
                              <w:sz w:val="64"/>
                              <w:szCs w:val="64"/>
                            </w:rPr>
                            <w:t>EL ART. 325 CP COMO EJE CENTRAL DE LOS DELITOS MEDIOAMBIENTALES</w:t>
                          </w:r>
                        </w:p>
                        <w:p w:rsidR="0046254B" w:rsidRPr="00194220" w:rsidRDefault="0046254B" w:rsidP="00194220">
                          <w:pPr>
                            <w:pStyle w:val="Textoindependiente2"/>
                            <w:rPr>
                              <w:rFonts w:ascii="Arial" w:hAnsi="Arial" w:cs="Arial"/>
                              <w:b/>
                              <w:sz w:val="64"/>
                            </w:rPr>
                          </w:pPr>
                        </w:p>
                      </w:txbxContent>
                    </v:textbox>
                    <w10:wrap anchorx="margin"/>
                  </v:shape>
                </w:pict>
              </mc:Fallback>
            </mc:AlternateContent>
          </w:r>
        </w:p>
      </w:sdtContent>
    </w:sdt>
    <w:p w:rsidR="0018480A" w:rsidRDefault="0018480A">
      <w:pPr>
        <w:rPr>
          <w:rFonts w:ascii="Times New Roman" w:hAnsi="Times New Roman" w:cs="Times New Roman"/>
          <w:color w:val="000000" w:themeColor="text1"/>
          <w:sz w:val="24"/>
          <w:szCs w:val="24"/>
        </w:rPr>
      </w:pPr>
    </w:p>
    <w:p w:rsidR="00327E85" w:rsidRDefault="00327E85">
      <w:pPr>
        <w:rPr>
          <w:rFonts w:ascii="Times New Roman" w:hAnsi="Times New Roman" w:cs="Times New Roman"/>
          <w:color w:val="000000" w:themeColor="text1"/>
          <w:sz w:val="24"/>
          <w:szCs w:val="24"/>
        </w:rPr>
      </w:pPr>
    </w:p>
    <w:p w:rsidR="00327E85" w:rsidRPr="0046254B" w:rsidRDefault="00327E85" w:rsidP="0046254B">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br w:type="page"/>
      </w:r>
      <w:r w:rsidRPr="000364B6">
        <w:rPr>
          <w:rFonts w:ascii="Times New Roman" w:hAnsi="Times New Roman" w:cs="Times New Roman"/>
          <w:b/>
          <w:color w:val="000000" w:themeColor="text1"/>
          <w:sz w:val="24"/>
          <w:szCs w:val="24"/>
          <w:u w:val="single"/>
        </w:rPr>
        <w:lastRenderedPageBreak/>
        <w:t>RESUMEN</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El presente Trabajo Fin de Grado tendrá por objeto de estudio el artículo 325 del Código penal español como eje central de la criminalización de las conductas lesivas del medio ambiente o el entorno natural.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Comenzaremos analizando el concepto y la evolución de los delitos tipificados penalmente en España, en concreto las reformas que ha experimentado durante los últimos años y la influencia que ha tenido la Unión Europea en estas reformas penales, todo esto principalmente para tener una primera visión general del panorama medio ambiental español.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Seguidamente, profundizaremos un poco más en estos delitos, dividiéndolos en tres partes, primero los delitos contra los recursos naturales (arts. 325, 326, 326 bis), 327, 328, 329, 330 y 331 CP), analizando cada uno de ellos y en lo que ha afectado a cada uno la reforma propiciada por la LO 1/2015. Posteriormente analizaremos un poco más brevemente los delitos contra la flora, fauna y animales domésticos, debido a que también son delitos medioambientales pero tipificados aparte de los anteriores. Y por último las Disposiciones Generales (arts. 338, 339 y 340 CP) relativas a todos los delitos anteriores.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Por último, y como tema principal del Trabajo, analizaremos técnica y jurídicamente el artículo 325 del Código Penal español,  como ha afectado la reforma a este artículo, el tipo objetivo y subjetivo, la enumeración de las distintas acciones contaminantes que engloba así como el panorama en España de las diferentes acciones nombradas, la penalidad de estas conductas y el subtipo agravado o tipo </w:t>
      </w:r>
      <w:proofErr w:type="spellStart"/>
      <w:r w:rsidRPr="000364B6">
        <w:rPr>
          <w:rFonts w:ascii="Times New Roman" w:hAnsi="Times New Roman" w:cs="Times New Roman"/>
          <w:color w:val="000000" w:themeColor="text1"/>
          <w:sz w:val="24"/>
          <w:szCs w:val="24"/>
        </w:rPr>
        <w:t>hiperagravado</w:t>
      </w:r>
      <w:proofErr w:type="spellEnd"/>
      <w:r w:rsidRPr="000364B6">
        <w:rPr>
          <w:rFonts w:ascii="Times New Roman" w:hAnsi="Times New Roman" w:cs="Times New Roman"/>
          <w:color w:val="000000" w:themeColor="text1"/>
          <w:sz w:val="24"/>
          <w:szCs w:val="24"/>
        </w:rPr>
        <w:t xml:space="preserve"> del art. 325.2 in fine.</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b/>
          <w:color w:val="000000" w:themeColor="text1"/>
          <w:sz w:val="24"/>
          <w:szCs w:val="24"/>
        </w:rPr>
        <w:t xml:space="preserve">Palabras clave: </w:t>
      </w:r>
      <w:r w:rsidRPr="000364B6">
        <w:rPr>
          <w:rFonts w:ascii="Times New Roman" w:hAnsi="Times New Roman" w:cs="Times New Roman"/>
          <w:color w:val="000000" w:themeColor="text1"/>
          <w:sz w:val="24"/>
          <w:szCs w:val="24"/>
        </w:rPr>
        <w:t>Delito, Medio Ambiente, Reforma, Recursos Naturales, Contaminación.</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u w:val="single"/>
          <w:lang w:val="en-US"/>
        </w:rPr>
      </w:pPr>
      <w:r w:rsidRPr="000364B6">
        <w:rPr>
          <w:rFonts w:ascii="Times New Roman" w:hAnsi="Times New Roman" w:cs="Times New Roman"/>
          <w:b/>
          <w:color w:val="000000" w:themeColor="text1"/>
          <w:sz w:val="24"/>
          <w:szCs w:val="24"/>
          <w:u w:val="single"/>
          <w:lang w:val="en-US"/>
        </w:rPr>
        <w:t>ABSTRACT</w:t>
      </w:r>
    </w:p>
    <w:p w:rsidR="00327E85" w:rsidRPr="000364B6" w:rsidRDefault="00327E85" w:rsidP="000364B6">
      <w:pPr>
        <w:spacing w:line="360" w:lineRule="auto"/>
        <w:jc w:val="both"/>
        <w:rPr>
          <w:rFonts w:ascii="Times New Roman" w:hAnsi="Times New Roman" w:cs="Times New Roman"/>
          <w:color w:val="000000" w:themeColor="text1"/>
          <w:sz w:val="24"/>
          <w:szCs w:val="24"/>
          <w:lang w:val="en"/>
        </w:rPr>
      </w:pPr>
      <w:r w:rsidRPr="000364B6">
        <w:rPr>
          <w:rFonts w:ascii="Times New Roman" w:hAnsi="Times New Roman" w:cs="Times New Roman"/>
          <w:color w:val="000000" w:themeColor="text1"/>
          <w:sz w:val="24"/>
          <w:szCs w:val="24"/>
          <w:lang w:val="en-US"/>
        </w:rPr>
        <w:t xml:space="preserve">This Final Degree Project </w:t>
      </w:r>
      <w:r w:rsidRPr="000364B6">
        <w:rPr>
          <w:rFonts w:ascii="Times New Roman" w:hAnsi="Times New Roman" w:cs="Times New Roman"/>
          <w:color w:val="000000" w:themeColor="text1"/>
          <w:sz w:val="24"/>
          <w:szCs w:val="24"/>
          <w:lang w:val="en"/>
        </w:rPr>
        <w:t>will be to study article 325 of the Spanish Penal Code as the central axis of criminalization of conduct harmful to the environment or the natural environment.</w:t>
      </w:r>
    </w:p>
    <w:p w:rsidR="00327E85" w:rsidRPr="000364B6" w:rsidRDefault="00327E85" w:rsidP="000364B6">
      <w:pPr>
        <w:spacing w:line="360" w:lineRule="auto"/>
        <w:jc w:val="both"/>
        <w:rPr>
          <w:rFonts w:ascii="Times New Roman" w:hAnsi="Times New Roman" w:cs="Times New Roman"/>
          <w:color w:val="000000" w:themeColor="text1"/>
          <w:sz w:val="24"/>
          <w:szCs w:val="24"/>
          <w:lang w:val="en"/>
        </w:rPr>
      </w:pPr>
      <w:r w:rsidRPr="000364B6">
        <w:rPr>
          <w:rFonts w:ascii="Times New Roman" w:hAnsi="Times New Roman" w:cs="Times New Roman"/>
          <w:color w:val="000000" w:themeColor="text1"/>
          <w:sz w:val="24"/>
          <w:szCs w:val="24"/>
          <w:lang w:val="en"/>
        </w:rPr>
        <w:t>We will start by analyzing the concept and evolution of criminal offenses criminalized in Spain, in particular the reforms that it has undergone during the last years and the influence that the European Union has had in these criminal reforms, all mainly to have a first overview of the Environmental background Spanish.</w:t>
      </w:r>
    </w:p>
    <w:p w:rsidR="00327E85" w:rsidRPr="000364B6" w:rsidRDefault="00327E85" w:rsidP="000364B6">
      <w:pPr>
        <w:spacing w:line="360" w:lineRule="auto"/>
        <w:jc w:val="both"/>
        <w:rPr>
          <w:rFonts w:ascii="Times New Roman" w:hAnsi="Times New Roman" w:cs="Times New Roman"/>
          <w:color w:val="000000" w:themeColor="text1"/>
          <w:sz w:val="24"/>
          <w:szCs w:val="24"/>
          <w:lang w:val="en"/>
        </w:rPr>
      </w:pPr>
      <w:r w:rsidRPr="000364B6">
        <w:rPr>
          <w:rFonts w:ascii="Times New Roman" w:hAnsi="Times New Roman" w:cs="Times New Roman"/>
          <w:color w:val="000000" w:themeColor="text1"/>
          <w:sz w:val="24"/>
          <w:szCs w:val="24"/>
          <w:lang w:val="en"/>
        </w:rPr>
        <w:lastRenderedPageBreak/>
        <w:t xml:space="preserve">Then, we will delve a little more into these crimes, dividing them into three parts, first crimes against natural resources (arts 325, 326, 326 </w:t>
      </w:r>
      <w:proofErr w:type="spellStart"/>
      <w:r w:rsidRPr="000364B6">
        <w:rPr>
          <w:rFonts w:ascii="Times New Roman" w:hAnsi="Times New Roman" w:cs="Times New Roman"/>
          <w:color w:val="000000" w:themeColor="text1"/>
          <w:sz w:val="24"/>
          <w:szCs w:val="24"/>
          <w:lang w:val="en"/>
        </w:rPr>
        <w:t>bis</w:t>
      </w:r>
      <w:proofErr w:type="spellEnd"/>
      <w:r w:rsidRPr="000364B6">
        <w:rPr>
          <w:rFonts w:ascii="Times New Roman" w:hAnsi="Times New Roman" w:cs="Times New Roman"/>
          <w:color w:val="000000" w:themeColor="text1"/>
          <w:sz w:val="24"/>
          <w:szCs w:val="24"/>
          <w:lang w:val="en"/>
        </w:rPr>
        <w:t xml:space="preserve">), 327, 328, 329, 330 and 331 CP), analyzing each one of them </w:t>
      </w:r>
      <w:proofErr w:type="gramStart"/>
      <w:r w:rsidRPr="000364B6">
        <w:rPr>
          <w:rFonts w:ascii="Times New Roman" w:hAnsi="Times New Roman" w:cs="Times New Roman"/>
          <w:color w:val="000000" w:themeColor="text1"/>
          <w:sz w:val="24"/>
          <w:szCs w:val="24"/>
          <w:lang w:val="en"/>
        </w:rPr>
        <w:t>And</w:t>
      </w:r>
      <w:proofErr w:type="gramEnd"/>
      <w:r w:rsidRPr="000364B6">
        <w:rPr>
          <w:rFonts w:ascii="Times New Roman" w:hAnsi="Times New Roman" w:cs="Times New Roman"/>
          <w:color w:val="000000" w:themeColor="text1"/>
          <w:sz w:val="24"/>
          <w:szCs w:val="24"/>
          <w:lang w:val="en"/>
        </w:rPr>
        <w:t xml:space="preserve"> in what has affected each one the reform promoted by LO 1/2015. Later we will analyze a little more briefly the crimes against flora, fauna and domestic animals, because they are also environmental crimes but classified apart from the previous ones. </w:t>
      </w:r>
      <w:proofErr w:type="gramStart"/>
      <w:r w:rsidRPr="000364B6">
        <w:rPr>
          <w:rFonts w:ascii="Times New Roman" w:hAnsi="Times New Roman" w:cs="Times New Roman"/>
          <w:color w:val="000000" w:themeColor="text1"/>
          <w:sz w:val="24"/>
          <w:szCs w:val="24"/>
          <w:lang w:val="en"/>
        </w:rPr>
        <w:t>And lastly, the General Provisions (articles 338, 339 and 340 CP) relating to all previous crimes.</w:t>
      </w:r>
      <w:proofErr w:type="gramEnd"/>
    </w:p>
    <w:p w:rsidR="00327E85" w:rsidRPr="000364B6" w:rsidRDefault="00327E85" w:rsidP="000364B6">
      <w:pPr>
        <w:spacing w:line="360" w:lineRule="auto"/>
        <w:jc w:val="both"/>
        <w:rPr>
          <w:rFonts w:ascii="Times New Roman" w:hAnsi="Times New Roman" w:cs="Times New Roman"/>
          <w:color w:val="000000" w:themeColor="text1"/>
          <w:sz w:val="24"/>
          <w:szCs w:val="24"/>
          <w:lang w:val="en"/>
        </w:rPr>
      </w:pPr>
      <w:r w:rsidRPr="000364B6">
        <w:rPr>
          <w:rFonts w:ascii="Times New Roman" w:hAnsi="Times New Roman" w:cs="Times New Roman"/>
          <w:color w:val="000000" w:themeColor="text1"/>
          <w:sz w:val="24"/>
          <w:szCs w:val="24"/>
          <w:lang w:val="en"/>
        </w:rPr>
        <w:t xml:space="preserve">Lastly, and as the main theme of the Work, we will analyze technical and legal article 325 of the Spanish Penal Code, as has affected the reform to this article, the objective and subjective type, enumeration of the various polluting actions that encompasses and the panorama In Spain of the different named actions, the penalty of these behaviors and the aggravated subtype or </w:t>
      </w:r>
      <w:proofErr w:type="spellStart"/>
      <w:r w:rsidRPr="000364B6">
        <w:rPr>
          <w:rFonts w:ascii="Times New Roman" w:hAnsi="Times New Roman" w:cs="Times New Roman"/>
          <w:color w:val="000000" w:themeColor="text1"/>
          <w:sz w:val="24"/>
          <w:szCs w:val="24"/>
          <w:lang w:val="en"/>
        </w:rPr>
        <w:t>hiperagravado</w:t>
      </w:r>
      <w:proofErr w:type="spellEnd"/>
      <w:r w:rsidRPr="000364B6">
        <w:rPr>
          <w:rFonts w:ascii="Times New Roman" w:hAnsi="Times New Roman" w:cs="Times New Roman"/>
          <w:color w:val="000000" w:themeColor="text1"/>
          <w:sz w:val="24"/>
          <w:szCs w:val="24"/>
          <w:lang w:val="en"/>
        </w:rPr>
        <w:t xml:space="preserve"> type of art. 325.2 </w:t>
      </w:r>
      <w:proofErr w:type="gramStart"/>
      <w:r w:rsidRPr="000364B6">
        <w:rPr>
          <w:rFonts w:ascii="Times New Roman" w:hAnsi="Times New Roman" w:cs="Times New Roman"/>
          <w:color w:val="000000" w:themeColor="text1"/>
          <w:sz w:val="24"/>
          <w:szCs w:val="24"/>
          <w:lang w:val="en"/>
        </w:rPr>
        <w:t>in</w:t>
      </w:r>
      <w:proofErr w:type="gramEnd"/>
      <w:r w:rsidRPr="000364B6">
        <w:rPr>
          <w:rFonts w:ascii="Times New Roman" w:hAnsi="Times New Roman" w:cs="Times New Roman"/>
          <w:color w:val="000000" w:themeColor="text1"/>
          <w:sz w:val="24"/>
          <w:szCs w:val="24"/>
          <w:lang w:val="en"/>
        </w:rPr>
        <w:t xml:space="preserve"> fine.</w:t>
      </w:r>
    </w:p>
    <w:p w:rsidR="00327E85" w:rsidRPr="000364B6" w:rsidRDefault="00327E85" w:rsidP="000364B6">
      <w:pPr>
        <w:spacing w:line="360" w:lineRule="auto"/>
        <w:jc w:val="both"/>
        <w:rPr>
          <w:rFonts w:ascii="Times New Roman" w:hAnsi="Times New Roman" w:cs="Times New Roman"/>
          <w:b/>
          <w:color w:val="000000" w:themeColor="text1"/>
          <w:sz w:val="24"/>
          <w:szCs w:val="24"/>
          <w:lang w:val="en"/>
        </w:rPr>
      </w:pPr>
      <w:r w:rsidRPr="000364B6">
        <w:rPr>
          <w:rFonts w:ascii="Times New Roman" w:hAnsi="Times New Roman" w:cs="Times New Roman"/>
          <w:b/>
          <w:color w:val="000000" w:themeColor="text1"/>
          <w:sz w:val="24"/>
          <w:szCs w:val="24"/>
          <w:lang w:val="en"/>
        </w:rPr>
        <w:t xml:space="preserve">Key words: </w:t>
      </w:r>
      <w:r w:rsidRPr="000364B6">
        <w:rPr>
          <w:rFonts w:ascii="Times New Roman" w:hAnsi="Times New Roman" w:cs="Times New Roman"/>
          <w:color w:val="000000" w:themeColor="text1"/>
          <w:sz w:val="24"/>
          <w:szCs w:val="24"/>
          <w:lang w:val="en"/>
        </w:rPr>
        <w:t>Crime, Environment, Reform, Natural Resources, Pollution.</w:t>
      </w:r>
    </w:p>
    <w:p w:rsidR="00327E85" w:rsidRPr="000364B6" w:rsidRDefault="00327E85" w:rsidP="000364B6">
      <w:pPr>
        <w:spacing w:line="360" w:lineRule="auto"/>
        <w:jc w:val="both"/>
        <w:rPr>
          <w:rFonts w:ascii="Times New Roman" w:hAnsi="Times New Roman" w:cs="Times New Roman"/>
          <w:b/>
          <w:color w:val="000000" w:themeColor="text1"/>
          <w:sz w:val="24"/>
          <w:szCs w:val="24"/>
          <w:lang w:val="en"/>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lang w:val="en-US"/>
        </w:rPr>
        <w:br w:type="page"/>
      </w:r>
      <w:r w:rsidRPr="000364B6">
        <w:rPr>
          <w:rFonts w:ascii="Times New Roman" w:hAnsi="Times New Roman" w:cs="Times New Roman"/>
          <w:b/>
          <w:color w:val="000000" w:themeColor="text1"/>
          <w:sz w:val="24"/>
          <w:szCs w:val="24"/>
        </w:rPr>
        <w:lastRenderedPageBreak/>
        <w:t>LOS DELITOS MEDIOAMBIENTALES</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El art. 325 del Código Penal como eje central de la criminalización de las conductas lesivas del medio ambiente o el entorno natural.</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p>
    <w:p w:rsidR="00327E85" w:rsidRPr="000364B6" w:rsidRDefault="00327E85" w:rsidP="0046254B">
      <w:pPr>
        <w:spacing w:line="24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ÍNDICE:</w:t>
      </w:r>
    </w:p>
    <w:p w:rsidR="00327E85" w:rsidRPr="000364B6" w:rsidRDefault="00327E85" w:rsidP="0046254B">
      <w:pPr>
        <w:numPr>
          <w:ilvl w:val="0"/>
          <w:numId w:val="13"/>
        </w:numPr>
        <w:spacing w:line="24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INTRODUCCIÓN</w:t>
      </w:r>
    </w:p>
    <w:p w:rsidR="00327E85" w:rsidRPr="000364B6" w:rsidRDefault="00327E85" w:rsidP="0046254B">
      <w:pPr>
        <w:numPr>
          <w:ilvl w:val="0"/>
          <w:numId w:val="13"/>
        </w:numPr>
        <w:spacing w:line="24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LOS DELITOS MEDIOAMBIENTALES</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Concepto de Medio Ambiente. Evolución de los delitos medioambientales en España.</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 influencia de la Unión Europea.</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Delitos medioambientales en el Código Penal español.</w:t>
      </w:r>
    </w:p>
    <w:p w:rsidR="00327E85" w:rsidRPr="000364B6" w:rsidRDefault="00327E85" w:rsidP="0046254B">
      <w:pPr>
        <w:numPr>
          <w:ilvl w:val="3"/>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Delitos contra los recursos naturales.</w:t>
      </w:r>
    </w:p>
    <w:p w:rsidR="00327E85" w:rsidRPr="000364B6" w:rsidRDefault="00327E85" w:rsidP="0046254B">
      <w:pPr>
        <w:numPr>
          <w:ilvl w:val="3"/>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Delitos relativos a la protección de la flora, fauna y animales domésticos.</w:t>
      </w:r>
    </w:p>
    <w:p w:rsidR="00327E85" w:rsidRDefault="00327E85" w:rsidP="0046254B">
      <w:pPr>
        <w:numPr>
          <w:ilvl w:val="3"/>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Disposiciones Comunes.</w:t>
      </w:r>
    </w:p>
    <w:p w:rsidR="000364B6" w:rsidRPr="000364B6" w:rsidRDefault="000364B6" w:rsidP="0046254B">
      <w:pPr>
        <w:spacing w:line="240" w:lineRule="auto"/>
        <w:jc w:val="both"/>
        <w:rPr>
          <w:rFonts w:ascii="Times New Roman" w:hAnsi="Times New Roman" w:cs="Times New Roman"/>
          <w:color w:val="000000" w:themeColor="text1"/>
          <w:sz w:val="24"/>
          <w:szCs w:val="24"/>
        </w:rPr>
      </w:pPr>
    </w:p>
    <w:p w:rsidR="00327E85" w:rsidRPr="000364B6" w:rsidRDefault="00327E85" w:rsidP="0046254B">
      <w:pPr>
        <w:numPr>
          <w:ilvl w:val="0"/>
          <w:numId w:val="13"/>
        </w:numPr>
        <w:spacing w:line="24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ARTÍCULO 325 CP</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Nueva redacción del delito ecológico (Reforma LO 1/2015, de 30 de marzo).</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Conducta típica y objeto material al que afecta la conducta.</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Bien jurídico protegido.</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Articulación como norma penal en blanco.</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Las distintas acciones contaminantes.</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Características de las conductas de resultado y figuras de peligro.</w:t>
      </w:r>
    </w:p>
    <w:p w:rsidR="00327E85" w:rsidRPr="000364B6" w:rsidRDefault="00327E85" w:rsidP="0046254B">
      <w:pPr>
        <w:numPr>
          <w:ilvl w:val="3"/>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Tipo básico.</w:t>
      </w:r>
    </w:p>
    <w:p w:rsidR="00327E85" w:rsidRPr="000364B6" w:rsidRDefault="00327E85" w:rsidP="0046254B">
      <w:pPr>
        <w:numPr>
          <w:ilvl w:val="3"/>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Tipo agravado.</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Análisis del tipo subjetivo.</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Penalidad.</w:t>
      </w:r>
    </w:p>
    <w:p w:rsidR="00327E85" w:rsidRPr="000364B6" w:rsidRDefault="00327E85" w:rsidP="0046254B">
      <w:pPr>
        <w:numPr>
          <w:ilvl w:val="1"/>
          <w:numId w:val="13"/>
        </w:numPr>
        <w:spacing w:line="24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Tipo </w:t>
      </w:r>
      <w:proofErr w:type="spellStart"/>
      <w:r w:rsidRPr="000364B6">
        <w:rPr>
          <w:rFonts w:ascii="Times New Roman" w:hAnsi="Times New Roman" w:cs="Times New Roman"/>
          <w:color w:val="000000" w:themeColor="text1"/>
          <w:sz w:val="24"/>
          <w:szCs w:val="24"/>
        </w:rPr>
        <w:t>hiperagravado</w:t>
      </w:r>
      <w:proofErr w:type="spellEnd"/>
      <w:r w:rsidRPr="000364B6">
        <w:rPr>
          <w:rFonts w:ascii="Times New Roman" w:hAnsi="Times New Roman" w:cs="Times New Roman"/>
          <w:color w:val="000000" w:themeColor="text1"/>
          <w:sz w:val="24"/>
          <w:szCs w:val="24"/>
        </w:rPr>
        <w:t xml:space="preserve"> de “riesgo de grave perjuicio para la salud de las personas”.</w:t>
      </w:r>
    </w:p>
    <w:p w:rsidR="00327E85" w:rsidRPr="000364B6" w:rsidRDefault="00327E85" w:rsidP="0046254B">
      <w:pPr>
        <w:spacing w:line="240" w:lineRule="auto"/>
        <w:jc w:val="both"/>
        <w:rPr>
          <w:rFonts w:ascii="Times New Roman" w:hAnsi="Times New Roman" w:cs="Times New Roman"/>
          <w:color w:val="000000" w:themeColor="text1"/>
          <w:sz w:val="24"/>
          <w:szCs w:val="24"/>
        </w:rPr>
      </w:pPr>
    </w:p>
    <w:p w:rsidR="00327E85" w:rsidRPr="000364B6" w:rsidRDefault="00327E85" w:rsidP="0046254B">
      <w:pPr>
        <w:numPr>
          <w:ilvl w:val="0"/>
          <w:numId w:val="13"/>
        </w:numPr>
        <w:spacing w:line="24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SUMMARY IN ENGLISH.</w:t>
      </w:r>
    </w:p>
    <w:p w:rsidR="00327E85" w:rsidRPr="000364B6" w:rsidRDefault="00327E85" w:rsidP="0046254B">
      <w:pPr>
        <w:numPr>
          <w:ilvl w:val="0"/>
          <w:numId w:val="13"/>
        </w:numPr>
        <w:spacing w:line="24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CONCLUSIONES.</w:t>
      </w:r>
    </w:p>
    <w:p w:rsidR="000364B6" w:rsidRDefault="00327E85" w:rsidP="0046254B">
      <w:pPr>
        <w:numPr>
          <w:ilvl w:val="0"/>
          <w:numId w:val="13"/>
        </w:numPr>
        <w:spacing w:line="24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BIBLIOGRAFÍA.</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lastRenderedPageBreak/>
        <w:t>1. INTRODUCCIÓN.</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En este Trabajo Fin de Grado he querido hacer un estudio sobre la problemática del artículo 325 del Código Penal como eje central de la criminalización de las conductas lesivas del medio ambiente o el entorno natural. Además creo que este tema es de gran importancia tras la reforma de este artículo por la LO 1/2015, de 30 de Marzo, ya que se produce una nueva regulación donde se incluyen una serie de conductas contaminantes y se crea su apartado segundo que establece una referencia al equilibrio de los sistemas naturales y la salud de las personas.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Ciertamente también es un tema de actualidad, la Fiscalía General del Estado, en su informe anual de 2015 (aún no se ha publicado el informe correspondiente al 2016), sobre Medio Ambiente y Urbanismo, establece que en el año 2015 se han incoado un total de 2.232 Diligencias de Investigación, de las cuales 397 corresponden a delitos contra el medio ambiente. Además, en este mismo año 2015 las estadísticas provinciales refieren un total de 5.332 Procedimientos Judiciales, de los que 534 corresponden al medio ambiente.</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Por lo tanto, los objetivos de este trabajo serán:</w:t>
      </w:r>
    </w:p>
    <w:p w:rsidR="00327E85" w:rsidRPr="000364B6" w:rsidRDefault="00327E85" w:rsidP="000364B6">
      <w:pPr>
        <w:numPr>
          <w:ilvl w:val="0"/>
          <w:numId w:val="14"/>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Establecer la evolución y el concepto de los delitos medioambientales en España.</w:t>
      </w:r>
    </w:p>
    <w:p w:rsidR="00327E85" w:rsidRPr="000364B6" w:rsidRDefault="00327E85" w:rsidP="000364B6">
      <w:pPr>
        <w:numPr>
          <w:ilvl w:val="0"/>
          <w:numId w:val="14"/>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Hacer referencia a la influencia de la Unión Europea en este tipo de delitos.</w:t>
      </w:r>
    </w:p>
    <w:p w:rsidR="00327E85" w:rsidRPr="000364B6" w:rsidRDefault="00327E85" w:rsidP="000364B6">
      <w:pPr>
        <w:numPr>
          <w:ilvl w:val="0"/>
          <w:numId w:val="14"/>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Comentar la reforma llevada a cabo por la LO 1/2015, de 30 de marzo.</w:t>
      </w:r>
    </w:p>
    <w:p w:rsidR="00327E85" w:rsidRPr="000364B6" w:rsidRDefault="00327E85" w:rsidP="000364B6">
      <w:pPr>
        <w:numPr>
          <w:ilvl w:val="0"/>
          <w:numId w:val="14"/>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Estructurar sistemáticamente la tutela penal de los delitos contra los recursos naturales y medioambientales dentro del Código penal español.</w:t>
      </w:r>
    </w:p>
    <w:p w:rsidR="00327E85" w:rsidRPr="000364B6" w:rsidRDefault="00327E85" w:rsidP="000364B6">
      <w:pPr>
        <w:numPr>
          <w:ilvl w:val="0"/>
          <w:numId w:val="14"/>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Describir la estructura del artículo 325 del Código Penal.</w:t>
      </w:r>
    </w:p>
    <w:p w:rsidR="00327E85" w:rsidRPr="000364B6" w:rsidRDefault="00327E85" w:rsidP="000364B6">
      <w:pPr>
        <w:numPr>
          <w:ilvl w:val="0"/>
          <w:numId w:val="14"/>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Distinguir las distintas acciones contaminantes que se plantean en el artículo 325 del Código penal.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cuanto a la metodología de este trabajo será de un análisis bibliográfico y jurisprudencial entorno al artículo 325 del Código penal.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Por último, en lo que respecta a la estructura, estará dividido en cinco apartados. En el primer apartado definiremos el concepto de Medio Ambiente como forma introductoria y estableceremos la evolución de los delitos medioambientales en España y la influencia Europea en ellos. Posteriormente estudiaremos de forma breve los distintos tipos de delitos </w:t>
      </w:r>
      <w:r w:rsidRPr="000364B6">
        <w:rPr>
          <w:rFonts w:ascii="Times New Roman" w:hAnsi="Times New Roman" w:cs="Times New Roman"/>
          <w:color w:val="000000" w:themeColor="text1"/>
          <w:sz w:val="24"/>
          <w:szCs w:val="24"/>
        </w:rPr>
        <w:lastRenderedPageBreak/>
        <w:t>medioambientales tipificados en el Código Penal Español, que son los delitos contra los recursos naturales, relativos a la protección de la flora, fauna y animales domésticos y una serie de disposiciones comunes relativas a los artículos anteriores.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el segundo apartado profundizaremos más en la materia de este trabajo, es decir, en el artículo 325 CP y estudiaremos cómo ha influido la reforma de la LO 1/2015 en este artículo y después detallaremos todo lo que respecta a este artículo tanto su tipo básico del primer apartado como su tipo agravado del segundo.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Finalmente, comentaré una serie de conclusiones personales sobre este trabajo.</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2. LOS DELITOS MEDIOAMBIENTALES.</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2.1. Concepto de Medio Ambiente. Evolución de los delitos medioambientales en España.</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primer lugar debemos desarrollar el concepto de medio ambiente para posteriormente poder hablar de los delitos relacionados con él, en cuanto que sea objeto del Derecho.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Hay diferentes doctrinas sobre el concepto de medio ambiente, por ejemplo Martin Mateo</w:t>
      </w:r>
      <w:r w:rsidRPr="000364B6">
        <w:rPr>
          <w:rFonts w:ascii="Times New Roman" w:hAnsi="Times New Roman" w:cs="Times New Roman"/>
          <w:color w:val="000000" w:themeColor="text1"/>
          <w:sz w:val="24"/>
          <w:szCs w:val="24"/>
          <w:vertAlign w:val="superscript"/>
        </w:rPr>
        <w:footnoteReference w:id="1"/>
      </w:r>
      <w:r w:rsidRPr="000364B6">
        <w:rPr>
          <w:rFonts w:ascii="Times New Roman" w:hAnsi="Times New Roman" w:cs="Times New Roman"/>
          <w:color w:val="000000" w:themeColor="text1"/>
          <w:sz w:val="24"/>
          <w:szCs w:val="24"/>
        </w:rPr>
        <w:t xml:space="preserve"> establece que “</w:t>
      </w:r>
      <w:r w:rsidRPr="000364B6">
        <w:rPr>
          <w:rFonts w:ascii="Times New Roman" w:hAnsi="Times New Roman" w:cs="Times New Roman"/>
          <w:i/>
          <w:color w:val="000000" w:themeColor="text1"/>
          <w:sz w:val="24"/>
          <w:szCs w:val="24"/>
        </w:rPr>
        <w:t xml:space="preserve">el medio ambiente incluiría aquellos elementos naturales de titularidad común y de características dinámicas, en definitiva, el agua y el aire, vehículos básicos de transmisión, soporte y factores esenciales para la existencia del hombre sobre la tierra”. </w:t>
      </w:r>
      <w:r w:rsidRPr="000364B6">
        <w:rPr>
          <w:rFonts w:ascii="Times New Roman" w:hAnsi="Times New Roman" w:cs="Times New Roman"/>
          <w:color w:val="000000" w:themeColor="text1"/>
          <w:sz w:val="24"/>
          <w:szCs w:val="24"/>
        </w:rPr>
        <w:t>Por lo tanto este tipo de doctrina reduce el medio ambiente al entorno natural, es decir, al aire, agua, ruido y vegetación.</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Por el contrario, otros autores como Moreno Trujillo</w:t>
      </w:r>
      <w:r w:rsidRPr="000364B6">
        <w:rPr>
          <w:rFonts w:ascii="Times New Roman" w:hAnsi="Times New Roman" w:cs="Times New Roman"/>
          <w:color w:val="000000" w:themeColor="text1"/>
          <w:sz w:val="24"/>
          <w:szCs w:val="24"/>
          <w:vertAlign w:val="superscript"/>
        </w:rPr>
        <w:footnoteReference w:id="2"/>
      </w:r>
      <w:r w:rsidRPr="000364B6">
        <w:rPr>
          <w:rFonts w:ascii="Times New Roman" w:hAnsi="Times New Roman" w:cs="Times New Roman"/>
          <w:color w:val="000000" w:themeColor="text1"/>
          <w:sz w:val="24"/>
          <w:szCs w:val="24"/>
        </w:rPr>
        <w:t xml:space="preserve"> dice que “</w:t>
      </w:r>
      <w:r w:rsidRPr="000364B6">
        <w:rPr>
          <w:rFonts w:ascii="Times New Roman" w:hAnsi="Times New Roman" w:cs="Times New Roman"/>
          <w:i/>
          <w:color w:val="000000" w:themeColor="text1"/>
          <w:sz w:val="24"/>
          <w:szCs w:val="24"/>
        </w:rPr>
        <w:t xml:space="preserve">el medio ambiente será el conjunto equilibrado de componentes naturales que conforman una determinada zona en un determinado momento, que representa el sustrato físico de la actividad de todo ser vivo, y es susceptible de modificación por la acción humana”. </w:t>
      </w:r>
      <w:r w:rsidRPr="000364B6">
        <w:rPr>
          <w:rFonts w:ascii="Times New Roman" w:hAnsi="Times New Roman" w:cs="Times New Roman"/>
          <w:color w:val="000000" w:themeColor="text1"/>
          <w:sz w:val="24"/>
          <w:szCs w:val="24"/>
        </w:rPr>
        <w:t>Esta es una doctrina más amplia.</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color w:val="000000" w:themeColor="text1"/>
          <w:sz w:val="24"/>
          <w:szCs w:val="24"/>
        </w:rPr>
        <w:t>A parte de estas doctrinas, de acuerdo con el artículo 325 del Código Penal nos da una definición del medio ambiente y nos dice que “</w:t>
      </w:r>
      <w:r w:rsidRPr="000364B6">
        <w:rPr>
          <w:rFonts w:ascii="Times New Roman" w:hAnsi="Times New Roman" w:cs="Times New Roman"/>
          <w:i/>
          <w:color w:val="000000" w:themeColor="text1"/>
          <w:sz w:val="24"/>
          <w:szCs w:val="24"/>
        </w:rPr>
        <w:t>el medio ambiente incluirá la atmósfera, el suelo, el subsuelo y las aguas terrestres, marítimas o subterráneas”.</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color w:val="000000" w:themeColor="text1"/>
          <w:sz w:val="24"/>
          <w:szCs w:val="24"/>
        </w:rPr>
        <w:lastRenderedPageBreak/>
        <w:t>También la STC 102/1995, de 26 de junio, establece que “</w:t>
      </w:r>
      <w:r w:rsidRPr="000364B6">
        <w:rPr>
          <w:rFonts w:ascii="Times New Roman" w:hAnsi="Times New Roman" w:cs="Times New Roman"/>
          <w:i/>
          <w:iCs/>
          <w:color w:val="000000" w:themeColor="text1"/>
          <w:sz w:val="24"/>
          <w:szCs w:val="24"/>
        </w:rPr>
        <w:t>el medio ambiente no puede reducirse a la mera suma o yuxtaposición de los recursos naturales y su base física, sino que es el entramado complejo de las relaciones de todos esos elementos que, por sí mismos, tienen existencia propia y anterior, pero cuya interconexión les dota de un significado trascendente, más allá del individual de cada uno (...) ha sido configurado, desde una perspectiva netamente jurídica, como la asociación de elementos cuyas relaciones mutuas determinan el ámbito y las condiciones de vida, reales o ideales de las personas y de las sociedades”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Por lo tanto, mi conclusión es que no debemos decantarnos ni por un concepto demasiado amplio ni demasiado reducido, creo que debemos quedarnos con el concepto que nos da el propio Ministerio de Medio Ambiente de España, el cual establece que “</w:t>
      </w:r>
      <w:r w:rsidRPr="000364B6">
        <w:rPr>
          <w:rFonts w:ascii="Times New Roman" w:hAnsi="Times New Roman" w:cs="Times New Roman"/>
          <w:i/>
          <w:color w:val="000000" w:themeColor="text1"/>
          <w:sz w:val="24"/>
          <w:szCs w:val="24"/>
        </w:rPr>
        <w:t>El medio ambiente es el compendio de valores naturales, sociales y culturales existentes en un lugar y un momento determinado, que influyen en la vida material y psicológica del hombre y en el futuro de generaciones venideras</w:t>
      </w:r>
      <w:r w:rsidRPr="000364B6">
        <w:rPr>
          <w:rFonts w:ascii="Times New Roman" w:hAnsi="Times New Roman" w:cs="Times New Roman"/>
          <w:color w:val="000000" w:themeColor="text1"/>
          <w:sz w:val="24"/>
          <w:szCs w:val="24"/>
        </w:rPr>
        <w:t>”</w:t>
      </w:r>
      <w:r w:rsidRPr="000364B6">
        <w:rPr>
          <w:rFonts w:ascii="Times New Roman" w:hAnsi="Times New Roman" w:cs="Times New Roman"/>
          <w:color w:val="000000" w:themeColor="text1"/>
          <w:sz w:val="24"/>
          <w:szCs w:val="24"/>
          <w:vertAlign w:val="superscript"/>
        </w:rPr>
        <w:footnoteReference w:id="3"/>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Una vez aclarado el concepto de medio ambiente, nos remitimos al origen de los delitos medio ambientales, tenemos que considerar que se produce un antes y un después en la etapa llamada la Revolución Industrial. Antes de esta etapa era incomprensible que se hablara de este tipo de delitos puesto que el medio ambiente no era considerado como un bien jurídico protegido debido también a que la capacidad lesiva de las acciones del hombre al medio ambiente resultaba ser insignificante.</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w:t>
      </w:r>
      <w:r w:rsidRPr="000364B6">
        <w:rPr>
          <w:rFonts w:ascii="Times New Roman" w:hAnsi="Times New Roman" w:cs="Times New Roman"/>
          <w:i/>
          <w:color w:val="000000" w:themeColor="text1"/>
          <w:sz w:val="24"/>
          <w:szCs w:val="24"/>
        </w:rPr>
        <w:t>Fue a partir de la Revolución Industrial cuando debido al desarrollo tecnológico, y paralelamente un aumento de la población, hizo que se consumieran más recursos ecológicos y con ello convertir ya al medio ambiente en uno de los bienes jurídicos más protegidos</w:t>
      </w:r>
      <w:r w:rsidRPr="000364B6">
        <w:rPr>
          <w:rFonts w:ascii="Times New Roman" w:hAnsi="Times New Roman" w:cs="Times New Roman"/>
          <w:color w:val="000000" w:themeColor="text1"/>
          <w:sz w:val="24"/>
          <w:szCs w:val="24"/>
        </w:rPr>
        <w:t xml:space="preserve">” según </w:t>
      </w:r>
      <w:proofErr w:type="spellStart"/>
      <w:r w:rsidRPr="000364B6">
        <w:rPr>
          <w:rFonts w:ascii="Times New Roman" w:hAnsi="Times New Roman" w:cs="Times New Roman"/>
          <w:color w:val="000000" w:themeColor="text1"/>
          <w:sz w:val="24"/>
          <w:szCs w:val="24"/>
        </w:rPr>
        <w:t>Schuneman</w:t>
      </w:r>
      <w:proofErr w:type="spellEnd"/>
      <w:r w:rsidRPr="000364B6">
        <w:rPr>
          <w:rFonts w:ascii="Times New Roman" w:hAnsi="Times New Roman" w:cs="Times New Roman"/>
          <w:color w:val="000000" w:themeColor="text1"/>
          <w:sz w:val="24"/>
          <w:szCs w:val="24"/>
          <w:vertAlign w:val="superscript"/>
        </w:rPr>
        <w:footnoteReference w:id="4"/>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Sin embargo la preocupación por el medio ambiente y los recursos ecológicos no se produce hasta la actualidad, como bien dice Muñoz Conde “</w:t>
      </w:r>
      <w:r w:rsidRPr="000364B6">
        <w:rPr>
          <w:rFonts w:ascii="Times New Roman" w:hAnsi="Times New Roman" w:cs="Times New Roman"/>
          <w:i/>
          <w:color w:val="000000" w:themeColor="text1"/>
          <w:sz w:val="24"/>
          <w:szCs w:val="24"/>
        </w:rPr>
        <w:t xml:space="preserve">La preocupación por el medio ambiente y por el equilibrio de las condiciones ecológicas es un fenómeno típico de nuestro tiempo, ya </w:t>
      </w:r>
      <w:r w:rsidRPr="000364B6">
        <w:rPr>
          <w:rFonts w:ascii="Times New Roman" w:hAnsi="Times New Roman" w:cs="Times New Roman"/>
          <w:i/>
          <w:color w:val="000000" w:themeColor="text1"/>
          <w:sz w:val="24"/>
          <w:szCs w:val="24"/>
        </w:rPr>
        <w:lastRenderedPageBreak/>
        <w:t>que el desequilibrio ecológico es una de las peores consecuencias de la &lt;civilización industrial&gt;</w:t>
      </w:r>
      <w:r w:rsidRPr="000364B6">
        <w:rPr>
          <w:rFonts w:ascii="Times New Roman" w:hAnsi="Times New Roman" w:cs="Times New Roman"/>
          <w:color w:val="000000" w:themeColor="text1"/>
          <w:sz w:val="24"/>
          <w:szCs w:val="24"/>
        </w:rPr>
        <w:t>”</w:t>
      </w:r>
      <w:r w:rsidRPr="000364B6">
        <w:rPr>
          <w:rFonts w:ascii="Times New Roman" w:hAnsi="Times New Roman" w:cs="Times New Roman"/>
          <w:color w:val="000000" w:themeColor="text1"/>
          <w:sz w:val="24"/>
          <w:szCs w:val="24"/>
          <w:vertAlign w:val="superscript"/>
        </w:rPr>
        <w:footnoteReference w:id="5"/>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i/>
          <w:iCs/>
          <w:color w:val="000000" w:themeColor="text1"/>
          <w:sz w:val="24"/>
          <w:szCs w:val="24"/>
        </w:rPr>
      </w:pPr>
      <w:r w:rsidRPr="000364B6">
        <w:rPr>
          <w:rFonts w:ascii="Times New Roman" w:hAnsi="Times New Roman" w:cs="Times New Roman"/>
          <w:color w:val="000000" w:themeColor="text1"/>
          <w:sz w:val="24"/>
          <w:szCs w:val="24"/>
        </w:rPr>
        <w:t>Me parece muy adecuado citar aquí unas palabras de André Berger, “</w:t>
      </w:r>
      <w:r w:rsidRPr="000364B6">
        <w:rPr>
          <w:rFonts w:ascii="Times New Roman" w:hAnsi="Times New Roman" w:cs="Times New Roman"/>
          <w:i/>
          <w:iCs/>
          <w:color w:val="000000" w:themeColor="text1"/>
          <w:sz w:val="24"/>
          <w:szCs w:val="24"/>
        </w:rPr>
        <w:t>La tierra tendrá que esperar 50.000 años para que el sistema climático olvide que hemos existido en los siglos XX y XXI haciendo ese experimento incontrolado de inyectar a la atmósfera grandes cantidades de dióxido de carbono”</w:t>
      </w:r>
      <w:r w:rsidRPr="000364B6">
        <w:rPr>
          <w:rFonts w:ascii="Times New Roman" w:hAnsi="Times New Roman" w:cs="Times New Roman"/>
          <w:i/>
          <w:iCs/>
          <w:color w:val="000000" w:themeColor="text1"/>
          <w:sz w:val="24"/>
          <w:szCs w:val="24"/>
          <w:vertAlign w:val="superscript"/>
        </w:rPr>
        <w:footnoteReference w:id="6"/>
      </w:r>
      <w:r w:rsidRPr="000364B6">
        <w:rPr>
          <w:rFonts w:ascii="Times New Roman" w:hAnsi="Times New Roman" w:cs="Times New Roman"/>
          <w:i/>
          <w:iCs/>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La mala calidad de vida en las grandes ciudades, la desaparición </w:t>
      </w:r>
      <w:proofErr w:type="gramStart"/>
      <w:r w:rsidRPr="000364B6">
        <w:rPr>
          <w:rFonts w:ascii="Times New Roman" w:hAnsi="Times New Roman" w:cs="Times New Roman"/>
          <w:color w:val="000000" w:themeColor="text1"/>
          <w:sz w:val="24"/>
          <w:szCs w:val="24"/>
        </w:rPr>
        <w:t>continua</w:t>
      </w:r>
      <w:proofErr w:type="gramEnd"/>
      <w:r w:rsidRPr="000364B6">
        <w:rPr>
          <w:rFonts w:ascii="Times New Roman" w:hAnsi="Times New Roman" w:cs="Times New Roman"/>
          <w:color w:val="000000" w:themeColor="text1"/>
          <w:sz w:val="24"/>
          <w:szCs w:val="24"/>
        </w:rPr>
        <w:t xml:space="preserve"> de especies animales y vegetales, el aumento de enfermedades, etc., es debido mayormente al continuo deterioro medioambiental y el cual ha hecho que los Países reaccionen poniendo límites penales y obteniendo mejores resultados que la vía administrativa.</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España esta preocupación o concienciación por el medioambiente constituye un rasgo característico de la época actual de la mano con el proceso de desarrollo económico, llegado tardíamente, con una deficiente planificación y con el claro predominio de la lógica de la explotación privada del territorio, ha convertido la mayor parte de los recursos naturales en objetos del provecho individual, más que en factores de bienestar colectivo. Esto ha producido muchas consecuencias, como por ejemplo la irracional explotación del suelo y con ello la destrucción de la flora y fauna, la desertización de antiguas zonas de bosque, o el sacrificio de algunos de nuestros paisajes naturales y urbanos más característicos. Además de todo esto, la industrialización ha producido en muchas ciudades españolas un grado de contaminación al que se produce en algunas ciudades europeas</w:t>
      </w:r>
      <w:r w:rsidRPr="000364B6">
        <w:rPr>
          <w:rFonts w:ascii="Times New Roman" w:hAnsi="Times New Roman" w:cs="Times New Roman"/>
          <w:color w:val="000000" w:themeColor="text1"/>
          <w:sz w:val="24"/>
          <w:szCs w:val="24"/>
          <w:vertAlign w:val="superscript"/>
        </w:rPr>
        <w:footnoteReference w:id="7"/>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Esta situación se plasma en el art. 45 de la Constitución Española de 1978, el cual establece que “</w:t>
      </w:r>
      <w:r w:rsidRPr="000364B6">
        <w:rPr>
          <w:rFonts w:ascii="Times New Roman" w:hAnsi="Times New Roman" w:cs="Times New Roman"/>
          <w:i/>
          <w:color w:val="000000" w:themeColor="text1"/>
          <w:sz w:val="24"/>
          <w:szCs w:val="24"/>
        </w:rPr>
        <w:t>Todos tienen el derecho a disfrutar de un medio ambiente adecuado para el desarrollo de la persona, así como el deber de conservarlo</w:t>
      </w:r>
      <w:r w:rsidRPr="000364B6">
        <w:rPr>
          <w:rFonts w:ascii="Times New Roman" w:hAnsi="Times New Roman" w:cs="Times New Roman"/>
          <w:color w:val="000000" w:themeColor="text1"/>
          <w:sz w:val="24"/>
          <w:szCs w:val="24"/>
        </w:rPr>
        <w:t>”, también recogiendo la posibilidad de establecer sanciones penales o en su caso administrativas en su apartado tercero, “</w:t>
      </w:r>
      <w:r w:rsidRPr="000364B6">
        <w:rPr>
          <w:rFonts w:ascii="Times New Roman" w:hAnsi="Times New Roman" w:cs="Times New Roman"/>
          <w:i/>
          <w:color w:val="000000" w:themeColor="text1"/>
          <w:sz w:val="24"/>
          <w:szCs w:val="24"/>
        </w:rPr>
        <w:t>Para quienes violen lo dispuesto en el apartado anterior, en los términos que la ley fije se establecerán sanciones penales o, en su caso, administrativas, así como la obligación de reparar el daño causado</w:t>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Como bien dice ALZAGA VILLAAMIL, si estudiamos apartado por apartado de este artículo 45 de la Constitución, en su primer apartado suscita una serie de cuestiones entre las que </w:t>
      </w:r>
      <w:r w:rsidRPr="000364B6">
        <w:rPr>
          <w:rFonts w:ascii="Times New Roman" w:hAnsi="Times New Roman" w:cs="Times New Roman"/>
          <w:color w:val="000000" w:themeColor="text1"/>
          <w:sz w:val="24"/>
          <w:szCs w:val="24"/>
        </w:rPr>
        <w:lastRenderedPageBreak/>
        <w:t>poseen especial interés las referidas a: fijar el alcance del medio ambiente objeto de la tutela constitucional; establecer el sentido de la inclusión del medio ambiente en el sistema constitucional de los Derechos fundamentales; y examinar su relevancia jurídico-positiva.</w:t>
      </w:r>
    </w:p>
    <w:p w:rsidR="00327E85" w:rsidRPr="000364B6" w:rsidRDefault="00327E85" w:rsidP="000364B6">
      <w:pPr>
        <w:numPr>
          <w:ilvl w:val="0"/>
          <w:numId w:val="21"/>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 expresión “medio ambiente” es de difícil concreción, puede hablarse de un medio ambiente natural o abierto integrado por la biosfera, el aire, el agua y el suelo, que constituyen el supuesto de la vida, y por los ecosistemas producto de la interacción entre los seres vivos y el medio. Además puede hablarse también de los ambientes cerrados, es decir, los construidos por el hombre desde los orígenes</w:t>
      </w:r>
      <w:r w:rsidRPr="000364B6">
        <w:rPr>
          <w:rFonts w:ascii="Times New Roman" w:hAnsi="Times New Roman" w:cs="Times New Roman"/>
          <w:color w:val="000000" w:themeColor="text1"/>
          <w:sz w:val="24"/>
          <w:szCs w:val="24"/>
          <w:vertAlign w:val="superscript"/>
        </w:rPr>
        <w:footnoteReference w:id="8"/>
      </w:r>
      <w:r w:rsidRPr="000364B6">
        <w:rPr>
          <w:rFonts w:ascii="Times New Roman" w:hAnsi="Times New Roman" w:cs="Times New Roman"/>
          <w:color w:val="000000" w:themeColor="text1"/>
          <w:sz w:val="24"/>
          <w:szCs w:val="24"/>
        </w:rPr>
        <w:t>.</w:t>
      </w:r>
    </w:p>
    <w:p w:rsidR="00327E85" w:rsidRPr="000364B6" w:rsidRDefault="00327E85" w:rsidP="000364B6">
      <w:pPr>
        <w:numPr>
          <w:ilvl w:val="0"/>
          <w:numId w:val="21"/>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 inclusión del Medio Ambiente dentro del estatuto de los derechos fundamentales se justifica por la importante incidencia del ambiente en la existencia humana, trascendente para su desarrollo y posibilidad</w:t>
      </w:r>
      <w:r w:rsidRPr="000364B6">
        <w:rPr>
          <w:rFonts w:ascii="Times New Roman" w:hAnsi="Times New Roman" w:cs="Times New Roman"/>
          <w:color w:val="000000" w:themeColor="text1"/>
          <w:sz w:val="24"/>
          <w:szCs w:val="24"/>
          <w:vertAlign w:val="superscript"/>
        </w:rPr>
        <w:footnoteReference w:id="9"/>
      </w:r>
      <w:r w:rsidRPr="000364B6">
        <w:rPr>
          <w:rFonts w:ascii="Times New Roman" w:hAnsi="Times New Roman" w:cs="Times New Roman"/>
          <w:color w:val="000000" w:themeColor="text1"/>
          <w:sz w:val="24"/>
          <w:szCs w:val="24"/>
        </w:rPr>
        <w:t>.</w:t>
      </w:r>
    </w:p>
    <w:p w:rsidR="00327E85" w:rsidRPr="000364B6" w:rsidRDefault="00327E85" w:rsidP="000364B6">
      <w:pPr>
        <w:numPr>
          <w:ilvl w:val="0"/>
          <w:numId w:val="21"/>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Este artículo 45.1 forma parte de los derechos y deberes fundamentales, del Título I de la Constitución, en concreto va referido a los principios rectores de la política social y económica. Estos principios informarán la legislación positiva, la práctica judicial y la actuación de los poderes públicos, como bien establece el art. 53.3 de la Constitución</w:t>
      </w:r>
      <w:r w:rsidRPr="000364B6">
        <w:rPr>
          <w:rFonts w:ascii="Times New Roman" w:hAnsi="Times New Roman" w:cs="Times New Roman"/>
          <w:color w:val="000000" w:themeColor="text1"/>
          <w:sz w:val="24"/>
          <w:szCs w:val="24"/>
          <w:vertAlign w:val="superscript"/>
        </w:rPr>
        <w:footnoteReference w:id="10"/>
      </w:r>
      <w:r w:rsidRPr="000364B6">
        <w:rPr>
          <w:rFonts w:ascii="Times New Roman" w:hAnsi="Times New Roman" w:cs="Times New Roman"/>
          <w:color w:val="000000" w:themeColor="text1"/>
          <w:sz w:val="24"/>
          <w:szCs w:val="24"/>
        </w:rPr>
        <w:t xml:space="preserve">.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cuanto al apartado segundo, traza un cuadro sumario de las principales cuestiones relacionadas con la política del medio ambiente, en concreto a: la titularidad de competencias, el objeto, las técnicas operativas y la finalidad perseguida con su regulación, es decir la organización de la política medio ambiental:</w:t>
      </w:r>
    </w:p>
    <w:p w:rsidR="00327E85" w:rsidRPr="000364B6" w:rsidRDefault="00327E85" w:rsidP="000364B6">
      <w:pPr>
        <w:numPr>
          <w:ilvl w:val="0"/>
          <w:numId w:val="22"/>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 Constitución atribuye la titularidad de las competencias en materia medio ambiental a los poderes públicos in genere.</w:t>
      </w:r>
    </w:p>
    <w:p w:rsidR="00327E85" w:rsidRPr="000364B6" w:rsidRDefault="00327E85" w:rsidP="000364B6">
      <w:pPr>
        <w:numPr>
          <w:ilvl w:val="0"/>
          <w:numId w:val="22"/>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Respecto al objeto o bien jurídico protegido, este apartado segundo se refiere a “todos los recursos naturales”, lo que deja en mano al legislador regular los distintos aspectos ambientales.</w:t>
      </w:r>
    </w:p>
    <w:p w:rsidR="00327E85" w:rsidRPr="000364B6" w:rsidRDefault="00327E85" w:rsidP="000364B6">
      <w:pPr>
        <w:numPr>
          <w:ilvl w:val="0"/>
          <w:numId w:val="22"/>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Respecto a las técnicas operativas de los poderes públicos para la consecución de los objetivos medioambientales, es posible derivar de la Constitución las siguientes funciones: preventiva, restauradora y promocional.</w:t>
      </w:r>
    </w:p>
    <w:p w:rsidR="00327E85" w:rsidRPr="000364B6" w:rsidRDefault="00327E85" w:rsidP="000364B6">
      <w:pPr>
        <w:numPr>
          <w:ilvl w:val="0"/>
          <w:numId w:val="22"/>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Por lo tanto y dicho esto, las técnicas operativas de los poderes públicos se hallan dirigidas a un fin, proteger y mejorar la calidad de la vida y defender y restaurar el medio ambiente</w:t>
      </w:r>
      <w:r w:rsidRPr="000364B6">
        <w:rPr>
          <w:rFonts w:ascii="Times New Roman" w:hAnsi="Times New Roman" w:cs="Times New Roman"/>
          <w:color w:val="000000" w:themeColor="text1"/>
          <w:sz w:val="24"/>
          <w:szCs w:val="24"/>
          <w:vertAlign w:val="superscript"/>
        </w:rPr>
        <w:footnoteReference w:id="11"/>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Y por último, su apartado tercero contiene una referencia expresa a los tipos de sanción penal o administrativa y a la exigencia, en todo caso, de reparación de daños para todas las conductas atentatorias a la calidad de vida o lesivas del medio ambiente. Si bien remite la ley la concreción del alcance del aparato sancionador</w:t>
      </w:r>
      <w:r w:rsidRPr="000364B6">
        <w:rPr>
          <w:rFonts w:ascii="Times New Roman" w:hAnsi="Times New Roman" w:cs="Times New Roman"/>
          <w:color w:val="000000" w:themeColor="text1"/>
          <w:sz w:val="24"/>
          <w:szCs w:val="24"/>
          <w:vertAlign w:val="superscript"/>
        </w:rPr>
        <w:footnoteReference w:id="12"/>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Como consecuencia, se introdujo en el Código Penal el art. 347 bis en el año 1983 donde ya se tipificaban los delitos medioambientales y se ampliaba su alcance y penas. Este artículo fue el primer “delito ecológico” del Código Penal. Con este artículo se desataron toda suerte de críticas arguyendo que se trataba de una norma de contenido excesivamente general y de contorno poco preciso, que ese contenido estaba exclusivamente limitado a las conductas de emisiones y vertidos, quedando fuera de él otras conductas atentatorias contra el medio ambiente de indudable trascendencia, </w:t>
      </w:r>
      <w:proofErr w:type="spellStart"/>
      <w:r w:rsidRPr="000364B6">
        <w:rPr>
          <w:rFonts w:ascii="Times New Roman" w:hAnsi="Times New Roman" w:cs="Times New Roman"/>
          <w:color w:val="000000" w:themeColor="text1"/>
          <w:sz w:val="24"/>
          <w:szCs w:val="24"/>
        </w:rPr>
        <w:t>etc</w:t>
      </w:r>
      <w:proofErr w:type="spellEnd"/>
      <w:r w:rsidRPr="000364B6">
        <w:rPr>
          <w:rFonts w:ascii="Times New Roman" w:hAnsi="Times New Roman" w:cs="Times New Roman"/>
          <w:color w:val="000000" w:themeColor="text1"/>
          <w:sz w:val="24"/>
          <w:szCs w:val="24"/>
          <w:vertAlign w:val="superscript"/>
        </w:rPr>
        <w:footnoteReference w:id="13"/>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 consecuencia de la evolución de los tiempos y la clara percepción del aumento y agravación de la problemática ambiental llevó de nuevo al legislador a plantearse la necesidad de tratar la materia de una manera más extensa y detallada. Estos delitos contra los recursos naturales y el medioambiente han sufrido diferentes modificaciones. Actualmente, el Código Penal, en el Capítulo III del Título XVI, regula los llamados delitos contra los recursos naturales y el medio ambiente, artículos 325 a 331. También en el Capítulo IV, de los delitos relativos a la protección de la flora, la fauna y animales domésticos. La L.O. 5/2010, de 23 de diciembre, ha modificado el contenido de alguno de esos artículos al incorporar a la legislación penal española los supuestos previstos en la Directiva 2008/99/CE de 19 de noviembre, relativa a la protección del medio ambiente a través del Derecho Penal.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Estas reformas han sido introducidas principalmente debido, tal y como expresa la Exposición de motivos de la Ley Orgánica 5/2010, “</w:t>
      </w:r>
      <w:r w:rsidRPr="000364B6">
        <w:rPr>
          <w:rFonts w:ascii="Times New Roman" w:hAnsi="Times New Roman" w:cs="Times New Roman"/>
          <w:i/>
          <w:color w:val="000000" w:themeColor="text1"/>
          <w:sz w:val="24"/>
          <w:szCs w:val="24"/>
        </w:rPr>
        <w:t>a la necesidad de acoger elementos de armonización normativa de la Unión Europea en este ámbito</w:t>
      </w:r>
      <w:r w:rsidRPr="000364B6">
        <w:rPr>
          <w:rFonts w:ascii="Times New Roman" w:hAnsi="Times New Roman" w:cs="Times New Roman"/>
          <w:color w:val="000000" w:themeColor="text1"/>
          <w:sz w:val="24"/>
          <w:szCs w:val="24"/>
        </w:rPr>
        <w:t>”</w:t>
      </w:r>
      <w:r w:rsidRPr="000364B6">
        <w:rPr>
          <w:rFonts w:ascii="Times New Roman" w:hAnsi="Times New Roman" w:cs="Times New Roman"/>
          <w:color w:val="000000" w:themeColor="text1"/>
          <w:sz w:val="24"/>
          <w:szCs w:val="24"/>
          <w:vertAlign w:val="superscript"/>
        </w:rPr>
        <w:footnoteReference w:id="14"/>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lastRenderedPageBreak/>
        <w:t>2.2. La influencia de la Unión Europea.</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El medio ambiente es actualmente un área decisiva de la actividad legislativa, ejecutiva y jurisdiccional de la UE. El conjunto de la actividad comunitaria en esta materia ha sido determinante para orientar e impulsar la propia actividad medio ambiental.</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color w:val="000000" w:themeColor="text1"/>
          <w:sz w:val="24"/>
          <w:szCs w:val="24"/>
        </w:rPr>
        <w:t xml:space="preserve">Como una pequeña introducción, según Antonio Remiro </w:t>
      </w:r>
      <w:proofErr w:type="spellStart"/>
      <w:r w:rsidRPr="000364B6">
        <w:rPr>
          <w:rFonts w:ascii="Times New Roman" w:hAnsi="Times New Roman" w:cs="Times New Roman"/>
          <w:color w:val="000000" w:themeColor="text1"/>
          <w:sz w:val="24"/>
          <w:szCs w:val="24"/>
        </w:rPr>
        <w:t>Brotóns</w:t>
      </w:r>
      <w:proofErr w:type="spellEnd"/>
      <w:r w:rsidRPr="000364B6">
        <w:rPr>
          <w:rFonts w:ascii="Times New Roman" w:hAnsi="Times New Roman" w:cs="Times New Roman"/>
          <w:color w:val="000000" w:themeColor="text1"/>
          <w:sz w:val="24"/>
          <w:szCs w:val="24"/>
          <w:vertAlign w:val="superscript"/>
        </w:rPr>
        <w:footnoteReference w:id="15"/>
      </w:r>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color w:val="000000" w:themeColor="text1"/>
          <w:sz w:val="24"/>
          <w:szCs w:val="24"/>
        </w:rPr>
        <w:t>El interés por el medio ambiente en el ámbito internacional es relativamente reciente, comenzó en 1972 con el informe dirigido al Club de Roma, esta fue la primera llamada de atención acerca de los efectos nocivos de las actuaciones humanas sobre el medio ambiente natural desde un punto de vista global”</w:t>
      </w:r>
      <w:r w:rsidRPr="000364B6">
        <w:rPr>
          <w:rFonts w:ascii="Times New Roman" w:hAnsi="Times New Roman" w:cs="Times New Roman"/>
          <w:color w:val="000000" w:themeColor="text1"/>
          <w:sz w:val="24"/>
          <w:szCs w:val="24"/>
        </w:rPr>
        <w:t xml:space="preserve"> y sigue diciendo que “</w:t>
      </w:r>
      <w:r w:rsidRPr="000364B6">
        <w:rPr>
          <w:rFonts w:ascii="Times New Roman" w:hAnsi="Times New Roman" w:cs="Times New Roman"/>
          <w:i/>
          <w:color w:val="000000" w:themeColor="text1"/>
          <w:sz w:val="24"/>
          <w:szCs w:val="24"/>
        </w:rPr>
        <w:t>la internacionalización del problema medio ambiental aumentó a partir de este momento, así como la sensibilidad hacia las cuestiones ambientales, debido en buena parte a la constatación de que cualquier degradación ambiental de carácter local tiene una repercusión global”.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Fue en 1987 con la aprobación de la Acta Única Europea (AUE), cuando se incluyó en el “Texto Originario” una serie de cláusulas que se referían a la protección del medio ambiente. Actualmente se encuentran recogidas en el Título XIX del Tratado de la Comunidad Europea, concretamente de los artículos 174 a 176, los cuales establecen los objetivos de dicha política medioambiental y los instrumentos para su desarrollo</w:t>
      </w:r>
      <w:r w:rsidRPr="000364B6">
        <w:rPr>
          <w:rFonts w:ascii="Times New Roman" w:hAnsi="Times New Roman" w:cs="Times New Roman"/>
          <w:color w:val="000000" w:themeColor="text1"/>
          <w:sz w:val="24"/>
          <w:szCs w:val="24"/>
          <w:vertAlign w:val="superscript"/>
        </w:rPr>
        <w:footnoteReference w:id="16"/>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Con esto, el medioambiente constituye una de las materias más detalladas en el ámbito europeo. Así se establece también en los artículos 11 y 191 a 193 del Tratado de Funcionamiento de la Unión Europea (TFUE), “</w:t>
      </w:r>
      <w:r w:rsidRPr="000364B6">
        <w:rPr>
          <w:rFonts w:ascii="Times New Roman" w:hAnsi="Times New Roman" w:cs="Times New Roman"/>
          <w:i/>
          <w:color w:val="000000" w:themeColor="text1"/>
          <w:sz w:val="24"/>
          <w:szCs w:val="24"/>
        </w:rPr>
        <w:t>La Unión es competente para actuar en todos los ámbitos de la política de medio ambiente, como la contaminación del aire y el agua, la gestión de residuos y el cambio climático. Su ámbito de actuación se ve limitado por el principio de subsidiariedad y por el requisito de unanimidad en el Consejo en los ámbitos de asuntos fiscales, ordenación territorial, utilización del suelo, gestión cuantitativa de los recursos hídricos, elección de fuentes de energía y estructura del abastecimiento energético”</w:t>
      </w:r>
      <w:r w:rsidRPr="000364B6">
        <w:rPr>
          <w:rFonts w:ascii="Times New Roman" w:hAnsi="Times New Roman" w:cs="Times New Roman"/>
          <w:i/>
          <w:color w:val="000000" w:themeColor="text1"/>
          <w:sz w:val="24"/>
          <w:szCs w:val="24"/>
          <w:vertAlign w:val="superscript"/>
        </w:rPr>
        <w:footnoteReference w:id="17"/>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Conforme a esta base jurídica de los Tratados, las instituciones comunitarias, en ejercicio de las competencias cedidas por los Estados en el ámbito del medio ambiente han desarrollado </w:t>
      </w:r>
      <w:r w:rsidRPr="000364B6">
        <w:rPr>
          <w:rFonts w:ascii="Times New Roman" w:hAnsi="Times New Roman" w:cs="Times New Roman"/>
          <w:color w:val="000000" w:themeColor="text1"/>
          <w:sz w:val="24"/>
          <w:szCs w:val="24"/>
        </w:rPr>
        <w:lastRenderedPageBreak/>
        <w:t>un gran cúmulo normativo, en forma de reglamentos, directivas y decisiones, obligatorias y vinculantes.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 competencia de la Unión en el desarrollo de la política medio ambiental es una competencia compartida, regulado en el art. 4.2 del TFUE, por lo tanto no se excluye la posibilidad de que los estados continúen ejerciendo sus propias competencias nacionales en este ámbito. Lo que ocurre es que una vez que la Unión actúa sobre un determinado tema, la norma comunitaria ocupa el campo regulado desplazando a las normas nacionales existentes</w:t>
      </w:r>
      <w:r w:rsidRPr="000364B6">
        <w:rPr>
          <w:rFonts w:ascii="Times New Roman" w:hAnsi="Times New Roman" w:cs="Times New Roman"/>
          <w:color w:val="000000" w:themeColor="text1"/>
          <w:sz w:val="24"/>
          <w:szCs w:val="24"/>
          <w:vertAlign w:val="superscript"/>
        </w:rPr>
        <w:footnoteReference w:id="18"/>
      </w:r>
      <w:r w:rsidRPr="000364B6">
        <w:rPr>
          <w:rFonts w:ascii="Times New Roman" w:hAnsi="Times New Roman" w:cs="Times New Roman"/>
          <w:color w:val="000000" w:themeColor="text1"/>
          <w:sz w:val="24"/>
          <w:szCs w:val="24"/>
        </w:rPr>
        <w:t xml:space="preserve">.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Dicho esto, a nivel nacional, como hemos establecido anteriormente, la Unión Europea actúa a través de un conjunto de Reglamentos y Directivas. Cabe destacar en política de medio ambiente la Directiva 2008/99/CE del Parlamento Europeo y del Consejo, de 19 de Noviembre de 2008 relativa a la protección del medioambiente mediante en el Derecho Penal, es la que establece en todos los Estados miembros un marco penal riguroso para las agresiones ambientales. Esta Directiva ha sido la principal causante del efecto reformador del Código Penal español.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Posteriormente en el año 2010 se reforma el Código Penal español como bien decíamos antes pero debido a la transposición de esta Directiva y de la Directiva 2009/35/CE del Parlamento Europeo y del Consejo, de 21 de octubre de 2009.</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Finalmente con la LO 1/2015, de 30 de marzo, se modifica también la LO 10/1995, de 23 de noviembre, del Código Penal, objeto, como bien dice la Exposición de motivos, de una completa revisión y actualización debido a la conciencia del transcurso del tiempo y las nuevas demandas sociales, las cuales evidencian la necesidad de llevar a cabo determinadas modificaciones de la norma penal.</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2.3. Los delitos medioambientales en el Código penal español.</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2.3.1. Los delitos contra los recursos naturales.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Como introducción a este tipo de delitos, tenemos que preguntarnos qué </w:t>
      </w:r>
      <w:proofErr w:type="gramStart"/>
      <w:r w:rsidRPr="000364B6">
        <w:rPr>
          <w:rFonts w:ascii="Times New Roman" w:hAnsi="Times New Roman" w:cs="Times New Roman"/>
          <w:color w:val="000000" w:themeColor="text1"/>
          <w:sz w:val="24"/>
          <w:szCs w:val="24"/>
        </w:rPr>
        <w:t>son</w:t>
      </w:r>
      <w:proofErr w:type="gramEnd"/>
      <w:r w:rsidRPr="000364B6">
        <w:rPr>
          <w:rFonts w:ascii="Times New Roman" w:hAnsi="Times New Roman" w:cs="Times New Roman"/>
          <w:color w:val="000000" w:themeColor="text1"/>
          <w:sz w:val="24"/>
          <w:szCs w:val="24"/>
        </w:rPr>
        <w:t xml:space="preserve"> o qué engloba el concepto de </w:t>
      </w:r>
      <w:r w:rsidRPr="000364B6">
        <w:rPr>
          <w:rFonts w:ascii="Times New Roman" w:hAnsi="Times New Roman" w:cs="Times New Roman"/>
          <w:i/>
          <w:color w:val="000000" w:themeColor="text1"/>
          <w:sz w:val="24"/>
          <w:szCs w:val="24"/>
        </w:rPr>
        <w:t>recursos naturales</w:t>
      </w:r>
      <w:r w:rsidRPr="000364B6">
        <w:rPr>
          <w:rFonts w:ascii="Times New Roman" w:hAnsi="Times New Roman" w:cs="Times New Roman"/>
          <w:color w:val="000000" w:themeColor="text1"/>
          <w:sz w:val="24"/>
          <w:szCs w:val="24"/>
        </w:rPr>
        <w:t xml:space="preserve">, son materias primas, materiales o componentes que se </w:t>
      </w:r>
      <w:r w:rsidRPr="000364B6">
        <w:rPr>
          <w:rFonts w:ascii="Times New Roman" w:hAnsi="Times New Roman" w:cs="Times New Roman"/>
          <w:color w:val="000000" w:themeColor="text1"/>
          <w:sz w:val="24"/>
          <w:szCs w:val="24"/>
        </w:rPr>
        <w:lastRenderedPageBreak/>
        <w:t xml:space="preserve">producen de forma natural en el ambiente. Esto significa que el ser humano no tiene injerencia en su aparición, formación o nacimiento. Sin duda la idea de </w:t>
      </w:r>
      <w:r w:rsidRPr="000364B6">
        <w:rPr>
          <w:rFonts w:ascii="Times New Roman" w:hAnsi="Times New Roman" w:cs="Times New Roman"/>
          <w:i/>
          <w:color w:val="000000" w:themeColor="text1"/>
          <w:sz w:val="24"/>
          <w:szCs w:val="24"/>
        </w:rPr>
        <w:t xml:space="preserve">recursos naturales </w:t>
      </w:r>
      <w:r w:rsidRPr="000364B6">
        <w:rPr>
          <w:rFonts w:ascii="Times New Roman" w:hAnsi="Times New Roman" w:cs="Times New Roman"/>
          <w:color w:val="000000" w:themeColor="text1"/>
          <w:sz w:val="24"/>
          <w:szCs w:val="24"/>
        </w:rPr>
        <w:t xml:space="preserve">es la idea rectora en la interpretación del precepto constitucional, quedando excluida una concepción bastante amplia que abarque todo ese otro elenco de condiciones integradoras del hábitat del ser humano de índole social, económica, </w:t>
      </w:r>
      <w:proofErr w:type="spellStart"/>
      <w:r w:rsidRPr="000364B6">
        <w:rPr>
          <w:rFonts w:ascii="Times New Roman" w:hAnsi="Times New Roman" w:cs="Times New Roman"/>
          <w:color w:val="000000" w:themeColor="text1"/>
          <w:sz w:val="24"/>
          <w:szCs w:val="24"/>
        </w:rPr>
        <w:t>cultural,etc</w:t>
      </w:r>
      <w:proofErr w:type="spellEnd"/>
      <w:r w:rsidRPr="000364B6">
        <w:rPr>
          <w:rFonts w:ascii="Times New Roman" w:hAnsi="Times New Roman" w:cs="Times New Roman"/>
          <w:color w:val="000000" w:themeColor="text1"/>
          <w:sz w:val="24"/>
          <w:szCs w:val="24"/>
          <w:vertAlign w:val="superscript"/>
        </w:rPr>
        <w:footnoteReference w:id="19"/>
      </w:r>
      <w:r w:rsidRPr="000364B6">
        <w:rPr>
          <w:rFonts w:ascii="Times New Roman" w:hAnsi="Times New Roman" w:cs="Times New Roman"/>
          <w:color w:val="000000" w:themeColor="text1"/>
          <w:sz w:val="24"/>
          <w:szCs w:val="24"/>
        </w:rPr>
        <w:t>.</w:t>
      </w:r>
      <w:r w:rsidRPr="000364B6">
        <w:rPr>
          <w:rFonts w:ascii="Times New Roman" w:hAnsi="Times New Roman" w:cs="Times New Roman"/>
          <w:color w:val="000000" w:themeColor="text1"/>
          <w:sz w:val="24"/>
          <w:szCs w:val="24"/>
        </w:rPr>
        <w:br/>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color w:val="000000" w:themeColor="text1"/>
          <w:sz w:val="24"/>
          <w:szCs w:val="24"/>
        </w:rPr>
        <w:t xml:space="preserve">Este tipo de delito viene regulado primeramente por la Constitución Española de 1978, lo menciona en el artículo 45, en su segundo apartado, y establece que </w:t>
      </w:r>
      <w:r w:rsidRPr="000364B6">
        <w:rPr>
          <w:rFonts w:ascii="Times New Roman" w:hAnsi="Times New Roman" w:cs="Times New Roman"/>
          <w:i/>
          <w:color w:val="000000" w:themeColor="text1"/>
          <w:sz w:val="24"/>
          <w:szCs w:val="24"/>
        </w:rPr>
        <w:t xml:space="preserve">“Los poderes públicos velarán por la utilización racional de </w:t>
      </w:r>
      <w:r w:rsidRPr="000364B6">
        <w:rPr>
          <w:rFonts w:ascii="Times New Roman" w:hAnsi="Times New Roman" w:cs="Times New Roman"/>
          <w:i/>
          <w:color w:val="000000" w:themeColor="text1"/>
          <w:sz w:val="24"/>
          <w:szCs w:val="24"/>
          <w:u w:val="single"/>
        </w:rPr>
        <w:t>todos los recursos naturales</w:t>
      </w:r>
      <w:r w:rsidRPr="000364B6">
        <w:rPr>
          <w:rFonts w:ascii="Times New Roman" w:hAnsi="Times New Roman" w:cs="Times New Roman"/>
          <w:i/>
          <w:color w:val="000000" w:themeColor="text1"/>
          <w:sz w:val="24"/>
          <w:szCs w:val="24"/>
        </w:rPr>
        <w:t>, con el fin de proteger y mejorar la calidad de la vida y defender y restaurar el medioambiente, apoyándose en la indispensable solidaridad colectiva”.</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Por su parte, el Código Penal dedica a este tipo de delitos un Capítulo dentro del Título XVI (De la protección penal del Medio Ambiente), el Capítulo III, titulado “De los delitos contra los recursos naturales y el Medio Ambiente”.</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este Capítulo, el medio ambiente aparece como un bien jurídico que protege la vida o la salud de las personas. Además se elevan a objeto de tutela penal factores como el agua, el aire o el suelo, la flora y la fauna, que son en realidad, los propios recursos naturales, que al protegerlos se protege directamente al individuo ya que el daño a cualquiera de ellos repercute a la las condiciones de su existencia</w:t>
      </w:r>
      <w:r w:rsidRPr="000364B6">
        <w:rPr>
          <w:rFonts w:ascii="Times New Roman" w:hAnsi="Times New Roman" w:cs="Times New Roman"/>
          <w:color w:val="000000" w:themeColor="text1"/>
          <w:sz w:val="24"/>
          <w:szCs w:val="24"/>
          <w:vertAlign w:val="superscript"/>
        </w:rPr>
        <w:footnoteReference w:id="20"/>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El Capítulo III, “De los delitos contra los recursos naturales y el Medio Ambiente”, consta de ocho artículos (del 325 al 331). Antes de pasar a analizar cada artículo, me parece interesante resumir en un esquema las principales modificaciones sufridas en estos artículos por la LO 1/2015 de 30 de marzo</w:t>
      </w:r>
      <w:r w:rsidRPr="000364B6">
        <w:rPr>
          <w:rFonts w:ascii="Times New Roman" w:hAnsi="Times New Roman" w:cs="Times New Roman"/>
          <w:color w:val="000000" w:themeColor="text1"/>
          <w:sz w:val="24"/>
          <w:szCs w:val="24"/>
          <w:vertAlign w:val="superscript"/>
        </w:rPr>
        <w:footnoteReference w:id="21"/>
      </w:r>
      <w:r w:rsidRPr="000364B6">
        <w:rPr>
          <w:rFonts w:ascii="Times New Roman" w:hAnsi="Times New Roman" w:cs="Times New Roman"/>
          <w:color w:val="000000" w:themeColor="text1"/>
          <w:sz w:val="24"/>
          <w:szCs w:val="24"/>
        </w:rPr>
        <w:t>:</w:t>
      </w:r>
    </w:p>
    <w:tbl>
      <w:tblPr>
        <w:tblStyle w:val="Tablaconcuadrcula"/>
        <w:tblW w:w="0" w:type="auto"/>
        <w:tblLook w:val="04A0" w:firstRow="1" w:lastRow="0" w:firstColumn="1" w:lastColumn="0" w:noHBand="0" w:noVBand="1"/>
      </w:tblPr>
      <w:tblGrid>
        <w:gridCol w:w="1951"/>
        <w:gridCol w:w="2835"/>
        <w:gridCol w:w="3858"/>
      </w:tblGrid>
      <w:tr w:rsidR="00327E85" w:rsidRPr="000364B6" w:rsidTr="0046254B">
        <w:tc>
          <w:tcPr>
            <w:tcW w:w="1951" w:type="dxa"/>
          </w:tcPr>
          <w:p w:rsidR="00327E85" w:rsidRPr="000364B6" w:rsidRDefault="00327E85" w:rsidP="000364B6">
            <w:pPr>
              <w:spacing w:after="160"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Artículo Afectado</w:t>
            </w:r>
          </w:p>
        </w:tc>
        <w:tc>
          <w:tcPr>
            <w:tcW w:w="2835" w:type="dxa"/>
          </w:tcPr>
          <w:p w:rsidR="00327E85" w:rsidRPr="000364B6" w:rsidRDefault="00327E85" w:rsidP="000364B6">
            <w:pPr>
              <w:spacing w:after="160"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Regulación en Vigor</w:t>
            </w:r>
          </w:p>
        </w:tc>
        <w:tc>
          <w:tcPr>
            <w:tcW w:w="3858" w:type="dxa"/>
          </w:tcPr>
          <w:p w:rsidR="00327E85" w:rsidRPr="000364B6" w:rsidRDefault="00327E85" w:rsidP="000364B6">
            <w:pPr>
              <w:spacing w:after="160"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Cambio producido</w:t>
            </w:r>
          </w:p>
        </w:tc>
      </w:tr>
      <w:tr w:rsidR="00327E85" w:rsidRPr="000364B6" w:rsidTr="0046254B">
        <w:tc>
          <w:tcPr>
            <w:tcW w:w="1951" w:type="dxa"/>
          </w:tcPr>
          <w:p w:rsidR="00327E85" w:rsidRPr="000364B6" w:rsidRDefault="00327E85" w:rsidP="000364B6">
            <w:pPr>
              <w:spacing w:after="160"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Art. 325 CP</w:t>
            </w:r>
          </w:p>
        </w:tc>
        <w:tc>
          <w:tcPr>
            <w:tcW w:w="2835" w:type="dxa"/>
          </w:tcPr>
          <w:p w:rsidR="00327E85" w:rsidRPr="000364B6" w:rsidRDefault="00327E85" w:rsidP="000364B6">
            <w:pPr>
              <w:spacing w:after="160"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Tipo atenuado (apdo.1º) y tipo básico (apdo. 2º) </w:t>
            </w:r>
            <w:r w:rsidRPr="000364B6">
              <w:rPr>
                <w:rFonts w:ascii="Times New Roman" w:hAnsi="Times New Roman" w:cs="Times New Roman"/>
                <w:color w:val="000000" w:themeColor="text1"/>
                <w:sz w:val="24"/>
                <w:szCs w:val="24"/>
              </w:rPr>
              <w:lastRenderedPageBreak/>
              <w:t>contra el medio ambiente.</w:t>
            </w:r>
          </w:p>
        </w:tc>
        <w:tc>
          <w:tcPr>
            <w:tcW w:w="3858" w:type="dxa"/>
          </w:tcPr>
          <w:p w:rsidR="00327E85" w:rsidRPr="000364B6" w:rsidRDefault="00327E85" w:rsidP="000364B6">
            <w:pPr>
              <w:spacing w:after="160"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Pasa de una estructura basada en un solo párrafo, a dos apartados.</w:t>
            </w:r>
          </w:p>
        </w:tc>
      </w:tr>
      <w:tr w:rsidR="00327E85" w:rsidRPr="000364B6" w:rsidTr="0046254B">
        <w:tc>
          <w:tcPr>
            <w:tcW w:w="1951" w:type="dxa"/>
          </w:tcPr>
          <w:p w:rsidR="00327E85" w:rsidRPr="000364B6" w:rsidRDefault="00327E85" w:rsidP="000364B6">
            <w:pPr>
              <w:spacing w:after="160"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lastRenderedPageBreak/>
              <w:t>Art. 326 CP</w:t>
            </w:r>
          </w:p>
        </w:tc>
        <w:tc>
          <w:tcPr>
            <w:tcW w:w="2835" w:type="dxa"/>
          </w:tcPr>
          <w:p w:rsidR="00327E85" w:rsidRPr="000364B6" w:rsidRDefault="00327E85" w:rsidP="000364B6">
            <w:pPr>
              <w:spacing w:after="160"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Delito de gestión ilegal y transporte de residuos (apdo. 1º)</w:t>
            </w:r>
          </w:p>
          <w:p w:rsidR="00327E85" w:rsidRPr="000364B6" w:rsidRDefault="00327E85" w:rsidP="000364B6">
            <w:pPr>
              <w:spacing w:after="160"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Delito relativo a traslados de residuos vinculados (apdo. 2º)</w:t>
            </w:r>
          </w:p>
        </w:tc>
        <w:tc>
          <w:tcPr>
            <w:tcW w:w="3858" w:type="dxa"/>
          </w:tcPr>
          <w:p w:rsidR="00327E85" w:rsidRPr="000364B6" w:rsidRDefault="00327E85" w:rsidP="000364B6">
            <w:pPr>
              <w:spacing w:after="160"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Se desplaza de este precepto el conjunto de circunstancias agravantes específicas, para ubicar en él, dos de los delitos anteriormente situados en el anterior art. 328 CP, apartados 3 y 4.</w:t>
            </w:r>
          </w:p>
        </w:tc>
      </w:tr>
      <w:tr w:rsidR="00327E85" w:rsidRPr="000364B6" w:rsidTr="0046254B">
        <w:tc>
          <w:tcPr>
            <w:tcW w:w="1951" w:type="dxa"/>
          </w:tcPr>
          <w:p w:rsidR="00327E85" w:rsidRPr="000364B6" w:rsidRDefault="00327E85" w:rsidP="000364B6">
            <w:pPr>
              <w:spacing w:after="160"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Art. 326 bis) CP</w:t>
            </w:r>
          </w:p>
        </w:tc>
        <w:tc>
          <w:tcPr>
            <w:tcW w:w="2835" w:type="dxa"/>
          </w:tcPr>
          <w:p w:rsidR="00327E85" w:rsidRPr="000364B6" w:rsidRDefault="00327E85" w:rsidP="000364B6">
            <w:pPr>
              <w:spacing w:after="160"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Delito de explotación de instalaciones donde se realice actividad peligrosa</w:t>
            </w:r>
          </w:p>
        </w:tc>
        <w:tc>
          <w:tcPr>
            <w:tcW w:w="3858" w:type="dxa"/>
          </w:tcPr>
          <w:p w:rsidR="00327E85" w:rsidRPr="000364B6" w:rsidRDefault="00327E85" w:rsidP="000364B6">
            <w:pPr>
              <w:spacing w:after="160"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Se crea un nuevo artículo que ahora alberga el delito del anterior art. 328.2 CP</w:t>
            </w:r>
          </w:p>
        </w:tc>
      </w:tr>
      <w:tr w:rsidR="00327E85" w:rsidRPr="000364B6" w:rsidTr="0046254B">
        <w:tc>
          <w:tcPr>
            <w:tcW w:w="1951" w:type="dxa"/>
          </w:tcPr>
          <w:p w:rsidR="00327E85" w:rsidRPr="000364B6" w:rsidRDefault="00327E85" w:rsidP="000364B6">
            <w:pPr>
              <w:spacing w:after="160"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Art. 327 CP</w:t>
            </w:r>
          </w:p>
        </w:tc>
        <w:tc>
          <w:tcPr>
            <w:tcW w:w="2835" w:type="dxa"/>
          </w:tcPr>
          <w:p w:rsidR="00327E85" w:rsidRPr="000364B6" w:rsidRDefault="00327E85" w:rsidP="000364B6">
            <w:pPr>
              <w:spacing w:after="160"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-Circunstancias agravantes específicas</w:t>
            </w:r>
          </w:p>
        </w:tc>
        <w:tc>
          <w:tcPr>
            <w:tcW w:w="3858" w:type="dxa"/>
          </w:tcPr>
          <w:p w:rsidR="00327E85" w:rsidRPr="000364B6" w:rsidRDefault="00327E85" w:rsidP="000364B6">
            <w:pPr>
              <w:spacing w:after="160"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Se reubican aquí las mismas agravantes específicas del anterior art. 326 CP, afectando así a los precedentes artículos</w:t>
            </w:r>
          </w:p>
        </w:tc>
      </w:tr>
      <w:tr w:rsidR="00327E85" w:rsidRPr="000364B6" w:rsidTr="0046254B">
        <w:trPr>
          <w:trHeight w:val="3215"/>
        </w:trPr>
        <w:tc>
          <w:tcPr>
            <w:tcW w:w="1951" w:type="dxa"/>
          </w:tcPr>
          <w:p w:rsidR="00327E85" w:rsidRPr="000364B6" w:rsidRDefault="00327E85" w:rsidP="000364B6">
            <w:pPr>
              <w:spacing w:after="160"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Art. 328 CP</w:t>
            </w:r>
          </w:p>
        </w:tc>
        <w:tc>
          <w:tcPr>
            <w:tcW w:w="2835" w:type="dxa"/>
          </w:tcPr>
          <w:p w:rsidR="00327E85" w:rsidRPr="000364B6" w:rsidRDefault="00327E85" w:rsidP="000364B6">
            <w:pPr>
              <w:spacing w:after="160"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Responsabilidad penal de las personas jurídicas, con una modificación de las penas a imponer.</w:t>
            </w:r>
          </w:p>
        </w:tc>
        <w:tc>
          <w:tcPr>
            <w:tcW w:w="3858" w:type="dxa"/>
          </w:tcPr>
          <w:p w:rsidR="00327E85" w:rsidRPr="000364B6" w:rsidRDefault="00327E85" w:rsidP="000364B6">
            <w:pPr>
              <w:spacing w:after="160"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Se vacía de contenido este precepto, al reubicarse los delitos allí introducidos por LO 5/2010, 22 de junio, en otros artículos precedentes; excepto el delito de depósito y vertederos tóxicos (anterior apdo. 1º art. 328 CP) y las cláusulas de los apartados 5º y 7º que quedan derogados.</w:t>
            </w:r>
          </w:p>
        </w:tc>
      </w:tr>
    </w:tbl>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Art. 325 CP: Delito ecológico, podemos dividirlo en tres partes, por un lado el art. 325.1, que sería el tipo básico donde se describe la acción que causa o puede causar daños sustanciales a determinados recursos naturales. Por otro lado tenemos el artículo 325.2, éste apartado segundo trata sobre el tipo cualificado. Este artículo básicamente eleva la pena (prisión de dos a cinco años, multa de ocho a veinticuatro meses e inhabilitación especial para la profesión u oficio por tiempo de uno a tres años) si las conductas del apartado anterior pudieran perjudicar gravemente el equilibrio de los </w:t>
      </w:r>
      <w:r w:rsidRPr="000364B6">
        <w:rPr>
          <w:rFonts w:ascii="Times New Roman" w:hAnsi="Times New Roman" w:cs="Times New Roman"/>
          <w:color w:val="000000" w:themeColor="text1"/>
          <w:sz w:val="24"/>
          <w:szCs w:val="24"/>
        </w:rPr>
        <w:lastRenderedPageBreak/>
        <w:t>sistemas naturales. Y por último el  último inciso del artículo 325.2 que establece la agravante, este apartado surge “si el riesgo de grave perjuicio fuese para la salud de las personas</w:t>
      </w:r>
      <w:r w:rsidRPr="000364B6">
        <w:rPr>
          <w:rFonts w:ascii="Times New Roman" w:hAnsi="Times New Roman" w:cs="Times New Roman"/>
          <w:color w:val="000000" w:themeColor="text1"/>
          <w:sz w:val="24"/>
          <w:szCs w:val="24"/>
          <w:vertAlign w:val="superscript"/>
        </w:rPr>
        <w:footnoteReference w:id="22"/>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Art. 326 CP: delito de traslado o tratamiento ilegal de residuos, como el artículo anterior lo podemos dividir en tres partes: por un lado un tipo básico, artículo 326.1, que castiga con las mismas penas previstas en el artículo 325.1. Para poder tipificar estas conductas o actividades será necesario que causen o puedan causar daños sustanciales a la calidad del aire, del suelo o de las aguas, o a animales o plantas, muerte o lesiones graves a personas, o puedan perjudicar gravemente el equilibrio de los sistemas naturales.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Además se dan dos tipos cualificados dentro del artículo 326.1, la primera es de difícil explicación, las penas previstas en este artículo se remiten a las del artículo anterior, el 325, en sus respectivos supuestos, por lo que aquí tendremos que deducir que con la gestión ilegal de residuos se crea un riesgo de grave perjuicio para los sistemas naturales y la pena a aplicar será, como hemos dicho, la del artículo anterior, en este caso la del segundo apartado del 325.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Otra cualificación es la que se refiere a la causación o posibilidad de causación de “muerte o lesiones graves a personas” que se compara con el párrafo segundo del artículo 325.2 (si se hubiera creado un riesgo de grave perjuicio para la salud de las personas). Por lo tanto el ámbito de aplicación de esta cualificación es el mismo que el del artículo 325.2, segundo párrafo</w:t>
      </w:r>
      <w:r w:rsidRPr="000364B6">
        <w:rPr>
          <w:rFonts w:ascii="Times New Roman" w:hAnsi="Times New Roman" w:cs="Times New Roman"/>
          <w:color w:val="000000" w:themeColor="text1"/>
          <w:sz w:val="24"/>
          <w:szCs w:val="24"/>
          <w:vertAlign w:val="superscript"/>
        </w:rPr>
        <w:footnoteReference w:id="23"/>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Y por último se da un tipo privilegiado, en el segundo apartado del artículo 326,  éste último aplicado de forma subsidiaria. Lo que se castiga en este segundo apartado es a la persona que traslade una cantidad no desdeñable de residuos, tanto si es uno como varios. Este apartado por lo tanto requiere que la conducta no sea subsumible en el primer apartado del 326, el cual </w:t>
      </w:r>
      <w:r w:rsidRPr="000364B6">
        <w:rPr>
          <w:rFonts w:ascii="Times New Roman" w:hAnsi="Times New Roman" w:cs="Times New Roman"/>
          <w:color w:val="000000" w:themeColor="text1"/>
          <w:sz w:val="24"/>
          <w:szCs w:val="24"/>
        </w:rPr>
        <w:lastRenderedPageBreak/>
        <w:t>será preferente  cuando tal traslado pueda causar daños a los recursos naturales o el medio ambiente</w:t>
      </w:r>
      <w:r w:rsidRPr="000364B6">
        <w:rPr>
          <w:rFonts w:ascii="Times New Roman" w:hAnsi="Times New Roman" w:cs="Times New Roman"/>
          <w:color w:val="000000" w:themeColor="text1"/>
          <w:sz w:val="24"/>
          <w:szCs w:val="24"/>
          <w:vertAlign w:val="superscript"/>
        </w:rPr>
        <w:footnoteReference w:id="24"/>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Art. 326 bis CP: Explotación de instalaciones en las que se realicen actividades peligrosas, o de almacenamiento o utilización de sustancias o preparados peligrosos. Este artículo es una novedad de la LO 1/2015, de 30 de marzo, que sustituye al antiguo artículo 328.2, establecido como cumplimiento de la Directiva 2008/99/CE, de 19 de diciembre. Se remite ahora la determinación de la pena a imponer lo establecido en el artículo 325 para los diversos supuestos en él contemplados, lo que supone un considerable endurecimiento del régimen sancionador</w:t>
      </w:r>
      <w:r w:rsidRPr="000364B6">
        <w:rPr>
          <w:rFonts w:ascii="Times New Roman" w:hAnsi="Times New Roman" w:cs="Times New Roman"/>
          <w:color w:val="000000" w:themeColor="text1"/>
          <w:sz w:val="24"/>
          <w:szCs w:val="24"/>
          <w:vertAlign w:val="superscript"/>
        </w:rPr>
        <w:footnoteReference w:id="25"/>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Se castiga a quienes contraviniendo dicha normativa extrapenal lleven a cabo explotaciones de instalaciones en las que se realice una actividad peligrosa o en las que se almacenen o utilicen sustancias o preparados peligrosos. Estos elementos típicos deben ser concretados atendiendo a la normativa comunitaria aplicable.</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Art. 327 CP: Agravaciones de los delitos anteriores. Este artículo 327 recoge otros tipos cualificados, a parte de los establecidos en los artículos anteriores. Con la reforma de la LO 1/2015, será aplicable no sólo al delito del artículo 325, como estaba establecido anteriormente, sino también a las conductas del artículo 326 y 326 bis.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Según este artículo, se impondrá la pena superior en grado, “sin perjuicio de las que puedan corresponder con arreglo a otros preceptos de este Código”, cuando concurra alguna de las circunstancias siguientes:</w:t>
      </w:r>
    </w:p>
    <w:p w:rsidR="00327E85" w:rsidRPr="000364B6" w:rsidRDefault="00327E85" w:rsidP="000364B6">
      <w:pPr>
        <w:numPr>
          <w:ilvl w:val="0"/>
          <w:numId w:val="16"/>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i/>
          <w:color w:val="000000" w:themeColor="text1"/>
          <w:sz w:val="24"/>
          <w:szCs w:val="24"/>
        </w:rPr>
        <w:t>Que la industria o actividad funcione clandestinamente, sin haber obtenido la preceptiva autorización o aprobación administrativa de sus instalaciones.</w:t>
      </w:r>
    </w:p>
    <w:p w:rsidR="00327E85" w:rsidRPr="000364B6" w:rsidRDefault="00327E85" w:rsidP="000364B6">
      <w:pPr>
        <w:numPr>
          <w:ilvl w:val="0"/>
          <w:numId w:val="16"/>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i/>
          <w:color w:val="000000" w:themeColor="text1"/>
          <w:sz w:val="24"/>
          <w:szCs w:val="24"/>
        </w:rPr>
        <w:t>Que se hayan desobedecido las órdenes expresas de la autoridad administrativa de corrección o suspensión de las actividades tipificadas en el artículo anterior.</w:t>
      </w:r>
    </w:p>
    <w:p w:rsidR="00327E85" w:rsidRPr="000364B6" w:rsidRDefault="00327E85" w:rsidP="000364B6">
      <w:pPr>
        <w:numPr>
          <w:ilvl w:val="0"/>
          <w:numId w:val="16"/>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i/>
          <w:color w:val="000000" w:themeColor="text1"/>
          <w:sz w:val="24"/>
          <w:szCs w:val="24"/>
        </w:rPr>
        <w:lastRenderedPageBreak/>
        <w:t>Que se haya falseado u ocultado información sobre los aspectos ambientales de la misma.</w:t>
      </w:r>
    </w:p>
    <w:p w:rsidR="00327E85" w:rsidRPr="000364B6" w:rsidRDefault="00327E85" w:rsidP="000364B6">
      <w:pPr>
        <w:numPr>
          <w:ilvl w:val="0"/>
          <w:numId w:val="16"/>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i/>
          <w:color w:val="000000" w:themeColor="text1"/>
          <w:sz w:val="24"/>
          <w:szCs w:val="24"/>
        </w:rPr>
        <w:t>Que se haya obstaculizado la actividad inspectora de la Administración.</w:t>
      </w:r>
    </w:p>
    <w:p w:rsidR="00327E85" w:rsidRPr="000364B6" w:rsidRDefault="00327E85" w:rsidP="000364B6">
      <w:pPr>
        <w:numPr>
          <w:ilvl w:val="0"/>
          <w:numId w:val="16"/>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i/>
          <w:color w:val="000000" w:themeColor="text1"/>
          <w:sz w:val="24"/>
          <w:szCs w:val="24"/>
        </w:rPr>
        <w:t>Que se haya producido un riesgo de deterioro irreversible o catastrófico.</w:t>
      </w:r>
    </w:p>
    <w:p w:rsidR="00327E85" w:rsidRPr="000364B6" w:rsidRDefault="00327E85" w:rsidP="000364B6">
      <w:pPr>
        <w:numPr>
          <w:ilvl w:val="0"/>
          <w:numId w:val="16"/>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i/>
          <w:color w:val="000000" w:themeColor="text1"/>
          <w:sz w:val="24"/>
          <w:szCs w:val="24"/>
        </w:rPr>
        <w:t>Que se produzca una extracción ilegal de aguas en período de restricciones</w:t>
      </w:r>
      <w:r w:rsidRPr="000364B6">
        <w:rPr>
          <w:rFonts w:ascii="Times New Roman" w:hAnsi="Times New Roman" w:cs="Times New Roman"/>
          <w:i/>
          <w:color w:val="000000" w:themeColor="text1"/>
          <w:sz w:val="24"/>
          <w:szCs w:val="24"/>
          <w:vertAlign w:val="superscript"/>
        </w:rPr>
        <w:footnoteReference w:id="26"/>
      </w:r>
      <w:r w:rsidRPr="000364B6">
        <w:rPr>
          <w:rFonts w:ascii="Times New Roman" w:hAnsi="Times New Roman" w:cs="Times New Roman"/>
          <w:i/>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Art. 328 CP: Responsabilidad penal de las personas jurídicas. Es un artículo nuevo por la reforma de la LO 1/2015, afecta a la responsabilidad penal de las personas jurídicas. “</w:t>
      </w:r>
      <w:r w:rsidRPr="000364B6">
        <w:rPr>
          <w:rFonts w:ascii="Times New Roman" w:hAnsi="Times New Roman" w:cs="Times New Roman"/>
          <w:i/>
          <w:color w:val="000000" w:themeColor="text1"/>
          <w:sz w:val="24"/>
          <w:szCs w:val="24"/>
        </w:rPr>
        <w:t>Este artículo ahora comporta, en líneas generales, una atenuación de la responsabilidad penal de las personas jurídicas en Derecho penal del medio ambiente</w:t>
      </w:r>
      <w:r w:rsidRPr="000364B6">
        <w:rPr>
          <w:rFonts w:ascii="Times New Roman" w:hAnsi="Times New Roman" w:cs="Times New Roman"/>
          <w:color w:val="000000" w:themeColor="text1"/>
          <w:sz w:val="24"/>
          <w:szCs w:val="24"/>
        </w:rPr>
        <w:t>”</w:t>
      </w:r>
      <w:r w:rsidRPr="000364B6">
        <w:rPr>
          <w:rFonts w:ascii="Times New Roman" w:hAnsi="Times New Roman" w:cs="Times New Roman"/>
          <w:color w:val="000000" w:themeColor="text1"/>
          <w:sz w:val="24"/>
          <w:szCs w:val="24"/>
          <w:vertAlign w:val="superscript"/>
        </w:rPr>
        <w:footnoteReference w:id="27"/>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Como bien dice Morillas Cueva</w:t>
      </w:r>
      <w:r w:rsidRPr="000364B6">
        <w:rPr>
          <w:rFonts w:ascii="Times New Roman" w:hAnsi="Times New Roman" w:cs="Times New Roman"/>
          <w:color w:val="000000" w:themeColor="text1"/>
          <w:sz w:val="24"/>
          <w:szCs w:val="24"/>
          <w:vertAlign w:val="superscript"/>
        </w:rPr>
        <w:footnoteReference w:id="28"/>
      </w:r>
      <w:r w:rsidRPr="000364B6">
        <w:rPr>
          <w:rFonts w:ascii="Times New Roman" w:hAnsi="Times New Roman" w:cs="Times New Roman"/>
          <w:color w:val="000000" w:themeColor="text1"/>
          <w:sz w:val="24"/>
          <w:szCs w:val="24"/>
        </w:rPr>
        <w:t xml:space="preserve">, con el sistema de </w:t>
      </w:r>
      <w:r w:rsidRPr="000364B6">
        <w:rPr>
          <w:rFonts w:ascii="Times New Roman" w:hAnsi="Times New Roman" w:cs="Times New Roman"/>
          <w:i/>
          <w:color w:val="000000" w:themeColor="text1"/>
          <w:sz w:val="24"/>
          <w:szCs w:val="24"/>
        </w:rPr>
        <w:t xml:space="preserve">numerus clausus </w:t>
      </w:r>
      <w:r w:rsidRPr="000364B6">
        <w:rPr>
          <w:rFonts w:ascii="Times New Roman" w:hAnsi="Times New Roman" w:cs="Times New Roman"/>
          <w:color w:val="000000" w:themeColor="text1"/>
          <w:sz w:val="24"/>
          <w:szCs w:val="24"/>
        </w:rPr>
        <w:t>del art. 31 bis CP que, tras la Reforma de la LO 5/2010, ha introducido la responsabilidad penal de las personas jurídicas en España, el artículo 328 CP viene a señalar a los delitos contra el medio ambiente y los recursos naturales como uno de los ámbitos en los que puede exigirse tal responsabilidad a los entes corporativos, eso sí, que no sean de naturaleza pública (art. 31 bis, apartado quinto, CP).</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Art. 329 CP: Prevaricación administrativa específica en el ámbito natural. Este artículo se basa principalmente en la responsabilidad penal de los funcionarios públicos. Fue reformado por la LO 5/2010, de 22 de junio. A diferencia con los artículos anteriores, la característica de éste es el sujeto activo, que en este caso tiene que ser la autoridad o funcionario público, por lo tanto estamos ante un delito especial propio. Además de ser autoridad o funcionario público, se tienen que dedicar a las conductas descritas en este artículo, como informar o conceder licencias que autoricen el funcionamiento de industrias o actividades contaminantes, o la de inspeccionar los aspectos ambientales de las mismas.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En su apartado segundo señala la responsabilidad de la autoridad o funcionario público que hayan actuado a través de un acuerdo colegiado, requiere que haya votado a favor de su concesión</w:t>
      </w:r>
      <w:r w:rsidRPr="000364B6">
        <w:rPr>
          <w:rFonts w:ascii="Times New Roman" w:hAnsi="Times New Roman" w:cs="Times New Roman"/>
          <w:color w:val="000000" w:themeColor="text1"/>
          <w:sz w:val="24"/>
          <w:szCs w:val="24"/>
          <w:vertAlign w:val="superscript"/>
        </w:rPr>
        <w:footnoteReference w:id="29"/>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Art. 330 CP: Producción de daños en un espacio natural protegido. Este artículo establece que el delito tiene que consistir en un daño grave a los espacios naturales protegidos, lo que en la mayoría de los casos será necesaria una valoración judicial.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Además, como problema de este artículo, el art. 338 CP señala una cualificación para todos los delitos anteriores del Título en el que estamos trabajando. Contiene una pena superior en grado a la prevista en el delito de que se trate si la conducta “afecta” a algún espacio natural protegido. Esta será la diferencia con el artículo 330, mientras que uno establece que la conducta es de “dañar”, el otro la que establece es de “afectar”</w:t>
      </w:r>
      <w:r w:rsidRPr="000364B6">
        <w:rPr>
          <w:rFonts w:ascii="Times New Roman" w:hAnsi="Times New Roman" w:cs="Times New Roman"/>
          <w:color w:val="000000" w:themeColor="text1"/>
          <w:sz w:val="24"/>
          <w:szCs w:val="24"/>
          <w:vertAlign w:val="superscript"/>
        </w:rPr>
        <w:footnoteReference w:id="30"/>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color w:val="000000" w:themeColor="text1"/>
          <w:sz w:val="24"/>
          <w:szCs w:val="24"/>
        </w:rPr>
        <w:t>Art. 331 CP: cláusula de imprudencia. Este artículo recoge la posibilidad de castigar con la pena inferior en grado a los delitos previstos en este Capítulo III, con el requisito de que se cometieran por imprudencia grave. Pero cabe decir que algunos artículos que ya hemos visto con anterioridad no quepa esta cláusula, como por son el artículo 327 (de las cualificaciones) y el 329 (prevaricación medioambiental)</w:t>
      </w:r>
      <w:r w:rsidRPr="000364B6">
        <w:rPr>
          <w:rFonts w:ascii="Times New Roman" w:hAnsi="Times New Roman" w:cs="Times New Roman"/>
          <w:color w:val="000000" w:themeColor="text1"/>
          <w:sz w:val="24"/>
          <w:szCs w:val="24"/>
          <w:vertAlign w:val="superscript"/>
        </w:rPr>
        <w:footnoteReference w:id="31"/>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2.3.2. Delitos relativos a la protección de la flora, fauna y animales domésticos.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Tal y como hemos hecho en el apartado anterior, vamos a definir primeramente el concepto de flora, fauna y animales domésticos. En cuanto a la </w:t>
      </w:r>
      <w:r w:rsidRPr="000364B6">
        <w:rPr>
          <w:rFonts w:ascii="Times New Roman" w:hAnsi="Times New Roman" w:cs="Times New Roman"/>
          <w:i/>
          <w:color w:val="000000" w:themeColor="text1"/>
          <w:sz w:val="24"/>
          <w:szCs w:val="24"/>
        </w:rPr>
        <w:t>flora</w:t>
      </w:r>
      <w:r w:rsidRPr="000364B6">
        <w:rPr>
          <w:rFonts w:ascii="Times New Roman" w:hAnsi="Times New Roman" w:cs="Times New Roman"/>
          <w:color w:val="000000" w:themeColor="text1"/>
          <w:sz w:val="24"/>
          <w:szCs w:val="24"/>
        </w:rPr>
        <w:t xml:space="preserve"> podemos decir que es conjunto de plantas de una zona o de un periodo geológico determinado. Por </w:t>
      </w:r>
      <w:r w:rsidRPr="000364B6">
        <w:rPr>
          <w:rFonts w:ascii="Times New Roman" w:hAnsi="Times New Roman" w:cs="Times New Roman"/>
          <w:i/>
          <w:color w:val="000000" w:themeColor="text1"/>
          <w:sz w:val="24"/>
          <w:szCs w:val="24"/>
        </w:rPr>
        <w:t>fauna</w:t>
      </w:r>
      <w:r w:rsidRPr="000364B6">
        <w:rPr>
          <w:rFonts w:ascii="Times New Roman" w:hAnsi="Times New Roman" w:cs="Times New Roman"/>
          <w:color w:val="000000" w:themeColor="text1"/>
          <w:sz w:val="24"/>
          <w:szCs w:val="24"/>
        </w:rPr>
        <w:t xml:space="preserve">, se define como el conjunto de todas las especies animales, generalmente con referencia a un lugar, clima, tipo, medio o periodo geológico concretos. Y por último </w:t>
      </w:r>
      <w:r w:rsidRPr="000364B6">
        <w:rPr>
          <w:rFonts w:ascii="Times New Roman" w:hAnsi="Times New Roman" w:cs="Times New Roman"/>
          <w:i/>
          <w:color w:val="000000" w:themeColor="text1"/>
          <w:sz w:val="24"/>
          <w:szCs w:val="24"/>
        </w:rPr>
        <w:t xml:space="preserve">animales domésticos, </w:t>
      </w:r>
      <w:r w:rsidRPr="000364B6">
        <w:rPr>
          <w:rFonts w:ascii="Times New Roman" w:hAnsi="Times New Roman" w:cs="Times New Roman"/>
          <w:color w:val="000000" w:themeColor="text1"/>
          <w:sz w:val="24"/>
          <w:szCs w:val="24"/>
        </w:rPr>
        <w:t xml:space="preserve">son pequeños o </w:t>
      </w:r>
      <w:r w:rsidRPr="000364B6">
        <w:rPr>
          <w:rFonts w:ascii="Times New Roman" w:hAnsi="Times New Roman" w:cs="Times New Roman"/>
          <w:color w:val="000000" w:themeColor="text1"/>
          <w:sz w:val="24"/>
          <w:szCs w:val="24"/>
        </w:rPr>
        <w:lastRenderedPageBreak/>
        <w:t xml:space="preserve">grandes </w:t>
      </w:r>
      <w:r w:rsidRPr="000364B6">
        <w:rPr>
          <w:rFonts w:ascii="Times New Roman" w:hAnsi="Times New Roman" w:cs="Times New Roman"/>
          <w:bCs/>
          <w:color w:val="000000" w:themeColor="text1"/>
          <w:sz w:val="24"/>
          <w:szCs w:val="24"/>
        </w:rPr>
        <w:t>animales</w:t>
      </w:r>
      <w:r w:rsidRPr="000364B6">
        <w:rPr>
          <w:rFonts w:ascii="Times New Roman" w:hAnsi="Times New Roman" w:cs="Times New Roman"/>
          <w:color w:val="000000" w:themeColor="text1"/>
          <w:sz w:val="24"/>
          <w:szCs w:val="24"/>
        </w:rPr>
        <w:t xml:space="preserve"> que pueden llegar a ser domesticados por el hombre y, por tanto, convivir con ellos.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Una vez establecida la definición de cada uno, nos vamos a su regulación como delito, se encuentran dentro del Título XVI, en su Capítulo IV del Código Penal con nombre de "Los delitos relativos a la protección de la flora y fauna y animales domésticos", concretamente de los </w:t>
      </w:r>
      <w:hyperlink r:id="rId10" w:anchor="I5404');" w:tooltip="enlace" w:history="1">
        <w:r w:rsidRPr="000364B6">
          <w:rPr>
            <w:rStyle w:val="Hipervnculo"/>
            <w:rFonts w:ascii="Times New Roman" w:hAnsi="Times New Roman" w:cs="Times New Roman"/>
            <w:sz w:val="24"/>
            <w:szCs w:val="24"/>
          </w:rPr>
          <w:t>artículos 332</w:t>
        </w:r>
      </w:hyperlink>
      <w:r w:rsidRPr="000364B6">
        <w:rPr>
          <w:rFonts w:ascii="Times New Roman" w:hAnsi="Times New Roman" w:cs="Times New Roman"/>
          <w:color w:val="000000" w:themeColor="text1"/>
          <w:sz w:val="24"/>
          <w:szCs w:val="24"/>
        </w:rPr>
        <w:t xml:space="preserve"> </w:t>
      </w:r>
      <w:hyperlink r:id="rId11" w:anchor="I5434');" w:tooltip="enlace" w:history="1">
        <w:r w:rsidRPr="000364B6">
          <w:rPr>
            <w:rStyle w:val="Hipervnculo"/>
            <w:rFonts w:ascii="Times New Roman" w:hAnsi="Times New Roman" w:cs="Times New Roman"/>
            <w:sz w:val="24"/>
            <w:szCs w:val="24"/>
          </w:rPr>
          <w:t>a 337 bis</w:t>
        </w:r>
      </w:hyperlink>
      <w:r w:rsidRPr="000364B6">
        <w:rPr>
          <w:rFonts w:ascii="Times New Roman" w:hAnsi="Times New Roman" w:cs="Times New Roman"/>
          <w:color w:val="000000" w:themeColor="text1"/>
          <w:sz w:val="24"/>
          <w:szCs w:val="24"/>
        </w:rPr>
        <w:t>. A su vez podemos distinguir como tres partes dentro del mismo capítulo. Una primera en la que se contienen los delitos contra la flora (</w:t>
      </w:r>
      <w:hyperlink r:id="rId12" w:anchor="I5404');" w:tooltip="enlace" w:history="1">
        <w:r w:rsidRPr="000364B6">
          <w:rPr>
            <w:rStyle w:val="Hipervnculo"/>
            <w:rFonts w:ascii="Times New Roman" w:hAnsi="Times New Roman" w:cs="Times New Roman"/>
            <w:sz w:val="24"/>
            <w:szCs w:val="24"/>
          </w:rPr>
          <w:t>artículos 332</w:t>
        </w:r>
      </w:hyperlink>
      <w:r w:rsidRPr="000364B6">
        <w:rPr>
          <w:rFonts w:ascii="Times New Roman" w:hAnsi="Times New Roman" w:cs="Times New Roman"/>
          <w:color w:val="000000" w:themeColor="text1"/>
          <w:sz w:val="24"/>
          <w:szCs w:val="24"/>
        </w:rPr>
        <w:t xml:space="preserve"> </w:t>
      </w:r>
      <w:hyperlink r:id="rId13" w:anchor="I3762');" w:tooltip="enlace" w:history="1">
        <w:r w:rsidRPr="000364B6">
          <w:rPr>
            <w:rStyle w:val="Hipervnculo"/>
            <w:rFonts w:ascii="Times New Roman" w:hAnsi="Times New Roman" w:cs="Times New Roman"/>
            <w:sz w:val="24"/>
            <w:szCs w:val="24"/>
          </w:rPr>
          <w:t>y 333 CP</w:t>
        </w:r>
      </w:hyperlink>
      <w:r w:rsidRPr="000364B6">
        <w:rPr>
          <w:rFonts w:ascii="Times New Roman" w:hAnsi="Times New Roman" w:cs="Times New Roman"/>
          <w:color w:val="000000" w:themeColor="text1"/>
          <w:sz w:val="24"/>
          <w:szCs w:val="24"/>
        </w:rPr>
        <w:t>), una segunda en que se contienen los delitos contra la fauna (</w:t>
      </w:r>
      <w:hyperlink r:id="rId14" w:anchor="I5408');" w:tooltip="enlace" w:history="1">
        <w:r w:rsidRPr="000364B6">
          <w:rPr>
            <w:rStyle w:val="Hipervnculo"/>
            <w:rFonts w:ascii="Times New Roman" w:hAnsi="Times New Roman" w:cs="Times New Roman"/>
            <w:sz w:val="24"/>
            <w:szCs w:val="24"/>
          </w:rPr>
          <w:t>artículo 334</w:t>
        </w:r>
      </w:hyperlink>
      <w:r w:rsidRPr="000364B6">
        <w:rPr>
          <w:rFonts w:ascii="Times New Roman" w:hAnsi="Times New Roman" w:cs="Times New Roman"/>
          <w:color w:val="000000" w:themeColor="text1"/>
          <w:sz w:val="24"/>
          <w:szCs w:val="24"/>
        </w:rPr>
        <w:t xml:space="preserve"> </w:t>
      </w:r>
      <w:hyperlink r:id="rId15" w:anchor="I3764');" w:tooltip="enlace" w:history="1">
        <w:r w:rsidRPr="000364B6">
          <w:rPr>
            <w:rStyle w:val="Hipervnculo"/>
            <w:rFonts w:ascii="Times New Roman" w:hAnsi="Times New Roman" w:cs="Times New Roman"/>
            <w:sz w:val="24"/>
            <w:szCs w:val="24"/>
          </w:rPr>
          <w:t>a 336 CP</w:t>
        </w:r>
      </w:hyperlink>
      <w:r w:rsidRPr="000364B6">
        <w:rPr>
          <w:rFonts w:ascii="Times New Roman" w:hAnsi="Times New Roman" w:cs="Times New Roman"/>
          <w:color w:val="000000" w:themeColor="text1"/>
          <w:sz w:val="24"/>
          <w:szCs w:val="24"/>
        </w:rPr>
        <w:t xml:space="preserve">) y una tercera constituida por el artículo 337 y el </w:t>
      </w:r>
      <w:hyperlink r:id="rId16" w:anchor="I5434');" w:tooltip="enlace" w:history="1">
        <w:r w:rsidRPr="000364B6">
          <w:rPr>
            <w:rStyle w:val="Hipervnculo"/>
            <w:rFonts w:ascii="Times New Roman" w:hAnsi="Times New Roman" w:cs="Times New Roman"/>
            <w:sz w:val="24"/>
            <w:szCs w:val="24"/>
          </w:rPr>
          <w:t>artículos 337 bis CP</w:t>
        </w:r>
      </w:hyperlink>
      <w:r w:rsidRPr="000364B6">
        <w:rPr>
          <w:rFonts w:ascii="Times New Roman" w:hAnsi="Times New Roman" w:cs="Times New Roman"/>
          <w:color w:val="000000" w:themeColor="text1"/>
          <w:sz w:val="24"/>
          <w:szCs w:val="24"/>
        </w:rPr>
        <w:t xml:space="preserve"> que regula el delito de maltrato de animales domésticos así como su abandono.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Aunque estén en otro Capítulo fuera de los Delitos relativos a la protección de los recursos naturales y el medio ambiente, cabe decir que, como los anteriores, tienen también como bien jurídico común al medio ambiente, aunque en este caso referido, claro está, a la flora y fauna. Más difícil  resulta explicar el bien jurídico protegido de los delitos relativos al maltrato o abandono de animales domésticos, pueden ser en este caso muchos como por ejemplo la sensibilidad animal, la vida o la salud de los animales, etc., aunque lo que está claro es que protegen a los animales domésticos o no del maltrato o de su abandono</w:t>
      </w:r>
      <w:r w:rsidRPr="000364B6">
        <w:rPr>
          <w:rFonts w:ascii="Times New Roman" w:hAnsi="Times New Roman" w:cs="Times New Roman"/>
          <w:color w:val="000000" w:themeColor="text1"/>
          <w:sz w:val="24"/>
          <w:szCs w:val="24"/>
          <w:vertAlign w:val="superscript"/>
        </w:rPr>
        <w:footnoteReference w:id="32"/>
      </w:r>
      <w:r w:rsidRPr="000364B6">
        <w:rPr>
          <w:rFonts w:ascii="Times New Roman" w:hAnsi="Times New Roman" w:cs="Times New Roman"/>
          <w:color w:val="000000" w:themeColor="text1"/>
          <w:sz w:val="24"/>
          <w:szCs w:val="24"/>
        </w:rPr>
        <w:t xml:space="preserve">.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estos delitos también la LO 1/2015, de 30 de marzo, ha introducido diversas novedades que se centran en el delito contra la flora (art. 332 CP), en los delitos de caza y pesca ilegal, y en la introducción de preceptos destinados a la tutela de los animales domésticos, amansados, domesticados y otros.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La nueva redacción del artículo 332 se </w:t>
      </w:r>
      <w:proofErr w:type="spellStart"/>
      <w:r w:rsidRPr="000364B6">
        <w:rPr>
          <w:rFonts w:ascii="Times New Roman" w:hAnsi="Times New Roman" w:cs="Times New Roman"/>
          <w:color w:val="000000" w:themeColor="text1"/>
          <w:sz w:val="24"/>
          <w:szCs w:val="24"/>
        </w:rPr>
        <w:t>administrativiza</w:t>
      </w:r>
      <w:proofErr w:type="spellEnd"/>
      <w:r w:rsidRPr="000364B6">
        <w:rPr>
          <w:rFonts w:ascii="Times New Roman" w:hAnsi="Times New Roman" w:cs="Times New Roman"/>
          <w:color w:val="000000" w:themeColor="text1"/>
          <w:sz w:val="24"/>
          <w:szCs w:val="24"/>
        </w:rPr>
        <w:t xml:space="preserve"> el bien jurídico protegido debido a una estructura insegura más aproximada a la tutela administrativa. La modificación más importante es la supresión del resultado de grave perjuicio para el medio ambiente, que se sustituye por una ambigua cláusula de atipicidad. Esto mismo pasa con el artículo 334 y 335</w:t>
      </w:r>
      <w:proofErr w:type="gramStart"/>
      <w:r w:rsidRPr="000364B6">
        <w:rPr>
          <w:rFonts w:ascii="Times New Roman" w:hAnsi="Times New Roman" w:cs="Times New Roman"/>
          <w:color w:val="000000" w:themeColor="text1"/>
          <w:sz w:val="24"/>
          <w:szCs w:val="24"/>
        </w:rPr>
        <w:t>..</w:t>
      </w:r>
      <w:proofErr w:type="gramEnd"/>
      <w:r w:rsidRPr="000364B6">
        <w:rPr>
          <w:rFonts w:ascii="Times New Roman" w:hAnsi="Times New Roman" w:cs="Times New Roman"/>
          <w:color w:val="000000" w:themeColor="text1"/>
          <w:sz w:val="24"/>
          <w:szCs w:val="24"/>
          <w:vertAlign w:val="superscript"/>
        </w:rPr>
        <w:footnoteReference w:id="33"/>
      </w:r>
      <w:r w:rsidRPr="000364B6">
        <w:rPr>
          <w:rFonts w:ascii="Times New Roman" w:hAnsi="Times New Roman" w:cs="Times New Roman"/>
          <w:color w:val="000000" w:themeColor="text1"/>
          <w:sz w:val="24"/>
          <w:szCs w:val="24"/>
        </w:rPr>
        <w:t xml:space="preserve"> </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2.3.3. Disposiciones comunes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Las disposiciones comunes se encuentran recogidas en el Capítulo V, en concreto los artículos 338 a 340 y prevén una serie de disposiciones comunes aplicadas a los delitos comprendidos </w:t>
      </w:r>
      <w:r w:rsidRPr="000364B6">
        <w:rPr>
          <w:rFonts w:ascii="Times New Roman" w:hAnsi="Times New Roman" w:cs="Times New Roman"/>
          <w:color w:val="000000" w:themeColor="text1"/>
          <w:sz w:val="24"/>
          <w:szCs w:val="24"/>
        </w:rPr>
        <w:lastRenderedPageBreak/>
        <w:t>en el Capítulo IV y a todo el Título XVI, incluyendo en él los delitos contra los recursos naturales y el medio ambiente del Capítulo III.</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b/>
          <w:color w:val="000000" w:themeColor="text1"/>
          <w:sz w:val="24"/>
          <w:szCs w:val="24"/>
        </w:rPr>
        <w:t>- Art. 338</w:t>
      </w:r>
      <w:r w:rsidRPr="000364B6">
        <w:rPr>
          <w:rFonts w:ascii="Times New Roman" w:hAnsi="Times New Roman" w:cs="Times New Roman"/>
          <w:color w:val="000000" w:themeColor="text1"/>
          <w:sz w:val="24"/>
          <w:szCs w:val="24"/>
        </w:rPr>
        <w:t xml:space="preserve">: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Este artículo trata sobre la cualificación por afectación a un espacio natural protegido. No debemos seguir sin establecer el significado de “espacio natural protegido”,  lo encontramos recogido en la Ley 42/2007</w:t>
      </w:r>
      <w:r w:rsidRPr="000364B6">
        <w:rPr>
          <w:rFonts w:ascii="Times New Roman" w:hAnsi="Times New Roman" w:cs="Times New Roman"/>
          <w:color w:val="000000" w:themeColor="text1"/>
          <w:sz w:val="24"/>
          <w:szCs w:val="24"/>
          <w:vertAlign w:val="superscript"/>
        </w:rPr>
        <w:footnoteReference w:id="34"/>
      </w:r>
      <w:r w:rsidRPr="000364B6">
        <w:rPr>
          <w:rFonts w:ascii="Times New Roman" w:hAnsi="Times New Roman" w:cs="Times New Roman"/>
          <w:color w:val="000000" w:themeColor="text1"/>
          <w:sz w:val="24"/>
          <w:szCs w:val="24"/>
        </w:rPr>
        <w:t xml:space="preserve"> que los define como “</w:t>
      </w:r>
      <w:r w:rsidRPr="000364B6">
        <w:rPr>
          <w:rFonts w:ascii="Times New Roman" w:hAnsi="Times New Roman" w:cs="Times New Roman"/>
          <w:i/>
          <w:color w:val="000000" w:themeColor="text1"/>
          <w:sz w:val="24"/>
          <w:szCs w:val="24"/>
        </w:rPr>
        <w:t>aquellos espacios del territorio nacional, incluidas las aguas continentales, y las aguas marítimas bajo soberanía o jurisdicción nacional, incluidas la zona económica exclusiva y la plataforma continental, que cumplan al menos uno de los requisitos siguientes y sean declarados como tales: a) contener sistemas o elementos naturales representativos, singulares, frágiles, amenazados o de especial interés ecológico, científico, paisajístico, geológico o educativo y b) estar dedicados especialmente a la protección y el mantenimiento de la diversidad biológica. En función de los bienes y valores a proteger, y de los objetivos de gestión a cumplir, los espacios naturales protegidos, ya sean terrestres o marinos, se clasifican, al menos, en alguna de las siguientes categorías: parques, reservas naturales, áreas marinas protegidas, monumentos naturales y paisajes protegidos”</w:t>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Para esta cualificación se ha de constatar que el sujeto activo conocía, aunque fuera de forma eventual, el carácter de espacio natural protegido del lugar afectado con su conducta; en caso contrario no daría lugar a la modalidad imprudente, no podrá ser tenida en consideración ni tampoco el error de tipo.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Este artículo está pensado para cualificar los tipos delictivos del Título XVI. La agravante necesita “anudarse” a una conducta originariamente delictiva. Este anudamiento se dará sin problema alguno con los delitos relativos a la flora y fauna y los del artículo 325 CP.</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El problema de este artículo es su parecido con el artículo 330 (delito de daño a elemento de espacio natural protegido) y podemos decir que la diferencia es que el delito del artículo 330 ha de haberse dañado gravemente el espacio natural protegido y concretamente alguno de los elementos que hayan servido para calificarlo como tal</w:t>
      </w:r>
      <w:r w:rsidRPr="000364B6">
        <w:rPr>
          <w:rFonts w:ascii="Times New Roman" w:hAnsi="Times New Roman" w:cs="Times New Roman"/>
          <w:color w:val="000000" w:themeColor="text1"/>
          <w:sz w:val="24"/>
          <w:szCs w:val="24"/>
          <w:vertAlign w:val="superscript"/>
        </w:rPr>
        <w:footnoteReference w:id="35"/>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b/>
          <w:color w:val="000000" w:themeColor="text1"/>
          <w:sz w:val="24"/>
          <w:szCs w:val="24"/>
        </w:rPr>
        <w:t>- Art. 339</w:t>
      </w:r>
      <w:r w:rsidRPr="000364B6">
        <w:rPr>
          <w:rFonts w:ascii="Times New Roman" w:hAnsi="Times New Roman" w:cs="Times New Roman"/>
          <w:color w:val="000000" w:themeColor="text1"/>
          <w:sz w:val="24"/>
          <w:szCs w:val="24"/>
        </w:rPr>
        <w:t xml:space="preserve">: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Este artículo establece la restauración del equilibrio biológico perturbado, fue modificado por la LO 5/2010, de 22 de junio, que lo convierte en obligatorio. Además este artículo establece la obligación de restaurar el equilibrio biológico y la adopción de medidas cautelares necesarias para la protección de los bienes tutelados</w:t>
      </w:r>
      <w:r w:rsidRPr="000364B6">
        <w:rPr>
          <w:rFonts w:ascii="Times New Roman" w:hAnsi="Times New Roman" w:cs="Times New Roman"/>
          <w:color w:val="000000" w:themeColor="text1"/>
          <w:sz w:val="24"/>
          <w:szCs w:val="24"/>
          <w:vertAlign w:val="superscript"/>
        </w:rPr>
        <w:footnoteReference w:id="36"/>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Por lo tanto, este artículo faculta al juez para fijar una medida cautelar, en el sentido procesal del término, lo que supone adelantar la reparación del daño aunque no hubiese todavía una condena penal. Según Ceres Montes, “</w:t>
      </w:r>
      <w:r w:rsidRPr="000364B6">
        <w:rPr>
          <w:rFonts w:ascii="Times New Roman" w:hAnsi="Times New Roman" w:cs="Times New Roman"/>
          <w:i/>
          <w:color w:val="000000" w:themeColor="text1"/>
          <w:sz w:val="24"/>
          <w:szCs w:val="24"/>
        </w:rPr>
        <w:t>tras la reforma operada por la LO 5/2010, sólo se ha visto modificado este artículo en donde, por fin, nuestro legislador ha dado el paso de instaurar claramente en el ámbito penal el conocido principio de “quien contamina paga”</w:t>
      </w:r>
      <w:r w:rsidRPr="000364B6">
        <w:rPr>
          <w:rFonts w:ascii="Times New Roman" w:hAnsi="Times New Roman" w:cs="Times New Roman"/>
          <w:i/>
          <w:color w:val="000000" w:themeColor="text1"/>
          <w:sz w:val="24"/>
          <w:szCs w:val="24"/>
          <w:vertAlign w:val="superscript"/>
        </w:rPr>
        <w:footnoteReference w:id="37"/>
      </w:r>
      <w:r w:rsidRPr="000364B6">
        <w:rPr>
          <w:rFonts w:ascii="Times New Roman" w:hAnsi="Times New Roman" w:cs="Times New Roman"/>
          <w:i/>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b/>
          <w:color w:val="000000" w:themeColor="text1"/>
          <w:sz w:val="24"/>
          <w:szCs w:val="24"/>
        </w:rPr>
        <w:t>Art. 340</w:t>
      </w:r>
      <w:r w:rsidRPr="000364B6">
        <w:rPr>
          <w:rFonts w:ascii="Times New Roman" w:hAnsi="Times New Roman" w:cs="Times New Roman"/>
          <w:color w:val="000000" w:themeColor="text1"/>
          <w:sz w:val="24"/>
          <w:szCs w:val="24"/>
        </w:rPr>
        <w:t xml:space="preserve">: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Este artículo es el tipo privilegiado por la reparación voluntaria del daño, se aplica la pena inferior en grado a la prevista por el delito cometido cuando el culpable haya procedido voluntariamente a reparar el daño causado.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Prevé una norma relativa al arrepentimiento activo del autor, basado en la línea de reparación, análoga a la que existe en otros tipos delictivos. Para Ceres Montes este artículo engloba las consecuencias de la reparación voluntaria del daño causado por el culpable de cualquiera de los hechos recogidos en el Título XVI, pues se impondrá la pena inferior en grado de las previstas respectivamente.</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3. EL ART. 325 CP. EL DELITO ECOLÓGICO.</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3.1. Nueva redacción del delito ecológico (reforma 2015)</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color w:val="000000" w:themeColor="text1"/>
          <w:sz w:val="24"/>
          <w:szCs w:val="24"/>
        </w:rPr>
        <w:t>Este artículo es el sustituto del antiguo artículo 347 bis, que fue el primer artículo contra el medio ambiente introducido en el Código penal por la LO 8/1983, de 25 de junio. Por tanto, la redacción actual del 325 es introducida por la LO 1/2015, de 30 de marzo.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Sin duda, la novedad más llamativa de la reforma es el tipo básico del artículo 325 CP ya que éste se articula como un delito de resultado, y no meramente de peligro, reduce el objeto de las actividades contaminantes a un riesgo o perjuicio efectivo de la calidad del sustrato afectado. Lo que subsiste de la redacción anterior, aunque como subtipos agravado e </w:t>
      </w:r>
      <w:proofErr w:type="spellStart"/>
      <w:r w:rsidRPr="000364B6">
        <w:rPr>
          <w:rFonts w:ascii="Times New Roman" w:hAnsi="Times New Roman" w:cs="Times New Roman"/>
          <w:color w:val="000000" w:themeColor="text1"/>
          <w:sz w:val="24"/>
          <w:szCs w:val="24"/>
        </w:rPr>
        <w:lastRenderedPageBreak/>
        <w:t>hiperagravado</w:t>
      </w:r>
      <w:proofErr w:type="spellEnd"/>
      <w:r w:rsidRPr="000364B6">
        <w:rPr>
          <w:rFonts w:ascii="Times New Roman" w:hAnsi="Times New Roman" w:cs="Times New Roman"/>
          <w:color w:val="000000" w:themeColor="text1"/>
          <w:sz w:val="24"/>
          <w:szCs w:val="24"/>
        </w:rPr>
        <w:t>, el daño o peligro para el equilibrio de los sistemas naturales o el riesgo para la salud de las personas</w:t>
      </w:r>
      <w:r w:rsidRPr="000364B6">
        <w:rPr>
          <w:rFonts w:ascii="Times New Roman" w:hAnsi="Times New Roman" w:cs="Times New Roman"/>
          <w:color w:val="000000" w:themeColor="text1"/>
          <w:sz w:val="24"/>
          <w:szCs w:val="24"/>
          <w:vertAlign w:val="superscript"/>
        </w:rPr>
        <w:footnoteReference w:id="38"/>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Esta nueva regulación ofrece soluciones que fueron planteadas desde su aprobación en 1995. Lo que aquí se cuestiona es que de verdad proporcione los instrumentos necesarios para dar respuesta a estos problemas medioambientales que actualmente nos amenazan.</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Los cambios introducidos en el artículo 325 lo establecen como el tipo básico de los delitos medioambientales pero complejo de interpretar y aplicar en la práctica. Lo que algunos autores critican es la </w:t>
      </w:r>
      <w:proofErr w:type="spellStart"/>
      <w:r w:rsidRPr="000364B6">
        <w:rPr>
          <w:rFonts w:ascii="Times New Roman" w:hAnsi="Times New Roman" w:cs="Times New Roman"/>
          <w:color w:val="000000" w:themeColor="text1"/>
          <w:sz w:val="24"/>
          <w:szCs w:val="24"/>
        </w:rPr>
        <w:t>administrativización</w:t>
      </w:r>
      <w:proofErr w:type="spellEnd"/>
      <w:r w:rsidRPr="000364B6">
        <w:rPr>
          <w:rFonts w:ascii="Times New Roman" w:hAnsi="Times New Roman" w:cs="Times New Roman"/>
          <w:color w:val="000000" w:themeColor="text1"/>
          <w:sz w:val="24"/>
          <w:szCs w:val="24"/>
        </w:rPr>
        <w:t xml:space="preserve"> de este artículo, es decir, que cada vez se acerca más a las correspondientes infracciones administrativas, alejándose de las penales</w:t>
      </w:r>
      <w:r w:rsidRPr="000364B6">
        <w:rPr>
          <w:rFonts w:ascii="Times New Roman" w:hAnsi="Times New Roman" w:cs="Times New Roman"/>
          <w:color w:val="000000" w:themeColor="text1"/>
          <w:sz w:val="24"/>
          <w:szCs w:val="24"/>
          <w:vertAlign w:val="superscript"/>
        </w:rPr>
        <w:footnoteReference w:id="39"/>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 reforma del Código penal de 2015 ha entendido que había determinadas agresiones “menores” contra el medio ambiente que no estaban tipificadas como delito y merecían tal consideración, por lo tanto con esta reforma se ha decidido penalizar de forma autónoma en el nuevo art. 325.1 las mismas modalidades de conducta que ya estaban incluidas en la redacción anterior del precepto, pero exigiendo que de ellas se derive un desvalor de resultado distinto y supuestamente de menor gravedad que el ahora contemplado en el segundo apartado</w:t>
      </w:r>
      <w:r w:rsidRPr="000364B6">
        <w:rPr>
          <w:rFonts w:ascii="Times New Roman" w:hAnsi="Times New Roman" w:cs="Times New Roman"/>
          <w:color w:val="000000" w:themeColor="text1"/>
          <w:sz w:val="24"/>
          <w:szCs w:val="24"/>
          <w:vertAlign w:val="superscript"/>
        </w:rPr>
        <w:footnoteReference w:id="40"/>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color w:val="000000" w:themeColor="text1"/>
          <w:sz w:val="24"/>
          <w:szCs w:val="24"/>
        </w:rPr>
        <w:t>Así, castiga ahora las emisiones, vertidos, radiaciones, extracciones, excavaciones, etc., cuando la realización de tales comportamientos “</w:t>
      </w:r>
      <w:r w:rsidRPr="000364B6">
        <w:rPr>
          <w:rFonts w:ascii="Times New Roman" w:hAnsi="Times New Roman" w:cs="Times New Roman"/>
          <w:i/>
          <w:color w:val="000000" w:themeColor="text1"/>
          <w:sz w:val="24"/>
          <w:szCs w:val="24"/>
        </w:rPr>
        <w:t>por sí mismos o conjuntamente con otros, cause o pueda causar daños sustanciales a la calidad del aire, del suelo o de las aguas, o a animales o plantas”.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Ahora bien, la introducción de este nuevo tipo básico en el primer apartado del art. 325 ha provocado que lo que queda de la redacción anterior haya delegado a su apartado segundo pero con las modificaciones necesarias para adaptarlo a la nueva configuración del artículo.</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color w:val="000000" w:themeColor="text1"/>
          <w:sz w:val="24"/>
          <w:szCs w:val="24"/>
        </w:rPr>
        <w:t>El actual artículo 325.2 se divide en dos apartados, en el primer inciso recoge como tipo básico la realización de las mismas conductas del art. 325.1 pero cuando dichas conductas “</w:t>
      </w:r>
      <w:r w:rsidRPr="000364B6">
        <w:rPr>
          <w:rFonts w:ascii="Times New Roman" w:hAnsi="Times New Roman" w:cs="Times New Roman"/>
          <w:i/>
          <w:color w:val="000000" w:themeColor="text1"/>
          <w:sz w:val="24"/>
          <w:szCs w:val="24"/>
        </w:rPr>
        <w:t xml:space="preserve">por sí mismas o conjuntamente con otras, pudieran perjudicar gravemente el equilibrio de </w:t>
      </w:r>
      <w:r w:rsidRPr="000364B6">
        <w:rPr>
          <w:rFonts w:ascii="Times New Roman" w:hAnsi="Times New Roman" w:cs="Times New Roman"/>
          <w:i/>
          <w:color w:val="000000" w:themeColor="text1"/>
          <w:sz w:val="24"/>
          <w:szCs w:val="24"/>
        </w:rPr>
        <w:lastRenderedPageBreak/>
        <w:t>los sistemas naturales”.</w:t>
      </w:r>
      <w:r w:rsidRPr="000364B6">
        <w:rPr>
          <w:rFonts w:ascii="Times New Roman" w:hAnsi="Times New Roman" w:cs="Times New Roman"/>
          <w:color w:val="000000" w:themeColor="text1"/>
          <w:sz w:val="24"/>
          <w:szCs w:val="24"/>
        </w:rPr>
        <w:t xml:space="preserve"> En el segundo inciso se contempla el tipo agravado por la creación de un “</w:t>
      </w:r>
      <w:r w:rsidRPr="000364B6">
        <w:rPr>
          <w:rFonts w:ascii="Times New Roman" w:hAnsi="Times New Roman" w:cs="Times New Roman"/>
          <w:i/>
          <w:color w:val="000000" w:themeColor="text1"/>
          <w:sz w:val="24"/>
          <w:szCs w:val="24"/>
        </w:rPr>
        <w:t>riesgo de grave perjuicio para la salud de las personas”</w:t>
      </w:r>
      <w:r w:rsidRPr="000364B6">
        <w:rPr>
          <w:rFonts w:ascii="Times New Roman" w:hAnsi="Times New Roman" w:cs="Times New Roman"/>
          <w:i/>
          <w:color w:val="000000" w:themeColor="text1"/>
          <w:sz w:val="24"/>
          <w:szCs w:val="24"/>
          <w:vertAlign w:val="superscript"/>
        </w:rPr>
        <w:footnoteReference w:id="41"/>
      </w:r>
      <w:r w:rsidRPr="000364B6">
        <w:rPr>
          <w:rFonts w:ascii="Times New Roman" w:hAnsi="Times New Roman" w:cs="Times New Roman"/>
          <w:i/>
          <w:color w:val="000000" w:themeColor="text1"/>
          <w:sz w:val="24"/>
          <w:szCs w:val="24"/>
        </w:rPr>
        <w:t>.</w:t>
      </w:r>
    </w:p>
    <w:p w:rsidR="00327E85"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Sin duda, la nueva redacción penal permitirá una mayor virtualidad práctica del precepto, sobretodo porque especialmente el cambio del objeto redundará en una menor complejidad de la comprobación del daño o del riesgo generado. La prueba del resultado material o del peligro producido se podrá obtener más fácilmente con un análisis </w:t>
      </w:r>
      <w:proofErr w:type="spellStart"/>
      <w:r w:rsidRPr="000364B6">
        <w:rPr>
          <w:rFonts w:ascii="Times New Roman" w:hAnsi="Times New Roman" w:cs="Times New Roman"/>
          <w:color w:val="000000" w:themeColor="text1"/>
          <w:sz w:val="24"/>
          <w:szCs w:val="24"/>
        </w:rPr>
        <w:t>quimico</w:t>
      </w:r>
      <w:proofErr w:type="spellEnd"/>
      <w:r w:rsidRPr="000364B6">
        <w:rPr>
          <w:rFonts w:ascii="Times New Roman" w:hAnsi="Times New Roman" w:cs="Times New Roman"/>
          <w:color w:val="000000" w:themeColor="text1"/>
          <w:sz w:val="24"/>
          <w:szCs w:val="24"/>
        </w:rPr>
        <w:t xml:space="preserve">-biológico del sustrato afectado. Eso sí, a costa. De ir incorporando al ámbito punitivo conductas reservadas al ámbito extrapenal, evidencia de la </w:t>
      </w:r>
      <w:proofErr w:type="spellStart"/>
      <w:r w:rsidRPr="000364B6">
        <w:rPr>
          <w:rFonts w:ascii="Times New Roman" w:hAnsi="Times New Roman" w:cs="Times New Roman"/>
          <w:color w:val="000000" w:themeColor="text1"/>
          <w:sz w:val="24"/>
          <w:szCs w:val="24"/>
        </w:rPr>
        <w:t>administrativización</w:t>
      </w:r>
      <w:proofErr w:type="spellEnd"/>
      <w:r w:rsidRPr="000364B6">
        <w:rPr>
          <w:rFonts w:ascii="Times New Roman" w:hAnsi="Times New Roman" w:cs="Times New Roman"/>
          <w:color w:val="000000" w:themeColor="text1"/>
          <w:sz w:val="24"/>
          <w:szCs w:val="24"/>
        </w:rPr>
        <w:t xml:space="preserve"> anteriormente mencionada</w:t>
      </w:r>
      <w:r w:rsidRPr="000364B6">
        <w:rPr>
          <w:rFonts w:ascii="Times New Roman" w:hAnsi="Times New Roman" w:cs="Times New Roman"/>
          <w:color w:val="000000" w:themeColor="text1"/>
          <w:sz w:val="24"/>
          <w:szCs w:val="24"/>
          <w:vertAlign w:val="superscript"/>
        </w:rPr>
        <w:footnoteReference w:id="42"/>
      </w:r>
      <w:r w:rsidRPr="000364B6">
        <w:rPr>
          <w:rFonts w:ascii="Times New Roman" w:hAnsi="Times New Roman" w:cs="Times New Roman"/>
          <w:color w:val="000000" w:themeColor="text1"/>
          <w:sz w:val="24"/>
          <w:szCs w:val="24"/>
        </w:rPr>
        <w:t>.</w:t>
      </w:r>
    </w:p>
    <w:p w:rsidR="008E5290" w:rsidRPr="000364B6" w:rsidRDefault="008E5290"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3.2. Conducta típica y objeto material al que afecta la conducta.</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La conducta típica se configura con dos acciones alternativas consistentes en provocar o realizar actos de contaminación. Según la STS 30 de diciembre de 2008, </w:t>
      </w:r>
      <w:r w:rsidRPr="000364B6">
        <w:rPr>
          <w:rFonts w:ascii="Times New Roman" w:hAnsi="Times New Roman" w:cs="Times New Roman"/>
          <w:i/>
          <w:color w:val="000000" w:themeColor="text1"/>
          <w:sz w:val="24"/>
          <w:szCs w:val="24"/>
        </w:rPr>
        <w:t>provocar</w:t>
      </w:r>
      <w:r w:rsidRPr="000364B6">
        <w:rPr>
          <w:rFonts w:ascii="Times New Roman" w:hAnsi="Times New Roman" w:cs="Times New Roman"/>
          <w:color w:val="000000" w:themeColor="text1"/>
          <w:sz w:val="24"/>
          <w:szCs w:val="24"/>
        </w:rPr>
        <w:t xml:space="preserve"> es equivalente a originar, facilitar o promover, es decir, comprende el mantenimiento de emisiones o vertidos y esta es la diferencia con </w:t>
      </w:r>
      <w:r w:rsidRPr="000364B6">
        <w:rPr>
          <w:rFonts w:ascii="Times New Roman" w:hAnsi="Times New Roman" w:cs="Times New Roman"/>
          <w:i/>
          <w:color w:val="000000" w:themeColor="text1"/>
          <w:sz w:val="24"/>
          <w:szCs w:val="24"/>
        </w:rPr>
        <w:t>realizar.</w:t>
      </w:r>
      <w:r w:rsidRPr="000364B6">
        <w:rPr>
          <w:rFonts w:ascii="Times New Roman" w:hAnsi="Times New Roman" w:cs="Times New Roman"/>
          <w:color w:val="000000" w:themeColor="text1"/>
          <w:sz w:val="24"/>
          <w:szCs w:val="24"/>
        </w:rPr>
        <w:t xml:space="preserve"> A su vez estas dos acciones pueden darse de forma directa o indirecta, directa realizando el acto contaminante, e indirecta facilitando los medios para que se produzca la contaminación</w:t>
      </w:r>
      <w:r w:rsidRPr="000364B6">
        <w:rPr>
          <w:rFonts w:ascii="Times New Roman" w:hAnsi="Times New Roman" w:cs="Times New Roman"/>
          <w:color w:val="000000" w:themeColor="text1"/>
          <w:sz w:val="24"/>
          <w:szCs w:val="24"/>
          <w:vertAlign w:val="superscript"/>
        </w:rPr>
        <w:footnoteReference w:id="43"/>
      </w:r>
      <w:r w:rsidRPr="000364B6">
        <w:rPr>
          <w:rFonts w:ascii="Times New Roman" w:hAnsi="Times New Roman" w:cs="Times New Roman"/>
          <w:color w:val="000000" w:themeColor="text1"/>
          <w:sz w:val="24"/>
          <w:szCs w:val="24"/>
        </w:rPr>
        <w:t>. Así resulta, que la dicción utilizada en el precepto “provocare o realizare directa o indirectamente emisiones o vertidos” pretende abarcar toda acción humana que determine o un vertido o emisión contaminante de modo directo o indirecto”</w:t>
      </w:r>
      <w:r w:rsidRPr="000364B6">
        <w:rPr>
          <w:rFonts w:ascii="Times New Roman" w:hAnsi="Times New Roman" w:cs="Times New Roman"/>
          <w:color w:val="000000" w:themeColor="text1"/>
          <w:sz w:val="24"/>
          <w:szCs w:val="24"/>
          <w:vertAlign w:val="superscript"/>
        </w:rPr>
        <w:footnoteReference w:id="44"/>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Pero lo que es más relevante, el legislador incluye en el ámbito de la autoría del delito a “toda acción humana” que determine un vertido o emisión, con lo que al igual que en otros preceptos, se acaba por diluir la frontera entre la autoría y la participación delictiva (arts. 27 a 29 CP), con la consiguiente infracción del principio del hecho, de </w:t>
      </w:r>
      <w:proofErr w:type="spellStart"/>
      <w:r w:rsidRPr="000364B6">
        <w:rPr>
          <w:rFonts w:ascii="Times New Roman" w:hAnsi="Times New Roman" w:cs="Times New Roman"/>
          <w:color w:val="000000" w:themeColor="text1"/>
          <w:sz w:val="24"/>
          <w:szCs w:val="24"/>
        </w:rPr>
        <w:t>ofensividad</w:t>
      </w:r>
      <w:proofErr w:type="spellEnd"/>
      <w:r w:rsidRPr="000364B6">
        <w:rPr>
          <w:rFonts w:ascii="Times New Roman" w:hAnsi="Times New Roman" w:cs="Times New Roman"/>
          <w:color w:val="000000" w:themeColor="text1"/>
          <w:sz w:val="24"/>
          <w:szCs w:val="24"/>
        </w:rPr>
        <w:t xml:space="preserve"> y de culpabilidad. Todo ello agravado, además, por la circunstancia de que el comportamiento característico del sujeto activo podrá llevarse a cabo “directa o indirectamente”</w:t>
      </w:r>
      <w:r w:rsidRPr="000364B6">
        <w:rPr>
          <w:rFonts w:ascii="Times New Roman" w:hAnsi="Times New Roman" w:cs="Times New Roman"/>
          <w:color w:val="000000" w:themeColor="text1"/>
          <w:sz w:val="24"/>
          <w:szCs w:val="24"/>
          <w:vertAlign w:val="superscript"/>
        </w:rPr>
        <w:footnoteReference w:id="45"/>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 xml:space="preserve">En cuanto al objeto material del delito, es decir el lugar donde deben realizarse las acciones contaminantes, serán en la atmósfera, el suelo, el subsuelo, o las aguas terrestres, subterráneas o marítimas, incluido </w:t>
      </w:r>
      <w:proofErr w:type="gramStart"/>
      <w:r w:rsidRPr="000364B6">
        <w:rPr>
          <w:rFonts w:ascii="Times New Roman" w:hAnsi="Times New Roman" w:cs="Times New Roman"/>
          <w:color w:val="000000" w:themeColor="text1"/>
          <w:sz w:val="24"/>
          <w:szCs w:val="24"/>
        </w:rPr>
        <w:t>el alta</w:t>
      </w:r>
      <w:proofErr w:type="gramEnd"/>
      <w:r w:rsidRPr="000364B6">
        <w:rPr>
          <w:rFonts w:ascii="Times New Roman" w:hAnsi="Times New Roman" w:cs="Times New Roman"/>
          <w:color w:val="000000" w:themeColor="text1"/>
          <w:sz w:val="24"/>
          <w:szCs w:val="24"/>
        </w:rPr>
        <w:t xml:space="preserve"> mar, con incidencia incluso en los espacios transfronterizos, así como las captaciones de agua</w:t>
      </w:r>
      <w:r w:rsidRPr="000364B6">
        <w:rPr>
          <w:rFonts w:ascii="Times New Roman" w:hAnsi="Times New Roman" w:cs="Times New Roman"/>
          <w:color w:val="000000" w:themeColor="text1"/>
          <w:sz w:val="24"/>
          <w:szCs w:val="24"/>
          <w:vertAlign w:val="superscript"/>
        </w:rPr>
        <w:footnoteReference w:id="46"/>
      </w:r>
      <w:r w:rsidRPr="000364B6">
        <w:rPr>
          <w:rFonts w:ascii="Times New Roman" w:hAnsi="Times New Roman" w:cs="Times New Roman"/>
          <w:color w:val="000000" w:themeColor="text1"/>
          <w:sz w:val="24"/>
          <w:szCs w:val="24"/>
        </w:rPr>
        <w:t xml:space="preserve">. Estas además deben de reunir los siguientes requisitos: </w:t>
      </w:r>
    </w:p>
    <w:p w:rsidR="00327E85" w:rsidRPr="000364B6" w:rsidRDefault="00327E85" w:rsidP="000364B6">
      <w:pPr>
        <w:numPr>
          <w:ilvl w:val="0"/>
          <w:numId w:val="20"/>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Contraviniendo las Leyes u otras disposiciones de carácter general protectoras del medio ambiente.</w:t>
      </w:r>
    </w:p>
    <w:p w:rsidR="00327E85" w:rsidRPr="000364B6" w:rsidRDefault="00327E85" w:rsidP="000364B6">
      <w:pPr>
        <w:numPr>
          <w:ilvl w:val="0"/>
          <w:numId w:val="20"/>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Que el acto de contaminación realizado causa o pueda causar daños sustanciales a la calidad del aire, del suelo o de las aguas, o a animales o plantas</w:t>
      </w:r>
      <w:r w:rsidRPr="000364B6">
        <w:rPr>
          <w:rFonts w:ascii="Times New Roman" w:hAnsi="Times New Roman" w:cs="Times New Roman"/>
          <w:color w:val="000000" w:themeColor="text1"/>
          <w:sz w:val="24"/>
          <w:szCs w:val="24"/>
          <w:vertAlign w:val="superscript"/>
        </w:rPr>
        <w:footnoteReference w:id="47"/>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3.3. El bien jurídico protegido.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 norma penal tiene una función protectora de bienes jurídicos. Para cumplir esta función protectora eleva a la categoría de delitos, por medio de su tipificación legal, aquellos comportamientos que más gravemente lesionan o ponen en peligro los bienes jurídicos protegidos. El bien jurídico, es por tanto, la clave que permite descubrir la naturaleza del tipo, dándole sentido y fundamento</w:t>
      </w:r>
      <w:r w:rsidRPr="000364B6">
        <w:rPr>
          <w:rFonts w:ascii="Times New Roman" w:hAnsi="Times New Roman" w:cs="Times New Roman"/>
          <w:color w:val="000000" w:themeColor="text1"/>
          <w:sz w:val="24"/>
          <w:szCs w:val="24"/>
          <w:vertAlign w:val="superscript"/>
        </w:rPr>
        <w:footnoteReference w:id="48"/>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El medio ambiente es un bien jurídico protegido o tutelado penalmente por la Constitución. Así, en el artículo 45 de la Constitución española de 1978 se dispone que deban establecerse “</w:t>
      </w:r>
      <w:r w:rsidRPr="000364B6">
        <w:rPr>
          <w:rFonts w:ascii="Times New Roman" w:hAnsi="Times New Roman" w:cs="Times New Roman"/>
          <w:i/>
          <w:color w:val="000000" w:themeColor="text1"/>
          <w:sz w:val="24"/>
          <w:szCs w:val="24"/>
        </w:rPr>
        <w:t xml:space="preserve">sanciones penales o, en su caso, administrativas, así como la obligación de reparar el daño causado” </w:t>
      </w:r>
      <w:r w:rsidRPr="000364B6">
        <w:rPr>
          <w:rFonts w:ascii="Times New Roman" w:hAnsi="Times New Roman" w:cs="Times New Roman"/>
          <w:color w:val="000000" w:themeColor="text1"/>
          <w:sz w:val="24"/>
          <w:szCs w:val="24"/>
        </w:rPr>
        <w:t>para quienes realicen conductas contra el medio ambiente.</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Por lo tanto, la protección penal del medio ambiente se justifica por razones constitucionales, pero también porque el legislador da respuesta con ello a una acuciante demanda social: la necesidad de preservar eficazmente el equilibrio de los sistemas naturales</w:t>
      </w:r>
      <w:r w:rsidRPr="000364B6">
        <w:rPr>
          <w:rFonts w:ascii="Times New Roman" w:hAnsi="Times New Roman" w:cs="Times New Roman"/>
          <w:color w:val="000000" w:themeColor="text1"/>
          <w:sz w:val="24"/>
          <w:szCs w:val="24"/>
          <w:vertAlign w:val="superscript"/>
        </w:rPr>
        <w:footnoteReference w:id="49"/>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Constituye un bien jurídico digno de protección penal por la peligrosidad y gravedad de los ataques de que es objeto y susceptible de protección penal, a través de la técnica de los delitos de peligro.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 xml:space="preserve">El medio ambiente puede protegerse desde una concepción antropocéntrica, se protege el medio ambiente en relación con el hombre, se afecta a la vida o salud de las personas y su conservación es esencial para que se desarrolle la vida humana presente y futura. O bien, desde otra perspectiva, desde una concepción </w:t>
      </w:r>
      <w:proofErr w:type="spellStart"/>
      <w:r w:rsidRPr="000364B6">
        <w:rPr>
          <w:rFonts w:ascii="Times New Roman" w:hAnsi="Times New Roman" w:cs="Times New Roman"/>
          <w:color w:val="000000" w:themeColor="text1"/>
          <w:sz w:val="24"/>
          <w:szCs w:val="24"/>
        </w:rPr>
        <w:t>ecocéntrica</w:t>
      </w:r>
      <w:proofErr w:type="spellEnd"/>
      <w:r w:rsidRPr="000364B6">
        <w:rPr>
          <w:rFonts w:ascii="Times New Roman" w:hAnsi="Times New Roman" w:cs="Times New Roman"/>
          <w:color w:val="000000" w:themeColor="text1"/>
          <w:sz w:val="24"/>
          <w:szCs w:val="24"/>
        </w:rPr>
        <w:t>, es decir, el medio ambiente debe protegerse asimismo, independientemente de la afectación llegue a producir en las personas. Junto a estas dos posturas existe otra intermedia, minoritaria, que considera que el medio ambiente es un bien jurídico autónomo, relevante por sí mismo: no se trata meramente de asegurar la eficacia de la intervención administrativa ni de sancionar la desobediencia del sujeto respecto a la normativa de protección ambiental, sino de proteger directa y primariamente el equilibrio de los sistemas naturales</w:t>
      </w:r>
      <w:r w:rsidRPr="000364B6">
        <w:rPr>
          <w:rFonts w:ascii="Times New Roman" w:hAnsi="Times New Roman" w:cs="Times New Roman"/>
          <w:color w:val="000000" w:themeColor="text1"/>
          <w:sz w:val="24"/>
          <w:szCs w:val="24"/>
          <w:vertAlign w:val="superscript"/>
        </w:rPr>
        <w:footnoteReference w:id="50"/>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En palabras de BACIGALUPO ZAPATER, </w:t>
      </w:r>
      <w:r w:rsidRPr="000364B6">
        <w:rPr>
          <w:rFonts w:ascii="Times New Roman" w:hAnsi="Times New Roman" w:cs="Times New Roman"/>
          <w:i/>
          <w:color w:val="000000" w:themeColor="text1"/>
          <w:sz w:val="24"/>
          <w:szCs w:val="24"/>
        </w:rPr>
        <w:t>“el bien jurídico protegido es el mantenimiento de las propiedades del suelo, el aire y el agua, así como de la fauna y la flora y las condiciones ambientales de desarrollo de estas especies, de tal forma que el sistema ecológico se mantenga con sus sistemas subordinados y no sufra alteraciones perjudiciales</w:t>
      </w:r>
      <w:r w:rsidRPr="000364B6">
        <w:rPr>
          <w:rFonts w:ascii="Times New Roman" w:hAnsi="Times New Roman" w:cs="Times New Roman"/>
          <w:color w:val="000000" w:themeColor="text1"/>
          <w:sz w:val="24"/>
          <w:szCs w:val="24"/>
        </w:rPr>
        <w:t>”</w:t>
      </w:r>
      <w:r w:rsidRPr="000364B6">
        <w:rPr>
          <w:rFonts w:ascii="Times New Roman" w:hAnsi="Times New Roman" w:cs="Times New Roman"/>
          <w:color w:val="000000" w:themeColor="text1"/>
          <w:sz w:val="24"/>
          <w:szCs w:val="24"/>
          <w:vertAlign w:val="superscript"/>
        </w:rPr>
        <w:footnoteReference w:id="51"/>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Ahora bien, el fundamento de la intervención penal debe residir en la idea de tutelar la vida y la salud de las personas, en virtud de lo cual el medio ambiente se protege, en principio, en la medida en que se halla al servicio del hombre. Por lo tanto cabría hablar de un medio ambiente propicio para la vida como bien jurídico penal</w:t>
      </w:r>
      <w:r w:rsidRPr="000364B6">
        <w:rPr>
          <w:rFonts w:ascii="Times New Roman" w:hAnsi="Times New Roman" w:cs="Times New Roman"/>
          <w:color w:val="000000" w:themeColor="text1"/>
          <w:sz w:val="24"/>
          <w:szCs w:val="24"/>
          <w:vertAlign w:val="superscript"/>
        </w:rPr>
        <w:footnoteReference w:id="52"/>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3.4. Articulación como norma penal en blanco.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La vulneración de la normativa extrapenal se caracteriza por tener lugar a través de un sistema de </w:t>
      </w:r>
      <w:proofErr w:type="spellStart"/>
      <w:r w:rsidRPr="000364B6">
        <w:rPr>
          <w:rFonts w:ascii="Times New Roman" w:hAnsi="Times New Roman" w:cs="Times New Roman"/>
          <w:color w:val="000000" w:themeColor="text1"/>
          <w:sz w:val="24"/>
          <w:szCs w:val="24"/>
        </w:rPr>
        <w:t>accesoriedad</w:t>
      </w:r>
      <w:proofErr w:type="spellEnd"/>
      <w:r w:rsidRPr="000364B6">
        <w:rPr>
          <w:rFonts w:ascii="Times New Roman" w:hAnsi="Times New Roman" w:cs="Times New Roman"/>
          <w:color w:val="000000" w:themeColor="text1"/>
          <w:sz w:val="24"/>
          <w:szCs w:val="24"/>
        </w:rPr>
        <w:t xml:space="preserve"> de la norma, porque se requiere, como establece el artículo 325 CP, la “contravención de Leyes u otras disposiciones de carácter general protectoras del medio ambiente”; Aquí se incluyen Decretos, Órdenes y otras disposiciones de rango inferior a la ley, y pueden ser estatales, autonómicas o de la Unión Europea; no, en cambio, normas </w:t>
      </w:r>
      <w:r w:rsidRPr="000364B6">
        <w:rPr>
          <w:rFonts w:ascii="Times New Roman" w:hAnsi="Times New Roman" w:cs="Times New Roman"/>
          <w:color w:val="000000" w:themeColor="text1"/>
          <w:sz w:val="24"/>
          <w:szCs w:val="24"/>
        </w:rPr>
        <w:lastRenderedPageBreak/>
        <w:t>municipales porque la Administración Local carece de competencias en materia de medio ambiente</w:t>
      </w:r>
      <w:r w:rsidRPr="000364B6">
        <w:rPr>
          <w:rFonts w:ascii="Times New Roman" w:hAnsi="Times New Roman" w:cs="Times New Roman"/>
          <w:color w:val="000000" w:themeColor="text1"/>
          <w:sz w:val="24"/>
          <w:szCs w:val="24"/>
          <w:vertAlign w:val="superscript"/>
        </w:rPr>
        <w:footnoteReference w:id="53"/>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Esta articulación como norma penal en blanco está relacionada con el objeto material al que afecta la conducta. Cabe decir que el Tribunal Constitucional exige que se cumplan una serie de requisitos para que se de esta norma penal en blanco y son:</w:t>
      </w:r>
    </w:p>
    <w:p w:rsidR="00327E85" w:rsidRPr="000364B6" w:rsidRDefault="00327E85" w:rsidP="000364B6">
      <w:pPr>
        <w:numPr>
          <w:ilvl w:val="0"/>
          <w:numId w:val="19"/>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Que el envío normativo sea expreso, es decir, que en se exprese claramente dónde se encuentra la normativa fuera del Código Penal en este caso.</w:t>
      </w:r>
    </w:p>
    <w:p w:rsidR="00327E85" w:rsidRPr="000364B6" w:rsidRDefault="00327E85" w:rsidP="000364B6">
      <w:pPr>
        <w:numPr>
          <w:ilvl w:val="0"/>
          <w:numId w:val="19"/>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Que esté justificado en razón del bien jurídico protegido por la norma penal;</w:t>
      </w:r>
    </w:p>
    <w:p w:rsidR="00327E85" w:rsidRPr="000364B6" w:rsidRDefault="00327E85" w:rsidP="000364B6">
      <w:pPr>
        <w:numPr>
          <w:ilvl w:val="0"/>
          <w:numId w:val="19"/>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Que el precepto, además de la pena, contenga el núcleo esencial de la prohibición y sea satisfecha la exigencia de certeza, o se dé la suficiente concreción para que la conducta que se califica como delictiva quede suficientemente precisada con el complemento indispensable de la norma a la que la Ley penal se remite.</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Estos requisitos los establece el Tribunal Constitucional a través de una de sus sentencias, concretamente la STC 127/1990, de 5 de julio</w:t>
      </w:r>
      <w:r w:rsidRPr="000364B6">
        <w:rPr>
          <w:rFonts w:ascii="Times New Roman" w:hAnsi="Times New Roman" w:cs="Times New Roman"/>
          <w:color w:val="000000" w:themeColor="text1"/>
          <w:sz w:val="24"/>
          <w:szCs w:val="24"/>
          <w:vertAlign w:val="superscript"/>
        </w:rPr>
        <w:footnoteReference w:id="54"/>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Como bien decimos, para que las conductas del artículo 325.1 tengan relevancia penal es necesaria la referencia a “leyes u otras disposiciones de carácter general protectoras del medio ambiente. Por lo tanto, se convierte en una norma penal en blanco. Es de tal importancia que si la conducta no está prohibida y prevista por la reglamentación administrativa, no tendrá aplicación el artículo 325.Aparte de esto, tenemos que tener en cuenta que la protección penal del medio ambiente debe limitarse, por el principio de intervención mínima, a los casos más graves de afección al medio ambiente, no debiendo elevarse a la categoría de delito cualquier contravención administrativa</w:t>
      </w:r>
      <w:r w:rsidRPr="000364B6">
        <w:rPr>
          <w:rFonts w:ascii="Times New Roman" w:hAnsi="Times New Roman" w:cs="Times New Roman"/>
          <w:color w:val="000000" w:themeColor="text1"/>
          <w:sz w:val="24"/>
          <w:szCs w:val="24"/>
          <w:vertAlign w:val="superscript"/>
        </w:rPr>
        <w:footnoteReference w:id="55"/>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Las normas a las que el supuesto de hecho se remite están en función del objeto sobre el que recae la conducta contaminante (</w:t>
      </w:r>
      <w:r w:rsidRPr="000364B6">
        <w:rPr>
          <w:rFonts w:ascii="Times New Roman" w:hAnsi="Times New Roman" w:cs="Times New Roman"/>
          <w:i/>
          <w:color w:val="000000" w:themeColor="text1"/>
          <w:sz w:val="24"/>
          <w:szCs w:val="24"/>
        </w:rPr>
        <w:t>“la atmósfera, el suelo, el subsuelo o las aguas”)</w:t>
      </w:r>
      <w:r w:rsidRPr="000364B6">
        <w:rPr>
          <w:rFonts w:ascii="Times New Roman" w:hAnsi="Times New Roman" w:cs="Times New Roman"/>
          <w:color w:val="000000" w:themeColor="text1"/>
          <w:sz w:val="24"/>
          <w:szCs w:val="24"/>
        </w:rPr>
        <w:t xml:space="preserve"> y, por lo tanto, es necesario analizar cuáles son las condiciones y límites aplicables al comportamiento de que se trate</w:t>
      </w:r>
      <w:r w:rsidRPr="000364B6">
        <w:rPr>
          <w:rFonts w:ascii="Times New Roman" w:hAnsi="Times New Roman" w:cs="Times New Roman"/>
          <w:color w:val="000000" w:themeColor="text1"/>
          <w:sz w:val="24"/>
          <w:szCs w:val="24"/>
          <w:vertAlign w:val="superscript"/>
        </w:rPr>
        <w:footnoteReference w:id="56"/>
      </w:r>
      <w:r w:rsidRPr="000364B6">
        <w:rPr>
          <w:rFonts w:ascii="Times New Roman" w:hAnsi="Times New Roman" w:cs="Times New Roman"/>
          <w:color w:val="000000" w:themeColor="text1"/>
          <w:sz w:val="24"/>
          <w:szCs w:val="24"/>
        </w:rPr>
        <w:t>.</w:t>
      </w:r>
    </w:p>
    <w:p w:rsidR="00327E85" w:rsidRPr="000364B6" w:rsidRDefault="00327E85" w:rsidP="000364B6">
      <w:pPr>
        <w:numPr>
          <w:ilvl w:val="0"/>
          <w:numId w:val="17"/>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El suelo: Ley de Residuos (Ley 22/2011, de 29 de julio). Si estos son radiactivos, se aplica la Ley de Energía Nuclear (Ley 25/1964, de 29 de abril).</w:t>
      </w:r>
    </w:p>
    <w:p w:rsidR="00327E85" w:rsidRPr="000364B6" w:rsidRDefault="00327E85" w:rsidP="000364B6">
      <w:pPr>
        <w:numPr>
          <w:ilvl w:val="0"/>
          <w:numId w:val="17"/>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El aire: Ley 34/2007, de 15 de noviembre, de calidad del aire y protección de la atmósfera y la Ley 1/2005, de 9 de marzo, que regula el régimen de comercio de derechos de emisión de gases de efecto invernadero.</w:t>
      </w:r>
    </w:p>
    <w:p w:rsidR="00327E85" w:rsidRPr="000364B6" w:rsidRDefault="00327E85" w:rsidP="000364B6">
      <w:pPr>
        <w:numPr>
          <w:ilvl w:val="0"/>
          <w:numId w:val="17"/>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Las aguas: Ley de Aguas (Real Decreto- Legislativo 1/2001, de 20 de julio) y el Reglamento de Dominio Público Hidráulico (Real Decreto 849/1986, de 11 de abril). En cuanto a las aguas marítimas está la Ley de Costas (Ley 22/1988, de 28 de julio) y su Reglamento (Real Decreto 876/2014, de 10 de octubre).</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 existencia de una amplia y difusa regulación extrapenal (normas internacionales, disposiciones municipales, las competencias de las Comunidades Autónomas, etc.) genera en la práctica la posibilidad de desconocimiento de dicha normativa con las consiguientes consecuencias jurídicas</w:t>
      </w:r>
      <w:r w:rsidRPr="000364B6">
        <w:rPr>
          <w:rFonts w:ascii="Times New Roman" w:hAnsi="Times New Roman" w:cs="Times New Roman"/>
          <w:color w:val="000000" w:themeColor="text1"/>
          <w:sz w:val="24"/>
          <w:szCs w:val="24"/>
          <w:vertAlign w:val="superscript"/>
        </w:rPr>
        <w:footnoteReference w:id="57"/>
      </w:r>
      <w:r w:rsidRPr="000364B6">
        <w:rPr>
          <w:rFonts w:ascii="Times New Roman" w:hAnsi="Times New Roman" w:cs="Times New Roman"/>
          <w:color w:val="000000" w:themeColor="text1"/>
          <w:sz w:val="24"/>
          <w:szCs w:val="24"/>
        </w:rPr>
        <w:t xml:space="preserve">.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Además, cabe preguntarse aquí una cuestión, que es la incidencia que puede tener una eventual modificación de la norma extrapenal en términos de irretroactividad de la ley penal. Como bien dice MARQUÉS I BANQUÉ, deberá acreditarse si el cambio producido en la norma extrapenal referida obedece a razones de cambio de valoración o de modificación de la realizad fáctica sobre la cual se proyecta dicha normativa. Si la modificación obedece a un cambio de valoración sobre una misma realidad fáctica que pone de manifiesto el error valorativo en la norma anterior, puede ser invocada de forma retroactiva como norma integradora de la ley penal en blanco. Por el contrario, si lo que ocurre es que la realidad fáctica ha variado y el cambio obedece al objeto de regulación, hay que entender que no cabe proyectar, aun en los supuestos de in dubio pro reo, la norma extrapenal a los efectos de integrar el tipo penal</w:t>
      </w:r>
      <w:r w:rsidRPr="000364B6">
        <w:rPr>
          <w:rFonts w:ascii="Times New Roman" w:hAnsi="Times New Roman" w:cs="Times New Roman"/>
          <w:color w:val="000000" w:themeColor="text1"/>
          <w:sz w:val="24"/>
          <w:szCs w:val="24"/>
          <w:vertAlign w:val="superscript"/>
        </w:rPr>
        <w:footnoteReference w:id="58"/>
      </w:r>
      <w:r w:rsidRPr="000364B6">
        <w:rPr>
          <w:rFonts w:ascii="Times New Roman" w:hAnsi="Times New Roman" w:cs="Times New Roman"/>
          <w:color w:val="000000" w:themeColor="text1"/>
          <w:sz w:val="24"/>
          <w:szCs w:val="24"/>
        </w:rPr>
        <w:t xml:space="preserve">. </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3.5. Las distintas acciones contaminantes.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Las acciones típicas y los determinados objetos materiales son una novedad de la LO 1/2015. Tal y como establece la conducta del artículo 325, esta puede consistir en la realización o provocación directa o indirecta de vertidos, radiaciones, extracciones o excavaciones, </w:t>
      </w:r>
      <w:r w:rsidRPr="000364B6">
        <w:rPr>
          <w:rFonts w:ascii="Times New Roman" w:hAnsi="Times New Roman" w:cs="Times New Roman"/>
          <w:color w:val="000000" w:themeColor="text1"/>
          <w:sz w:val="24"/>
          <w:szCs w:val="24"/>
        </w:rPr>
        <w:lastRenderedPageBreak/>
        <w:t>aterramientos, ruidos, vibraciones, inyecciones, depósitos o captaciones de aguas. Lo que importa es el daño o el resultado que puedan causar para la calidad del aire, del suelo o de las aguas, así como a animales o plantas</w:t>
      </w:r>
      <w:r w:rsidRPr="000364B6">
        <w:rPr>
          <w:rFonts w:ascii="Times New Roman" w:hAnsi="Times New Roman" w:cs="Times New Roman"/>
          <w:color w:val="000000" w:themeColor="text1"/>
          <w:sz w:val="24"/>
          <w:szCs w:val="24"/>
          <w:vertAlign w:val="superscript"/>
        </w:rPr>
        <w:footnoteReference w:id="59"/>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color w:val="000000" w:themeColor="text1"/>
          <w:sz w:val="24"/>
          <w:szCs w:val="24"/>
        </w:rPr>
        <w:t>Se trata de un conjunto cerrado, aunque impreciso, de hechos contaminantes, que en parte se superponen.</w:t>
      </w:r>
    </w:p>
    <w:p w:rsidR="00327E85" w:rsidRPr="000364B6" w:rsidRDefault="00327E85" w:rsidP="000364B6">
      <w:pPr>
        <w:numPr>
          <w:ilvl w:val="0"/>
          <w:numId w:val="18"/>
        </w:num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color w:val="000000" w:themeColor="text1"/>
          <w:sz w:val="24"/>
          <w:szCs w:val="24"/>
        </w:rPr>
        <w:t>Emisiones y vertidos: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Aquí lo importante es que se cumpla la exigencia de peligrosidad potencial, que puede ocurrir porque se transforme o cambie al entrar en contacto con otras sustancias o agentes, o al mezclarse con otras o cambiar de estado.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El significado de “emisión” según la RAE, es “</w:t>
      </w:r>
      <w:r w:rsidRPr="000364B6">
        <w:rPr>
          <w:rFonts w:ascii="Times New Roman" w:hAnsi="Times New Roman" w:cs="Times New Roman"/>
          <w:i/>
          <w:color w:val="000000" w:themeColor="text1"/>
          <w:sz w:val="24"/>
          <w:szCs w:val="24"/>
        </w:rPr>
        <w:t xml:space="preserve">acción o efecto de emitir”, </w:t>
      </w:r>
      <w:r w:rsidRPr="000364B6">
        <w:rPr>
          <w:rFonts w:ascii="Times New Roman" w:hAnsi="Times New Roman" w:cs="Times New Roman"/>
          <w:color w:val="000000" w:themeColor="text1"/>
          <w:sz w:val="24"/>
          <w:szCs w:val="24"/>
        </w:rPr>
        <w:t>esto es, “</w:t>
      </w:r>
      <w:r w:rsidRPr="000364B6">
        <w:rPr>
          <w:rFonts w:ascii="Times New Roman" w:hAnsi="Times New Roman" w:cs="Times New Roman"/>
          <w:i/>
          <w:color w:val="000000" w:themeColor="text1"/>
          <w:sz w:val="24"/>
          <w:szCs w:val="24"/>
        </w:rPr>
        <w:t xml:space="preserve">arrojar, exhalar o echar hacia fuera algo”, </w:t>
      </w:r>
      <w:r w:rsidRPr="000364B6">
        <w:rPr>
          <w:rFonts w:ascii="Times New Roman" w:hAnsi="Times New Roman" w:cs="Times New Roman"/>
          <w:color w:val="000000" w:themeColor="text1"/>
          <w:sz w:val="24"/>
          <w:szCs w:val="24"/>
        </w:rPr>
        <w:t xml:space="preserve">es la emisión de gases, la liberación de sustancias gaseosas en el aire. Pero también se pueden incluir materias orgánicas e incluso </w:t>
      </w:r>
      <w:proofErr w:type="gramStart"/>
      <w:r w:rsidRPr="000364B6">
        <w:rPr>
          <w:rFonts w:ascii="Times New Roman" w:hAnsi="Times New Roman" w:cs="Times New Roman"/>
          <w:color w:val="000000" w:themeColor="text1"/>
          <w:sz w:val="24"/>
          <w:szCs w:val="24"/>
        </w:rPr>
        <w:t>sólidos</w:t>
      </w:r>
      <w:proofErr w:type="gramEnd"/>
      <w:r w:rsidRPr="000364B6">
        <w:rPr>
          <w:rFonts w:ascii="Times New Roman" w:hAnsi="Times New Roman" w:cs="Times New Roman"/>
          <w:color w:val="000000" w:themeColor="text1"/>
          <w:sz w:val="24"/>
          <w:szCs w:val="24"/>
        </w:rPr>
        <w:t xml:space="preserve">.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En lo que respecta a las emisiones de gases, creo que podemos hacer crítica a la situación actual de la emisión de CO2 en España, según la Agencia Europea de Medio Ambiente, España ha aumentado las emisiones a la atmósfera un 3,2 </w:t>
      </w:r>
      <w:proofErr w:type="gramStart"/>
      <w:r w:rsidRPr="000364B6">
        <w:rPr>
          <w:rFonts w:ascii="Times New Roman" w:hAnsi="Times New Roman" w:cs="Times New Roman"/>
          <w:color w:val="000000" w:themeColor="text1"/>
          <w:sz w:val="24"/>
          <w:szCs w:val="24"/>
        </w:rPr>
        <w:t>% ,</w:t>
      </w:r>
      <w:proofErr w:type="gramEnd"/>
      <w:r w:rsidRPr="000364B6">
        <w:rPr>
          <w:rFonts w:ascii="Times New Roman" w:hAnsi="Times New Roman" w:cs="Times New Roman"/>
          <w:color w:val="000000" w:themeColor="text1"/>
          <w:sz w:val="24"/>
          <w:szCs w:val="24"/>
        </w:rPr>
        <w:t xml:space="preserve"> cosa que no ocurría antes de la crisis económica acaecida en el país. Pero hay un dato aún más preocupante, y es el uso del carbón, es el combustible fósil más contaminante y del que España sigue apostando. Mientras que en el resto del mundo ha caído la emisión de CO2 debida al carbón, en España se ha incrementado un 23.9 % más que el año pasado, un cifra sin duda para hacer crítica a la política medio ambiental actual</w:t>
      </w:r>
      <w:r w:rsidRPr="000364B6">
        <w:rPr>
          <w:rFonts w:ascii="Times New Roman" w:hAnsi="Times New Roman" w:cs="Times New Roman"/>
          <w:color w:val="000000" w:themeColor="text1"/>
          <w:sz w:val="24"/>
          <w:szCs w:val="24"/>
          <w:vertAlign w:val="superscript"/>
        </w:rPr>
        <w:footnoteReference w:id="60"/>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Por último, en el año 2015, el Tribunal Supremo condenó por primera vez a pena de cárcel a personas por emitir gases efecto invernadero, delito contra el medio ambiente por suponer un gran riesgo para el medio ambiente y las personas.</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cuanto a los vertidos, nos tendremos que desplazar a la Directiva Comunitaria 76/464 CE, en su artículo 1.2 b). Supone la introducción en las aguas de las sustancias peligrosas listadas en la Directiva y a lo que tenemos que relacionar con el significado de la RAE al verbo “verter”: derramar o vaciar líquidos o cosas menudas, como sal.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Cabe decir que la jurisprudencia condiciona la tipicidad a que se superen ampliamente los límites reglamentarios fijados, lo que dependerá no solo de la cantidad vertida sino también de su composición y de su toxicidad. Además el vertido tiene que suponer la realización de la conducta delictiva, es decir tiene que ser ilegal y que comporte un riesgo típico</w:t>
      </w:r>
      <w:r w:rsidRPr="000364B6">
        <w:rPr>
          <w:rFonts w:ascii="Times New Roman" w:hAnsi="Times New Roman" w:cs="Times New Roman"/>
          <w:color w:val="000000" w:themeColor="text1"/>
          <w:sz w:val="24"/>
          <w:szCs w:val="24"/>
          <w:vertAlign w:val="superscript"/>
        </w:rPr>
        <w:footnoteReference w:id="61"/>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i/>
          <w:iCs/>
          <w:color w:val="000000" w:themeColor="text1"/>
          <w:sz w:val="24"/>
          <w:szCs w:val="24"/>
        </w:rPr>
      </w:pPr>
      <w:r w:rsidRPr="000364B6">
        <w:rPr>
          <w:rFonts w:ascii="Times New Roman" w:hAnsi="Times New Roman" w:cs="Times New Roman"/>
          <w:color w:val="000000" w:themeColor="text1"/>
          <w:sz w:val="24"/>
          <w:szCs w:val="24"/>
        </w:rPr>
        <w:t xml:space="preserve">Ahora bien, no todo residuo origina efectos nocivos sobre el medio ambiente, el concepto que nos interesa penalmente es el de vertido contaminante, es decir, aquella </w:t>
      </w:r>
      <w:r w:rsidRPr="000364B6">
        <w:rPr>
          <w:rFonts w:ascii="Times New Roman" w:hAnsi="Times New Roman" w:cs="Times New Roman"/>
          <w:i/>
          <w:iCs/>
          <w:color w:val="000000" w:themeColor="text1"/>
          <w:sz w:val="24"/>
          <w:szCs w:val="24"/>
        </w:rPr>
        <w:t xml:space="preserve">“actividad que, por su propia dinámica, ocasione la diseminación y esparcimiento de sustancias contaminante” </w:t>
      </w:r>
      <w:r w:rsidRPr="000364B6">
        <w:rPr>
          <w:rFonts w:ascii="Times New Roman" w:hAnsi="Times New Roman" w:cs="Times New Roman"/>
          <w:iCs/>
          <w:color w:val="000000" w:themeColor="text1"/>
          <w:sz w:val="24"/>
          <w:szCs w:val="24"/>
        </w:rPr>
        <w:t xml:space="preserve">así se establece en la </w:t>
      </w:r>
      <w:r w:rsidRPr="000364B6">
        <w:rPr>
          <w:rFonts w:ascii="Times New Roman" w:hAnsi="Times New Roman" w:cs="Times New Roman"/>
          <w:color w:val="000000" w:themeColor="text1"/>
          <w:sz w:val="24"/>
          <w:szCs w:val="24"/>
        </w:rPr>
        <w:t xml:space="preserve">Sentencia del Tribunal Supremo de 24 de mayo de 2003, generando efectos nocivos sobre el hombre o sobre el medio, ya sea directa o indirectamente. Por lo tanto, y haciendo referencia a la STS 17 de mayo de 2003,  </w:t>
      </w:r>
      <w:r w:rsidRPr="000364B6">
        <w:rPr>
          <w:rFonts w:ascii="Times New Roman" w:hAnsi="Times New Roman" w:cs="Times New Roman"/>
          <w:i/>
          <w:iCs/>
          <w:color w:val="000000" w:themeColor="text1"/>
          <w:sz w:val="24"/>
          <w:szCs w:val="24"/>
        </w:rPr>
        <w:t>“para configurar</w:t>
      </w:r>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iCs/>
          <w:color w:val="000000" w:themeColor="text1"/>
          <w:sz w:val="24"/>
          <w:szCs w:val="24"/>
        </w:rPr>
        <w:t>el delito basta un solo vertido o emisión de sustancias contaminantes si uno</w:t>
      </w:r>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iCs/>
          <w:color w:val="000000" w:themeColor="text1"/>
          <w:sz w:val="24"/>
          <w:szCs w:val="24"/>
        </w:rPr>
        <w:t>solo es capaz de producir el efecto típico exigido por la ley punitiva, integrado</w:t>
      </w:r>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iCs/>
          <w:color w:val="000000" w:themeColor="text1"/>
          <w:sz w:val="24"/>
          <w:szCs w:val="24"/>
        </w:rPr>
        <w:t>por el alto riesgo de causar un perjuicio grave para el equilibrio de los sistemas naturales”</w:t>
      </w:r>
      <w:r w:rsidRPr="000364B6">
        <w:rPr>
          <w:rFonts w:ascii="Times New Roman" w:hAnsi="Times New Roman" w:cs="Times New Roman"/>
          <w:color w:val="000000" w:themeColor="text1"/>
          <w:sz w:val="24"/>
          <w:szCs w:val="24"/>
        </w:rPr>
        <w:t xml:space="preserve">, aunque la regla general es que se produzcan por </w:t>
      </w:r>
      <w:r w:rsidRPr="000364B6">
        <w:rPr>
          <w:rFonts w:ascii="Times New Roman" w:hAnsi="Times New Roman" w:cs="Times New Roman"/>
          <w:i/>
          <w:iCs/>
          <w:color w:val="000000" w:themeColor="text1"/>
          <w:sz w:val="24"/>
          <w:szCs w:val="24"/>
        </w:rPr>
        <w:t xml:space="preserve">“la repetición acumulativa” </w:t>
      </w:r>
      <w:r w:rsidRPr="000364B6">
        <w:rPr>
          <w:rFonts w:ascii="Times New Roman" w:hAnsi="Times New Roman" w:cs="Times New Roman"/>
          <w:color w:val="000000" w:themeColor="text1"/>
          <w:sz w:val="24"/>
          <w:szCs w:val="24"/>
        </w:rPr>
        <w:t xml:space="preserve">de varias conductas que pese a ello dan lugar a </w:t>
      </w:r>
      <w:r w:rsidRPr="000364B6">
        <w:rPr>
          <w:rFonts w:ascii="Times New Roman" w:hAnsi="Times New Roman" w:cs="Times New Roman"/>
          <w:i/>
          <w:iCs/>
          <w:color w:val="000000" w:themeColor="text1"/>
          <w:sz w:val="24"/>
          <w:szCs w:val="24"/>
        </w:rPr>
        <w:t>“un delito único porque el tipo utiliza en plural una de las</w:t>
      </w:r>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iCs/>
          <w:color w:val="000000" w:themeColor="text1"/>
          <w:sz w:val="24"/>
          <w:szCs w:val="24"/>
        </w:rPr>
        <w:t xml:space="preserve">expresiones que lo configuran”, </w:t>
      </w:r>
      <w:r w:rsidRPr="000364B6">
        <w:rPr>
          <w:rFonts w:ascii="Times New Roman" w:hAnsi="Times New Roman" w:cs="Times New Roman"/>
          <w:color w:val="000000" w:themeColor="text1"/>
          <w:sz w:val="24"/>
          <w:szCs w:val="24"/>
        </w:rPr>
        <w:t xml:space="preserve">siendo incluible en lo que </w:t>
      </w:r>
      <w:r w:rsidRPr="000364B6">
        <w:rPr>
          <w:rFonts w:ascii="Times New Roman" w:hAnsi="Times New Roman" w:cs="Times New Roman"/>
          <w:i/>
          <w:iCs/>
          <w:color w:val="000000" w:themeColor="text1"/>
          <w:sz w:val="24"/>
          <w:szCs w:val="24"/>
        </w:rPr>
        <w:t>“la doctrina denomina delitos de acumulación”</w:t>
      </w:r>
      <w:r w:rsidRPr="000364B6">
        <w:rPr>
          <w:rFonts w:ascii="Times New Roman" w:hAnsi="Times New Roman" w:cs="Times New Roman"/>
          <w:i/>
          <w:iCs/>
          <w:color w:val="000000" w:themeColor="text1"/>
          <w:sz w:val="24"/>
          <w:szCs w:val="24"/>
          <w:vertAlign w:val="superscript"/>
        </w:rPr>
        <w:footnoteReference w:id="62"/>
      </w:r>
      <w:r w:rsidRPr="000364B6">
        <w:rPr>
          <w:rFonts w:ascii="Times New Roman" w:hAnsi="Times New Roman" w:cs="Times New Roman"/>
          <w:i/>
          <w:iCs/>
          <w:color w:val="000000" w:themeColor="text1"/>
          <w:sz w:val="24"/>
          <w:szCs w:val="24"/>
        </w:rPr>
        <w:t>.</w:t>
      </w:r>
    </w:p>
    <w:p w:rsidR="00327E85" w:rsidRPr="000364B6" w:rsidRDefault="00327E85" w:rsidP="000364B6">
      <w:pPr>
        <w:spacing w:line="360" w:lineRule="auto"/>
        <w:jc w:val="both"/>
        <w:rPr>
          <w:rFonts w:ascii="Times New Roman" w:hAnsi="Times New Roman" w:cs="Times New Roman"/>
          <w:i/>
          <w:iCs/>
          <w:color w:val="000000" w:themeColor="text1"/>
          <w:sz w:val="24"/>
          <w:szCs w:val="24"/>
        </w:rPr>
      </w:pPr>
    </w:p>
    <w:p w:rsidR="00327E85" w:rsidRPr="000364B6" w:rsidRDefault="00327E85" w:rsidP="000364B6">
      <w:pPr>
        <w:spacing w:line="360" w:lineRule="auto"/>
        <w:jc w:val="both"/>
        <w:rPr>
          <w:rFonts w:ascii="Times New Roman" w:hAnsi="Times New Roman" w:cs="Times New Roman"/>
          <w:i/>
          <w:iCs/>
          <w:color w:val="000000" w:themeColor="text1"/>
          <w:sz w:val="24"/>
          <w:szCs w:val="24"/>
        </w:rPr>
      </w:pPr>
    </w:p>
    <w:p w:rsidR="00327E85" w:rsidRPr="000364B6" w:rsidRDefault="00327E85" w:rsidP="000364B6">
      <w:pPr>
        <w:numPr>
          <w:ilvl w:val="0"/>
          <w:numId w:val="18"/>
        </w:num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color w:val="000000" w:themeColor="text1"/>
          <w:sz w:val="24"/>
          <w:szCs w:val="24"/>
        </w:rPr>
        <w:t>Radiaciones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Su significado viene asignado por la física, esto es, “la emisión, propagación y transferencia de energía en cualquier medio en forma de ondas electromagnéticas o partículas”.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El Código penal no precisa el tipo de radiación, ahora bien, en este apartado podemos clasificar dos tipos de radiaciones, las ionizantes y las no ionizantes. Las ionizantes tienen suficiente energía como para producir ionizaciones de los átomos del medio o materia que es irradiado. Van desde los rayos X hasta la radiación cósmica. Son por tanto las relativas a la energía nuclear. En este caso, se trataría de un delito de los artículos 341 a 344 CP (De los delitos relativos a la energía nuclear y a las radiaciones ionizantes)</w:t>
      </w:r>
      <w:r w:rsidRPr="000364B6">
        <w:rPr>
          <w:rFonts w:ascii="Times New Roman" w:hAnsi="Times New Roman" w:cs="Times New Roman"/>
          <w:color w:val="000000" w:themeColor="text1"/>
          <w:sz w:val="24"/>
          <w:szCs w:val="24"/>
          <w:vertAlign w:val="superscript"/>
        </w:rPr>
        <w:footnoteReference w:id="63"/>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Por lo tanto, las que tienen relevancia en este tipo penal son las energías NO ionizantes, es decir, las que no tienen la suficiente energía como para romper los enlaces que unen los átomos del medio que irradian (ondas de radio y TV, microondas, luz visible, etc.).</w:t>
      </w:r>
    </w:p>
    <w:p w:rsidR="00327E85" w:rsidRPr="000364B6" w:rsidRDefault="00327E85" w:rsidP="000364B6">
      <w:pPr>
        <w:numPr>
          <w:ilvl w:val="0"/>
          <w:numId w:val="18"/>
        </w:num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color w:val="000000" w:themeColor="text1"/>
          <w:sz w:val="24"/>
          <w:szCs w:val="24"/>
        </w:rPr>
        <w:t>Excavaciones, aterramientos y extracciones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Estas suponen los movimientos de tierra o acumulaciones de la misma en la medida que puedan producir un resultado peligroso como por ejemplo un proceso erosivo o inundaciones</w:t>
      </w:r>
      <w:r w:rsidRPr="000364B6">
        <w:rPr>
          <w:rFonts w:ascii="Times New Roman" w:hAnsi="Times New Roman" w:cs="Times New Roman"/>
          <w:color w:val="000000" w:themeColor="text1"/>
          <w:sz w:val="24"/>
          <w:szCs w:val="24"/>
          <w:vertAlign w:val="superscript"/>
        </w:rPr>
        <w:footnoteReference w:id="64"/>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cuanto al término excavar, significa quitar de una cosa sólida parte de su masa, haciendo un hoyo o una cavidad en ella. Normalmente va ligada a una extracción pero no necesariamente ya que  puede ocurrir que el hoyo o cavidad se abran sin sacar los materiales como ocurre por ejemplo con las perforaciones.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El segundo término, aterramientos, supone la incorporación o depósito de arenas, limo o tierras en el fondo del mar o de un lago por acarreo natural o voluntariamente.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Y por último, las extracciones, el DRAE identifica el término extracción con la acción y el efecto de extraer, es decir, sacar o poner algo fuera de donde estaba, como se realiza en canteras y explotaciones mineras. En el ámbito de la química, la extracción es un procedimiento por el que separa alguna de las partes de que se componen los cuerpos.</w:t>
      </w:r>
    </w:p>
    <w:p w:rsidR="00327E85" w:rsidRPr="000364B6" w:rsidRDefault="00327E85" w:rsidP="000364B6">
      <w:pPr>
        <w:numPr>
          <w:ilvl w:val="0"/>
          <w:numId w:val="18"/>
        </w:num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color w:val="000000" w:themeColor="text1"/>
          <w:sz w:val="24"/>
          <w:szCs w:val="24"/>
        </w:rPr>
        <w:t>Ruidos y vibraciones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Este hecho contaminante debemos explicarlo fuera del Código Penal, primeramente nos tendremos que ir a la Ley de Ruidos 37/2003 y su Real Decreto 1367/2007. Esta legislación estatal según la Ley sólo puede aplicarse a determinados emisores acústicos como son: las actividades comerciales, industriales o de servicios y sus instalaciones, carreteras, ferrocarriles, puertos o aeropuertos.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Además de esta Ley, podemos ir a la Directiva 2002/49 CE</w:t>
      </w:r>
      <w:r w:rsidRPr="000364B6">
        <w:rPr>
          <w:rFonts w:ascii="Times New Roman" w:hAnsi="Times New Roman" w:cs="Times New Roman"/>
          <w:color w:val="000000" w:themeColor="text1"/>
          <w:sz w:val="24"/>
          <w:szCs w:val="24"/>
          <w:vertAlign w:val="superscript"/>
        </w:rPr>
        <w:footnoteReference w:id="65"/>
      </w:r>
      <w:r w:rsidRPr="000364B6">
        <w:rPr>
          <w:rFonts w:ascii="Times New Roman" w:hAnsi="Times New Roman" w:cs="Times New Roman"/>
          <w:color w:val="000000" w:themeColor="text1"/>
          <w:sz w:val="24"/>
          <w:szCs w:val="24"/>
        </w:rPr>
        <w:t>, en esta se incluye entre las actividades que pueden provocarlos los transportes o las actividades industriales.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Por último, a parte de estas dos, también se dan una serie de disposiciones autonómicas e incluso ordenanzas municipales</w:t>
      </w:r>
      <w:proofErr w:type="gramStart"/>
      <w:r w:rsidRPr="000364B6">
        <w:rPr>
          <w:rFonts w:ascii="Times New Roman" w:hAnsi="Times New Roman" w:cs="Times New Roman"/>
          <w:color w:val="000000" w:themeColor="text1"/>
          <w:sz w:val="24"/>
          <w:szCs w:val="24"/>
        </w:rPr>
        <w:t>..</w:t>
      </w:r>
      <w:proofErr w:type="gramEnd"/>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Por otra parte, en cuanto al requisito relativo al riesgo, suele considerarse como factor indicativo del mismo, la prolongación de los ruidos o vibraciones.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Sin duda este es el punto más controvertido debido a la gran cantidad de Sentencias dictadas por la llamada contaminación acústica, ésta en mayor parte producida por los bares o locales de ocio que están bajo viviendas o cercanas a ellas o por los transportes o sus infraestructuras. En la siguiente imagen podemos observar las principales quejas sobre la contaminación acústica:</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noProof/>
          <w:color w:val="000000" w:themeColor="text1"/>
          <w:sz w:val="24"/>
          <w:szCs w:val="24"/>
          <w:lang w:eastAsia="es-ES"/>
        </w:rPr>
        <w:drawing>
          <wp:inline distT="0" distB="0" distL="0" distR="0" wp14:anchorId="33D8C769" wp14:editId="1E66C483">
            <wp:extent cx="5334000" cy="4553712"/>
            <wp:effectExtent l="0" t="0" r="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uido2.jpg"/>
                    <pic:cNvPicPr/>
                  </pic:nvPicPr>
                  <pic:blipFill>
                    <a:blip r:embed="rId17">
                      <a:extLst>
                        <a:ext uri="{28A0092B-C50C-407E-A947-70E740481C1C}">
                          <a14:useLocalDpi xmlns:a14="http://schemas.microsoft.com/office/drawing/2010/main" val="0"/>
                        </a:ext>
                      </a:extLst>
                    </a:blip>
                    <a:stretch>
                      <a:fillRect/>
                    </a:stretch>
                  </pic:blipFill>
                  <pic:spPr>
                    <a:xfrm>
                      <a:off x="0" y="0"/>
                      <a:ext cx="5334000" cy="4553712"/>
                    </a:xfrm>
                    <a:prstGeom prst="rect">
                      <a:avLst/>
                    </a:prstGeom>
                  </pic:spPr>
                </pic:pic>
              </a:graphicData>
            </a:graphic>
          </wp:inline>
        </w:drawing>
      </w:r>
      <w:r w:rsidRPr="000364B6">
        <w:rPr>
          <w:rFonts w:ascii="Times New Roman" w:hAnsi="Times New Roman" w:cs="Times New Roman"/>
          <w:color w:val="000000" w:themeColor="text1"/>
          <w:sz w:val="24"/>
          <w:szCs w:val="24"/>
          <w:vertAlign w:val="superscript"/>
        </w:rPr>
        <w:footnoteReference w:id="66"/>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Como podemos observar, los bares, pubs o salas de música en esta gráfica tienen una importante diferencia con el resto ya que producen hasta el 35% del total de las quejas.</w:t>
      </w:r>
    </w:p>
    <w:p w:rsidR="00327E85" w:rsidRPr="000364B6" w:rsidRDefault="00327E85" w:rsidP="000364B6">
      <w:pPr>
        <w:numPr>
          <w:ilvl w:val="0"/>
          <w:numId w:val="18"/>
        </w:num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color w:val="000000" w:themeColor="text1"/>
          <w:sz w:val="24"/>
          <w:szCs w:val="24"/>
        </w:rPr>
        <w:t>Depósitos e inyecciones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En cuanto a los depósitos, suponen la acción o efecto de depositar, esto es, de acumular sustancias, a las que se coloca en sitio determinado y por tiempo indefinido.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Las inyecciones, conllevan la introducción en un cuerpo o cavidad (suelo o subsuelo) de sustancias gaseosas, líquidos o fluidos. Por lo tanto son métodos para introducir a presión, mediante un instrumento, un fluido, un gas o un líquido contaminante</w:t>
      </w:r>
      <w:r w:rsidRPr="000364B6">
        <w:rPr>
          <w:rFonts w:ascii="Times New Roman" w:hAnsi="Times New Roman" w:cs="Times New Roman"/>
          <w:color w:val="000000" w:themeColor="text1"/>
          <w:sz w:val="24"/>
          <w:szCs w:val="24"/>
          <w:vertAlign w:val="superscript"/>
        </w:rPr>
        <w:footnoteReference w:id="67"/>
      </w:r>
      <w:r w:rsidRPr="000364B6">
        <w:rPr>
          <w:rFonts w:ascii="Times New Roman" w:hAnsi="Times New Roman" w:cs="Times New Roman"/>
          <w:color w:val="000000" w:themeColor="text1"/>
          <w:sz w:val="24"/>
          <w:szCs w:val="24"/>
        </w:rPr>
        <w:t>.</w:t>
      </w:r>
    </w:p>
    <w:p w:rsidR="00327E85" w:rsidRPr="000364B6" w:rsidRDefault="00327E85" w:rsidP="000364B6">
      <w:pPr>
        <w:numPr>
          <w:ilvl w:val="0"/>
          <w:numId w:val="18"/>
        </w:num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color w:val="000000" w:themeColor="text1"/>
          <w:sz w:val="24"/>
          <w:szCs w:val="24"/>
        </w:rPr>
        <w:t>Captaciones de aguas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Supone la acción de recoger una corriente de agua, cualquiera que sea la técnica empleada como desvíos irregulares de cauces naturales, o sacar agua de algún cauce natural o embalse artificial, hasta la desecación de los mismos. No tienen que ser necesariamente aguas subterráneas, pudiendo ser por lo tanto también superficiales. Por otra parte, el objeto no se limita a aguas aptas para el consumo humano</w:t>
      </w:r>
      <w:r w:rsidRPr="000364B6">
        <w:rPr>
          <w:rFonts w:ascii="Times New Roman" w:hAnsi="Times New Roman" w:cs="Times New Roman"/>
          <w:color w:val="000000" w:themeColor="text1"/>
          <w:sz w:val="24"/>
          <w:szCs w:val="24"/>
          <w:vertAlign w:val="superscript"/>
        </w:rPr>
        <w:footnoteReference w:id="68"/>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3.6. Características de las conductas de resultado y figuras de peligro.</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3.6.1. Tipo básico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Debido a la reforma se admite una conducta alternativa la materialización de un resultado lesivo cuando el artículo utiliza el verbo “cause”, aunque subsiste como comportamiento de peligro a través de la expresión “pueda causar daños”</w:t>
      </w:r>
      <w:r w:rsidRPr="000364B6">
        <w:rPr>
          <w:rFonts w:ascii="Times New Roman" w:hAnsi="Times New Roman" w:cs="Times New Roman"/>
          <w:color w:val="000000" w:themeColor="text1"/>
          <w:sz w:val="24"/>
          <w:szCs w:val="24"/>
          <w:vertAlign w:val="superscript"/>
        </w:rPr>
        <w:footnoteReference w:id="69"/>
      </w:r>
      <w:r w:rsidRPr="000364B6">
        <w:rPr>
          <w:rFonts w:ascii="Times New Roman" w:hAnsi="Times New Roman" w:cs="Times New Roman"/>
          <w:color w:val="000000" w:themeColor="text1"/>
          <w:sz w:val="24"/>
          <w:szCs w:val="24"/>
        </w:rPr>
        <w:t xml:space="preserve">. Con esto se equipara en gravedad los casos de producción de resultados lesivos y los de mero peligro, además la </w:t>
      </w:r>
      <w:proofErr w:type="spellStart"/>
      <w:r w:rsidRPr="000364B6">
        <w:rPr>
          <w:rFonts w:ascii="Times New Roman" w:hAnsi="Times New Roman" w:cs="Times New Roman"/>
          <w:color w:val="000000" w:themeColor="text1"/>
          <w:sz w:val="24"/>
          <w:szCs w:val="24"/>
        </w:rPr>
        <w:t>causación</w:t>
      </w:r>
      <w:proofErr w:type="spellEnd"/>
      <w:r w:rsidRPr="000364B6">
        <w:rPr>
          <w:rFonts w:ascii="Times New Roman" w:hAnsi="Times New Roman" w:cs="Times New Roman"/>
          <w:color w:val="000000" w:themeColor="text1"/>
          <w:sz w:val="24"/>
          <w:szCs w:val="24"/>
        </w:rPr>
        <w:t xml:space="preserve"> del daño no es necesaria, basta la constatación del peligro. Por lo tanto, se trata de un delito de peligro hipotético en el que no es necesario demostrar la situación de peligro concreta sino que la conducta ha de llevar una aptitud lesiva que la identifique frente a las simples infracciones administrativas</w:t>
      </w:r>
      <w:r w:rsidRPr="000364B6">
        <w:rPr>
          <w:rFonts w:ascii="Times New Roman" w:hAnsi="Times New Roman" w:cs="Times New Roman"/>
          <w:color w:val="000000" w:themeColor="text1"/>
          <w:sz w:val="24"/>
          <w:szCs w:val="24"/>
          <w:vertAlign w:val="superscript"/>
        </w:rPr>
        <w:footnoteReference w:id="70"/>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El único criterio legal para la distinción de que un comportamiento sea tipificado penalmente de aquellos que se castigan administrativamente radica en si el daño o peligro producido puede ser o no sustancial (concepto valorativo que deberá ser determinado por el juez en el caso concreto) y además que deba ser considerado como grave. Para establecer la gravedad de </w:t>
      </w:r>
      <w:r w:rsidRPr="000364B6">
        <w:rPr>
          <w:rFonts w:ascii="Times New Roman" w:hAnsi="Times New Roman" w:cs="Times New Roman"/>
          <w:color w:val="000000" w:themeColor="text1"/>
          <w:sz w:val="24"/>
          <w:szCs w:val="24"/>
        </w:rPr>
        <w:lastRenderedPageBreak/>
        <w:t xml:space="preserve">este artículo 325 habrá que estar a la medida en que son puestos en peligro, como por ejemplo la salud de las personas, el suelo, el aire, el agua, </w:t>
      </w:r>
      <w:proofErr w:type="spellStart"/>
      <w:r w:rsidRPr="000364B6">
        <w:rPr>
          <w:rFonts w:ascii="Times New Roman" w:hAnsi="Times New Roman" w:cs="Times New Roman"/>
          <w:color w:val="000000" w:themeColor="text1"/>
          <w:sz w:val="24"/>
          <w:szCs w:val="24"/>
        </w:rPr>
        <w:t>etc</w:t>
      </w:r>
      <w:proofErr w:type="spellEnd"/>
      <w:r w:rsidRPr="000364B6">
        <w:rPr>
          <w:rFonts w:ascii="Times New Roman" w:hAnsi="Times New Roman" w:cs="Times New Roman"/>
          <w:color w:val="000000" w:themeColor="text1"/>
          <w:sz w:val="24"/>
          <w:szCs w:val="24"/>
          <w:vertAlign w:val="superscript"/>
        </w:rPr>
        <w:footnoteReference w:id="71"/>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color w:val="000000" w:themeColor="text1"/>
          <w:sz w:val="24"/>
          <w:szCs w:val="24"/>
        </w:rPr>
        <w:t>En conclusión, para la valoración del carácter de peligro de este artículo se ha de tener en cuenta dos elementos esenciales, por un lado la probabilidad  por otro el carácter negativo de un eventual resultado. Según la STS 30 de diciembre de 2008, “</w:t>
      </w:r>
      <w:r w:rsidRPr="000364B6">
        <w:rPr>
          <w:rFonts w:ascii="Times New Roman" w:hAnsi="Times New Roman" w:cs="Times New Roman"/>
          <w:i/>
          <w:color w:val="000000" w:themeColor="text1"/>
          <w:sz w:val="24"/>
          <w:szCs w:val="24"/>
        </w:rPr>
        <w:t>la gravedad se deduce de ambos elementos lo que significa negar la tipicidad en los casos de resultados solo posibles o remotamente probables, así como de aquellos que, de llegar a producirse, afecten de manera insignificante al bien jurídico”.</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3.6.2. Tipo agravado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el primer párrafo del artículo 325.2, se impone una pena más elevada en el caso de que las conductas por sí mismas o conjuntamente con otras, puedan perjudicar gravemente el equilibrio de los sistemas naturales (casualmente este delito tiene la misma pena que el artículo 325 CP antes de la reforma de 2015). Puede deducirse que este delito es de peligro hipotético debido a que se le exige que la conducta “pueda” perjudicar gravemente el equilibrio de los sistemas naturales, por lo tanto la conducta tiene que ser apta e idónea para producir dicho perjuicio. Además este perjuicio ha de ser grave</w:t>
      </w:r>
      <w:r w:rsidRPr="000364B6">
        <w:rPr>
          <w:rFonts w:ascii="Times New Roman" w:hAnsi="Times New Roman" w:cs="Times New Roman"/>
          <w:color w:val="000000" w:themeColor="text1"/>
          <w:sz w:val="24"/>
          <w:szCs w:val="24"/>
          <w:vertAlign w:val="superscript"/>
        </w:rPr>
        <w:footnoteReference w:id="72"/>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Creo que dicho esto debemos explicar algunas cuestiones relacionadas con este segundo apartado, en concreto el significado de “equilibrio de los sistemas naturales” o cuando menciona el legislador “por si mismas o conjuntamente”. En cuanto a lo primero, el equilibrio de los sistemas naturales, es el objeto puesto en peligro de la acción pero aparece definido de forma indeterminada, es decir es diferente al del apartado primero por lo que puede llegar a producir alguna confusión puesto que habría que comprobar no solo el daño sustancial contra un elemento natural, sino también la puesta en peligro grave del equilibrio de los sistemas naturales. En cuanto a la segunda cuestión, “por sí mismas o conjuntamente” es otro de los problemas prácticos de este apartado puesto que habrá que orientarla referencia a una conducta cometida “conjuntamente o con otras” a los casos en que las distintas conductas </w:t>
      </w:r>
      <w:r w:rsidRPr="000364B6">
        <w:rPr>
          <w:rFonts w:ascii="Times New Roman" w:hAnsi="Times New Roman" w:cs="Times New Roman"/>
          <w:color w:val="000000" w:themeColor="text1"/>
          <w:sz w:val="24"/>
          <w:szCs w:val="24"/>
        </w:rPr>
        <w:lastRenderedPageBreak/>
        <w:t>contaminantes procedan del mismo agente y contribuyan a verificar la misma puesta en peligro exigida en el delito del art. 325.2 CP</w:t>
      </w:r>
      <w:r w:rsidRPr="000364B6">
        <w:rPr>
          <w:rFonts w:ascii="Times New Roman" w:hAnsi="Times New Roman" w:cs="Times New Roman"/>
          <w:color w:val="000000" w:themeColor="text1"/>
          <w:sz w:val="24"/>
          <w:szCs w:val="24"/>
          <w:vertAlign w:val="superscript"/>
        </w:rPr>
        <w:footnoteReference w:id="73"/>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El art. 325.2 </w:t>
      </w:r>
      <w:r w:rsidRPr="000364B6">
        <w:rPr>
          <w:rFonts w:ascii="Times New Roman" w:hAnsi="Times New Roman" w:cs="Times New Roman"/>
          <w:i/>
          <w:color w:val="000000" w:themeColor="text1"/>
          <w:sz w:val="24"/>
          <w:szCs w:val="24"/>
        </w:rPr>
        <w:t>in fine</w:t>
      </w:r>
      <w:r w:rsidRPr="000364B6">
        <w:rPr>
          <w:rFonts w:ascii="Times New Roman" w:hAnsi="Times New Roman" w:cs="Times New Roman"/>
          <w:color w:val="000000" w:themeColor="text1"/>
          <w:sz w:val="24"/>
          <w:szCs w:val="24"/>
        </w:rPr>
        <w:t xml:space="preserve"> es un subtipo agravado relativo a la afectación de la salud de las personas, hay que indicar que, como la redacción legal no se aparta en este punto de la naturaleza del peligro tipificado, debe entenderse que es igualmente de naturaleza hipotética y no de peligro abstracto o concreto</w:t>
      </w:r>
      <w:r w:rsidRPr="000364B6">
        <w:rPr>
          <w:rFonts w:ascii="Times New Roman" w:hAnsi="Times New Roman" w:cs="Times New Roman"/>
          <w:color w:val="000000" w:themeColor="text1"/>
          <w:sz w:val="24"/>
          <w:szCs w:val="24"/>
          <w:vertAlign w:val="superscript"/>
        </w:rPr>
        <w:footnoteReference w:id="74"/>
      </w:r>
      <w:r w:rsidRPr="000364B6">
        <w:rPr>
          <w:rFonts w:ascii="Times New Roman" w:hAnsi="Times New Roman" w:cs="Times New Roman"/>
          <w:color w:val="000000" w:themeColor="text1"/>
          <w:sz w:val="24"/>
          <w:szCs w:val="24"/>
        </w:rPr>
        <w:t>. Lo veremos más adelante.</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3.7. Análisis del tipo subjetivo.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Las conductas del artículo 325 son punibles tanto si se realizan dolosamente como por imprudencia grave del artículo 331. En cuanto al dolo, lo más normal es que sea dolo directo de segundo grado o eventual, siendo improbable que se </w:t>
      </w:r>
      <w:proofErr w:type="spellStart"/>
      <w:r w:rsidRPr="000364B6">
        <w:rPr>
          <w:rFonts w:ascii="Times New Roman" w:hAnsi="Times New Roman" w:cs="Times New Roman"/>
          <w:color w:val="000000" w:themeColor="text1"/>
          <w:sz w:val="24"/>
          <w:szCs w:val="24"/>
        </w:rPr>
        <w:t>de</w:t>
      </w:r>
      <w:proofErr w:type="spellEnd"/>
      <w:r w:rsidRPr="000364B6">
        <w:rPr>
          <w:rFonts w:ascii="Times New Roman" w:hAnsi="Times New Roman" w:cs="Times New Roman"/>
          <w:color w:val="000000" w:themeColor="text1"/>
          <w:sz w:val="24"/>
          <w:szCs w:val="24"/>
        </w:rPr>
        <w:t xml:space="preserve"> un dolo directo de primer grado, ya que la conducta potencialmente lesiva al medio ambiente se comete con una finalidad distinta</w:t>
      </w:r>
      <w:r w:rsidRPr="000364B6">
        <w:rPr>
          <w:rFonts w:ascii="Times New Roman" w:hAnsi="Times New Roman" w:cs="Times New Roman"/>
          <w:color w:val="000000" w:themeColor="text1"/>
          <w:sz w:val="24"/>
          <w:szCs w:val="24"/>
          <w:vertAlign w:val="superscript"/>
        </w:rPr>
        <w:footnoteReference w:id="75"/>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Por lo tanto, en este delito deberá acreditarse bien la intención, bien la representación del riesgo y continuación en la actuación.</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definitiva, estas modalidades delictivas del artículo 325 se producen a través de un comportamiento idóneo para producir peligro para el bien jurídico protegido. Con esto podemos decir que el dolo es el conocimiento y voluntad de los elementos del tipo objetivo y por lo tanto será necesario acreditar tales aptitudes que desemboquen en la idoneidad de una actuación de riesgo para producir un peligro concreto</w:t>
      </w:r>
      <w:r w:rsidRPr="000364B6">
        <w:rPr>
          <w:rFonts w:ascii="Times New Roman" w:hAnsi="Times New Roman" w:cs="Times New Roman"/>
          <w:color w:val="000000" w:themeColor="text1"/>
          <w:sz w:val="24"/>
          <w:szCs w:val="24"/>
          <w:vertAlign w:val="superscript"/>
        </w:rPr>
        <w:footnoteReference w:id="76"/>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t>3.8. Penalidad.</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este apartado es conveniente separar los tres apartados que para mi juicio tiene el artículo 325 CP:</w:t>
      </w:r>
    </w:p>
    <w:p w:rsidR="00327E85" w:rsidRPr="000364B6" w:rsidRDefault="00327E85" w:rsidP="000364B6">
      <w:pPr>
        <w:numPr>
          <w:ilvl w:val="0"/>
          <w:numId w:val="17"/>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Pena del tipo básico, art. 325.1 CP:</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i/>
          <w:color w:val="000000" w:themeColor="text1"/>
          <w:sz w:val="24"/>
          <w:szCs w:val="24"/>
        </w:rPr>
        <w:lastRenderedPageBreak/>
        <w:t>Será castigado con las penas de prisión de seis meses a dos años, multa de diez a catorce meses e inhabilitación especial para profesión u oficio por tiempo de uno a dos años el que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el tipo básico, la vigente reforma de 2015 ha determinado una  reducción de la pena (en coherencia con la nueva estructura de la conducta del art. 325.1 CP) al castigar las conductas contaminantes de resultado y de peligro con “penas de prisión de seis a dos años, multa de diez a catorce meses e inhabilitación especial para profesión u oficio por tiempo de uno a dos años”. Por lo tanto se reduce considerablemente el marco punitivo para las conductas contaminantes, como se puede mostrar, la máxima pena impuesta será de dos años y anteriormente a las reformas era de cinco años</w:t>
      </w:r>
      <w:r w:rsidRPr="000364B6">
        <w:rPr>
          <w:rFonts w:ascii="Times New Roman" w:hAnsi="Times New Roman" w:cs="Times New Roman"/>
          <w:color w:val="000000" w:themeColor="text1"/>
          <w:sz w:val="24"/>
          <w:szCs w:val="24"/>
          <w:vertAlign w:val="superscript"/>
        </w:rPr>
        <w:footnoteReference w:id="77"/>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7"/>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Pena del tipo agravado, art. 325.2 CP:</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i/>
          <w:color w:val="000000" w:themeColor="text1"/>
          <w:sz w:val="24"/>
          <w:szCs w:val="24"/>
        </w:rPr>
        <w:t>(…) se impondrá una pena de prisión de dos a cinco años, multa de ocho a veinticuatro meses e inhabilitación especial para profesión u oficio por tiempo de uno a tres años.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En la reforma de 2015 no sólo se crea un nuevo tipo básico, anteriormente visto, sino que articula el segundo apartado como tipo agravado, con el mismo marco punitivo que el anterior artículo 325 </w:t>
      </w:r>
      <w:proofErr w:type="gramStart"/>
      <w:r w:rsidRPr="000364B6">
        <w:rPr>
          <w:rFonts w:ascii="Times New Roman" w:hAnsi="Times New Roman" w:cs="Times New Roman"/>
          <w:color w:val="000000" w:themeColor="text1"/>
          <w:sz w:val="24"/>
          <w:szCs w:val="24"/>
        </w:rPr>
        <w:t>CP ,en</w:t>
      </w:r>
      <w:proofErr w:type="gramEnd"/>
      <w:r w:rsidRPr="000364B6">
        <w:rPr>
          <w:rFonts w:ascii="Times New Roman" w:hAnsi="Times New Roman" w:cs="Times New Roman"/>
          <w:color w:val="000000" w:themeColor="text1"/>
          <w:sz w:val="24"/>
          <w:szCs w:val="24"/>
        </w:rPr>
        <w:t xml:space="preserve"> la pena de prisión, multa e inhabilitación especial. Y así, de acuerdo con el nuevo art. 325.2 CP”</w:t>
      </w:r>
      <w:r w:rsidRPr="000364B6">
        <w:rPr>
          <w:rFonts w:ascii="Times New Roman" w:hAnsi="Times New Roman" w:cs="Times New Roman"/>
          <w:color w:val="000000" w:themeColor="text1"/>
          <w:sz w:val="24"/>
          <w:szCs w:val="24"/>
          <w:vertAlign w:val="superscript"/>
        </w:rPr>
        <w:footnoteReference w:id="78"/>
      </w:r>
      <w:r w:rsidRPr="000364B6">
        <w:rPr>
          <w:rFonts w:ascii="Times New Roman" w:hAnsi="Times New Roman" w:cs="Times New Roman"/>
          <w:color w:val="000000" w:themeColor="text1"/>
          <w:sz w:val="24"/>
          <w:szCs w:val="24"/>
        </w:rPr>
        <w:t>.</w:t>
      </w:r>
    </w:p>
    <w:p w:rsidR="00327E85" w:rsidRPr="000364B6" w:rsidRDefault="00327E85" w:rsidP="000364B6">
      <w:pPr>
        <w:numPr>
          <w:ilvl w:val="0"/>
          <w:numId w:val="17"/>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Pena del subtipo agravado o </w:t>
      </w:r>
      <w:proofErr w:type="spellStart"/>
      <w:r w:rsidRPr="000364B6">
        <w:rPr>
          <w:rFonts w:ascii="Times New Roman" w:hAnsi="Times New Roman" w:cs="Times New Roman"/>
          <w:color w:val="000000" w:themeColor="text1"/>
          <w:sz w:val="24"/>
          <w:szCs w:val="24"/>
        </w:rPr>
        <w:t>hiperagravado</w:t>
      </w:r>
      <w:proofErr w:type="spellEnd"/>
      <w:r w:rsidRPr="000364B6">
        <w:rPr>
          <w:rFonts w:ascii="Times New Roman" w:hAnsi="Times New Roman" w:cs="Times New Roman"/>
          <w:color w:val="000000" w:themeColor="text1"/>
          <w:sz w:val="24"/>
          <w:szCs w:val="24"/>
        </w:rPr>
        <w:t xml:space="preserve">, artículo 325.2 </w:t>
      </w:r>
      <w:r w:rsidRPr="000364B6">
        <w:rPr>
          <w:rFonts w:ascii="Times New Roman" w:hAnsi="Times New Roman" w:cs="Times New Roman"/>
          <w:i/>
          <w:color w:val="000000" w:themeColor="text1"/>
          <w:sz w:val="24"/>
          <w:szCs w:val="24"/>
        </w:rPr>
        <w:t xml:space="preserve">in fine </w:t>
      </w:r>
      <w:r w:rsidRPr="000364B6">
        <w:rPr>
          <w:rFonts w:ascii="Times New Roman" w:hAnsi="Times New Roman" w:cs="Times New Roman"/>
          <w:color w:val="000000" w:themeColor="text1"/>
          <w:sz w:val="24"/>
          <w:szCs w:val="24"/>
        </w:rPr>
        <w:t>CP:</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i/>
          <w:color w:val="000000" w:themeColor="text1"/>
          <w:sz w:val="24"/>
          <w:szCs w:val="24"/>
        </w:rPr>
        <w:t>“(…) se impondrá la pena de prisión en su mitad superior, pudiéndose llegar hasta la superior en grado</w:t>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Si continuamos observando la reforma, en el último párrafo del artículo 325 CP, se da un subtipo agravado si la conducta afecta a la salud de las personas, y como novedad añade “pudiéndose llegar hasta la superior en grado”, es decir da la opción de que pueda observarse en este subtipo una </w:t>
      </w:r>
      <w:proofErr w:type="spellStart"/>
      <w:r w:rsidRPr="000364B6">
        <w:rPr>
          <w:rFonts w:ascii="Times New Roman" w:hAnsi="Times New Roman" w:cs="Times New Roman"/>
          <w:color w:val="000000" w:themeColor="text1"/>
          <w:sz w:val="24"/>
          <w:szCs w:val="24"/>
        </w:rPr>
        <w:t>hiperagravación</w:t>
      </w:r>
      <w:proofErr w:type="spellEnd"/>
      <w:r w:rsidRPr="000364B6">
        <w:rPr>
          <w:rFonts w:ascii="Times New Roman" w:hAnsi="Times New Roman" w:cs="Times New Roman"/>
          <w:color w:val="000000" w:themeColor="text1"/>
          <w:sz w:val="24"/>
          <w:szCs w:val="24"/>
        </w:rPr>
        <w:t>, y deja en manos del juez esta opción tomando como referencia el daño causado o el tipo de materiales que ha usado el sujeto activo para cometer este delito.</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lastRenderedPageBreak/>
        <w:t xml:space="preserve">3.9. Tipo </w:t>
      </w:r>
      <w:proofErr w:type="spellStart"/>
      <w:r w:rsidRPr="000364B6">
        <w:rPr>
          <w:rFonts w:ascii="Times New Roman" w:hAnsi="Times New Roman" w:cs="Times New Roman"/>
          <w:b/>
          <w:color w:val="000000" w:themeColor="text1"/>
          <w:sz w:val="24"/>
          <w:szCs w:val="24"/>
        </w:rPr>
        <w:t>hiperagravado</w:t>
      </w:r>
      <w:proofErr w:type="spellEnd"/>
      <w:r w:rsidRPr="000364B6">
        <w:rPr>
          <w:rFonts w:ascii="Times New Roman" w:hAnsi="Times New Roman" w:cs="Times New Roman"/>
          <w:b/>
          <w:color w:val="000000" w:themeColor="text1"/>
          <w:sz w:val="24"/>
          <w:szCs w:val="24"/>
        </w:rPr>
        <w:t>: “riesgo de grave perjuicio para la salud de las personas”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En el segundo inciso del artículo 325.2 añade que si “</w:t>
      </w:r>
      <w:r w:rsidRPr="000364B6">
        <w:rPr>
          <w:rFonts w:ascii="Times New Roman" w:hAnsi="Times New Roman" w:cs="Times New Roman"/>
          <w:i/>
          <w:color w:val="000000" w:themeColor="text1"/>
          <w:sz w:val="24"/>
          <w:szCs w:val="24"/>
        </w:rPr>
        <w:t xml:space="preserve">se hubiera creado un riesgo de grave perjuicio para la salud de las personas, se impondrá la pena de prisión en su mitad superior, pudiéndose llegar hasta la superior en grado”, </w:t>
      </w:r>
      <w:r w:rsidRPr="000364B6">
        <w:rPr>
          <w:rFonts w:ascii="Times New Roman" w:hAnsi="Times New Roman" w:cs="Times New Roman"/>
          <w:color w:val="000000" w:themeColor="text1"/>
          <w:sz w:val="24"/>
          <w:szCs w:val="24"/>
        </w:rPr>
        <w:t xml:space="preserve">por lo tanto se da una </w:t>
      </w:r>
      <w:proofErr w:type="spellStart"/>
      <w:r w:rsidRPr="000364B6">
        <w:rPr>
          <w:rFonts w:ascii="Times New Roman" w:hAnsi="Times New Roman" w:cs="Times New Roman"/>
          <w:color w:val="000000" w:themeColor="text1"/>
          <w:sz w:val="24"/>
          <w:szCs w:val="24"/>
        </w:rPr>
        <w:t>hiperagravación</w:t>
      </w:r>
      <w:proofErr w:type="spellEnd"/>
      <w:r w:rsidRPr="000364B6">
        <w:rPr>
          <w:rFonts w:ascii="Times New Roman" w:hAnsi="Times New Roman" w:cs="Times New Roman"/>
          <w:color w:val="000000" w:themeColor="text1"/>
          <w:sz w:val="24"/>
          <w:szCs w:val="24"/>
        </w:rPr>
        <w:t xml:space="preserve"> en caso de que las actividades contaminantes afecten a las personas.</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color w:val="000000" w:themeColor="text1"/>
          <w:sz w:val="24"/>
          <w:szCs w:val="24"/>
        </w:rPr>
        <w:t>Podemos deducir que este subtipo agravado mantiene la misma estructura de protección penal frente a agresiones que no solo comporten una puesta en peligro de los sistemas naturales sino, también, un riesgo para la salud de las personas. Lo que ha introducido el legislador con la LO 1/2015 es un factor de agravación pues la previsión de que en los casos en los que se dé el grave perjuicio para la salud de las personas, puede llegar hasta la pena superior en grado. Esto puede condicionar por lo tanto un castigo más grave del dentro del mismo ilícito. Los casos en los que más se ha utilizado este precepto son fundamentalmente en casos de contaminación acústica en zonas habitadas. Interesante resulta la STS 152/2012, de 2 de marzo, que dice así: “</w:t>
      </w:r>
      <w:r w:rsidRPr="000364B6">
        <w:rPr>
          <w:rFonts w:ascii="Times New Roman" w:hAnsi="Times New Roman" w:cs="Times New Roman"/>
          <w:i/>
          <w:color w:val="000000" w:themeColor="text1"/>
          <w:sz w:val="24"/>
          <w:szCs w:val="24"/>
        </w:rPr>
        <w:t>cuando se trata de contaminaciones acústicas, tanto el Tribunal de Derechos Humanos como la jurisprudencia del Tribunal Constitucional ponen de manifiesto as graves consecuencias que la exposición prolongada a un nivel elevado de ruidos tiene sobre la salud de las personas, integridad física y moral […], resaltando que constituyen supuestos de especial gravedad cuando se trata de exposición continuada a unos niveles intensos de ruido”.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Además, también podemos citar el caso de la STS 373/2009, de 8 de abril, en la que se apreció esta cualificación por unos vertidos que habían llegado a agua destinada a consumo humano y contenían arsénico y estramonio, con lo que hacía gravemente nocivo su consumo para la salud de las personas</w:t>
      </w:r>
      <w:r w:rsidRPr="000364B6">
        <w:rPr>
          <w:rFonts w:ascii="Times New Roman" w:hAnsi="Times New Roman" w:cs="Times New Roman"/>
          <w:color w:val="000000" w:themeColor="text1"/>
          <w:sz w:val="24"/>
          <w:szCs w:val="24"/>
          <w:vertAlign w:val="superscript"/>
        </w:rPr>
        <w:footnoteReference w:id="79"/>
      </w:r>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327E85"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lastRenderedPageBreak/>
        <w:t>4. CONCLUSIONES.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Voy a establecer una serie de conclusiones personales en consonancia con los objetivos de este Trabajo:</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Establecer el concepto y la evolución de los delitos medioambientales en España.</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(1) El concepto de medio ambiente es de difícil definición y en muchas ocasiones no fácilmente obtenible ya que son muchas las doctrinas que dan una definición diferente a este concepto. Y aquí se da una discusión entre las teorías jurídicas y científicas.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(2) La preocupación por el medio ambiente no se da hasta la actualidad, consecuencia de la época industrial y debido al interés de la sociedad cada vez más informada y volcada con estos problemas.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(3) La creciente sensibilización social respecto del medio ambiente ha dotado a éste de una importancia y relevancia que se ha visto reflejada en el Derecho a través de distintos ámbitos, internacional, comunitario europeo, estatal y autonómico.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(4) Es innegable que el desmedido y desmesurado aprovechamiento de los recursos naturales ha generado grandes desequilibrios ecológicos, el efecto invernadero, la degradación de los recursos hídricos y la deforestación, entre otros. Son daños a la naturaleza con efectos nocivos para la humanidad como por ejemplo la sequía que está experimentando el territorio, encareciendo al mismo tiempo la energía eléctrica al tener que hacer mayor uso del petróleo, convirtiéndose en un ciclo sumamente peligroso.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(5) En España es el artículo 45 de la Constitución de 1978 el que garantiza el derecho sobre el medio ambiente en España, y lo establece a través de la función preventiva, restauradora y promocional.</w:t>
      </w:r>
    </w:p>
    <w:p w:rsidR="00327E85"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(6) La Constitución española recoge la preocupación por el medio ambiente y proclama el derecho de todos a disfrutar de un medio ambiente adecuado para el desarrollo de la persona, y además añade que los poderes públicos velarán por la utilización racional de todos los recursos naturales, con el fin de proteger y mejorar la calidad de vida y defender y restaurar el medio ambiente.</w:t>
      </w:r>
    </w:p>
    <w:p w:rsidR="008E5290" w:rsidRPr="000364B6" w:rsidRDefault="008E5290"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Hacer referencia a la influencia de la Unión Europea en este tipo de delitos.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(7) Debido a la influencia de la Unión Europea en política medio ambiental, se han reformado las normativas nacionales respectivas, a través de Directivas y Reglamentos.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(8) La Unión Europea es la organización encargada de la protección del medio ambiente ante la falta de un organismo internacional especializado.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(9) Europa se enfrenta continuamente a crecientes desafíos ambientales, en los que serán necesarios unos cambios fundamentales en los sistemas de producción y consumo principalmente ya que estos dos son los principales problemas ambientales en la actualidad. Por lo tanto el bienestar de la población europea dependerá de unas medidas más eficaces en materia de política, conocimiento, inversión o innovación.</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Estructurar sistemáticamente la tutela penal de los delitos contra los recursos naturales y medioambientales dentro del Código penal español.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(10) Los delitos medioambientales en España se encuentran dentro del Título XVI, De la Protección Penal del Medio Ambiente y se dividen en dos grandes grupos, por un lado los delitos contra los recursos naturales y por otro lado los delitos contra la flora, fauna y animales domésticos. Además se establece una serie de disposiciones generales para estos tipos delictivos. </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Comentar la reforma llevada a cabo por la LO 1/2015, de 30 de marzo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(11) La reforma del Código Penal llevada a cabo por la  LO 1/2015, de 30 de marzo, acompañada de la LO 2/2015, suponen la reforma más trascendental y amplia de las sufridas hasta la fecha. En concreto se han modificado 252 artículos y suprimidos otros 32 Esta además está provocando muchos debates tanto de juristas como de la sociedad en general debidos principalmente a su repercusión.</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(12) Una de las reformas llevada a cabo por la LO 1/2015 ha sido sobre la protección del medio ambiente, esta incide con cambios importantes en la regulación de los delitos medioambientales, debido y como establece en la exposición de motivos, a la necesidad de adaptar el texto penal a la Directiva 2009/123/CE y se introduce sanciones para las </w:t>
      </w:r>
      <w:r w:rsidRPr="000364B6">
        <w:rPr>
          <w:rFonts w:ascii="Times New Roman" w:hAnsi="Times New Roman" w:cs="Times New Roman"/>
          <w:color w:val="000000" w:themeColor="text1"/>
          <w:sz w:val="24"/>
          <w:szCs w:val="24"/>
        </w:rPr>
        <w:lastRenderedPageBreak/>
        <w:t>infracciones e incorpora la Directiva 2008/99/CE de 19 de noviembre de 2008, esta última muy importante porque regula la protección del medio ambiente mediante el Derecho penal.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(13) Con la reforma se mejora sistemáticamente los delitos medioambientales y se dividen en tres bloques, por un lado el delito medio ambiental, por otro el tratamiento de residuos y por último la actividad industrial peligrosa. Además de los subtipos agravados comunes y la comisión de estos delitos cuando se trate de personas jurídicas.</w:t>
      </w:r>
    </w:p>
    <w:p w:rsidR="00327E85" w:rsidRPr="000364B6" w:rsidRDefault="00327E85" w:rsidP="000364B6">
      <w:pPr>
        <w:spacing w:line="360" w:lineRule="auto"/>
        <w:jc w:val="both"/>
        <w:rPr>
          <w:rFonts w:ascii="Times New Roman" w:hAnsi="Times New Roman" w:cs="Times New Roman"/>
          <w:color w:val="000000" w:themeColor="text1"/>
          <w:sz w:val="24"/>
          <w:szCs w:val="24"/>
        </w:rPr>
      </w:pPr>
    </w:p>
    <w:p w:rsidR="00327E85" w:rsidRPr="000364B6" w:rsidRDefault="00327E85" w:rsidP="000364B6">
      <w:pPr>
        <w:numPr>
          <w:ilvl w:val="0"/>
          <w:numId w:val="15"/>
        </w:num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Describir la estructura del artículo 325 del Código Penal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(14) El artículo 325, debido a la reforma, se divide en dos apartados. El primero de ellos será el tipo básico, que establece la conducta contaminante contraviniendo las leyes medioambientales, en este se añade lo siguiente: “causen o puedan causar daños sustanciales a la calidad del aire, del suelo o a animales o plantas”. El segundo apartado se puede dividir a su vez en otros dos apartados, el primero que será el tipo agravado, cuando las conductas pudieran perjudicar gravemente el equilibrio de los sistemas naturales, y el segundo apartado, el 325.2 in fine, el cual establece el tipo cualificado de la conducta si se hubiera creado un riesgo de grave perjuicio para la salud de las personas.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(15) En cuanto a la conducta típica del delito ecológico del artículo 325 será por un lado “provocar” y por otro lado “realizar” y viene configurada por la realización una serie de comportamientos: emisiones, vertidos, radiaciones, extracciones, excavaciones y aterramientos, ruidos y vibraciones, inyecciones o depósitos o captaciones de aguas.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(16) El delito ecológico es un delito de resultado material (delito de lesión) debido a que los comportamientos que provocan la conducta delictiva deben realizarse en los elementos que conforman el ecosistema, los cuales son la atmósfera, el suelo, el subsuelo, aguas terrestres, subterráneas o marítimas, incluido el alta mar, este último con incidencia incluso en los espacios transfronterizos.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(17) El delito ecológico deberá además establecer una relación de causalidad entre el supuesto de que se trate y el resultado.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(18) El artículo 325 CP exige una conducta dolosa, en el que se debe incluir todos los componentes del tipo objetivo, es decir el conocimiento grave del riesgo causado por la conducta activa u omisiva.</w:t>
      </w:r>
    </w:p>
    <w:p w:rsidR="00327E85"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(19) El delito se consuma desde el momento de la producción del riesgo, cabe por lo tanto el dolo eventual y la tentativa.</w:t>
      </w:r>
    </w:p>
    <w:p w:rsidR="0046254B" w:rsidRPr="000364B6" w:rsidRDefault="0046254B" w:rsidP="000364B6">
      <w:pPr>
        <w:spacing w:line="360" w:lineRule="auto"/>
        <w:jc w:val="both"/>
        <w:rPr>
          <w:rFonts w:ascii="Times New Roman" w:hAnsi="Times New Roman" w:cs="Times New Roman"/>
          <w:color w:val="000000" w:themeColor="text1"/>
          <w:sz w:val="24"/>
          <w:szCs w:val="24"/>
        </w:rPr>
      </w:pPr>
      <w:r w:rsidRPr="0046254B">
        <w:rPr>
          <w:rFonts w:ascii="Times New Roman" w:hAnsi="Times New Roman" w:cs="Times New Roman"/>
          <w:color w:val="000000" w:themeColor="text1"/>
          <w:sz w:val="24"/>
          <w:szCs w:val="24"/>
        </w:rPr>
        <w:t>(20) Para una mayor comprensión de este artículo hay que estar a lo dispuesto en leyes extrapenales.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(21) El artículo 325 CP se articula como una norma penal en blanco, debido a la referencia a “leyes u otras disposiciones de carácter general protectoras del medio ambiente”.</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(22) El articulado como norma penal en blanco provoca una serie de consecuencias jurídicas debido a que genera en la práctica la posibilidad de desconocimiento de la normativa extra penal.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(23) Debido a la problemática que engloba el artículo 325 como norma penal en blanco, pueden encontrarse supuestos de error de tipo los cuales excluyen el dolo.</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(24) Otra problemática acarrea el bien jurídico protegido, que en este caso será el Medio Ambiente, pero lo que ocurre es que versan una serie de doctrinas sobre lo que ha de entenderse como “medio ambiente”, así pues por un lado se encuentra la concepción antropocéntrica (protege el medio ambiente en relación con el hombre), por otro lado está la concepción </w:t>
      </w:r>
      <w:proofErr w:type="spellStart"/>
      <w:r w:rsidRPr="000364B6">
        <w:rPr>
          <w:rFonts w:ascii="Times New Roman" w:hAnsi="Times New Roman" w:cs="Times New Roman"/>
          <w:color w:val="000000" w:themeColor="text1"/>
          <w:sz w:val="24"/>
          <w:szCs w:val="24"/>
        </w:rPr>
        <w:t>ecocéntrica</w:t>
      </w:r>
      <w:proofErr w:type="spellEnd"/>
      <w:r w:rsidRPr="000364B6">
        <w:rPr>
          <w:rFonts w:ascii="Times New Roman" w:hAnsi="Times New Roman" w:cs="Times New Roman"/>
          <w:color w:val="000000" w:themeColor="text1"/>
          <w:sz w:val="24"/>
          <w:szCs w:val="24"/>
        </w:rPr>
        <w:t xml:space="preserve"> (medio ambiente protegido por él mismo) y por último la que considera que el medio ambiente es un bien jurídico autónomo, intermedia de estas dos anteriores.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(25) La importancia del bien jurídico a tutelar determina que el principio de intervención mínima no deba actuar en el sentido de convertir al Derecho penal, en este ámbito, en un recurso accesorio y subsidiario respecto del administrativo. De hecho, la afirmación recogida en el tercer párrafo del art. 45 CE se orienta hacia la imposición de sanciones legales o, en su caso, administrativas, para los que violen el medio ambiente</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(26) Los atentados ecológicos se producen, por regla general, por actos u omisiones repetidos, que la doctrina incluye en los denominados delitos de acumulación.</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(27) Este delito ecológico recogido en el artículo 325 es un delito de peligro “hipotético” o “potencial”, la situación de peligro no es elemento del tipo, pero sí la idoneidad de la conducta ejecutada para producir tal peligro. Por lo tanto, no será suficiente el acto de contaminación, pues se exige un plus de lesividad consistente en la puesta en peligro de los sistemas naturales.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(28) La contaminación acústica es uno de los delitos más incurridos en España, al que se le considera como factor patógeno de forma indubitada, y al que en la mayoría de las veces se le impone la cualificación del artículo 325.2 in fine de grave perjuicio para la salud de las personas.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(29) Con la reforma de 2015 se reducen las penas del primer apartado del artículo 325. Además esta reforma articula como subtipo agravado el resultado de peligro con la misma pena anterior. Pero en cambio, si la reacción punitiva afecta a la salud de las personas se impondrá la pena en su mitad superior, pudiéndose llegar hasta la pena superior en grado (</w:t>
      </w:r>
      <w:proofErr w:type="spellStart"/>
      <w:r w:rsidRPr="000364B6">
        <w:rPr>
          <w:rFonts w:ascii="Times New Roman" w:hAnsi="Times New Roman" w:cs="Times New Roman"/>
          <w:color w:val="000000" w:themeColor="text1"/>
          <w:sz w:val="24"/>
          <w:szCs w:val="24"/>
        </w:rPr>
        <w:t>Hiperagravación</w:t>
      </w:r>
      <w:proofErr w:type="spellEnd"/>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(30) Finalmente, en el art. 325.2 in fine, el legislador ha introducido con la reforma de 2015 un factor de agravación, pudiéndose llegar hasta la pena superior en grado en las conductas en las que se dé un grave perjuicio para la salud de las personas.</w:t>
      </w:r>
    </w:p>
    <w:p w:rsidR="00327E85" w:rsidRPr="000364B6" w:rsidRDefault="00327E85" w:rsidP="000364B6">
      <w:pPr>
        <w:spacing w:line="360" w:lineRule="auto"/>
        <w:jc w:val="both"/>
        <w:rPr>
          <w:rFonts w:ascii="Times New Roman" w:hAnsi="Times New Roman" w:cs="Times New Roman"/>
          <w:b/>
          <w:color w:val="000000" w:themeColor="text1"/>
          <w:sz w:val="24"/>
          <w:szCs w:val="24"/>
        </w:rPr>
      </w:pPr>
    </w:p>
    <w:p w:rsidR="0046254B" w:rsidRDefault="0046254B"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8E5290" w:rsidRDefault="008E5290" w:rsidP="000364B6">
      <w:pPr>
        <w:spacing w:line="360" w:lineRule="auto"/>
        <w:jc w:val="both"/>
        <w:rPr>
          <w:rFonts w:ascii="Times New Roman" w:hAnsi="Times New Roman" w:cs="Times New Roman"/>
          <w:b/>
          <w:color w:val="000000" w:themeColor="text1"/>
          <w:sz w:val="24"/>
          <w:szCs w:val="24"/>
        </w:rPr>
      </w:pPr>
    </w:p>
    <w:p w:rsidR="0046254B" w:rsidRPr="000364B6" w:rsidRDefault="00327E85" w:rsidP="000364B6">
      <w:pPr>
        <w:spacing w:line="360" w:lineRule="auto"/>
        <w:jc w:val="both"/>
        <w:rPr>
          <w:rFonts w:ascii="Times New Roman" w:hAnsi="Times New Roman" w:cs="Times New Roman"/>
          <w:b/>
          <w:color w:val="000000" w:themeColor="text1"/>
          <w:sz w:val="24"/>
          <w:szCs w:val="24"/>
        </w:rPr>
      </w:pPr>
      <w:r w:rsidRPr="000364B6">
        <w:rPr>
          <w:rFonts w:ascii="Times New Roman" w:hAnsi="Times New Roman" w:cs="Times New Roman"/>
          <w:b/>
          <w:color w:val="000000" w:themeColor="text1"/>
          <w:sz w:val="24"/>
          <w:szCs w:val="24"/>
        </w:rPr>
        <w:lastRenderedPageBreak/>
        <w:t>6. BIBLIOGRAFÍA</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color w:val="000000" w:themeColor="text1"/>
          <w:sz w:val="24"/>
          <w:szCs w:val="24"/>
        </w:rPr>
        <w:t xml:space="preserve">- ALZAGA, O (1978), </w:t>
      </w:r>
      <w:r w:rsidRPr="000364B6">
        <w:rPr>
          <w:rFonts w:ascii="Times New Roman" w:hAnsi="Times New Roman" w:cs="Times New Roman"/>
          <w:i/>
          <w:color w:val="000000" w:themeColor="text1"/>
          <w:sz w:val="24"/>
          <w:szCs w:val="24"/>
        </w:rPr>
        <w:t xml:space="preserve">La Constitución española de 1978 (Comentario sistemático), </w:t>
      </w:r>
      <w:r w:rsidRPr="000364B6">
        <w:rPr>
          <w:rFonts w:ascii="Times New Roman" w:hAnsi="Times New Roman" w:cs="Times New Roman"/>
          <w:color w:val="000000" w:themeColor="text1"/>
          <w:sz w:val="24"/>
          <w:szCs w:val="24"/>
        </w:rPr>
        <w:t>Madrid</w:t>
      </w:r>
      <w:r w:rsidRPr="000364B6">
        <w:rPr>
          <w:rFonts w:ascii="Times New Roman" w:hAnsi="Times New Roman" w:cs="Times New Roman"/>
          <w:i/>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BERGER, ANDRÉ (2002), “Entrevista a André Berger” en </w:t>
      </w:r>
      <w:r w:rsidRPr="000364B6">
        <w:rPr>
          <w:rFonts w:ascii="Times New Roman" w:hAnsi="Times New Roman" w:cs="Times New Roman"/>
          <w:i/>
          <w:color w:val="000000" w:themeColor="text1"/>
          <w:sz w:val="24"/>
          <w:szCs w:val="24"/>
        </w:rPr>
        <w:t>El País</w:t>
      </w:r>
      <w:r w:rsidRPr="000364B6">
        <w:rPr>
          <w:rFonts w:ascii="Times New Roman" w:hAnsi="Times New Roman" w:cs="Times New Roman"/>
          <w:color w:val="000000" w:themeColor="text1"/>
          <w:sz w:val="24"/>
          <w:szCs w:val="24"/>
        </w:rPr>
        <w:t>,  p. 35.</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CERES MONTES, J.F (2015).  </w:t>
      </w:r>
      <w:r w:rsidRPr="000364B6">
        <w:rPr>
          <w:rFonts w:ascii="Times New Roman" w:hAnsi="Times New Roman" w:cs="Times New Roman"/>
          <w:i/>
          <w:color w:val="000000" w:themeColor="text1"/>
          <w:sz w:val="24"/>
          <w:szCs w:val="24"/>
        </w:rPr>
        <w:t>La regulación en el nuevo Código Penal de los delitos relativos a la protección de los recursos naturales y del medio ambiente</w:t>
      </w:r>
      <w:r w:rsidRPr="000364B6">
        <w:rPr>
          <w:rFonts w:ascii="Times New Roman" w:hAnsi="Times New Roman" w:cs="Times New Roman"/>
          <w:color w:val="000000" w:themeColor="text1"/>
          <w:sz w:val="24"/>
          <w:szCs w:val="24"/>
        </w:rPr>
        <w:t>. Madrid.</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DE MIGUEL, CARLOS (2011), “Los delitos medioambientales tras la última reforma del Código Penal: una oportunidad perdida”, en  </w:t>
      </w:r>
      <w:r w:rsidRPr="000364B6">
        <w:rPr>
          <w:rFonts w:ascii="Times New Roman" w:hAnsi="Times New Roman" w:cs="Times New Roman"/>
          <w:i/>
          <w:color w:val="000000" w:themeColor="text1"/>
          <w:sz w:val="24"/>
          <w:szCs w:val="24"/>
        </w:rPr>
        <w:t>Homenaje al profesor D. Juan Luis Iglesias Prada / Extraordinario</w:t>
      </w:r>
      <w:r w:rsidRPr="000364B6">
        <w:rPr>
          <w:rFonts w:ascii="Times New Roman" w:hAnsi="Times New Roman" w:cs="Times New Roman"/>
          <w:color w:val="000000" w:themeColor="text1"/>
          <w:sz w:val="24"/>
          <w:szCs w:val="24"/>
        </w:rPr>
        <w:t>, p. 88</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color w:val="000000" w:themeColor="text1"/>
          <w:sz w:val="24"/>
          <w:szCs w:val="24"/>
        </w:rPr>
        <w:t xml:space="preserve">- FERRAY, MIGUEL (2016), “Plan de acción contra el ruido” en </w:t>
      </w:r>
      <w:r w:rsidRPr="000364B6">
        <w:rPr>
          <w:rFonts w:ascii="Times New Roman" w:hAnsi="Times New Roman" w:cs="Times New Roman"/>
          <w:i/>
          <w:color w:val="000000" w:themeColor="text1"/>
          <w:sz w:val="24"/>
          <w:szCs w:val="24"/>
        </w:rPr>
        <w:t>La opinión de Málaga. http://www.laopiniondemalaga.es/malaga/2016/05/22/medio-ambiente-deja-punto-plan/851189.html</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FRANCISCO MUÑOZ CONDE (2015), “La protección penal del medio ambiente: Delitos contra los recursos naturales”, en </w:t>
      </w:r>
      <w:r w:rsidRPr="000364B6">
        <w:rPr>
          <w:rFonts w:ascii="Times New Roman" w:hAnsi="Times New Roman" w:cs="Times New Roman"/>
          <w:i/>
          <w:color w:val="000000" w:themeColor="text1"/>
          <w:sz w:val="24"/>
          <w:szCs w:val="24"/>
        </w:rPr>
        <w:t xml:space="preserve">Derecho Penal. Parte Especial, 20ª edición, </w:t>
      </w:r>
      <w:r w:rsidRPr="000364B6">
        <w:rPr>
          <w:rFonts w:ascii="Times New Roman" w:hAnsi="Times New Roman" w:cs="Times New Roman"/>
          <w:color w:val="000000" w:themeColor="text1"/>
          <w:sz w:val="24"/>
          <w:szCs w:val="24"/>
        </w:rPr>
        <w:t>Valencia.</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GARCÍA DE ENTERRÍA, E. (1980), “La Constitución como norma jurídica” en A. </w:t>
      </w:r>
      <w:proofErr w:type="spellStart"/>
      <w:r w:rsidRPr="000364B6">
        <w:rPr>
          <w:rFonts w:ascii="Times New Roman" w:hAnsi="Times New Roman" w:cs="Times New Roman"/>
          <w:color w:val="000000" w:themeColor="text1"/>
          <w:sz w:val="24"/>
          <w:szCs w:val="24"/>
        </w:rPr>
        <w:t>Pedrieri</w:t>
      </w:r>
      <w:proofErr w:type="spellEnd"/>
      <w:r w:rsidRPr="000364B6">
        <w:rPr>
          <w:rFonts w:ascii="Times New Roman" w:hAnsi="Times New Roman" w:cs="Times New Roman"/>
          <w:color w:val="000000" w:themeColor="text1"/>
          <w:sz w:val="24"/>
          <w:szCs w:val="24"/>
        </w:rPr>
        <w:t xml:space="preserve"> (</w:t>
      </w:r>
      <w:proofErr w:type="spellStart"/>
      <w:r w:rsidRPr="000364B6">
        <w:rPr>
          <w:rFonts w:ascii="Times New Roman" w:hAnsi="Times New Roman" w:cs="Times New Roman"/>
          <w:color w:val="000000" w:themeColor="text1"/>
          <w:sz w:val="24"/>
          <w:szCs w:val="24"/>
        </w:rPr>
        <w:t>dir.</w:t>
      </w:r>
      <w:proofErr w:type="spellEnd"/>
      <w:r w:rsidRPr="000364B6">
        <w:rPr>
          <w:rFonts w:ascii="Times New Roman" w:hAnsi="Times New Roman" w:cs="Times New Roman"/>
          <w:color w:val="000000" w:themeColor="text1"/>
          <w:sz w:val="24"/>
          <w:szCs w:val="24"/>
        </w:rPr>
        <w:t xml:space="preserve">) y E. García de Enterría: </w:t>
      </w:r>
      <w:r w:rsidRPr="000364B6">
        <w:rPr>
          <w:rFonts w:ascii="Times New Roman" w:hAnsi="Times New Roman" w:cs="Times New Roman"/>
          <w:i/>
          <w:color w:val="000000" w:themeColor="text1"/>
          <w:sz w:val="24"/>
          <w:szCs w:val="24"/>
        </w:rPr>
        <w:t>La Constitución española de 1978</w:t>
      </w:r>
      <w:r w:rsidRPr="000364B6">
        <w:rPr>
          <w:rFonts w:ascii="Times New Roman" w:hAnsi="Times New Roman" w:cs="Times New Roman"/>
          <w:color w:val="000000" w:themeColor="text1"/>
          <w:sz w:val="24"/>
          <w:szCs w:val="24"/>
        </w:rPr>
        <w:t>, Madrid, p. 118</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GÓRRIZ ROYO, ELENA M. (2015), “Delitos contra los recursos naturales y el medio ambiente: valoración general de la reforma” en José L. González </w:t>
      </w:r>
      <w:proofErr w:type="spellStart"/>
      <w:r w:rsidRPr="000364B6">
        <w:rPr>
          <w:rFonts w:ascii="Times New Roman" w:hAnsi="Times New Roman" w:cs="Times New Roman"/>
          <w:color w:val="000000" w:themeColor="text1"/>
          <w:sz w:val="24"/>
          <w:szCs w:val="24"/>
        </w:rPr>
        <w:t>Cussac</w:t>
      </w:r>
      <w:proofErr w:type="spellEnd"/>
      <w:r w:rsidRPr="000364B6">
        <w:rPr>
          <w:rFonts w:ascii="Times New Roman" w:hAnsi="Times New Roman" w:cs="Times New Roman"/>
          <w:color w:val="000000" w:themeColor="text1"/>
          <w:sz w:val="24"/>
          <w:szCs w:val="24"/>
        </w:rPr>
        <w:t xml:space="preserve"> (</w:t>
      </w:r>
      <w:proofErr w:type="spellStart"/>
      <w:r w:rsidRPr="000364B6">
        <w:rPr>
          <w:rFonts w:ascii="Times New Roman" w:hAnsi="Times New Roman" w:cs="Times New Roman"/>
          <w:color w:val="000000" w:themeColor="text1"/>
          <w:sz w:val="24"/>
          <w:szCs w:val="24"/>
        </w:rPr>
        <w:t>dir.</w:t>
      </w:r>
      <w:proofErr w:type="spellEnd"/>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color w:val="000000" w:themeColor="text1"/>
          <w:sz w:val="24"/>
          <w:szCs w:val="24"/>
        </w:rPr>
        <w:t xml:space="preserve">Comentarios a la Reforma del Código Penal de 2015, </w:t>
      </w:r>
      <w:r w:rsidRPr="000364B6">
        <w:rPr>
          <w:rFonts w:ascii="Times New Roman" w:hAnsi="Times New Roman" w:cs="Times New Roman"/>
          <w:color w:val="000000" w:themeColor="text1"/>
          <w:sz w:val="24"/>
          <w:szCs w:val="24"/>
        </w:rPr>
        <w:t>2ª edición. Valencia.</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IGLESIAS SKULJ, AGUSTINA (2011), “La protección del medio ambiente en la Constitución española” en Patricia </w:t>
      </w:r>
      <w:proofErr w:type="spellStart"/>
      <w:r w:rsidRPr="000364B6">
        <w:rPr>
          <w:rFonts w:ascii="Times New Roman" w:hAnsi="Times New Roman" w:cs="Times New Roman"/>
          <w:color w:val="000000" w:themeColor="text1"/>
          <w:sz w:val="24"/>
          <w:szCs w:val="24"/>
        </w:rPr>
        <w:t>Faraldo</w:t>
      </w:r>
      <w:proofErr w:type="spellEnd"/>
      <w:r w:rsidRPr="000364B6">
        <w:rPr>
          <w:rFonts w:ascii="Times New Roman" w:hAnsi="Times New Roman" w:cs="Times New Roman"/>
          <w:color w:val="000000" w:themeColor="text1"/>
          <w:sz w:val="24"/>
          <w:szCs w:val="24"/>
        </w:rPr>
        <w:t xml:space="preserve"> </w:t>
      </w:r>
      <w:proofErr w:type="spellStart"/>
      <w:r w:rsidRPr="000364B6">
        <w:rPr>
          <w:rFonts w:ascii="Times New Roman" w:hAnsi="Times New Roman" w:cs="Times New Roman"/>
          <w:color w:val="000000" w:themeColor="text1"/>
          <w:sz w:val="24"/>
          <w:szCs w:val="24"/>
        </w:rPr>
        <w:t>Cabana</w:t>
      </w:r>
      <w:proofErr w:type="spellEnd"/>
      <w:r w:rsidRPr="000364B6">
        <w:rPr>
          <w:rFonts w:ascii="Times New Roman" w:hAnsi="Times New Roman" w:cs="Times New Roman"/>
          <w:color w:val="000000" w:themeColor="text1"/>
          <w:sz w:val="24"/>
          <w:szCs w:val="24"/>
        </w:rPr>
        <w:t xml:space="preserve"> (</w:t>
      </w:r>
      <w:proofErr w:type="spellStart"/>
      <w:r w:rsidRPr="000364B6">
        <w:rPr>
          <w:rFonts w:ascii="Times New Roman" w:hAnsi="Times New Roman" w:cs="Times New Roman"/>
          <w:color w:val="000000" w:themeColor="text1"/>
          <w:sz w:val="24"/>
          <w:szCs w:val="24"/>
        </w:rPr>
        <w:t>dir.</w:t>
      </w:r>
      <w:proofErr w:type="spellEnd"/>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color w:val="000000" w:themeColor="text1"/>
          <w:sz w:val="24"/>
          <w:szCs w:val="24"/>
        </w:rPr>
        <w:t>Ordenación del territorio, patrimonio histórico y medio ambiente en el Código penal y la legislación especial</w:t>
      </w:r>
      <w:r w:rsidRPr="000364B6">
        <w:rPr>
          <w:rFonts w:ascii="Times New Roman" w:hAnsi="Times New Roman" w:cs="Times New Roman"/>
          <w:color w:val="000000" w:themeColor="text1"/>
          <w:sz w:val="24"/>
          <w:szCs w:val="24"/>
        </w:rPr>
        <w:t>. Valencia. Pág.: 55.</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JERICÓ OJER, LETICIA (2016), “análisis de la relevancia penal tras la reforma de los delitos contra el medio ambiente” en </w:t>
      </w:r>
      <w:r w:rsidRPr="000364B6">
        <w:rPr>
          <w:rFonts w:ascii="Times New Roman" w:hAnsi="Times New Roman" w:cs="Times New Roman"/>
          <w:i/>
          <w:color w:val="000000" w:themeColor="text1"/>
          <w:sz w:val="24"/>
          <w:szCs w:val="24"/>
        </w:rPr>
        <w:t xml:space="preserve">Revista electrónica de Ciencia Penal y Criminología 2016, </w:t>
      </w:r>
      <w:r w:rsidRPr="000364B6">
        <w:rPr>
          <w:rFonts w:ascii="Times New Roman" w:hAnsi="Times New Roman" w:cs="Times New Roman"/>
          <w:color w:val="000000" w:themeColor="text1"/>
          <w:sz w:val="24"/>
          <w:szCs w:val="24"/>
        </w:rPr>
        <w:t>n. 18-12, p. 13</w:t>
      </w:r>
    </w:p>
    <w:p w:rsidR="00327E85" w:rsidRPr="000364B6" w:rsidRDefault="00327E85" w:rsidP="000364B6">
      <w:pPr>
        <w:spacing w:line="360" w:lineRule="auto"/>
        <w:jc w:val="both"/>
        <w:rPr>
          <w:rFonts w:ascii="Times New Roman" w:hAnsi="Times New Roman" w:cs="Times New Roman"/>
          <w:i/>
          <w:color w:val="000000" w:themeColor="text1"/>
          <w:sz w:val="24"/>
          <w:szCs w:val="24"/>
        </w:rPr>
      </w:pPr>
      <w:r w:rsidRPr="000364B6">
        <w:rPr>
          <w:rFonts w:ascii="Times New Roman" w:hAnsi="Times New Roman" w:cs="Times New Roman"/>
          <w:color w:val="000000" w:themeColor="text1"/>
          <w:sz w:val="24"/>
          <w:szCs w:val="24"/>
        </w:rPr>
        <w:t xml:space="preserve">- MANZANARES SAMANIEGO, JOSÉ LUIS (2016), “De los delitos contra los recursos naturales y el medio ambiente” en </w:t>
      </w:r>
      <w:r w:rsidRPr="000364B6">
        <w:rPr>
          <w:rFonts w:ascii="Times New Roman" w:hAnsi="Times New Roman" w:cs="Times New Roman"/>
          <w:i/>
          <w:color w:val="000000" w:themeColor="text1"/>
          <w:sz w:val="24"/>
          <w:szCs w:val="24"/>
        </w:rPr>
        <w:t xml:space="preserve">Comentarios al Código Penal (tras las Leyes Orgánicas 1/2015, de 30 de Marzo, y 2/2015, de 30 de marzo), </w:t>
      </w:r>
      <w:r w:rsidRPr="000364B6">
        <w:rPr>
          <w:rFonts w:ascii="Times New Roman" w:hAnsi="Times New Roman" w:cs="Times New Roman"/>
          <w:color w:val="000000" w:themeColor="text1"/>
          <w:sz w:val="24"/>
          <w:szCs w:val="24"/>
        </w:rPr>
        <w:t>Madrid. P. 1129.</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lastRenderedPageBreak/>
        <w:t>- MARQUÉS I BANQUÉ, M. (2015), “De los delitos contra los recursos naturales y el medio ambiente: artículo 326 bis”, en Gonzalo Quintero Olivares (</w:t>
      </w:r>
      <w:proofErr w:type="spellStart"/>
      <w:r w:rsidRPr="000364B6">
        <w:rPr>
          <w:rFonts w:ascii="Times New Roman" w:hAnsi="Times New Roman" w:cs="Times New Roman"/>
          <w:color w:val="000000" w:themeColor="text1"/>
          <w:sz w:val="24"/>
          <w:szCs w:val="24"/>
        </w:rPr>
        <w:t>dir.</w:t>
      </w:r>
      <w:proofErr w:type="spellEnd"/>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color w:val="000000" w:themeColor="text1"/>
          <w:sz w:val="24"/>
          <w:szCs w:val="24"/>
        </w:rPr>
        <w:t>Comentarios a la parte especial del Derecho Penal.</w:t>
      </w:r>
      <w:r w:rsidRPr="000364B6">
        <w:rPr>
          <w:rFonts w:ascii="Times New Roman" w:hAnsi="Times New Roman" w:cs="Times New Roman"/>
          <w:color w:val="000000" w:themeColor="text1"/>
          <w:sz w:val="24"/>
          <w:szCs w:val="24"/>
        </w:rPr>
        <w:t>, 10ª edición, Navarra.</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MATALLÍN EVANGELIO, ÁNGELA (2015), “Protección penal de la biodiversidad (arts. 332, 334 y 335 CP)” en José L. González </w:t>
      </w:r>
      <w:proofErr w:type="spellStart"/>
      <w:r w:rsidRPr="000364B6">
        <w:rPr>
          <w:rFonts w:ascii="Times New Roman" w:hAnsi="Times New Roman" w:cs="Times New Roman"/>
          <w:color w:val="000000" w:themeColor="text1"/>
          <w:sz w:val="24"/>
          <w:szCs w:val="24"/>
        </w:rPr>
        <w:t>Cussac</w:t>
      </w:r>
      <w:proofErr w:type="spellEnd"/>
      <w:r w:rsidRPr="000364B6">
        <w:rPr>
          <w:rFonts w:ascii="Times New Roman" w:hAnsi="Times New Roman" w:cs="Times New Roman"/>
          <w:color w:val="000000" w:themeColor="text1"/>
          <w:sz w:val="24"/>
          <w:szCs w:val="24"/>
        </w:rPr>
        <w:t xml:space="preserve"> (</w:t>
      </w:r>
      <w:proofErr w:type="spellStart"/>
      <w:r w:rsidRPr="000364B6">
        <w:rPr>
          <w:rFonts w:ascii="Times New Roman" w:hAnsi="Times New Roman" w:cs="Times New Roman"/>
          <w:color w:val="000000" w:themeColor="text1"/>
          <w:sz w:val="24"/>
          <w:szCs w:val="24"/>
        </w:rPr>
        <w:t>dir.</w:t>
      </w:r>
      <w:proofErr w:type="spellEnd"/>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color w:val="000000" w:themeColor="text1"/>
          <w:sz w:val="24"/>
          <w:szCs w:val="24"/>
        </w:rPr>
        <w:t>Comentarios a la Reforma del Código Penal de 2015</w:t>
      </w:r>
      <w:r w:rsidRPr="000364B6">
        <w:rPr>
          <w:rFonts w:ascii="Times New Roman" w:hAnsi="Times New Roman" w:cs="Times New Roman"/>
          <w:color w:val="000000" w:themeColor="text1"/>
          <w:sz w:val="24"/>
          <w:szCs w:val="24"/>
        </w:rPr>
        <w:t>, Valencia, p. 1054.</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MATELLANES RODRÍGUEZ, N. </w:t>
      </w:r>
      <w:r w:rsidRPr="000364B6">
        <w:rPr>
          <w:rFonts w:ascii="Times New Roman" w:hAnsi="Times New Roman" w:cs="Times New Roman"/>
          <w:i/>
          <w:color w:val="000000" w:themeColor="text1"/>
          <w:sz w:val="24"/>
          <w:szCs w:val="24"/>
        </w:rPr>
        <w:t xml:space="preserve">Derecho penal del medio ambiente, cit., </w:t>
      </w:r>
      <w:proofErr w:type="spellStart"/>
      <w:r w:rsidRPr="000364B6">
        <w:rPr>
          <w:rFonts w:ascii="Times New Roman" w:hAnsi="Times New Roman" w:cs="Times New Roman"/>
          <w:color w:val="000000" w:themeColor="text1"/>
          <w:sz w:val="24"/>
          <w:szCs w:val="24"/>
        </w:rPr>
        <w:t>Págs</w:t>
      </w:r>
      <w:proofErr w:type="spellEnd"/>
      <w:r w:rsidRPr="000364B6">
        <w:rPr>
          <w:rFonts w:ascii="Times New Roman" w:hAnsi="Times New Roman" w:cs="Times New Roman"/>
          <w:color w:val="000000" w:themeColor="text1"/>
          <w:sz w:val="24"/>
          <w:szCs w:val="24"/>
        </w:rPr>
        <w:t>: 41-42.</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MATEO, MARTIN (2011), “Tratado de medio ambiente”, vol. I, </w:t>
      </w:r>
      <w:proofErr w:type="spellStart"/>
      <w:r w:rsidRPr="000364B6">
        <w:rPr>
          <w:rFonts w:ascii="Times New Roman" w:hAnsi="Times New Roman" w:cs="Times New Roman"/>
          <w:color w:val="000000" w:themeColor="text1"/>
          <w:sz w:val="24"/>
          <w:szCs w:val="24"/>
        </w:rPr>
        <w:t>op</w:t>
      </w:r>
      <w:proofErr w:type="spellEnd"/>
      <w:r w:rsidRPr="000364B6">
        <w:rPr>
          <w:rFonts w:ascii="Times New Roman" w:hAnsi="Times New Roman" w:cs="Times New Roman"/>
          <w:color w:val="000000" w:themeColor="text1"/>
          <w:sz w:val="24"/>
          <w:szCs w:val="24"/>
        </w:rPr>
        <w:t>. Cit., p.86</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MUÑOZ CONDE, FRANCISCO (2015), “La protección penal del medio ambiente” en </w:t>
      </w:r>
      <w:r w:rsidRPr="000364B6">
        <w:rPr>
          <w:rFonts w:ascii="Times New Roman" w:hAnsi="Times New Roman" w:cs="Times New Roman"/>
          <w:i/>
          <w:color w:val="000000" w:themeColor="text1"/>
          <w:sz w:val="24"/>
          <w:szCs w:val="24"/>
        </w:rPr>
        <w:t>Derecho Penal parte especial</w:t>
      </w:r>
      <w:r w:rsidRPr="000364B6">
        <w:rPr>
          <w:rFonts w:ascii="Times New Roman" w:hAnsi="Times New Roman" w:cs="Times New Roman"/>
          <w:color w:val="000000" w:themeColor="text1"/>
          <w:sz w:val="24"/>
          <w:szCs w:val="24"/>
        </w:rPr>
        <w:t xml:space="preserve">, 20ª edición, Valencia. </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MUÑOZ CONDE, F.; LÓPEZ PEREGRÍN, C.; GARCÍA ÁLVAREZ, P. (2015), “Delitos contra los recursos naturales y el medio ambiente” en </w:t>
      </w:r>
      <w:r w:rsidRPr="000364B6">
        <w:rPr>
          <w:rFonts w:ascii="Times New Roman" w:hAnsi="Times New Roman" w:cs="Times New Roman"/>
          <w:i/>
          <w:color w:val="000000" w:themeColor="text1"/>
          <w:sz w:val="24"/>
          <w:szCs w:val="24"/>
        </w:rPr>
        <w:t>Manual de Derecho Penal medioambiental,</w:t>
      </w:r>
      <w:r w:rsidRPr="000364B6">
        <w:rPr>
          <w:rFonts w:ascii="Times New Roman" w:hAnsi="Times New Roman" w:cs="Times New Roman"/>
          <w:color w:val="000000" w:themeColor="text1"/>
          <w:sz w:val="24"/>
          <w:szCs w:val="24"/>
        </w:rPr>
        <w:t xml:space="preserve"> 2ª Edición, Valencia.</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LEFEBVE, FRANCIS (2016), “Delitos contra la ordenación del territorio y el medio ambiente” en Francis </w:t>
      </w:r>
      <w:proofErr w:type="spellStart"/>
      <w:r w:rsidRPr="000364B6">
        <w:rPr>
          <w:rFonts w:ascii="Times New Roman" w:hAnsi="Times New Roman" w:cs="Times New Roman"/>
          <w:color w:val="000000" w:themeColor="text1"/>
          <w:sz w:val="24"/>
          <w:szCs w:val="24"/>
        </w:rPr>
        <w:t>Lefebve</w:t>
      </w:r>
      <w:proofErr w:type="spellEnd"/>
      <w:r w:rsidRPr="000364B6">
        <w:rPr>
          <w:rFonts w:ascii="Times New Roman" w:hAnsi="Times New Roman" w:cs="Times New Roman"/>
          <w:color w:val="000000" w:themeColor="text1"/>
          <w:sz w:val="24"/>
          <w:szCs w:val="24"/>
        </w:rPr>
        <w:t xml:space="preserve"> (coord.): </w:t>
      </w:r>
      <w:r w:rsidRPr="000364B6">
        <w:rPr>
          <w:rFonts w:ascii="Times New Roman" w:hAnsi="Times New Roman" w:cs="Times New Roman"/>
          <w:i/>
          <w:color w:val="000000" w:themeColor="text1"/>
          <w:sz w:val="24"/>
          <w:szCs w:val="24"/>
        </w:rPr>
        <w:t xml:space="preserve">Memento Práctico Penal, </w:t>
      </w:r>
      <w:r w:rsidRPr="000364B6">
        <w:rPr>
          <w:rFonts w:ascii="Times New Roman" w:hAnsi="Times New Roman" w:cs="Times New Roman"/>
          <w:color w:val="000000" w:themeColor="text1"/>
          <w:sz w:val="24"/>
          <w:szCs w:val="24"/>
        </w:rPr>
        <w:t>Madrid. Pág.: 1451.</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OLMEDO CARDENETE, MIGUEL (2015), “</w:t>
      </w:r>
      <w:proofErr w:type="spellStart"/>
      <w:r w:rsidRPr="000364B6">
        <w:rPr>
          <w:rFonts w:ascii="Times New Roman" w:hAnsi="Times New Roman" w:cs="Times New Roman"/>
          <w:color w:val="000000" w:themeColor="text1"/>
          <w:sz w:val="24"/>
          <w:szCs w:val="24"/>
        </w:rPr>
        <w:t>Dedlitos</w:t>
      </w:r>
      <w:proofErr w:type="spellEnd"/>
      <w:r w:rsidRPr="000364B6">
        <w:rPr>
          <w:rFonts w:ascii="Times New Roman" w:hAnsi="Times New Roman" w:cs="Times New Roman"/>
          <w:color w:val="000000" w:themeColor="text1"/>
          <w:sz w:val="24"/>
          <w:szCs w:val="24"/>
        </w:rPr>
        <w:t xml:space="preserve"> sobre la ordenación del territorio, urbanismo, patrimonio histórico y medio ambiente: delitos contra los recursos naturales y el medio ambiente”, en Lorenzo Morillas Cueva (</w:t>
      </w:r>
      <w:proofErr w:type="spellStart"/>
      <w:r w:rsidRPr="000364B6">
        <w:rPr>
          <w:rFonts w:ascii="Times New Roman" w:hAnsi="Times New Roman" w:cs="Times New Roman"/>
          <w:color w:val="000000" w:themeColor="text1"/>
          <w:sz w:val="24"/>
          <w:szCs w:val="24"/>
        </w:rPr>
        <w:t>dir.</w:t>
      </w:r>
      <w:proofErr w:type="spellEnd"/>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color w:val="000000" w:themeColor="text1"/>
          <w:sz w:val="24"/>
          <w:szCs w:val="24"/>
        </w:rPr>
        <w:t xml:space="preserve">Sistema de derecho penal. Parte especial, </w:t>
      </w:r>
      <w:r w:rsidRPr="000364B6">
        <w:rPr>
          <w:rFonts w:ascii="Times New Roman" w:hAnsi="Times New Roman" w:cs="Times New Roman"/>
          <w:color w:val="000000" w:themeColor="text1"/>
          <w:sz w:val="24"/>
          <w:szCs w:val="24"/>
        </w:rPr>
        <w:t>2ª Edición, Madrid.</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ORTEGA, LUIS (2002), “El derecho a un medio ambiente adecuado y a la calidad de vida” en </w:t>
      </w:r>
      <w:proofErr w:type="spellStart"/>
      <w:r w:rsidRPr="000364B6">
        <w:rPr>
          <w:rFonts w:ascii="Times New Roman" w:hAnsi="Times New Roman" w:cs="Times New Roman"/>
          <w:color w:val="000000" w:themeColor="text1"/>
          <w:sz w:val="24"/>
          <w:szCs w:val="24"/>
        </w:rPr>
        <w:t>Jose</w:t>
      </w:r>
      <w:proofErr w:type="spellEnd"/>
      <w:r w:rsidRPr="000364B6">
        <w:rPr>
          <w:rFonts w:ascii="Times New Roman" w:hAnsi="Times New Roman" w:cs="Times New Roman"/>
          <w:color w:val="000000" w:themeColor="text1"/>
          <w:sz w:val="24"/>
          <w:szCs w:val="24"/>
        </w:rPr>
        <w:t xml:space="preserve"> Luis </w:t>
      </w:r>
      <w:proofErr w:type="spellStart"/>
      <w:r w:rsidRPr="000364B6">
        <w:rPr>
          <w:rFonts w:ascii="Times New Roman" w:hAnsi="Times New Roman" w:cs="Times New Roman"/>
          <w:color w:val="000000" w:themeColor="text1"/>
          <w:sz w:val="24"/>
          <w:szCs w:val="24"/>
        </w:rPr>
        <w:t>Monereo</w:t>
      </w:r>
      <w:proofErr w:type="spellEnd"/>
      <w:r w:rsidRPr="000364B6">
        <w:rPr>
          <w:rFonts w:ascii="Times New Roman" w:hAnsi="Times New Roman" w:cs="Times New Roman"/>
          <w:color w:val="000000" w:themeColor="text1"/>
          <w:sz w:val="24"/>
          <w:szCs w:val="24"/>
        </w:rPr>
        <w:t xml:space="preserve"> Pérez (</w:t>
      </w:r>
      <w:proofErr w:type="spellStart"/>
      <w:r w:rsidRPr="000364B6">
        <w:rPr>
          <w:rFonts w:ascii="Times New Roman" w:hAnsi="Times New Roman" w:cs="Times New Roman"/>
          <w:color w:val="000000" w:themeColor="text1"/>
          <w:sz w:val="24"/>
          <w:szCs w:val="24"/>
        </w:rPr>
        <w:t>dir.</w:t>
      </w:r>
      <w:proofErr w:type="spellEnd"/>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color w:val="000000" w:themeColor="text1"/>
          <w:sz w:val="24"/>
          <w:szCs w:val="24"/>
        </w:rPr>
        <w:t xml:space="preserve">Comentario a la Constitución socio-económica de España, </w:t>
      </w:r>
      <w:r w:rsidRPr="000364B6">
        <w:rPr>
          <w:rFonts w:ascii="Times New Roman" w:hAnsi="Times New Roman" w:cs="Times New Roman"/>
          <w:color w:val="000000" w:themeColor="text1"/>
          <w:sz w:val="24"/>
          <w:szCs w:val="24"/>
        </w:rPr>
        <w:t>5ª edición, Granada, p.1638.</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PÉREZ DE GREGORIO CAPELLA, J.J. (1999), </w:t>
      </w:r>
      <w:r w:rsidRPr="000364B6">
        <w:rPr>
          <w:rFonts w:ascii="Times New Roman" w:hAnsi="Times New Roman" w:cs="Times New Roman"/>
          <w:i/>
          <w:color w:val="000000" w:themeColor="text1"/>
          <w:sz w:val="24"/>
          <w:szCs w:val="24"/>
        </w:rPr>
        <w:t>El proceso penal medioambiental</w:t>
      </w:r>
      <w:r w:rsidRPr="000364B6">
        <w:rPr>
          <w:rFonts w:ascii="Times New Roman" w:hAnsi="Times New Roman" w:cs="Times New Roman"/>
          <w:color w:val="000000" w:themeColor="text1"/>
          <w:sz w:val="24"/>
          <w:szCs w:val="24"/>
        </w:rPr>
        <w:t xml:space="preserve">, Madrid, p. 36 et </w:t>
      </w:r>
      <w:proofErr w:type="spellStart"/>
      <w:r w:rsidRPr="000364B6">
        <w:rPr>
          <w:rFonts w:ascii="Times New Roman" w:hAnsi="Times New Roman" w:cs="Times New Roman"/>
          <w:color w:val="000000" w:themeColor="text1"/>
          <w:sz w:val="24"/>
          <w:szCs w:val="24"/>
        </w:rPr>
        <w:t>seq</w:t>
      </w:r>
      <w:proofErr w:type="spellEnd"/>
      <w:r w:rsidRPr="000364B6">
        <w:rPr>
          <w:rFonts w:ascii="Times New Roman" w:hAnsi="Times New Roman" w:cs="Times New Roman"/>
          <w:color w:val="000000" w:themeColor="text1"/>
          <w:sz w:val="24"/>
          <w:szCs w:val="24"/>
        </w:rPr>
        <w:t>.</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PÉREZ LUÑO, A. ENRIQUE (1995), </w:t>
      </w:r>
      <w:r w:rsidRPr="000364B6">
        <w:rPr>
          <w:rFonts w:ascii="Times New Roman" w:hAnsi="Times New Roman" w:cs="Times New Roman"/>
          <w:i/>
          <w:color w:val="000000" w:themeColor="text1"/>
          <w:sz w:val="24"/>
          <w:szCs w:val="24"/>
        </w:rPr>
        <w:t xml:space="preserve">Derechos Humanos, Estado de Derecho y Constitución, </w:t>
      </w:r>
      <w:r w:rsidRPr="000364B6">
        <w:rPr>
          <w:rFonts w:ascii="Times New Roman" w:hAnsi="Times New Roman" w:cs="Times New Roman"/>
          <w:color w:val="000000" w:themeColor="text1"/>
          <w:sz w:val="24"/>
          <w:szCs w:val="24"/>
        </w:rPr>
        <w:t>5º. Ed</w:t>
      </w:r>
      <w:r w:rsidRPr="000364B6">
        <w:rPr>
          <w:rFonts w:ascii="Times New Roman" w:hAnsi="Times New Roman" w:cs="Times New Roman"/>
          <w:i/>
          <w:color w:val="000000" w:themeColor="text1"/>
          <w:sz w:val="24"/>
          <w:szCs w:val="24"/>
        </w:rPr>
        <w:t xml:space="preserve">., </w:t>
      </w:r>
      <w:r w:rsidRPr="000364B6">
        <w:rPr>
          <w:rFonts w:ascii="Times New Roman" w:hAnsi="Times New Roman" w:cs="Times New Roman"/>
          <w:color w:val="000000" w:themeColor="text1"/>
          <w:sz w:val="24"/>
          <w:szCs w:val="24"/>
        </w:rPr>
        <w:t>Madrid, págs. 376 y ss.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PEREZ LUÑO, A.ENRIQUE (1996), “Art. 45, Medio Ambiente”</w:t>
      </w:r>
      <w:r w:rsidRPr="000364B6">
        <w:rPr>
          <w:rFonts w:ascii="Times New Roman" w:hAnsi="Times New Roman" w:cs="Times New Roman"/>
          <w:i/>
          <w:color w:val="000000" w:themeColor="text1"/>
          <w:sz w:val="24"/>
          <w:szCs w:val="24"/>
        </w:rPr>
        <w:t xml:space="preserve"> </w:t>
      </w:r>
      <w:r w:rsidRPr="000364B6">
        <w:rPr>
          <w:rFonts w:ascii="Times New Roman" w:hAnsi="Times New Roman" w:cs="Times New Roman"/>
          <w:color w:val="000000" w:themeColor="text1"/>
          <w:sz w:val="24"/>
          <w:szCs w:val="24"/>
        </w:rPr>
        <w:t xml:space="preserve">en Oscar </w:t>
      </w:r>
      <w:proofErr w:type="spellStart"/>
      <w:r w:rsidRPr="000364B6">
        <w:rPr>
          <w:rFonts w:ascii="Times New Roman" w:hAnsi="Times New Roman" w:cs="Times New Roman"/>
          <w:color w:val="000000" w:themeColor="text1"/>
          <w:sz w:val="24"/>
          <w:szCs w:val="24"/>
        </w:rPr>
        <w:t>Alzaga</w:t>
      </w:r>
      <w:proofErr w:type="spellEnd"/>
      <w:r w:rsidRPr="000364B6">
        <w:rPr>
          <w:rFonts w:ascii="Times New Roman" w:hAnsi="Times New Roman" w:cs="Times New Roman"/>
          <w:color w:val="000000" w:themeColor="text1"/>
          <w:sz w:val="24"/>
          <w:szCs w:val="24"/>
        </w:rPr>
        <w:t xml:space="preserve"> </w:t>
      </w:r>
      <w:proofErr w:type="spellStart"/>
      <w:r w:rsidRPr="000364B6">
        <w:rPr>
          <w:rFonts w:ascii="Times New Roman" w:hAnsi="Times New Roman" w:cs="Times New Roman"/>
          <w:color w:val="000000" w:themeColor="text1"/>
          <w:sz w:val="24"/>
          <w:szCs w:val="24"/>
        </w:rPr>
        <w:t>Villaamil</w:t>
      </w:r>
      <w:proofErr w:type="spellEnd"/>
      <w:r w:rsidRPr="000364B6">
        <w:rPr>
          <w:rFonts w:ascii="Times New Roman" w:hAnsi="Times New Roman" w:cs="Times New Roman"/>
          <w:color w:val="000000" w:themeColor="text1"/>
          <w:sz w:val="24"/>
          <w:szCs w:val="24"/>
        </w:rPr>
        <w:t xml:space="preserve"> (</w:t>
      </w:r>
      <w:proofErr w:type="spellStart"/>
      <w:r w:rsidRPr="000364B6">
        <w:rPr>
          <w:rFonts w:ascii="Times New Roman" w:hAnsi="Times New Roman" w:cs="Times New Roman"/>
          <w:color w:val="000000" w:themeColor="text1"/>
          <w:sz w:val="24"/>
          <w:szCs w:val="24"/>
        </w:rPr>
        <w:t>dir.</w:t>
      </w:r>
      <w:proofErr w:type="spellEnd"/>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color w:val="000000" w:themeColor="text1"/>
          <w:sz w:val="24"/>
          <w:szCs w:val="24"/>
        </w:rPr>
        <w:t xml:space="preserve">Comentarios a la Constitución Española de 1978, </w:t>
      </w:r>
      <w:r w:rsidRPr="000364B6">
        <w:rPr>
          <w:rFonts w:ascii="Times New Roman" w:hAnsi="Times New Roman" w:cs="Times New Roman"/>
          <w:color w:val="000000" w:themeColor="text1"/>
          <w:sz w:val="24"/>
          <w:szCs w:val="24"/>
        </w:rPr>
        <w:t>Madrid, p. 251</w:t>
      </w:r>
    </w:p>
    <w:p w:rsidR="00327E85" w:rsidRPr="00BE3D08" w:rsidRDefault="00327E85" w:rsidP="000364B6">
      <w:pPr>
        <w:spacing w:line="360" w:lineRule="auto"/>
        <w:jc w:val="both"/>
        <w:rPr>
          <w:rFonts w:ascii="Times New Roman" w:hAnsi="Times New Roman" w:cs="Times New Roman"/>
          <w:i/>
          <w:sz w:val="24"/>
          <w:szCs w:val="24"/>
          <w:u w:val="single"/>
        </w:rPr>
      </w:pPr>
      <w:r w:rsidRPr="000364B6">
        <w:rPr>
          <w:rFonts w:ascii="Times New Roman" w:hAnsi="Times New Roman" w:cs="Times New Roman"/>
          <w:color w:val="000000" w:themeColor="text1"/>
          <w:sz w:val="24"/>
          <w:szCs w:val="24"/>
        </w:rPr>
        <w:lastRenderedPageBreak/>
        <w:t xml:space="preserve">- PÉREZ VAQUERO, CARLOS (2010), “Diez claves para entender el derecho del Medio Ambiente” en </w:t>
      </w:r>
      <w:r w:rsidRPr="000364B6">
        <w:rPr>
          <w:rFonts w:ascii="Times New Roman" w:hAnsi="Times New Roman" w:cs="Times New Roman"/>
          <w:i/>
          <w:color w:val="000000" w:themeColor="text1"/>
          <w:sz w:val="24"/>
          <w:szCs w:val="24"/>
        </w:rPr>
        <w:t>Noticias jurídicas.</w:t>
      </w:r>
      <w:r w:rsidRPr="000364B6">
        <w:rPr>
          <w:rFonts w:ascii="Times New Roman" w:hAnsi="Times New Roman" w:cs="Times New Roman"/>
          <w:color w:val="000000" w:themeColor="text1"/>
          <w:sz w:val="24"/>
          <w:szCs w:val="24"/>
        </w:rPr>
        <w:t xml:space="preserve"> </w:t>
      </w:r>
      <w:hyperlink r:id="rId18" w:history="1">
        <w:r w:rsidRPr="00BE3D08">
          <w:rPr>
            <w:rStyle w:val="Hipervnculo"/>
            <w:rFonts w:ascii="Times New Roman" w:hAnsi="Times New Roman" w:cs="Times New Roman"/>
            <w:i/>
            <w:color w:val="auto"/>
            <w:sz w:val="24"/>
            <w:szCs w:val="24"/>
          </w:rPr>
          <w:t>http://noticias.juridicas.com/conocimiento/articulos-doctrinales/4583-diez-claves-para-entender-el-derecho-del-medio-ambiente</w:t>
        </w:r>
      </w:hyperlink>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REMIRO BROTÓNS, ANTONIO; FERNANDEZ EGEA, ROSA Mª (2009)</w:t>
      </w:r>
      <w:r w:rsidRPr="000364B6">
        <w:rPr>
          <w:rFonts w:ascii="Times New Roman" w:hAnsi="Times New Roman" w:cs="Times New Roman"/>
          <w:i/>
          <w:color w:val="000000" w:themeColor="text1"/>
          <w:sz w:val="24"/>
          <w:szCs w:val="24"/>
        </w:rPr>
        <w:t xml:space="preserve"> “El cambio climático en el Derecho Internacional y Comunitario”, </w:t>
      </w:r>
      <w:r w:rsidRPr="000364B6">
        <w:rPr>
          <w:rFonts w:ascii="Times New Roman" w:hAnsi="Times New Roman" w:cs="Times New Roman"/>
          <w:color w:val="000000" w:themeColor="text1"/>
          <w:sz w:val="24"/>
          <w:szCs w:val="24"/>
        </w:rPr>
        <w:t>1ª Ed., Fundación BBVA, p. 13.</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SÁNCHEZ, VICTOR M. y FABRA, ADRIANA (2016), “La política de medio ambiente” en Víctor M. Sánchez (</w:t>
      </w:r>
      <w:proofErr w:type="spellStart"/>
      <w:r w:rsidRPr="000364B6">
        <w:rPr>
          <w:rFonts w:ascii="Times New Roman" w:hAnsi="Times New Roman" w:cs="Times New Roman"/>
          <w:color w:val="000000" w:themeColor="text1"/>
          <w:sz w:val="24"/>
          <w:szCs w:val="24"/>
        </w:rPr>
        <w:t>dir.</w:t>
      </w:r>
      <w:proofErr w:type="spellEnd"/>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color w:val="000000" w:themeColor="text1"/>
          <w:sz w:val="24"/>
          <w:szCs w:val="24"/>
        </w:rPr>
        <w:t xml:space="preserve">Derecho de la Unión Europea, </w:t>
      </w:r>
      <w:r w:rsidRPr="000364B6">
        <w:rPr>
          <w:rFonts w:ascii="Times New Roman" w:hAnsi="Times New Roman" w:cs="Times New Roman"/>
          <w:color w:val="000000" w:themeColor="text1"/>
          <w:sz w:val="24"/>
          <w:szCs w:val="24"/>
        </w:rPr>
        <w:t>3ª edición, Barcelona, p. 288.</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SCHUNEMANN, BERND (2012)</w:t>
      </w:r>
      <w:r w:rsidRPr="000364B6">
        <w:rPr>
          <w:rFonts w:ascii="Times New Roman" w:hAnsi="Times New Roman" w:cs="Times New Roman"/>
          <w:i/>
          <w:color w:val="000000" w:themeColor="text1"/>
          <w:sz w:val="24"/>
          <w:szCs w:val="24"/>
        </w:rPr>
        <w:t xml:space="preserve"> “</w:t>
      </w:r>
      <w:r w:rsidRPr="000364B6">
        <w:rPr>
          <w:rFonts w:ascii="Times New Roman" w:hAnsi="Times New Roman" w:cs="Times New Roman"/>
          <w:color w:val="000000" w:themeColor="text1"/>
          <w:sz w:val="24"/>
          <w:szCs w:val="24"/>
        </w:rPr>
        <w:t>La destrucción ambiental como arquetipo del delito</w:t>
      </w:r>
      <w:r w:rsidRPr="000364B6">
        <w:rPr>
          <w:rFonts w:ascii="Times New Roman" w:hAnsi="Times New Roman" w:cs="Times New Roman"/>
          <w:i/>
          <w:color w:val="000000" w:themeColor="text1"/>
          <w:sz w:val="24"/>
          <w:szCs w:val="24"/>
        </w:rPr>
        <w:t xml:space="preserve">”, </w:t>
      </w:r>
      <w:r w:rsidRPr="000364B6">
        <w:rPr>
          <w:rFonts w:ascii="Times New Roman" w:hAnsi="Times New Roman" w:cs="Times New Roman"/>
          <w:color w:val="000000" w:themeColor="text1"/>
          <w:sz w:val="24"/>
          <w:szCs w:val="24"/>
        </w:rPr>
        <w:t>en Estaban Juan Pérez Alonso (coord.):</w:t>
      </w:r>
      <w:r w:rsidRPr="000364B6">
        <w:rPr>
          <w:rFonts w:ascii="Times New Roman" w:hAnsi="Times New Roman" w:cs="Times New Roman"/>
          <w:i/>
          <w:color w:val="000000" w:themeColor="text1"/>
          <w:sz w:val="24"/>
          <w:szCs w:val="24"/>
        </w:rPr>
        <w:t xml:space="preserve"> “Derecho, globalización, riesgo y medio ambiente, </w:t>
      </w:r>
      <w:r w:rsidRPr="000364B6">
        <w:rPr>
          <w:rFonts w:ascii="Times New Roman" w:hAnsi="Times New Roman" w:cs="Times New Roman"/>
          <w:color w:val="000000" w:themeColor="text1"/>
          <w:sz w:val="24"/>
          <w:szCs w:val="24"/>
        </w:rPr>
        <w:t>Valencia, p. 578.</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SERRANO TÁRRAGA, Mª DOLORES (2016), “Delitos contra los recursos naturales y el medio ambiente” en </w:t>
      </w:r>
      <w:r w:rsidRPr="000364B6">
        <w:rPr>
          <w:rFonts w:ascii="Times New Roman" w:hAnsi="Times New Roman" w:cs="Times New Roman"/>
          <w:i/>
          <w:color w:val="000000" w:themeColor="text1"/>
          <w:sz w:val="24"/>
          <w:szCs w:val="24"/>
        </w:rPr>
        <w:t xml:space="preserve">Curso de Derecho Penal. Parte especial. </w:t>
      </w:r>
      <w:r w:rsidRPr="000364B6">
        <w:rPr>
          <w:rFonts w:ascii="Times New Roman" w:hAnsi="Times New Roman" w:cs="Times New Roman"/>
          <w:color w:val="000000" w:themeColor="text1"/>
          <w:sz w:val="24"/>
          <w:szCs w:val="24"/>
        </w:rPr>
        <w:t>3ª edición, Madrid, p. 519.</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SOUTO GARCÍA, EVA Mª. (2011), “Disposiciones Comunes” en Patricia </w:t>
      </w:r>
      <w:proofErr w:type="spellStart"/>
      <w:r w:rsidRPr="000364B6">
        <w:rPr>
          <w:rFonts w:ascii="Times New Roman" w:hAnsi="Times New Roman" w:cs="Times New Roman"/>
          <w:color w:val="000000" w:themeColor="text1"/>
          <w:sz w:val="24"/>
          <w:szCs w:val="24"/>
        </w:rPr>
        <w:t>Faraldo</w:t>
      </w:r>
      <w:proofErr w:type="spellEnd"/>
      <w:r w:rsidRPr="000364B6">
        <w:rPr>
          <w:rFonts w:ascii="Times New Roman" w:hAnsi="Times New Roman" w:cs="Times New Roman"/>
          <w:color w:val="000000" w:themeColor="text1"/>
          <w:sz w:val="24"/>
          <w:szCs w:val="24"/>
        </w:rPr>
        <w:t xml:space="preserve"> </w:t>
      </w:r>
      <w:proofErr w:type="spellStart"/>
      <w:r w:rsidRPr="000364B6">
        <w:rPr>
          <w:rFonts w:ascii="Times New Roman" w:hAnsi="Times New Roman" w:cs="Times New Roman"/>
          <w:color w:val="000000" w:themeColor="text1"/>
          <w:sz w:val="24"/>
          <w:szCs w:val="24"/>
        </w:rPr>
        <w:t>Cabana</w:t>
      </w:r>
      <w:proofErr w:type="spellEnd"/>
      <w:r w:rsidRPr="000364B6">
        <w:rPr>
          <w:rFonts w:ascii="Times New Roman" w:hAnsi="Times New Roman" w:cs="Times New Roman"/>
          <w:color w:val="000000" w:themeColor="text1"/>
          <w:sz w:val="24"/>
          <w:szCs w:val="24"/>
        </w:rPr>
        <w:t xml:space="preserve"> (</w:t>
      </w:r>
      <w:proofErr w:type="spellStart"/>
      <w:r w:rsidRPr="000364B6">
        <w:rPr>
          <w:rFonts w:ascii="Times New Roman" w:hAnsi="Times New Roman" w:cs="Times New Roman"/>
          <w:color w:val="000000" w:themeColor="text1"/>
          <w:sz w:val="24"/>
          <w:szCs w:val="24"/>
        </w:rPr>
        <w:t>dir.</w:t>
      </w:r>
      <w:proofErr w:type="spellEnd"/>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color w:val="000000" w:themeColor="text1"/>
          <w:sz w:val="24"/>
          <w:szCs w:val="24"/>
        </w:rPr>
        <w:t>Ordenación del territorio, patrimonio histórico y medio ambiente en el Código Penal y la legislación especial</w:t>
      </w:r>
      <w:r w:rsidRPr="000364B6">
        <w:rPr>
          <w:rFonts w:ascii="Times New Roman" w:hAnsi="Times New Roman" w:cs="Times New Roman"/>
          <w:color w:val="000000" w:themeColor="text1"/>
          <w:sz w:val="24"/>
          <w:szCs w:val="24"/>
        </w:rPr>
        <w:t>, Valencia, p. 462.</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SUAREZ-MIRA RODRIGUEZ, CARLOS (2011), “La protección del medio ambiente en la Constitución española” en Patricia </w:t>
      </w:r>
      <w:proofErr w:type="spellStart"/>
      <w:r w:rsidRPr="000364B6">
        <w:rPr>
          <w:rFonts w:ascii="Times New Roman" w:hAnsi="Times New Roman" w:cs="Times New Roman"/>
          <w:color w:val="000000" w:themeColor="text1"/>
          <w:sz w:val="24"/>
          <w:szCs w:val="24"/>
        </w:rPr>
        <w:t>Faraldo</w:t>
      </w:r>
      <w:proofErr w:type="spellEnd"/>
      <w:r w:rsidRPr="000364B6">
        <w:rPr>
          <w:rFonts w:ascii="Times New Roman" w:hAnsi="Times New Roman" w:cs="Times New Roman"/>
          <w:color w:val="000000" w:themeColor="text1"/>
          <w:sz w:val="24"/>
          <w:szCs w:val="24"/>
        </w:rPr>
        <w:t xml:space="preserve"> </w:t>
      </w:r>
      <w:proofErr w:type="spellStart"/>
      <w:r w:rsidRPr="000364B6">
        <w:rPr>
          <w:rFonts w:ascii="Times New Roman" w:hAnsi="Times New Roman" w:cs="Times New Roman"/>
          <w:color w:val="000000" w:themeColor="text1"/>
          <w:sz w:val="24"/>
          <w:szCs w:val="24"/>
        </w:rPr>
        <w:t>Cabana</w:t>
      </w:r>
      <w:proofErr w:type="spellEnd"/>
      <w:r w:rsidRPr="000364B6">
        <w:rPr>
          <w:rFonts w:ascii="Times New Roman" w:hAnsi="Times New Roman" w:cs="Times New Roman"/>
          <w:color w:val="000000" w:themeColor="text1"/>
          <w:sz w:val="24"/>
          <w:szCs w:val="24"/>
        </w:rPr>
        <w:t xml:space="preserve"> (</w:t>
      </w:r>
      <w:proofErr w:type="spellStart"/>
      <w:r w:rsidRPr="000364B6">
        <w:rPr>
          <w:rFonts w:ascii="Times New Roman" w:hAnsi="Times New Roman" w:cs="Times New Roman"/>
          <w:color w:val="000000" w:themeColor="text1"/>
          <w:sz w:val="24"/>
          <w:szCs w:val="24"/>
        </w:rPr>
        <w:t>dir.</w:t>
      </w:r>
      <w:proofErr w:type="spellEnd"/>
      <w:r w:rsidRPr="000364B6">
        <w:rPr>
          <w:rFonts w:ascii="Times New Roman" w:hAnsi="Times New Roman" w:cs="Times New Roman"/>
          <w:color w:val="000000" w:themeColor="text1"/>
          <w:sz w:val="24"/>
          <w:szCs w:val="24"/>
        </w:rPr>
        <w:t xml:space="preserve">): </w:t>
      </w:r>
      <w:r w:rsidRPr="000364B6">
        <w:rPr>
          <w:rFonts w:ascii="Times New Roman" w:hAnsi="Times New Roman" w:cs="Times New Roman"/>
          <w:i/>
          <w:color w:val="000000" w:themeColor="text1"/>
          <w:sz w:val="24"/>
          <w:szCs w:val="24"/>
        </w:rPr>
        <w:t>Ordenación del territorio, patrimonio histórico y medio ambiente en el código penal y la legislación especial,</w:t>
      </w:r>
      <w:r w:rsidRPr="000364B6">
        <w:rPr>
          <w:rFonts w:ascii="Times New Roman" w:hAnsi="Times New Roman" w:cs="Times New Roman"/>
          <w:color w:val="000000" w:themeColor="text1"/>
          <w:sz w:val="24"/>
          <w:szCs w:val="24"/>
        </w:rPr>
        <w:t xml:space="preserve"> Valencia, pp. 59 y ss.</w:t>
      </w:r>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TINA OHLIGER (2017). La política del Medio Ambiente: principios generales y marco básico. Parlamento Europeo. </w:t>
      </w:r>
      <w:hyperlink r:id="rId19" w:history="1">
        <w:r w:rsidRPr="00BE3D08">
          <w:rPr>
            <w:rStyle w:val="Hipervnculo"/>
            <w:rFonts w:ascii="Times New Roman" w:hAnsi="Times New Roman" w:cs="Times New Roman"/>
            <w:color w:val="auto"/>
            <w:sz w:val="24"/>
            <w:szCs w:val="24"/>
          </w:rPr>
          <w:t>http://www.europarl.europa.eu/atyourservice/es/displayFtu.html?ftuId=FTU_5.4.1.html</w:t>
        </w:r>
      </w:hyperlink>
    </w:p>
    <w:p w:rsidR="00327E85" w:rsidRPr="000364B6" w:rsidRDefault="00327E85" w:rsidP="000364B6">
      <w:pPr>
        <w:spacing w:line="360" w:lineRule="auto"/>
        <w:jc w:val="both"/>
        <w:rPr>
          <w:rFonts w:ascii="Times New Roman" w:hAnsi="Times New Roman" w:cs="Times New Roman"/>
          <w:color w:val="000000" w:themeColor="text1"/>
          <w:sz w:val="24"/>
          <w:szCs w:val="24"/>
        </w:rPr>
      </w:pPr>
      <w:r w:rsidRPr="000364B6">
        <w:rPr>
          <w:rFonts w:ascii="Times New Roman" w:hAnsi="Times New Roman" w:cs="Times New Roman"/>
          <w:color w:val="000000" w:themeColor="text1"/>
          <w:sz w:val="24"/>
          <w:szCs w:val="24"/>
        </w:rPr>
        <w:t xml:space="preserve">- TRUJILLO, MORENO (2013), “La protección del medio ambiente”, </w:t>
      </w:r>
      <w:proofErr w:type="spellStart"/>
      <w:r w:rsidRPr="000364B6">
        <w:rPr>
          <w:rFonts w:ascii="Times New Roman" w:hAnsi="Times New Roman" w:cs="Times New Roman"/>
          <w:color w:val="000000" w:themeColor="text1"/>
          <w:sz w:val="24"/>
          <w:szCs w:val="24"/>
        </w:rPr>
        <w:t>op</w:t>
      </w:r>
      <w:proofErr w:type="spellEnd"/>
      <w:r w:rsidRPr="000364B6">
        <w:rPr>
          <w:rFonts w:ascii="Times New Roman" w:hAnsi="Times New Roman" w:cs="Times New Roman"/>
          <w:color w:val="000000" w:themeColor="text1"/>
          <w:sz w:val="24"/>
          <w:szCs w:val="24"/>
        </w:rPr>
        <w:t>. Cit., pp. 35 y ss.</w:t>
      </w:r>
    </w:p>
    <w:p w:rsidR="0036185D" w:rsidRPr="000364B6" w:rsidRDefault="0036185D" w:rsidP="000364B6">
      <w:pPr>
        <w:spacing w:line="360" w:lineRule="auto"/>
        <w:jc w:val="both"/>
        <w:rPr>
          <w:rFonts w:ascii="Times New Roman" w:hAnsi="Times New Roman" w:cs="Times New Roman"/>
          <w:color w:val="000000" w:themeColor="text1"/>
          <w:sz w:val="24"/>
          <w:szCs w:val="24"/>
        </w:rPr>
      </w:pPr>
    </w:p>
    <w:sectPr w:rsidR="0036185D" w:rsidRPr="000364B6" w:rsidSect="00194220">
      <w:footerReference w:type="default" r:id="rId20"/>
      <w:pgSz w:w="11906" w:h="16838"/>
      <w:pgMar w:top="1418" w:right="1418" w:bottom="1418" w:left="141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0614" w:rsidRDefault="00770614" w:rsidP="00506457">
      <w:pPr>
        <w:spacing w:after="0" w:line="240" w:lineRule="auto"/>
      </w:pPr>
      <w:r>
        <w:separator/>
      </w:r>
    </w:p>
  </w:endnote>
  <w:endnote w:type="continuationSeparator" w:id="0">
    <w:p w:rsidR="00770614" w:rsidRDefault="00770614" w:rsidP="005064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NewBskvll BT">
    <w:altName w:val="Times New Roman"/>
    <w:charset w:val="00"/>
    <w:family w:val="roman"/>
    <w:pitch w:val="variable"/>
    <w:sig w:usb0="00000007" w:usb1="00000000" w:usb2="00000000" w:usb3="00000000" w:csb0="000000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2588022"/>
      <w:docPartObj>
        <w:docPartGallery w:val="Page Numbers (Bottom of Page)"/>
        <w:docPartUnique/>
      </w:docPartObj>
    </w:sdtPr>
    <w:sdtEndPr/>
    <w:sdtContent>
      <w:p w:rsidR="0046254B" w:rsidRDefault="0046254B">
        <w:pPr>
          <w:pStyle w:val="Piedepgina"/>
          <w:jc w:val="right"/>
        </w:pPr>
        <w:r>
          <w:fldChar w:fldCharType="begin"/>
        </w:r>
        <w:r>
          <w:instrText>PAGE   \* MERGEFORMAT</w:instrText>
        </w:r>
        <w:r>
          <w:fldChar w:fldCharType="separate"/>
        </w:r>
        <w:r w:rsidR="00BE3D08">
          <w:rPr>
            <w:noProof/>
          </w:rPr>
          <w:t>35</w:t>
        </w:r>
        <w:r>
          <w:fldChar w:fldCharType="end"/>
        </w:r>
      </w:p>
    </w:sdtContent>
  </w:sdt>
  <w:p w:rsidR="0046254B" w:rsidRDefault="0046254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0614" w:rsidRDefault="00770614" w:rsidP="00506457">
      <w:pPr>
        <w:spacing w:after="0" w:line="240" w:lineRule="auto"/>
      </w:pPr>
      <w:r>
        <w:separator/>
      </w:r>
    </w:p>
  </w:footnote>
  <w:footnote w:type="continuationSeparator" w:id="0">
    <w:p w:rsidR="00770614" w:rsidRDefault="00770614" w:rsidP="00506457">
      <w:pPr>
        <w:spacing w:after="0" w:line="240" w:lineRule="auto"/>
      </w:pPr>
      <w:r>
        <w:continuationSeparator/>
      </w:r>
    </w:p>
  </w:footnote>
  <w:footnote w:id="1">
    <w:p w:rsidR="0046254B" w:rsidRPr="00214870" w:rsidRDefault="0046254B" w:rsidP="00327E85">
      <w:pPr>
        <w:pStyle w:val="Textonotapie"/>
        <w:spacing w:line="360" w:lineRule="auto"/>
        <w:jc w:val="both"/>
        <w:rPr>
          <w:rFonts w:ascii="Times New Roman" w:hAnsi="Times New Roman" w:cs="Times New Roman"/>
        </w:rPr>
      </w:pPr>
      <w:r w:rsidRPr="00F3372F">
        <w:rPr>
          <w:rStyle w:val="Refdenotaalpie"/>
          <w:rFonts w:ascii="Times New Roman" w:hAnsi="Times New Roman" w:cs="Times New Roman"/>
        </w:rPr>
        <w:footnoteRef/>
      </w:r>
      <w:r w:rsidRPr="00F3372F">
        <w:rPr>
          <w:rFonts w:ascii="Times New Roman" w:hAnsi="Times New Roman" w:cs="Times New Roman"/>
        </w:rPr>
        <w:t xml:space="preserve"> </w:t>
      </w:r>
      <w:r>
        <w:rPr>
          <w:rFonts w:ascii="Times New Roman" w:hAnsi="Times New Roman" w:cs="Times New Roman"/>
        </w:rPr>
        <w:t xml:space="preserve">MATEO MARTIN, 2011, </w:t>
      </w:r>
      <w:r w:rsidRPr="00214870">
        <w:rPr>
          <w:rFonts w:ascii="Times New Roman" w:hAnsi="Times New Roman" w:cs="Times New Roman"/>
        </w:rPr>
        <w:t>p.86.</w:t>
      </w:r>
    </w:p>
  </w:footnote>
  <w:footnote w:id="2">
    <w:p w:rsidR="0046254B" w:rsidRPr="00214870" w:rsidRDefault="0046254B" w:rsidP="00327E85">
      <w:pPr>
        <w:pStyle w:val="Textonotapie"/>
        <w:spacing w:line="360" w:lineRule="auto"/>
        <w:jc w:val="both"/>
        <w:rPr>
          <w:rFonts w:ascii="Times New Roman" w:hAnsi="Times New Roman" w:cs="Times New Roman"/>
        </w:rPr>
      </w:pPr>
      <w:r w:rsidRPr="00214870">
        <w:rPr>
          <w:rStyle w:val="Refdenotaalpie"/>
          <w:rFonts w:ascii="Times New Roman" w:hAnsi="Times New Roman" w:cs="Times New Roman"/>
        </w:rPr>
        <w:footnoteRef/>
      </w:r>
      <w:r>
        <w:rPr>
          <w:rFonts w:ascii="Times New Roman" w:hAnsi="Times New Roman" w:cs="Times New Roman"/>
        </w:rPr>
        <w:t xml:space="preserve"> TRUJILLO MORENO, 2013</w:t>
      </w:r>
      <w:r w:rsidRPr="00214870">
        <w:rPr>
          <w:rFonts w:ascii="Times New Roman" w:hAnsi="Times New Roman" w:cs="Times New Roman"/>
        </w:rPr>
        <w:t xml:space="preserve">, </w:t>
      </w:r>
      <w:r>
        <w:rPr>
          <w:rFonts w:ascii="Times New Roman" w:hAnsi="Times New Roman" w:cs="Times New Roman"/>
        </w:rPr>
        <w:t>pp. 35 y ss</w:t>
      </w:r>
      <w:r w:rsidRPr="00214870">
        <w:rPr>
          <w:rFonts w:ascii="Times New Roman" w:hAnsi="Times New Roman" w:cs="Times New Roman"/>
        </w:rPr>
        <w:t>.</w:t>
      </w:r>
    </w:p>
  </w:footnote>
  <w:footnote w:id="3">
    <w:p w:rsidR="0046254B" w:rsidRPr="00BF4189" w:rsidRDefault="0046254B" w:rsidP="00327E85">
      <w:pPr>
        <w:pStyle w:val="Textonotapie"/>
        <w:spacing w:line="360" w:lineRule="auto"/>
        <w:jc w:val="both"/>
        <w:rPr>
          <w:rFonts w:ascii="Times New Roman" w:hAnsi="Times New Roman" w:cs="Times New Roman"/>
          <w:i/>
        </w:rPr>
      </w:pPr>
      <w:r w:rsidRPr="00214870">
        <w:rPr>
          <w:rStyle w:val="Refdenotaalpie"/>
          <w:rFonts w:ascii="Times New Roman" w:hAnsi="Times New Roman" w:cs="Times New Roman"/>
        </w:rPr>
        <w:footnoteRef/>
      </w:r>
      <w:r w:rsidRPr="00214870">
        <w:rPr>
          <w:rFonts w:ascii="Times New Roman" w:hAnsi="Times New Roman" w:cs="Times New Roman"/>
        </w:rPr>
        <w:t xml:space="preserve"> Varios Autores. Medio Ambiente en España. Centro de publicaciones del Mini</w:t>
      </w:r>
      <w:r>
        <w:rPr>
          <w:rFonts w:ascii="Times New Roman" w:hAnsi="Times New Roman" w:cs="Times New Roman"/>
        </w:rPr>
        <w:t xml:space="preserve">sterio de Medio Ambiente, 2001; PÉREZ VAQUERO, 2010, </w:t>
      </w:r>
      <w:r w:rsidRPr="00BF4189">
        <w:rPr>
          <w:rFonts w:ascii="Times New Roman" w:hAnsi="Times New Roman" w:cs="Times New Roman"/>
          <w:i/>
        </w:rPr>
        <w:t>http://noticias.juridicas.com/conocimiento/articulos-doctrinales/4583-diez-claves-para-entender-el-derecho-del-medio-ambiente-/</w:t>
      </w:r>
    </w:p>
  </w:footnote>
  <w:footnote w:id="4">
    <w:p w:rsidR="0046254B" w:rsidRPr="008720D5" w:rsidRDefault="0046254B" w:rsidP="00327E85">
      <w:pPr>
        <w:pStyle w:val="Textonotapie"/>
        <w:spacing w:line="360" w:lineRule="auto"/>
        <w:jc w:val="both"/>
        <w:rPr>
          <w:rFonts w:ascii="Times New Roman" w:hAnsi="Times New Roman" w:cs="Times New Roman"/>
        </w:rPr>
      </w:pPr>
      <w:r w:rsidRPr="008720D5">
        <w:rPr>
          <w:rStyle w:val="Refdenotaalpie"/>
          <w:rFonts w:ascii="Times New Roman" w:hAnsi="Times New Roman" w:cs="Times New Roman"/>
        </w:rPr>
        <w:footnoteRef/>
      </w:r>
      <w:r>
        <w:rPr>
          <w:rFonts w:ascii="Times New Roman" w:hAnsi="Times New Roman" w:cs="Times New Roman"/>
        </w:rPr>
        <w:t xml:space="preserve"> SCHUNEMANN, 2012,</w:t>
      </w:r>
      <w:r w:rsidRPr="008720D5">
        <w:rPr>
          <w:rFonts w:ascii="Times New Roman" w:hAnsi="Times New Roman" w:cs="Times New Roman"/>
        </w:rPr>
        <w:t xml:space="preserve"> </w:t>
      </w:r>
      <w:r>
        <w:rPr>
          <w:rFonts w:ascii="Times New Roman" w:hAnsi="Times New Roman" w:cs="Times New Roman"/>
        </w:rPr>
        <w:t>p. 578.</w:t>
      </w:r>
    </w:p>
  </w:footnote>
  <w:footnote w:id="5">
    <w:p w:rsidR="0046254B" w:rsidRPr="008720D5" w:rsidRDefault="0046254B" w:rsidP="00327E85">
      <w:pPr>
        <w:pStyle w:val="Textonotapie"/>
        <w:spacing w:line="360" w:lineRule="auto"/>
        <w:jc w:val="both"/>
        <w:rPr>
          <w:rFonts w:ascii="Times New Roman" w:hAnsi="Times New Roman" w:cs="Times New Roman"/>
        </w:rPr>
      </w:pPr>
      <w:r w:rsidRPr="008720D5">
        <w:rPr>
          <w:rStyle w:val="Refdenotaalpie"/>
          <w:rFonts w:ascii="Times New Roman" w:hAnsi="Times New Roman" w:cs="Times New Roman"/>
        </w:rPr>
        <w:footnoteRef/>
      </w:r>
      <w:r w:rsidRPr="008720D5">
        <w:rPr>
          <w:rFonts w:ascii="Times New Roman" w:hAnsi="Times New Roman" w:cs="Times New Roman"/>
        </w:rPr>
        <w:t xml:space="preserve"> MUÑOZ CONDE</w:t>
      </w:r>
      <w:r>
        <w:rPr>
          <w:rFonts w:ascii="Times New Roman" w:hAnsi="Times New Roman" w:cs="Times New Roman"/>
        </w:rPr>
        <w:t>, 2015, p. 497.</w:t>
      </w:r>
    </w:p>
  </w:footnote>
  <w:footnote w:id="6">
    <w:p w:rsidR="0046254B" w:rsidRPr="008720D5" w:rsidRDefault="0046254B" w:rsidP="00327E85">
      <w:pPr>
        <w:pStyle w:val="Textonotapie"/>
        <w:spacing w:line="360" w:lineRule="auto"/>
        <w:jc w:val="both"/>
        <w:rPr>
          <w:rFonts w:ascii="Times New Roman" w:hAnsi="Times New Roman" w:cs="Times New Roman"/>
        </w:rPr>
      </w:pPr>
      <w:r w:rsidRPr="008720D5">
        <w:rPr>
          <w:rStyle w:val="Refdenotaalpie"/>
          <w:rFonts w:ascii="Times New Roman" w:hAnsi="Times New Roman" w:cs="Times New Roman"/>
        </w:rPr>
        <w:footnoteRef/>
      </w:r>
      <w:r w:rsidRPr="008720D5">
        <w:rPr>
          <w:rFonts w:ascii="Times New Roman" w:hAnsi="Times New Roman" w:cs="Times New Roman"/>
        </w:rPr>
        <w:t xml:space="preserve"> </w:t>
      </w:r>
      <w:r>
        <w:rPr>
          <w:rFonts w:ascii="Times New Roman" w:hAnsi="Times New Roman" w:cs="Times New Roman"/>
        </w:rPr>
        <w:t>BERGER, 2002</w:t>
      </w:r>
      <w:r w:rsidRPr="008720D5">
        <w:rPr>
          <w:rFonts w:ascii="Times New Roman" w:hAnsi="Times New Roman" w:cs="Times New Roman"/>
        </w:rPr>
        <w:t xml:space="preserve">, </w:t>
      </w:r>
      <w:r>
        <w:rPr>
          <w:rFonts w:ascii="Times New Roman" w:hAnsi="Times New Roman" w:cs="Times New Roman"/>
        </w:rPr>
        <w:t xml:space="preserve"> p. 35.</w:t>
      </w:r>
    </w:p>
  </w:footnote>
  <w:footnote w:id="7">
    <w:p w:rsidR="0046254B" w:rsidRPr="003B28AB" w:rsidRDefault="0046254B" w:rsidP="00327E85">
      <w:pPr>
        <w:pStyle w:val="Textonotapie"/>
        <w:spacing w:line="360" w:lineRule="auto"/>
        <w:jc w:val="both"/>
        <w:rPr>
          <w:rFonts w:ascii="Times New Roman" w:hAnsi="Times New Roman" w:cs="Times New Roman"/>
          <w:i/>
        </w:rPr>
      </w:pPr>
      <w:r>
        <w:rPr>
          <w:rStyle w:val="Refdenotaalpie"/>
        </w:rPr>
        <w:footnoteRef/>
      </w:r>
      <w:r>
        <w:t xml:space="preserve"> </w:t>
      </w:r>
      <w:r w:rsidRPr="000A0195">
        <w:rPr>
          <w:rFonts w:ascii="Times New Roman" w:hAnsi="Times New Roman" w:cs="Times New Roman"/>
        </w:rPr>
        <w:t>PÉREZ LUÑO</w:t>
      </w:r>
      <w:r>
        <w:rPr>
          <w:rFonts w:ascii="Times New Roman" w:hAnsi="Times New Roman" w:cs="Times New Roman"/>
        </w:rPr>
        <w:t>, 1995, pp</w:t>
      </w:r>
      <w:r w:rsidRPr="000A0195">
        <w:rPr>
          <w:rFonts w:ascii="Times New Roman" w:hAnsi="Times New Roman" w:cs="Times New Roman"/>
        </w:rPr>
        <w:t>. 376 y ss.</w:t>
      </w:r>
      <w:r>
        <w:rPr>
          <w:rFonts w:ascii="Times New Roman" w:hAnsi="Times New Roman" w:cs="Times New Roman"/>
        </w:rPr>
        <w:t xml:space="preserve">; IGLESIAS SKULJ, </w:t>
      </w:r>
      <w:r w:rsidRPr="0043628D">
        <w:rPr>
          <w:rFonts w:ascii="Times New Roman" w:hAnsi="Times New Roman" w:cs="Times New Roman"/>
        </w:rPr>
        <w:t>2011</w:t>
      </w:r>
      <w:r>
        <w:rPr>
          <w:rFonts w:ascii="Times New Roman" w:hAnsi="Times New Roman" w:cs="Times New Roman"/>
        </w:rPr>
        <w:t>, p. 55; ALZAGA, 1978, p</w:t>
      </w:r>
      <w:r w:rsidRPr="004B7F67">
        <w:rPr>
          <w:rFonts w:ascii="Times New Roman" w:hAnsi="Times New Roman" w:cs="Times New Roman"/>
        </w:rPr>
        <w:t>. 69.</w:t>
      </w:r>
    </w:p>
  </w:footnote>
  <w:footnote w:id="8">
    <w:p w:rsidR="0046254B" w:rsidRPr="003B28AB" w:rsidRDefault="0046254B" w:rsidP="00327E85">
      <w:pPr>
        <w:pStyle w:val="Textonotapie"/>
        <w:spacing w:line="360" w:lineRule="auto"/>
        <w:rPr>
          <w:rFonts w:ascii="Times New Roman" w:hAnsi="Times New Roman" w:cs="Times New Roman"/>
        </w:rPr>
      </w:pPr>
      <w:r w:rsidRPr="003B28AB">
        <w:rPr>
          <w:rStyle w:val="Refdenotaalpie"/>
          <w:rFonts w:ascii="Times New Roman" w:hAnsi="Times New Roman" w:cs="Times New Roman"/>
        </w:rPr>
        <w:footnoteRef/>
      </w:r>
      <w:r>
        <w:rPr>
          <w:rFonts w:ascii="Times New Roman" w:hAnsi="Times New Roman" w:cs="Times New Roman"/>
        </w:rPr>
        <w:t xml:space="preserve"> LEONE, </w:t>
      </w:r>
      <w:r w:rsidRPr="003B28AB">
        <w:rPr>
          <w:rFonts w:ascii="Times New Roman" w:hAnsi="Times New Roman" w:cs="Times New Roman"/>
        </w:rPr>
        <w:t>1980</w:t>
      </w:r>
      <w:r>
        <w:rPr>
          <w:rFonts w:ascii="Times New Roman" w:hAnsi="Times New Roman" w:cs="Times New Roman"/>
        </w:rPr>
        <w:t>, pp</w:t>
      </w:r>
      <w:r w:rsidRPr="003B28AB">
        <w:rPr>
          <w:rFonts w:ascii="Times New Roman" w:hAnsi="Times New Roman" w:cs="Times New Roman"/>
        </w:rPr>
        <w:t>. 38 y ss.;</w:t>
      </w:r>
      <w:r>
        <w:rPr>
          <w:rFonts w:ascii="Times New Roman" w:hAnsi="Times New Roman" w:cs="Times New Roman"/>
        </w:rPr>
        <w:t xml:space="preserve"> PEREZ LUÑO, 1996, p.251; ORTEGA, 2002, p.1638.</w:t>
      </w:r>
    </w:p>
  </w:footnote>
  <w:footnote w:id="9">
    <w:p w:rsidR="0046254B" w:rsidRPr="00AC238B" w:rsidRDefault="0046254B" w:rsidP="00327E85">
      <w:pPr>
        <w:pStyle w:val="Textonotapie"/>
        <w:spacing w:line="360" w:lineRule="auto"/>
        <w:rPr>
          <w:rFonts w:ascii="Times New Roman" w:hAnsi="Times New Roman" w:cs="Times New Roman"/>
        </w:rPr>
      </w:pPr>
      <w:r>
        <w:rPr>
          <w:rStyle w:val="Refdenotaalpie"/>
        </w:rPr>
        <w:footnoteRef/>
      </w:r>
      <w:r>
        <w:t xml:space="preserve"> </w:t>
      </w:r>
      <w:r>
        <w:rPr>
          <w:rFonts w:ascii="Times New Roman" w:hAnsi="Times New Roman" w:cs="Times New Roman"/>
        </w:rPr>
        <w:t>PEREZ LUÑO, 1996</w:t>
      </w:r>
      <w:r w:rsidRPr="003B28AB">
        <w:rPr>
          <w:rFonts w:ascii="Times New Roman" w:hAnsi="Times New Roman" w:cs="Times New Roman"/>
        </w:rPr>
        <w:t xml:space="preserve">, </w:t>
      </w:r>
      <w:r>
        <w:rPr>
          <w:rFonts w:ascii="Times New Roman" w:hAnsi="Times New Roman" w:cs="Times New Roman"/>
        </w:rPr>
        <w:t xml:space="preserve">p. </w:t>
      </w:r>
      <w:r w:rsidRPr="003B28AB">
        <w:rPr>
          <w:rFonts w:ascii="Times New Roman" w:hAnsi="Times New Roman" w:cs="Times New Roman"/>
        </w:rPr>
        <w:t>251</w:t>
      </w:r>
    </w:p>
  </w:footnote>
  <w:footnote w:id="10">
    <w:p w:rsidR="0046254B" w:rsidRPr="00150EE5" w:rsidRDefault="0046254B" w:rsidP="00327E85">
      <w:pPr>
        <w:pStyle w:val="Textonotapie"/>
        <w:spacing w:line="360" w:lineRule="auto"/>
        <w:rPr>
          <w:rFonts w:ascii="Times New Roman" w:hAnsi="Times New Roman" w:cs="Times New Roman"/>
        </w:rPr>
      </w:pPr>
      <w:r w:rsidRPr="00150EE5">
        <w:rPr>
          <w:rStyle w:val="Refdenotaalpie"/>
          <w:rFonts w:ascii="Times New Roman" w:hAnsi="Times New Roman" w:cs="Times New Roman"/>
        </w:rPr>
        <w:footnoteRef/>
      </w:r>
      <w:r>
        <w:rPr>
          <w:rFonts w:ascii="Times New Roman" w:hAnsi="Times New Roman" w:cs="Times New Roman"/>
        </w:rPr>
        <w:t xml:space="preserve"> GARCÍA DE ENTERRÍA, 1980</w:t>
      </w:r>
      <w:r w:rsidRPr="00150EE5">
        <w:rPr>
          <w:rFonts w:ascii="Times New Roman" w:hAnsi="Times New Roman" w:cs="Times New Roman"/>
        </w:rPr>
        <w:t xml:space="preserve">, </w:t>
      </w:r>
      <w:r>
        <w:rPr>
          <w:rFonts w:ascii="Times New Roman" w:hAnsi="Times New Roman" w:cs="Times New Roman"/>
        </w:rPr>
        <w:t>p. 118;  PEREZ LUÑO, 1996</w:t>
      </w:r>
      <w:r w:rsidRPr="00150EE5">
        <w:rPr>
          <w:rFonts w:ascii="Times New Roman" w:hAnsi="Times New Roman" w:cs="Times New Roman"/>
        </w:rPr>
        <w:t xml:space="preserve">, </w:t>
      </w:r>
      <w:r>
        <w:rPr>
          <w:rFonts w:ascii="Times New Roman" w:hAnsi="Times New Roman" w:cs="Times New Roman"/>
        </w:rPr>
        <w:t>p.</w:t>
      </w:r>
      <w:r w:rsidRPr="00150EE5">
        <w:rPr>
          <w:rFonts w:ascii="Times New Roman" w:hAnsi="Times New Roman" w:cs="Times New Roman"/>
        </w:rPr>
        <w:t>256</w:t>
      </w:r>
    </w:p>
  </w:footnote>
  <w:footnote w:id="11">
    <w:p w:rsidR="0046254B" w:rsidRPr="00AC238B" w:rsidRDefault="0046254B" w:rsidP="00327E85">
      <w:pPr>
        <w:pStyle w:val="Textonotapie"/>
        <w:spacing w:line="360" w:lineRule="auto"/>
        <w:rPr>
          <w:rFonts w:ascii="Times New Roman" w:hAnsi="Times New Roman" w:cs="Times New Roman"/>
        </w:rPr>
      </w:pPr>
      <w:r>
        <w:rPr>
          <w:rStyle w:val="Refdenotaalpie"/>
        </w:rPr>
        <w:footnoteRef/>
      </w:r>
      <w:r>
        <w:t xml:space="preserve"> </w:t>
      </w:r>
      <w:r>
        <w:rPr>
          <w:rFonts w:ascii="Times New Roman" w:hAnsi="Times New Roman" w:cs="Times New Roman"/>
        </w:rPr>
        <w:t>PEREZ LUÑO, 1996</w:t>
      </w:r>
      <w:r w:rsidRPr="00CA1CC1">
        <w:rPr>
          <w:rFonts w:ascii="Times New Roman" w:hAnsi="Times New Roman" w:cs="Times New Roman"/>
        </w:rPr>
        <w:t xml:space="preserve">, </w:t>
      </w:r>
      <w:r>
        <w:rPr>
          <w:rFonts w:ascii="Times New Roman" w:hAnsi="Times New Roman" w:cs="Times New Roman"/>
        </w:rPr>
        <w:t xml:space="preserve">pp. </w:t>
      </w:r>
      <w:r w:rsidRPr="00CA1CC1">
        <w:rPr>
          <w:rFonts w:ascii="Times New Roman" w:hAnsi="Times New Roman" w:cs="Times New Roman"/>
        </w:rPr>
        <w:t>260-269.</w:t>
      </w:r>
    </w:p>
  </w:footnote>
  <w:footnote w:id="12">
    <w:p w:rsidR="0046254B" w:rsidRPr="000A0195" w:rsidRDefault="0046254B" w:rsidP="00327E85">
      <w:pPr>
        <w:pStyle w:val="Textonotapie"/>
        <w:spacing w:line="360" w:lineRule="auto"/>
        <w:jc w:val="both"/>
        <w:rPr>
          <w:rFonts w:ascii="Times New Roman" w:hAnsi="Times New Roman" w:cs="Times New Roman"/>
        </w:rPr>
      </w:pPr>
      <w:r w:rsidRPr="000A0195">
        <w:rPr>
          <w:rStyle w:val="Refdenotaalpie"/>
          <w:rFonts w:ascii="Times New Roman" w:hAnsi="Times New Roman" w:cs="Times New Roman"/>
        </w:rPr>
        <w:footnoteRef/>
      </w:r>
      <w:r>
        <w:rPr>
          <w:rFonts w:ascii="Times New Roman" w:hAnsi="Times New Roman" w:cs="Times New Roman"/>
        </w:rPr>
        <w:t xml:space="preserve"> ALZAGA VILLAAMIL, 1996, p</w:t>
      </w:r>
      <w:r w:rsidRPr="000A0195">
        <w:rPr>
          <w:rFonts w:ascii="Times New Roman" w:hAnsi="Times New Roman" w:cs="Times New Roman"/>
        </w:rPr>
        <w:t>. 270.</w:t>
      </w:r>
    </w:p>
  </w:footnote>
  <w:footnote w:id="13">
    <w:p w:rsidR="0046254B" w:rsidRPr="000A0195" w:rsidRDefault="0046254B" w:rsidP="00327E85">
      <w:pPr>
        <w:pStyle w:val="Textonotapie"/>
        <w:spacing w:line="360" w:lineRule="auto"/>
        <w:jc w:val="both"/>
        <w:rPr>
          <w:rFonts w:ascii="Times New Roman" w:hAnsi="Times New Roman" w:cs="Times New Roman"/>
        </w:rPr>
      </w:pPr>
      <w:r w:rsidRPr="000A0195">
        <w:rPr>
          <w:rStyle w:val="Refdenotaalpie"/>
          <w:rFonts w:ascii="Times New Roman" w:hAnsi="Times New Roman" w:cs="Times New Roman"/>
        </w:rPr>
        <w:footnoteRef/>
      </w:r>
      <w:r w:rsidRPr="000A0195">
        <w:rPr>
          <w:rFonts w:ascii="Times New Roman" w:hAnsi="Times New Roman" w:cs="Times New Roman"/>
        </w:rPr>
        <w:t xml:space="preserve"> </w:t>
      </w:r>
      <w:r>
        <w:rPr>
          <w:rFonts w:ascii="Times New Roman" w:hAnsi="Times New Roman" w:cs="Times New Roman"/>
        </w:rPr>
        <w:t xml:space="preserve">PÉREZ DE GREGORIO CAPELLA, 1999, </w:t>
      </w:r>
      <w:r w:rsidRPr="000A0195">
        <w:rPr>
          <w:rFonts w:ascii="Times New Roman" w:hAnsi="Times New Roman" w:cs="Times New Roman"/>
        </w:rPr>
        <w:t>p</w:t>
      </w:r>
      <w:r>
        <w:rPr>
          <w:rFonts w:ascii="Times New Roman" w:hAnsi="Times New Roman" w:cs="Times New Roman"/>
        </w:rPr>
        <w:t>p. 36 y ss</w:t>
      </w:r>
      <w:r w:rsidRPr="000A0195">
        <w:rPr>
          <w:rFonts w:ascii="Times New Roman" w:hAnsi="Times New Roman" w:cs="Times New Roman"/>
        </w:rPr>
        <w:t>.</w:t>
      </w:r>
    </w:p>
  </w:footnote>
  <w:footnote w:id="14">
    <w:p w:rsidR="0046254B" w:rsidRPr="00C74EE4" w:rsidRDefault="0046254B" w:rsidP="00327E85">
      <w:pPr>
        <w:pStyle w:val="Textonotapie"/>
        <w:spacing w:line="360" w:lineRule="auto"/>
        <w:jc w:val="both"/>
        <w:rPr>
          <w:rFonts w:ascii="Times New Roman" w:hAnsi="Times New Roman" w:cs="Times New Roman"/>
        </w:rPr>
      </w:pPr>
      <w:r w:rsidRPr="00C74EE4">
        <w:rPr>
          <w:rStyle w:val="Refdenotaalpie"/>
          <w:rFonts w:ascii="Times New Roman" w:hAnsi="Times New Roman" w:cs="Times New Roman"/>
        </w:rPr>
        <w:footnoteRef/>
      </w:r>
      <w:r w:rsidRPr="00C74EE4">
        <w:rPr>
          <w:rFonts w:ascii="Times New Roman" w:hAnsi="Times New Roman" w:cs="Times New Roman"/>
        </w:rPr>
        <w:t xml:space="preserve"> </w:t>
      </w:r>
      <w:r>
        <w:rPr>
          <w:rFonts w:ascii="Times New Roman" w:hAnsi="Times New Roman" w:cs="Times New Roman"/>
        </w:rPr>
        <w:t>DE MIGUEL, 2011, p. 88.</w:t>
      </w:r>
    </w:p>
  </w:footnote>
  <w:footnote w:id="15">
    <w:p w:rsidR="0046254B" w:rsidRPr="00AC238B" w:rsidRDefault="0046254B" w:rsidP="00327E85">
      <w:pPr>
        <w:pStyle w:val="Textonotapie"/>
        <w:spacing w:line="360" w:lineRule="auto"/>
        <w:jc w:val="both"/>
        <w:rPr>
          <w:rFonts w:ascii="Times New Roman" w:hAnsi="Times New Roman" w:cs="Times New Roman"/>
        </w:rPr>
      </w:pPr>
      <w:r w:rsidRPr="00010A63">
        <w:rPr>
          <w:rStyle w:val="Refdenotaalpie"/>
          <w:rFonts w:ascii="Times New Roman" w:hAnsi="Times New Roman" w:cs="Times New Roman"/>
        </w:rPr>
        <w:footnoteRef/>
      </w:r>
      <w:r w:rsidRPr="00010A63">
        <w:rPr>
          <w:rFonts w:ascii="Times New Roman" w:hAnsi="Times New Roman" w:cs="Times New Roman"/>
        </w:rPr>
        <w:t xml:space="preserve"> R</w:t>
      </w:r>
      <w:r>
        <w:rPr>
          <w:rFonts w:ascii="Times New Roman" w:hAnsi="Times New Roman" w:cs="Times New Roman"/>
        </w:rPr>
        <w:t>EMIRO BROTÓNS; FERNANDEZ EGEA, 2009,</w:t>
      </w:r>
      <w:r w:rsidRPr="00010A63">
        <w:rPr>
          <w:rFonts w:ascii="Times New Roman" w:hAnsi="Times New Roman" w:cs="Times New Roman"/>
        </w:rPr>
        <w:t xml:space="preserve"> </w:t>
      </w:r>
      <w:r>
        <w:rPr>
          <w:rFonts w:ascii="Times New Roman" w:hAnsi="Times New Roman" w:cs="Times New Roman"/>
        </w:rPr>
        <w:t>p</w:t>
      </w:r>
      <w:r w:rsidRPr="00010A63">
        <w:rPr>
          <w:rFonts w:ascii="Times New Roman" w:hAnsi="Times New Roman" w:cs="Times New Roman"/>
        </w:rPr>
        <w:t>. 13.</w:t>
      </w:r>
    </w:p>
  </w:footnote>
  <w:footnote w:id="16">
    <w:p w:rsidR="0046254B" w:rsidRPr="00003DC8" w:rsidRDefault="0046254B" w:rsidP="00327E85">
      <w:pPr>
        <w:pStyle w:val="Textonotapie"/>
        <w:spacing w:line="360" w:lineRule="auto"/>
      </w:pPr>
      <w:r>
        <w:rPr>
          <w:rStyle w:val="Refdenotaalpie"/>
        </w:rPr>
        <w:footnoteRef/>
      </w:r>
      <w:r>
        <w:t xml:space="preserve"> </w:t>
      </w:r>
      <w:r>
        <w:rPr>
          <w:rFonts w:ascii="Times New Roman" w:hAnsi="Times New Roman" w:cs="Times New Roman"/>
        </w:rPr>
        <w:t>SÁNCHEZ</w:t>
      </w:r>
      <w:r w:rsidRPr="00003DC8">
        <w:rPr>
          <w:rFonts w:ascii="Times New Roman" w:hAnsi="Times New Roman" w:cs="Times New Roman"/>
        </w:rPr>
        <w:t xml:space="preserve"> y </w:t>
      </w:r>
      <w:r>
        <w:rPr>
          <w:rFonts w:ascii="Times New Roman" w:hAnsi="Times New Roman" w:cs="Times New Roman"/>
        </w:rPr>
        <w:t xml:space="preserve"> FABRA, 2016</w:t>
      </w:r>
      <w:r w:rsidRPr="00003DC8">
        <w:rPr>
          <w:rFonts w:ascii="Times New Roman" w:hAnsi="Times New Roman" w:cs="Times New Roman"/>
        </w:rPr>
        <w:t xml:space="preserve">, </w:t>
      </w:r>
      <w:r>
        <w:rPr>
          <w:rFonts w:ascii="Times New Roman" w:hAnsi="Times New Roman" w:cs="Times New Roman"/>
        </w:rPr>
        <w:t>p.</w:t>
      </w:r>
      <w:r w:rsidRPr="00003DC8">
        <w:rPr>
          <w:rFonts w:ascii="Times New Roman" w:hAnsi="Times New Roman" w:cs="Times New Roman"/>
        </w:rPr>
        <w:t xml:space="preserve"> 288.</w:t>
      </w:r>
    </w:p>
  </w:footnote>
  <w:footnote w:id="17">
    <w:p w:rsidR="0046254B" w:rsidRPr="0043628D" w:rsidRDefault="0046254B" w:rsidP="00327E85">
      <w:pPr>
        <w:pStyle w:val="Textonotapie"/>
        <w:spacing w:line="360" w:lineRule="auto"/>
        <w:jc w:val="both"/>
        <w:rPr>
          <w:rFonts w:ascii="Times New Roman" w:hAnsi="Times New Roman" w:cs="Times New Roman"/>
        </w:rPr>
      </w:pPr>
      <w:r>
        <w:rPr>
          <w:rStyle w:val="Refdenotaalpie"/>
        </w:rPr>
        <w:footnoteRef/>
      </w:r>
      <w:r>
        <w:t xml:space="preserve"> </w:t>
      </w:r>
      <w:proofErr w:type="gramStart"/>
      <w:r>
        <w:rPr>
          <w:rFonts w:ascii="Times New Roman" w:hAnsi="Times New Roman" w:cs="Times New Roman"/>
        </w:rPr>
        <w:t>OHLIGER ,</w:t>
      </w:r>
      <w:proofErr w:type="gramEnd"/>
      <w:r>
        <w:rPr>
          <w:rFonts w:ascii="Times New Roman" w:hAnsi="Times New Roman" w:cs="Times New Roman"/>
        </w:rPr>
        <w:t xml:space="preserve"> 2017,</w:t>
      </w:r>
      <w:r w:rsidRPr="00EC3607">
        <w:rPr>
          <w:rFonts w:ascii="Times New Roman" w:hAnsi="Times New Roman" w:cs="Times New Roman"/>
        </w:rPr>
        <w:t xml:space="preserve"> </w:t>
      </w:r>
      <w:hyperlink r:id="rId1" w:history="1">
        <w:r w:rsidRPr="00735E5F">
          <w:rPr>
            <w:rStyle w:val="Hipervnculo"/>
            <w:rFonts w:ascii="Times New Roman" w:hAnsi="Times New Roman" w:cs="Times New Roman"/>
          </w:rPr>
          <w:t>http://www.europarl.europa.eu/atyourservice/es/displayFtu.html?ftuId=FTU_5.4.1.html</w:t>
        </w:r>
      </w:hyperlink>
      <w:r>
        <w:rPr>
          <w:rFonts w:ascii="Times New Roman" w:hAnsi="Times New Roman" w:cs="Times New Roman"/>
        </w:rPr>
        <w:t xml:space="preserve">; IGLESIAS SKULJ, 2011, p. 35. </w:t>
      </w:r>
    </w:p>
  </w:footnote>
  <w:footnote w:id="18">
    <w:p w:rsidR="0046254B" w:rsidRPr="002401F4" w:rsidRDefault="0046254B" w:rsidP="00327E85">
      <w:pPr>
        <w:pStyle w:val="Textonotapie"/>
        <w:spacing w:line="360" w:lineRule="auto"/>
        <w:rPr>
          <w:rFonts w:ascii="Times New Roman" w:hAnsi="Times New Roman" w:cs="Times New Roman"/>
        </w:rPr>
      </w:pPr>
      <w:r>
        <w:rPr>
          <w:rStyle w:val="Refdenotaalpie"/>
        </w:rPr>
        <w:footnoteRef/>
      </w:r>
      <w:r>
        <w:t xml:space="preserve"> </w:t>
      </w:r>
      <w:r>
        <w:rPr>
          <w:rFonts w:ascii="Times New Roman" w:hAnsi="Times New Roman" w:cs="Times New Roman"/>
        </w:rPr>
        <w:t>SÁNCHEZ  y FABRA, 2016</w:t>
      </w:r>
      <w:r w:rsidRPr="002401F4">
        <w:rPr>
          <w:rFonts w:ascii="Times New Roman" w:hAnsi="Times New Roman" w:cs="Times New Roman"/>
        </w:rPr>
        <w:t xml:space="preserve">, </w:t>
      </w:r>
      <w:r>
        <w:rPr>
          <w:rFonts w:ascii="Times New Roman" w:hAnsi="Times New Roman" w:cs="Times New Roman"/>
        </w:rPr>
        <w:t>p. 29</w:t>
      </w:r>
      <w:r w:rsidRPr="002401F4">
        <w:rPr>
          <w:rFonts w:ascii="Times New Roman" w:hAnsi="Times New Roman" w:cs="Times New Roman"/>
        </w:rPr>
        <w:t>8.</w:t>
      </w:r>
    </w:p>
    <w:p w:rsidR="0046254B" w:rsidRDefault="0046254B" w:rsidP="00327E85">
      <w:pPr>
        <w:pStyle w:val="Textonotapie"/>
      </w:pPr>
    </w:p>
  </w:footnote>
  <w:footnote w:id="19">
    <w:p w:rsidR="0046254B" w:rsidRPr="00087CB9" w:rsidRDefault="0046254B" w:rsidP="0046254B">
      <w:pPr>
        <w:pStyle w:val="Textonotapie"/>
        <w:spacing w:line="360" w:lineRule="auto"/>
        <w:jc w:val="both"/>
        <w:rPr>
          <w:rFonts w:ascii="Times New Roman" w:hAnsi="Times New Roman" w:cs="Times New Roman"/>
        </w:rPr>
      </w:pPr>
      <w:r>
        <w:rPr>
          <w:rStyle w:val="Refdenotaalpie"/>
        </w:rPr>
        <w:footnoteRef/>
      </w:r>
      <w:r>
        <w:t xml:space="preserve"> </w:t>
      </w:r>
      <w:r>
        <w:rPr>
          <w:rFonts w:ascii="Times New Roman" w:hAnsi="Times New Roman" w:cs="Times New Roman"/>
        </w:rPr>
        <w:t>SUAREZ-MIRA RODRIGUEZ, 2011</w:t>
      </w:r>
      <w:r w:rsidRPr="00E75B01">
        <w:rPr>
          <w:rFonts w:ascii="Times New Roman" w:hAnsi="Times New Roman" w:cs="Times New Roman"/>
        </w:rPr>
        <w:t xml:space="preserve">, </w:t>
      </w:r>
      <w:r>
        <w:rPr>
          <w:rFonts w:ascii="Times New Roman" w:hAnsi="Times New Roman" w:cs="Times New Roman"/>
        </w:rPr>
        <w:t xml:space="preserve">pp. 59 y </w:t>
      </w:r>
      <w:proofErr w:type="spellStart"/>
      <w:r>
        <w:rPr>
          <w:rFonts w:ascii="Times New Roman" w:hAnsi="Times New Roman" w:cs="Times New Roman"/>
        </w:rPr>
        <w:t>ss</w:t>
      </w:r>
      <w:proofErr w:type="spellEnd"/>
      <w:r>
        <w:rPr>
          <w:rFonts w:ascii="Times New Roman" w:hAnsi="Times New Roman" w:cs="Times New Roman"/>
        </w:rPr>
        <w:t>; MATELLANES RODRÍGUEZ, 2012</w:t>
      </w:r>
      <w:r w:rsidRPr="00D02876">
        <w:rPr>
          <w:rFonts w:ascii="Times New Roman" w:hAnsi="Times New Roman" w:cs="Times New Roman"/>
        </w:rPr>
        <w:t xml:space="preserve">, </w:t>
      </w:r>
      <w:r>
        <w:rPr>
          <w:rFonts w:ascii="Times New Roman" w:hAnsi="Times New Roman" w:cs="Times New Roman"/>
        </w:rPr>
        <w:t>pp.</w:t>
      </w:r>
      <w:r w:rsidRPr="00D02876">
        <w:rPr>
          <w:rFonts w:ascii="Times New Roman" w:hAnsi="Times New Roman" w:cs="Times New Roman"/>
        </w:rPr>
        <w:t xml:space="preserve"> 41</w:t>
      </w:r>
      <w:r>
        <w:rPr>
          <w:rFonts w:ascii="Times New Roman" w:hAnsi="Times New Roman" w:cs="Times New Roman"/>
        </w:rPr>
        <w:t xml:space="preserve"> y ss</w:t>
      </w:r>
      <w:r w:rsidRPr="00E75B01">
        <w:rPr>
          <w:rFonts w:ascii="Times New Roman" w:hAnsi="Times New Roman" w:cs="Times New Roman"/>
        </w:rPr>
        <w:t>.</w:t>
      </w:r>
    </w:p>
  </w:footnote>
  <w:footnote w:id="20">
    <w:p w:rsidR="0046254B" w:rsidRPr="001871C4" w:rsidRDefault="0046254B" w:rsidP="0046254B">
      <w:pPr>
        <w:pStyle w:val="Textonotapie"/>
        <w:spacing w:line="360" w:lineRule="auto"/>
        <w:jc w:val="both"/>
        <w:rPr>
          <w:rFonts w:ascii="Times New Roman" w:hAnsi="Times New Roman" w:cs="Times New Roman"/>
        </w:rPr>
      </w:pPr>
      <w:r w:rsidRPr="003F2009">
        <w:rPr>
          <w:rStyle w:val="Refdenotaalpie"/>
          <w:rFonts w:ascii="Times New Roman" w:hAnsi="Times New Roman" w:cs="Times New Roman"/>
        </w:rPr>
        <w:footnoteRef/>
      </w:r>
      <w:r>
        <w:rPr>
          <w:rFonts w:ascii="Times New Roman" w:hAnsi="Times New Roman" w:cs="Times New Roman"/>
        </w:rPr>
        <w:t xml:space="preserve"> MUÑOZ CONDE, 2015</w:t>
      </w:r>
      <w:r w:rsidRPr="003F2009">
        <w:rPr>
          <w:rFonts w:ascii="Times New Roman" w:hAnsi="Times New Roman" w:cs="Times New Roman"/>
        </w:rPr>
        <w:t xml:space="preserve">, </w:t>
      </w:r>
      <w:r>
        <w:rPr>
          <w:rFonts w:ascii="Times New Roman" w:hAnsi="Times New Roman" w:cs="Times New Roman"/>
        </w:rPr>
        <w:t>pp. 497 y ss.; SERRANO TÁRRAGA, 2016, p. 519.</w:t>
      </w:r>
    </w:p>
  </w:footnote>
  <w:footnote w:id="21">
    <w:p w:rsidR="0046254B" w:rsidRPr="003F2009" w:rsidRDefault="0046254B" w:rsidP="0046254B">
      <w:pPr>
        <w:pStyle w:val="Textonotapie"/>
        <w:spacing w:line="360" w:lineRule="auto"/>
        <w:jc w:val="both"/>
      </w:pPr>
      <w:r w:rsidRPr="003F2009">
        <w:rPr>
          <w:rStyle w:val="Refdenotaalpie"/>
          <w:rFonts w:ascii="Times New Roman" w:hAnsi="Times New Roman" w:cs="Times New Roman"/>
        </w:rPr>
        <w:footnoteRef/>
      </w:r>
      <w:r>
        <w:rPr>
          <w:rFonts w:ascii="Times New Roman" w:hAnsi="Times New Roman" w:cs="Times New Roman"/>
        </w:rPr>
        <w:t xml:space="preserve"> GÓRRIZ ROYO, </w:t>
      </w:r>
      <w:r w:rsidRPr="003F2009">
        <w:rPr>
          <w:rFonts w:ascii="Times New Roman" w:hAnsi="Times New Roman" w:cs="Times New Roman"/>
        </w:rPr>
        <w:t>2015</w:t>
      </w:r>
      <w:r>
        <w:rPr>
          <w:rFonts w:ascii="Times New Roman" w:hAnsi="Times New Roman" w:cs="Times New Roman"/>
        </w:rPr>
        <w:t>, p.</w:t>
      </w:r>
      <w:r w:rsidRPr="003F2009">
        <w:rPr>
          <w:rFonts w:ascii="Times New Roman" w:hAnsi="Times New Roman" w:cs="Times New Roman"/>
        </w:rPr>
        <w:t xml:space="preserve"> 1012. </w:t>
      </w:r>
    </w:p>
  </w:footnote>
  <w:footnote w:id="22">
    <w:p w:rsidR="0046254B" w:rsidRPr="00087CB9" w:rsidRDefault="0046254B" w:rsidP="00327E85">
      <w:pPr>
        <w:pStyle w:val="Textonotapie"/>
        <w:spacing w:line="360" w:lineRule="auto"/>
        <w:jc w:val="both"/>
        <w:rPr>
          <w:rFonts w:ascii="Times New Roman" w:hAnsi="Times New Roman" w:cs="Times New Roman"/>
        </w:rPr>
      </w:pPr>
      <w:r>
        <w:rPr>
          <w:rStyle w:val="Refdenotaalpie"/>
        </w:rPr>
        <w:footnoteRef/>
      </w:r>
      <w:r>
        <w:t xml:space="preserve"> </w:t>
      </w:r>
      <w:r>
        <w:rPr>
          <w:rFonts w:ascii="Times New Roman" w:hAnsi="Times New Roman" w:cs="Times New Roman"/>
        </w:rPr>
        <w:t>MARTINEZ-BUJÁN PÉREZ, 2015</w:t>
      </w:r>
      <w:r w:rsidRPr="009F1A9E">
        <w:rPr>
          <w:rFonts w:ascii="Times New Roman" w:hAnsi="Times New Roman" w:cs="Times New Roman"/>
        </w:rPr>
        <w:t xml:space="preserve">, </w:t>
      </w:r>
      <w:r>
        <w:rPr>
          <w:rFonts w:ascii="Times New Roman" w:hAnsi="Times New Roman" w:cs="Times New Roman"/>
        </w:rPr>
        <w:t>p.</w:t>
      </w:r>
      <w:r w:rsidRPr="009F1A9E">
        <w:rPr>
          <w:rFonts w:ascii="Times New Roman" w:hAnsi="Times New Roman" w:cs="Times New Roman"/>
        </w:rPr>
        <w:t xml:space="preserve"> </w:t>
      </w:r>
      <w:r>
        <w:rPr>
          <w:rFonts w:ascii="Times New Roman" w:hAnsi="Times New Roman" w:cs="Times New Roman"/>
        </w:rPr>
        <w:t>940; OLMEDO CARDENETE, 2015</w:t>
      </w:r>
      <w:r w:rsidRPr="009F1A9E">
        <w:rPr>
          <w:rFonts w:ascii="Times New Roman" w:hAnsi="Times New Roman" w:cs="Times New Roman"/>
        </w:rPr>
        <w:t xml:space="preserve">, </w:t>
      </w:r>
      <w:r>
        <w:rPr>
          <w:rFonts w:ascii="Times New Roman" w:hAnsi="Times New Roman" w:cs="Times New Roman"/>
        </w:rPr>
        <w:t>p</w:t>
      </w:r>
      <w:r w:rsidRPr="009F1A9E">
        <w:rPr>
          <w:rFonts w:ascii="Times New Roman" w:hAnsi="Times New Roman" w:cs="Times New Roman"/>
        </w:rPr>
        <w:t xml:space="preserve">. </w:t>
      </w:r>
      <w:r>
        <w:rPr>
          <w:rFonts w:ascii="Times New Roman" w:hAnsi="Times New Roman" w:cs="Times New Roman"/>
        </w:rPr>
        <w:t>902; GÓRRIZ ROYO, 2015, p.1014</w:t>
      </w:r>
      <w:r w:rsidRPr="003D7BBF">
        <w:rPr>
          <w:rFonts w:ascii="Times New Roman" w:hAnsi="Times New Roman" w:cs="Times New Roman"/>
        </w:rPr>
        <w:t xml:space="preserve">. </w:t>
      </w:r>
    </w:p>
  </w:footnote>
  <w:footnote w:id="23">
    <w:p w:rsidR="0046254B" w:rsidRPr="00C276E7" w:rsidRDefault="0046254B" w:rsidP="00327E85">
      <w:pPr>
        <w:pStyle w:val="Textonotapie"/>
        <w:spacing w:line="360" w:lineRule="auto"/>
        <w:jc w:val="both"/>
        <w:rPr>
          <w:rFonts w:ascii="Times New Roman" w:hAnsi="Times New Roman" w:cs="Times New Roman"/>
        </w:rPr>
      </w:pPr>
      <w:r w:rsidRPr="00C276E7">
        <w:rPr>
          <w:rStyle w:val="Refdenotaalpie"/>
          <w:rFonts w:ascii="Times New Roman" w:hAnsi="Times New Roman" w:cs="Times New Roman"/>
        </w:rPr>
        <w:footnoteRef/>
      </w:r>
      <w:r w:rsidRPr="00C276E7">
        <w:rPr>
          <w:rFonts w:ascii="Times New Roman" w:hAnsi="Times New Roman" w:cs="Times New Roman"/>
        </w:rPr>
        <w:t xml:space="preserve"> </w:t>
      </w:r>
      <w:r>
        <w:rPr>
          <w:rFonts w:ascii="Times New Roman" w:hAnsi="Times New Roman" w:cs="Times New Roman"/>
        </w:rPr>
        <w:t>MUÑOZ / LÓPEZ / GARCÍA, 2015, p. 264; OLMEDO CARDENETE, 2015</w:t>
      </w:r>
      <w:r w:rsidRPr="003D7BBF">
        <w:rPr>
          <w:rFonts w:ascii="Times New Roman" w:hAnsi="Times New Roman" w:cs="Times New Roman"/>
        </w:rPr>
        <w:t xml:space="preserve">, </w:t>
      </w:r>
      <w:r>
        <w:rPr>
          <w:rFonts w:ascii="Times New Roman" w:hAnsi="Times New Roman" w:cs="Times New Roman"/>
        </w:rPr>
        <w:t>p</w:t>
      </w:r>
      <w:r w:rsidRPr="003D7BBF">
        <w:rPr>
          <w:rFonts w:ascii="Times New Roman" w:hAnsi="Times New Roman" w:cs="Times New Roman"/>
        </w:rPr>
        <w:t>. 918</w:t>
      </w:r>
      <w:r>
        <w:rPr>
          <w:rFonts w:ascii="Times New Roman" w:hAnsi="Times New Roman" w:cs="Times New Roman"/>
        </w:rPr>
        <w:t>; GÓRRIZ ROYO, 2015</w:t>
      </w:r>
      <w:r w:rsidRPr="003D7BBF">
        <w:rPr>
          <w:rFonts w:ascii="Times New Roman" w:hAnsi="Times New Roman" w:cs="Times New Roman"/>
        </w:rPr>
        <w:t xml:space="preserve">, </w:t>
      </w:r>
      <w:r>
        <w:rPr>
          <w:rFonts w:ascii="Times New Roman" w:hAnsi="Times New Roman" w:cs="Times New Roman"/>
        </w:rPr>
        <w:t>p. 1027.</w:t>
      </w:r>
    </w:p>
  </w:footnote>
  <w:footnote w:id="24">
    <w:p w:rsidR="0046254B" w:rsidRDefault="0046254B" w:rsidP="00327E85">
      <w:pPr>
        <w:pStyle w:val="Textonotapie"/>
        <w:spacing w:line="360" w:lineRule="auto"/>
        <w:jc w:val="both"/>
      </w:pPr>
      <w:r>
        <w:rPr>
          <w:rStyle w:val="Refdenotaalpie"/>
        </w:rPr>
        <w:footnoteRef/>
      </w:r>
      <w:r>
        <w:t xml:space="preserve"> </w:t>
      </w:r>
      <w:r w:rsidRPr="00F65392">
        <w:rPr>
          <w:rFonts w:ascii="Times New Roman" w:hAnsi="Times New Roman" w:cs="Times New Roman"/>
        </w:rPr>
        <w:t>MUÑOZ CONDE</w:t>
      </w:r>
      <w:r>
        <w:rPr>
          <w:rFonts w:ascii="Times New Roman" w:hAnsi="Times New Roman" w:cs="Times New Roman"/>
        </w:rPr>
        <w:t xml:space="preserve">, 2015, p. </w:t>
      </w:r>
      <w:r w:rsidRPr="00F65392">
        <w:rPr>
          <w:rFonts w:ascii="Times New Roman" w:hAnsi="Times New Roman" w:cs="Times New Roman"/>
        </w:rPr>
        <w:t>504</w:t>
      </w:r>
      <w:r w:rsidRPr="00F65392">
        <w:t>.</w:t>
      </w:r>
      <w:r>
        <w:t xml:space="preserve"> </w:t>
      </w:r>
    </w:p>
  </w:footnote>
  <w:footnote w:id="25">
    <w:p w:rsidR="0046254B" w:rsidRDefault="0046254B" w:rsidP="00327E85">
      <w:pPr>
        <w:pStyle w:val="Textonotapie"/>
        <w:spacing w:line="360" w:lineRule="auto"/>
        <w:jc w:val="both"/>
        <w:rPr>
          <w:rFonts w:ascii="Times New Roman" w:hAnsi="Times New Roman" w:cs="Times New Roman"/>
        </w:rPr>
      </w:pPr>
      <w:r w:rsidRPr="00D35705">
        <w:rPr>
          <w:rStyle w:val="Refdenotaalpie"/>
          <w:rFonts w:ascii="Times New Roman" w:hAnsi="Times New Roman" w:cs="Times New Roman"/>
        </w:rPr>
        <w:footnoteRef/>
      </w:r>
      <w:r w:rsidRPr="00D35705">
        <w:rPr>
          <w:rFonts w:ascii="Times New Roman" w:hAnsi="Times New Roman" w:cs="Times New Roman"/>
        </w:rPr>
        <w:t xml:space="preserve"> </w:t>
      </w:r>
      <w:r>
        <w:rPr>
          <w:rFonts w:ascii="Times New Roman" w:hAnsi="Times New Roman" w:cs="Times New Roman"/>
        </w:rPr>
        <w:t>MARQUÉS I BANQUÉ, 2015</w:t>
      </w:r>
      <w:r w:rsidRPr="00D35705">
        <w:rPr>
          <w:rFonts w:ascii="Times New Roman" w:hAnsi="Times New Roman" w:cs="Times New Roman"/>
        </w:rPr>
        <w:t xml:space="preserve">, </w:t>
      </w:r>
      <w:r>
        <w:rPr>
          <w:rFonts w:ascii="Times New Roman" w:hAnsi="Times New Roman" w:cs="Times New Roman"/>
        </w:rPr>
        <w:t>p. 1460; GÓRRIZ ROYO, 2015</w:t>
      </w:r>
      <w:r w:rsidRPr="003D7BBF">
        <w:rPr>
          <w:rFonts w:ascii="Times New Roman" w:hAnsi="Times New Roman" w:cs="Times New Roman"/>
        </w:rPr>
        <w:t xml:space="preserve">, </w:t>
      </w:r>
      <w:r>
        <w:rPr>
          <w:rFonts w:ascii="Times New Roman" w:hAnsi="Times New Roman" w:cs="Times New Roman"/>
        </w:rPr>
        <w:t xml:space="preserve">p. </w:t>
      </w:r>
      <w:r w:rsidRPr="003D7BBF">
        <w:rPr>
          <w:rFonts w:ascii="Times New Roman" w:hAnsi="Times New Roman" w:cs="Times New Roman"/>
        </w:rPr>
        <w:t>10</w:t>
      </w:r>
      <w:r>
        <w:rPr>
          <w:rFonts w:ascii="Times New Roman" w:hAnsi="Times New Roman" w:cs="Times New Roman"/>
        </w:rPr>
        <w:t>3</w:t>
      </w:r>
      <w:r w:rsidRPr="003D7BBF">
        <w:rPr>
          <w:rFonts w:ascii="Times New Roman" w:hAnsi="Times New Roman" w:cs="Times New Roman"/>
        </w:rPr>
        <w:t xml:space="preserve">7; </w:t>
      </w:r>
    </w:p>
    <w:p w:rsidR="0046254B" w:rsidRPr="00F81065" w:rsidRDefault="0046254B" w:rsidP="00327E85">
      <w:pPr>
        <w:pStyle w:val="Textonotapie"/>
        <w:spacing w:line="360" w:lineRule="auto"/>
        <w:jc w:val="both"/>
        <w:rPr>
          <w:rFonts w:ascii="Times New Roman" w:hAnsi="Times New Roman" w:cs="Times New Roman"/>
        </w:rPr>
      </w:pPr>
      <w:r>
        <w:rPr>
          <w:rFonts w:ascii="Times New Roman" w:hAnsi="Times New Roman" w:cs="Times New Roman"/>
        </w:rPr>
        <w:t xml:space="preserve">QUINTERO OLIVARES, 2016, p. 326. </w:t>
      </w:r>
    </w:p>
  </w:footnote>
  <w:footnote w:id="26">
    <w:p w:rsidR="0046254B" w:rsidRPr="008921AE" w:rsidRDefault="0046254B" w:rsidP="00327E85">
      <w:pPr>
        <w:pStyle w:val="Textonotapie"/>
        <w:spacing w:line="360" w:lineRule="auto"/>
        <w:jc w:val="both"/>
        <w:rPr>
          <w:rFonts w:ascii="Times New Roman" w:hAnsi="Times New Roman" w:cs="Times New Roman"/>
        </w:rPr>
      </w:pPr>
      <w:r>
        <w:rPr>
          <w:rStyle w:val="Refdenotaalpie"/>
        </w:rPr>
        <w:footnoteRef/>
      </w:r>
      <w:r>
        <w:t xml:space="preserve"> </w:t>
      </w:r>
      <w:r>
        <w:rPr>
          <w:rFonts w:ascii="Times New Roman" w:hAnsi="Times New Roman" w:cs="Times New Roman"/>
        </w:rPr>
        <w:t>MUÑOZ / LÓPEZ / GARCÍA, 2015</w:t>
      </w:r>
      <w:r w:rsidRPr="001C3255">
        <w:rPr>
          <w:rFonts w:ascii="Times New Roman" w:hAnsi="Times New Roman" w:cs="Times New Roman"/>
        </w:rPr>
        <w:t xml:space="preserve">, </w:t>
      </w:r>
      <w:r>
        <w:rPr>
          <w:rFonts w:ascii="Times New Roman" w:hAnsi="Times New Roman" w:cs="Times New Roman"/>
        </w:rPr>
        <w:t xml:space="preserve">p. 267; </w:t>
      </w:r>
      <w:r w:rsidRPr="00153A95">
        <w:rPr>
          <w:rFonts w:ascii="Times New Roman" w:hAnsi="Times New Roman" w:cs="Times New Roman"/>
        </w:rPr>
        <w:t>GÓRRI</w:t>
      </w:r>
      <w:r>
        <w:rPr>
          <w:rFonts w:ascii="Times New Roman" w:hAnsi="Times New Roman" w:cs="Times New Roman"/>
        </w:rPr>
        <w:t>Z ROYO, 2015</w:t>
      </w:r>
      <w:r w:rsidRPr="00153A95">
        <w:rPr>
          <w:rFonts w:ascii="Times New Roman" w:hAnsi="Times New Roman" w:cs="Times New Roman"/>
        </w:rPr>
        <w:t xml:space="preserve">, </w:t>
      </w:r>
      <w:r>
        <w:rPr>
          <w:rFonts w:ascii="Times New Roman" w:hAnsi="Times New Roman" w:cs="Times New Roman"/>
        </w:rPr>
        <w:t xml:space="preserve">p.1049. </w:t>
      </w:r>
    </w:p>
  </w:footnote>
  <w:footnote w:id="27">
    <w:p w:rsidR="0046254B" w:rsidRPr="002E0049" w:rsidRDefault="0046254B" w:rsidP="00327E85">
      <w:pPr>
        <w:pStyle w:val="Textonotapie"/>
        <w:spacing w:line="360" w:lineRule="auto"/>
        <w:jc w:val="both"/>
        <w:rPr>
          <w:rFonts w:ascii="Times New Roman" w:hAnsi="Times New Roman" w:cs="Times New Roman"/>
        </w:rPr>
      </w:pPr>
      <w:r>
        <w:rPr>
          <w:rStyle w:val="Refdenotaalpie"/>
        </w:rPr>
        <w:footnoteRef/>
      </w:r>
      <w:r>
        <w:t xml:space="preserve"> </w:t>
      </w:r>
      <w:r>
        <w:rPr>
          <w:rFonts w:ascii="Times New Roman" w:hAnsi="Times New Roman" w:cs="Times New Roman"/>
        </w:rPr>
        <w:t>GÓRRIZ ROYO, 2015, p.</w:t>
      </w:r>
      <w:r w:rsidRPr="002E0049">
        <w:rPr>
          <w:rFonts w:ascii="Times New Roman" w:hAnsi="Times New Roman" w:cs="Times New Roman"/>
        </w:rPr>
        <w:t>1049</w:t>
      </w:r>
      <w:r>
        <w:rPr>
          <w:rFonts w:ascii="Times New Roman" w:hAnsi="Times New Roman" w:cs="Times New Roman"/>
        </w:rPr>
        <w:t xml:space="preserve">. </w:t>
      </w:r>
    </w:p>
  </w:footnote>
  <w:footnote w:id="28">
    <w:p w:rsidR="0046254B" w:rsidRPr="00535EB1" w:rsidRDefault="0046254B" w:rsidP="00327E85">
      <w:pPr>
        <w:pStyle w:val="Textonotapie"/>
        <w:spacing w:line="360" w:lineRule="auto"/>
        <w:jc w:val="both"/>
        <w:rPr>
          <w:rFonts w:ascii="Times New Roman" w:hAnsi="Times New Roman" w:cs="Times New Roman"/>
        </w:rPr>
      </w:pPr>
      <w:r w:rsidRPr="002E0049">
        <w:rPr>
          <w:rStyle w:val="Refdenotaalpie"/>
          <w:rFonts w:ascii="Times New Roman" w:hAnsi="Times New Roman" w:cs="Times New Roman"/>
        </w:rPr>
        <w:footnoteRef/>
      </w:r>
      <w:r>
        <w:rPr>
          <w:rFonts w:ascii="Times New Roman" w:hAnsi="Times New Roman" w:cs="Times New Roman"/>
        </w:rPr>
        <w:t xml:space="preserve"> MORILLAS CUEVA, 2016</w:t>
      </w:r>
      <w:r w:rsidRPr="002E0049">
        <w:rPr>
          <w:rFonts w:ascii="Times New Roman" w:hAnsi="Times New Roman" w:cs="Times New Roman"/>
        </w:rPr>
        <w:t xml:space="preserve">, </w:t>
      </w:r>
      <w:r>
        <w:rPr>
          <w:rFonts w:ascii="Times New Roman" w:hAnsi="Times New Roman" w:cs="Times New Roman"/>
        </w:rPr>
        <w:t xml:space="preserve">p. 1045. </w:t>
      </w:r>
    </w:p>
  </w:footnote>
  <w:footnote w:id="29">
    <w:p w:rsidR="0046254B" w:rsidRPr="00087CB9" w:rsidRDefault="0046254B" w:rsidP="00327E85">
      <w:pPr>
        <w:pStyle w:val="Textonotapie"/>
        <w:spacing w:line="360" w:lineRule="auto"/>
        <w:rPr>
          <w:rFonts w:ascii="Times New Roman" w:hAnsi="Times New Roman" w:cs="Times New Roman"/>
        </w:rPr>
      </w:pPr>
      <w:r>
        <w:rPr>
          <w:rStyle w:val="Refdenotaalpie"/>
        </w:rPr>
        <w:footnoteRef/>
      </w:r>
      <w:r>
        <w:t xml:space="preserve"> </w:t>
      </w:r>
      <w:r>
        <w:rPr>
          <w:rFonts w:ascii="Times New Roman" w:hAnsi="Times New Roman" w:cs="Times New Roman"/>
        </w:rPr>
        <w:t>MUÑOZ / LÓPEZ / GARCÍA, 2015</w:t>
      </w:r>
      <w:r w:rsidRPr="00D201A3">
        <w:rPr>
          <w:rFonts w:ascii="Times New Roman" w:hAnsi="Times New Roman" w:cs="Times New Roman"/>
        </w:rPr>
        <w:t xml:space="preserve">, </w:t>
      </w:r>
      <w:r>
        <w:rPr>
          <w:rFonts w:ascii="Times New Roman" w:hAnsi="Times New Roman" w:cs="Times New Roman"/>
        </w:rPr>
        <w:t>p. 278; GOMEZ TOMILLO, 2011</w:t>
      </w:r>
      <w:r w:rsidRPr="00D201A3">
        <w:rPr>
          <w:rFonts w:ascii="Times New Roman" w:hAnsi="Times New Roman" w:cs="Times New Roman"/>
        </w:rPr>
        <w:t xml:space="preserve">, </w:t>
      </w:r>
      <w:r>
        <w:rPr>
          <w:rFonts w:ascii="Times New Roman" w:hAnsi="Times New Roman" w:cs="Times New Roman"/>
        </w:rPr>
        <w:t>p.</w:t>
      </w:r>
      <w:r w:rsidRPr="00D201A3">
        <w:rPr>
          <w:rFonts w:ascii="Times New Roman" w:hAnsi="Times New Roman" w:cs="Times New Roman"/>
        </w:rPr>
        <w:t>1284</w:t>
      </w:r>
      <w:r>
        <w:rPr>
          <w:rFonts w:ascii="Times New Roman" w:hAnsi="Times New Roman" w:cs="Times New Roman"/>
        </w:rPr>
        <w:t>; OLMEDO CARDENETE, 2015</w:t>
      </w:r>
      <w:r w:rsidRPr="00D201A3">
        <w:rPr>
          <w:rFonts w:ascii="Times New Roman" w:hAnsi="Times New Roman" w:cs="Times New Roman"/>
        </w:rPr>
        <w:t xml:space="preserve">, </w:t>
      </w:r>
      <w:r>
        <w:rPr>
          <w:rFonts w:ascii="Times New Roman" w:hAnsi="Times New Roman" w:cs="Times New Roman"/>
        </w:rPr>
        <w:t>pp. 932 y ss.</w:t>
      </w:r>
      <w:r w:rsidRPr="00D201A3">
        <w:rPr>
          <w:rFonts w:ascii="Times New Roman" w:hAnsi="Times New Roman" w:cs="Times New Roman"/>
        </w:rPr>
        <w:t xml:space="preserve"> </w:t>
      </w:r>
    </w:p>
  </w:footnote>
  <w:footnote w:id="30">
    <w:p w:rsidR="0046254B" w:rsidRPr="00D82836" w:rsidRDefault="0046254B" w:rsidP="00327E85">
      <w:pPr>
        <w:pStyle w:val="Textonotapie"/>
        <w:spacing w:line="360" w:lineRule="auto"/>
        <w:jc w:val="both"/>
        <w:rPr>
          <w:rFonts w:ascii="Times New Roman" w:hAnsi="Times New Roman" w:cs="Times New Roman"/>
        </w:rPr>
      </w:pPr>
      <w:r w:rsidRPr="002D6249">
        <w:rPr>
          <w:rStyle w:val="Refdenotaalpie"/>
          <w:rFonts w:ascii="Times New Roman" w:hAnsi="Times New Roman" w:cs="Times New Roman"/>
        </w:rPr>
        <w:footnoteRef/>
      </w:r>
      <w:r>
        <w:rPr>
          <w:rFonts w:ascii="Times New Roman" w:hAnsi="Times New Roman" w:cs="Times New Roman"/>
        </w:rPr>
        <w:t xml:space="preserve"> MUÑOZ CONDE, 2015</w:t>
      </w:r>
      <w:r w:rsidRPr="002D6249">
        <w:rPr>
          <w:rFonts w:ascii="Times New Roman" w:hAnsi="Times New Roman" w:cs="Times New Roman"/>
        </w:rPr>
        <w:t xml:space="preserve">, </w:t>
      </w:r>
      <w:r>
        <w:rPr>
          <w:rFonts w:ascii="Times New Roman" w:hAnsi="Times New Roman" w:cs="Times New Roman"/>
        </w:rPr>
        <w:t>p. 509; OLMEDO CARDENETE, 2015</w:t>
      </w:r>
      <w:r w:rsidRPr="00D82836">
        <w:rPr>
          <w:rFonts w:ascii="Times New Roman" w:hAnsi="Times New Roman" w:cs="Times New Roman"/>
        </w:rPr>
        <w:t xml:space="preserve">, </w:t>
      </w:r>
      <w:r>
        <w:rPr>
          <w:rFonts w:ascii="Times New Roman" w:hAnsi="Times New Roman" w:cs="Times New Roman"/>
        </w:rPr>
        <w:t>pp</w:t>
      </w:r>
      <w:r w:rsidRPr="00D82836">
        <w:rPr>
          <w:rFonts w:ascii="Times New Roman" w:hAnsi="Times New Roman" w:cs="Times New Roman"/>
        </w:rPr>
        <w:t>. 932</w:t>
      </w:r>
      <w:r>
        <w:rPr>
          <w:rFonts w:ascii="Times New Roman" w:hAnsi="Times New Roman" w:cs="Times New Roman"/>
        </w:rPr>
        <w:t xml:space="preserve"> y ss.; MANZANARES SAMANIEGO, 2016, p. 1129.</w:t>
      </w:r>
    </w:p>
  </w:footnote>
  <w:footnote w:id="31">
    <w:p w:rsidR="0046254B" w:rsidRDefault="0046254B" w:rsidP="00327E85">
      <w:pPr>
        <w:pStyle w:val="Textonotapie"/>
        <w:spacing w:line="360" w:lineRule="auto"/>
      </w:pPr>
      <w:r>
        <w:rPr>
          <w:rStyle w:val="Refdenotaalpie"/>
        </w:rPr>
        <w:footnoteRef/>
      </w:r>
      <w:r>
        <w:t xml:space="preserve"> </w:t>
      </w:r>
      <w:r>
        <w:rPr>
          <w:rFonts w:ascii="Times New Roman" w:hAnsi="Times New Roman" w:cs="Times New Roman"/>
        </w:rPr>
        <w:t>OLMEDO CARDENETE, 2015</w:t>
      </w:r>
      <w:r w:rsidRPr="00D82836">
        <w:rPr>
          <w:rFonts w:ascii="Times New Roman" w:hAnsi="Times New Roman" w:cs="Times New Roman"/>
        </w:rPr>
        <w:t xml:space="preserve">, </w:t>
      </w:r>
      <w:r>
        <w:rPr>
          <w:rFonts w:ascii="Times New Roman" w:hAnsi="Times New Roman" w:cs="Times New Roman"/>
        </w:rPr>
        <w:t xml:space="preserve">pp. 932 y ss.; GÓMEZ TOMILLO, </w:t>
      </w:r>
      <w:r w:rsidRPr="00D82836">
        <w:rPr>
          <w:rFonts w:ascii="Times New Roman" w:hAnsi="Times New Roman" w:cs="Times New Roman"/>
        </w:rPr>
        <w:t>2</w:t>
      </w:r>
      <w:r>
        <w:rPr>
          <w:rFonts w:ascii="Times New Roman" w:hAnsi="Times New Roman" w:cs="Times New Roman"/>
        </w:rPr>
        <w:t>011</w:t>
      </w:r>
      <w:r w:rsidRPr="00D82836">
        <w:rPr>
          <w:rFonts w:ascii="Times New Roman" w:hAnsi="Times New Roman" w:cs="Times New Roman"/>
        </w:rPr>
        <w:t xml:space="preserve">, </w:t>
      </w:r>
      <w:r>
        <w:rPr>
          <w:rFonts w:ascii="Times New Roman" w:hAnsi="Times New Roman" w:cs="Times New Roman"/>
        </w:rPr>
        <w:t>p.</w:t>
      </w:r>
      <w:r w:rsidRPr="00D82836">
        <w:rPr>
          <w:rFonts w:ascii="Times New Roman" w:hAnsi="Times New Roman" w:cs="Times New Roman"/>
        </w:rPr>
        <w:t xml:space="preserve"> 1292</w:t>
      </w:r>
    </w:p>
  </w:footnote>
  <w:footnote w:id="32">
    <w:p w:rsidR="0046254B" w:rsidRPr="001203CD" w:rsidRDefault="0046254B" w:rsidP="00327E85">
      <w:pPr>
        <w:pStyle w:val="Textonotapie"/>
        <w:spacing w:line="360" w:lineRule="auto"/>
        <w:jc w:val="both"/>
        <w:rPr>
          <w:rFonts w:ascii="Times New Roman" w:hAnsi="Times New Roman" w:cs="Times New Roman"/>
        </w:rPr>
      </w:pPr>
      <w:r>
        <w:rPr>
          <w:rStyle w:val="Refdenotaalpie"/>
        </w:rPr>
        <w:footnoteRef/>
      </w:r>
      <w:r>
        <w:t xml:space="preserve"> </w:t>
      </w:r>
      <w:r w:rsidRPr="003F2EA9">
        <w:rPr>
          <w:rFonts w:ascii="Times New Roman" w:hAnsi="Times New Roman" w:cs="Times New Roman"/>
        </w:rPr>
        <w:t xml:space="preserve"> MUÑOZ CONDE</w:t>
      </w:r>
      <w:r>
        <w:rPr>
          <w:rFonts w:ascii="Times New Roman" w:hAnsi="Times New Roman" w:cs="Times New Roman"/>
        </w:rPr>
        <w:t>, 2015, p.</w:t>
      </w:r>
      <w:r w:rsidRPr="003F2EA9">
        <w:rPr>
          <w:rFonts w:ascii="Times New Roman" w:hAnsi="Times New Roman" w:cs="Times New Roman"/>
        </w:rPr>
        <w:t xml:space="preserve"> 511.</w:t>
      </w:r>
      <w:r>
        <w:rPr>
          <w:rFonts w:ascii="Times New Roman" w:hAnsi="Times New Roman" w:cs="Times New Roman"/>
        </w:rPr>
        <w:t xml:space="preserve"> </w:t>
      </w:r>
    </w:p>
  </w:footnote>
  <w:footnote w:id="33">
    <w:p w:rsidR="0046254B" w:rsidRPr="00E61F2A" w:rsidRDefault="0046254B" w:rsidP="00327E85">
      <w:pPr>
        <w:pStyle w:val="Textonotapie"/>
        <w:spacing w:line="360" w:lineRule="auto"/>
        <w:rPr>
          <w:rFonts w:ascii="Times New Roman" w:hAnsi="Times New Roman" w:cs="Times New Roman"/>
        </w:rPr>
      </w:pPr>
      <w:r>
        <w:rPr>
          <w:rStyle w:val="Refdenotaalpie"/>
        </w:rPr>
        <w:footnoteRef/>
      </w:r>
      <w:r>
        <w:t xml:space="preserve"> </w:t>
      </w:r>
      <w:r>
        <w:rPr>
          <w:rFonts w:ascii="Times New Roman" w:hAnsi="Times New Roman" w:cs="Times New Roman"/>
        </w:rPr>
        <w:t>OLMEDO CARDENETE, 2015</w:t>
      </w:r>
      <w:r w:rsidRPr="00743CE8">
        <w:rPr>
          <w:rFonts w:ascii="Times New Roman" w:hAnsi="Times New Roman" w:cs="Times New Roman"/>
        </w:rPr>
        <w:t xml:space="preserve">, </w:t>
      </w:r>
      <w:r>
        <w:rPr>
          <w:rFonts w:ascii="Times New Roman" w:hAnsi="Times New Roman" w:cs="Times New Roman"/>
        </w:rPr>
        <w:t>p.</w:t>
      </w:r>
      <w:r w:rsidRPr="00743CE8">
        <w:rPr>
          <w:rFonts w:ascii="Times New Roman" w:hAnsi="Times New Roman" w:cs="Times New Roman"/>
        </w:rPr>
        <w:t xml:space="preserve"> 9</w:t>
      </w:r>
      <w:r>
        <w:rPr>
          <w:rFonts w:ascii="Times New Roman" w:hAnsi="Times New Roman" w:cs="Times New Roman"/>
        </w:rPr>
        <w:t>37; MATALLÍN EVANGELIO, 2015</w:t>
      </w:r>
      <w:r w:rsidRPr="00743CE8">
        <w:rPr>
          <w:rFonts w:ascii="Times New Roman" w:hAnsi="Times New Roman" w:cs="Times New Roman"/>
        </w:rPr>
        <w:t xml:space="preserve">, </w:t>
      </w:r>
      <w:r>
        <w:rPr>
          <w:rFonts w:ascii="Times New Roman" w:hAnsi="Times New Roman" w:cs="Times New Roman"/>
        </w:rPr>
        <w:t>p.</w:t>
      </w:r>
      <w:r w:rsidRPr="00743CE8">
        <w:rPr>
          <w:rFonts w:ascii="Times New Roman" w:hAnsi="Times New Roman" w:cs="Times New Roman"/>
        </w:rPr>
        <w:t xml:space="preserve"> 1054.</w:t>
      </w:r>
    </w:p>
  </w:footnote>
  <w:footnote w:id="34">
    <w:p w:rsidR="0046254B" w:rsidRPr="00D476EE" w:rsidRDefault="0046254B" w:rsidP="00327E85">
      <w:pPr>
        <w:pStyle w:val="Textonotapie"/>
        <w:spacing w:line="360" w:lineRule="auto"/>
        <w:jc w:val="both"/>
        <w:rPr>
          <w:rFonts w:ascii="Times New Roman" w:hAnsi="Times New Roman" w:cs="Times New Roman"/>
        </w:rPr>
      </w:pPr>
      <w:r w:rsidRPr="00D476EE">
        <w:rPr>
          <w:rStyle w:val="Refdenotaalpie"/>
          <w:rFonts w:ascii="Times New Roman" w:hAnsi="Times New Roman" w:cs="Times New Roman"/>
        </w:rPr>
        <w:footnoteRef/>
      </w:r>
      <w:r w:rsidRPr="00D476EE">
        <w:rPr>
          <w:rFonts w:ascii="Times New Roman" w:hAnsi="Times New Roman" w:cs="Times New Roman"/>
        </w:rPr>
        <w:t xml:space="preserve"> Ley 42/2007, de 13 de diciembre, del Patrimonio Natural y de la Biodiversidad. BOE núm.299, de 14/12/2007.</w:t>
      </w:r>
    </w:p>
  </w:footnote>
  <w:footnote w:id="35">
    <w:p w:rsidR="0046254B" w:rsidRPr="006F14A2" w:rsidRDefault="0046254B" w:rsidP="00327E85">
      <w:pPr>
        <w:pStyle w:val="Textonotapie"/>
        <w:spacing w:line="360" w:lineRule="auto"/>
        <w:jc w:val="both"/>
        <w:rPr>
          <w:rFonts w:ascii="Times New Roman" w:hAnsi="Times New Roman" w:cs="Times New Roman"/>
        </w:rPr>
      </w:pPr>
      <w:r w:rsidRPr="006F14A2">
        <w:rPr>
          <w:rStyle w:val="Refdenotaalpie"/>
          <w:rFonts w:ascii="Times New Roman" w:hAnsi="Times New Roman" w:cs="Times New Roman"/>
        </w:rPr>
        <w:footnoteRef/>
      </w:r>
      <w:r>
        <w:rPr>
          <w:rFonts w:ascii="Times New Roman" w:hAnsi="Times New Roman" w:cs="Times New Roman"/>
        </w:rPr>
        <w:t xml:space="preserve"> SOUTO GARCÍA, 2011, p. 462;  MUÑOZ / LÓPEZ / GARCÍA, 2015</w:t>
      </w:r>
      <w:r w:rsidRPr="006F14A2">
        <w:rPr>
          <w:rFonts w:ascii="Times New Roman" w:hAnsi="Times New Roman" w:cs="Times New Roman"/>
        </w:rPr>
        <w:t xml:space="preserve">, </w:t>
      </w:r>
      <w:r>
        <w:rPr>
          <w:rFonts w:ascii="Times New Roman" w:hAnsi="Times New Roman" w:cs="Times New Roman"/>
        </w:rPr>
        <w:t>p. 331; MARQUÉS I BANQUÉ, 2016</w:t>
      </w:r>
      <w:r w:rsidRPr="00EF75F2">
        <w:rPr>
          <w:rFonts w:ascii="Times New Roman" w:hAnsi="Times New Roman" w:cs="Times New Roman"/>
        </w:rPr>
        <w:t xml:space="preserve">, </w:t>
      </w:r>
      <w:r>
        <w:rPr>
          <w:rFonts w:ascii="Times New Roman" w:hAnsi="Times New Roman" w:cs="Times New Roman"/>
        </w:rPr>
        <w:t>p. 1465</w:t>
      </w:r>
      <w:r w:rsidRPr="00EF75F2">
        <w:rPr>
          <w:rFonts w:ascii="Times New Roman" w:hAnsi="Times New Roman" w:cs="Times New Roman"/>
        </w:rPr>
        <w:t xml:space="preserve">. </w:t>
      </w:r>
    </w:p>
  </w:footnote>
  <w:footnote w:id="36">
    <w:p w:rsidR="0046254B" w:rsidRPr="008921AE" w:rsidRDefault="0046254B" w:rsidP="00327E85">
      <w:pPr>
        <w:pStyle w:val="Textonotapie"/>
        <w:spacing w:line="360" w:lineRule="auto"/>
        <w:jc w:val="both"/>
        <w:rPr>
          <w:rFonts w:ascii="Times New Roman" w:hAnsi="Times New Roman" w:cs="Times New Roman"/>
        </w:rPr>
      </w:pPr>
      <w:r w:rsidRPr="006F14A2">
        <w:rPr>
          <w:rStyle w:val="Refdenotaalpie"/>
          <w:rFonts w:ascii="Times New Roman" w:hAnsi="Times New Roman" w:cs="Times New Roman"/>
        </w:rPr>
        <w:footnoteRef/>
      </w:r>
      <w:r>
        <w:rPr>
          <w:rFonts w:ascii="Times New Roman" w:hAnsi="Times New Roman" w:cs="Times New Roman"/>
        </w:rPr>
        <w:t xml:space="preserve"> MUÑOZ CONDE / LÓPEZ / GARCÍA, 2015</w:t>
      </w:r>
      <w:r w:rsidRPr="006F14A2">
        <w:rPr>
          <w:rFonts w:ascii="Times New Roman" w:hAnsi="Times New Roman" w:cs="Times New Roman"/>
        </w:rPr>
        <w:t xml:space="preserve">, </w:t>
      </w:r>
      <w:r>
        <w:rPr>
          <w:rFonts w:ascii="Times New Roman" w:hAnsi="Times New Roman" w:cs="Times New Roman"/>
        </w:rPr>
        <w:t xml:space="preserve">p. 332; </w:t>
      </w:r>
      <w:r w:rsidRPr="00CA7796">
        <w:rPr>
          <w:rFonts w:ascii="Times New Roman" w:hAnsi="Times New Roman" w:cs="Times New Roman"/>
        </w:rPr>
        <w:t>SOUTO GAR</w:t>
      </w:r>
      <w:r>
        <w:rPr>
          <w:rFonts w:ascii="Times New Roman" w:hAnsi="Times New Roman" w:cs="Times New Roman"/>
        </w:rPr>
        <w:t xml:space="preserve">CÍA, </w:t>
      </w:r>
      <w:r w:rsidRPr="00CA7796">
        <w:rPr>
          <w:rFonts w:ascii="Times New Roman" w:hAnsi="Times New Roman" w:cs="Times New Roman"/>
        </w:rPr>
        <w:t>2011</w:t>
      </w:r>
      <w:r>
        <w:rPr>
          <w:rFonts w:ascii="Times New Roman" w:hAnsi="Times New Roman" w:cs="Times New Roman"/>
        </w:rPr>
        <w:t>, p.</w:t>
      </w:r>
      <w:r w:rsidRPr="00CA7796">
        <w:rPr>
          <w:rFonts w:ascii="Times New Roman" w:hAnsi="Times New Roman" w:cs="Times New Roman"/>
        </w:rPr>
        <w:t>4</w:t>
      </w:r>
      <w:r>
        <w:rPr>
          <w:rFonts w:ascii="Times New Roman" w:hAnsi="Times New Roman" w:cs="Times New Roman"/>
        </w:rPr>
        <w:t>64.</w:t>
      </w:r>
    </w:p>
  </w:footnote>
  <w:footnote w:id="37">
    <w:p w:rsidR="0046254B" w:rsidRPr="00CD18F7" w:rsidRDefault="0046254B" w:rsidP="00327E85">
      <w:pPr>
        <w:pStyle w:val="Textonotapie"/>
        <w:spacing w:line="360" w:lineRule="auto"/>
        <w:jc w:val="both"/>
        <w:rPr>
          <w:rFonts w:ascii="Times New Roman" w:hAnsi="Times New Roman" w:cs="Times New Roman"/>
        </w:rPr>
      </w:pPr>
      <w:r w:rsidRPr="00CD18F7">
        <w:rPr>
          <w:rStyle w:val="Refdenotaalpie"/>
          <w:rFonts w:ascii="Times New Roman" w:hAnsi="Times New Roman" w:cs="Times New Roman"/>
        </w:rPr>
        <w:footnoteRef/>
      </w:r>
      <w:r>
        <w:rPr>
          <w:rFonts w:ascii="Times New Roman" w:hAnsi="Times New Roman" w:cs="Times New Roman"/>
        </w:rPr>
        <w:t xml:space="preserve"> CERES MONTES, 2015,</w:t>
      </w:r>
      <w:r w:rsidRPr="00CD18F7">
        <w:rPr>
          <w:rFonts w:ascii="Times New Roman" w:hAnsi="Times New Roman" w:cs="Times New Roman"/>
        </w:rPr>
        <w:t xml:space="preserve">  </w:t>
      </w:r>
      <w:r>
        <w:rPr>
          <w:rFonts w:ascii="Times New Roman" w:hAnsi="Times New Roman" w:cs="Times New Roman"/>
        </w:rPr>
        <w:t>p</w:t>
      </w:r>
      <w:r w:rsidRPr="00CD18F7">
        <w:rPr>
          <w:rFonts w:ascii="Times New Roman" w:hAnsi="Times New Roman" w:cs="Times New Roman"/>
        </w:rPr>
        <w:t xml:space="preserve">. 237. </w:t>
      </w:r>
    </w:p>
  </w:footnote>
  <w:footnote w:id="38">
    <w:p w:rsidR="0046254B" w:rsidRPr="00CD18F7" w:rsidRDefault="0046254B" w:rsidP="00327E85">
      <w:pPr>
        <w:pStyle w:val="Textonotapie"/>
        <w:spacing w:line="360" w:lineRule="auto"/>
        <w:jc w:val="both"/>
        <w:rPr>
          <w:rFonts w:ascii="Times New Roman" w:hAnsi="Times New Roman" w:cs="Times New Roman"/>
        </w:rPr>
      </w:pPr>
      <w:r w:rsidRPr="00CD18F7">
        <w:rPr>
          <w:rStyle w:val="Refdenotaalpie"/>
          <w:rFonts w:ascii="Times New Roman" w:hAnsi="Times New Roman" w:cs="Times New Roman"/>
        </w:rPr>
        <w:footnoteRef/>
      </w:r>
      <w:r>
        <w:rPr>
          <w:rFonts w:ascii="Times New Roman" w:hAnsi="Times New Roman" w:cs="Times New Roman"/>
        </w:rPr>
        <w:t xml:space="preserve"> OLMEDO CARDENETE, 2015</w:t>
      </w:r>
      <w:r w:rsidRPr="00CD18F7">
        <w:rPr>
          <w:rFonts w:ascii="Times New Roman" w:hAnsi="Times New Roman" w:cs="Times New Roman"/>
        </w:rPr>
        <w:t xml:space="preserve">, </w:t>
      </w:r>
      <w:r>
        <w:rPr>
          <w:rFonts w:ascii="Times New Roman" w:hAnsi="Times New Roman" w:cs="Times New Roman"/>
        </w:rPr>
        <w:t>pp. 767 y ss</w:t>
      </w:r>
      <w:r w:rsidRPr="00CD18F7">
        <w:rPr>
          <w:rFonts w:ascii="Times New Roman" w:hAnsi="Times New Roman" w:cs="Times New Roman"/>
        </w:rPr>
        <w:t>.</w:t>
      </w:r>
      <w:r>
        <w:rPr>
          <w:rFonts w:ascii="Times New Roman" w:hAnsi="Times New Roman" w:cs="Times New Roman"/>
        </w:rPr>
        <w:t>; MUÑOZ / LÓPEZ / GARCÍA, 2015</w:t>
      </w:r>
      <w:r w:rsidRPr="00943F2E">
        <w:rPr>
          <w:rFonts w:ascii="Times New Roman" w:hAnsi="Times New Roman" w:cs="Times New Roman"/>
        </w:rPr>
        <w:t xml:space="preserve">, </w:t>
      </w:r>
      <w:r>
        <w:rPr>
          <w:rFonts w:ascii="Times New Roman" w:hAnsi="Times New Roman" w:cs="Times New Roman"/>
        </w:rPr>
        <w:t>p.</w:t>
      </w:r>
      <w:r w:rsidRPr="00943F2E">
        <w:rPr>
          <w:rFonts w:ascii="Times New Roman" w:hAnsi="Times New Roman" w:cs="Times New Roman"/>
        </w:rPr>
        <w:t xml:space="preserve"> 242. </w:t>
      </w:r>
    </w:p>
  </w:footnote>
  <w:footnote w:id="39">
    <w:p w:rsidR="0046254B" w:rsidRPr="00F9034A" w:rsidRDefault="0046254B" w:rsidP="00327E85">
      <w:pPr>
        <w:pStyle w:val="Textonotapie"/>
        <w:spacing w:line="360" w:lineRule="auto"/>
        <w:jc w:val="both"/>
        <w:rPr>
          <w:rFonts w:ascii="Times New Roman" w:hAnsi="Times New Roman" w:cs="Times New Roman"/>
        </w:rPr>
      </w:pPr>
      <w:r w:rsidRPr="00CD18F7">
        <w:rPr>
          <w:rStyle w:val="Refdenotaalpie"/>
          <w:rFonts w:ascii="Times New Roman" w:hAnsi="Times New Roman" w:cs="Times New Roman"/>
        </w:rPr>
        <w:footnoteRef/>
      </w:r>
      <w:r>
        <w:rPr>
          <w:rFonts w:ascii="Times New Roman" w:hAnsi="Times New Roman" w:cs="Times New Roman"/>
        </w:rPr>
        <w:t xml:space="preserve"> GÓRRIZ ROYO, 2015</w:t>
      </w:r>
      <w:r w:rsidRPr="00CD18F7">
        <w:rPr>
          <w:rFonts w:ascii="Times New Roman" w:hAnsi="Times New Roman" w:cs="Times New Roman"/>
        </w:rPr>
        <w:t xml:space="preserve">, </w:t>
      </w:r>
      <w:r>
        <w:rPr>
          <w:rFonts w:ascii="Times New Roman" w:hAnsi="Times New Roman" w:cs="Times New Roman"/>
        </w:rPr>
        <w:t>p.</w:t>
      </w:r>
      <w:r w:rsidRPr="00CD18F7">
        <w:rPr>
          <w:rFonts w:ascii="Times New Roman" w:hAnsi="Times New Roman" w:cs="Times New Roman"/>
        </w:rPr>
        <w:t xml:space="preserve"> 1014. </w:t>
      </w:r>
    </w:p>
  </w:footnote>
  <w:footnote w:id="40">
    <w:p w:rsidR="0046254B" w:rsidRPr="0078488F" w:rsidRDefault="0046254B" w:rsidP="00327E85">
      <w:pPr>
        <w:pStyle w:val="Textonotapie"/>
        <w:spacing w:line="360" w:lineRule="auto"/>
        <w:jc w:val="both"/>
        <w:rPr>
          <w:i/>
        </w:rPr>
      </w:pPr>
      <w:r>
        <w:rPr>
          <w:rStyle w:val="Refdenotaalpie"/>
        </w:rPr>
        <w:footnoteRef/>
      </w:r>
      <w:r>
        <w:t xml:space="preserve"> </w:t>
      </w:r>
      <w:r>
        <w:rPr>
          <w:rFonts w:ascii="Times New Roman" w:hAnsi="Times New Roman" w:cs="Times New Roman"/>
        </w:rPr>
        <w:t>JERICÓ OJER, 2016, p.</w:t>
      </w:r>
      <w:r w:rsidRPr="00B65E10">
        <w:rPr>
          <w:rFonts w:ascii="Times New Roman" w:hAnsi="Times New Roman" w:cs="Times New Roman"/>
        </w:rPr>
        <w:t xml:space="preserve"> 13</w:t>
      </w:r>
      <w:r>
        <w:rPr>
          <w:rFonts w:ascii="Times New Roman" w:hAnsi="Times New Roman" w:cs="Times New Roman"/>
        </w:rPr>
        <w:t>.</w:t>
      </w:r>
    </w:p>
  </w:footnote>
  <w:footnote w:id="41">
    <w:p w:rsidR="0046254B" w:rsidRPr="0044755B" w:rsidRDefault="0046254B" w:rsidP="00327E85">
      <w:pPr>
        <w:pStyle w:val="Textonotapie"/>
        <w:spacing w:line="360" w:lineRule="auto"/>
        <w:jc w:val="both"/>
        <w:rPr>
          <w:rFonts w:ascii="Times New Roman" w:hAnsi="Times New Roman" w:cs="Times New Roman"/>
        </w:rPr>
      </w:pPr>
      <w:r w:rsidRPr="0044755B">
        <w:rPr>
          <w:rStyle w:val="Refdenotaalpie"/>
          <w:rFonts w:ascii="Times New Roman" w:hAnsi="Times New Roman" w:cs="Times New Roman"/>
        </w:rPr>
        <w:footnoteRef/>
      </w:r>
      <w:r>
        <w:rPr>
          <w:rFonts w:ascii="Times New Roman" w:hAnsi="Times New Roman" w:cs="Times New Roman"/>
        </w:rPr>
        <w:t xml:space="preserve"> GÓRRIZ ROYO, 2015</w:t>
      </w:r>
      <w:r w:rsidRPr="0044755B">
        <w:rPr>
          <w:rFonts w:ascii="Times New Roman" w:hAnsi="Times New Roman" w:cs="Times New Roman"/>
        </w:rPr>
        <w:t xml:space="preserve">, </w:t>
      </w:r>
      <w:r>
        <w:rPr>
          <w:rFonts w:ascii="Times New Roman" w:hAnsi="Times New Roman" w:cs="Times New Roman"/>
        </w:rPr>
        <w:t>p.</w:t>
      </w:r>
      <w:r w:rsidRPr="0044755B">
        <w:rPr>
          <w:rFonts w:ascii="Times New Roman" w:hAnsi="Times New Roman" w:cs="Times New Roman"/>
        </w:rPr>
        <w:t xml:space="preserve"> 1022. </w:t>
      </w:r>
    </w:p>
  </w:footnote>
  <w:footnote w:id="42">
    <w:p w:rsidR="0046254B" w:rsidRPr="0044755B" w:rsidRDefault="0046254B" w:rsidP="00327E85">
      <w:pPr>
        <w:pStyle w:val="Textonotapie"/>
        <w:spacing w:line="360" w:lineRule="auto"/>
        <w:jc w:val="both"/>
      </w:pPr>
      <w:r w:rsidRPr="0044755B">
        <w:rPr>
          <w:rStyle w:val="Refdenotaalpie"/>
          <w:rFonts w:ascii="Times New Roman" w:hAnsi="Times New Roman" w:cs="Times New Roman"/>
        </w:rPr>
        <w:footnoteRef/>
      </w:r>
      <w:r>
        <w:rPr>
          <w:rFonts w:ascii="Times New Roman" w:hAnsi="Times New Roman" w:cs="Times New Roman"/>
        </w:rPr>
        <w:t xml:space="preserve"> OLMEDO CARDENETE, 2015</w:t>
      </w:r>
      <w:r w:rsidRPr="0044755B">
        <w:rPr>
          <w:rFonts w:ascii="Times New Roman" w:hAnsi="Times New Roman" w:cs="Times New Roman"/>
        </w:rPr>
        <w:t xml:space="preserve">, </w:t>
      </w:r>
      <w:r>
        <w:rPr>
          <w:rFonts w:ascii="Times New Roman" w:hAnsi="Times New Roman" w:cs="Times New Roman"/>
        </w:rPr>
        <w:t xml:space="preserve">p. 768. </w:t>
      </w:r>
    </w:p>
  </w:footnote>
  <w:footnote w:id="43">
    <w:p w:rsidR="0046254B" w:rsidRPr="001750C9" w:rsidRDefault="0046254B" w:rsidP="00327E85">
      <w:pPr>
        <w:pStyle w:val="Textonotapie"/>
        <w:spacing w:line="360" w:lineRule="auto"/>
        <w:jc w:val="both"/>
        <w:rPr>
          <w:rFonts w:ascii="Times New Roman" w:hAnsi="Times New Roman" w:cs="Times New Roman"/>
        </w:rPr>
      </w:pPr>
      <w:r>
        <w:rPr>
          <w:rStyle w:val="Refdenotaalpie"/>
        </w:rPr>
        <w:footnoteRef/>
      </w:r>
      <w:r>
        <w:t xml:space="preserve"> </w:t>
      </w:r>
      <w:r>
        <w:rPr>
          <w:rFonts w:ascii="Times New Roman" w:hAnsi="Times New Roman" w:cs="Times New Roman"/>
        </w:rPr>
        <w:t>SERRANO TÁRRAGA, 2016</w:t>
      </w:r>
      <w:r w:rsidRPr="00B109C7">
        <w:rPr>
          <w:rFonts w:ascii="Times New Roman" w:hAnsi="Times New Roman" w:cs="Times New Roman"/>
        </w:rPr>
        <w:t xml:space="preserve">, </w:t>
      </w:r>
      <w:r>
        <w:rPr>
          <w:rFonts w:ascii="Times New Roman" w:hAnsi="Times New Roman" w:cs="Times New Roman"/>
        </w:rPr>
        <w:t>p. 521.</w:t>
      </w:r>
    </w:p>
  </w:footnote>
  <w:footnote w:id="44">
    <w:p w:rsidR="0046254B" w:rsidRPr="00C608F2" w:rsidRDefault="0046254B" w:rsidP="00327E85">
      <w:pPr>
        <w:pStyle w:val="Textonotapie"/>
        <w:spacing w:line="360" w:lineRule="auto"/>
        <w:jc w:val="both"/>
        <w:rPr>
          <w:rFonts w:ascii="Times New Roman" w:hAnsi="Times New Roman" w:cs="Times New Roman"/>
        </w:rPr>
      </w:pPr>
      <w:r w:rsidRPr="001644C7">
        <w:rPr>
          <w:rStyle w:val="Refdenotaalpie"/>
          <w:rFonts w:ascii="Times New Roman" w:hAnsi="Times New Roman" w:cs="Times New Roman"/>
        </w:rPr>
        <w:footnoteRef/>
      </w:r>
      <w:r w:rsidRPr="001644C7">
        <w:rPr>
          <w:rFonts w:ascii="Times New Roman" w:hAnsi="Times New Roman" w:cs="Times New Roman"/>
        </w:rPr>
        <w:t xml:space="preserve"> SENTENCIA DEL TRIBUNA</w:t>
      </w:r>
      <w:r>
        <w:rPr>
          <w:rFonts w:ascii="Times New Roman" w:hAnsi="Times New Roman" w:cs="Times New Roman"/>
        </w:rPr>
        <w:t>L SUPREMO 105/99 de 27 de enero; SANCHEZ MELGAR, 2016, p. 2350.; LEFEBVE, 2016, p. 1451; MUÑOZ / LÓPEZ / GARCÍA, 2015</w:t>
      </w:r>
      <w:r w:rsidRPr="003020CB">
        <w:rPr>
          <w:rFonts w:ascii="Times New Roman" w:hAnsi="Times New Roman" w:cs="Times New Roman"/>
        </w:rPr>
        <w:t xml:space="preserve">, </w:t>
      </w:r>
      <w:r>
        <w:rPr>
          <w:rFonts w:ascii="Times New Roman" w:hAnsi="Times New Roman" w:cs="Times New Roman"/>
        </w:rPr>
        <w:t>p.242</w:t>
      </w:r>
      <w:r w:rsidRPr="003020CB">
        <w:rPr>
          <w:rFonts w:ascii="Times New Roman" w:hAnsi="Times New Roman" w:cs="Times New Roman"/>
        </w:rPr>
        <w:t xml:space="preserve">. </w:t>
      </w:r>
    </w:p>
  </w:footnote>
  <w:footnote w:id="45">
    <w:p w:rsidR="0046254B" w:rsidRPr="00746254" w:rsidRDefault="0046254B" w:rsidP="00327E85">
      <w:pPr>
        <w:pStyle w:val="Textonotapie"/>
        <w:spacing w:line="360" w:lineRule="auto"/>
        <w:jc w:val="both"/>
        <w:rPr>
          <w:rFonts w:ascii="Times New Roman" w:hAnsi="Times New Roman" w:cs="Times New Roman"/>
        </w:rPr>
      </w:pPr>
      <w:r w:rsidRPr="001644C7">
        <w:rPr>
          <w:rStyle w:val="Refdenotaalpie"/>
          <w:rFonts w:ascii="Times New Roman" w:hAnsi="Times New Roman" w:cs="Times New Roman"/>
        </w:rPr>
        <w:footnoteRef/>
      </w:r>
      <w:r>
        <w:rPr>
          <w:rFonts w:ascii="Times New Roman" w:hAnsi="Times New Roman" w:cs="Times New Roman"/>
        </w:rPr>
        <w:t xml:space="preserve"> OLMEDO CARDENETE, 2015</w:t>
      </w:r>
      <w:r w:rsidRPr="001644C7">
        <w:rPr>
          <w:rFonts w:ascii="Times New Roman" w:hAnsi="Times New Roman" w:cs="Times New Roman"/>
        </w:rPr>
        <w:t xml:space="preserve">, </w:t>
      </w:r>
      <w:r>
        <w:rPr>
          <w:rFonts w:ascii="Times New Roman" w:hAnsi="Times New Roman" w:cs="Times New Roman"/>
        </w:rPr>
        <w:t>p</w:t>
      </w:r>
      <w:r w:rsidRPr="001644C7">
        <w:rPr>
          <w:rFonts w:ascii="Times New Roman" w:hAnsi="Times New Roman" w:cs="Times New Roman"/>
        </w:rPr>
        <w:t xml:space="preserve">. 909. </w:t>
      </w:r>
    </w:p>
  </w:footnote>
  <w:footnote w:id="46">
    <w:p w:rsidR="0046254B" w:rsidRPr="00C608F2" w:rsidRDefault="0046254B" w:rsidP="00327E85">
      <w:pPr>
        <w:pStyle w:val="Textonotapie"/>
        <w:spacing w:line="360" w:lineRule="auto"/>
        <w:jc w:val="both"/>
        <w:rPr>
          <w:rFonts w:ascii="Times New Roman" w:hAnsi="Times New Roman" w:cs="Times New Roman"/>
        </w:rPr>
      </w:pPr>
      <w:r>
        <w:rPr>
          <w:rStyle w:val="Refdenotaalpie"/>
        </w:rPr>
        <w:footnoteRef/>
      </w:r>
      <w:r>
        <w:t xml:space="preserve"> </w:t>
      </w:r>
      <w:r>
        <w:rPr>
          <w:rFonts w:ascii="Times New Roman" w:hAnsi="Times New Roman" w:cs="Times New Roman"/>
        </w:rPr>
        <w:t>SERRANO TÁRRAGA, 2016</w:t>
      </w:r>
      <w:r w:rsidRPr="00C608F2">
        <w:rPr>
          <w:rFonts w:ascii="Times New Roman" w:hAnsi="Times New Roman" w:cs="Times New Roman"/>
        </w:rPr>
        <w:t xml:space="preserve">, </w:t>
      </w:r>
      <w:r>
        <w:rPr>
          <w:rFonts w:ascii="Times New Roman" w:hAnsi="Times New Roman" w:cs="Times New Roman"/>
        </w:rPr>
        <w:t>p.</w:t>
      </w:r>
      <w:r w:rsidRPr="00C608F2">
        <w:rPr>
          <w:rFonts w:ascii="Times New Roman" w:hAnsi="Times New Roman" w:cs="Times New Roman"/>
        </w:rPr>
        <w:t xml:space="preserve">522. </w:t>
      </w:r>
    </w:p>
  </w:footnote>
  <w:footnote w:id="47">
    <w:p w:rsidR="0046254B" w:rsidRPr="00861C5B" w:rsidRDefault="0046254B" w:rsidP="00327E85">
      <w:pPr>
        <w:pStyle w:val="Textonotapie"/>
        <w:spacing w:line="360" w:lineRule="auto"/>
        <w:jc w:val="both"/>
        <w:rPr>
          <w:rFonts w:ascii="Times New Roman" w:hAnsi="Times New Roman" w:cs="Times New Roman"/>
        </w:rPr>
      </w:pPr>
      <w:r w:rsidRPr="00861C5B">
        <w:rPr>
          <w:rStyle w:val="Refdenotaalpie"/>
          <w:rFonts w:ascii="Times New Roman" w:hAnsi="Times New Roman" w:cs="Times New Roman"/>
        </w:rPr>
        <w:footnoteRef/>
      </w:r>
      <w:r>
        <w:rPr>
          <w:rFonts w:ascii="Times New Roman" w:hAnsi="Times New Roman" w:cs="Times New Roman"/>
        </w:rPr>
        <w:t xml:space="preserve"> MUÑOZ / LÓPEZ /</w:t>
      </w:r>
      <w:r w:rsidRPr="00861C5B">
        <w:rPr>
          <w:rFonts w:ascii="Times New Roman" w:hAnsi="Times New Roman" w:cs="Times New Roman"/>
        </w:rPr>
        <w:t xml:space="preserve"> GARCÍA</w:t>
      </w:r>
      <w:r>
        <w:rPr>
          <w:rFonts w:ascii="Times New Roman" w:hAnsi="Times New Roman" w:cs="Times New Roman"/>
        </w:rPr>
        <w:t>, 2015</w:t>
      </w:r>
      <w:r w:rsidRPr="00861C5B">
        <w:rPr>
          <w:rFonts w:ascii="Times New Roman" w:hAnsi="Times New Roman" w:cs="Times New Roman"/>
        </w:rPr>
        <w:t xml:space="preserve">, </w:t>
      </w:r>
      <w:r>
        <w:rPr>
          <w:rFonts w:ascii="Times New Roman" w:hAnsi="Times New Roman" w:cs="Times New Roman"/>
        </w:rPr>
        <w:t>p. 242</w:t>
      </w:r>
      <w:r w:rsidRPr="00861C5B">
        <w:rPr>
          <w:rFonts w:ascii="Times New Roman" w:hAnsi="Times New Roman" w:cs="Times New Roman"/>
        </w:rPr>
        <w:t>; SE</w:t>
      </w:r>
      <w:r>
        <w:rPr>
          <w:rFonts w:ascii="Times New Roman" w:hAnsi="Times New Roman" w:cs="Times New Roman"/>
        </w:rPr>
        <w:t>RRANO TÁRRAGA, 2016</w:t>
      </w:r>
      <w:r w:rsidRPr="00861C5B">
        <w:rPr>
          <w:rFonts w:ascii="Times New Roman" w:hAnsi="Times New Roman" w:cs="Times New Roman"/>
        </w:rPr>
        <w:t xml:space="preserve">, </w:t>
      </w:r>
      <w:r>
        <w:rPr>
          <w:rFonts w:ascii="Times New Roman" w:hAnsi="Times New Roman" w:cs="Times New Roman"/>
        </w:rPr>
        <w:t>p.</w:t>
      </w:r>
      <w:r w:rsidRPr="00861C5B">
        <w:rPr>
          <w:rFonts w:ascii="Times New Roman" w:hAnsi="Times New Roman" w:cs="Times New Roman"/>
        </w:rPr>
        <w:t>522.</w:t>
      </w:r>
    </w:p>
  </w:footnote>
  <w:footnote w:id="48">
    <w:p w:rsidR="0046254B" w:rsidRPr="00DD34D3" w:rsidRDefault="0046254B" w:rsidP="00327E85">
      <w:pPr>
        <w:pStyle w:val="Textonotapie"/>
        <w:spacing w:line="360" w:lineRule="auto"/>
        <w:jc w:val="both"/>
        <w:rPr>
          <w:rFonts w:ascii="Times New Roman" w:hAnsi="Times New Roman" w:cs="Times New Roman"/>
        </w:rPr>
      </w:pPr>
      <w:r>
        <w:rPr>
          <w:rStyle w:val="Refdenotaalpie"/>
        </w:rPr>
        <w:footnoteRef/>
      </w:r>
      <w:r>
        <w:t xml:space="preserve">  </w:t>
      </w:r>
      <w:r>
        <w:rPr>
          <w:rFonts w:ascii="Times New Roman" w:hAnsi="Times New Roman" w:cs="Times New Roman"/>
        </w:rPr>
        <w:t>MUÑOZ / LÓPEZ / GARCÍA, 2015</w:t>
      </w:r>
      <w:r w:rsidRPr="00010D11">
        <w:rPr>
          <w:rFonts w:ascii="Times New Roman" w:hAnsi="Times New Roman" w:cs="Times New Roman"/>
        </w:rPr>
        <w:t xml:space="preserve">, </w:t>
      </w:r>
      <w:r>
        <w:rPr>
          <w:rFonts w:ascii="Times New Roman" w:hAnsi="Times New Roman" w:cs="Times New Roman"/>
        </w:rPr>
        <w:t>p.</w:t>
      </w:r>
      <w:r w:rsidRPr="00010D11">
        <w:rPr>
          <w:rFonts w:ascii="Times New Roman" w:hAnsi="Times New Roman" w:cs="Times New Roman"/>
        </w:rPr>
        <w:t xml:space="preserve">125. </w:t>
      </w:r>
    </w:p>
  </w:footnote>
  <w:footnote w:id="49">
    <w:p w:rsidR="0046254B" w:rsidRPr="00C608F2" w:rsidRDefault="0046254B" w:rsidP="00327E85">
      <w:pPr>
        <w:pStyle w:val="Textonotapie"/>
        <w:spacing w:line="360" w:lineRule="auto"/>
        <w:jc w:val="both"/>
        <w:rPr>
          <w:rFonts w:ascii="Times New Roman" w:hAnsi="Times New Roman" w:cs="Times New Roman"/>
        </w:rPr>
      </w:pPr>
      <w:r w:rsidRPr="00C608F2">
        <w:rPr>
          <w:rStyle w:val="Refdenotaalpie"/>
          <w:rFonts w:ascii="Times New Roman" w:hAnsi="Times New Roman" w:cs="Times New Roman"/>
        </w:rPr>
        <w:footnoteRef/>
      </w:r>
      <w:r>
        <w:rPr>
          <w:rFonts w:ascii="Times New Roman" w:hAnsi="Times New Roman" w:cs="Times New Roman"/>
        </w:rPr>
        <w:t xml:space="preserve"> MARTINEZ- BUJÁN PÉREZ, 2015</w:t>
      </w:r>
      <w:r w:rsidRPr="00C608F2">
        <w:rPr>
          <w:rFonts w:ascii="Times New Roman" w:hAnsi="Times New Roman" w:cs="Times New Roman"/>
        </w:rPr>
        <w:t>,</w:t>
      </w:r>
      <w:r>
        <w:rPr>
          <w:rFonts w:ascii="Times New Roman" w:hAnsi="Times New Roman" w:cs="Times New Roman"/>
        </w:rPr>
        <w:t xml:space="preserve"> p.</w:t>
      </w:r>
      <w:r w:rsidRPr="00C608F2">
        <w:rPr>
          <w:rFonts w:ascii="Times New Roman" w:hAnsi="Times New Roman" w:cs="Times New Roman"/>
        </w:rPr>
        <w:t xml:space="preserve"> 941. </w:t>
      </w:r>
    </w:p>
  </w:footnote>
  <w:footnote w:id="50">
    <w:p w:rsidR="0046254B" w:rsidRPr="00C82FD2" w:rsidRDefault="0046254B" w:rsidP="00327E85">
      <w:pPr>
        <w:pStyle w:val="Textonotapie"/>
        <w:spacing w:line="360" w:lineRule="auto"/>
        <w:jc w:val="both"/>
        <w:rPr>
          <w:rFonts w:ascii="Times New Roman" w:hAnsi="Times New Roman" w:cs="Times New Roman"/>
        </w:rPr>
      </w:pPr>
      <w:r w:rsidRPr="00E8125C">
        <w:rPr>
          <w:rStyle w:val="Refdenotaalpie"/>
          <w:rFonts w:ascii="Times New Roman" w:hAnsi="Times New Roman" w:cs="Times New Roman"/>
        </w:rPr>
        <w:footnoteRef/>
      </w:r>
      <w:r>
        <w:rPr>
          <w:rFonts w:ascii="Times New Roman" w:hAnsi="Times New Roman" w:cs="Times New Roman"/>
        </w:rPr>
        <w:t xml:space="preserve"> OLMEDO CARDENETE, 2015</w:t>
      </w:r>
      <w:r w:rsidRPr="00C82FD2">
        <w:rPr>
          <w:rFonts w:ascii="Times New Roman" w:hAnsi="Times New Roman" w:cs="Times New Roman"/>
        </w:rPr>
        <w:t xml:space="preserve">, </w:t>
      </w:r>
      <w:r>
        <w:rPr>
          <w:rFonts w:ascii="Times New Roman" w:hAnsi="Times New Roman" w:cs="Times New Roman"/>
        </w:rPr>
        <w:t>p. 900; SERRANO TÁRRAGA, 2016</w:t>
      </w:r>
      <w:r w:rsidRPr="00002566">
        <w:rPr>
          <w:rFonts w:ascii="Times New Roman" w:hAnsi="Times New Roman" w:cs="Times New Roman"/>
        </w:rPr>
        <w:t xml:space="preserve">, </w:t>
      </w:r>
      <w:r>
        <w:rPr>
          <w:rFonts w:ascii="Times New Roman" w:hAnsi="Times New Roman" w:cs="Times New Roman"/>
        </w:rPr>
        <w:t>p.520; PUENTE ABA, 2011 p</w:t>
      </w:r>
      <w:r w:rsidRPr="00CA7796">
        <w:rPr>
          <w:rFonts w:ascii="Times New Roman" w:hAnsi="Times New Roman" w:cs="Times New Roman"/>
        </w:rPr>
        <w:t>.</w:t>
      </w:r>
      <w:r>
        <w:rPr>
          <w:rFonts w:ascii="Times New Roman" w:hAnsi="Times New Roman" w:cs="Times New Roman"/>
        </w:rPr>
        <w:t xml:space="preserve"> 237</w:t>
      </w:r>
      <w:r w:rsidRPr="00CA7796">
        <w:rPr>
          <w:rFonts w:ascii="Times New Roman" w:hAnsi="Times New Roman" w:cs="Times New Roman"/>
        </w:rPr>
        <w:t>.</w:t>
      </w:r>
      <w:r>
        <w:rPr>
          <w:rFonts w:ascii="Times New Roman" w:hAnsi="Times New Roman" w:cs="Times New Roman"/>
        </w:rPr>
        <w:t xml:space="preserve"> </w:t>
      </w:r>
    </w:p>
  </w:footnote>
  <w:footnote w:id="51">
    <w:p w:rsidR="0046254B" w:rsidRPr="00C82FD2" w:rsidRDefault="0046254B" w:rsidP="00327E85">
      <w:pPr>
        <w:pStyle w:val="Textonotapie"/>
        <w:spacing w:line="360" w:lineRule="auto"/>
        <w:jc w:val="both"/>
        <w:rPr>
          <w:rFonts w:ascii="Times New Roman" w:hAnsi="Times New Roman" w:cs="Times New Roman"/>
          <w:bCs/>
        </w:rPr>
      </w:pPr>
      <w:r w:rsidRPr="00C82FD2">
        <w:rPr>
          <w:rStyle w:val="Refdenotaalpie"/>
          <w:rFonts w:ascii="Times New Roman" w:hAnsi="Times New Roman" w:cs="Times New Roman"/>
        </w:rPr>
        <w:footnoteRef/>
      </w:r>
      <w:r>
        <w:rPr>
          <w:rFonts w:ascii="Times New Roman" w:hAnsi="Times New Roman" w:cs="Times New Roman"/>
        </w:rPr>
        <w:t xml:space="preserve"> BACIGALUPO ZAPATER, 1980</w:t>
      </w:r>
      <w:r w:rsidRPr="00C82FD2">
        <w:rPr>
          <w:rFonts w:ascii="Times New Roman" w:hAnsi="Times New Roman" w:cs="Times New Roman"/>
        </w:rPr>
        <w:t xml:space="preserve">, </w:t>
      </w:r>
      <w:r>
        <w:rPr>
          <w:rFonts w:ascii="Times New Roman" w:hAnsi="Times New Roman" w:cs="Times New Roman"/>
        </w:rPr>
        <w:t>p</w:t>
      </w:r>
      <w:r>
        <w:rPr>
          <w:rFonts w:ascii="Times New Roman" w:hAnsi="Times New Roman" w:cs="Times New Roman"/>
          <w:bCs/>
        </w:rPr>
        <w:t>p. 191 y ss.</w:t>
      </w:r>
    </w:p>
  </w:footnote>
  <w:footnote w:id="52">
    <w:p w:rsidR="0046254B" w:rsidRPr="00C82FD2" w:rsidRDefault="0046254B" w:rsidP="00327E85">
      <w:pPr>
        <w:pStyle w:val="Textonotapie"/>
        <w:spacing w:line="360" w:lineRule="auto"/>
        <w:jc w:val="both"/>
        <w:rPr>
          <w:rFonts w:ascii="Times New Roman" w:hAnsi="Times New Roman" w:cs="Times New Roman"/>
        </w:rPr>
      </w:pPr>
      <w:r w:rsidRPr="00C82FD2">
        <w:rPr>
          <w:rStyle w:val="Refdenotaalpie"/>
          <w:rFonts w:ascii="Times New Roman" w:hAnsi="Times New Roman" w:cs="Times New Roman"/>
        </w:rPr>
        <w:footnoteRef/>
      </w:r>
      <w:r>
        <w:rPr>
          <w:rFonts w:ascii="Times New Roman" w:hAnsi="Times New Roman" w:cs="Times New Roman"/>
        </w:rPr>
        <w:t xml:space="preserve"> MARTINEZ-BUJÁN PÉREZ, 2015</w:t>
      </w:r>
      <w:r w:rsidRPr="00C82FD2">
        <w:rPr>
          <w:rFonts w:ascii="Times New Roman" w:hAnsi="Times New Roman" w:cs="Times New Roman"/>
        </w:rPr>
        <w:t xml:space="preserve">, </w:t>
      </w:r>
      <w:r>
        <w:rPr>
          <w:rFonts w:ascii="Times New Roman" w:hAnsi="Times New Roman" w:cs="Times New Roman"/>
        </w:rPr>
        <w:t>p. 941.</w:t>
      </w:r>
    </w:p>
  </w:footnote>
  <w:footnote w:id="53">
    <w:p w:rsidR="0046254B" w:rsidRPr="00002566" w:rsidRDefault="0046254B" w:rsidP="00327E85">
      <w:pPr>
        <w:pStyle w:val="Textonotapie"/>
        <w:spacing w:line="360" w:lineRule="auto"/>
        <w:jc w:val="both"/>
        <w:rPr>
          <w:rFonts w:ascii="Times New Roman" w:hAnsi="Times New Roman" w:cs="Times New Roman"/>
        </w:rPr>
      </w:pPr>
      <w:r w:rsidRPr="00C82FD2">
        <w:rPr>
          <w:rStyle w:val="Refdenotaalpie"/>
          <w:rFonts w:ascii="Times New Roman" w:hAnsi="Times New Roman" w:cs="Times New Roman"/>
        </w:rPr>
        <w:footnoteRef/>
      </w:r>
      <w:r w:rsidRPr="00C82FD2">
        <w:rPr>
          <w:rFonts w:ascii="Times New Roman" w:hAnsi="Times New Roman" w:cs="Times New Roman"/>
        </w:rPr>
        <w:t xml:space="preserve"> </w:t>
      </w:r>
      <w:r>
        <w:rPr>
          <w:rFonts w:ascii="Times New Roman" w:hAnsi="Times New Roman" w:cs="Times New Roman"/>
        </w:rPr>
        <w:t>SERRANO TÁRRAGA, 2016</w:t>
      </w:r>
      <w:r w:rsidRPr="00002566">
        <w:rPr>
          <w:rFonts w:ascii="Times New Roman" w:hAnsi="Times New Roman" w:cs="Times New Roman"/>
        </w:rPr>
        <w:t xml:space="preserve">, </w:t>
      </w:r>
      <w:r>
        <w:rPr>
          <w:rFonts w:ascii="Times New Roman" w:hAnsi="Times New Roman" w:cs="Times New Roman"/>
        </w:rPr>
        <w:t xml:space="preserve">p.522. ; MARTINEZ-BUJÁN PÉREZ, </w:t>
      </w:r>
      <w:r w:rsidRPr="00C82FD2">
        <w:rPr>
          <w:rFonts w:ascii="Times New Roman" w:hAnsi="Times New Roman" w:cs="Times New Roman"/>
        </w:rPr>
        <w:t>2015</w:t>
      </w:r>
      <w:r>
        <w:rPr>
          <w:rFonts w:ascii="Times New Roman" w:hAnsi="Times New Roman" w:cs="Times New Roman"/>
        </w:rPr>
        <w:t>, p.</w:t>
      </w:r>
      <w:r w:rsidRPr="00C82FD2">
        <w:rPr>
          <w:rFonts w:ascii="Times New Roman" w:hAnsi="Times New Roman" w:cs="Times New Roman"/>
        </w:rPr>
        <w:t xml:space="preserve">946. </w:t>
      </w:r>
    </w:p>
  </w:footnote>
  <w:footnote w:id="54">
    <w:p w:rsidR="0046254B" w:rsidRPr="00F81065" w:rsidRDefault="0046254B" w:rsidP="00327E85">
      <w:pPr>
        <w:pStyle w:val="Textonotapie"/>
        <w:spacing w:line="360" w:lineRule="auto"/>
        <w:jc w:val="both"/>
        <w:rPr>
          <w:rFonts w:ascii="Times New Roman" w:hAnsi="Times New Roman" w:cs="Times New Roman"/>
        </w:rPr>
      </w:pPr>
      <w:r w:rsidRPr="00CA6D2D">
        <w:rPr>
          <w:rStyle w:val="Refdenotaalpie"/>
          <w:rFonts w:ascii="Times New Roman" w:hAnsi="Times New Roman" w:cs="Times New Roman"/>
        </w:rPr>
        <w:footnoteRef/>
      </w:r>
      <w:r>
        <w:rPr>
          <w:rFonts w:ascii="Times New Roman" w:hAnsi="Times New Roman" w:cs="Times New Roman"/>
        </w:rPr>
        <w:t xml:space="preserve"> OLMEDO CARDENETE, 2015</w:t>
      </w:r>
      <w:r w:rsidRPr="00CA6D2D">
        <w:rPr>
          <w:rFonts w:ascii="Times New Roman" w:hAnsi="Times New Roman" w:cs="Times New Roman"/>
        </w:rPr>
        <w:t xml:space="preserve">, </w:t>
      </w:r>
      <w:r>
        <w:rPr>
          <w:rFonts w:ascii="Times New Roman" w:hAnsi="Times New Roman" w:cs="Times New Roman"/>
        </w:rPr>
        <w:t>pp. 904 y ss</w:t>
      </w:r>
      <w:r w:rsidRPr="00CA6D2D">
        <w:rPr>
          <w:rFonts w:ascii="Times New Roman" w:hAnsi="Times New Roman" w:cs="Times New Roman"/>
        </w:rPr>
        <w:t>.</w:t>
      </w:r>
      <w:r>
        <w:rPr>
          <w:rFonts w:ascii="Times New Roman" w:hAnsi="Times New Roman" w:cs="Times New Roman"/>
        </w:rPr>
        <w:t xml:space="preserve">; SANCHEZ MELGAR, 2016, p. 2356. </w:t>
      </w:r>
    </w:p>
  </w:footnote>
  <w:footnote w:id="55">
    <w:p w:rsidR="0046254B" w:rsidRPr="00CA6D2D" w:rsidRDefault="0046254B" w:rsidP="00327E85">
      <w:pPr>
        <w:pStyle w:val="Textonotapie"/>
        <w:spacing w:line="360" w:lineRule="auto"/>
        <w:jc w:val="both"/>
        <w:rPr>
          <w:rFonts w:ascii="Times New Roman" w:hAnsi="Times New Roman" w:cs="Times New Roman"/>
        </w:rPr>
      </w:pPr>
      <w:r w:rsidRPr="00CA6D2D">
        <w:rPr>
          <w:rStyle w:val="Refdenotaalpie"/>
          <w:rFonts w:ascii="Times New Roman" w:hAnsi="Times New Roman" w:cs="Times New Roman"/>
        </w:rPr>
        <w:footnoteRef/>
      </w:r>
      <w:r>
        <w:rPr>
          <w:rFonts w:ascii="Times New Roman" w:hAnsi="Times New Roman" w:cs="Times New Roman"/>
        </w:rPr>
        <w:t xml:space="preserve"> MUÑOZ CONDE, 2015</w:t>
      </w:r>
      <w:r w:rsidRPr="00CA6D2D">
        <w:rPr>
          <w:rFonts w:ascii="Times New Roman" w:hAnsi="Times New Roman" w:cs="Times New Roman"/>
        </w:rPr>
        <w:t xml:space="preserve">, </w:t>
      </w:r>
      <w:r>
        <w:rPr>
          <w:rFonts w:ascii="Times New Roman" w:hAnsi="Times New Roman" w:cs="Times New Roman"/>
        </w:rPr>
        <w:t>p.</w:t>
      </w:r>
      <w:r w:rsidRPr="00CA6D2D">
        <w:rPr>
          <w:rFonts w:ascii="Times New Roman" w:hAnsi="Times New Roman" w:cs="Times New Roman"/>
        </w:rPr>
        <w:t xml:space="preserve"> 500. </w:t>
      </w:r>
    </w:p>
  </w:footnote>
  <w:footnote w:id="56">
    <w:p w:rsidR="0046254B" w:rsidRPr="00A06AFE" w:rsidRDefault="0046254B" w:rsidP="00327E85">
      <w:pPr>
        <w:pStyle w:val="Textonotapie"/>
        <w:spacing w:line="360" w:lineRule="auto"/>
        <w:jc w:val="both"/>
        <w:rPr>
          <w:rFonts w:ascii="Times New Roman" w:hAnsi="Times New Roman" w:cs="Times New Roman"/>
        </w:rPr>
      </w:pPr>
      <w:r w:rsidRPr="00CA6D2D">
        <w:rPr>
          <w:rStyle w:val="Refdenotaalpie"/>
          <w:rFonts w:ascii="Times New Roman" w:hAnsi="Times New Roman" w:cs="Times New Roman"/>
        </w:rPr>
        <w:footnoteRef/>
      </w:r>
      <w:r>
        <w:rPr>
          <w:rFonts w:ascii="Times New Roman" w:hAnsi="Times New Roman" w:cs="Times New Roman"/>
        </w:rPr>
        <w:t xml:space="preserve"> OLMEDO CARDENETE, 2015</w:t>
      </w:r>
      <w:r w:rsidRPr="00CA6D2D">
        <w:rPr>
          <w:rFonts w:ascii="Times New Roman" w:hAnsi="Times New Roman" w:cs="Times New Roman"/>
        </w:rPr>
        <w:t xml:space="preserve">, </w:t>
      </w:r>
      <w:r>
        <w:rPr>
          <w:rFonts w:ascii="Times New Roman" w:hAnsi="Times New Roman" w:cs="Times New Roman"/>
        </w:rPr>
        <w:t>p</w:t>
      </w:r>
      <w:r w:rsidRPr="00CA6D2D">
        <w:rPr>
          <w:rFonts w:ascii="Times New Roman" w:hAnsi="Times New Roman" w:cs="Times New Roman"/>
        </w:rPr>
        <w:t xml:space="preserve">. 904. </w:t>
      </w:r>
    </w:p>
  </w:footnote>
  <w:footnote w:id="57">
    <w:p w:rsidR="0046254B" w:rsidRPr="00B229C3" w:rsidRDefault="0046254B" w:rsidP="00327E85">
      <w:pPr>
        <w:pStyle w:val="Textonotapie"/>
        <w:spacing w:line="360" w:lineRule="auto"/>
        <w:jc w:val="both"/>
        <w:rPr>
          <w:rFonts w:ascii="Times New Roman" w:hAnsi="Times New Roman" w:cs="Times New Roman"/>
        </w:rPr>
      </w:pPr>
      <w:r w:rsidRPr="00B229C3">
        <w:rPr>
          <w:rStyle w:val="Refdenotaalpie"/>
          <w:rFonts w:ascii="Times New Roman" w:hAnsi="Times New Roman" w:cs="Times New Roman"/>
        </w:rPr>
        <w:footnoteRef/>
      </w:r>
      <w:r>
        <w:rPr>
          <w:rFonts w:ascii="Times New Roman" w:hAnsi="Times New Roman" w:cs="Times New Roman"/>
        </w:rPr>
        <w:t xml:space="preserve"> MUÑOZ / LÓPEZ / GARCÍA, 2015</w:t>
      </w:r>
      <w:r w:rsidRPr="00B229C3">
        <w:rPr>
          <w:rFonts w:ascii="Times New Roman" w:hAnsi="Times New Roman" w:cs="Times New Roman"/>
        </w:rPr>
        <w:t xml:space="preserve">, </w:t>
      </w:r>
      <w:r>
        <w:rPr>
          <w:rFonts w:ascii="Times New Roman" w:hAnsi="Times New Roman" w:cs="Times New Roman"/>
        </w:rPr>
        <w:t>p.</w:t>
      </w:r>
      <w:r w:rsidRPr="00B229C3">
        <w:rPr>
          <w:rFonts w:ascii="Times New Roman" w:hAnsi="Times New Roman" w:cs="Times New Roman"/>
        </w:rPr>
        <w:t xml:space="preserve"> 248. </w:t>
      </w:r>
    </w:p>
  </w:footnote>
  <w:footnote w:id="58">
    <w:p w:rsidR="0046254B" w:rsidRPr="005D605A" w:rsidRDefault="0046254B" w:rsidP="00327E85">
      <w:pPr>
        <w:pStyle w:val="Textonotapie"/>
        <w:spacing w:line="360" w:lineRule="auto"/>
        <w:jc w:val="both"/>
        <w:rPr>
          <w:rFonts w:ascii="Times New Roman" w:hAnsi="Times New Roman" w:cs="Times New Roman"/>
        </w:rPr>
      </w:pPr>
      <w:r w:rsidRPr="005D605A">
        <w:rPr>
          <w:rStyle w:val="Refdenotaalpie"/>
          <w:rFonts w:ascii="Times New Roman" w:hAnsi="Times New Roman" w:cs="Times New Roman"/>
        </w:rPr>
        <w:footnoteRef/>
      </w:r>
      <w:r>
        <w:rPr>
          <w:rFonts w:ascii="Times New Roman" w:hAnsi="Times New Roman" w:cs="Times New Roman"/>
        </w:rPr>
        <w:t xml:space="preserve"> MARQUÉS I BANQUÉ, 2016</w:t>
      </w:r>
      <w:r w:rsidRPr="005D605A">
        <w:rPr>
          <w:rFonts w:ascii="Times New Roman" w:hAnsi="Times New Roman" w:cs="Times New Roman"/>
        </w:rPr>
        <w:t xml:space="preserve">, </w:t>
      </w:r>
      <w:r>
        <w:rPr>
          <w:rFonts w:ascii="Times New Roman" w:hAnsi="Times New Roman" w:cs="Times New Roman"/>
        </w:rPr>
        <w:t xml:space="preserve">p. 1260. </w:t>
      </w:r>
    </w:p>
  </w:footnote>
  <w:footnote w:id="59">
    <w:p w:rsidR="0046254B" w:rsidRPr="00460964" w:rsidRDefault="0046254B" w:rsidP="00327E85">
      <w:pPr>
        <w:pStyle w:val="Textonotapie"/>
        <w:spacing w:line="360" w:lineRule="auto"/>
        <w:jc w:val="both"/>
        <w:rPr>
          <w:rFonts w:ascii="Times New Roman" w:hAnsi="Times New Roman" w:cs="Times New Roman"/>
        </w:rPr>
      </w:pPr>
      <w:r w:rsidRPr="005D605A">
        <w:rPr>
          <w:rStyle w:val="Refdenotaalpie"/>
          <w:rFonts w:ascii="Times New Roman" w:hAnsi="Times New Roman" w:cs="Times New Roman"/>
        </w:rPr>
        <w:footnoteRef/>
      </w:r>
      <w:r>
        <w:rPr>
          <w:rFonts w:ascii="Times New Roman" w:hAnsi="Times New Roman" w:cs="Times New Roman"/>
        </w:rPr>
        <w:t xml:space="preserve"> MUÑOZ / LÓPEZ / GARCÍA, 2015</w:t>
      </w:r>
      <w:r w:rsidRPr="005D605A">
        <w:rPr>
          <w:rFonts w:ascii="Times New Roman" w:hAnsi="Times New Roman" w:cs="Times New Roman"/>
        </w:rPr>
        <w:t xml:space="preserve">, </w:t>
      </w:r>
      <w:r>
        <w:rPr>
          <w:rFonts w:ascii="Times New Roman" w:hAnsi="Times New Roman" w:cs="Times New Roman"/>
        </w:rPr>
        <w:t xml:space="preserve">p. 242. ; GÓRRIZ ROYO, </w:t>
      </w:r>
      <w:r w:rsidRPr="00DF6F86">
        <w:rPr>
          <w:rFonts w:ascii="Times New Roman" w:hAnsi="Times New Roman" w:cs="Times New Roman"/>
        </w:rPr>
        <w:t>2015</w:t>
      </w:r>
      <w:r>
        <w:rPr>
          <w:rFonts w:ascii="Times New Roman" w:hAnsi="Times New Roman" w:cs="Times New Roman"/>
        </w:rPr>
        <w:t xml:space="preserve"> p. 1017. </w:t>
      </w:r>
    </w:p>
  </w:footnote>
  <w:footnote w:id="60">
    <w:p w:rsidR="0046254B" w:rsidRPr="00A51C94" w:rsidRDefault="0046254B" w:rsidP="00327E85">
      <w:pPr>
        <w:pStyle w:val="Textonotapie"/>
        <w:spacing w:line="360" w:lineRule="auto"/>
        <w:rPr>
          <w:rFonts w:ascii="Times New Roman" w:hAnsi="Times New Roman" w:cs="Times New Roman"/>
        </w:rPr>
      </w:pPr>
      <w:r>
        <w:rPr>
          <w:rStyle w:val="Refdenotaalpie"/>
        </w:rPr>
        <w:footnoteRef/>
      </w:r>
      <w:r>
        <w:t xml:space="preserve">  </w:t>
      </w:r>
      <w:r w:rsidRPr="005038FF">
        <w:rPr>
          <w:rFonts w:ascii="Times New Roman" w:hAnsi="Times New Roman" w:cs="Times New Roman"/>
        </w:rPr>
        <w:t>SEVILLANO,</w:t>
      </w:r>
      <w:r>
        <w:rPr>
          <w:rFonts w:ascii="Times New Roman" w:hAnsi="Times New Roman" w:cs="Times New Roman"/>
        </w:rPr>
        <w:t xml:space="preserve"> 2016, </w:t>
      </w:r>
      <w:hyperlink r:id="rId2" w:history="1">
        <w:r w:rsidRPr="001C63FC">
          <w:rPr>
            <w:rStyle w:val="Hipervnculo"/>
            <w:rFonts w:ascii="Times New Roman" w:hAnsi="Times New Roman" w:cs="Times New Roman"/>
          </w:rPr>
          <w:t>http://politica.elpais.com/politica/2016/08/13/actualidad/1471110971_790165.html</w:t>
        </w:r>
      </w:hyperlink>
    </w:p>
  </w:footnote>
  <w:footnote w:id="61">
    <w:p w:rsidR="0046254B" w:rsidRPr="00B229C3" w:rsidRDefault="0046254B" w:rsidP="00327E85">
      <w:pPr>
        <w:pStyle w:val="Textonotapie"/>
        <w:spacing w:line="360" w:lineRule="auto"/>
        <w:jc w:val="both"/>
        <w:rPr>
          <w:rFonts w:ascii="Times New Roman" w:hAnsi="Times New Roman" w:cs="Times New Roman"/>
        </w:rPr>
      </w:pPr>
      <w:r w:rsidRPr="00B229C3">
        <w:rPr>
          <w:rStyle w:val="Refdenotaalpie"/>
          <w:rFonts w:ascii="Times New Roman" w:hAnsi="Times New Roman" w:cs="Times New Roman"/>
        </w:rPr>
        <w:footnoteRef/>
      </w:r>
      <w:r>
        <w:rPr>
          <w:rFonts w:ascii="Times New Roman" w:hAnsi="Times New Roman" w:cs="Times New Roman"/>
        </w:rPr>
        <w:t xml:space="preserve"> OLMEDO CARDENETE, 2015</w:t>
      </w:r>
      <w:r w:rsidRPr="00B229C3">
        <w:rPr>
          <w:rFonts w:ascii="Times New Roman" w:hAnsi="Times New Roman" w:cs="Times New Roman"/>
        </w:rPr>
        <w:t xml:space="preserve">, </w:t>
      </w:r>
      <w:r>
        <w:rPr>
          <w:rFonts w:ascii="Times New Roman" w:hAnsi="Times New Roman" w:cs="Times New Roman"/>
        </w:rPr>
        <w:t>p</w:t>
      </w:r>
      <w:r w:rsidRPr="00B229C3">
        <w:rPr>
          <w:rFonts w:ascii="Times New Roman" w:hAnsi="Times New Roman" w:cs="Times New Roman"/>
        </w:rPr>
        <w:t xml:space="preserve">. 911. </w:t>
      </w:r>
    </w:p>
  </w:footnote>
  <w:footnote w:id="62">
    <w:p w:rsidR="0046254B" w:rsidRPr="00087CB9" w:rsidRDefault="0046254B" w:rsidP="00327E85">
      <w:pPr>
        <w:pStyle w:val="Textonotapie"/>
        <w:spacing w:line="360" w:lineRule="auto"/>
        <w:rPr>
          <w:rFonts w:ascii="Times New Roman" w:hAnsi="Times New Roman" w:cs="Times New Roman"/>
        </w:rPr>
      </w:pPr>
      <w:r>
        <w:rPr>
          <w:rStyle w:val="Refdenotaalpie"/>
        </w:rPr>
        <w:footnoteRef/>
      </w:r>
      <w:r>
        <w:t xml:space="preserve">  </w:t>
      </w:r>
      <w:r w:rsidRPr="005E5FEB">
        <w:rPr>
          <w:rFonts w:ascii="Times New Roman" w:hAnsi="Times New Roman" w:cs="Times New Roman"/>
        </w:rPr>
        <w:t>RÁ</w:t>
      </w:r>
      <w:r>
        <w:rPr>
          <w:rFonts w:ascii="Times New Roman" w:hAnsi="Times New Roman" w:cs="Times New Roman"/>
        </w:rPr>
        <w:t>FOLS PÉREZ, 2004, pp.</w:t>
      </w:r>
      <w:r w:rsidRPr="005E5FEB">
        <w:rPr>
          <w:rFonts w:ascii="Times New Roman" w:hAnsi="Times New Roman" w:cs="Times New Roman"/>
        </w:rPr>
        <w:t xml:space="preserve"> 215-216.</w:t>
      </w:r>
    </w:p>
  </w:footnote>
  <w:footnote w:id="63">
    <w:p w:rsidR="0046254B" w:rsidRPr="000F4EDE" w:rsidRDefault="0046254B" w:rsidP="00327E85">
      <w:pPr>
        <w:pStyle w:val="Textonotapie"/>
        <w:spacing w:line="360" w:lineRule="auto"/>
        <w:jc w:val="both"/>
        <w:rPr>
          <w:rFonts w:ascii="Times New Roman" w:hAnsi="Times New Roman" w:cs="Times New Roman"/>
        </w:rPr>
      </w:pPr>
      <w:r w:rsidRPr="00B229C3">
        <w:rPr>
          <w:rStyle w:val="Refdenotaalpie"/>
          <w:rFonts w:ascii="Times New Roman" w:hAnsi="Times New Roman" w:cs="Times New Roman"/>
        </w:rPr>
        <w:footnoteRef/>
      </w:r>
      <w:r>
        <w:rPr>
          <w:rFonts w:ascii="Times New Roman" w:hAnsi="Times New Roman" w:cs="Times New Roman"/>
        </w:rPr>
        <w:t xml:space="preserve"> MUÑOZ / LÓPEZ / GARCÍA, 2015</w:t>
      </w:r>
      <w:r w:rsidRPr="00B229C3">
        <w:rPr>
          <w:rFonts w:ascii="Times New Roman" w:hAnsi="Times New Roman" w:cs="Times New Roman"/>
        </w:rPr>
        <w:t xml:space="preserve">, </w:t>
      </w:r>
      <w:r>
        <w:rPr>
          <w:rFonts w:ascii="Times New Roman" w:hAnsi="Times New Roman" w:cs="Times New Roman"/>
        </w:rPr>
        <w:t>p. 243.; OLMEDO CARDENETE, 2015</w:t>
      </w:r>
      <w:r w:rsidRPr="00010D11">
        <w:rPr>
          <w:rFonts w:ascii="Times New Roman" w:hAnsi="Times New Roman" w:cs="Times New Roman"/>
        </w:rPr>
        <w:t xml:space="preserve">, </w:t>
      </w:r>
      <w:r>
        <w:rPr>
          <w:rFonts w:ascii="Times New Roman" w:hAnsi="Times New Roman" w:cs="Times New Roman"/>
        </w:rPr>
        <w:t xml:space="preserve">p. 911. </w:t>
      </w:r>
    </w:p>
  </w:footnote>
  <w:footnote w:id="64">
    <w:p w:rsidR="0046254B" w:rsidRPr="00B229C3" w:rsidRDefault="0046254B" w:rsidP="00327E85">
      <w:pPr>
        <w:pStyle w:val="Textonotapie"/>
        <w:spacing w:line="360" w:lineRule="auto"/>
        <w:jc w:val="both"/>
        <w:rPr>
          <w:rFonts w:ascii="Times New Roman" w:hAnsi="Times New Roman" w:cs="Times New Roman"/>
        </w:rPr>
      </w:pPr>
      <w:r w:rsidRPr="00B229C3">
        <w:rPr>
          <w:rStyle w:val="Refdenotaalpie"/>
          <w:rFonts w:ascii="Times New Roman" w:hAnsi="Times New Roman" w:cs="Times New Roman"/>
        </w:rPr>
        <w:footnoteRef/>
      </w:r>
      <w:r>
        <w:rPr>
          <w:rFonts w:ascii="Times New Roman" w:hAnsi="Times New Roman" w:cs="Times New Roman"/>
        </w:rPr>
        <w:t xml:space="preserve"> MUÑOZ / LÓPEZ / GARCÍA, 2015</w:t>
      </w:r>
      <w:r w:rsidRPr="00B229C3">
        <w:rPr>
          <w:rFonts w:ascii="Times New Roman" w:hAnsi="Times New Roman" w:cs="Times New Roman"/>
        </w:rPr>
        <w:t xml:space="preserve">, </w:t>
      </w:r>
      <w:r>
        <w:rPr>
          <w:rFonts w:ascii="Times New Roman" w:hAnsi="Times New Roman" w:cs="Times New Roman"/>
        </w:rPr>
        <w:t>p. 243</w:t>
      </w:r>
      <w:r w:rsidRPr="00B229C3">
        <w:rPr>
          <w:rFonts w:ascii="Times New Roman" w:hAnsi="Times New Roman" w:cs="Times New Roman"/>
        </w:rPr>
        <w:t>.</w:t>
      </w:r>
    </w:p>
  </w:footnote>
  <w:footnote w:id="65">
    <w:p w:rsidR="0046254B" w:rsidRPr="00B229C3" w:rsidRDefault="0046254B" w:rsidP="00327E85">
      <w:pPr>
        <w:pStyle w:val="Textonotapie"/>
        <w:spacing w:line="360" w:lineRule="auto"/>
        <w:jc w:val="both"/>
        <w:rPr>
          <w:rFonts w:ascii="Times New Roman" w:hAnsi="Times New Roman" w:cs="Times New Roman"/>
          <w:b/>
          <w:bCs/>
        </w:rPr>
      </w:pPr>
      <w:r w:rsidRPr="00B229C3">
        <w:rPr>
          <w:rStyle w:val="Refdenotaalpie"/>
          <w:rFonts w:ascii="Times New Roman" w:hAnsi="Times New Roman" w:cs="Times New Roman"/>
        </w:rPr>
        <w:footnoteRef/>
      </w:r>
      <w:r w:rsidRPr="00B229C3">
        <w:rPr>
          <w:rFonts w:ascii="Times New Roman" w:hAnsi="Times New Roman" w:cs="Times New Roman"/>
        </w:rPr>
        <w:t xml:space="preserve"> </w:t>
      </w:r>
      <w:r w:rsidRPr="00B229C3">
        <w:rPr>
          <w:rFonts w:ascii="Times New Roman" w:hAnsi="Times New Roman" w:cs="Times New Roman"/>
          <w:bCs/>
        </w:rPr>
        <w:t>Directiva 2002/49/CE del Parlamento Europeo y del Consejo, de 25 de junio de 2002, sobre evaluación y gestión del ruido ambiental.</w:t>
      </w:r>
    </w:p>
    <w:p w:rsidR="0046254B" w:rsidRDefault="0046254B" w:rsidP="00327E85">
      <w:pPr>
        <w:pStyle w:val="Textonotapie"/>
        <w:jc w:val="both"/>
      </w:pPr>
    </w:p>
  </w:footnote>
  <w:footnote w:id="66">
    <w:p w:rsidR="0046254B" w:rsidRPr="001E0448" w:rsidRDefault="0046254B" w:rsidP="00327E85">
      <w:pPr>
        <w:pStyle w:val="Textonotapie"/>
        <w:spacing w:line="360" w:lineRule="auto"/>
        <w:rPr>
          <w:rFonts w:ascii="Times New Roman" w:hAnsi="Times New Roman" w:cs="Times New Roman"/>
          <w:i/>
        </w:rPr>
      </w:pPr>
      <w:r>
        <w:rPr>
          <w:rStyle w:val="Refdenotaalpie"/>
        </w:rPr>
        <w:footnoteRef/>
      </w:r>
      <w:r>
        <w:t xml:space="preserve"> </w:t>
      </w:r>
      <w:r w:rsidRPr="00DD34D3">
        <w:rPr>
          <w:rFonts w:ascii="Times New Roman" w:hAnsi="Times New Roman" w:cs="Times New Roman"/>
        </w:rPr>
        <w:t>Extraído de</w:t>
      </w:r>
      <w:r>
        <w:t xml:space="preserve"> </w:t>
      </w:r>
      <w:r>
        <w:rPr>
          <w:rFonts w:ascii="Times New Roman" w:hAnsi="Times New Roman" w:cs="Times New Roman"/>
        </w:rPr>
        <w:t>FERRAY, 2016</w:t>
      </w:r>
      <w:r w:rsidRPr="001E0448">
        <w:rPr>
          <w:rFonts w:ascii="Times New Roman" w:hAnsi="Times New Roman" w:cs="Times New Roman"/>
        </w:rPr>
        <w:t xml:space="preserve">, “Plan de acción contra el ruido” en </w:t>
      </w:r>
      <w:r w:rsidRPr="001E0448">
        <w:rPr>
          <w:rFonts w:ascii="Times New Roman" w:hAnsi="Times New Roman" w:cs="Times New Roman"/>
          <w:i/>
        </w:rPr>
        <w:t>La opinión de Málaga. (22/05/2016). http://www.laopiniondemalaga.es/malaga/2016/05/22/medio-ambiente-deja-punto-plan/851189.html</w:t>
      </w:r>
    </w:p>
  </w:footnote>
  <w:footnote w:id="67">
    <w:p w:rsidR="0046254B" w:rsidRPr="00B229C3" w:rsidRDefault="0046254B" w:rsidP="00327E85">
      <w:pPr>
        <w:pStyle w:val="Textonotapie"/>
        <w:spacing w:line="360" w:lineRule="auto"/>
        <w:jc w:val="both"/>
        <w:rPr>
          <w:rFonts w:ascii="Times New Roman" w:hAnsi="Times New Roman" w:cs="Times New Roman"/>
        </w:rPr>
      </w:pPr>
      <w:r w:rsidRPr="00B229C3">
        <w:rPr>
          <w:rStyle w:val="Refdenotaalpie"/>
          <w:rFonts w:ascii="Times New Roman" w:hAnsi="Times New Roman" w:cs="Times New Roman"/>
        </w:rPr>
        <w:footnoteRef/>
      </w:r>
      <w:r>
        <w:rPr>
          <w:rFonts w:ascii="Times New Roman" w:hAnsi="Times New Roman" w:cs="Times New Roman"/>
        </w:rPr>
        <w:t xml:space="preserve"> MUÑOZ / LÓPEZ /</w:t>
      </w:r>
      <w:r w:rsidRPr="00B229C3">
        <w:rPr>
          <w:rFonts w:ascii="Times New Roman" w:hAnsi="Times New Roman" w:cs="Times New Roman"/>
        </w:rPr>
        <w:t xml:space="preserve"> GARC</w:t>
      </w:r>
      <w:r>
        <w:rPr>
          <w:rFonts w:ascii="Times New Roman" w:hAnsi="Times New Roman" w:cs="Times New Roman"/>
        </w:rPr>
        <w:t>ÍA, 2015</w:t>
      </w:r>
      <w:r w:rsidRPr="00B229C3">
        <w:rPr>
          <w:rFonts w:ascii="Times New Roman" w:hAnsi="Times New Roman" w:cs="Times New Roman"/>
        </w:rPr>
        <w:t xml:space="preserve">, </w:t>
      </w:r>
      <w:r>
        <w:rPr>
          <w:rFonts w:ascii="Times New Roman" w:hAnsi="Times New Roman" w:cs="Times New Roman"/>
        </w:rPr>
        <w:t>p.</w:t>
      </w:r>
      <w:r w:rsidRPr="00B229C3">
        <w:rPr>
          <w:rFonts w:ascii="Times New Roman" w:hAnsi="Times New Roman" w:cs="Times New Roman"/>
        </w:rPr>
        <w:t xml:space="preserve"> 244. </w:t>
      </w:r>
    </w:p>
  </w:footnote>
  <w:footnote w:id="68">
    <w:p w:rsidR="0046254B" w:rsidRPr="00085259" w:rsidRDefault="0046254B" w:rsidP="00327E85">
      <w:pPr>
        <w:pStyle w:val="Textonotapie"/>
        <w:spacing w:line="360" w:lineRule="auto"/>
        <w:jc w:val="both"/>
        <w:rPr>
          <w:rFonts w:ascii="Times New Roman" w:hAnsi="Times New Roman" w:cs="Times New Roman"/>
        </w:rPr>
      </w:pPr>
      <w:r w:rsidRPr="00B229C3">
        <w:rPr>
          <w:rStyle w:val="Refdenotaalpie"/>
          <w:rFonts w:ascii="Times New Roman" w:hAnsi="Times New Roman" w:cs="Times New Roman"/>
        </w:rPr>
        <w:footnoteRef/>
      </w:r>
      <w:r>
        <w:rPr>
          <w:rFonts w:ascii="Times New Roman" w:hAnsi="Times New Roman" w:cs="Times New Roman"/>
        </w:rPr>
        <w:t xml:space="preserve"> MUÑOZ / LÓPEZ / GARCÍA, </w:t>
      </w:r>
      <w:r w:rsidRPr="00B229C3">
        <w:rPr>
          <w:rFonts w:ascii="Times New Roman" w:hAnsi="Times New Roman" w:cs="Times New Roman"/>
        </w:rPr>
        <w:t>2015</w:t>
      </w:r>
      <w:r>
        <w:rPr>
          <w:rFonts w:ascii="Times New Roman" w:hAnsi="Times New Roman" w:cs="Times New Roman"/>
        </w:rPr>
        <w:t>, p.</w:t>
      </w:r>
      <w:r w:rsidRPr="00B229C3">
        <w:rPr>
          <w:rFonts w:ascii="Times New Roman" w:hAnsi="Times New Roman" w:cs="Times New Roman"/>
        </w:rPr>
        <w:t xml:space="preserve"> 244. </w:t>
      </w:r>
    </w:p>
  </w:footnote>
  <w:footnote w:id="69">
    <w:p w:rsidR="0046254B" w:rsidRPr="00B229C3" w:rsidRDefault="0046254B" w:rsidP="00327E85">
      <w:pPr>
        <w:pStyle w:val="Textonotapie"/>
        <w:spacing w:line="360" w:lineRule="auto"/>
        <w:jc w:val="both"/>
        <w:rPr>
          <w:rFonts w:ascii="Times New Roman" w:hAnsi="Times New Roman" w:cs="Times New Roman"/>
        </w:rPr>
      </w:pPr>
      <w:r>
        <w:rPr>
          <w:rStyle w:val="Refdenotaalpie"/>
        </w:rPr>
        <w:footnoteRef/>
      </w:r>
      <w:r>
        <w:rPr>
          <w:rFonts w:ascii="Times New Roman" w:hAnsi="Times New Roman" w:cs="Times New Roman"/>
        </w:rPr>
        <w:t xml:space="preserve"> OLMEDO CARDENETE, 2015</w:t>
      </w:r>
      <w:r w:rsidRPr="00B229C3">
        <w:rPr>
          <w:rFonts w:ascii="Times New Roman" w:hAnsi="Times New Roman" w:cs="Times New Roman"/>
        </w:rPr>
        <w:t xml:space="preserve">, </w:t>
      </w:r>
      <w:r>
        <w:rPr>
          <w:rFonts w:ascii="Times New Roman" w:hAnsi="Times New Roman" w:cs="Times New Roman"/>
        </w:rPr>
        <w:t>p</w:t>
      </w:r>
      <w:r w:rsidRPr="00B229C3">
        <w:rPr>
          <w:rFonts w:ascii="Times New Roman" w:hAnsi="Times New Roman" w:cs="Times New Roman"/>
        </w:rPr>
        <w:t xml:space="preserve">. 908. </w:t>
      </w:r>
    </w:p>
  </w:footnote>
  <w:footnote w:id="70">
    <w:p w:rsidR="0046254B" w:rsidRPr="005B04B0" w:rsidRDefault="0046254B" w:rsidP="00327E85">
      <w:pPr>
        <w:pStyle w:val="Textonotapie"/>
        <w:spacing w:line="360" w:lineRule="auto"/>
        <w:jc w:val="both"/>
        <w:rPr>
          <w:rFonts w:ascii="Times New Roman" w:hAnsi="Times New Roman" w:cs="Times New Roman"/>
        </w:rPr>
      </w:pPr>
      <w:r w:rsidRPr="001644C7">
        <w:rPr>
          <w:rStyle w:val="Refdenotaalpie"/>
          <w:rFonts w:ascii="Times New Roman" w:hAnsi="Times New Roman" w:cs="Times New Roman"/>
        </w:rPr>
        <w:footnoteRef/>
      </w:r>
      <w:r>
        <w:rPr>
          <w:rFonts w:ascii="Times New Roman" w:hAnsi="Times New Roman" w:cs="Times New Roman"/>
        </w:rPr>
        <w:t xml:space="preserve"> MUÑOZ CONDE, 2015</w:t>
      </w:r>
      <w:r w:rsidRPr="001644C7">
        <w:rPr>
          <w:rFonts w:ascii="Times New Roman" w:hAnsi="Times New Roman" w:cs="Times New Roman"/>
        </w:rPr>
        <w:t xml:space="preserve"> </w:t>
      </w:r>
      <w:r>
        <w:rPr>
          <w:rFonts w:ascii="Times New Roman" w:hAnsi="Times New Roman" w:cs="Times New Roman"/>
        </w:rPr>
        <w:t>pp. 500 y ss</w:t>
      </w:r>
      <w:r w:rsidRPr="001644C7">
        <w:rPr>
          <w:rFonts w:ascii="Times New Roman" w:hAnsi="Times New Roman" w:cs="Times New Roman"/>
        </w:rPr>
        <w:t>.</w:t>
      </w:r>
      <w:r>
        <w:rPr>
          <w:rFonts w:ascii="Times New Roman" w:hAnsi="Times New Roman" w:cs="Times New Roman"/>
        </w:rPr>
        <w:t xml:space="preserve">; SERRANO TÁRRAGA, 2016, p. 524. </w:t>
      </w:r>
    </w:p>
  </w:footnote>
  <w:footnote w:id="71">
    <w:p w:rsidR="0046254B" w:rsidRPr="00B229C3" w:rsidRDefault="0046254B" w:rsidP="00327E85">
      <w:pPr>
        <w:pStyle w:val="Textonotapie"/>
        <w:spacing w:line="360" w:lineRule="auto"/>
        <w:jc w:val="both"/>
      </w:pPr>
      <w:r w:rsidRPr="001644C7">
        <w:rPr>
          <w:rStyle w:val="Refdenotaalpie"/>
          <w:rFonts w:ascii="Times New Roman" w:hAnsi="Times New Roman" w:cs="Times New Roman"/>
        </w:rPr>
        <w:footnoteRef/>
      </w:r>
      <w:r>
        <w:rPr>
          <w:rFonts w:ascii="Times New Roman" w:hAnsi="Times New Roman" w:cs="Times New Roman"/>
        </w:rPr>
        <w:t xml:space="preserve"> </w:t>
      </w:r>
      <w:r w:rsidRPr="001644C7">
        <w:rPr>
          <w:rFonts w:ascii="Times New Roman" w:hAnsi="Times New Roman" w:cs="Times New Roman"/>
        </w:rPr>
        <w:t>O</w:t>
      </w:r>
      <w:r>
        <w:rPr>
          <w:rFonts w:ascii="Times New Roman" w:hAnsi="Times New Roman" w:cs="Times New Roman"/>
        </w:rPr>
        <w:t>LMEDO CARDENETE, 2015</w:t>
      </w:r>
      <w:r w:rsidRPr="001644C7">
        <w:rPr>
          <w:rFonts w:ascii="Times New Roman" w:hAnsi="Times New Roman" w:cs="Times New Roman"/>
        </w:rPr>
        <w:t xml:space="preserve">, </w:t>
      </w:r>
      <w:r>
        <w:rPr>
          <w:rFonts w:ascii="Times New Roman" w:hAnsi="Times New Roman" w:cs="Times New Roman"/>
        </w:rPr>
        <w:t>p</w:t>
      </w:r>
      <w:r w:rsidRPr="001644C7">
        <w:rPr>
          <w:rFonts w:ascii="Times New Roman" w:hAnsi="Times New Roman" w:cs="Times New Roman"/>
        </w:rPr>
        <w:t xml:space="preserve">. 907. </w:t>
      </w:r>
    </w:p>
  </w:footnote>
  <w:footnote w:id="72">
    <w:p w:rsidR="0046254B" w:rsidRPr="00460964" w:rsidRDefault="0046254B" w:rsidP="00327E85">
      <w:pPr>
        <w:pStyle w:val="Textonotapie"/>
        <w:spacing w:line="360" w:lineRule="auto"/>
        <w:rPr>
          <w:rFonts w:ascii="Times New Roman" w:hAnsi="Times New Roman" w:cs="Times New Roman"/>
        </w:rPr>
      </w:pPr>
      <w:r>
        <w:rPr>
          <w:rStyle w:val="Refdenotaalpie"/>
        </w:rPr>
        <w:footnoteRef/>
      </w:r>
      <w:r>
        <w:t xml:space="preserve">  </w:t>
      </w:r>
      <w:r>
        <w:rPr>
          <w:rFonts w:ascii="Times New Roman" w:hAnsi="Times New Roman" w:cs="Times New Roman"/>
        </w:rPr>
        <w:t>GÓRRIZ ROYO, 2015</w:t>
      </w:r>
      <w:r w:rsidRPr="00610E92">
        <w:rPr>
          <w:rFonts w:ascii="Times New Roman" w:hAnsi="Times New Roman" w:cs="Times New Roman"/>
        </w:rPr>
        <w:t xml:space="preserve">, </w:t>
      </w:r>
      <w:r>
        <w:rPr>
          <w:rFonts w:ascii="Times New Roman" w:hAnsi="Times New Roman" w:cs="Times New Roman"/>
        </w:rPr>
        <w:t>p.</w:t>
      </w:r>
      <w:r w:rsidRPr="00610E92">
        <w:rPr>
          <w:rFonts w:ascii="Times New Roman" w:hAnsi="Times New Roman" w:cs="Times New Roman"/>
        </w:rPr>
        <w:t xml:space="preserve"> </w:t>
      </w:r>
      <w:r>
        <w:rPr>
          <w:rFonts w:ascii="Times New Roman" w:hAnsi="Times New Roman" w:cs="Times New Roman"/>
        </w:rPr>
        <w:t>1022; MUÑOZ / LÓPEZ / GARCÍA, 2015</w:t>
      </w:r>
      <w:r w:rsidRPr="00405A5F">
        <w:rPr>
          <w:rFonts w:ascii="Times New Roman" w:hAnsi="Times New Roman" w:cs="Times New Roman"/>
        </w:rPr>
        <w:t xml:space="preserve">, </w:t>
      </w:r>
      <w:r>
        <w:rPr>
          <w:rFonts w:ascii="Times New Roman" w:hAnsi="Times New Roman" w:cs="Times New Roman"/>
        </w:rPr>
        <w:t>p. 252.</w:t>
      </w:r>
    </w:p>
  </w:footnote>
  <w:footnote w:id="73">
    <w:p w:rsidR="0046254B" w:rsidRPr="00081B40" w:rsidRDefault="0046254B" w:rsidP="00327E85">
      <w:pPr>
        <w:pStyle w:val="Textonotapie"/>
        <w:spacing w:line="360" w:lineRule="auto"/>
        <w:jc w:val="both"/>
        <w:rPr>
          <w:rFonts w:ascii="Times New Roman" w:hAnsi="Times New Roman" w:cs="Times New Roman"/>
        </w:rPr>
      </w:pPr>
      <w:r>
        <w:rPr>
          <w:rStyle w:val="Refdenotaalpie"/>
        </w:rPr>
        <w:footnoteRef/>
      </w:r>
      <w:r>
        <w:t xml:space="preserve"> </w:t>
      </w:r>
      <w:r>
        <w:rPr>
          <w:rFonts w:ascii="Times New Roman" w:hAnsi="Times New Roman" w:cs="Times New Roman"/>
        </w:rPr>
        <w:t>MUÑOZ / LÓPEZ / GARCÍA, 2015</w:t>
      </w:r>
      <w:r w:rsidRPr="00081B40">
        <w:rPr>
          <w:rFonts w:ascii="Times New Roman" w:hAnsi="Times New Roman" w:cs="Times New Roman"/>
        </w:rPr>
        <w:t xml:space="preserve">, </w:t>
      </w:r>
      <w:r>
        <w:rPr>
          <w:rFonts w:ascii="Times New Roman" w:hAnsi="Times New Roman" w:cs="Times New Roman"/>
        </w:rPr>
        <w:t>pp.</w:t>
      </w:r>
      <w:r w:rsidRPr="00081B40">
        <w:rPr>
          <w:rFonts w:ascii="Times New Roman" w:hAnsi="Times New Roman" w:cs="Times New Roman"/>
        </w:rPr>
        <w:t xml:space="preserve"> 252</w:t>
      </w:r>
      <w:r>
        <w:rPr>
          <w:rFonts w:ascii="Times New Roman" w:hAnsi="Times New Roman" w:cs="Times New Roman"/>
        </w:rPr>
        <w:t xml:space="preserve"> y ss.</w:t>
      </w:r>
      <w:r w:rsidRPr="00081B40">
        <w:rPr>
          <w:rFonts w:ascii="Times New Roman" w:hAnsi="Times New Roman" w:cs="Times New Roman"/>
        </w:rPr>
        <w:t>; SERRANO TÁR</w:t>
      </w:r>
      <w:r>
        <w:rPr>
          <w:rFonts w:ascii="Times New Roman" w:hAnsi="Times New Roman" w:cs="Times New Roman"/>
        </w:rPr>
        <w:t>RAGA, 2016</w:t>
      </w:r>
      <w:r w:rsidRPr="00081B40">
        <w:rPr>
          <w:rFonts w:ascii="Times New Roman" w:hAnsi="Times New Roman" w:cs="Times New Roman"/>
        </w:rPr>
        <w:t xml:space="preserve">, </w:t>
      </w:r>
      <w:r>
        <w:rPr>
          <w:rFonts w:ascii="Times New Roman" w:hAnsi="Times New Roman" w:cs="Times New Roman"/>
        </w:rPr>
        <w:t>p. 530; GÓRRIZ ROYO, 2015</w:t>
      </w:r>
      <w:r w:rsidRPr="00081B40">
        <w:rPr>
          <w:rFonts w:ascii="Times New Roman" w:hAnsi="Times New Roman" w:cs="Times New Roman"/>
        </w:rPr>
        <w:t xml:space="preserve">, </w:t>
      </w:r>
      <w:r>
        <w:rPr>
          <w:rFonts w:ascii="Times New Roman" w:hAnsi="Times New Roman" w:cs="Times New Roman"/>
        </w:rPr>
        <w:t>pp.</w:t>
      </w:r>
      <w:r w:rsidRPr="00081B40">
        <w:rPr>
          <w:rFonts w:ascii="Times New Roman" w:hAnsi="Times New Roman" w:cs="Times New Roman"/>
        </w:rPr>
        <w:t xml:space="preserve"> </w:t>
      </w:r>
      <w:r>
        <w:rPr>
          <w:rFonts w:ascii="Times New Roman" w:hAnsi="Times New Roman" w:cs="Times New Roman"/>
        </w:rPr>
        <w:t>1024 y ss.</w:t>
      </w:r>
    </w:p>
  </w:footnote>
  <w:footnote w:id="74">
    <w:p w:rsidR="0046254B" w:rsidRPr="001644C7" w:rsidRDefault="0046254B" w:rsidP="00327E85">
      <w:pPr>
        <w:pStyle w:val="Textonotapie"/>
        <w:spacing w:line="360" w:lineRule="auto"/>
        <w:jc w:val="both"/>
        <w:rPr>
          <w:rFonts w:ascii="Times New Roman" w:hAnsi="Times New Roman" w:cs="Times New Roman"/>
        </w:rPr>
      </w:pPr>
      <w:r w:rsidRPr="001644C7">
        <w:rPr>
          <w:rStyle w:val="Refdenotaalpie"/>
          <w:rFonts w:ascii="Times New Roman" w:hAnsi="Times New Roman" w:cs="Times New Roman"/>
        </w:rPr>
        <w:footnoteRef/>
      </w:r>
      <w:r w:rsidRPr="001644C7">
        <w:rPr>
          <w:rFonts w:ascii="Times New Roman" w:hAnsi="Times New Roman" w:cs="Times New Roman"/>
        </w:rPr>
        <w:t xml:space="preserve"> </w:t>
      </w:r>
      <w:r>
        <w:rPr>
          <w:rFonts w:ascii="Times New Roman" w:hAnsi="Times New Roman" w:cs="Times New Roman"/>
        </w:rPr>
        <w:t xml:space="preserve"> OLMEDO CARDENETE, 2015</w:t>
      </w:r>
      <w:r w:rsidRPr="001644C7">
        <w:rPr>
          <w:rFonts w:ascii="Times New Roman" w:hAnsi="Times New Roman" w:cs="Times New Roman"/>
        </w:rPr>
        <w:t xml:space="preserve">, </w:t>
      </w:r>
      <w:r>
        <w:rPr>
          <w:rFonts w:ascii="Times New Roman" w:hAnsi="Times New Roman" w:cs="Times New Roman"/>
        </w:rPr>
        <w:t>p</w:t>
      </w:r>
      <w:r w:rsidRPr="001644C7">
        <w:rPr>
          <w:rFonts w:ascii="Times New Roman" w:hAnsi="Times New Roman" w:cs="Times New Roman"/>
        </w:rPr>
        <w:t xml:space="preserve">. 907. </w:t>
      </w:r>
    </w:p>
  </w:footnote>
  <w:footnote w:id="75">
    <w:p w:rsidR="0046254B" w:rsidRPr="00746254" w:rsidRDefault="0046254B" w:rsidP="00327E85">
      <w:pPr>
        <w:pStyle w:val="Textonotapie"/>
        <w:spacing w:line="360" w:lineRule="auto"/>
        <w:jc w:val="both"/>
        <w:rPr>
          <w:rFonts w:ascii="Times New Roman" w:hAnsi="Times New Roman" w:cs="Times New Roman"/>
        </w:rPr>
      </w:pPr>
      <w:r w:rsidRPr="00746254">
        <w:rPr>
          <w:rStyle w:val="Refdenotaalpie"/>
          <w:rFonts w:ascii="Times New Roman" w:hAnsi="Times New Roman" w:cs="Times New Roman"/>
        </w:rPr>
        <w:footnoteRef/>
      </w:r>
      <w:r w:rsidRPr="00746254">
        <w:rPr>
          <w:rFonts w:ascii="Times New Roman" w:hAnsi="Times New Roman" w:cs="Times New Roman"/>
        </w:rPr>
        <w:t xml:space="preserve"> </w:t>
      </w:r>
      <w:r>
        <w:rPr>
          <w:rFonts w:ascii="Times New Roman" w:hAnsi="Times New Roman" w:cs="Times New Roman"/>
        </w:rPr>
        <w:t xml:space="preserve"> </w:t>
      </w:r>
      <w:r w:rsidRPr="00746254">
        <w:rPr>
          <w:rFonts w:ascii="Times New Roman" w:hAnsi="Times New Roman" w:cs="Times New Roman"/>
        </w:rPr>
        <w:t>MUÑOZ CONDE</w:t>
      </w:r>
      <w:r>
        <w:rPr>
          <w:rFonts w:ascii="Times New Roman" w:hAnsi="Times New Roman" w:cs="Times New Roman"/>
        </w:rPr>
        <w:t>, 2015, pp. 500 y ss.; PUENTE ABA, 2011, p. 254.</w:t>
      </w:r>
    </w:p>
  </w:footnote>
  <w:footnote w:id="76">
    <w:p w:rsidR="0046254B" w:rsidRPr="00746254" w:rsidRDefault="0046254B" w:rsidP="00327E85">
      <w:pPr>
        <w:pStyle w:val="Textonotapie"/>
        <w:spacing w:line="360" w:lineRule="auto"/>
        <w:jc w:val="both"/>
        <w:rPr>
          <w:rFonts w:ascii="Times New Roman" w:hAnsi="Times New Roman" w:cs="Times New Roman"/>
        </w:rPr>
      </w:pPr>
      <w:r w:rsidRPr="00746254">
        <w:rPr>
          <w:rStyle w:val="Refdenotaalpie"/>
          <w:rFonts w:ascii="Times New Roman" w:hAnsi="Times New Roman" w:cs="Times New Roman"/>
        </w:rPr>
        <w:footnoteRef/>
      </w:r>
      <w:r w:rsidRPr="00746254">
        <w:rPr>
          <w:rFonts w:ascii="Times New Roman" w:hAnsi="Times New Roman" w:cs="Times New Roman"/>
        </w:rPr>
        <w:t xml:space="preserve"> </w:t>
      </w:r>
      <w:r>
        <w:rPr>
          <w:rFonts w:ascii="Times New Roman" w:hAnsi="Times New Roman" w:cs="Times New Roman"/>
        </w:rPr>
        <w:t>OLMEDO CARDENETE, 2015</w:t>
      </w:r>
      <w:r w:rsidRPr="00AF6481">
        <w:rPr>
          <w:rFonts w:ascii="Times New Roman" w:hAnsi="Times New Roman" w:cs="Times New Roman"/>
        </w:rPr>
        <w:t xml:space="preserve">, </w:t>
      </w:r>
      <w:r>
        <w:rPr>
          <w:rFonts w:ascii="Times New Roman" w:hAnsi="Times New Roman" w:cs="Times New Roman"/>
        </w:rPr>
        <w:t>p. 915</w:t>
      </w:r>
      <w:r w:rsidRPr="00AF6481">
        <w:rPr>
          <w:rFonts w:ascii="Times New Roman" w:hAnsi="Times New Roman" w:cs="Times New Roman"/>
        </w:rPr>
        <w:t xml:space="preserve">. </w:t>
      </w:r>
    </w:p>
  </w:footnote>
  <w:footnote w:id="77">
    <w:p w:rsidR="0046254B" w:rsidRDefault="0046254B" w:rsidP="00327E85">
      <w:pPr>
        <w:pStyle w:val="Textonotapie"/>
        <w:spacing w:line="360" w:lineRule="auto"/>
      </w:pPr>
      <w:r>
        <w:rPr>
          <w:rStyle w:val="Refdenotaalpie"/>
        </w:rPr>
        <w:footnoteRef/>
      </w:r>
      <w:r>
        <w:t xml:space="preserve">  </w:t>
      </w:r>
      <w:r>
        <w:rPr>
          <w:rFonts w:ascii="Times New Roman" w:hAnsi="Times New Roman" w:cs="Times New Roman"/>
        </w:rPr>
        <w:t>MUÑOZ / LÓPEZ / GARCÍA, 2015</w:t>
      </w:r>
      <w:r w:rsidRPr="00053CFB">
        <w:rPr>
          <w:rFonts w:ascii="Times New Roman" w:hAnsi="Times New Roman" w:cs="Times New Roman"/>
        </w:rPr>
        <w:t xml:space="preserve">, </w:t>
      </w:r>
      <w:r>
        <w:rPr>
          <w:rFonts w:ascii="Times New Roman" w:hAnsi="Times New Roman" w:cs="Times New Roman"/>
        </w:rPr>
        <w:t>p. 242; GÓRRIZ ROYO, 2015</w:t>
      </w:r>
      <w:r w:rsidRPr="00053CFB">
        <w:rPr>
          <w:rFonts w:ascii="Times New Roman" w:hAnsi="Times New Roman" w:cs="Times New Roman"/>
        </w:rPr>
        <w:t xml:space="preserve">, </w:t>
      </w:r>
      <w:r>
        <w:rPr>
          <w:rFonts w:ascii="Times New Roman" w:hAnsi="Times New Roman" w:cs="Times New Roman"/>
        </w:rPr>
        <w:t>p.</w:t>
      </w:r>
      <w:r w:rsidRPr="00053CFB">
        <w:rPr>
          <w:rFonts w:ascii="Times New Roman" w:hAnsi="Times New Roman" w:cs="Times New Roman"/>
        </w:rPr>
        <w:t xml:space="preserve"> 1014.</w:t>
      </w:r>
      <w:r>
        <w:t xml:space="preserve"> </w:t>
      </w:r>
    </w:p>
  </w:footnote>
  <w:footnote w:id="78">
    <w:p w:rsidR="0046254B" w:rsidRPr="00AF6481" w:rsidRDefault="0046254B" w:rsidP="00327E85">
      <w:pPr>
        <w:pStyle w:val="Textonotapie"/>
        <w:spacing w:line="360" w:lineRule="auto"/>
        <w:jc w:val="both"/>
        <w:rPr>
          <w:rFonts w:ascii="Times New Roman" w:hAnsi="Times New Roman" w:cs="Times New Roman"/>
        </w:rPr>
      </w:pPr>
      <w:r w:rsidRPr="00AF6481">
        <w:rPr>
          <w:rStyle w:val="Refdenotaalpie"/>
          <w:rFonts w:ascii="Times New Roman" w:hAnsi="Times New Roman" w:cs="Times New Roman"/>
        </w:rPr>
        <w:footnoteRef/>
      </w:r>
      <w:r>
        <w:rPr>
          <w:rFonts w:ascii="Times New Roman" w:hAnsi="Times New Roman" w:cs="Times New Roman"/>
        </w:rPr>
        <w:t xml:space="preserve"> OLMEDO CARDENETE, 2015</w:t>
      </w:r>
      <w:r w:rsidRPr="00AF6481">
        <w:rPr>
          <w:rFonts w:ascii="Times New Roman" w:hAnsi="Times New Roman" w:cs="Times New Roman"/>
        </w:rPr>
        <w:t xml:space="preserve">, </w:t>
      </w:r>
      <w:r>
        <w:rPr>
          <w:rFonts w:ascii="Times New Roman" w:hAnsi="Times New Roman" w:cs="Times New Roman"/>
        </w:rPr>
        <w:t>p</w:t>
      </w:r>
      <w:r w:rsidRPr="00AF6481">
        <w:rPr>
          <w:rFonts w:ascii="Times New Roman" w:hAnsi="Times New Roman" w:cs="Times New Roman"/>
        </w:rPr>
        <w:t xml:space="preserve">. 916. </w:t>
      </w:r>
    </w:p>
  </w:footnote>
  <w:footnote w:id="79">
    <w:p w:rsidR="0046254B" w:rsidRPr="00982B0E" w:rsidRDefault="0046254B" w:rsidP="00327E85">
      <w:pPr>
        <w:pStyle w:val="Textonotapie"/>
        <w:spacing w:line="360" w:lineRule="auto"/>
        <w:jc w:val="both"/>
        <w:rPr>
          <w:rFonts w:ascii="Times New Roman" w:hAnsi="Times New Roman" w:cs="Times New Roman"/>
          <w:i/>
        </w:rPr>
      </w:pPr>
      <w:r>
        <w:rPr>
          <w:rStyle w:val="Refdenotaalpie"/>
        </w:rPr>
        <w:footnoteRef/>
      </w:r>
      <w:r>
        <w:t xml:space="preserve"> </w:t>
      </w:r>
      <w:r>
        <w:rPr>
          <w:rFonts w:ascii="Times New Roman" w:hAnsi="Times New Roman" w:cs="Times New Roman"/>
        </w:rPr>
        <w:t>OLMEDO CARDENETE, 2015</w:t>
      </w:r>
      <w:r w:rsidRPr="00982B0E">
        <w:rPr>
          <w:rFonts w:ascii="Times New Roman" w:hAnsi="Times New Roman" w:cs="Times New Roman"/>
        </w:rPr>
        <w:t xml:space="preserve">, </w:t>
      </w:r>
      <w:r>
        <w:rPr>
          <w:rFonts w:ascii="Times New Roman" w:hAnsi="Times New Roman" w:cs="Times New Roman"/>
        </w:rPr>
        <w:t>p. 917; GÓRRIZ ROYO, 2015</w:t>
      </w:r>
      <w:r w:rsidRPr="00982B0E">
        <w:rPr>
          <w:rFonts w:ascii="Times New Roman" w:hAnsi="Times New Roman" w:cs="Times New Roman"/>
        </w:rPr>
        <w:t xml:space="preserve">, </w:t>
      </w:r>
      <w:r>
        <w:rPr>
          <w:rFonts w:ascii="Times New Roman" w:hAnsi="Times New Roman" w:cs="Times New Roman"/>
        </w:rPr>
        <w:t xml:space="preserve">p. 1026; MUÑOZ / LÓPEZ / GARCÍA, </w:t>
      </w:r>
      <w:r w:rsidRPr="00982B0E">
        <w:rPr>
          <w:rFonts w:ascii="Times New Roman" w:hAnsi="Times New Roman" w:cs="Times New Roman"/>
        </w:rPr>
        <w:t>2015</w:t>
      </w:r>
      <w:r>
        <w:rPr>
          <w:rFonts w:ascii="Times New Roman" w:hAnsi="Times New Roman" w:cs="Times New Roman"/>
        </w:rPr>
        <w:t xml:space="preserve"> p. 254. MA</w:t>
      </w:r>
      <w:bookmarkStart w:id="0" w:name="_GoBack"/>
      <w:bookmarkEnd w:id="0"/>
      <w:r>
        <w:rPr>
          <w:rFonts w:ascii="Times New Roman" w:hAnsi="Times New Roman" w:cs="Times New Roman"/>
        </w:rPr>
        <w:t>ESTRE DELGADO, 2016</w:t>
      </w:r>
      <w:r w:rsidRPr="00982B0E">
        <w:rPr>
          <w:rFonts w:ascii="Times New Roman" w:hAnsi="Times New Roman" w:cs="Times New Roman"/>
        </w:rPr>
        <w:t xml:space="preserve">, </w:t>
      </w:r>
      <w:r>
        <w:rPr>
          <w:rFonts w:ascii="Times New Roman" w:hAnsi="Times New Roman" w:cs="Times New Roman"/>
        </w:rPr>
        <w:t>p</w:t>
      </w:r>
      <w:r>
        <w:rPr>
          <w:rFonts w:ascii="Times New Roman" w:hAnsi="Times New Roman" w:cs="Times New Roman"/>
          <w:i/>
        </w:rPr>
        <w:t>.</w:t>
      </w:r>
      <w:r w:rsidRPr="00982B0E">
        <w:rPr>
          <w:rFonts w:ascii="Times New Roman" w:hAnsi="Times New Roman" w:cs="Times New Roman"/>
          <w:i/>
        </w:rPr>
        <w:t xml:space="preserve"> 616.</w:t>
      </w:r>
    </w:p>
    <w:p w:rsidR="0046254B" w:rsidRPr="0060777A" w:rsidRDefault="0046254B" w:rsidP="00327E85">
      <w:pPr>
        <w:pStyle w:val="Textonotapie"/>
      </w:pPr>
    </w:p>
    <w:p w:rsidR="0046254B" w:rsidRDefault="0046254B" w:rsidP="00327E85">
      <w:pPr>
        <w:pStyle w:val="Textonotapi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36BBC"/>
    <w:multiLevelType w:val="hybridMultilevel"/>
    <w:tmpl w:val="9228934A"/>
    <w:lvl w:ilvl="0" w:tplc="0C0A0013">
      <w:start w:val="1"/>
      <w:numFmt w:val="upperRoman"/>
      <w:lvlText w:val="%1."/>
      <w:lvlJc w:val="righ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nsid w:val="0E626D40"/>
    <w:multiLevelType w:val="hybridMultilevel"/>
    <w:tmpl w:val="E1E6EDC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1826373"/>
    <w:multiLevelType w:val="hybridMultilevel"/>
    <w:tmpl w:val="DDE65C52"/>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32C7E35"/>
    <w:multiLevelType w:val="hybridMultilevel"/>
    <w:tmpl w:val="00C2655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65544FB"/>
    <w:multiLevelType w:val="hybridMultilevel"/>
    <w:tmpl w:val="0E94804C"/>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
    <w:nsid w:val="281A348A"/>
    <w:multiLevelType w:val="multilevel"/>
    <w:tmpl w:val="1520D2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F227ADE"/>
    <w:multiLevelType w:val="hybridMultilevel"/>
    <w:tmpl w:val="F97A5E5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7D92E57"/>
    <w:multiLevelType w:val="hybridMultilevel"/>
    <w:tmpl w:val="0B0639AA"/>
    <w:lvl w:ilvl="0" w:tplc="84926268">
      <w:start w:val="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39407AD4"/>
    <w:multiLevelType w:val="hybridMultilevel"/>
    <w:tmpl w:val="2D4E757C"/>
    <w:lvl w:ilvl="0" w:tplc="68F6FBC6">
      <w:numFmt w:val="bullet"/>
      <w:lvlText w:val="-"/>
      <w:lvlJc w:val="left"/>
      <w:pPr>
        <w:ind w:left="720" w:hanging="360"/>
      </w:pPr>
      <w:rPr>
        <w:rFonts w:ascii="Calibri" w:eastAsiaTheme="minorHAns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3BBE305B"/>
    <w:multiLevelType w:val="hybridMultilevel"/>
    <w:tmpl w:val="4134C368"/>
    <w:lvl w:ilvl="0" w:tplc="DF72A81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3DF22139"/>
    <w:multiLevelType w:val="hybridMultilevel"/>
    <w:tmpl w:val="BC42E40A"/>
    <w:lvl w:ilvl="0" w:tplc="CE343A94">
      <w:start w:val="3"/>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41FE5E1D"/>
    <w:multiLevelType w:val="hybridMultilevel"/>
    <w:tmpl w:val="A0C07F44"/>
    <w:lvl w:ilvl="0" w:tplc="0C0A0017">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2">
    <w:nsid w:val="524E355D"/>
    <w:multiLevelType w:val="hybridMultilevel"/>
    <w:tmpl w:val="7A383478"/>
    <w:lvl w:ilvl="0" w:tplc="1DCCA61E">
      <w:start w:val="1"/>
      <w:numFmt w:val="upp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3">
    <w:nsid w:val="565537AC"/>
    <w:multiLevelType w:val="hybridMultilevel"/>
    <w:tmpl w:val="1E74C5F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58D24783"/>
    <w:multiLevelType w:val="hybridMultilevel"/>
    <w:tmpl w:val="EC5E97A4"/>
    <w:lvl w:ilvl="0" w:tplc="5702715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59240AC1"/>
    <w:multiLevelType w:val="hybridMultilevel"/>
    <w:tmpl w:val="C332EE18"/>
    <w:lvl w:ilvl="0" w:tplc="D02A5F08">
      <w:start w:val="1"/>
      <w:numFmt w:val="decimal"/>
      <w:lvlText w:val="%1."/>
      <w:lvlJc w:val="left"/>
      <w:pPr>
        <w:ind w:left="643" w:hanging="360"/>
      </w:pPr>
      <w:rPr>
        <w:rFonts w:hint="default"/>
        <w:color w:val="000000" w:themeColor="text1"/>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6A311993"/>
    <w:multiLevelType w:val="multilevel"/>
    <w:tmpl w:val="A0FED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E9A5210"/>
    <w:multiLevelType w:val="multilevel"/>
    <w:tmpl w:val="E80EF37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nsid w:val="70B17E85"/>
    <w:multiLevelType w:val="hybridMultilevel"/>
    <w:tmpl w:val="D3C2637A"/>
    <w:lvl w:ilvl="0" w:tplc="94E0010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9894648"/>
    <w:multiLevelType w:val="hybridMultilevel"/>
    <w:tmpl w:val="A7D41816"/>
    <w:lvl w:ilvl="0" w:tplc="DB363006">
      <w:start w:val="1"/>
      <w:numFmt w:val="decimal"/>
      <w:lvlText w:val="%1-"/>
      <w:lvlJc w:val="left"/>
      <w:pPr>
        <w:ind w:left="360" w:hanging="360"/>
      </w:pPr>
      <w:rPr>
        <w:rFonts w:ascii="Times New Roman" w:hAnsi="Times New Roman" w:cs="Times New Roman" w:hint="default"/>
        <w:sz w:val="24"/>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0">
    <w:nsid w:val="7D0D28E4"/>
    <w:multiLevelType w:val="hybridMultilevel"/>
    <w:tmpl w:val="D4C297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7F775395"/>
    <w:multiLevelType w:val="hybridMultilevel"/>
    <w:tmpl w:val="3D56910A"/>
    <w:lvl w:ilvl="0" w:tplc="930A7A9C">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8"/>
  </w:num>
  <w:num w:numId="2">
    <w:abstractNumId w:val="4"/>
  </w:num>
  <w:num w:numId="3">
    <w:abstractNumId w:val="16"/>
  </w:num>
  <w:num w:numId="4">
    <w:abstractNumId w:val="0"/>
  </w:num>
  <w:num w:numId="5">
    <w:abstractNumId w:val="18"/>
  </w:num>
  <w:num w:numId="6">
    <w:abstractNumId w:val="15"/>
  </w:num>
  <w:num w:numId="7">
    <w:abstractNumId w:val="17"/>
  </w:num>
  <w:num w:numId="8">
    <w:abstractNumId w:val="12"/>
  </w:num>
  <w:num w:numId="9">
    <w:abstractNumId w:val="21"/>
  </w:num>
  <w:num w:numId="10">
    <w:abstractNumId w:val="14"/>
  </w:num>
  <w:num w:numId="11">
    <w:abstractNumId w:val="9"/>
  </w:num>
  <w:num w:numId="12">
    <w:abstractNumId w:val="19"/>
  </w:num>
  <w:num w:numId="13">
    <w:abstractNumId w:val="5"/>
  </w:num>
  <w:num w:numId="14">
    <w:abstractNumId w:val="20"/>
  </w:num>
  <w:num w:numId="15">
    <w:abstractNumId w:val="7"/>
  </w:num>
  <w:num w:numId="16">
    <w:abstractNumId w:val="11"/>
  </w:num>
  <w:num w:numId="17">
    <w:abstractNumId w:val="10"/>
  </w:num>
  <w:num w:numId="18">
    <w:abstractNumId w:val="6"/>
  </w:num>
  <w:num w:numId="19">
    <w:abstractNumId w:val="13"/>
  </w:num>
  <w:num w:numId="20">
    <w:abstractNumId w:val="3"/>
  </w:num>
  <w:num w:numId="21">
    <w:abstractNumId w:val="2"/>
  </w:num>
  <w:num w:numId="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5445"/>
    <w:rsid w:val="00000D69"/>
    <w:rsid w:val="00000E49"/>
    <w:rsid w:val="000041D3"/>
    <w:rsid w:val="00005842"/>
    <w:rsid w:val="00011C59"/>
    <w:rsid w:val="00011F86"/>
    <w:rsid w:val="000136F4"/>
    <w:rsid w:val="000159AA"/>
    <w:rsid w:val="00021551"/>
    <w:rsid w:val="0002198E"/>
    <w:rsid w:val="00022231"/>
    <w:rsid w:val="00024C07"/>
    <w:rsid w:val="0002744E"/>
    <w:rsid w:val="000300C4"/>
    <w:rsid w:val="000358D5"/>
    <w:rsid w:val="000364B6"/>
    <w:rsid w:val="00037BD8"/>
    <w:rsid w:val="00041056"/>
    <w:rsid w:val="0004322A"/>
    <w:rsid w:val="00051AAE"/>
    <w:rsid w:val="0005213D"/>
    <w:rsid w:val="000554F3"/>
    <w:rsid w:val="000608F1"/>
    <w:rsid w:val="00061981"/>
    <w:rsid w:val="00062593"/>
    <w:rsid w:val="00062DB2"/>
    <w:rsid w:val="000632E4"/>
    <w:rsid w:val="00065C4F"/>
    <w:rsid w:val="0007528A"/>
    <w:rsid w:val="00087CB9"/>
    <w:rsid w:val="00091FCF"/>
    <w:rsid w:val="00092074"/>
    <w:rsid w:val="000940A7"/>
    <w:rsid w:val="00095BD7"/>
    <w:rsid w:val="000B459A"/>
    <w:rsid w:val="000B74DA"/>
    <w:rsid w:val="000C7F48"/>
    <w:rsid w:val="000D5850"/>
    <w:rsid w:val="000D7AA0"/>
    <w:rsid w:val="000E3D27"/>
    <w:rsid w:val="000E5AD5"/>
    <w:rsid w:val="000E5FA1"/>
    <w:rsid w:val="000E6DA3"/>
    <w:rsid w:val="000E7473"/>
    <w:rsid w:val="000F107C"/>
    <w:rsid w:val="000F4ED3"/>
    <w:rsid w:val="0010081E"/>
    <w:rsid w:val="00103F5B"/>
    <w:rsid w:val="00115B0C"/>
    <w:rsid w:val="001245AB"/>
    <w:rsid w:val="001254B4"/>
    <w:rsid w:val="00134173"/>
    <w:rsid w:val="00135748"/>
    <w:rsid w:val="001357E6"/>
    <w:rsid w:val="0013624F"/>
    <w:rsid w:val="0014175D"/>
    <w:rsid w:val="00142C52"/>
    <w:rsid w:val="001474DF"/>
    <w:rsid w:val="001500DF"/>
    <w:rsid w:val="0015662A"/>
    <w:rsid w:val="001626BA"/>
    <w:rsid w:val="00163A0C"/>
    <w:rsid w:val="00164928"/>
    <w:rsid w:val="00164F3B"/>
    <w:rsid w:val="00171548"/>
    <w:rsid w:val="0017593B"/>
    <w:rsid w:val="00175EE4"/>
    <w:rsid w:val="001820CB"/>
    <w:rsid w:val="001825E5"/>
    <w:rsid w:val="0018480A"/>
    <w:rsid w:val="00184BA5"/>
    <w:rsid w:val="00186B3F"/>
    <w:rsid w:val="00190A93"/>
    <w:rsid w:val="00193A0A"/>
    <w:rsid w:val="00194220"/>
    <w:rsid w:val="001945A6"/>
    <w:rsid w:val="001A0B18"/>
    <w:rsid w:val="001A28F9"/>
    <w:rsid w:val="001A5D2A"/>
    <w:rsid w:val="001C0E52"/>
    <w:rsid w:val="001C2EAE"/>
    <w:rsid w:val="001D1093"/>
    <w:rsid w:val="001D2D4A"/>
    <w:rsid w:val="001E3579"/>
    <w:rsid w:val="001E3794"/>
    <w:rsid w:val="001E48A2"/>
    <w:rsid w:val="001E4F8B"/>
    <w:rsid w:val="002004E9"/>
    <w:rsid w:val="002018C6"/>
    <w:rsid w:val="0020281A"/>
    <w:rsid w:val="00212D31"/>
    <w:rsid w:val="00213C3D"/>
    <w:rsid w:val="00214E63"/>
    <w:rsid w:val="0021636F"/>
    <w:rsid w:val="00221F1C"/>
    <w:rsid w:val="00225BAE"/>
    <w:rsid w:val="00230279"/>
    <w:rsid w:val="00231DBD"/>
    <w:rsid w:val="00232D36"/>
    <w:rsid w:val="00235AA4"/>
    <w:rsid w:val="00236370"/>
    <w:rsid w:val="002401DE"/>
    <w:rsid w:val="0024151E"/>
    <w:rsid w:val="00250585"/>
    <w:rsid w:val="002550E1"/>
    <w:rsid w:val="00260B8C"/>
    <w:rsid w:val="00261309"/>
    <w:rsid w:val="00264DDC"/>
    <w:rsid w:val="002704D9"/>
    <w:rsid w:val="00276A3B"/>
    <w:rsid w:val="00285445"/>
    <w:rsid w:val="0029132D"/>
    <w:rsid w:val="00292BEF"/>
    <w:rsid w:val="002952D3"/>
    <w:rsid w:val="00297802"/>
    <w:rsid w:val="002A359C"/>
    <w:rsid w:val="002B0539"/>
    <w:rsid w:val="002C031F"/>
    <w:rsid w:val="002C09C3"/>
    <w:rsid w:val="002D0359"/>
    <w:rsid w:val="002D05EC"/>
    <w:rsid w:val="002D09C7"/>
    <w:rsid w:val="002D43C3"/>
    <w:rsid w:val="002D5BFB"/>
    <w:rsid w:val="002E28E4"/>
    <w:rsid w:val="002E3B92"/>
    <w:rsid w:val="002E4CCC"/>
    <w:rsid w:val="002E61B8"/>
    <w:rsid w:val="002F5D95"/>
    <w:rsid w:val="003017F0"/>
    <w:rsid w:val="00301992"/>
    <w:rsid w:val="003046B8"/>
    <w:rsid w:val="00305D20"/>
    <w:rsid w:val="00305F64"/>
    <w:rsid w:val="00323623"/>
    <w:rsid w:val="00323DDF"/>
    <w:rsid w:val="0032534A"/>
    <w:rsid w:val="00327E85"/>
    <w:rsid w:val="003313EF"/>
    <w:rsid w:val="003350B7"/>
    <w:rsid w:val="00336F62"/>
    <w:rsid w:val="00341531"/>
    <w:rsid w:val="003432F5"/>
    <w:rsid w:val="0034368E"/>
    <w:rsid w:val="003539CA"/>
    <w:rsid w:val="003567A3"/>
    <w:rsid w:val="0036016B"/>
    <w:rsid w:val="0036174C"/>
    <w:rsid w:val="0036185D"/>
    <w:rsid w:val="00365E55"/>
    <w:rsid w:val="00372508"/>
    <w:rsid w:val="003729F5"/>
    <w:rsid w:val="00372EA1"/>
    <w:rsid w:val="00373E2B"/>
    <w:rsid w:val="003777F8"/>
    <w:rsid w:val="00380CC9"/>
    <w:rsid w:val="0038122E"/>
    <w:rsid w:val="00382A0F"/>
    <w:rsid w:val="003873EC"/>
    <w:rsid w:val="003A678A"/>
    <w:rsid w:val="003B0E44"/>
    <w:rsid w:val="003B3E31"/>
    <w:rsid w:val="003B4A6D"/>
    <w:rsid w:val="003B602B"/>
    <w:rsid w:val="003D0B43"/>
    <w:rsid w:val="003D188D"/>
    <w:rsid w:val="003D273A"/>
    <w:rsid w:val="003E4404"/>
    <w:rsid w:val="003E478B"/>
    <w:rsid w:val="003F071B"/>
    <w:rsid w:val="003F0EF2"/>
    <w:rsid w:val="003F3AC0"/>
    <w:rsid w:val="003F79D0"/>
    <w:rsid w:val="003F7E11"/>
    <w:rsid w:val="00407DB1"/>
    <w:rsid w:val="00414370"/>
    <w:rsid w:val="004153CE"/>
    <w:rsid w:val="00416153"/>
    <w:rsid w:val="00416B76"/>
    <w:rsid w:val="00422DB6"/>
    <w:rsid w:val="00423DE8"/>
    <w:rsid w:val="00425EB1"/>
    <w:rsid w:val="0042628D"/>
    <w:rsid w:val="00433286"/>
    <w:rsid w:val="00434EAB"/>
    <w:rsid w:val="00443053"/>
    <w:rsid w:val="004536FC"/>
    <w:rsid w:val="0046254B"/>
    <w:rsid w:val="00462F21"/>
    <w:rsid w:val="004651F7"/>
    <w:rsid w:val="00466273"/>
    <w:rsid w:val="00470E2E"/>
    <w:rsid w:val="00473122"/>
    <w:rsid w:val="0047381E"/>
    <w:rsid w:val="00475514"/>
    <w:rsid w:val="00480666"/>
    <w:rsid w:val="00485EE2"/>
    <w:rsid w:val="0048718B"/>
    <w:rsid w:val="004904D2"/>
    <w:rsid w:val="004935CE"/>
    <w:rsid w:val="00497BD9"/>
    <w:rsid w:val="004A397F"/>
    <w:rsid w:val="004B3B5B"/>
    <w:rsid w:val="004B4B01"/>
    <w:rsid w:val="004C0535"/>
    <w:rsid w:val="004C2952"/>
    <w:rsid w:val="004C49EB"/>
    <w:rsid w:val="004D00D7"/>
    <w:rsid w:val="004D1051"/>
    <w:rsid w:val="004D2242"/>
    <w:rsid w:val="004D594C"/>
    <w:rsid w:val="004E3888"/>
    <w:rsid w:val="004F609C"/>
    <w:rsid w:val="00502FA0"/>
    <w:rsid w:val="00506457"/>
    <w:rsid w:val="00513CE6"/>
    <w:rsid w:val="00515ECD"/>
    <w:rsid w:val="005205BD"/>
    <w:rsid w:val="00527496"/>
    <w:rsid w:val="00531529"/>
    <w:rsid w:val="005331E0"/>
    <w:rsid w:val="0053483C"/>
    <w:rsid w:val="005426FF"/>
    <w:rsid w:val="00551FA1"/>
    <w:rsid w:val="005557A8"/>
    <w:rsid w:val="00571881"/>
    <w:rsid w:val="0057221C"/>
    <w:rsid w:val="00573587"/>
    <w:rsid w:val="00580DD0"/>
    <w:rsid w:val="0058281C"/>
    <w:rsid w:val="00587335"/>
    <w:rsid w:val="00587B2E"/>
    <w:rsid w:val="005936E5"/>
    <w:rsid w:val="00594B10"/>
    <w:rsid w:val="005A0A6E"/>
    <w:rsid w:val="005A74B7"/>
    <w:rsid w:val="005B0653"/>
    <w:rsid w:val="005B67BB"/>
    <w:rsid w:val="005C29FF"/>
    <w:rsid w:val="005C627D"/>
    <w:rsid w:val="005C740C"/>
    <w:rsid w:val="005E1B0C"/>
    <w:rsid w:val="005E6660"/>
    <w:rsid w:val="005F0932"/>
    <w:rsid w:val="00605396"/>
    <w:rsid w:val="00606D17"/>
    <w:rsid w:val="00611D76"/>
    <w:rsid w:val="006146F9"/>
    <w:rsid w:val="00617AE9"/>
    <w:rsid w:val="00626123"/>
    <w:rsid w:val="00632316"/>
    <w:rsid w:val="006351F9"/>
    <w:rsid w:val="00636D04"/>
    <w:rsid w:val="00640C70"/>
    <w:rsid w:val="00641FA7"/>
    <w:rsid w:val="00645515"/>
    <w:rsid w:val="0064724E"/>
    <w:rsid w:val="006502A8"/>
    <w:rsid w:val="0065168F"/>
    <w:rsid w:val="00653FBC"/>
    <w:rsid w:val="006574FF"/>
    <w:rsid w:val="00661B74"/>
    <w:rsid w:val="0066310A"/>
    <w:rsid w:val="0066510F"/>
    <w:rsid w:val="0066655B"/>
    <w:rsid w:val="00667BCA"/>
    <w:rsid w:val="00667FCF"/>
    <w:rsid w:val="00677A41"/>
    <w:rsid w:val="00683541"/>
    <w:rsid w:val="0068665D"/>
    <w:rsid w:val="0069259D"/>
    <w:rsid w:val="006958F7"/>
    <w:rsid w:val="006A07C4"/>
    <w:rsid w:val="006A12A0"/>
    <w:rsid w:val="006A552D"/>
    <w:rsid w:val="006A575D"/>
    <w:rsid w:val="006A59EA"/>
    <w:rsid w:val="006A6019"/>
    <w:rsid w:val="006B31B6"/>
    <w:rsid w:val="006C6481"/>
    <w:rsid w:val="006D00A1"/>
    <w:rsid w:val="006D079A"/>
    <w:rsid w:val="006D3CBE"/>
    <w:rsid w:val="006E113C"/>
    <w:rsid w:val="006E1BE7"/>
    <w:rsid w:val="006E3973"/>
    <w:rsid w:val="006E7DE8"/>
    <w:rsid w:val="006F149B"/>
    <w:rsid w:val="006F2551"/>
    <w:rsid w:val="006F3D63"/>
    <w:rsid w:val="006F5212"/>
    <w:rsid w:val="00704A8F"/>
    <w:rsid w:val="0070616B"/>
    <w:rsid w:val="00714AAF"/>
    <w:rsid w:val="007152FF"/>
    <w:rsid w:val="00715969"/>
    <w:rsid w:val="00721DE5"/>
    <w:rsid w:val="00732FCC"/>
    <w:rsid w:val="00733DE0"/>
    <w:rsid w:val="00734DE1"/>
    <w:rsid w:val="007369C2"/>
    <w:rsid w:val="00740A5C"/>
    <w:rsid w:val="00751BA6"/>
    <w:rsid w:val="00753674"/>
    <w:rsid w:val="0075727A"/>
    <w:rsid w:val="0076277B"/>
    <w:rsid w:val="00763133"/>
    <w:rsid w:val="00770614"/>
    <w:rsid w:val="00773B57"/>
    <w:rsid w:val="00775837"/>
    <w:rsid w:val="00780E18"/>
    <w:rsid w:val="007844D5"/>
    <w:rsid w:val="007878AE"/>
    <w:rsid w:val="00797220"/>
    <w:rsid w:val="007A3873"/>
    <w:rsid w:val="007A5AC2"/>
    <w:rsid w:val="007B2C38"/>
    <w:rsid w:val="007B3D29"/>
    <w:rsid w:val="007B4142"/>
    <w:rsid w:val="007B427A"/>
    <w:rsid w:val="007B57F4"/>
    <w:rsid w:val="007C3990"/>
    <w:rsid w:val="007C42D7"/>
    <w:rsid w:val="007C79AE"/>
    <w:rsid w:val="007D162D"/>
    <w:rsid w:val="007E2CB3"/>
    <w:rsid w:val="007E4786"/>
    <w:rsid w:val="007E78AD"/>
    <w:rsid w:val="007F338A"/>
    <w:rsid w:val="0080479C"/>
    <w:rsid w:val="0080535B"/>
    <w:rsid w:val="008110B9"/>
    <w:rsid w:val="0081482E"/>
    <w:rsid w:val="008172E5"/>
    <w:rsid w:val="00824974"/>
    <w:rsid w:val="00826B66"/>
    <w:rsid w:val="00832581"/>
    <w:rsid w:val="008338BC"/>
    <w:rsid w:val="008339A6"/>
    <w:rsid w:val="00835708"/>
    <w:rsid w:val="0083623B"/>
    <w:rsid w:val="008371F8"/>
    <w:rsid w:val="00843643"/>
    <w:rsid w:val="00843CE9"/>
    <w:rsid w:val="00845D1D"/>
    <w:rsid w:val="00845D9F"/>
    <w:rsid w:val="00850D1A"/>
    <w:rsid w:val="00851B89"/>
    <w:rsid w:val="0085273D"/>
    <w:rsid w:val="008533E2"/>
    <w:rsid w:val="00864517"/>
    <w:rsid w:val="00866F96"/>
    <w:rsid w:val="00880F02"/>
    <w:rsid w:val="00881904"/>
    <w:rsid w:val="00894066"/>
    <w:rsid w:val="008A1459"/>
    <w:rsid w:val="008A2748"/>
    <w:rsid w:val="008A305A"/>
    <w:rsid w:val="008A3D3C"/>
    <w:rsid w:val="008A61FD"/>
    <w:rsid w:val="008B5445"/>
    <w:rsid w:val="008B7B51"/>
    <w:rsid w:val="008C05A1"/>
    <w:rsid w:val="008C1776"/>
    <w:rsid w:val="008C3017"/>
    <w:rsid w:val="008C7D53"/>
    <w:rsid w:val="008D56E5"/>
    <w:rsid w:val="008E3E1F"/>
    <w:rsid w:val="008E5290"/>
    <w:rsid w:val="008F0DDA"/>
    <w:rsid w:val="008F2648"/>
    <w:rsid w:val="008F3CB9"/>
    <w:rsid w:val="00905BDA"/>
    <w:rsid w:val="0090728E"/>
    <w:rsid w:val="0090796A"/>
    <w:rsid w:val="00912EEB"/>
    <w:rsid w:val="00916222"/>
    <w:rsid w:val="00920327"/>
    <w:rsid w:val="0092085F"/>
    <w:rsid w:val="009270BC"/>
    <w:rsid w:val="00931541"/>
    <w:rsid w:val="00937EED"/>
    <w:rsid w:val="00943070"/>
    <w:rsid w:val="009444FA"/>
    <w:rsid w:val="0094595F"/>
    <w:rsid w:val="0094654B"/>
    <w:rsid w:val="009510AD"/>
    <w:rsid w:val="00953BFA"/>
    <w:rsid w:val="0096254D"/>
    <w:rsid w:val="00966E25"/>
    <w:rsid w:val="00970CFD"/>
    <w:rsid w:val="00973C51"/>
    <w:rsid w:val="0097726E"/>
    <w:rsid w:val="00977978"/>
    <w:rsid w:val="00980A70"/>
    <w:rsid w:val="00990D51"/>
    <w:rsid w:val="00994853"/>
    <w:rsid w:val="00994E3F"/>
    <w:rsid w:val="009957D7"/>
    <w:rsid w:val="00997723"/>
    <w:rsid w:val="009A2A07"/>
    <w:rsid w:val="009A40E8"/>
    <w:rsid w:val="009A6C07"/>
    <w:rsid w:val="009B5CB1"/>
    <w:rsid w:val="009C47EE"/>
    <w:rsid w:val="009D26B7"/>
    <w:rsid w:val="009D7BDE"/>
    <w:rsid w:val="009F0E8C"/>
    <w:rsid w:val="009F2F33"/>
    <w:rsid w:val="00A027C5"/>
    <w:rsid w:val="00A10CC9"/>
    <w:rsid w:val="00A22D29"/>
    <w:rsid w:val="00A331F7"/>
    <w:rsid w:val="00A37343"/>
    <w:rsid w:val="00A377B7"/>
    <w:rsid w:val="00A42B4E"/>
    <w:rsid w:val="00A43D81"/>
    <w:rsid w:val="00A476E7"/>
    <w:rsid w:val="00A4789F"/>
    <w:rsid w:val="00A51C94"/>
    <w:rsid w:val="00A54F5D"/>
    <w:rsid w:val="00A645A6"/>
    <w:rsid w:val="00A64EEF"/>
    <w:rsid w:val="00A72544"/>
    <w:rsid w:val="00A765B0"/>
    <w:rsid w:val="00A76A6F"/>
    <w:rsid w:val="00A77D85"/>
    <w:rsid w:val="00A85F0B"/>
    <w:rsid w:val="00A86CE2"/>
    <w:rsid w:val="00A91860"/>
    <w:rsid w:val="00A97347"/>
    <w:rsid w:val="00AA0DD0"/>
    <w:rsid w:val="00AA199E"/>
    <w:rsid w:val="00AB0E87"/>
    <w:rsid w:val="00AB4BBF"/>
    <w:rsid w:val="00AB6D23"/>
    <w:rsid w:val="00AD402E"/>
    <w:rsid w:val="00AE00F6"/>
    <w:rsid w:val="00AE216E"/>
    <w:rsid w:val="00AE3F83"/>
    <w:rsid w:val="00AF064D"/>
    <w:rsid w:val="00AF13BA"/>
    <w:rsid w:val="00AF4355"/>
    <w:rsid w:val="00B145F2"/>
    <w:rsid w:val="00B173D5"/>
    <w:rsid w:val="00B20665"/>
    <w:rsid w:val="00B30E8A"/>
    <w:rsid w:val="00B36FD7"/>
    <w:rsid w:val="00B4085C"/>
    <w:rsid w:val="00B51F77"/>
    <w:rsid w:val="00B53041"/>
    <w:rsid w:val="00B652C1"/>
    <w:rsid w:val="00B7316F"/>
    <w:rsid w:val="00B75B2C"/>
    <w:rsid w:val="00B76641"/>
    <w:rsid w:val="00B84063"/>
    <w:rsid w:val="00B84E19"/>
    <w:rsid w:val="00B854FC"/>
    <w:rsid w:val="00B8795B"/>
    <w:rsid w:val="00B9238F"/>
    <w:rsid w:val="00B95762"/>
    <w:rsid w:val="00B957B2"/>
    <w:rsid w:val="00B95FB6"/>
    <w:rsid w:val="00BA7984"/>
    <w:rsid w:val="00BB3A99"/>
    <w:rsid w:val="00BC1684"/>
    <w:rsid w:val="00BC5A6B"/>
    <w:rsid w:val="00BD480A"/>
    <w:rsid w:val="00BE04F2"/>
    <w:rsid w:val="00BE3D08"/>
    <w:rsid w:val="00BE4613"/>
    <w:rsid w:val="00BF7193"/>
    <w:rsid w:val="00C01F77"/>
    <w:rsid w:val="00C13904"/>
    <w:rsid w:val="00C1391C"/>
    <w:rsid w:val="00C1732A"/>
    <w:rsid w:val="00C2187F"/>
    <w:rsid w:val="00C24FB2"/>
    <w:rsid w:val="00C32EAD"/>
    <w:rsid w:val="00C416F6"/>
    <w:rsid w:val="00C4187A"/>
    <w:rsid w:val="00C41D41"/>
    <w:rsid w:val="00C46A98"/>
    <w:rsid w:val="00C502D6"/>
    <w:rsid w:val="00C553B2"/>
    <w:rsid w:val="00C5587E"/>
    <w:rsid w:val="00C6590D"/>
    <w:rsid w:val="00C73001"/>
    <w:rsid w:val="00C85617"/>
    <w:rsid w:val="00C91347"/>
    <w:rsid w:val="00C967C4"/>
    <w:rsid w:val="00CA0DB3"/>
    <w:rsid w:val="00CA687F"/>
    <w:rsid w:val="00CA76E8"/>
    <w:rsid w:val="00CB4FE6"/>
    <w:rsid w:val="00CB66DE"/>
    <w:rsid w:val="00CC07F8"/>
    <w:rsid w:val="00CC597E"/>
    <w:rsid w:val="00CD19A5"/>
    <w:rsid w:val="00CD36DA"/>
    <w:rsid w:val="00CD6F21"/>
    <w:rsid w:val="00CE0BB4"/>
    <w:rsid w:val="00CE41DA"/>
    <w:rsid w:val="00CF1EB4"/>
    <w:rsid w:val="00CF56BA"/>
    <w:rsid w:val="00CF6D50"/>
    <w:rsid w:val="00D00A4A"/>
    <w:rsid w:val="00D0237E"/>
    <w:rsid w:val="00D11E95"/>
    <w:rsid w:val="00D12096"/>
    <w:rsid w:val="00D13479"/>
    <w:rsid w:val="00D137F3"/>
    <w:rsid w:val="00D15CCB"/>
    <w:rsid w:val="00D17195"/>
    <w:rsid w:val="00D21D27"/>
    <w:rsid w:val="00D26E26"/>
    <w:rsid w:val="00D379D6"/>
    <w:rsid w:val="00D403DA"/>
    <w:rsid w:val="00D41477"/>
    <w:rsid w:val="00D438DC"/>
    <w:rsid w:val="00D4514A"/>
    <w:rsid w:val="00D642AC"/>
    <w:rsid w:val="00D83D82"/>
    <w:rsid w:val="00D87672"/>
    <w:rsid w:val="00D93EBE"/>
    <w:rsid w:val="00D96E6D"/>
    <w:rsid w:val="00D9705E"/>
    <w:rsid w:val="00DA19A6"/>
    <w:rsid w:val="00DA379F"/>
    <w:rsid w:val="00DA5E7E"/>
    <w:rsid w:val="00DA6189"/>
    <w:rsid w:val="00DB7C87"/>
    <w:rsid w:val="00DD05B0"/>
    <w:rsid w:val="00DD1705"/>
    <w:rsid w:val="00DD1D35"/>
    <w:rsid w:val="00DD664E"/>
    <w:rsid w:val="00DE3C0B"/>
    <w:rsid w:val="00DE4A3A"/>
    <w:rsid w:val="00DF57A7"/>
    <w:rsid w:val="00DF67B5"/>
    <w:rsid w:val="00E0266B"/>
    <w:rsid w:val="00E06B2F"/>
    <w:rsid w:val="00E10365"/>
    <w:rsid w:val="00E11AE0"/>
    <w:rsid w:val="00E11FF2"/>
    <w:rsid w:val="00E14223"/>
    <w:rsid w:val="00E15891"/>
    <w:rsid w:val="00E22628"/>
    <w:rsid w:val="00E228C7"/>
    <w:rsid w:val="00E2338B"/>
    <w:rsid w:val="00E26963"/>
    <w:rsid w:val="00E312A2"/>
    <w:rsid w:val="00E34B4B"/>
    <w:rsid w:val="00E34D26"/>
    <w:rsid w:val="00E3761B"/>
    <w:rsid w:val="00E37EE6"/>
    <w:rsid w:val="00E40FF1"/>
    <w:rsid w:val="00E438CC"/>
    <w:rsid w:val="00E50247"/>
    <w:rsid w:val="00E51F1D"/>
    <w:rsid w:val="00E52E85"/>
    <w:rsid w:val="00E53883"/>
    <w:rsid w:val="00E632DE"/>
    <w:rsid w:val="00E700C9"/>
    <w:rsid w:val="00E741BF"/>
    <w:rsid w:val="00E83D03"/>
    <w:rsid w:val="00E92B1F"/>
    <w:rsid w:val="00EA0EB5"/>
    <w:rsid w:val="00EA53BD"/>
    <w:rsid w:val="00EA5E4F"/>
    <w:rsid w:val="00EB08DF"/>
    <w:rsid w:val="00EC49EC"/>
    <w:rsid w:val="00EC6936"/>
    <w:rsid w:val="00EE3134"/>
    <w:rsid w:val="00EE791B"/>
    <w:rsid w:val="00EF34A9"/>
    <w:rsid w:val="00EF6659"/>
    <w:rsid w:val="00F05BE8"/>
    <w:rsid w:val="00F25525"/>
    <w:rsid w:val="00F33983"/>
    <w:rsid w:val="00F40172"/>
    <w:rsid w:val="00F40489"/>
    <w:rsid w:val="00F45E01"/>
    <w:rsid w:val="00F52A6A"/>
    <w:rsid w:val="00F610C7"/>
    <w:rsid w:val="00F61113"/>
    <w:rsid w:val="00F63482"/>
    <w:rsid w:val="00F661D7"/>
    <w:rsid w:val="00F84BEE"/>
    <w:rsid w:val="00FA0E90"/>
    <w:rsid w:val="00FA1601"/>
    <w:rsid w:val="00FA3B3C"/>
    <w:rsid w:val="00FB143F"/>
    <w:rsid w:val="00FB5939"/>
    <w:rsid w:val="00FD2C97"/>
    <w:rsid w:val="00FD51A6"/>
    <w:rsid w:val="00FE0706"/>
    <w:rsid w:val="00FE5079"/>
    <w:rsid w:val="00FF15B8"/>
    <w:rsid w:val="00FF3402"/>
    <w:rsid w:val="00FF688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66510F"/>
    <w:pPr>
      <w:keepNext/>
      <w:keepLines/>
      <w:spacing w:before="240" w:after="0"/>
      <w:outlineLvl w:val="0"/>
    </w:pPr>
    <w:rPr>
      <w:rFonts w:asciiTheme="majorHAnsi" w:eastAsiaTheme="majorEastAsia" w:hAnsiTheme="majorHAnsi" w:cstheme="majorBidi"/>
      <w:color w:val="2F5496" w:themeColor="accent1" w:themeShade="BF"/>
      <w:sz w:val="32"/>
      <w:szCs w:val="32"/>
      <w:lang w:eastAsia="es-ES"/>
    </w:rPr>
  </w:style>
  <w:style w:type="paragraph" w:styleId="Ttulo2">
    <w:name w:val="heading 2"/>
    <w:basedOn w:val="Normal"/>
    <w:next w:val="Normal"/>
    <w:link w:val="Ttulo2Car"/>
    <w:uiPriority w:val="9"/>
    <w:unhideWhenUsed/>
    <w:qFormat/>
    <w:rsid w:val="008110B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1942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qFormat/>
    <w:rsid w:val="00194220"/>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194220"/>
    <w:pPr>
      <w:keepNext/>
      <w:spacing w:after="0" w:line="240" w:lineRule="auto"/>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uiPriority w:val="9"/>
    <w:semiHidden/>
    <w:unhideWhenUsed/>
    <w:qFormat/>
    <w:rsid w:val="00194220"/>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B5445"/>
    <w:pPr>
      <w:ind w:left="720"/>
      <w:contextualSpacing/>
    </w:pPr>
  </w:style>
  <w:style w:type="paragraph" w:customStyle="1" w:styleId="a">
    <w:name w:val="a"/>
    <w:basedOn w:val="Normal"/>
    <w:rsid w:val="00CB4FE6"/>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CB4FE6"/>
    <w:rPr>
      <w:i/>
      <w:iCs/>
    </w:rPr>
  </w:style>
  <w:style w:type="paragraph" w:styleId="NormalWeb">
    <w:name w:val="Normal (Web)"/>
    <w:basedOn w:val="Normal"/>
    <w:uiPriority w:val="99"/>
    <w:unhideWhenUsed/>
    <w:rsid w:val="00CB4FE6"/>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apple-converted-space">
    <w:name w:val="apple-converted-space"/>
    <w:basedOn w:val="Fuentedeprrafopredeter"/>
    <w:rsid w:val="00CB4FE6"/>
  </w:style>
  <w:style w:type="paragraph" w:styleId="Encabezado">
    <w:name w:val="header"/>
    <w:basedOn w:val="Normal"/>
    <w:link w:val="EncabezadoCar"/>
    <w:uiPriority w:val="99"/>
    <w:unhideWhenUsed/>
    <w:rsid w:val="0050645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06457"/>
  </w:style>
  <w:style w:type="paragraph" w:styleId="Piedepgina">
    <w:name w:val="footer"/>
    <w:basedOn w:val="Normal"/>
    <w:link w:val="PiedepginaCar"/>
    <w:uiPriority w:val="99"/>
    <w:unhideWhenUsed/>
    <w:rsid w:val="0050645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06457"/>
  </w:style>
  <w:style w:type="character" w:styleId="Hipervnculo">
    <w:name w:val="Hyperlink"/>
    <w:basedOn w:val="Fuentedeprrafopredeter"/>
    <w:uiPriority w:val="99"/>
    <w:unhideWhenUsed/>
    <w:rsid w:val="00506457"/>
    <w:rPr>
      <w:color w:val="0563C1" w:themeColor="hyperlink"/>
      <w:u w:val="single"/>
    </w:rPr>
  </w:style>
  <w:style w:type="character" w:customStyle="1" w:styleId="Mention">
    <w:name w:val="Mention"/>
    <w:basedOn w:val="Fuentedeprrafopredeter"/>
    <w:uiPriority w:val="99"/>
    <w:semiHidden/>
    <w:unhideWhenUsed/>
    <w:rsid w:val="00506457"/>
    <w:rPr>
      <w:color w:val="2B579A"/>
      <w:shd w:val="clear" w:color="auto" w:fill="E6E6E6"/>
    </w:rPr>
  </w:style>
  <w:style w:type="character" w:styleId="CitaHTML">
    <w:name w:val="HTML Cite"/>
    <w:basedOn w:val="Fuentedeprrafopredeter"/>
    <w:uiPriority w:val="99"/>
    <w:semiHidden/>
    <w:unhideWhenUsed/>
    <w:rsid w:val="0038122E"/>
    <w:rPr>
      <w:i/>
      <w:iCs/>
    </w:rPr>
  </w:style>
  <w:style w:type="paragraph" w:styleId="Textonotapie">
    <w:name w:val="footnote text"/>
    <w:basedOn w:val="Normal"/>
    <w:link w:val="TextonotapieCar"/>
    <w:uiPriority w:val="99"/>
    <w:unhideWhenUsed/>
    <w:rsid w:val="00A91860"/>
    <w:pPr>
      <w:spacing w:after="0" w:line="240" w:lineRule="auto"/>
    </w:pPr>
    <w:rPr>
      <w:sz w:val="20"/>
      <w:szCs w:val="20"/>
    </w:rPr>
  </w:style>
  <w:style w:type="character" w:customStyle="1" w:styleId="TextonotapieCar">
    <w:name w:val="Texto nota pie Car"/>
    <w:basedOn w:val="Fuentedeprrafopredeter"/>
    <w:link w:val="Textonotapie"/>
    <w:uiPriority w:val="99"/>
    <w:rsid w:val="00A91860"/>
    <w:rPr>
      <w:sz w:val="20"/>
      <w:szCs w:val="20"/>
    </w:rPr>
  </w:style>
  <w:style w:type="character" w:styleId="Refdenotaalpie">
    <w:name w:val="footnote reference"/>
    <w:basedOn w:val="Fuentedeprrafopredeter"/>
    <w:uiPriority w:val="99"/>
    <w:semiHidden/>
    <w:unhideWhenUsed/>
    <w:rsid w:val="00A91860"/>
    <w:rPr>
      <w:vertAlign w:val="superscript"/>
    </w:rPr>
  </w:style>
  <w:style w:type="character" w:styleId="Textoennegrita">
    <w:name w:val="Strong"/>
    <w:basedOn w:val="Fuentedeprrafopredeter"/>
    <w:uiPriority w:val="22"/>
    <w:qFormat/>
    <w:rsid w:val="00E52E85"/>
    <w:rPr>
      <w:b/>
      <w:bCs/>
    </w:rPr>
  </w:style>
  <w:style w:type="table" w:styleId="Tablaconcuadrcula">
    <w:name w:val="Table Grid"/>
    <w:basedOn w:val="Tablanormal"/>
    <w:uiPriority w:val="39"/>
    <w:rsid w:val="001649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cimalAligned">
    <w:name w:val="Decimal Aligned"/>
    <w:basedOn w:val="Normal"/>
    <w:uiPriority w:val="40"/>
    <w:qFormat/>
    <w:rsid w:val="0015662A"/>
    <w:pPr>
      <w:tabs>
        <w:tab w:val="decimal" w:pos="360"/>
      </w:tabs>
      <w:spacing w:after="200" w:line="276" w:lineRule="auto"/>
    </w:pPr>
    <w:rPr>
      <w:rFonts w:eastAsiaTheme="minorEastAsia" w:cs="Times New Roman"/>
      <w:lang w:eastAsia="es-ES"/>
    </w:rPr>
  </w:style>
  <w:style w:type="character" w:styleId="nfasissutil">
    <w:name w:val="Subtle Emphasis"/>
    <w:basedOn w:val="Fuentedeprrafopredeter"/>
    <w:uiPriority w:val="19"/>
    <w:qFormat/>
    <w:rsid w:val="0015662A"/>
    <w:rPr>
      <w:i/>
      <w:iCs/>
    </w:rPr>
  </w:style>
  <w:style w:type="table" w:styleId="Sombreadoclaro-nfasis1">
    <w:name w:val="Light Shading Accent 1"/>
    <w:basedOn w:val="Tablanormal"/>
    <w:uiPriority w:val="60"/>
    <w:rsid w:val="0015662A"/>
    <w:pPr>
      <w:spacing w:after="0" w:line="240" w:lineRule="auto"/>
    </w:pPr>
    <w:rPr>
      <w:rFonts w:eastAsiaTheme="minorEastAsia"/>
      <w:color w:val="2F5496" w:themeColor="accent1" w:themeShade="BF"/>
      <w:lang w:eastAsia="es-ES"/>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customStyle="1" w:styleId="PlainTable1">
    <w:name w:val="Plain Table 1"/>
    <w:basedOn w:val="Tablanormal"/>
    <w:uiPriority w:val="41"/>
    <w:rsid w:val="00190A9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1Car">
    <w:name w:val="Título 1 Car"/>
    <w:basedOn w:val="Fuentedeprrafopredeter"/>
    <w:link w:val="Ttulo1"/>
    <w:uiPriority w:val="9"/>
    <w:rsid w:val="0066510F"/>
    <w:rPr>
      <w:rFonts w:asciiTheme="majorHAnsi" w:eastAsiaTheme="majorEastAsia" w:hAnsiTheme="majorHAnsi" w:cstheme="majorBidi"/>
      <w:color w:val="2F5496" w:themeColor="accent1" w:themeShade="BF"/>
      <w:sz w:val="32"/>
      <w:szCs w:val="32"/>
      <w:lang w:eastAsia="es-ES"/>
    </w:rPr>
  </w:style>
  <w:style w:type="paragraph" w:styleId="Bibliografa">
    <w:name w:val="Bibliography"/>
    <w:basedOn w:val="Normal"/>
    <w:next w:val="Normal"/>
    <w:uiPriority w:val="37"/>
    <w:unhideWhenUsed/>
    <w:rsid w:val="0066510F"/>
  </w:style>
  <w:style w:type="paragraph" w:styleId="HTMLconformatoprevio">
    <w:name w:val="HTML Preformatted"/>
    <w:basedOn w:val="Normal"/>
    <w:link w:val="HTMLconformatoprevioCar"/>
    <w:uiPriority w:val="99"/>
    <w:semiHidden/>
    <w:unhideWhenUsed/>
    <w:rsid w:val="006665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66655B"/>
    <w:rPr>
      <w:rFonts w:ascii="Courier New" w:eastAsia="Times New Roman" w:hAnsi="Courier New" w:cs="Courier New"/>
      <w:sz w:val="20"/>
      <w:szCs w:val="20"/>
      <w:lang w:eastAsia="es-ES"/>
    </w:rPr>
  </w:style>
  <w:style w:type="paragraph" w:styleId="ndice1">
    <w:name w:val="index 1"/>
    <w:basedOn w:val="Ttulo"/>
    <w:next w:val="Normal"/>
    <w:autoRedefine/>
    <w:uiPriority w:val="99"/>
    <w:semiHidden/>
    <w:unhideWhenUsed/>
    <w:rsid w:val="00F84BEE"/>
    <w:pPr>
      <w:spacing w:line="360" w:lineRule="auto"/>
      <w:ind w:left="221" w:hanging="221"/>
    </w:pPr>
    <w:rPr>
      <w:rFonts w:ascii="Times New Roman" w:hAnsi="Times New Roman"/>
      <w:sz w:val="24"/>
    </w:rPr>
  </w:style>
  <w:style w:type="paragraph" w:styleId="Ttulo">
    <w:name w:val="Title"/>
    <w:basedOn w:val="Normal"/>
    <w:next w:val="Normal"/>
    <w:link w:val="TtuloCar"/>
    <w:uiPriority w:val="10"/>
    <w:qFormat/>
    <w:rsid w:val="00F84BE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84BEE"/>
    <w:rPr>
      <w:rFonts w:asciiTheme="majorHAnsi" w:eastAsiaTheme="majorEastAsia" w:hAnsiTheme="majorHAnsi" w:cstheme="majorBidi"/>
      <w:spacing w:val="-10"/>
      <w:kern w:val="28"/>
      <w:sz w:val="56"/>
      <w:szCs w:val="56"/>
    </w:rPr>
  </w:style>
  <w:style w:type="character" w:customStyle="1" w:styleId="Ttulo2Car">
    <w:name w:val="Título 2 Car"/>
    <w:basedOn w:val="Fuentedeprrafopredeter"/>
    <w:link w:val="Ttulo2"/>
    <w:uiPriority w:val="9"/>
    <w:rsid w:val="008110B9"/>
    <w:rPr>
      <w:rFonts w:asciiTheme="majorHAnsi" w:eastAsiaTheme="majorEastAsia" w:hAnsiTheme="majorHAnsi" w:cstheme="majorBidi"/>
      <w:color w:val="2F5496" w:themeColor="accent1" w:themeShade="BF"/>
      <w:sz w:val="26"/>
      <w:szCs w:val="26"/>
    </w:rPr>
  </w:style>
  <w:style w:type="paragraph" w:styleId="TtulodeTDC">
    <w:name w:val="TOC Heading"/>
    <w:basedOn w:val="Ttulo1"/>
    <w:next w:val="Normal"/>
    <w:uiPriority w:val="39"/>
    <w:unhideWhenUsed/>
    <w:qFormat/>
    <w:rsid w:val="000940A7"/>
    <w:pPr>
      <w:outlineLvl w:val="9"/>
    </w:pPr>
  </w:style>
  <w:style w:type="paragraph" w:styleId="TDC1">
    <w:name w:val="toc 1"/>
    <w:basedOn w:val="Normal"/>
    <w:next w:val="Normal"/>
    <w:autoRedefine/>
    <w:uiPriority w:val="39"/>
    <w:unhideWhenUsed/>
    <w:rsid w:val="000940A7"/>
    <w:pPr>
      <w:spacing w:after="100"/>
    </w:pPr>
  </w:style>
  <w:style w:type="paragraph" w:styleId="TDC2">
    <w:name w:val="toc 2"/>
    <w:basedOn w:val="Normal"/>
    <w:next w:val="Normal"/>
    <w:autoRedefine/>
    <w:uiPriority w:val="39"/>
    <w:unhideWhenUsed/>
    <w:rsid w:val="000940A7"/>
    <w:pPr>
      <w:spacing w:after="100"/>
      <w:ind w:left="220"/>
    </w:pPr>
  </w:style>
  <w:style w:type="character" w:customStyle="1" w:styleId="Ttulo3Car">
    <w:name w:val="Título 3 Car"/>
    <w:basedOn w:val="Fuentedeprrafopredeter"/>
    <w:link w:val="Ttulo3"/>
    <w:uiPriority w:val="9"/>
    <w:semiHidden/>
    <w:rsid w:val="00194220"/>
    <w:rPr>
      <w:rFonts w:asciiTheme="majorHAnsi" w:eastAsiaTheme="majorEastAsia" w:hAnsiTheme="majorHAnsi" w:cstheme="majorBidi"/>
      <w:color w:val="1F3763" w:themeColor="accent1" w:themeShade="7F"/>
      <w:sz w:val="24"/>
      <w:szCs w:val="24"/>
    </w:rPr>
  </w:style>
  <w:style w:type="character" w:customStyle="1" w:styleId="Ttulo6Car">
    <w:name w:val="Título 6 Car"/>
    <w:basedOn w:val="Fuentedeprrafopredeter"/>
    <w:link w:val="Ttulo6"/>
    <w:uiPriority w:val="9"/>
    <w:semiHidden/>
    <w:rsid w:val="00194220"/>
    <w:rPr>
      <w:rFonts w:asciiTheme="majorHAnsi" w:eastAsiaTheme="majorEastAsia" w:hAnsiTheme="majorHAnsi" w:cstheme="majorBidi"/>
      <w:color w:val="1F3763" w:themeColor="accent1" w:themeShade="7F"/>
    </w:rPr>
  </w:style>
  <w:style w:type="paragraph" w:styleId="Textoindependiente">
    <w:name w:val="Body Text"/>
    <w:basedOn w:val="Normal"/>
    <w:link w:val="TextoindependienteCar"/>
    <w:rsid w:val="00194220"/>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194220"/>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uiPriority w:val="99"/>
    <w:semiHidden/>
    <w:unhideWhenUsed/>
    <w:rsid w:val="00194220"/>
    <w:pPr>
      <w:spacing w:after="120" w:line="480" w:lineRule="auto"/>
    </w:pPr>
  </w:style>
  <w:style w:type="character" w:customStyle="1" w:styleId="Textoindependiente2Car">
    <w:name w:val="Texto independiente 2 Car"/>
    <w:basedOn w:val="Fuentedeprrafopredeter"/>
    <w:link w:val="Textoindependiente2"/>
    <w:uiPriority w:val="99"/>
    <w:semiHidden/>
    <w:rsid w:val="00194220"/>
  </w:style>
  <w:style w:type="character" w:customStyle="1" w:styleId="Ttulo4Car">
    <w:name w:val="Título 4 Car"/>
    <w:basedOn w:val="Fuentedeprrafopredeter"/>
    <w:link w:val="Ttulo4"/>
    <w:rsid w:val="00194220"/>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194220"/>
    <w:rPr>
      <w:rFonts w:ascii="Arial" w:eastAsia="Times New Roman" w:hAnsi="Arial" w:cs="Times New Roman"/>
      <w:b/>
      <w:sz w:val="32"/>
      <w:szCs w:val="20"/>
      <w:u w:val="single"/>
      <w:lang w:eastAsia="es-ES"/>
    </w:rPr>
  </w:style>
  <w:style w:type="paragraph" w:styleId="Textodeglobo">
    <w:name w:val="Balloon Text"/>
    <w:basedOn w:val="Normal"/>
    <w:link w:val="TextodegloboCar"/>
    <w:uiPriority w:val="99"/>
    <w:semiHidden/>
    <w:unhideWhenUsed/>
    <w:rsid w:val="00327E8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27E8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66510F"/>
    <w:pPr>
      <w:keepNext/>
      <w:keepLines/>
      <w:spacing w:before="240" w:after="0"/>
      <w:outlineLvl w:val="0"/>
    </w:pPr>
    <w:rPr>
      <w:rFonts w:asciiTheme="majorHAnsi" w:eastAsiaTheme="majorEastAsia" w:hAnsiTheme="majorHAnsi" w:cstheme="majorBidi"/>
      <w:color w:val="2F5496" w:themeColor="accent1" w:themeShade="BF"/>
      <w:sz w:val="32"/>
      <w:szCs w:val="32"/>
      <w:lang w:eastAsia="es-ES"/>
    </w:rPr>
  </w:style>
  <w:style w:type="paragraph" w:styleId="Ttulo2">
    <w:name w:val="heading 2"/>
    <w:basedOn w:val="Normal"/>
    <w:next w:val="Normal"/>
    <w:link w:val="Ttulo2Car"/>
    <w:uiPriority w:val="9"/>
    <w:unhideWhenUsed/>
    <w:qFormat/>
    <w:rsid w:val="008110B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1942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qFormat/>
    <w:rsid w:val="00194220"/>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194220"/>
    <w:pPr>
      <w:keepNext/>
      <w:spacing w:after="0" w:line="240" w:lineRule="auto"/>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uiPriority w:val="9"/>
    <w:semiHidden/>
    <w:unhideWhenUsed/>
    <w:qFormat/>
    <w:rsid w:val="00194220"/>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B5445"/>
    <w:pPr>
      <w:ind w:left="720"/>
      <w:contextualSpacing/>
    </w:pPr>
  </w:style>
  <w:style w:type="paragraph" w:customStyle="1" w:styleId="a">
    <w:name w:val="a"/>
    <w:basedOn w:val="Normal"/>
    <w:rsid w:val="00CB4FE6"/>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CB4FE6"/>
    <w:rPr>
      <w:i/>
      <w:iCs/>
    </w:rPr>
  </w:style>
  <w:style w:type="paragraph" w:styleId="NormalWeb">
    <w:name w:val="Normal (Web)"/>
    <w:basedOn w:val="Normal"/>
    <w:uiPriority w:val="99"/>
    <w:unhideWhenUsed/>
    <w:rsid w:val="00CB4FE6"/>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apple-converted-space">
    <w:name w:val="apple-converted-space"/>
    <w:basedOn w:val="Fuentedeprrafopredeter"/>
    <w:rsid w:val="00CB4FE6"/>
  </w:style>
  <w:style w:type="paragraph" w:styleId="Encabezado">
    <w:name w:val="header"/>
    <w:basedOn w:val="Normal"/>
    <w:link w:val="EncabezadoCar"/>
    <w:uiPriority w:val="99"/>
    <w:unhideWhenUsed/>
    <w:rsid w:val="0050645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06457"/>
  </w:style>
  <w:style w:type="paragraph" w:styleId="Piedepgina">
    <w:name w:val="footer"/>
    <w:basedOn w:val="Normal"/>
    <w:link w:val="PiedepginaCar"/>
    <w:uiPriority w:val="99"/>
    <w:unhideWhenUsed/>
    <w:rsid w:val="0050645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06457"/>
  </w:style>
  <w:style w:type="character" w:styleId="Hipervnculo">
    <w:name w:val="Hyperlink"/>
    <w:basedOn w:val="Fuentedeprrafopredeter"/>
    <w:uiPriority w:val="99"/>
    <w:unhideWhenUsed/>
    <w:rsid w:val="00506457"/>
    <w:rPr>
      <w:color w:val="0563C1" w:themeColor="hyperlink"/>
      <w:u w:val="single"/>
    </w:rPr>
  </w:style>
  <w:style w:type="character" w:customStyle="1" w:styleId="Mention">
    <w:name w:val="Mention"/>
    <w:basedOn w:val="Fuentedeprrafopredeter"/>
    <w:uiPriority w:val="99"/>
    <w:semiHidden/>
    <w:unhideWhenUsed/>
    <w:rsid w:val="00506457"/>
    <w:rPr>
      <w:color w:val="2B579A"/>
      <w:shd w:val="clear" w:color="auto" w:fill="E6E6E6"/>
    </w:rPr>
  </w:style>
  <w:style w:type="character" w:styleId="CitaHTML">
    <w:name w:val="HTML Cite"/>
    <w:basedOn w:val="Fuentedeprrafopredeter"/>
    <w:uiPriority w:val="99"/>
    <w:semiHidden/>
    <w:unhideWhenUsed/>
    <w:rsid w:val="0038122E"/>
    <w:rPr>
      <w:i/>
      <w:iCs/>
    </w:rPr>
  </w:style>
  <w:style w:type="paragraph" w:styleId="Textonotapie">
    <w:name w:val="footnote text"/>
    <w:basedOn w:val="Normal"/>
    <w:link w:val="TextonotapieCar"/>
    <w:uiPriority w:val="99"/>
    <w:unhideWhenUsed/>
    <w:rsid w:val="00A91860"/>
    <w:pPr>
      <w:spacing w:after="0" w:line="240" w:lineRule="auto"/>
    </w:pPr>
    <w:rPr>
      <w:sz w:val="20"/>
      <w:szCs w:val="20"/>
    </w:rPr>
  </w:style>
  <w:style w:type="character" w:customStyle="1" w:styleId="TextonotapieCar">
    <w:name w:val="Texto nota pie Car"/>
    <w:basedOn w:val="Fuentedeprrafopredeter"/>
    <w:link w:val="Textonotapie"/>
    <w:uiPriority w:val="99"/>
    <w:rsid w:val="00A91860"/>
    <w:rPr>
      <w:sz w:val="20"/>
      <w:szCs w:val="20"/>
    </w:rPr>
  </w:style>
  <w:style w:type="character" w:styleId="Refdenotaalpie">
    <w:name w:val="footnote reference"/>
    <w:basedOn w:val="Fuentedeprrafopredeter"/>
    <w:uiPriority w:val="99"/>
    <w:semiHidden/>
    <w:unhideWhenUsed/>
    <w:rsid w:val="00A91860"/>
    <w:rPr>
      <w:vertAlign w:val="superscript"/>
    </w:rPr>
  </w:style>
  <w:style w:type="character" w:styleId="Textoennegrita">
    <w:name w:val="Strong"/>
    <w:basedOn w:val="Fuentedeprrafopredeter"/>
    <w:uiPriority w:val="22"/>
    <w:qFormat/>
    <w:rsid w:val="00E52E85"/>
    <w:rPr>
      <w:b/>
      <w:bCs/>
    </w:rPr>
  </w:style>
  <w:style w:type="table" w:styleId="Tablaconcuadrcula">
    <w:name w:val="Table Grid"/>
    <w:basedOn w:val="Tablanormal"/>
    <w:uiPriority w:val="39"/>
    <w:rsid w:val="001649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cimalAligned">
    <w:name w:val="Decimal Aligned"/>
    <w:basedOn w:val="Normal"/>
    <w:uiPriority w:val="40"/>
    <w:qFormat/>
    <w:rsid w:val="0015662A"/>
    <w:pPr>
      <w:tabs>
        <w:tab w:val="decimal" w:pos="360"/>
      </w:tabs>
      <w:spacing w:after="200" w:line="276" w:lineRule="auto"/>
    </w:pPr>
    <w:rPr>
      <w:rFonts w:eastAsiaTheme="minorEastAsia" w:cs="Times New Roman"/>
      <w:lang w:eastAsia="es-ES"/>
    </w:rPr>
  </w:style>
  <w:style w:type="character" w:styleId="nfasissutil">
    <w:name w:val="Subtle Emphasis"/>
    <w:basedOn w:val="Fuentedeprrafopredeter"/>
    <w:uiPriority w:val="19"/>
    <w:qFormat/>
    <w:rsid w:val="0015662A"/>
    <w:rPr>
      <w:i/>
      <w:iCs/>
    </w:rPr>
  </w:style>
  <w:style w:type="table" w:styleId="Sombreadoclaro-nfasis1">
    <w:name w:val="Light Shading Accent 1"/>
    <w:basedOn w:val="Tablanormal"/>
    <w:uiPriority w:val="60"/>
    <w:rsid w:val="0015662A"/>
    <w:pPr>
      <w:spacing w:after="0" w:line="240" w:lineRule="auto"/>
    </w:pPr>
    <w:rPr>
      <w:rFonts w:eastAsiaTheme="minorEastAsia"/>
      <w:color w:val="2F5496" w:themeColor="accent1" w:themeShade="BF"/>
      <w:lang w:eastAsia="es-ES"/>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customStyle="1" w:styleId="PlainTable1">
    <w:name w:val="Plain Table 1"/>
    <w:basedOn w:val="Tablanormal"/>
    <w:uiPriority w:val="41"/>
    <w:rsid w:val="00190A9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1Car">
    <w:name w:val="Título 1 Car"/>
    <w:basedOn w:val="Fuentedeprrafopredeter"/>
    <w:link w:val="Ttulo1"/>
    <w:uiPriority w:val="9"/>
    <w:rsid w:val="0066510F"/>
    <w:rPr>
      <w:rFonts w:asciiTheme="majorHAnsi" w:eastAsiaTheme="majorEastAsia" w:hAnsiTheme="majorHAnsi" w:cstheme="majorBidi"/>
      <w:color w:val="2F5496" w:themeColor="accent1" w:themeShade="BF"/>
      <w:sz w:val="32"/>
      <w:szCs w:val="32"/>
      <w:lang w:eastAsia="es-ES"/>
    </w:rPr>
  </w:style>
  <w:style w:type="paragraph" w:styleId="Bibliografa">
    <w:name w:val="Bibliography"/>
    <w:basedOn w:val="Normal"/>
    <w:next w:val="Normal"/>
    <w:uiPriority w:val="37"/>
    <w:unhideWhenUsed/>
    <w:rsid w:val="0066510F"/>
  </w:style>
  <w:style w:type="paragraph" w:styleId="HTMLconformatoprevio">
    <w:name w:val="HTML Preformatted"/>
    <w:basedOn w:val="Normal"/>
    <w:link w:val="HTMLconformatoprevioCar"/>
    <w:uiPriority w:val="99"/>
    <w:semiHidden/>
    <w:unhideWhenUsed/>
    <w:rsid w:val="006665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66655B"/>
    <w:rPr>
      <w:rFonts w:ascii="Courier New" w:eastAsia="Times New Roman" w:hAnsi="Courier New" w:cs="Courier New"/>
      <w:sz w:val="20"/>
      <w:szCs w:val="20"/>
      <w:lang w:eastAsia="es-ES"/>
    </w:rPr>
  </w:style>
  <w:style w:type="paragraph" w:styleId="ndice1">
    <w:name w:val="index 1"/>
    <w:basedOn w:val="Ttulo"/>
    <w:next w:val="Normal"/>
    <w:autoRedefine/>
    <w:uiPriority w:val="99"/>
    <w:semiHidden/>
    <w:unhideWhenUsed/>
    <w:rsid w:val="00F84BEE"/>
    <w:pPr>
      <w:spacing w:line="360" w:lineRule="auto"/>
      <w:ind w:left="221" w:hanging="221"/>
    </w:pPr>
    <w:rPr>
      <w:rFonts w:ascii="Times New Roman" w:hAnsi="Times New Roman"/>
      <w:sz w:val="24"/>
    </w:rPr>
  </w:style>
  <w:style w:type="paragraph" w:styleId="Ttulo">
    <w:name w:val="Title"/>
    <w:basedOn w:val="Normal"/>
    <w:next w:val="Normal"/>
    <w:link w:val="TtuloCar"/>
    <w:uiPriority w:val="10"/>
    <w:qFormat/>
    <w:rsid w:val="00F84BE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84BEE"/>
    <w:rPr>
      <w:rFonts w:asciiTheme="majorHAnsi" w:eastAsiaTheme="majorEastAsia" w:hAnsiTheme="majorHAnsi" w:cstheme="majorBidi"/>
      <w:spacing w:val="-10"/>
      <w:kern w:val="28"/>
      <w:sz w:val="56"/>
      <w:szCs w:val="56"/>
    </w:rPr>
  </w:style>
  <w:style w:type="character" w:customStyle="1" w:styleId="Ttulo2Car">
    <w:name w:val="Título 2 Car"/>
    <w:basedOn w:val="Fuentedeprrafopredeter"/>
    <w:link w:val="Ttulo2"/>
    <w:uiPriority w:val="9"/>
    <w:rsid w:val="008110B9"/>
    <w:rPr>
      <w:rFonts w:asciiTheme="majorHAnsi" w:eastAsiaTheme="majorEastAsia" w:hAnsiTheme="majorHAnsi" w:cstheme="majorBidi"/>
      <w:color w:val="2F5496" w:themeColor="accent1" w:themeShade="BF"/>
      <w:sz w:val="26"/>
      <w:szCs w:val="26"/>
    </w:rPr>
  </w:style>
  <w:style w:type="paragraph" w:styleId="TtulodeTDC">
    <w:name w:val="TOC Heading"/>
    <w:basedOn w:val="Ttulo1"/>
    <w:next w:val="Normal"/>
    <w:uiPriority w:val="39"/>
    <w:unhideWhenUsed/>
    <w:qFormat/>
    <w:rsid w:val="000940A7"/>
    <w:pPr>
      <w:outlineLvl w:val="9"/>
    </w:pPr>
  </w:style>
  <w:style w:type="paragraph" w:styleId="TDC1">
    <w:name w:val="toc 1"/>
    <w:basedOn w:val="Normal"/>
    <w:next w:val="Normal"/>
    <w:autoRedefine/>
    <w:uiPriority w:val="39"/>
    <w:unhideWhenUsed/>
    <w:rsid w:val="000940A7"/>
    <w:pPr>
      <w:spacing w:after="100"/>
    </w:pPr>
  </w:style>
  <w:style w:type="paragraph" w:styleId="TDC2">
    <w:name w:val="toc 2"/>
    <w:basedOn w:val="Normal"/>
    <w:next w:val="Normal"/>
    <w:autoRedefine/>
    <w:uiPriority w:val="39"/>
    <w:unhideWhenUsed/>
    <w:rsid w:val="000940A7"/>
    <w:pPr>
      <w:spacing w:after="100"/>
      <w:ind w:left="220"/>
    </w:pPr>
  </w:style>
  <w:style w:type="character" w:customStyle="1" w:styleId="Ttulo3Car">
    <w:name w:val="Título 3 Car"/>
    <w:basedOn w:val="Fuentedeprrafopredeter"/>
    <w:link w:val="Ttulo3"/>
    <w:uiPriority w:val="9"/>
    <w:semiHidden/>
    <w:rsid w:val="00194220"/>
    <w:rPr>
      <w:rFonts w:asciiTheme="majorHAnsi" w:eastAsiaTheme="majorEastAsia" w:hAnsiTheme="majorHAnsi" w:cstheme="majorBidi"/>
      <w:color w:val="1F3763" w:themeColor="accent1" w:themeShade="7F"/>
      <w:sz w:val="24"/>
      <w:szCs w:val="24"/>
    </w:rPr>
  </w:style>
  <w:style w:type="character" w:customStyle="1" w:styleId="Ttulo6Car">
    <w:name w:val="Título 6 Car"/>
    <w:basedOn w:val="Fuentedeprrafopredeter"/>
    <w:link w:val="Ttulo6"/>
    <w:uiPriority w:val="9"/>
    <w:semiHidden/>
    <w:rsid w:val="00194220"/>
    <w:rPr>
      <w:rFonts w:asciiTheme="majorHAnsi" w:eastAsiaTheme="majorEastAsia" w:hAnsiTheme="majorHAnsi" w:cstheme="majorBidi"/>
      <w:color w:val="1F3763" w:themeColor="accent1" w:themeShade="7F"/>
    </w:rPr>
  </w:style>
  <w:style w:type="paragraph" w:styleId="Textoindependiente">
    <w:name w:val="Body Text"/>
    <w:basedOn w:val="Normal"/>
    <w:link w:val="TextoindependienteCar"/>
    <w:rsid w:val="00194220"/>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194220"/>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uiPriority w:val="99"/>
    <w:semiHidden/>
    <w:unhideWhenUsed/>
    <w:rsid w:val="00194220"/>
    <w:pPr>
      <w:spacing w:after="120" w:line="480" w:lineRule="auto"/>
    </w:pPr>
  </w:style>
  <w:style w:type="character" w:customStyle="1" w:styleId="Textoindependiente2Car">
    <w:name w:val="Texto independiente 2 Car"/>
    <w:basedOn w:val="Fuentedeprrafopredeter"/>
    <w:link w:val="Textoindependiente2"/>
    <w:uiPriority w:val="99"/>
    <w:semiHidden/>
    <w:rsid w:val="00194220"/>
  </w:style>
  <w:style w:type="character" w:customStyle="1" w:styleId="Ttulo4Car">
    <w:name w:val="Título 4 Car"/>
    <w:basedOn w:val="Fuentedeprrafopredeter"/>
    <w:link w:val="Ttulo4"/>
    <w:rsid w:val="00194220"/>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194220"/>
    <w:rPr>
      <w:rFonts w:ascii="Arial" w:eastAsia="Times New Roman" w:hAnsi="Arial" w:cs="Times New Roman"/>
      <w:b/>
      <w:sz w:val="32"/>
      <w:szCs w:val="20"/>
      <w:u w:val="single"/>
      <w:lang w:eastAsia="es-ES"/>
    </w:rPr>
  </w:style>
  <w:style w:type="paragraph" w:styleId="Textodeglobo">
    <w:name w:val="Balloon Text"/>
    <w:basedOn w:val="Normal"/>
    <w:link w:val="TextodegloboCar"/>
    <w:uiPriority w:val="99"/>
    <w:semiHidden/>
    <w:unhideWhenUsed/>
    <w:rsid w:val="00327E8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27E8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893357">
      <w:bodyDiv w:val="1"/>
      <w:marLeft w:val="0"/>
      <w:marRight w:val="0"/>
      <w:marTop w:val="0"/>
      <w:marBottom w:val="0"/>
      <w:divBdr>
        <w:top w:val="none" w:sz="0" w:space="0" w:color="auto"/>
        <w:left w:val="none" w:sz="0" w:space="0" w:color="auto"/>
        <w:bottom w:val="none" w:sz="0" w:space="0" w:color="auto"/>
        <w:right w:val="none" w:sz="0" w:space="0" w:color="auto"/>
      </w:divBdr>
    </w:div>
    <w:div w:id="89283002">
      <w:bodyDiv w:val="1"/>
      <w:marLeft w:val="0"/>
      <w:marRight w:val="0"/>
      <w:marTop w:val="0"/>
      <w:marBottom w:val="0"/>
      <w:divBdr>
        <w:top w:val="none" w:sz="0" w:space="0" w:color="auto"/>
        <w:left w:val="none" w:sz="0" w:space="0" w:color="auto"/>
        <w:bottom w:val="none" w:sz="0" w:space="0" w:color="auto"/>
        <w:right w:val="none" w:sz="0" w:space="0" w:color="auto"/>
      </w:divBdr>
    </w:div>
    <w:div w:id="188417956">
      <w:bodyDiv w:val="1"/>
      <w:marLeft w:val="0"/>
      <w:marRight w:val="0"/>
      <w:marTop w:val="0"/>
      <w:marBottom w:val="0"/>
      <w:divBdr>
        <w:top w:val="none" w:sz="0" w:space="0" w:color="auto"/>
        <w:left w:val="none" w:sz="0" w:space="0" w:color="auto"/>
        <w:bottom w:val="none" w:sz="0" w:space="0" w:color="auto"/>
        <w:right w:val="none" w:sz="0" w:space="0" w:color="auto"/>
      </w:divBdr>
    </w:div>
    <w:div w:id="341905930">
      <w:bodyDiv w:val="1"/>
      <w:marLeft w:val="0"/>
      <w:marRight w:val="0"/>
      <w:marTop w:val="0"/>
      <w:marBottom w:val="0"/>
      <w:divBdr>
        <w:top w:val="none" w:sz="0" w:space="0" w:color="auto"/>
        <w:left w:val="none" w:sz="0" w:space="0" w:color="auto"/>
        <w:bottom w:val="none" w:sz="0" w:space="0" w:color="auto"/>
        <w:right w:val="none" w:sz="0" w:space="0" w:color="auto"/>
      </w:divBdr>
    </w:div>
    <w:div w:id="352656984">
      <w:bodyDiv w:val="1"/>
      <w:marLeft w:val="0"/>
      <w:marRight w:val="0"/>
      <w:marTop w:val="0"/>
      <w:marBottom w:val="0"/>
      <w:divBdr>
        <w:top w:val="none" w:sz="0" w:space="0" w:color="auto"/>
        <w:left w:val="none" w:sz="0" w:space="0" w:color="auto"/>
        <w:bottom w:val="none" w:sz="0" w:space="0" w:color="auto"/>
        <w:right w:val="none" w:sz="0" w:space="0" w:color="auto"/>
      </w:divBdr>
    </w:div>
    <w:div w:id="387534712">
      <w:bodyDiv w:val="1"/>
      <w:marLeft w:val="0"/>
      <w:marRight w:val="0"/>
      <w:marTop w:val="0"/>
      <w:marBottom w:val="0"/>
      <w:divBdr>
        <w:top w:val="none" w:sz="0" w:space="0" w:color="auto"/>
        <w:left w:val="none" w:sz="0" w:space="0" w:color="auto"/>
        <w:bottom w:val="none" w:sz="0" w:space="0" w:color="auto"/>
        <w:right w:val="none" w:sz="0" w:space="0" w:color="auto"/>
      </w:divBdr>
    </w:div>
    <w:div w:id="403718629">
      <w:bodyDiv w:val="1"/>
      <w:marLeft w:val="0"/>
      <w:marRight w:val="0"/>
      <w:marTop w:val="0"/>
      <w:marBottom w:val="0"/>
      <w:divBdr>
        <w:top w:val="none" w:sz="0" w:space="0" w:color="auto"/>
        <w:left w:val="none" w:sz="0" w:space="0" w:color="auto"/>
        <w:bottom w:val="none" w:sz="0" w:space="0" w:color="auto"/>
        <w:right w:val="none" w:sz="0" w:space="0" w:color="auto"/>
      </w:divBdr>
    </w:div>
    <w:div w:id="493490271">
      <w:bodyDiv w:val="1"/>
      <w:marLeft w:val="0"/>
      <w:marRight w:val="0"/>
      <w:marTop w:val="0"/>
      <w:marBottom w:val="0"/>
      <w:divBdr>
        <w:top w:val="none" w:sz="0" w:space="0" w:color="auto"/>
        <w:left w:val="none" w:sz="0" w:space="0" w:color="auto"/>
        <w:bottom w:val="none" w:sz="0" w:space="0" w:color="auto"/>
        <w:right w:val="none" w:sz="0" w:space="0" w:color="auto"/>
      </w:divBdr>
    </w:div>
    <w:div w:id="503397486">
      <w:bodyDiv w:val="1"/>
      <w:marLeft w:val="0"/>
      <w:marRight w:val="0"/>
      <w:marTop w:val="0"/>
      <w:marBottom w:val="0"/>
      <w:divBdr>
        <w:top w:val="none" w:sz="0" w:space="0" w:color="auto"/>
        <w:left w:val="none" w:sz="0" w:space="0" w:color="auto"/>
        <w:bottom w:val="none" w:sz="0" w:space="0" w:color="auto"/>
        <w:right w:val="none" w:sz="0" w:space="0" w:color="auto"/>
      </w:divBdr>
    </w:div>
    <w:div w:id="527914467">
      <w:bodyDiv w:val="1"/>
      <w:marLeft w:val="0"/>
      <w:marRight w:val="0"/>
      <w:marTop w:val="0"/>
      <w:marBottom w:val="0"/>
      <w:divBdr>
        <w:top w:val="none" w:sz="0" w:space="0" w:color="auto"/>
        <w:left w:val="none" w:sz="0" w:space="0" w:color="auto"/>
        <w:bottom w:val="none" w:sz="0" w:space="0" w:color="auto"/>
        <w:right w:val="none" w:sz="0" w:space="0" w:color="auto"/>
      </w:divBdr>
    </w:div>
    <w:div w:id="583417386">
      <w:bodyDiv w:val="1"/>
      <w:marLeft w:val="0"/>
      <w:marRight w:val="0"/>
      <w:marTop w:val="0"/>
      <w:marBottom w:val="0"/>
      <w:divBdr>
        <w:top w:val="none" w:sz="0" w:space="0" w:color="auto"/>
        <w:left w:val="none" w:sz="0" w:space="0" w:color="auto"/>
        <w:bottom w:val="none" w:sz="0" w:space="0" w:color="auto"/>
        <w:right w:val="none" w:sz="0" w:space="0" w:color="auto"/>
      </w:divBdr>
    </w:div>
    <w:div w:id="622734589">
      <w:bodyDiv w:val="1"/>
      <w:marLeft w:val="0"/>
      <w:marRight w:val="0"/>
      <w:marTop w:val="0"/>
      <w:marBottom w:val="0"/>
      <w:divBdr>
        <w:top w:val="none" w:sz="0" w:space="0" w:color="auto"/>
        <w:left w:val="none" w:sz="0" w:space="0" w:color="auto"/>
        <w:bottom w:val="none" w:sz="0" w:space="0" w:color="auto"/>
        <w:right w:val="none" w:sz="0" w:space="0" w:color="auto"/>
      </w:divBdr>
    </w:div>
    <w:div w:id="633561891">
      <w:bodyDiv w:val="1"/>
      <w:marLeft w:val="0"/>
      <w:marRight w:val="0"/>
      <w:marTop w:val="0"/>
      <w:marBottom w:val="0"/>
      <w:divBdr>
        <w:top w:val="none" w:sz="0" w:space="0" w:color="auto"/>
        <w:left w:val="none" w:sz="0" w:space="0" w:color="auto"/>
        <w:bottom w:val="none" w:sz="0" w:space="0" w:color="auto"/>
        <w:right w:val="none" w:sz="0" w:space="0" w:color="auto"/>
      </w:divBdr>
    </w:div>
    <w:div w:id="773669695">
      <w:bodyDiv w:val="1"/>
      <w:marLeft w:val="0"/>
      <w:marRight w:val="0"/>
      <w:marTop w:val="0"/>
      <w:marBottom w:val="0"/>
      <w:divBdr>
        <w:top w:val="none" w:sz="0" w:space="0" w:color="auto"/>
        <w:left w:val="none" w:sz="0" w:space="0" w:color="auto"/>
        <w:bottom w:val="none" w:sz="0" w:space="0" w:color="auto"/>
        <w:right w:val="none" w:sz="0" w:space="0" w:color="auto"/>
      </w:divBdr>
    </w:div>
    <w:div w:id="807823223">
      <w:bodyDiv w:val="1"/>
      <w:marLeft w:val="0"/>
      <w:marRight w:val="0"/>
      <w:marTop w:val="0"/>
      <w:marBottom w:val="0"/>
      <w:divBdr>
        <w:top w:val="none" w:sz="0" w:space="0" w:color="auto"/>
        <w:left w:val="none" w:sz="0" w:space="0" w:color="auto"/>
        <w:bottom w:val="none" w:sz="0" w:space="0" w:color="auto"/>
        <w:right w:val="none" w:sz="0" w:space="0" w:color="auto"/>
      </w:divBdr>
    </w:div>
    <w:div w:id="877737837">
      <w:bodyDiv w:val="1"/>
      <w:marLeft w:val="0"/>
      <w:marRight w:val="0"/>
      <w:marTop w:val="0"/>
      <w:marBottom w:val="0"/>
      <w:divBdr>
        <w:top w:val="none" w:sz="0" w:space="0" w:color="auto"/>
        <w:left w:val="none" w:sz="0" w:space="0" w:color="auto"/>
        <w:bottom w:val="none" w:sz="0" w:space="0" w:color="auto"/>
        <w:right w:val="none" w:sz="0" w:space="0" w:color="auto"/>
      </w:divBdr>
    </w:div>
    <w:div w:id="928347618">
      <w:bodyDiv w:val="1"/>
      <w:marLeft w:val="0"/>
      <w:marRight w:val="0"/>
      <w:marTop w:val="0"/>
      <w:marBottom w:val="0"/>
      <w:divBdr>
        <w:top w:val="none" w:sz="0" w:space="0" w:color="auto"/>
        <w:left w:val="none" w:sz="0" w:space="0" w:color="auto"/>
        <w:bottom w:val="none" w:sz="0" w:space="0" w:color="auto"/>
        <w:right w:val="none" w:sz="0" w:space="0" w:color="auto"/>
      </w:divBdr>
    </w:div>
    <w:div w:id="952249119">
      <w:bodyDiv w:val="1"/>
      <w:marLeft w:val="0"/>
      <w:marRight w:val="0"/>
      <w:marTop w:val="0"/>
      <w:marBottom w:val="0"/>
      <w:divBdr>
        <w:top w:val="none" w:sz="0" w:space="0" w:color="auto"/>
        <w:left w:val="none" w:sz="0" w:space="0" w:color="auto"/>
        <w:bottom w:val="none" w:sz="0" w:space="0" w:color="auto"/>
        <w:right w:val="none" w:sz="0" w:space="0" w:color="auto"/>
      </w:divBdr>
    </w:div>
    <w:div w:id="1007095094">
      <w:bodyDiv w:val="1"/>
      <w:marLeft w:val="0"/>
      <w:marRight w:val="0"/>
      <w:marTop w:val="0"/>
      <w:marBottom w:val="0"/>
      <w:divBdr>
        <w:top w:val="none" w:sz="0" w:space="0" w:color="auto"/>
        <w:left w:val="none" w:sz="0" w:space="0" w:color="auto"/>
        <w:bottom w:val="none" w:sz="0" w:space="0" w:color="auto"/>
        <w:right w:val="none" w:sz="0" w:space="0" w:color="auto"/>
      </w:divBdr>
    </w:div>
    <w:div w:id="1209027789">
      <w:bodyDiv w:val="1"/>
      <w:marLeft w:val="0"/>
      <w:marRight w:val="0"/>
      <w:marTop w:val="0"/>
      <w:marBottom w:val="0"/>
      <w:divBdr>
        <w:top w:val="none" w:sz="0" w:space="0" w:color="auto"/>
        <w:left w:val="none" w:sz="0" w:space="0" w:color="auto"/>
        <w:bottom w:val="none" w:sz="0" w:space="0" w:color="auto"/>
        <w:right w:val="none" w:sz="0" w:space="0" w:color="auto"/>
      </w:divBdr>
    </w:div>
    <w:div w:id="1232543982">
      <w:bodyDiv w:val="1"/>
      <w:marLeft w:val="0"/>
      <w:marRight w:val="0"/>
      <w:marTop w:val="0"/>
      <w:marBottom w:val="0"/>
      <w:divBdr>
        <w:top w:val="none" w:sz="0" w:space="0" w:color="auto"/>
        <w:left w:val="none" w:sz="0" w:space="0" w:color="auto"/>
        <w:bottom w:val="none" w:sz="0" w:space="0" w:color="auto"/>
        <w:right w:val="none" w:sz="0" w:space="0" w:color="auto"/>
      </w:divBdr>
    </w:div>
    <w:div w:id="1266616498">
      <w:bodyDiv w:val="1"/>
      <w:marLeft w:val="0"/>
      <w:marRight w:val="0"/>
      <w:marTop w:val="0"/>
      <w:marBottom w:val="0"/>
      <w:divBdr>
        <w:top w:val="none" w:sz="0" w:space="0" w:color="auto"/>
        <w:left w:val="none" w:sz="0" w:space="0" w:color="auto"/>
        <w:bottom w:val="none" w:sz="0" w:space="0" w:color="auto"/>
        <w:right w:val="none" w:sz="0" w:space="0" w:color="auto"/>
      </w:divBdr>
    </w:div>
    <w:div w:id="1286079596">
      <w:bodyDiv w:val="1"/>
      <w:marLeft w:val="0"/>
      <w:marRight w:val="0"/>
      <w:marTop w:val="0"/>
      <w:marBottom w:val="0"/>
      <w:divBdr>
        <w:top w:val="none" w:sz="0" w:space="0" w:color="auto"/>
        <w:left w:val="none" w:sz="0" w:space="0" w:color="auto"/>
        <w:bottom w:val="none" w:sz="0" w:space="0" w:color="auto"/>
        <w:right w:val="none" w:sz="0" w:space="0" w:color="auto"/>
      </w:divBdr>
    </w:div>
    <w:div w:id="1387992360">
      <w:bodyDiv w:val="1"/>
      <w:marLeft w:val="0"/>
      <w:marRight w:val="0"/>
      <w:marTop w:val="0"/>
      <w:marBottom w:val="0"/>
      <w:divBdr>
        <w:top w:val="none" w:sz="0" w:space="0" w:color="auto"/>
        <w:left w:val="none" w:sz="0" w:space="0" w:color="auto"/>
        <w:bottom w:val="none" w:sz="0" w:space="0" w:color="auto"/>
        <w:right w:val="none" w:sz="0" w:space="0" w:color="auto"/>
      </w:divBdr>
    </w:div>
    <w:div w:id="1415393212">
      <w:bodyDiv w:val="1"/>
      <w:marLeft w:val="0"/>
      <w:marRight w:val="0"/>
      <w:marTop w:val="0"/>
      <w:marBottom w:val="0"/>
      <w:divBdr>
        <w:top w:val="none" w:sz="0" w:space="0" w:color="auto"/>
        <w:left w:val="none" w:sz="0" w:space="0" w:color="auto"/>
        <w:bottom w:val="none" w:sz="0" w:space="0" w:color="auto"/>
        <w:right w:val="none" w:sz="0" w:space="0" w:color="auto"/>
      </w:divBdr>
    </w:div>
    <w:div w:id="1472096756">
      <w:bodyDiv w:val="1"/>
      <w:marLeft w:val="0"/>
      <w:marRight w:val="0"/>
      <w:marTop w:val="0"/>
      <w:marBottom w:val="0"/>
      <w:divBdr>
        <w:top w:val="none" w:sz="0" w:space="0" w:color="auto"/>
        <w:left w:val="none" w:sz="0" w:space="0" w:color="auto"/>
        <w:bottom w:val="none" w:sz="0" w:space="0" w:color="auto"/>
        <w:right w:val="none" w:sz="0" w:space="0" w:color="auto"/>
      </w:divBdr>
    </w:div>
    <w:div w:id="1632859139">
      <w:bodyDiv w:val="1"/>
      <w:marLeft w:val="0"/>
      <w:marRight w:val="0"/>
      <w:marTop w:val="0"/>
      <w:marBottom w:val="0"/>
      <w:divBdr>
        <w:top w:val="none" w:sz="0" w:space="0" w:color="auto"/>
        <w:left w:val="none" w:sz="0" w:space="0" w:color="auto"/>
        <w:bottom w:val="none" w:sz="0" w:space="0" w:color="auto"/>
        <w:right w:val="none" w:sz="0" w:space="0" w:color="auto"/>
      </w:divBdr>
    </w:div>
    <w:div w:id="1646162944">
      <w:bodyDiv w:val="1"/>
      <w:marLeft w:val="0"/>
      <w:marRight w:val="0"/>
      <w:marTop w:val="0"/>
      <w:marBottom w:val="0"/>
      <w:divBdr>
        <w:top w:val="none" w:sz="0" w:space="0" w:color="auto"/>
        <w:left w:val="none" w:sz="0" w:space="0" w:color="auto"/>
        <w:bottom w:val="none" w:sz="0" w:space="0" w:color="auto"/>
        <w:right w:val="none" w:sz="0" w:space="0" w:color="auto"/>
      </w:divBdr>
    </w:div>
    <w:div w:id="1711808441">
      <w:bodyDiv w:val="1"/>
      <w:marLeft w:val="0"/>
      <w:marRight w:val="0"/>
      <w:marTop w:val="0"/>
      <w:marBottom w:val="0"/>
      <w:divBdr>
        <w:top w:val="none" w:sz="0" w:space="0" w:color="auto"/>
        <w:left w:val="none" w:sz="0" w:space="0" w:color="auto"/>
        <w:bottom w:val="none" w:sz="0" w:space="0" w:color="auto"/>
        <w:right w:val="none" w:sz="0" w:space="0" w:color="auto"/>
      </w:divBdr>
    </w:div>
    <w:div w:id="1720280877">
      <w:bodyDiv w:val="1"/>
      <w:marLeft w:val="0"/>
      <w:marRight w:val="0"/>
      <w:marTop w:val="0"/>
      <w:marBottom w:val="0"/>
      <w:divBdr>
        <w:top w:val="none" w:sz="0" w:space="0" w:color="auto"/>
        <w:left w:val="none" w:sz="0" w:space="0" w:color="auto"/>
        <w:bottom w:val="none" w:sz="0" w:space="0" w:color="auto"/>
        <w:right w:val="none" w:sz="0" w:space="0" w:color="auto"/>
      </w:divBdr>
    </w:div>
    <w:div w:id="1728915906">
      <w:bodyDiv w:val="1"/>
      <w:marLeft w:val="0"/>
      <w:marRight w:val="0"/>
      <w:marTop w:val="0"/>
      <w:marBottom w:val="0"/>
      <w:divBdr>
        <w:top w:val="none" w:sz="0" w:space="0" w:color="auto"/>
        <w:left w:val="none" w:sz="0" w:space="0" w:color="auto"/>
        <w:bottom w:val="none" w:sz="0" w:space="0" w:color="auto"/>
        <w:right w:val="none" w:sz="0" w:space="0" w:color="auto"/>
      </w:divBdr>
    </w:div>
    <w:div w:id="1808891714">
      <w:bodyDiv w:val="1"/>
      <w:marLeft w:val="0"/>
      <w:marRight w:val="0"/>
      <w:marTop w:val="0"/>
      <w:marBottom w:val="0"/>
      <w:divBdr>
        <w:top w:val="none" w:sz="0" w:space="0" w:color="auto"/>
        <w:left w:val="none" w:sz="0" w:space="0" w:color="auto"/>
        <w:bottom w:val="none" w:sz="0" w:space="0" w:color="auto"/>
        <w:right w:val="none" w:sz="0" w:space="0" w:color="auto"/>
      </w:divBdr>
    </w:div>
    <w:div w:id="2145541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javascript:Redirection('LE0000018349_Vigente.HTML" TargetMode="External"/><Relationship Id="rId18" Type="http://schemas.openxmlformats.org/officeDocument/2006/relationships/hyperlink" Target="http://noticias.juridicas.com/conocimiento/articulos-doctrinales/4583-diez-claves-para-entender-el-derecho-del-medio-ambiente"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javascript:Redirection('LE0000018349_Vigente.HTML" TargetMode="External"/><Relationship Id="rId17" Type="http://schemas.openxmlformats.org/officeDocument/2006/relationships/image" Target="media/image2.jpg"/><Relationship Id="rId2" Type="http://schemas.openxmlformats.org/officeDocument/2006/relationships/numbering" Target="numbering.xml"/><Relationship Id="rId16" Type="http://schemas.openxmlformats.org/officeDocument/2006/relationships/hyperlink" Target="javascript:Redirection('LE0000018349_Vigente.HTM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javascript:Redirection('LE0000018349_Vigente.HTML" TargetMode="External"/><Relationship Id="rId5" Type="http://schemas.openxmlformats.org/officeDocument/2006/relationships/settings" Target="settings.xml"/><Relationship Id="rId15" Type="http://schemas.openxmlformats.org/officeDocument/2006/relationships/hyperlink" Target="javascript:Redirection('LE0000018349_Vigente.HTML" TargetMode="External"/><Relationship Id="rId10" Type="http://schemas.openxmlformats.org/officeDocument/2006/relationships/hyperlink" Target="javascript:Redirection('LE0000018349_Vigente.HTML" TargetMode="External"/><Relationship Id="rId19" Type="http://schemas.openxmlformats.org/officeDocument/2006/relationships/hyperlink" Target="http://www.europarl.europa.eu/atyourservice/es/displayFtu.html?ftuId=FTU_5.4.1.htm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javascript:Redirection('LE0000018349_Vigente.HTML"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politica.elpais.com/politica/2016/08/13/actualidad/1471110971_790165.html" TargetMode="External"/><Relationship Id="rId1" Type="http://schemas.openxmlformats.org/officeDocument/2006/relationships/hyperlink" Target="http://www.europarl.europa.eu/atyourservice/es/displayFtu.html?ftuId=FTU_5.4.1.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Reg17</b:Tag>
    <b:SourceType>DocumentFromInternetSite</b:SourceType>
    <b:Guid>{1A52F73D-2502-4DD3-A128-669743E778C5}</b:Guid>
    <b:Title>reaf-regaf.economistas.es</b:Title>
    <b:Year>2017</b:Year>
    <b:InternetSiteTitle>reaf-regaf.economistas.es</b:InternetSiteTitle>
    <b:Month>febrero</b:Month>
    <b:Day>27</b:Day>
    <b:URL>https://reaf-regaf.economistas.es/cust-notas/madrid-27-febrero-2017-panorama-la-fiscalidad-autonomica-foral-2017/</b:URL>
    <b:Author>
      <b:Author>
        <b:NameList>
          <b:Person>
            <b:Last>REAF-REGAF</b:Last>
            <b:First>Registro</b:First>
            <b:Middle>de Asesores fiscales</b:Middle>
          </b:Person>
        </b:NameList>
      </b:Author>
    </b:Author>
    <b:RefOrder>1</b:RefOrder>
  </b:Source>
  <b:Source>
    <b:Tag>Per15</b:Tag>
    <b:SourceType>Book</b:SourceType>
    <b:Guid>{94F11F97-2D1C-45D9-92C1-C5BD8C453A1C}</b:Guid>
    <b:Title>Regulacion Constitucional de la igualdad: Derecho financiero y tributario parte general</b:Title>
    <b:Year>2015</b:Year>
    <b:City>Madrid</b:City>
    <b:Publisher>Civitas Thomson Reuters</b:Publisher>
    <b:Author>
      <b:Author>
        <b:NameList>
          <b:Person>
            <b:Last>Perez Royo</b:Last>
            <b:First>Fernando</b:First>
          </b:Person>
        </b:NameList>
      </b:Author>
    </b:Author>
    <b:RefOrder>2</b:RefOrder>
  </b:Source>
  <b:Source>
    <b:Tag>Per11</b:Tag>
    <b:SourceType>Book</b:SourceType>
    <b:Guid>{BAFA6364-8174-4746-9456-5A79DDE9E8E9}</b:Guid>
    <b:Title>Fundamentos de derecho tributario</b:Title>
    <b:Year>2011</b:Year>
    <b:City>Madrid</b:City>
    <b:Publisher>Dykinson</b:Publisher>
    <b:Author>
      <b:Author>
        <b:NameList>
          <b:Person>
            <b:Last>Perez de Ayala</b:Last>
            <b:First>Jose</b:First>
            <b:Middle>Luis</b:Middle>
          </b:Person>
          <b:Person>
            <b:Last>Perez de Ayala Becerril</b:Last>
            <b:First>Miguel</b:First>
          </b:Person>
        </b:NameList>
      </b:Author>
    </b:Author>
    <b:RefOrder>3</b:RefOrder>
  </b:Source>
  <b:Source>
    <b:Tag>Sán16</b:Tag>
    <b:SourceType>Book</b:SourceType>
    <b:Guid>{3F7925E4-EC9B-4173-B0B7-E1A3447F24EF}</b:Guid>
    <b:Author>
      <b:Author>
        <b:NameList>
          <b:Person>
            <b:Last>Sánchez Sánchez</b:Last>
            <b:First>Eva</b:First>
            <b:Middle>María</b:Middle>
          </b:Person>
        </b:NameList>
      </b:Author>
    </b:Author>
    <b:Title>El principio de igualdad en materia tributria</b:Title>
    <b:Year>2016</b:Year>
    <b:City>Pamplona</b:City>
    <b:Publisher>Thomson Reuters Aranzadi</b:Publisher>
    <b:RefOrder>4</b:RefOrder>
  </b:Source>
  <b:Source>
    <b:Tag>Bab03</b:Tag>
    <b:SourceType>JournalArticle</b:SourceType>
    <b:Guid>{C17037ED-3485-4094-B2DD-1E55CC216F7E}</b:Guid>
    <b:Title>Presente y futuro del Impuesto sobre Sucesiones y Donaciones</b:Title>
    <b:Year>2003</b:Year>
    <b:JournalName>Cuadernos de informacion economica número 173</b:JournalName>
    <b:Pages>73 a 75</b:Pages>
    <b:Author>
      <b:Author>
        <b:NameList>
          <b:Person>
            <b:Last>Baberán Lahuerta</b:Last>
            <b:First>MA</b:First>
          </b:Person>
        </b:NameList>
      </b:Author>
    </b:Author>
    <b:RefOrder>5</b:RefOrder>
  </b:Source>
  <b:Source>
    <b:Tag>Fer15</b:Tag>
    <b:SourceType>JournalArticle</b:SourceType>
    <b:Guid>{14841A48-AF29-49CE-B5B6-2A41A935AC52}</b:Guid>
    <b:Title>Acerca del Impuesto sobre Sucesiones y Donaciones, no residentes y tutela judicial. A proposito de la Sentencia del Tribunal de Justicia de la Union Europea de 3 de septiembre de 2014</b:Title>
    <b:JournalName>Revista Aranzadi quincenal número 11/2015</b:JournalName>
    <b:Year>2015</b:Year>
    <b:Author>
      <b:Author>
        <b:NameList>
          <b:Person>
            <b:Last>Manuela</b:Last>
            <b:First>Fernández</b:First>
            <b:Middle>Junquera.</b:Middle>
          </b:Person>
        </b:NameList>
      </b:Author>
    </b:Author>
    <b:RefOrder>6</b:RefOrder>
  </b:Source>
  <b:Source>
    <b:Tag>Fay13</b:Tag>
    <b:SourceType>JournalArticle</b:SourceType>
    <b:Guid>{A5E48B24-217D-4546-90E6-F25FF9D87891}</b:Guid>
    <b:Title>El derecho de libre circulacion y residencia de los ciudadanos exige una reforma del impuesto del ISyD</b:Title>
    <b:JournalName>Actualidad Juridica Aranzadi</b:JournalName>
    <b:Year>2013</b:Year>
    <b:Author>
      <b:Author>
        <b:NameList>
          <b:Person>
            <b:Last>Fayos</b:Last>
            <b:First>Cristino</b:First>
          </b:Person>
        </b:NameList>
      </b:Author>
    </b:Author>
    <b:RefOrder>7</b:RefOrder>
  </b:Source>
  <b:Source>
    <b:Tag>Fay16</b:Tag>
    <b:SourceType>JournalArticle</b:SourceType>
    <b:Guid>{08CF6B8E-F24E-487B-A2E1-A41297BDBB15}</b:Guid>
    <b:Title>El futuro del Impuesto sobre Sucesiones y Donaciones y la necesaria proteccion de la empresa familiar</b:Title>
    <b:JournalName>Actualidad juridica Aranzadi</b:JournalName>
    <b:Year>2016</b:Year>
    <b:Author>
      <b:Author>
        <b:NameList>
          <b:Person>
            <b:Last>Fayos</b:Last>
            <b:First>Cristino</b:First>
          </b:Person>
        </b:NameList>
      </b:Author>
    </b:Author>
    <b:RefOrder>8</b:RefOrder>
  </b:Source>
  <b:Source>
    <b:Tag>Cal15</b:Tag>
    <b:SourceType>JournalArticle</b:SourceType>
    <b:Guid>{093E0ADC-E1A9-4F21-81AA-3EF3C9F9E90F}</b:Guid>
    <b:Title>En torno a las recientes tensiones jurisdiccionales surgidas en el ambito del ISD a las puertas de una reforma del Impuesto</b:Title>
    <b:JournalName>Revista Aranzadi Quincenal fiscal número 5/2015</b:JournalName>
    <b:Year>2015</b:Year>
    <b:Author>
      <b:Author>
        <b:NameList>
          <b:Person>
            <b:Last>Calvo Vérgez</b:Last>
            <b:First>Juan</b:First>
          </b:Person>
        </b:NameList>
      </b:Author>
    </b:Author>
    <b:RefOrder>9</b:RefOrder>
  </b:Source>
  <b:Source>
    <b:Tag>Gar15</b:Tag>
    <b:SourceType>Book</b:SourceType>
    <b:Guid>{127ACE6A-F9BA-46CA-8643-1B910793B569}</b:Guid>
    <b:Author>
      <b:Author>
        <b:NameList>
          <b:Person>
            <b:Last>García Gómez</b:Last>
            <b:First>Antonio</b:First>
          </b:Person>
        </b:NameList>
      </b:Author>
    </b:Author>
    <b:Title>Impuesto sobre Sucesiones y Donaciones</b:Title>
    <b:Year>2015</b:Year>
    <b:City>Madrid</b:City>
    <b:Publisher>Aranzadi </b:Publisher>
    <b:RefOrder>10</b:RefOrder>
  </b:Source>
  <b:Source>
    <b:Tag>Cal13</b:Tag>
    <b:SourceType>JournalArticle</b:SourceType>
    <b:Guid>{DFF565BB-B0BA-4F35-BFAE-8308245576C6}</b:Guid>
    <b:Title>La apliación del Impuesto sobre Sucesiones y Donaciones a los no residentes a la luz de los últimos pronunciamientos de la Comisión Europea</b:Title>
    <b:Year>2013</b:Year>
    <b:Author>
      <b:Author>
        <b:NameList>
          <b:Person>
            <b:Last>Calvo Vérgez</b:Last>
            <b:First>Juan</b:First>
          </b:Person>
        </b:NameList>
      </b:Author>
    </b:Author>
    <b:JournalName>Revista Aranzadi Quincenal fiscal número 11/2013</b:JournalName>
    <b:RefOrder>11</b:RefOrder>
  </b:Source>
  <b:Source>
    <b:Tag>Gue16</b:Tag>
    <b:SourceType>JournalArticle</b:SourceType>
    <b:Guid>{7036DC4C-9D5C-49C8-8822-B656256039A2}</b:Guid>
    <b:Author>
      <b:Author>
        <b:NameList>
          <b:Person>
            <b:Last>Guerra Reguera</b:Last>
            <b:First>Manuel</b:First>
          </b:Person>
        </b:NameList>
      </b:Author>
    </b:Author>
    <b:Title>La conmuntación del usufructo del cónyuge por otros bienes y derechos. Articulo 57 del Reglamento del Impuesto sobre Sucesiones y Donaciones. Análisis y comentario de la doctrina de la Direccion General de Tributos</b:Title>
    <b:JournalName>Revista Aranzadi Quincenal fiscal  número 22/2016</b:JournalName>
    <b:Year>2016</b:Year>
    <b:RefOrder>12</b:RefOrder>
  </b:Source>
  <b:Source>
    <b:Tag>Álv17</b:Tag>
    <b:SourceType>JournalArticle</b:SourceType>
    <b:Guid>{68A99615-91FC-4CE5-B895-92C24BEBC9C1}</b:Guid>
    <b:Title>La descoordinación del Impuesto sobre Sucesiones y Donaciones en España</b:Title>
    <b:JournalName>Revista Aranzadi Quincenal fiscal número 1/2017</b:JournalName>
    <b:Year>2017</b:Year>
    <b:Author>
      <b:Author>
        <b:NameList>
          <b:Person>
            <b:Last>Álvarez Arroyo</b:Last>
            <b:First>Francisco</b:First>
          </b:Person>
        </b:NameList>
      </b:Author>
    </b:Author>
    <b:RefOrder>13</b:RefOrder>
  </b:Source>
  <b:Source>
    <b:Tag>Sán15</b:Tag>
    <b:SourceType>Misc</b:SourceType>
    <b:Guid>{C05C7E02-F403-4C53-9112-03604545B878}</b:Guid>
    <b:Title>El principio de igualdad en materia tributaria</b:Title>
    <b:Year>2015</b:Year>
    <b:Month>Noviembre</b:Month>
    <b:Day>26</b:Day>
    <b:City>Jaén</b:City>
    <b:Author>
      <b:Author>
        <b:NameList>
          <b:Person>
            <b:Last>Sánchez Sánchez</b:Last>
            <b:First>Eva</b:First>
            <b:Middle>María</b:Middle>
          </b:Person>
        </b:NameList>
      </b:Author>
    </b:Author>
    <b:RefOrder>14</b:RefOrder>
  </b:Source>
  <b:Source>
    <b:Tag>Tal14</b:Tag>
    <b:SourceType>JournalArticle</b:SourceType>
    <b:Guid>{C2378EA8-6A31-45FE-98FA-23AD92CB09A8}</b:Guid>
    <b:Title>La discriminación de trato en el Impuesto sobre Sucesiones y Donaciones en función del territorio de residencia del sujeto pasivo desde la perspectiva constitucional y del derecho europeo</b:Title>
    <b:Year>2014</b:Year>
    <b:JournalName>Revista Aranzadi Quincenal fiscal número 10/2014</b:JournalName>
    <b:Author>
      <b:Author>
        <b:NameList>
          <b:Person>
            <b:Last>Tallón Taboada</b:Last>
            <b:First>José</b:First>
            <b:Middle>Manuel</b:Middle>
          </b:Person>
        </b:NameList>
      </b:Author>
    </b:Author>
    <b:RefOrder>15</b:RefOrder>
  </b:Source>
  <b:Source>
    <b:Tag>Sán151</b:Tag>
    <b:SourceType>JournalArticle</b:SourceType>
    <b:Guid>{832C1C7B-B19E-469A-9D63-BD4E38C4E90C}</b:Guid>
    <b:Title>Una posible reforma del Impuesto sobre Sucesiones y Donaciones a la luz de los principios constitucionales</b:Title>
    <b:JournalName>Revista Aranzadi Quincenal fiscal número 18/2015</b:JournalName>
    <b:Year>2015</b:Year>
    <b:Author>
      <b:Author>
        <b:NameList>
          <b:Person>
            <b:Last>Sánchez López</b:Last>
            <b:First>María</b:First>
            <b:Middle>Esther</b:Middle>
          </b:Person>
        </b:NameList>
      </b:Author>
    </b:Author>
    <b:RefOrder>16</b:RefOrder>
  </b:Source>
  <b:Source>
    <b:Tag>Sar15</b:Tag>
    <b:SourceType>JournalArticle</b:SourceType>
    <b:Guid>{CFE88246-878D-4CD9-9B9D-FAB756974759}</b:Guid>
    <b:Title>Los límites europeos de la autonomía fiscal en España (comentario a la sentencia del Tribunal de Justicia de la Unión Europea en el asunto Comisión/España) Sobre el régimen de tributación de los no residentes en el Impuesto de Sucesiones y Donaciones</b:Title>
    <b:JournalName>Actualidad Juridica Uria Menéndez </b:JournalName>
    <b:Year>2015</b:Year>
    <b:Pages>142 a 146</b:Pages>
    <b:Author>
      <b:Author>
        <b:NameList>
          <b:Person>
            <b:Last>Sarmiento</b:Last>
            <b:First>Daniel</b:First>
          </b:Person>
        </b:NameList>
      </b:Author>
    </b:Author>
    <b:RefOrder>17</b:RefOrder>
  </b:Source>
  <b:Source>
    <b:Tag>Pat12</b:Tag>
    <b:SourceType>JournalArticle</b:SourceType>
    <b:Guid>{88BDDB89-E4D8-460F-A52F-5A7F795BABAD}</b:Guid>
    <b:Title>La aplicación del principio de igualdad tributaria por el Tribunal Constitucional español</b:Title>
    <b:Year>2012</b:Year>
    <b:Pages>96</b:Pages>
    <b:Author>
      <b:Author>
        <b:NameList>
          <b:Person>
            <b:Last>Patón García</b:Last>
            <b:First>G</b:First>
          </b:Person>
        </b:NameList>
      </b:Author>
    </b:Author>
    <b:RefOrder>18</b:RefOrder>
  </b:Source>
  <b:Source>
    <b:Tag>Con78</b:Tag>
    <b:SourceType>Case</b:SourceType>
    <b:Guid>{2D4C57FA-82A0-4A82-9193-5FB2E3C4165A}</b:Guid>
    <b:Title>Constitucion Española</b:Title>
    <b:Year>1978</b:Year>
    <b:URL>https://www.boe.es/diario_boe/txt.php?id=BOE-A-1978-31229</b:URL>
    <b:RefOrder>19</b:RefOrder>
  </b:Source>
  <b:Source>
    <b:Tag>Sis09</b:Tag>
    <b:SourceType>Case</b:SourceType>
    <b:Guid>{D43CEC43-A7AF-49A6-96C9-301A731ED2EB}</b:Guid>
    <b:Title>Sistema de financiación de las Comunidades Autónomas de régimen común y Ciudades con Estatuto de Autonomía y se modifican determinadas normas tributarias.</b:Title>
    <b:Year>2009</b:Year>
    <b:Month>diciembre</b:Month>
    <b:Day>18</b:Day>
    <b:URL>https://www.boe.es/buscar/doc.php?id=BOE-A-2009-20375</b:URL>
    <b:RefOrder>20</b:RefOrder>
  </b:Source>
  <b:Source>
    <b:Tag>Ley87</b:Tag>
    <b:SourceType>Case</b:SourceType>
    <b:Guid>{9D414EE5-65E2-449F-A7ED-0E310CF9CA77}</b:Guid>
    <b:Title>Ley del Impuesto sobre Sucesiones y Donaciones</b:Title>
    <b:Year>1987</b:Year>
    <b:Month>Diciembre</b:Month>
    <b:Day>18</b:Day>
    <b:URL>https://www.boe.es/buscar/act.php?id=BOE-A-1987-28141</b:URL>
    <b:RefOrder>21</b:RefOrder>
  </b:Source>
  <b:Source>
    <b:Tag>Tra10</b:Tag>
    <b:SourceType>Case</b:SourceType>
    <b:Guid>{F890D553-A3B2-4EF2-9A14-3C7FEA03AD9B}</b:Guid>
    <b:Title>Tratado de Funcionamiento de la Unión Europea</b:Title>
    <b:Year>2010</b:Year>
    <b:Month>Marzo</b:Month>
    <b:Day>30</b:Day>
    <b:URL>https://www.boe.es/buscar/doc.php?id=DOUE-Z-2010-70006</b:URL>
    <b:RefOrder>22</b:RefOrder>
  </b:Source>
  <b:Source>
    <b:Tag>Dir88</b:Tag>
    <b:SourceType>Case</b:SourceType>
    <b:Guid>{257AE502-CBB4-459F-B81E-5B6F44672739}</b:Guid>
    <b:Title>Directiva 88/361/CEE</b:Title>
    <b:Court>Consejo</b:Court>
    <b:Year>1988</b:Year>
    <b:Month>Junio</b:Month>
    <b:Day>24</b:Day>
    <b:URL>http://eur-lex.europa.eu/legal-content/ES/TXT/?uri=CELEX%3A31988L0361</b:URL>
    <b:RefOrder>23</b:RefOrder>
  </b:Source>
  <b:Source>
    <b:Tag>Cel93</b:Tag>
    <b:SourceType>Case</b:SourceType>
    <b:Guid>{FA4BA96F-DFB2-4F97-BEB6-1D727ADD20CC}</b:Guid>
    <b:Title>Celebración del Acuerdo sobre el Espacio Económico Europeo entre las Comunidades Europeas y sus Estados miembros, por una parte, y la República de Austria, la República de Finlandia, la República de Islandia, el Principado de Liechtenstein, el Reino de No</b:Title>
    <b:Year>1993</b:Year>
    <b:Month>Diciembre</b:Month>
    <b:Day>13</b:Day>
    <b:URL>http://eur-lex.europa.eu/legal-content/ES/TXT/?uri=celex:31994D0001</b:URL>
    <b:RefOrder>24</b:RefOrder>
  </b:Source>
  <b:Source>
    <b:Tag>MSe</b:Tag>
    <b:SourceType>ElectronicSource</b:SourceType>
    <b:Guid>{A1C49F75-4A9B-4C96-92EC-C099AF4B8C6A}</b:Guid>
    <b:Title>Guía del Impuesto de Sucesiones y Donaciones en las CCAA</b:Title>
    <b:Author>
      <b:Author>
        <b:NameList>
          <b:Person>
            <b:Last>García</b:Last>
            <b:First>M.</b:First>
            <b:Middle>Serraller y B.</b:Middle>
          </b:Person>
        </b:NameList>
      </b:Author>
    </b:Author>
    <b:Publisher>Periódico La expansión</b:Publisher>
    <b:URL>http://www.expansion.com/economia/2017/02/12/58a087cd46163ff5118b460e.html</b:URL>
    <b:Year>2016</b:Year>
    <b:RefOrder>25</b:RefOrder>
  </b:Source>
  <b:Source>
    <b:Tag>Ale1</b:Tag>
    <b:SourceType>ElectronicSource</b:SourceType>
    <b:Guid>{1B215C04-A393-4E16-B895-2A3419D582FF}</b:Guid>
    <b:Title>La renuncia de herencias sube un 3,1% en 2016 hasta los 38.791 casos</b:Title>
    <b:Author>
      <b:Author>
        <b:NameList>
          <b:Person>
            <b:Last>Meraviglia</b:Last>
            <b:First>Alejandro</b:First>
          </b:Person>
        </b:NameList>
      </b:Author>
    </b:Author>
    <b:Publisher>Periodico digital CincoDias</b:Publisher>
    <b:URL>http://cincodias.elpais.com/cincodias/2017/03/23/economia/1490293703_488132.html</b:URL>
    <b:Year>2016</b:Year>
    <b:RefOrder>26</b:RefOrder>
  </b:Source>
  <b:Source>
    <b:Tag>Ale</b:Tag>
    <b:SourceType>ElectronicSource</b:SourceType>
    <b:Guid>{F5609430-BC90-4628-B811-3DD13075C075}</b:Guid>
    <b:Title>Panorama de Fiscalidad Autonómica y Foral 2016. ¿En qué autonomías se pagan más o menos impuestos?</b:Title>
    <b:Author>
      <b:Author>
        <b:NameList>
          <b:Person>
            <b:Last>Meraviglia</b:Last>
            <b:First>Alejandro</b:First>
          </b:Person>
        </b:NameList>
      </b:Author>
    </b:Author>
    <b:Publisher>Periodico digital CincoDias</b:Publisher>
    <b:URL>http://cincodias.elpais.com/cincodias/2016/02/23/economia/1456237845_152713.html</b:URL>
    <b:Year>2016</b:Year>
    <b:RefOrder>27</b:RefOrder>
  </b:Source>
  <b:Source>
    <b:Tag>Sen87</b:Tag>
    <b:SourceType>Case</b:SourceType>
    <b:Guid>{24A96BA1-2B54-4585-A837-27DE12894A41}</b:Guid>
    <b:Title>Sentencia del Tribunal Constitucional</b:Title>
    <b:CaseNumber>159/1987</b:CaseNumber>
    <b:Year>1987</b:Year>
    <b:Month>Octubre</b:Month>
    <b:Day>26</b:Day>
    <b:URL>http://hj.tribunalconstitucional.es/en/Resolucion/Show/891</b:URL>
    <b:RefOrder>28</b:RefOrder>
  </b:Source>
  <b:Source>
    <b:Tag>Sen81</b:Tag>
    <b:SourceType>Case</b:SourceType>
    <b:Guid>{B0F2E09D-25BB-4DEB-91B2-F0A3BA6C618C}</b:Guid>
    <b:Title>Sentencia del Tribunal Constitucional</b:Title>
    <b:CaseNumber>37/1981</b:CaseNumber>
    <b:Year>1981</b:Year>
    <b:Month>Noviembre</b:Month>
    <b:Day>16</b:Day>
    <b:URL>http://hj.tribunalconstitucional.es/gl/Resolucion/Show/37</b:URL>
    <b:RefOrder>29</b:RefOrder>
  </b:Source>
  <b:Source>
    <b:Tag>Sen03</b:Tag>
    <b:SourceType>Case</b:SourceType>
    <b:Guid>{3A55B062-6AD4-48A7-B5AD-C4E3E6C7F22B}</b:Guid>
    <b:Title>Sentencia del Tribunal Constitucional</b:Title>
    <b:Year>2003</b:Year>
    <b:CaseNumber>108/2003</b:CaseNumber>
    <b:Month>Junio</b:Month>
    <b:Day>3</b:Day>
    <b:URL>http://hj.tribunalconstitucional.es/es/Resolucion/Show/4883</b:URL>
    <b:RefOrder>30</b:RefOrder>
  </b:Source>
  <b:Source>
    <b:Tag>Sen15</b:Tag>
    <b:SourceType>Case</b:SourceType>
    <b:Guid>{83AC2407-DB06-4F33-9154-4ADE0B7ACFE0}</b:Guid>
    <b:Title>Sentencia del Tribunal Constitucional</b:Title>
    <b:Year>2015</b:Year>
    <b:Month>Junio</b:Month>
    <b:Day>11</b:Day>
    <b:CaseNumber>136/2015</b:CaseNumber>
    <b:URL>https://www.boe.es/buscar/doc.php?id=BOE-A-2015-7588</b:URL>
    <b:RefOrder>31</b:RefOrder>
  </b:Source>
  <b:Source>
    <b:Tag>Sen151</b:Tag>
    <b:SourceType>Case</b:SourceType>
    <b:Guid>{ED2BAC2D-C2BC-4630-8AD9-0F2588535930}</b:Guid>
    <b:Title>Sentencia del Tribunal Constitucional</b:Title>
    <b:CaseNumber>60/2015</b:CaseNumber>
    <b:Year>2015</b:Year>
    <b:Month>Marzo</b:Month>
    <b:Day>18</b:Day>
    <b:URL>http://hj.tribunalconstitucional.es/es/Resolucion/Show/24393</b:URL>
    <b:RefOrder>32</b:RefOrder>
  </b:Source>
  <b:Source>
    <b:Tag>Sen14</b:Tag>
    <b:SourceType>Case</b:SourceType>
    <b:Guid>{BD1F53C7-9FC3-4B5C-BC1D-DEF85C12A968}</b:Guid>
    <b:Title>Sentencia del Tribunal de Justicia de la Unión Europea</b:Title>
    <b:Year>2014</b:Year>
    <b:Month>Septiembre</b:Month>
    <b:Day>3</b:Day>
    <b:CaseNumber>222/2014</b:CaseNumber>
    <b:URL>http://www.aranzadi.es/sites/aranzadi.es/files/creatividad/Deloitte/pdf/Sentencia_3_septiembre_TJCE_2014_222.pdf</b:URL>
    <b:RefOrder>33</b:RefOrder>
  </b:Source>
  <b:Source>
    <b:Tag>Sen11</b:Tag>
    <b:SourceType>Case</b:SourceType>
    <b:Guid>{5BD7FCA9-8B20-4CF8-B7E1-E7A01CBEADDB}</b:Guid>
    <b:Title>Sentencia del Tribunal Superior de Justicia de la Comunidad Valenciana</b:Title>
    <b:CaseNumber>727/2011</b:CaseNumber>
    <b:Year>2011</b:Year>
    <b:Month>Junio</b:Month>
    <b:Day>13</b:Day>
    <b:URL>https://www.iberley.es/jurisprudencia/sentencia-administrativo-n-727-2011-tsj-comunidad-valenciana-sala-contencioso-sec-3-rec-2162-2010-13-06-2011-6971381</b:URL>
    <b:RefOrder>34</b:RefOrder>
  </b:Source>
</b:Sources>
</file>

<file path=customXml/itemProps1.xml><?xml version="1.0" encoding="utf-8"?>
<ds:datastoreItem xmlns:ds="http://schemas.openxmlformats.org/officeDocument/2006/customXml" ds:itemID="{12B967A8-5C3E-4AAA-A09F-C13691FB4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Pages>
  <Words>12987</Words>
  <Characters>71429</Characters>
  <Application>Microsoft Office Word</Application>
  <DocSecurity>0</DocSecurity>
  <Lines>595</Lines>
  <Paragraphs>168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 José Garrido Sanchez</dc:creator>
  <cp:keywords/>
  <dc:description/>
  <cp:lastModifiedBy>UJA</cp:lastModifiedBy>
  <cp:revision>14</cp:revision>
  <dcterms:created xsi:type="dcterms:W3CDTF">2017-05-22T19:35:00Z</dcterms:created>
  <dcterms:modified xsi:type="dcterms:W3CDTF">2017-06-29T07:18:00Z</dcterms:modified>
</cp:coreProperties>
</file>