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fontTable.xml" ContentType="application/vnd.openxmlformats-officedocument.wordprocessingml.fontTable+xml"/>
  <Override PartName="/word/settings.xml" ContentType="application/vnd.openxmlformats-officedocument.wordprocessingml.settings+xml"/>
  <Override PartName="/word/footnotes.xml" ContentType="application/vnd.openxmlformats-officedocument.wordprocessingml.footnotes+xml"/>
  <Override PartName="/word/footer1.xml" ContentType="application/vnd.openxmlformats-officedocument.wordprocessingml.foot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center"/>
        <w:rPr>
          <w:rFonts w:cs="Times New Roman" w:ascii="Times New Roman" w:hAnsi="Times New Roman"/>
          <w:b/>
          <w:color w:val="000000"/>
          <w:sz w:val="56"/>
          <w:szCs w:val="56"/>
        </w:rPr>
      </w:pPr>
      <w:r>
        <w:rPr>
          <w:rFonts w:cs="Times New Roman" w:ascii="Times New Roman" w:hAnsi="Times New Roman"/>
          <w:b/>
          <w:color w:val="000000"/>
          <w:sz w:val="56"/>
          <w:szCs w:val="56"/>
        </w:rPr>
      </w:r>
    </w:p>
    <w:p>
      <w:pPr>
        <w:pStyle w:val="Normal"/>
        <w:spacing w:lineRule="auto" w:line="360"/>
        <w:jc w:val="center"/>
        <w:rPr>
          <w:rFonts w:cs="Times New Roman" w:ascii="Times New Roman" w:hAnsi="Times New Roman"/>
          <w:b/>
          <w:color w:val="000000"/>
          <w:sz w:val="56"/>
          <w:szCs w:val="56"/>
        </w:rPr>
      </w:pPr>
      <w:r>
        <w:rPr>
          <w:rFonts w:cs="Times New Roman" w:ascii="Times New Roman" w:hAnsi="Times New Roman"/>
          <w:b/>
          <w:color w:val="000000"/>
          <w:sz w:val="56"/>
          <w:szCs w:val="56"/>
        </w:rPr>
      </w:r>
    </w:p>
    <w:p>
      <w:pPr>
        <w:pStyle w:val="Normal"/>
        <w:spacing w:lineRule="auto" w:line="360"/>
        <w:jc w:val="center"/>
        <w:rPr>
          <w:rFonts w:cs="Times New Roman" w:ascii="Times New Roman" w:hAnsi="Times New Roman"/>
          <w:b/>
          <w:color w:val="000000"/>
          <w:sz w:val="72"/>
          <w:szCs w:val="72"/>
          <w:u w:val="single"/>
        </w:rPr>
      </w:pPr>
      <w:r>
        <w:rPr>
          <w:rFonts w:cs="Times New Roman" w:ascii="Times New Roman" w:hAnsi="Times New Roman"/>
          <w:b/>
          <w:color w:val="000000"/>
          <w:sz w:val="72"/>
          <w:szCs w:val="72"/>
          <w:u w:val="single"/>
        </w:rPr>
        <w:t>Uso de las armas por las Fuerzas y Cuerpos de Seguridad del Estado.</w:t>
      </w:r>
    </w:p>
    <w:p>
      <w:pPr>
        <w:pStyle w:val="Normal"/>
        <w:spacing w:lineRule="auto" w:line="360"/>
        <w:jc w:val="center"/>
        <w:rPr>
          <w:rFonts w:cs="Times New Roman" w:ascii="Times New Roman" w:hAnsi="Times New Roman"/>
          <w:b/>
          <w:color w:val="000000"/>
          <w:sz w:val="56"/>
          <w:szCs w:val="56"/>
        </w:rPr>
      </w:pPr>
      <w:r>
        <w:rPr>
          <w:rFonts w:cs="Times New Roman" w:ascii="Times New Roman" w:hAnsi="Times New Roman"/>
          <w:b/>
          <w:color w:val="000000"/>
          <w:sz w:val="56"/>
          <w:szCs w:val="56"/>
        </w:rPr>
        <w:t> </w:t>
      </w:r>
    </w:p>
    <w:p>
      <w:pPr>
        <w:pStyle w:val="Normal"/>
        <w:spacing w:lineRule="auto" w:line="360"/>
        <w:jc w:val="center"/>
        <w:rPr>
          <w:rFonts w:cs="Times New Roman" w:ascii="Times New Roman" w:hAnsi="Times New Roman"/>
          <w:b/>
          <w:color w:val="000000"/>
          <w:sz w:val="56"/>
          <w:szCs w:val="56"/>
        </w:rPr>
      </w:pPr>
      <w:r>
        <w:rPr>
          <w:rFonts w:cs="Times New Roman" w:ascii="Times New Roman" w:hAnsi="Times New Roman"/>
          <w:b/>
          <w:color w:val="000000"/>
          <w:sz w:val="56"/>
          <w:szCs w:val="56"/>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Índice</w:t>
      </w:r>
    </w:p>
    <w:p>
      <w:pPr>
        <w:pStyle w:val="Index1"/>
        <w:tabs>
          <w:tab w:val="left" w:pos="440" w:leader="none"/>
          <w:tab w:val="right" w:pos="8494" w:leader="dot"/>
        </w:tabs>
        <w:rPr>
          <w:rStyle w:val="Enlacedelndice"/>
          <w:rFonts w:cs="Times New Roman" w:ascii="Times New Roman" w:hAnsi="Times New Roman"/>
          <w:color w:val="000000"/>
          <w:sz w:val="24"/>
          <w:szCs w:val="24"/>
        </w:rPr>
      </w:pPr>
      <w:r>
        <w:fldChar w:fldCharType="begin"/>
      </w:r>
      <w:r>
        <w:instrText> TOC </w:instrText>
      </w:r>
      <w:r>
        <w:fldChar w:fldCharType="separate"/>
      </w:r>
      <w:hyperlink w:anchor="_Toc480380981">
        <w:r>
          <w:rPr>
            <w:rStyle w:val="Enlacedelndice"/>
            <w:rFonts w:cs="Times New Roman" w:ascii="Times New Roman" w:hAnsi="Times New Roman"/>
            <w:color w:val="000000"/>
            <w:sz w:val="24"/>
            <w:szCs w:val="24"/>
          </w:rPr>
          <w:t>1.</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Introducción.</w:t>
          <w:tab/>
          <w:t>4</w:t>
        </w:r>
      </w:hyperlink>
    </w:p>
    <w:p>
      <w:pPr>
        <w:pStyle w:val="Index1"/>
        <w:tabs>
          <w:tab w:val="left" w:pos="440" w:leader="none"/>
          <w:tab w:val="right" w:pos="8494" w:leader="dot"/>
        </w:tabs>
        <w:rPr>
          <w:rStyle w:val="Enlacedelndice"/>
          <w:rFonts w:cs="Times New Roman" w:ascii="Times New Roman" w:hAnsi="Times New Roman"/>
          <w:color w:val="000000"/>
          <w:sz w:val="24"/>
          <w:szCs w:val="24"/>
        </w:rPr>
      </w:pPr>
      <w:hyperlink w:anchor="_Toc480380982">
        <w:r>
          <w:rPr>
            <w:rStyle w:val="Enlacedelndice"/>
            <w:rFonts w:cs="Times New Roman" w:ascii="Times New Roman" w:hAnsi="Times New Roman"/>
            <w:color w:val="000000"/>
            <w:sz w:val="24"/>
            <w:szCs w:val="24"/>
          </w:rPr>
          <w:t>2.</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Normativa aplicable.</w:t>
          <w:tab/>
          <w:t>6</w:t>
        </w:r>
      </w:hyperlink>
    </w:p>
    <w:p>
      <w:pPr>
        <w:pStyle w:val="Index2"/>
        <w:rPr>
          <w:rStyle w:val="Enlacedelndice"/>
          <w:color w:val="000000"/>
        </w:rPr>
      </w:pPr>
      <w:hyperlink w:anchor="_Toc480380983">
        <w:r>
          <w:rPr>
            <w:rStyle w:val="Enlacedelndice"/>
            <w:rFonts w:cs="Times New Roman" w:ascii="Times New Roman" w:hAnsi="Times New Roman"/>
            <w:color w:val="000000"/>
            <w:sz w:val="24"/>
            <w:szCs w:val="24"/>
          </w:rPr>
          <w:t>2.1 Normativa internacional.</w:t>
        </w:r>
        <w:r>
          <w:rPr>
            <w:rStyle w:val="Enlacedelndice"/>
            <w:color w:val="000000"/>
          </w:rPr>
          <w:tab/>
          <w:t>6</w:t>
        </w:r>
      </w:hyperlink>
    </w:p>
    <w:p>
      <w:pPr>
        <w:pStyle w:val="Index2"/>
        <w:rPr>
          <w:rStyle w:val="Enlacedelndice"/>
          <w:color w:val="000000"/>
        </w:rPr>
      </w:pPr>
      <w:hyperlink w:anchor="_Toc480380984">
        <w:r>
          <w:rPr>
            <w:rStyle w:val="Enlacedelndice"/>
            <w:rFonts w:cs="Times New Roman" w:ascii="Times New Roman" w:hAnsi="Times New Roman"/>
            <w:color w:val="000000"/>
            <w:sz w:val="24"/>
            <w:szCs w:val="24"/>
          </w:rPr>
          <w:t>2.2.</w:t>
        </w:r>
        <w:r>
          <w:rPr>
            <w:rStyle w:val="Enlacedelndice"/>
            <w:color w:val="000000"/>
          </w:rPr>
          <w:tab/>
        </w:r>
        <w:r>
          <w:rPr>
            <w:rStyle w:val="Enlacedelndice"/>
            <w:rFonts w:cs="Times New Roman" w:ascii="Times New Roman" w:hAnsi="Times New Roman"/>
            <w:color w:val="000000"/>
            <w:sz w:val="24"/>
            <w:szCs w:val="24"/>
          </w:rPr>
          <w:t>Normativa europea.</w:t>
        </w:r>
        <w:r>
          <w:rPr>
            <w:rStyle w:val="Enlacedelndice"/>
            <w:color w:val="000000"/>
          </w:rPr>
          <w:tab/>
          <w:t>10</w:t>
        </w:r>
      </w:hyperlink>
    </w:p>
    <w:p>
      <w:pPr>
        <w:pStyle w:val="Index2"/>
        <w:rPr>
          <w:rStyle w:val="Enlacedelndice"/>
          <w:color w:val="000000"/>
        </w:rPr>
      </w:pPr>
      <w:hyperlink w:anchor="_Toc480380985">
        <w:r>
          <w:rPr>
            <w:rStyle w:val="Enlacedelndice"/>
            <w:rFonts w:cs="Times New Roman" w:ascii="Times New Roman" w:hAnsi="Times New Roman"/>
            <w:color w:val="000000"/>
            <w:sz w:val="24"/>
            <w:szCs w:val="24"/>
          </w:rPr>
          <w:t>2.3. Normativa nacional.</w:t>
        </w:r>
        <w:r>
          <w:rPr>
            <w:rStyle w:val="Enlacedelndice"/>
            <w:color w:val="000000"/>
          </w:rPr>
          <w:tab/>
          <w:t>11</w:t>
        </w:r>
      </w:hyperlink>
    </w:p>
    <w:p>
      <w:pPr>
        <w:pStyle w:val="Index3"/>
        <w:tabs>
          <w:tab w:val="right" w:pos="8494" w:leader="dot"/>
        </w:tabs>
        <w:rPr>
          <w:rStyle w:val="Enlacedelndice"/>
          <w:rFonts w:cs="Times New Roman" w:ascii="Times New Roman" w:hAnsi="Times New Roman"/>
          <w:color w:val="000000"/>
          <w:sz w:val="24"/>
          <w:szCs w:val="24"/>
        </w:rPr>
      </w:pPr>
      <w:hyperlink w:anchor="_Toc480380986">
        <w:r>
          <w:rPr>
            <w:rStyle w:val="Enlacedelndice"/>
            <w:rFonts w:cs="Times New Roman" w:ascii="Times New Roman" w:hAnsi="Times New Roman"/>
            <w:color w:val="000000"/>
            <w:sz w:val="24"/>
            <w:szCs w:val="24"/>
          </w:rPr>
          <w:t>2.3.1 Comparación del Ordenamiento jurídico español con otros ordenamientos.</w:t>
          <w:tab/>
          <w:t>14</w:t>
        </w:r>
      </w:hyperlink>
    </w:p>
    <w:p>
      <w:pPr>
        <w:pStyle w:val="Index4"/>
        <w:tabs>
          <w:tab w:val="right" w:pos="8494" w:leader="dot"/>
        </w:tabs>
        <w:rPr>
          <w:rStyle w:val="Enlacedelndice"/>
          <w:rFonts w:cs="Times New Roman" w:ascii="Times New Roman" w:hAnsi="Times New Roman"/>
          <w:color w:val="000000"/>
          <w:sz w:val="24"/>
          <w:szCs w:val="24"/>
        </w:rPr>
      </w:pPr>
      <w:hyperlink w:anchor="_Toc480380987">
        <w:r>
          <w:rPr>
            <w:rStyle w:val="Enlacedelndice"/>
            <w:rFonts w:cs="Times New Roman" w:ascii="Times New Roman" w:hAnsi="Times New Roman"/>
            <w:color w:val="000000"/>
            <w:sz w:val="24"/>
            <w:szCs w:val="24"/>
          </w:rPr>
          <w:t>2.3.1.1 Ordenamiento jurídico francés.</w:t>
          <w:tab/>
          <w:t>14</w:t>
        </w:r>
      </w:hyperlink>
    </w:p>
    <w:p>
      <w:pPr>
        <w:pStyle w:val="Index4"/>
        <w:tabs>
          <w:tab w:val="right" w:pos="8494" w:leader="dot"/>
        </w:tabs>
        <w:rPr>
          <w:rFonts w:cs="Times New Roman" w:ascii="Times New Roman" w:hAnsi="Times New Roman"/>
          <w:color w:val="000000"/>
          <w:sz w:val="24"/>
          <w:szCs w:val="24"/>
        </w:rPr>
      </w:pPr>
      <w:hyperlink w:anchor="_Toc480380988">
        <w:r>
          <w:rPr>
            <w:rStyle w:val="Enlacedelndice"/>
            <w:rFonts w:cs="Times New Roman" w:ascii="Times New Roman" w:hAnsi="Times New Roman"/>
            <w:color w:val="000000"/>
            <w:sz w:val="24"/>
            <w:szCs w:val="24"/>
          </w:rPr>
          <w:t>2.3.1.2. Ordenamiento jurídico italiano.</w:t>
          <w:tab/>
          <w:t>1</w:t>
        </w:r>
      </w:hyperlink>
      <w:r>
        <w:rPr>
          <w:rFonts w:cs="Times New Roman" w:ascii="Times New Roman" w:hAnsi="Times New Roman"/>
          <w:color w:val="000000"/>
          <w:sz w:val="24"/>
          <w:szCs w:val="24"/>
        </w:rPr>
        <w:t>5</w:t>
      </w:r>
    </w:p>
    <w:p>
      <w:pPr>
        <w:pStyle w:val="Index1"/>
        <w:tabs>
          <w:tab w:val="left" w:pos="440" w:leader="none"/>
          <w:tab w:val="right" w:pos="8494" w:leader="dot"/>
        </w:tabs>
        <w:rPr>
          <w:rFonts w:cs="Times New Roman" w:ascii="Times New Roman" w:hAnsi="Times New Roman"/>
          <w:color w:val="000000"/>
          <w:sz w:val="24"/>
          <w:szCs w:val="24"/>
        </w:rPr>
      </w:pPr>
      <w:hyperlink w:anchor="_Toc480380989">
        <w:r>
          <w:rPr>
            <w:rStyle w:val="Enlacedelndice"/>
            <w:rFonts w:cs="Times New Roman" w:ascii="Times New Roman" w:hAnsi="Times New Roman"/>
            <w:color w:val="000000"/>
            <w:sz w:val="24"/>
            <w:szCs w:val="24"/>
          </w:rPr>
          <w:t>3.</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Causas de justificación.</w:t>
          <w:tab/>
          <w:t>1</w:t>
        </w:r>
      </w:hyperlink>
      <w:r>
        <w:rPr>
          <w:rFonts w:cs="Times New Roman" w:ascii="Times New Roman" w:hAnsi="Times New Roman"/>
          <w:color w:val="000000"/>
          <w:sz w:val="24"/>
          <w:szCs w:val="24"/>
        </w:rPr>
        <w:t>7</w:t>
      </w:r>
    </w:p>
    <w:p>
      <w:pPr>
        <w:pStyle w:val="Index2"/>
        <w:rPr>
          <w:color w:val="000000"/>
        </w:rPr>
      </w:pPr>
      <w:hyperlink w:anchor="_Toc480380990">
        <w:r>
          <w:rPr>
            <w:rStyle w:val="Enlacedelndice"/>
            <w:rFonts w:cs="Times New Roman" w:ascii="Times New Roman" w:hAnsi="Times New Roman"/>
            <w:color w:val="000000"/>
            <w:sz w:val="24"/>
            <w:szCs w:val="24"/>
          </w:rPr>
          <w:t>3.1 Cumplimiento de un deber.</w:t>
        </w:r>
        <w:r>
          <w:rPr>
            <w:rStyle w:val="Enlacedelndice"/>
            <w:color w:val="000000"/>
          </w:rPr>
          <w:tab/>
          <w:t>1</w:t>
        </w:r>
      </w:hyperlink>
      <w:r>
        <w:rPr>
          <w:color w:val="000000"/>
        </w:rPr>
        <w:t>7</w:t>
      </w:r>
    </w:p>
    <w:p>
      <w:pPr>
        <w:pStyle w:val="Index3"/>
        <w:tabs>
          <w:tab w:val="right" w:pos="8494" w:leader="dot"/>
        </w:tabs>
        <w:rPr>
          <w:rFonts w:cs="Times New Roman" w:ascii="Times New Roman" w:hAnsi="Times New Roman"/>
          <w:color w:val="000000"/>
          <w:sz w:val="24"/>
          <w:szCs w:val="24"/>
        </w:rPr>
      </w:pPr>
      <w:hyperlink w:anchor="_Toc480380991">
        <w:r>
          <w:rPr>
            <w:rStyle w:val="Enlacedelndice"/>
            <w:rFonts w:cs="Times New Roman" w:ascii="Times New Roman" w:hAnsi="Times New Roman"/>
            <w:color w:val="000000"/>
            <w:sz w:val="24"/>
            <w:szCs w:val="24"/>
          </w:rPr>
          <w:t>3.1.1 Planteamiento.</w:t>
          <w:tab/>
          <w:t>1</w:t>
        </w:r>
      </w:hyperlink>
      <w:r>
        <w:rPr>
          <w:rFonts w:cs="Times New Roman" w:ascii="Times New Roman" w:hAnsi="Times New Roman"/>
          <w:color w:val="000000"/>
          <w:sz w:val="24"/>
          <w:szCs w:val="24"/>
        </w:rPr>
        <w:t>7</w:t>
      </w:r>
    </w:p>
    <w:p>
      <w:pPr>
        <w:pStyle w:val="Index3"/>
        <w:tabs>
          <w:tab w:val="right" w:pos="8494" w:leader="dot"/>
        </w:tabs>
        <w:rPr>
          <w:rFonts w:cs="Times New Roman" w:ascii="Times New Roman" w:hAnsi="Times New Roman"/>
          <w:color w:val="000000"/>
          <w:sz w:val="24"/>
          <w:szCs w:val="24"/>
        </w:rPr>
      </w:pPr>
      <w:hyperlink w:anchor="_Toc480380992">
        <w:r>
          <w:rPr>
            <w:rStyle w:val="Enlacedelndice"/>
            <w:rFonts w:cs="Times New Roman" w:ascii="Times New Roman" w:hAnsi="Times New Roman"/>
            <w:color w:val="000000"/>
            <w:sz w:val="24"/>
            <w:szCs w:val="24"/>
          </w:rPr>
          <w:t>3.1.2. Requisitos de la causa de justificación.</w:t>
          <w:tab/>
          <w:t>2</w:t>
        </w:r>
      </w:hyperlink>
      <w:r>
        <w:rPr>
          <w:rFonts w:cs="Times New Roman" w:ascii="Times New Roman" w:hAnsi="Times New Roman"/>
          <w:color w:val="000000"/>
          <w:sz w:val="24"/>
          <w:szCs w:val="24"/>
        </w:rPr>
        <w:t>3</w:t>
      </w:r>
    </w:p>
    <w:p>
      <w:pPr>
        <w:pStyle w:val="Index4"/>
        <w:tabs>
          <w:tab w:val="right" w:pos="8494" w:leader="dot"/>
        </w:tabs>
        <w:rPr>
          <w:rFonts w:cs="Times New Roman" w:ascii="Times New Roman" w:hAnsi="Times New Roman"/>
          <w:color w:val="000000"/>
          <w:sz w:val="24"/>
          <w:szCs w:val="24"/>
        </w:rPr>
      </w:pPr>
      <w:hyperlink w:anchor="_Toc480380993">
        <w:r>
          <w:rPr>
            <w:rStyle w:val="Enlacedelndice"/>
            <w:rFonts w:cs="Times New Roman" w:ascii="Times New Roman" w:hAnsi="Times New Roman"/>
            <w:color w:val="000000"/>
            <w:sz w:val="24"/>
            <w:szCs w:val="24"/>
          </w:rPr>
          <w:t>3.1.2.1. Elemento subjetivo. Autoridad, Agente de la Autoridad o Funcionario Público habilitado para el uso de la coacción o de la fuerza.</w:t>
          <w:tab/>
          <w:t>2</w:t>
        </w:r>
      </w:hyperlink>
      <w:r>
        <w:rPr>
          <w:rFonts w:cs="Times New Roman" w:ascii="Times New Roman" w:hAnsi="Times New Roman"/>
          <w:color w:val="000000"/>
          <w:sz w:val="24"/>
          <w:szCs w:val="24"/>
        </w:rPr>
        <w:t>3</w:t>
      </w:r>
    </w:p>
    <w:p>
      <w:pPr>
        <w:pStyle w:val="Index4"/>
        <w:tabs>
          <w:tab w:val="right" w:pos="8494" w:leader="dot"/>
        </w:tabs>
        <w:rPr>
          <w:rFonts w:cs="Times New Roman" w:ascii="Times New Roman" w:hAnsi="Times New Roman"/>
          <w:color w:val="000000"/>
          <w:sz w:val="24"/>
          <w:szCs w:val="24"/>
        </w:rPr>
      </w:pPr>
      <w:hyperlink w:anchor="_Toc480380994">
        <w:r>
          <w:rPr>
            <w:rStyle w:val="Enlacedelndice"/>
            <w:rFonts w:cs="Times New Roman" w:ascii="Times New Roman" w:hAnsi="Times New Roman"/>
            <w:color w:val="000000"/>
            <w:sz w:val="24"/>
            <w:szCs w:val="24"/>
          </w:rPr>
          <w:t>3.1.2.2. Principio de necesidad.</w:t>
          <w:tab/>
          <w:t>2</w:t>
        </w:r>
      </w:hyperlink>
      <w:r>
        <w:rPr>
          <w:rFonts w:cs="Times New Roman" w:ascii="Times New Roman" w:hAnsi="Times New Roman"/>
          <w:color w:val="000000"/>
          <w:sz w:val="24"/>
          <w:szCs w:val="24"/>
        </w:rPr>
        <w:t>6</w:t>
      </w:r>
    </w:p>
    <w:p>
      <w:pPr>
        <w:pStyle w:val="Index4"/>
        <w:tabs>
          <w:tab w:val="right" w:pos="8494" w:leader="dot"/>
        </w:tabs>
        <w:rPr>
          <w:rFonts w:cs="Times New Roman" w:ascii="Times New Roman" w:hAnsi="Times New Roman"/>
          <w:color w:val="000000"/>
          <w:sz w:val="24"/>
          <w:szCs w:val="24"/>
        </w:rPr>
      </w:pPr>
      <w:hyperlink w:anchor="_Toc480380995">
        <w:r>
          <w:rPr>
            <w:rStyle w:val="Enlacedelndice"/>
            <w:rFonts w:cs="Times New Roman" w:ascii="Times New Roman" w:hAnsi="Times New Roman"/>
            <w:color w:val="000000"/>
            <w:sz w:val="24"/>
            <w:szCs w:val="24"/>
          </w:rPr>
          <w:t>3.1.2.3. La proporcionalidad.</w:t>
          <w:tab/>
        </w:r>
      </w:hyperlink>
      <w:r>
        <w:rPr>
          <w:rFonts w:cs="Times New Roman" w:ascii="Times New Roman" w:hAnsi="Times New Roman"/>
          <w:color w:val="000000"/>
          <w:sz w:val="24"/>
          <w:szCs w:val="24"/>
        </w:rPr>
        <w:t>31</w:t>
      </w:r>
    </w:p>
    <w:p>
      <w:pPr>
        <w:pStyle w:val="Index4"/>
        <w:tabs>
          <w:tab w:val="right" w:pos="8494" w:leader="dot"/>
        </w:tabs>
        <w:rPr>
          <w:rFonts w:cs="Times New Roman" w:ascii="Times New Roman" w:hAnsi="Times New Roman"/>
          <w:color w:val="000000"/>
          <w:sz w:val="24"/>
          <w:szCs w:val="24"/>
        </w:rPr>
      </w:pPr>
      <w:hyperlink w:anchor="_Toc480380996">
        <w:r>
          <w:rPr>
            <w:rStyle w:val="Enlacedelndice"/>
            <w:rFonts w:cs="Times New Roman" w:ascii="Times New Roman" w:hAnsi="Times New Roman"/>
            <w:color w:val="000000"/>
            <w:sz w:val="24"/>
            <w:szCs w:val="24"/>
          </w:rPr>
          <w:t>3.1.2.4. Principio de congruencia.</w:t>
          <w:tab/>
          <w:t>3</w:t>
        </w:r>
      </w:hyperlink>
      <w:r>
        <w:rPr>
          <w:rFonts w:cs="Times New Roman" w:ascii="Times New Roman" w:hAnsi="Times New Roman"/>
          <w:color w:val="000000"/>
          <w:sz w:val="24"/>
          <w:szCs w:val="24"/>
        </w:rPr>
        <w:t>7</w:t>
      </w:r>
    </w:p>
    <w:p>
      <w:pPr>
        <w:pStyle w:val="Index2"/>
        <w:rPr>
          <w:color w:val="000000"/>
        </w:rPr>
      </w:pPr>
      <w:hyperlink w:anchor="_Toc480380997">
        <w:r>
          <w:rPr>
            <w:rStyle w:val="Enlacedelndice"/>
            <w:rFonts w:cs="Times New Roman" w:ascii="Times New Roman" w:hAnsi="Times New Roman"/>
            <w:color w:val="000000"/>
            <w:sz w:val="24"/>
            <w:szCs w:val="24"/>
          </w:rPr>
          <w:t>3.2.</w:t>
        </w:r>
        <w:r>
          <w:rPr>
            <w:rStyle w:val="Enlacedelndice"/>
            <w:color w:val="000000"/>
          </w:rPr>
          <w:tab/>
        </w:r>
        <w:r>
          <w:rPr>
            <w:rStyle w:val="Enlacedelndice"/>
            <w:rFonts w:cs="Times New Roman" w:ascii="Times New Roman" w:hAnsi="Times New Roman"/>
            <w:color w:val="000000"/>
            <w:sz w:val="24"/>
            <w:szCs w:val="24"/>
          </w:rPr>
          <w:t>Legítima Defensa.</w:t>
        </w:r>
        <w:r>
          <w:rPr>
            <w:rStyle w:val="Enlacedelndice"/>
            <w:color w:val="000000"/>
          </w:rPr>
          <w:tab/>
          <w:t>3</w:t>
        </w:r>
      </w:hyperlink>
      <w:r>
        <w:rPr>
          <w:color w:val="000000"/>
        </w:rPr>
        <w:t>9</w:t>
      </w:r>
    </w:p>
    <w:p>
      <w:pPr>
        <w:pStyle w:val="Index3"/>
        <w:tabs>
          <w:tab w:val="left" w:pos="1320" w:leader="none"/>
          <w:tab w:val="right" w:pos="8494" w:leader="dot"/>
        </w:tabs>
        <w:rPr>
          <w:rFonts w:cs="Times New Roman" w:ascii="Times New Roman" w:hAnsi="Times New Roman"/>
          <w:color w:val="000000"/>
          <w:sz w:val="24"/>
          <w:szCs w:val="24"/>
        </w:rPr>
      </w:pPr>
      <w:hyperlink w:anchor="_Toc480380998">
        <w:r>
          <w:rPr>
            <w:rStyle w:val="Enlacedelndice"/>
            <w:rFonts w:cs="Times New Roman" w:ascii="Times New Roman" w:hAnsi="Times New Roman"/>
            <w:color w:val="000000"/>
            <w:sz w:val="24"/>
            <w:szCs w:val="24"/>
          </w:rPr>
          <w:t>3.2.1.</w:t>
          <w:tab/>
          <w:t>Concepto y naturaleza jurídica.</w:t>
          <w:tab/>
          <w:t>3</w:t>
        </w:r>
      </w:hyperlink>
      <w:r>
        <w:rPr>
          <w:rFonts w:cs="Times New Roman" w:ascii="Times New Roman" w:hAnsi="Times New Roman"/>
          <w:color w:val="000000"/>
          <w:sz w:val="24"/>
          <w:szCs w:val="24"/>
        </w:rPr>
        <w:t>9</w:t>
      </w:r>
    </w:p>
    <w:p>
      <w:pPr>
        <w:pStyle w:val="Index3"/>
        <w:tabs>
          <w:tab w:val="left" w:pos="1320" w:leader="none"/>
          <w:tab w:val="right" w:pos="8494" w:leader="dot"/>
        </w:tabs>
        <w:rPr>
          <w:rFonts w:cs="Times New Roman" w:ascii="Times New Roman" w:hAnsi="Times New Roman"/>
          <w:color w:val="000000"/>
          <w:sz w:val="24"/>
          <w:szCs w:val="24"/>
        </w:rPr>
      </w:pPr>
      <w:hyperlink w:anchor="_Toc480380999">
        <w:r>
          <w:rPr>
            <w:rStyle w:val="Enlacedelndice"/>
            <w:rFonts w:cs="Times New Roman" w:ascii="Times New Roman" w:hAnsi="Times New Roman"/>
            <w:color w:val="000000"/>
            <w:sz w:val="24"/>
            <w:szCs w:val="24"/>
          </w:rPr>
          <w:t>3.2.2.</w:t>
          <w:tab/>
          <w:t>Elementos de la legítima defensa.</w:t>
          <w:tab/>
        </w:r>
      </w:hyperlink>
      <w:r>
        <w:rPr>
          <w:rFonts w:cs="Times New Roman" w:ascii="Times New Roman" w:hAnsi="Times New Roman"/>
          <w:color w:val="000000"/>
          <w:sz w:val="24"/>
          <w:szCs w:val="24"/>
        </w:rPr>
        <w:t>42</w:t>
      </w:r>
    </w:p>
    <w:p>
      <w:pPr>
        <w:pStyle w:val="Index4"/>
        <w:tabs>
          <w:tab w:val="left" w:pos="1760" w:leader="none"/>
          <w:tab w:val="right" w:pos="8494" w:leader="dot"/>
        </w:tabs>
        <w:rPr>
          <w:rFonts w:cs="Times New Roman" w:ascii="Times New Roman" w:hAnsi="Times New Roman"/>
          <w:color w:val="000000"/>
          <w:sz w:val="24"/>
          <w:szCs w:val="24"/>
        </w:rPr>
      </w:pPr>
      <w:hyperlink w:anchor="_Toc480381000">
        <w:r>
          <w:rPr>
            <w:rStyle w:val="Enlacedelndice"/>
            <w:rFonts w:cs="Times New Roman" w:ascii="Times New Roman" w:hAnsi="Times New Roman"/>
            <w:color w:val="000000"/>
            <w:sz w:val="24"/>
            <w:szCs w:val="24"/>
          </w:rPr>
          <w:t>3.2.2.1.</w:t>
          <w:tab/>
          <w:t>Agresión ilegítima.</w:t>
          <w:tab/>
        </w:r>
      </w:hyperlink>
      <w:r>
        <w:rPr>
          <w:rFonts w:cs="Times New Roman" w:ascii="Times New Roman" w:hAnsi="Times New Roman"/>
          <w:color w:val="000000"/>
          <w:sz w:val="24"/>
          <w:szCs w:val="24"/>
        </w:rPr>
        <w:t>42</w:t>
      </w:r>
    </w:p>
    <w:p>
      <w:pPr>
        <w:pStyle w:val="Index4"/>
        <w:tabs>
          <w:tab w:val="left" w:pos="1760" w:leader="none"/>
          <w:tab w:val="right" w:pos="8494" w:leader="dot"/>
        </w:tabs>
        <w:rPr>
          <w:rFonts w:cs="Times New Roman" w:ascii="Times New Roman" w:hAnsi="Times New Roman"/>
          <w:color w:val="000000"/>
          <w:sz w:val="24"/>
          <w:szCs w:val="24"/>
        </w:rPr>
      </w:pPr>
      <w:hyperlink w:anchor="_Toc480381001">
        <w:r>
          <w:rPr>
            <w:rStyle w:val="Enlacedelndice"/>
            <w:rFonts w:cs="Times New Roman" w:ascii="Times New Roman" w:hAnsi="Times New Roman"/>
            <w:color w:val="000000"/>
            <w:sz w:val="24"/>
            <w:szCs w:val="24"/>
          </w:rPr>
          <w:t>3.2.2.2.</w:t>
          <w:tab/>
          <w:t>Necesidad de defensa.</w:t>
          <w:tab/>
        </w:r>
      </w:hyperlink>
      <w:r>
        <w:rPr>
          <w:rFonts w:cs="Times New Roman" w:ascii="Times New Roman" w:hAnsi="Times New Roman"/>
          <w:color w:val="000000"/>
          <w:sz w:val="24"/>
          <w:szCs w:val="24"/>
        </w:rPr>
        <w:t>44</w:t>
      </w:r>
    </w:p>
    <w:p>
      <w:pPr>
        <w:pStyle w:val="Index5"/>
        <w:tabs>
          <w:tab w:val="left" w:pos="1925" w:leader="none"/>
          <w:tab w:val="right" w:pos="8494" w:leader="dot"/>
        </w:tabs>
        <w:rPr>
          <w:rFonts w:cs="Times New Roman" w:ascii="Times New Roman" w:hAnsi="Times New Roman"/>
          <w:color w:val="000000"/>
          <w:sz w:val="24"/>
          <w:szCs w:val="24"/>
        </w:rPr>
      </w:pPr>
      <w:hyperlink w:anchor="_Toc480381002">
        <w:r>
          <w:rPr>
            <w:rStyle w:val="Enlacedelndice"/>
            <w:rFonts w:cs="Times New Roman" w:ascii="Times New Roman" w:hAnsi="Times New Roman"/>
            <w:color w:val="000000"/>
            <w:sz w:val="24"/>
            <w:szCs w:val="24"/>
          </w:rPr>
          <w:t>3.2.2.2.1.</w:t>
          <w:tab/>
          <w:t>Necesidad de una defensa frente a una agresión ilegítima.</w:t>
          <w:tab/>
        </w:r>
      </w:hyperlink>
      <w:r>
        <w:rPr>
          <w:rFonts w:cs="Times New Roman" w:ascii="Times New Roman" w:hAnsi="Times New Roman"/>
          <w:color w:val="000000"/>
          <w:sz w:val="24"/>
          <w:szCs w:val="24"/>
        </w:rPr>
        <w:t>45</w:t>
      </w:r>
    </w:p>
    <w:p>
      <w:pPr>
        <w:pStyle w:val="Index5"/>
        <w:tabs>
          <w:tab w:val="left" w:pos="1925" w:leader="none"/>
          <w:tab w:val="right" w:pos="8494" w:leader="dot"/>
        </w:tabs>
        <w:rPr>
          <w:rFonts w:cs="Times New Roman" w:ascii="Times New Roman" w:hAnsi="Times New Roman"/>
          <w:color w:val="000000"/>
          <w:sz w:val="24"/>
          <w:szCs w:val="24"/>
        </w:rPr>
      </w:pPr>
      <w:hyperlink w:anchor="_Toc480381003">
        <w:r>
          <w:rPr>
            <w:rStyle w:val="Enlacedelndice"/>
            <w:rFonts w:cs="Times New Roman" w:ascii="Times New Roman" w:hAnsi="Times New Roman"/>
            <w:color w:val="000000"/>
            <w:sz w:val="24"/>
            <w:szCs w:val="24"/>
          </w:rPr>
          <w:t>3.2.2.2.2.</w:t>
          <w:tab/>
          <w:t>Necesidad racional del medio empleado</w:t>
          <w:tab/>
        </w:r>
      </w:hyperlink>
      <w:r>
        <w:rPr>
          <w:rFonts w:cs="Times New Roman" w:ascii="Times New Roman" w:hAnsi="Times New Roman"/>
          <w:color w:val="000000"/>
          <w:sz w:val="24"/>
          <w:szCs w:val="24"/>
        </w:rPr>
        <w:t>45</w:t>
      </w:r>
    </w:p>
    <w:p>
      <w:pPr>
        <w:pStyle w:val="Index4"/>
        <w:tabs>
          <w:tab w:val="left" w:pos="1760" w:leader="none"/>
          <w:tab w:val="right" w:pos="8494" w:leader="dot"/>
        </w:tabs>
        <w:rPr>
          <w:rFonts w:cs="Times New Roman" w:ascii="Times New Roman" w:hAnsi="Times New Roman"/>
          <w:color w:val="000000"/>
          <w:sz w:val="24"/>
          <w:szCs w:val="24"/>
        </w:rPr>
      </w:pPr>
      <w:hyperlink w:anchor="_Toc480381004">
        <w:r>
          <w:rPr>
            <w:rStyle w:val="Enlacedelndice"/>
            <w:rFonts w:cs="Times New Roman" w:ascii="Times New Roman" w:hAnsi="Times New Roman"/>
            <w:color w:val="000000"/>
            <w:sz w:val="24"/>
            <w:szCs w:val="24"/>
          </w:rPr>
          <w:t>3.2.2.3.</w:t>
          <w:tab/>
          <w:t>Falta de provocación suficiente.</w:t>
          <w:tab/>
          <w:t>4</w:t>
        </w:r>
      </w:hyperlink>
      <w:r>
        <w:rPr>
          <w:rFonts w:cs="Times New Roman" w:ascii="Times New Roman" w:hAnsi="Times New Roman"/>
          <w:color w:val="000000"/>
          <w:sz w:val="24"/>
          <w:szCs w:val="24"/>
        </w:rPr>
        <w:t>6</w:t>
      </w:r>
    </w:p>
    <w:p>
      <w:pPr>
        <w:pStyle w:val="Index1"/>
        <w:tabs>
          <w:tab w:val="left" w:pos="440" w:leader="none"/>
          <w:tab w:val="right" w:pos="8494" w:leader="dot"/>
        </w:tabs>
        <w:rPr>
          <w:rFonts w:cs="Times New Roman" w:ascii="Times New Roman" w:hAnsi="Times New Roman"/>
          <w:color w:val="000000"/>
          <w:sz w:val="24"/>
          <w:szCs w:val="24"/>
        </w:rPr>
      </w:pPr>
      <w:hyperlink w:anchor="_Toc480381005">
        <w:r>
          <w:rPr>
            <w:rStyle w:val="Enlacedelndice"/>
            <w:rFonts w:cs="Times New Roman" w:ascii="Times New Roman" w:hAnsi="Times New Roman"/>
            <w:color w:val="000000"/>
            <w:sz w:val="24"/>
            <w:szCs w:val="24"/>
          </w:rPr>
          <w:t>4.</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Conclusiones finales.</w:t>
          <w:tab/>
          <w:t>4</w:t>
        </w:r>
      </w:hyperlink>
      <w:r>
        <w:rPr>
          <w:rFonts w:cs="Times New Roman" w:ascii="Times New Roman" w:hAnsi="Times New Roman"/>
          <w:color w:val="000000"/>
          <w:sz w:val="24"/>
          <w:szCs w:val="24"/>
        </w:rPr>
        <w:t>6</w:t>
      </w:r>
    </w:p>
    <w:p>
      <w:pPr>
        <w:pStyle w:val="Index1"/>
        <w:tabs>
          <w:tab w:val="left" w:pos="440" w:leader="none"/>
          <w:tab w:val="right" w:pos="8494" w:leader="dot"/>
        </w:tabs>
        <w:rPr>
          <w:rFonts w:cs="Times New Roman" w:ascii="Times New Roman" w:hAnsi="Times New Roman"/>
          <w:color w:val="000000"/>
          <w:sz w:val="24"/>
          <w:szCs w:val="24"/>
        </w:rPr>
      </w:pPr>
      <w:hyperlink w:anchor="_Toc480381006">
        <w:r>
          <w:rPr>
            <w:rStyle w:val="Enlacedelndice"/>
            <w:rFonts w:cs="Times New Roman" w:ascii="Times New Roman" w:hAnsi="Times New Roman"/>
            <w:color w:val="000000"/>
            <w:sz w:val="24"/>
            <w:szCs w:val="24"/>
          </w:rPr>
          <w:t>5.</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Jurisprudencia.</w:t>
          <w:tab/>
          <w:t>4</w:t>
        </w:r>
      </w:hyperlink>
      <w:r>
        <w:rPr>
          <w:rFonts w:cs="Times New Roman" w:ascii="Times New Roman" w:hAnsi="Times New Roman"/>
          <w:color w:val="000000"/>
          <w:sz w:val="24"/>
          <w:szCs w:val="24"/>
        </w:rPr>
        <w:t>9</w:t>
      </w:r>
    </w:p>
    <w:p>
      <w:pPr>
        <w:pStyle w:val="Index1"/>
        <w:tabs>
          <w:tab w:val="left" w:pos="440" w:leader="none"/>
          <w:tab w:val="right" w:pos="8494" w:leader="dot"/>
        </w:tabs>
        <w:rPr>
          <w:rFonts w:cs="Times New Roman" w:ascii="Times New Roman" w:hAnsi="Times New Roman"/>
          <w:color w:val="000000"/>
          <w:sz w:val="24"/>
          <w:szCs w:val="24"/>
        </w:rPr>
      </w:pPr>
      <w:hyperlink w:anchor="_Toc480381007">
        <w:r>
          <w:rPr>
            <w:rStyle w:val="Enlacedelndice"/>
            <w:rFonts w:cs="Times New Roman" w:ascii="Times New Roman" w:hAnsi="Times New Roman"/>
            <w:color w:val="000000"/>
            <w:sz w:val="24"/>
            <w:szCs w:val="24"/>
          </w:rPr>
          <w:t>6.</w:t>
        </w:r>
        <w:r>
          <w:rPr>
            <w:rStyle w:val="Enlacedelndice"/>
            <w:rFonts w:cs="Times New Roman" w:ascii="Times New Roman" w:hAnsi="Times New Roman"/>
            <w:color w:val="000000"/>
            <w:sz w:val="24"/>
            <w:szCs w:val="24"/>
            <w:lang w:eastAsia="es-ES"/>
          </w:rPr>
          <w:tab/>
        </w:r>
        <w:r>
          <w:rPr>
            <w:rStyle w:val="Enlacedelndice"/>
            <w:rFonts w:cs="Times New Roman" w:ascii="Times New Roman" w:hAnsi="Times New Roman"/>
            <w:color w:val="000000"/>
            <w:sz w:val="24"/>
            <w:szCs w:val="24"/>
          </w:rPr>
          <w:t>BIBLIOGRAFÍA</w:t>
          <w:tab/>
          <w:t>5</w:t>
        </w:r>
      </w:hyperlink>
      <w:bookmarkStart w:id="0" w:name="_GoBack"/>
      <w:bookmarkEnd w:id="0"/>
      <w:r>
        <w:rPr>
          <w:rFonts w:cs="Times New Roman" w:ascii="Times New Roman" w:hAnsi="Times New Roman"/>
          <w:color w:val="000000"/>
          <w:sz w:val="24"/>
          <w:szCs w:val="24"/>
        </w:rPr>
        <w:t>0</w:t>
      </w:r>
    </w:p>
    <w:p>
      <w:pPr>
        <w:pStyle w:val="Encabezado1"/>
        <w:rPr>
          <w:rFonts w:cs="Times New Roman" w:ascii="Times New Roman" w:hAnsi="Times New Roman"/>
          <w:b w:val="false"/>
          <w:color w:val="000000"/>
        </w:rPr>
      </w:pPr>
      <w:r>
        <w:rPr>
          <w:rFonts w:cs="Times New Roman" w:ascii="Times New Roman" w:hAnsi="Times New Roman"/>
          <w:b w:val="false"/>
          <w:color w:val="000000"/>
        </w:rPr>
      </w:r>
      <w:r>
        <w:fldChar w:fldCharType="end"/>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t>Resumen.</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utilización de las armas de fuego por los miembros de las Fuerzas y Cuerpos de Seguridad del Estado ha suscitado diferentes controversias, especialmente si con estas se causa la muerte o lesiones graves a personas. Parece por tanto necesario especificar en qué casos y bajo qué circunstancias dichos miembros pueden o deben hacer uso de su arma reglamentaria. A esto debemos exceptuar los casos de defensa propia o ajena, en los que legalmente no existe duda en cuanto a su uso.</w:t>
      </w:r>
    </w:p>
    <w:p>
      <w:pPr>
        <w:pStyle w:val="Normal"/>
        <w:spacing w:lineRule="auto" w:line="360"/>
        <w:jc w:val="both"/>
        <w:rPr>
          <w:rFonts w:cs="Times New Roman" w:ascii="Times New Roman" w:hAnsi="Times New Roman"/>
          <w:b/>
          <w:color w:val="000000"/>
          <w:sz w:val="28"/>
          <w:szCs w:val="28"/>
          <w:lang w:val="en-US"/>
        </w:rPr>
      </w:pPr>
      <w:r>
        <w:rPr>
          <w:rFonts w:cs="Times New Roman" w:ascii="Times New Roman" w:hAnsi="Times New Roman"/>
          <w:b/>
          <w:color w:val="000000"/>
          <w:sz w:val="28"/>
          <w:szCs w:val="28"/>
          <w:lang w:val="en-US"/>
        </w:rPr>
        <w:t>Abstract</w:t>
      </w:r>
    </w:p>
    <w:p>
      <w:pPr>
        <w:pStyle w:val="Normal"/>
        <w:spacing w:lineRule="auto" w:line="360"/>
        <w:jc w:val="both"/>
        <w:rPr>
          <w:rFonts w:cs="Times New Roman" w:ascii="Times New Roman" w:hAnsi="Times New Roman"/>
          <w:color w:val="000000"/>
          <w:sz w:val="24"/>
          <w:szCs w:val="24"/>
          <w:lang w:val="en-US"/>
        </w:rPr>
      </w:pPr>
      <w:bookmarkStart w:id="1" w:name="__DdeLink__3605_1697716247"/>
      <w:r>
        <w:rPr>
          <w:rFonts w:cs="Times New Roman" w:ascii="Times New Roman" w:hAnsi="Times New Roman"/>
          <w:color w:val="000000"/>
          <w:sz w:val="24"/>
          <w:szCs w:val="24"/>
          <w:lang w:val="en-US"/>
        </w:rPr>
        <w:t>The use of firearms by members of the State Security Forces has raised a number of controversies, specially if it causes death or serious injury to pe</w:t>
      </w:r>
      <w:r>
        <w:rPr>
          <w:rFonts w:cs="Times New Roman" w:ascii="Times New Roman" w:hAnsi="Times New Roman"/>
          <w:color w:val="000000"/>
          <w:sz w:val="24"/>
          <w:szCs w:val="24"/>
          <w:lang w:val="en-US"/>
        </w:rPr>
        <w:t>OPLE</w:t>
      </w:r>
      <w:r>
        <w:rPr>
          <w:rFonts w:cs="Times New Roman" w:ascii="Times New Roman" w:hAnsi="Times New Roman"/>
          <w:color w:val="000000"/>
          <w:sz w:val="24"/>
          <w:szCs w:val="24"/>
          <w:lang w:val="en-US"/>
        </w:rPr>
        <w:t>. It therefore seems necessary to specify in which cases and under what circu</w:t>
      </w:r>
      <w:r>
        <w:rPr>
          <w:rFonts w:cs="Times New Roman" w:ascii="Times New Roman" w:hAnsi="Times New Roman"/>
          <w:color w:val="000000"/>
          <w:sz w:val="24"/>
          <w:szCs w:val="24"/>
          <w:lang w:val="en-US"/>
        </w:rPr>
        <w:t>N</w:t>
      </w:r>
      <w:bookmarkEnd w:id="1"/>
      <w:r>
        <w:rPr>
          <w:rFonts w:cs="Times New Roman" w:ascii="Times New Roman" w:hAnsi="Times New Roman"/>
          <w:color w:val="000000"/>
          <w:sz w:val="24"/>
          <w:szCs w:val="24"/>
          <w:lang w:val="en-US"/>
        </w:rPr>
        <w:t>stances such members may or should use their statutory weapon. To this we must exclude the cases of self-defense or others, in which there is no doubt as to its use.</w:t>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t>Palabras clave.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Cumplimiento del deber, Cuerpos y Fuerzas de Seguridad del Estado, Derecho Penal, uso legítimo de las armas.</w:t>
      </w:r>
    </w:p>
    <w:p>
      <w:pPr>
        <w:pStyle w:val="Normal"/>
        <w:spacing w:lineRule="auto" w:line="360"/>
        <w:jc w:val="both"/>
        <w:rPr>
          <w:rFonts w:cs="Times New Roman" w:ascii="Times New Roman" w:hAnsi="Times New Roman"/>
          <w:b/>
          <w:bCs/>
          <w:sz w:val="28"/>
          <w:szCs w:val="28"/>
          <w:lang w:val="en-US"/>
        </w:rPr>
      </w:pPr>
      <w:r>
        <w:rPr>
          <w:rFonts w:cs="Times New Roman" w:ascii="Times New Roman" w:hAnsi="Times New Roman"/>
          <w:b/>
          <w:bCs/>
          <w:sz w:val="28"/>
          <w:szCs w:val="28"/>
          <w:lang w:val="en-US"/>
        </w:rPr>
        <w:t>Keywords.</w:t>
      </w:r>
    </w:p>
    <w:p>
      <w:pPr>
        <w:pStyle w:val="Normal"/>
        <w:spacing w:lineRule="auto" w:line="360"/>
        <w:jc w:val="both"/>
        <w:rPr>
          <w:rFonts w:cs="Times New Roman" w:ascii="Times New Roman" w:hAnsi="Times New Roman"/>
          <w:sz w:val="24"/>
          <w:szCs w:val="24"/>
          <w:lang w:val="en-US"/>
        </w:rPr>
      </w:pPr>
      <w:r>
        <w:rPr>
          <w:rFonts w:cs="Times New Roman" w:ascii="Times New Roman" w:hAnsi="Times New Roman"/>
          <w:sz w:val="24"/>
          <w:szCs w:val="24"/>
          <w:lang w:val="en-US"/>
        </w:rPr>
        <w:t>Fulfillment of duty, State Forces and Security Corps, Criminal Law, Legitimate use of firearms</w:t>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Normal"/>
        <w:spacing w:lineRule="auto" w:line="360"/>
        <w:jc w:val="both"/>
        <w:rPr>
          <w:rFonts w:cs="Times New Roman" w:ascii="Times New Roman" w:hAnsi="Times New Roman"/>
          <w:color w:val="000000"/>
          <w:sz w:val="24"/>
          <w:szCs w:val="24"/>
          <w:lang w:val="en-US"/>
        </w:rPr>
      </w:pPr>
      <w:r>
        <w:rPr>
          <w:rFonts w:cs="Times New Roman" w:ascii="Times New Roman" w:hAnsi="Times New Roman"/>
          <w:color w:val="000000"/>
          <w:sz w:val="24"/>
          <w:szCs w:val="24"/>
          <w:lang w:val="en-US"/>
        </w:rPr>
      </w:r>
    </w:p>
    <w:p>
      <w:pPr>
        <w:pStyle w:val="ListParagraph"/>
        <w:numPr>
          <w:ilvl w:val="0"/>
          <w:numId w:val="1"/>
        </w:numPr>
        <w:spacing w:lineRule="auto" w:line="360"/>
        <w:jc w:val="both"/>
        <w:outlineLvl w:val="0"/>
        <w:rPr>
          <w:rFonts w:cs="Times New Roman" w:ascii="Times New Roman" w:hAnsi="Times New Roman"/>
          <w:b/>
          <w:color w:val="000000"/>
          <w:sz w:val="28"/>
          <w:szCs w:val="28"/>
        </w:rPr>
      </w:pPr>
      <w:bookmarkStart w:id="2" w:name="_Toc480313135"/>
      <w:bookmarkStart w:id="3" w:name="_Toc480380981"/>
      <w:bookmarkEnd w:id="2"/>
      <w:bookmarkEnd w:id="3"/>
      <w:r>
        <w:rPr>
          <w:rFonts w:cs="Times New Roman" w:ascii="Times New Roman" w:hAnsi="Times New Roman"/>
          <w:b/>
          <w:color w:val="000000"/>
          <w:sz w:val="28"/>
          <w:szCs w:val="28"/>
        </w:rPr>
        <w:t>Introducción.</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sabe que la ausencia de paz es difícil e imposible. Para mantenerla es necesario que exista un régimen de libertades, de respeto a los derechos humanos y de justicia, ya que una paz impuesta, no es una paz real.</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 lo largo de la historia, la Humanidad se ha ido abriendo camino normalmente de forma violenta. En la antigüedad las armas eran muy limitadas. Hoy, esto ha cambiado, muchas de ellas pueden producir innumerables bajas y destrucciones de grandes proporciones. A raíz de la Segunda Guerra Mundial, el mayor conflicto bélico de nuestra historia, en la que se perdieron incontables vidas humanas, comenzó a plantearse la necesidad de solucionar futuros conflictos e intentar no volver a situaciones trágicas como la que se acababa de vivir.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paz precisa de ayuda para mantenerse. Entre las múltiples funciones del Estado, debemos destacar, por ser la que nos interesa en la realización del presente trabajo, el mantenimiento de la paz social, el orden público y la seguridad pública. Así la Ley Orgánica 2/1986 declara que la seguridad pública es competencia exclusiva del Estado. La Constitución de 1978, nuestra norma suprema establece:</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w:t>
      </w:r>
      <w:r>
        <w:rPr>
          <w:rFonts w:cs="Times New Roman" w:ascii="Times New Roman" w:hAnsi="Times New Roman"/>
          <w:i/>
          <w:color w:val="000000"/>
          <w:sz w:val="24"/>
          <w:szCs w:val="24"/>
        </w:rPr>
        <w:t>El Estado tiene competencia exclusiva sobre las siguientes materias: 29ª Seguridad pública, sin perjuicio de la posibilidad de creación de policías por las Comunidades Autónomas en la forma en que se establezca en los respectivos Estatutos  en el marco de lo que disponga una ley orgánica”</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2"/>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Respondiendo al mandato del artículo 104.2 de la Constitución Española </w:t>
      </w:r>
      <w:r>
        <w:rPr>
          <w:rFonts w:cs="Times New Roman" w:ascii="Times New Roman" w:hAnsi="Times New Roman"/>
          <w:i/>
          <w:color w:val="000000"/>
          <w:sz w:val="24"/>
          <w:szCs w:val="24"/>
        </w:rPr>
        <w:t>“una ley orgánica determinará las funciones, principios básicos de actuación y estatutos de las Fuerzas y Cuerpos de Seguridad.”</w:t>
      </w:r>
      <w:r>
        <w:rPr>
          <w:rFonts w:cs="Times New Roman" w:ascii="Times New Roman" w:hAnsi="Times New Roman"/>
          <w:color w:val="000000"/>
          <w:sz w:val="24"/>
          <w:szCs w:val="24"/>
        </w:rPr>
        <w:t xml:space="preserve"> Y pretendiendo ser omnicomprensiva con la problemática de las Fuerzas y Cuerpos de Seguridad del Estado, de las Comunidades Autónomas y de las corporaciones locales, la Ley Orgánica 2/1986 de 13 de Marzo, Ley de Fuerzas y Cuerpos de Seguridad del Estado, establece la posibilidad de creación de policías de las respectivas comunidades. </w:t>
      </w:r>
      <w:r>
        <w:rPr>
          <w:rStyle w:val="Ancladenotaalpie"/>
          <w:rFonts w:cs="Times New Roman" w:ascii="Times New Roman" w:hAnsi="Times New Roman"/>
          <w:color w:val="000000"/>
          <w:sz w:val="24"/>
          <w:szCs w:val="24"/>
        </w:rPr>
        <w:footnoteReference w:id="3"/>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Para poder realizar las funciones encomendadas las Fuerzas y Cuerpos de Seguridad del Estado necesitarán emplear en determinadas ocasiones la coacción o la violencia física. En su actuación es  probable que incurran en conductas penalmente relevantes como las previstas en los artículos 138</w:t>
      </w:r>
      <w:r>
        <w:rPr>
          <w:rStyle w:val="Ancladenotaalpie"/>
          <w:rFonts w:cs="Times New Roman" w:ascii="Times New Roman" w:hAnsi="Times New Roman"/>
          <w:color w:val="000000"/>
          <w:sz w:val="24"/>
          <w:szCs w:val="24"/>
        </w:rPr>
        <w:footnoteReference w:id="4"/>
      </w:r>
      <w:r>
        <w:rPr>
          <w:rFonts w:cs="Times New Roman" w:ascii="Times New Roman" w:hAnsi="Times New Roman"/>
          <w:color w:val="000000"/>
          <w:sz w:val="24"/>
          <w:szCs w:val="24"/>
        </w:rPr>
        <w:t xml:space="preserve"> y 142</w:t>
      </w:r>
      <w:r>
        <w:rPr>
          <w:rStyle w:val="Ancladenotaalpie"/>
          <w:rFonts w:cs="Times New Roman" w:ascii="Times New Roman" w:hAnsi="Times New Roman"/>
          <w:color w:val="000000"/>
          <w:sz w:val="24"/>
          <w:szCs w:val="24"/>
        </w:rPr>
        <w:footnoteReference w:id="5"/>
      </w:r>
      <w:r>
        <w:rPr>
          <w:rFonts w:cs="Times New Roman" w:ascii="Times New Roman" w:hAnsi="Times New Roman"/>
          <w:color w:val="000000"/>
          <w:sz w:val="24"/>
          <w:szCs w:val="24"/>
        </w:rPr>
        <w:t xml:space="preserve"> del Código Penal, detención ilegal del artículo 167 del Código Penal, lesiones del artículo 147 y siguientes del Código Penal, coacciones del artículo 172 Código Penal, daños del artículo 263 del Código Penal, entre otros.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peligrosidad aumenta cuando se utilizan armas de fuego, es por tanto necesario un control. El uso de las armas será la última solución y solo es situaciones graves, tal y como dice Bayón López: “</w:t>
      </w:r>
      <w:r>
        <w:rPr>
          <w:rFonts w:cs="Times New Roman" w:ascii="Times New Roman" w:hAnsi="Times New Roman"/>
          <w:i/>
          <w:color w:val="000000"/>
          <w:sz w:val="24"/>
          <w:szCs w:val="24"/>
        </w:rPr>
        <w:t>… el uso de las armas de fuego será siempre la última solución a utilizar y solamente para aquellos casos graves en que de no hacerlo se produciría una situación irreparable”</w:t>
      </w:r>
      <w:r>
        <w:rPr>
          <w:rFonts w:cs="Times New Roman" w:ascii="Times New Roman" w:hAnsi="Times New Roman"/>
          <w:color w:val="000000"/>
          <w:sz w:val="24"/>
          <w:szCs w:val="24"/>
        </w:rPr>
        <w:t>.</w:t>
      </w:r>
      <w:r>
        <w:rPr>
          <w:rStyle w:val="Ancladenotaalpie"/>
          <w:rFonts w:cs="Times New Roman" w:ascii="Times New Roman" w:hAnsi="Times New Roman"/>
          <w:color w:val="000000"/>
          <w:sz w:val="24"/>
          <w:szCs w:val="24"/>
        </w:rPr>
        <w:footnoteReference w:id="6"/>
      </w:r>
      <w:r>
        <w:rPr>
          <w:rFonts w:cs="Times New Roman" w:ascii="Times New Roman" w:hAnsi="Times New Roman"/>
          <w:color w:val="000000"/>
          <w:sz w:val="24"/>
          <w:szCs w:val="24"/>
        </w:rPr>
        <w:t xml:space="preserve"> Estas se emplearán, por tanto, cuando lo ampare la legislación nacional y sea estrictamente necesario para la aplicación de la ley y el mantenimiento del orden público, solo en la medida que lo requieran, los fines legítimos establecidos por ley y sujetándose a normas muy estrictas.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Así establece el Código de conducta para funcionarios encargados de hacer cumplir la ley:</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"Los funcionarios encargados de hacer cumplir la ley podrán usar la fuerza sólo cuando sea estrictamente necesario y en la medida que lo requiera el desempeño de sus tareas".</w:t>
      </w:r>
      <w:r>
        <w:rPr>
          <w:rStyle w:val="Ancladenotaalpie"/>
          <w:rFonts w:cs="Times New Roman" w:ascii="Times New Roman" w:hAnsi="Times New Roman"/>
          <w:i/>
          <w:color w:val="000000"/>
          <w:sz w:val="24"/>
          <w:szCs w:val="24"/>
        </w:rPr>
        <w:footnoteReference w:id="7"/>
      </w:r>
      <w:r>
        <w:rPr>
          <w:rFonts w:cs="Times New Roman" w:ascii="Times New Roman" w:hAnsi="Times New Roman"/>
          <w:i/>
          <w:color w:val="000000"/>
          <w:sz w:val="24"/>
          <w:szCs w:val="24"/>
        </w:rPr>
        <w:t xml:space="preserve">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Asimismo el artículo 22.1 del Real Decreto 1484/1987, 4 diciembre, Real Decreto sobre normas Generales Relativas a Escalas, Categorías, Personal Facultativo y Técnico, Uniformes, Distintivos y Armamento del Cuerpo establece:</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Los funcionarios del Cuerpo Nacional de Policía, en las situaciones de servicio activo y segunda actividad con destino, irán provistos obligatoriamente de alguna de las armas que se establezcan como reglamentarias, durante el tiempo que presten servicio, salvo que una causa justificada aconseje lo contrario</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8"/>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ListParagraph"/>
        <w:numPr>
          <w:ilvl w:val="0"/>
          <w:numId w:val="1"/>
        </w:numPr>
        <w:spacing w:lineRule="auto" w:line="360"/>
        <w:jc w:val="both"/>
        <w:outlineLvl w:val="0"/>
        <w:rPr>
          <w:rFonts w:cs="Times New Roman" w:ascii="Times New Roman" w:hAnsi="Times New Roman"/>
          <w:b/>
          <w:color w:val="000000"/>
          <w:sz w:val="28"/>
          <w:szCs w:val="28"/>
        </w:rPr>
      </w:pPr>
      <w:bookmarkStart w:id="4" w:name="_Toc480313136"/>
      <w:bookmarkStart w:id="5" w:name="_Toc480380982"/>
      <w:bookmarkEnd w:id="4"/>
      <w:bookmarkEnd w:id="5"/>
      <w:r>
        <w:rPr>
          <w:rFonts w:cs="Times New Roman" w:ascii="Times New Roman" w:hAnsi="Times New Roman"/>
          <w:b/>
          <w:color w:val="000000"/>
          <w:sz w:val="28"/>
          <w:szCs w:val="28"/>
        </w:rPr>
        <w:t>Normativa aplicable.</w:t>
      </w:r>
    </w:p>
    <w:p>
      <w:pPr>
        <w:pStyle w:val="Encabezado2"/>
        <w:rPr>
          <w:rFonts w:cs="Times New Roman" w:ascii="Times New Roman" w:hAnsi="Times New Roman"/>
          <w:b w:val="false"/>
          <w:color w:val="000000"/>
          <w:sz w:val="28"/>
          <w:szCs w:val="28"/>
        </w:rPr>
      </w:pPr>
      <w:bookmarkStart w:id="6" w:name="_Toc480313137"/>
      <w:bookmarkStart w:id="7" w:name="_Toc480380983"/>
      <w:r>
        <w:rPr>
          <w:rFonts w:cs="Times New Roman" w:ascii="Times New Roman" w:hAnsi="Times New Roman"/>
          <w:color w:val="000000"/>
          <w:sz w:val="28"/>
          <w:szCs w:val="28"/>
        </w:rPr>
        <w:t>2.1 Normativa internacional</w:t>
      </w:r>
      <w:bookmarkEnd w:id="6"/>
      <w:bookmarkEnd w:id="7"/>
      <w:r>
        <w:rPr>
          <w:rFonts w:cs="Times New Roman" w:ascii="Times New Roman" w:hAnsi="Times New Roman"/>
          <w:b w:val="false"/>
          <w:color w:val="000000"/>
          <w:sz w:val="28"/>
          <w:szCs w:val="28"/>
        </w:rPr>
        <w:t>.</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Ante la gran preocupación que provoca el uso de las armas por los agentes policiales, la comunidad internacional ha diseñado normas cuyo objetivo es establecer un control de su uso. El medio para terminar con un uso desmedido es la existencia de una normativa común a todos los países. El problema surge por la falta de carácter imperativo de dichas normas. Es necesario que cada país cuente con una normativa propia. A pesar del carácter no vinculante de dicha normativa, su importancia es decisiva ya que son utilizados como referentes para las normativas nacionales.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derecho internacional puede variar en los diferentes estados, ya que estos pueden invocar leyes nacionales o la constitución como motivo para no cumplir las obligaciones impuestas por dicho derecho. Hablamos, por tanto,  de derecho indicativo, instrumentos no vinculantes, establecidos mediante resoluciones de la Asamblea General de Naciones Unidas. Estos instrumentos pueden fortalecer el compromiso de los estados con los convenios internacionales o bien establecer los fundamentos jurídicos de tratados posteriores. Ejemplos de dichos instrumentos son el Código de Conducta de Naciones Unidas para funcionarios encargados de hacer cumplir la ley.</w:t>
      </w:r>
      <w:r>
        <w:rPr>
          <w:rStyle w:val="Ancladenotaalpie"/>
          <w:rFonts w:cs="Times New Roman" w:ascii="Times New Roman" w:hAnsi="Times New Roman"/>
          <w:color w:val="000000"/>
          <w:sz w:val="24"/>
          <w:szCs w:val="24"/>
        </w:rPr>
        <w:footnoteReference w:id="9"/>
      </w:r>
      <w:r>
        <w:rPr>
          <w:rFonts w:cs="Times New Roman" w:ascii="Times New Roman" w:hAnsi="Times New Roman"/>
          <w:color w:val="000000"/>
          <w:sz w:val="24"/>
          <w:szCs w:val="24"/>
        </w:rPr>
        <w:t xml:space="preserve">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órgano internacional de mayor relevancia, tanto jurídico como  político es la Organización de Naciones Unidas, conocida como la ONU. Dicha organización nace oficialmente el 24 de octubre de 1945, después de que la mayoría de los 51 estados signatarios del documento fundacional de la organización, la carta de la ONU, la ratificaran. Actualmente Naciones Unidas cuenta con 193 estados miembros, representados por la Asamblea General, el órgano deliberante.</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1941, durante la Segunda Guerra Mundial, Franklin Roosevelt, Winston Churchill y  Joseph Stalin presidentes de Estados Unidos, Gran Bretaña y la Unión Soviética, respectivamente  se reunieron con el fin de crear una organización capaz de mantener la paz mundial. Posteriormente se fueron adhiriendo otros países. En 1945, gracias a 51 países la ONU quedó establecida y se firmó la </w:t>
      </w:r>
      <w:r>
        <w:rPr>
          <w:rFonts w:cs="Times New Roman" w:ascii="Times New Roman" w:hAnsi="Times New Roman"/>
          <w:i/>
          <w:color w:val="000000"/>
          <w:sz w:val="24"/>
          <w:szCs w:val="24"/>
        </w:rPr>
        <w:t>“Carta de Naciones Unidas”.</w:t>
      </w:r>
      <w:r>
        <w:rPr>
          <w:rFonts w:cs="Times New Roman" w:ascii="Times New Roman" w:hAnsi="Times New Roman"/>
          <w:color w:val="000000"/>
          <w:sz w:val="24"/>
          <w:szCs w:val="24"/>
        </w:rPr>
        <w:t xml:space="preserve"> Su firma se llevó a cabo en San Francisco (EEUU). Naciones Unidas nacía con un propósito </w:t>
      </w:r>
      <w:r>
        <w:rPr>
          <w:rFonts w:cs="Times New Roman" w:ascii="Times New Roman" w:hAnsi="Times New Roman"/>
          <w:i/>
          <w:color w:val="000000"/>
          <w:sz w:val="24"/>
          <w:szCs w:val="24"/>
        </w:rPr>
        <w:t>“ser la casa de todos los ciudadanos del mundo”</w:t>
      </w:r>
      <w:r>
        <w:rPr>
          <w:rFonts w:cs="Times New Roman" w:ascii="Times New Roman" w:hAnsi="Times New Roman"/>
          <w:color w:val="000000"/>
          <w:sz w:val="24"/>
          <w:szCs w:val="24"/>
        </w:rPr>
        <w:t>. Su finalidad era servir de marco de referencia para evitar que se produjeran más guerras mundiales.</w:t>
      </w:r>
      <w:r>
        <w:rPr>
          <w:rStyle w:val="Ancladenotaalpie"/>
          <w:rFonts w:cs="Times New Roman" w:ascii="Times New Roman" w:hAnsi="Times New Roman"/>
          <w:color w:val="000000"/>
          <w:sz w:val="24"/>
          <w:szCs w:val="24"/>
        </w:rPr>
        <w:footnoteReference w:id="10"/>
      </w:r>
      <w:r>
        <w:rPr>
          <w:rFonts w:cs="Times New Roman" w:ascii="Times New Roman" w:hAnsi="Times New Roman"/>
          <w:color w:val="000000"/>
          <w:sz w:val="24"/>
          <w:szCs w:val="24"/>
        </w:rPr>
        <w:t xml:space="preserve"> Naciones Unidas en su código de Conducta para funcionarios encargados de hacer cumplir la ley establece las pautas para dirigir las actuaciones policiales de los agentes de la autoridad. Y decide transmitirlo a los gobiernos con la recomendación de que consideren favorablemente la posibilidad de utilizarlo en el marco de la legislación o la práctica nacional como conjunto de principios que han  de observar los funcionarios encargados de hacer cumplir la ley.</w:t>
      </w:r>
      <w:r>
        <w:rPr>
          <w:rStyle w:val="Ancladenotaalpie"/>
          <w:rFonts w:cs="Times New Roman" w:ascii="Times New Roman" w:hAnsi="Times New Roman"/>
          <w:color w:val="000000"/>
          <w:sz w:val="24"/>
          <w:szCs w:val="24"/>
        </w:rPr>
        <w:footnoteReference w:id="11"/>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esta disposición se especifica que los funcionarios encargados de hacer cumplir el orden harán uso de la fuerza en caso excepcional y siempre de manera razonada para la prevención de un delito. No podrá usarse la fuerza en la medida en la que exceda esos límites. El uso de las armas de fuego se considera una medida externa y deberá emplearse teniendo en cuenta el principio de proporcionalidad.</w:t>
      </w:r>
    </w:p>
    <w:p>
      <w:pPr>
        <w:pStyle w:val="Normal"/>
        <w:spacing w:lineRule="auto" w:line="360"/>
        <w:jc w:val="both"/>
        <w:rPr>
          <w:color w:val="000000"/>
        </w:rPr>
      </w:pPr>
      <w:r>
        <w:rPr>
          <w:rFonts w:cs="Times New Roman" w:ascii="Times New Roman" w:hAnsi="Times New Roman"/>
          <w:color w:val="000000"/>
          <w:sz w:val="24"/>
          <w:szCs w:val="24"/>
        </w:rPr>
        <w:t>La ONU para fortalecer la cooperación internacional contra la expansión de la delincuencia ha llevado a cabo la realización de diferentes congresos. Estos han repercutido en las políticas de justicia penal en todo el mundo. Así en el  8º Congreso de las Naciones Unidas sobre la Prevención del Delito y el Tratamiento del Delincuente realizado en La Habana, Cuba, desde el 27 de agosto hasta el 7 de septiembre de 1990, se trataron diversas materias referidas al uso de las armas. En dicho congreso se marcaron las directrices y principios para la regulación de las actuaciones policiales. Se dio un paso más con respecto a la Resolución 34/169, en la que únicamente se habían establecido pautas.</w:t>
      </w:r>
      <w:r>
        <w:rPr>
          <w:color w:val="000000"/>
        </w:rPr>
        <w:t xml:space="preserve"> </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w:t>
      </w:r>
      <w:r>
        <w:rPr>
          <w:rFonts w:cs="Times New Roman" w:ascii="Times New Roman" w:hAnsi="Times New Roman"/>
          <w:i/>
          <w:color w:val="000000"/>
          <w:sz w:val="24"/>
          <w:szCs w:val="24"/>
        </w:rPr>
        <w:t>El uso de armas de fuego se considera una medida extrema. Deberá hacerse todo lo posible por excluir el uso de armas de fuego, especialmente contra niños. En general, no deberán emplearse armas de fuego excepto cuando un presunto delincuente ofrezca resistencia armada o ponga en peligro, de algún otro modo, la vida de otras personas y no pueda reducirse o detenerse al presunto delincuente aplicando medidas menos extremas. En todo caso en que se dispare un arma de fuego, deberá informarse inmediatamente a las autoridades competentes”.</w:t>
      </w:r>
      <w:r>
        <w:rPr>
          <w:rStyle w:val="Ancladenotaalpie"/>
          <w:rFonts w:cs="Times New Roman" w:ascii="Times New Roman" w:hAnsi="Times New Roman"/>
          <w:i/>
          <w:color w:val="000000"/>
          <w:sz w:val="24"/>
          <w:szCs w:val="24"/>
        </w:rPr>
        <w:footnoteReference w:id="12"/>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Dicha resolución en su artículo 3 párrafo c limita el uso de las armas por los agentes de la autoridad, hace referencia a que dicho uso se rige por su carácter de exclusividad, estas solo deberían emplearse en los supuestos en los que un presunto delincuente ofrezca resistencia armada o que suponga un peligro la vida de personas y siempre que este no pueda ser reducido por otros medios más adecuados. Solo en estos casos podrán utilizarse las armas. Vemos en la resolución que la actuación policial está sometida al principio de proporcionalidad, al establecer “ … </w:t>
      </w:r>
      <w:r>
        <w:rPr>
          <w:rFonts w:cs="Times New Roman" w:ascii="Times New Roman" w:hAnsi="Times New Roman"/>
          <w:i/>
          <w:color w:val="000000"/>
          <w:sz w:val="24"/>
          <w:szCs w:val="24"/>
        </w:rPr>
        <w:t>no deberán emplearse armas de fuego excepto cuando un presunto delincuente ofrezca resistencia armada o ponga en peligro (…) la vida de otras persona …”.</w:t>
      </w:r>
      <w:r>
        <w:rPr>
          <w:rFonts w:cs="Times New Roman" w:ascii="Times New Roman" w:hAnsi="Times New Roman"/>
          <w:color w:val="000000"/>
          <w:sz w:val="24"/>
          <w:szCs w:val="24"/>
        </w:rPr>
        <w:t xml:space="preserve"> El carácter de exclusividad se observa al señalar “ … </w:t>
      </w:r>
      <w:r>
        <w:rPr>
          <w:rFonts w:cs="Times New Roman" w:ascii="Times New Roman" w:hAnsi="Times New Roman"/>
          <w:i/>
          <w:color w:val="000000"/>
          <w:sz w:val="24"/>
          <w:szCs w:val="24"/>
        </w:rPr>
        <w:t>deberá hacerse todo lo posible para excluir esta medida (…) no deberán emplearse armas de fuego excepto cuando (…) no puedan reducirse al presunto delincuente aplicando otras medidas menos extremas”.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Disposición 1 del Congreso de la Habana dispone: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 xml:space="preserve">Los gobiernos y los organismos encargados de hacer cumplir la ley establecerán una serie de métodos lo más amplia posible y dotarán a los funcionarios correspondientes de distintos tipos de armas y municiones de modo que puedan hacer un uso diferenciado de la fuerza y de las armas de fuego. Entre estas armas deberían figurar armas incapacitantes no letales para emplearlas cuando fuera apropiado, con miras a restringir cada vez más el empleo de medios que puedan ocasionar lesiones o muertes. Con el mismo objetivo, también debería permitirse que los funcionarios encargados de hacer cumplir la ley cuenten con equipo autoprotector, por ejemplo, escudos, cascos, chalecos a prueba de balas y medios de transporte a prueba de balas a fin de disminuir la necesidad de armas de cualquier tipo.”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su disposición 4 dice: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Los funcionarios encargados de hacer cumplir la ley, en el desempeño de sus funciones, utilizarán en la medida de lo posible medios no violentos antes de recurrir al empleo de la fuerza y de las armas de fuego. Podrán utilizar la fuerza y armas de fuego solamente cuando otros medios resulten ineficaces o no garanticen de ninguna manera el logro del resultado previsto”.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Para un buen desarrollo de las actividades, en ocasiones es necesaria la utilización de las armas para proteger bienes mayores. Así, Naciones Unidas establece una numeración en los casos en los que el empleo de las armas es inevitable, manteniendo como principios que deben regir la actividad policial el de excepcionalidad y proporcionalidad.</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i/>
          <w:color w:val="000000"/>
          <w:sz w:val="24"/>
          <w:szCs w:val="24"/>
        </w:rPr>
        <w:t xml:space="preserve"> “</w:t>
      </w:r>
      <w:r>
        <w:rPr>
          <w:rFonts w:cs="Times New Roman" w:ascii="Times New Roman" w:hAnsi="Times New Roman"/>
          <w:i/>
          <w:color w:val="000000"/>
          <w:sz w:val="24"/>
          <w:szCs w:val="24"/>
        </w:rPr>
        <w:t>Cuando el empleo de las armas de fuego sea inevitable, los funcionarios encargados de hacer cumplir la ley: a) Ejercerán moderación y actuarán en proporción a la gravedad del delito y al objetivo legítimo que se persiga; b) Reducirán al mínimo los daños y lesiones y respetarán y protegerán la vida humana; c) Procederán de modo que se presten lo antes posible asistencia y servicios médicos a las personas heridas afectadas; procuraran notificar lo sucedido, a la menor brevedad posible a los parientes o amigos íntimos de las personas heridas o afectadas</w:t>
      </w:r>
      <w:r>
        <w:rPr>
          <w:rFonts w:cs="Times New Roman" w:ascii="Times New Roman" w:hAnsi="Times New Roman"/>
          <w:color w:val="000000"/>
          <w:sz w:val="24"/>
          <w:szCs w:val="24"/>
        </w:rPr>
        <w:t>”</w:t>
      </w:r>
      <w:r>
        <w:rPr>
          <w:rStyle w:val="Ancladenotaalpie"/>
          <w:rFonts w:cs="Times New Roman" w:ascii="Times New Roman" w:hAnsi="Times New Roman"/>
          <w:color w:val="000000"/>
          <w:sz w:val="24"/>
          <w:szCs w:val="24"/>
        </w:rPr>
        <w:footnoteReference w:id="13"/>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1"/>
          <w:numId w:val="1"/>
        </w:numPr>
        <w:spacing w:lineRule="auto" w:line="360"/>
        <w:jc w:val="both"/>
        <w:outlineLvl w:val="1"/>
        <w:rPr>
          <w:rFonts w:cs="Times New Roman" w:ascii="Times New Roman" w:hAnsi="Times New Roman"/>
          <w:b/>
          <w:color w:val="000000"/>
          <w:sz w:val="28"/>
          <w:szCs w:val="28"/>
        </w:rPr>
      </w:pPr>
      <w:bookmarkStart w:id="8" w:name="_Toc480313138"/>
      <w:bookmarkStart w:id="9" w:name="_Toc480380984"/>
      <w:bookmarkEnd w:id="8"/>
      <w:bookmarkEnd w:id="9"/>
      <w:r>
        <w:rPr>
          <w:rFonts w:cs="Times New Roman" w:ascii="Times New Roman" w:hAnsi="Times New Roman"/>
          <w:b/>
          <w:color w:val="000000"/>
          <w:sz w:val="28"/>
          <w:szCs w:val="28"/>
        </w:rPr>
        <w:t>Normativa europea.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Los reglamentos, y las decisiones emanadas por la Unión Europea, adquieren automáticamente carácter vinculante, a partir de su entrada en vigor en toda la Unión Europea. Las directivas deben incorporarse, por los estados miembros a sus legislaciones nacionales.</w:t>
      </w:r>
    </w:p>
    <w:p>
      <w:pPr>
        <w:pStyle w:val="Normal"/>
        <w:spacing w:lineRule="auto" w:line="360"/>
        <w:jc w:val="both"/>
        <w:rPr>
          <w:rFonts w:cs="Times New Roman" w:ascii="Times New Roman" w:hAnsi="Times New Roman"/>
          <w:color w:val="000000"/>
          <w:sz w:val="24"/>
          <w:szCs w:val="24"/>
          <w:shd w:fill="FFFFFF" w:val="clear"/>
        </w:rPr>
      </w:pPr>
      <w:r>
        <w:rPr>
          <w:rFonts w:cs="Times New Roman" w:ascii="Times New Roman" w:hAnsi="Times New Roman"/>
          <w:color w:val="000000"/>
          <w:sz w:val="24"/>
          <w:szCs w:val="24"/>
        </w:rPr>
        <w:t xml:space="preserve">Según la STC 232/2015 de 5 de noviembre, el derecho de la Unión Europea constituye un verdadero ordenamiento jurídico, entendiéndolo como algo más que un acuerdo generador de obligaciones recíprocas entre los Estados miembros, desde el momento en que estos reconocen que este derecho puede ser alegado por sus naciones ante los órganos jurisdiccionales internos. Por tanto </w:t>
      </w:r>
      <w:r>
        <w:rPr>
          <w:rFonts w:cs="Times New Roman" w:ascii="Times New Roman" w:hAnsi="Times New Roman"/>
          <w:color w:val="000000"/>
          <w:sz w:val="24"/>
          <w:szCs w:val="24"/>
          <w:shd w:fill="FFFFFF" w:val="clear"/>
        </w:rPr>
        <w:t>el derecho de la Unión Europea despliega plenitud de efectos en todos los Estados miembros desde la fecha de su vigencia, creando derechos y obligaciones para todos aquellos que puedan verse afectados por su ámbito de aplicación.</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Sin embargo, en el caso que nos atañe, la Unión Europea no ha desarrollado normativa en cuanto al uso de las armas por parte de las fuerzas y Cuerpos de Seguridad del Estado. Esto no quiere decir que deje de lado los derechos de los ciudadanos, muy al contrario, tanto en la Unión Europea como el Consejo de Europa consideran una prioridad la defensa de los Derechos Humanos. Así las constituciones de los estados miembros de la Unión Europea garantizan los Derechos Fundamentales a escala nacional y la Carta de los Derechos Fundamentales, adoptada en 2000 y vinculante para los países de la Unión Europea desde 2009 a escala de la Unión Europea. Así vemos como la Carta de los Derechos Fundamentales en su artículo 51 apartado 1 establece:</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Las disposiciones de la presente Carta están dirigidas a las instituciones y órganos de la Unión, respetando el principio de subsidiariedad, así como a los Estados miembros únicamente cuando apliquen el Derecho de la Unión. Por consiguiente, éstos respetarán los derechos, observarán los principios y promoverán su aplicación, con arreglo a sus respectivas competencias”.</w:t>
      </w:r>
      <w:r>
        <w:rPr>
          <w:rStyle w:val="Ancladenotaalpie"/>
          <w:rFonts w:cs="Times New Roman" w:ascii="Times New Roman" w:hAnsi="Times New Roman"/>
          <w:i/>
          <w:color w:val="000000"/>
          <w:sz w:val="24"/>
          <w:szCs w:val="24"/>
        </w:rPr>
        <w:footnoteReference w:id="14"/>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r>
    </w:p>
    <w:p>
      <w:pPr>
        <w:pStyle w:val="Encabezado2"/>
        <w:numPr>
          <w:ilvl w:val="1"/>
          <w:numId w:val="1"/>
        </w:numPr>
        <w:rPr>
          <w:rFonts w:cs="Times New Roman" w:ascii="Times New Roman" w:hAnsi="Times New Roman"/>
          <w:color w:val="000000"/>
          <w:sz w:val="28"/>
          <w:szCs w:val="28"/>
        </w:rPr>
      </w:pPr>
      <w:bookmarkStart w:id="10" w:name="_Toc480313139"/>
      <w:bookmarkStart w:id="11" w:name="_Toc480380985"/>
      <w:bookmarkEnd w:id="10"/>
      <w:bookmarkEnd w:id="11"/>
      <w:r>
        <w:rPr>
          <w:rFonts w:cs="Times New Roman" w:ascii="Times New Roman" w:hAnsi="Times New Roman"/>
          <w:color w:val="000000"/>
          <w:sz w:val="28"/>
          <w:szCs w:val="28"/>
        </w:rPr>
        <w:t>Normativa nacional.</w:t>
      </w:r>
    </w:p>
    <w:p>
      <w:pPr>
        <w:pStyle w:val="ListParagraph"/>
        <w:ind w:left="1004" w:right="0" w:hanging="0"/>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debe comenzar diciendo que en España no existe una normativa concreta que establezca los criterios y principios a seguir en cuanto al uso de la fuerza por parte  de las Fuerzas y Cuerpos de Seguridad del Estado.</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Para analizar la situación legislativa de nuestro país, en materia de armas y su uso por parte de dichos miembros, es inevitable comenzar por la Constitución. En su artículo 148.1.22 establece como competencia de las comunidades autónomas: </w:t>
      </w:r>
      <w:r>
        <w:rPr>
          <w:rFonts w:cs="Times New Roman" w:ascii="Times New Roman" w:hAnsi="Times New Roman"/>
          <w:i/>
          <w:color w:val="000000"/>
          <w:sz w:val="24"/>
          <w:szCs w:val="24"/>
        </w:rPr>
        <w:t>“La coordinación y demás facultades en relación con las policías locales en los términos que establezca una ley orgánica” asignándole el artículo 149.1.29 la competencia del Estado en lo que es la “seguridad privada”.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Ley Orgánica 2/1986 de 13 de marzo establece en su artículo 2 que son Fuerzas y Cuerpos de Seguridad del Estado: las Fuerzas y Cuerpos de Seguridad del Estado dependientes del gobierno de la nación, Cuerpo Nacional de Policía y Guardia Civil, cuerpos de la policía dependientes de las comunidades autónomas y cuerpos de policía dependientes de las corporaciones.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El Real Decreto 137/1993, de 29 de enero por el que se aprueba el reglamento de armas en su Exposición de Motivos, se recoge que dicha norma: </w:t>
      </w:r>
      <w:r>
        <w:rPr>
          <w:rFonts w:cs="Times New Roman" w:ascii="Times New Roman" w:hAnsi="Times New Roman"/>
          <w:i/>
          <w:color w:val="000000"/>
          <w:sz w:val="24"/>
          <w:szCs w:val="24"/>
        </w:rPr>
        <w:t>“Pretende regular las armas de propiedad privada que puedan poseer y utilizar los particulares y los miembros de las Fuerzas y Cuerpos de Seguridad, y los servicios de seguridad privada”.</w:t>
      </w:r>
      <w:r>
        <w:rPr>
          <w:rFonts w:cs="Times New Roman" w:ascii="Times New Roman" w:hAnsi="Times New Roman"/>
          <w:color w:val="000000"/>
          <w:sz w:val="24"/>
          <w:szCs w:val="24"/>
        </w:rPr>
        <w:t xml:space="preserve"> En dicha exposición no encontramos referencia a las armas de dotación reglamentaria que utilicen las fuerzas y cuerpos de seguridad.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Instrucción de 14 de abril de 1983 de la Dirección de la Seguridad del Estado, sobre la utilización de armas de fuego por miembros de los Cuerpos y Fuerzas de Seguridad del Estado especifica las controversias que se suscitan en cuanto a la utilización de las armas de fuego y presenta como antecedentes normativos los principios básicos de actuación de los Miembros de los Cuerpos y Fuerzas de Seguridad del Estado aprobados por Acuerdo del Consejo de Ministros de 4 de septiembre de 1981 y publicados por Orden del Ministerio del Interior el 30 de septiembre del mismo año y las instrucciones dictadas por el Director de Seguridad del Estado sobre controles policiales en carreteras y vías urbanas.</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Es necesario por tanto establecer los casos y bajo qué circunstancias los miembros de las Fuerzas y Cuerpos de Seguridad del Estado pueden  y deben hacer uso de su arma reglamentaria. Se deben conseguir garantías suficientes para dichos miembros. La declaración sobre la Policía del Consejo Europeo, aprobada por su Asamblea Parlamentaria de 8 de mayo de 1979 en su apartado a, número 13 establecía: </w:t>
      </w:r>
      <w:r>
        <w:rPr>
          <w:rFonts w:cs="Times New Roman" w:ascii="Times New Roman" w:hAnsi="Times New Roman"/>
          <w:i/>
          <w:color w:val="000000"/>
          <w:sz w:val="24"/>
          <w:szCs w:val="24"/>
        </w:rPr>
        <w:t>“Es necesario dar a los funcionarios de policía instrucciones claras y precisas sobre la forma y las circunstancias en las que deben hacer uso de sus armas”.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Así establece:</w:t>
      </w:r>
    </w:p>
    <w:p>
      <w:pPr>
        <w:pStyle w:val="Normal"/>
        <w:spacing w:lineRule="auto" w:line="360"/>
        <w:jc w:val="both"/>
        <w:rPr>
          <w:rStyle w:val="Ancladenotaalpie"/>
          <w:color w:val="000000"/>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Los miembros de los Cuerpos y Fuerzas de Seguridad del Estado pueden utilizar sus armas de fuego ante una agresión ilegítima que se lleve a cabo contra el Agente de la Autoridad o terceras personas, siempre que concurran las siguientes circunstancias: 1.1. Que la agresión sea de tal intensidad y violencia que ponga en peligro la vida o integridad corporal de la persona o personas atacadas; 1.2. Que el Agente de la Autoridad considere necesario el uso de arma de fuego para impedir o repeler la agresión, en cuanto racionalmente no puedan ser utilizados otros medios, es decir, debe haber la debida adecuación y proporcionalidad entre el medio empleado por el agresor y el utilizado por la  defensa”.</w:t>
      </w:r>
      <w:r>
        <w:rPr>
          <w:color w:val="000000"/>
        </w:rPr>
        <w:t xml:space="preserve"> </w:t>
      </w:r>
      <w:r>
        <w:rPr>
          <w:rStyle w:val="Ancladenotaalpie"/>
          <w:color w:val="000000"/>
        </w:rPr>
        <w:footnoteReference w:id="15"/>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hará una distinción sobre qué tipos de armas pueden utilizar de forma reglamentaria los agentes. La LOFCS define los diferentes cuerpos policiales de nuestro estado, Comunidades Autónomas y locales, que integran las Fuerzas y Cuerpos de Seguridad. Lo hace con la expresión “instituto armado” y específica que estos portaran arma reglamentaria para el cumplimiento de sus funciones.</w:t>
      </w:r>
      <w:r>
        <w:rPr>
          <w:rStyle w:val="Ancladenotaalpie"/>
          <w:rFonts w:cs="Times New Roman" w:ascii="Times New Roman" w:hAnsi="Times New Roman"/>
          <w:color w:val="000000"/>
          <w:sz w:val="24"/>
          <w:szCs w:val="24"/>
        </w:rPr>
        <w:footnoteReference w:id="16"/>
      </w:r>
      <w:r>
        <w:rPr>
          <w:rFonts w:cs="Times New Roman" w:ascii="Times New Roman" w:hAnsi="Times New Roman"/>
          <w:color w:val="000000"/>
          <w:sz w:val="24"/>
          <w:szCs w:val="24"/>
        </w:rPr>
        <w:t>. La ley orgánica de las Fuerzas y Cuerpos de Seguridad del Estado, al establecer las competencias ministeriales sobre la guardia Civil, en su artículo 14.2 dice que “</w:t>
      </w:r>
      <w:r>
        <w:rPr>
          <w:rFonts w:cs="Times New Roman" w:ascii="Times New Roman" w:hAnsi="Times New Roman"/>
          <w:i/>
          <w:color w:val="000000"/>
          <w:sz w:val="24"/>
          <w:szCs w:val="24"/>
        </w:rPr>
        <w:t xml:space="preserve">Conjuntamente, los Ministros de Defensa e Interior dispondrán todo lo referente a la selección, formación, perfeccionamiento, armamento y despliegue territorial”, </w:t>
      </w:r>
      <w:r>
        <w:rPr>
          <w:rFonts w:cs="Times New Roman" w:ascii="Times New Roman" w:hAnsi="Times New Roman"/>
          <w:color w:val="000000"/>
          <w:sz w:val="24"/>
          <w:szCs w:val="24"/>
        </w:rPr>
        <w:t>será el ministro del interior el que tenga dichas competencias en el caso del Cuerpo Nacional de Policía, tal y como establece el artículo 9 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Real Decreto 137/1993, de 29 de enero, por el que se aprueba el Reglamento de armas, establece en su artículo 1.4 que “</w:t>
      </w:r>
      <w:r>
        <w:rPr>
          <w:rFonts w:cs="Times New Roman" w:ascii="Times New Roman" w:hAnsi="Times New Roman"/>
          <w:i/>
          <w:color w:val="000000"/>
          <w:sz w:val="24"/>
          <w:szCs w:val="24"/>
        </w:rPr>
        <w:t xml:space="preserve">quedan excluidos del ámbito de aplicación de este Reglamento y se regirán por la normativa especial, dictada al efecto, la adquisición, tenencia y uso de armas por las Fuerzas Armadas, las Fuerzas y Cuerpos de Seguridad y el Centro Nacional de Inteligencia. Para el desarrollo de sus funciones también quedan excluidos los establecimientos e instalaciones de dichas Fuerzas y Cuerpos y del Centro Nacional de Inteligencia”. </w:t>
      </w:r>
      <w:r>
        <w:rPr>
          <w:rFonts w:cs="Times New Roman" w:ascii="Times New Roman" w:hAnsi="Times New Roman"/>
          <w:color w:val="000000"/>
          <w:sz w:val="24"/>
          <w:szCs w:val="24"/>
        </w:rPr>
        <w:t>Tras la lectura de este artículo queda patente que el Reglamento solo será aplicado si los componentes de las Fuerzas y Cuerpos de Seguridad adquieren el arma como particulares.</w:t>
      </w:r>
    </w:p>
    <w:p>
      <w:pPr>
        <w:pStyle w:val="Normal"/>
        <w:spacing w:lineRule="auto" w:line="360"/>
        <w:jc w:val="both"/>
        <w:rPr>
          <w:color w:val="000000"/>
        </w:rPr>
      </w:pPr>
      <w:r>
        <w:rPr>
          <w:rFonts w:cs="Times New Roman" w:ascii="Times New Roman" w:hAnsi="Times New Roman"/>
          <w:color w:val="000000"/>
          <w:sz w:val="24"/>
          <w:szCs w:val="24"/>
        </w:rPr>
        <w:t>Se puede concluir que únicamente estarán habilitados para utilizar legalmente armas los agentes policiales, y entre estas se encuentran las armas de fuego.</w:t>
      </w:r>
      <w:r>
        <w:rPr>
          <w:color w:val="000000"/>
        </w:rPr>
        <w:t xml:space="preserve"> El Reglamento de Armas no contiene una definición de “arma”. Se deberá acudir a la definición otorgada por el diccionario, como “</w:t>
      </w:r>
      <w:r>
        <w:rPr>
          <w:i/>
          <w:color w:val="000000"/>
        </w:rPr>
        <w:t>instrumento, medio o máquina destinados a atacar o a defenderse</w:t>
      </w:r>
      <w:r>
        <w:rPr>
          <w:color w:val="000000"/>
        </w:rPr>
        <w:t>”</w:t>
      </w:r>
      <w:r>
        <w:rPr>
          <w:rStyle w:val="Ancladenotaalpie"/>
          <w:color w:val="000000"/>
        </w:rPr>
        <w:footnoteReference w:id="17"/>
      </w:r>
      <w:r>
        <w:rPr>
          <w:color w:val="000000"/>
        </w:rPr>
        <w:t>.El artículo 5.2d de la LOFCS exige los requisitos en el uso del arma, pero sin referirse a que se trate de arma de fuego. Por tanto serán aplicables a todo tipo de armas siempre que sean de dotación reglamentaria. La normativa reglamentaria establecida por los Gobiernos central o autonómico, se encargarán de asignar las armas de dotación oficial de las Fuerzas y Cuerpos de Seguridad.</w:t>
      </w:r>
    </w:p>
    <w:p>
      <w:pPr>
        <w:pStyle w:val="Normal"/>
        <w:spacing w:lineRule="auto" w:line="360"/>
        <w:jc w:val="both"/>
        <w:rPr>
          <w:color w:val="000000"/>
        </w:rPr>
      </w:pPr>
      <w:r>
        <w:rPr>
          <w:color w:val="000000"/>
        </w:rPr>
        <w:t>Tras lo expuesto anteriormente queda claro que la dotación oficial de las armas a los diferentes cuerpos policiales constituye “númerus clausus”. Y que la LOFCS diferencia entre el uso de armas y el uso de cualquier otro tipo de fuerza.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3"/>
        <w:rPr>
          <w:rFonts w:cs="Times New Roman" w:ascii="Times New Roman" w:hAnsi="Times New Roman"/>
          <w:b w:val="false"/>
          <w:color w:val="000000"/>
          <w:sz w:val="28"/>
          <w:szCs w:val="28"/>
        </w:rPr>
      </w:pPr>
      <w:bookmarkStart w:id="12" w:name="_Toc480313140"/>
      <w:bookmarkStart w:id="13" w:name="_Toc480380986"/>
      <w:r>
        <w:rPr>
          <w:rFonts w:cs="Times New Roman" w:ascii="Times New Roman" w:hAnsi="Times New Roman"/>
          <w:color w:val="000000"/>
          <w:sz w:val="24"/>
          <w:szCs w:val="24"/>
        </w:rPr>
        <w:t xml:space="preserve">2.3.1 </w:t>
      </w:r>
      <w:r>
        <w:rPr>
          <w:rFonts w:cs="Times New Roman" w:ascii="Times New Roman" w:hAnsi="Times New Roman"/>
          <w:color w:val="000000"/>
          <w:sz w:val="28"/>
          <w:szCs w:val="28"/>
        </w:rPr>
        <w:t>Comparación del Ordenamiento jurídico español con otros ordenamientos</w:t>
      </w:r>
      <w:bookmarkEnd w:id="12"/>
      <w:bookmarkEnd w:id="13"/>
      <w:r>
        <w:rPr>
          <w:rFonts w:cs="Times New Roman" w:ascii="Times New Roman" w:hAnsi="Times New Roman"/>
          <w:b w:val="false"/>
          <w:color w:val="000000"/>
          <w:sz w:val="28"/>
          <w:szCs w:val="28"/>
        </w:rPr>
        <w:t>.</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este epígrafe se hará mención a otros ordenamientos jurídicos, en concreto se han elegido el ordenamiento jurídico francés y el italiano, por su cercanía con España, centrándonos en la regulación normativa sobre el uso de las armas por los agentes de la autoridad.</w:t>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Encabezado4"/>
        <w:rPr>
          <w:rFonts w:cs="Times New Roman" w:ascii="Times New Roman" w:hAnsi="Times New Roman"/>
          <w:color w:val="000000"/>
          <w:sz w:val="24"/>
          <w:szCs w:val="24"/>
        </w:rPr>
      </w:pPr>
      <w:bookmarkStart w:id="14" w:name="_Toc480380987"/>
      <w:bookmarkEnd w:id="14"/>
      <w:r>
        <w:rPr>
          <w:rFonts w:cs="Times New Roman" w:ascii="Times New Roman" w:hAnsi="Times New Roman"/>
          <w:color w:val="000000"/>
          <w:sz w:val="24"/>
          <w:szCs w:val="24"/>
        </w:rPr>
        <w:t>2.3.1.1 Ordenamiento jurídico francés.</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Comenzaremos con el ordenamiento jurídico francés, en el que el problema del uso de las armas no viene especificado, ni como causa de justificación ni por una ley de policía. Se debe acudir por tanto a la regulación general del Código Penal</w:t>
      </w:r>
      <w:r>
        <w:rPr>
          <w:rStyle w:val="Ancladenotaalpie"/>
          <w:rFonts w:cs="Times New Roman" w:ascii="Times New Roman" w:hAnsi="Times New Roman"/>
          <w:color w:val="000000"/>
          <w:sz w:val="24"/>
          <w:szCs w:val="24"/>
        </w:rPr>
        <w:footnoteReference w:id="18"/>
      </w:r>
      <w:r>
        <w:rPr>
          <w:rFonts w:cs="Times New Roman" w:ascii="Times New Roman" w:hAnsi="Times New Roman"/>
          <w:color w:val="000000"/>
          <w:sz w:val="24"/>
          <w:szCs w:val="24"/>
        </w:rPr>
        <w:t xml:space="preserve"> concretamente a los artículos 186</w:t>
      </w:r>
      <w:r>
        <w:rPr>
          <w:rStyle w:val="Ancladenotaalpie"/>
          <w:rFonts w:cs="Times New Roman" w:ascii="Times New Roman" w:hAnsi="Times New Roman"/>
          <w:color w:val="000000"/>
          <w:sz w:val="24"/>
          <w:szCs w:val="24"/>
        </w:rPr>
        <w:footnoteReference w:id="19"/>
      </w:r>
      <w:r>
        <w:rPr>
          <w:rFonts w:cs="Times New Roman" w:ascii="Times New Roman" w:hAnsi="Times New Roman"/>
          <w:color w:val="000000"/>
          <w:sz w:val="24"/>
          <w:szCs w:val="24"/>
        </w:rPr>
        <w:t xml:space="preserve"> y 327</w:t>
      </w:r>
      <w:r>
        <w:rPr>
          <w:rStyle w:val="Ancladenotaalpie"/>
          <w:rFonts w:cs="Times New Roman" w:ascii="Times New Roman" w:hAnsi="Times New Roman"/>
          <w:color w:val="000000"/>
          <w:sz w:val="24"/>
          <w:szCs w:val="24"/>
        </w:rPr>
        <w:footnoteReference w:id="20"/>
      </w:r>
      <w:r>
        <w:rPr>
          <w:rFonts w:cs="Times New Roman" w:ascii="Times New Roman" w:hAnsi="Times New Roman"/>
          <w:color w:val="000000"/>
          <w:sz w:val="24"/>
          <w:szCs w:val="24"/>
        </w:rPr>
        <w:t>.</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 la  lectura de dichos artículos se desprende que constituye un agravante el uso de las armas, salvo que se actúe en cumplimiento de un mandato legal u orden de la autoridad, y siempre como motivo legítimo. Fernández Valmayor alude a la dificultad de la ausencia de una norma que tipifique el uso legítimo de las armas por la policía.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Junto al motivo legítimo, el código francés especifica competencia de la autoridad (L´autorite lègitime). Se observa una conexión de la obediencia debida con el motivo legítimo. El artículo 186 establece que un agente podrá hacer uso de la coacción en caso de la imposibilidad de esperar órdenes, coacción, que incluye el uso de las armas.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Dada la generalidad con la que el código francés se expresa, será la doctrina y la normativa, las que establezcan los casos en los que la policía podrá hacer uso de las armas. Así en la Ley 7 de agosto de 1985 de modernización de la estructura policial francesa, con motivo de la lucha contra el tráfico de estupefacientes y el terrorismo, nuevamente encontramos el uso de las armas. Sin embargo se hace alusión al código deontológico policial, en su artículo 4, con lo que podrán resolver algunos de los problemas de coacción policial. Pero esto no resulta posible dada la ambigüedad de la ley. Observamos, por tanto, en el derecho francés  una perspectiva interesantísima en cuanto al uso de las armas de fuego por la policía.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A partir de 1905, el Conseil d´Ètat exige </w:t>
      </w:r>
      <w:r>
        <w:rPr>
          <w:rFonts w:cs="Times New Roman" w:ascii="Times New Roman" w:hAnsi="Times New Roman"/>
          <w:i/>
          <w:color w:val="000000"/>
          <w:sz w:val="24"/>
          <w:szCs w:val="24"/>
        </w:rPr>
        <w:t>faute lourde</w:t>
      </w:r>
      <w:r>
        <w:rPr>
          <w:rFonts w:cs="Times New Roman" w:ascii="Times New Roman" w:hAnsi="Times New Roman"/>
          <w:color w:val="000000"/>
          <w:sz w:val="24"/>
          <w:szCs w:val="24"/>
        </w:rPr>
        <w:t xml:space="preserve"> para apreciar responsabilidad administrativa en actividades policiales. </w:t>
      </w:r>
      <w:r>
        <w:rPr>
          <w:rStyle w:val="Ancladenotaalpie"/>
          <w:rFonts w:cs="Times New Roman" w:ascii="Times New Roman" w:hAnsi="Times New Roman"/>
          <w:color w:val="000000"/>
          <w:sz w:val="24"/>
          <w:szCs w:val="24"/>
        </w:rPr>
        <w:footnoteReference w:id="21"/>
      </w:r>
      <w:r>
        <w:rPr>
          <w:rFonts w:cs="Times New Roman" w:ascii="Times New Roman" w:hAnsi="Times New Roman"/>
          <w:color w:val="000000"/>
          <w:sz w:val="24"/>
          <w:szCs w:val="24"/>
        </w:rPr>
        <w:t xml:space="preserve"> El motivo es que la responsabilidad se encuentra en relación inversa a la potestad con que la Administración se encuentra investida. El requisito de falta grave encontró dos excepciones: los casos de omisión o inactividad policial de las fuerzas de la policía y el uso de las armas de fuego. Esto supone un  gran paso adelante en materia de responsabilidad por actos policiales. La falta grave fue sustituida por riesgo social</w:t>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Encabezado4"/>
        <w:rPr>
          <w:rFonts w:cs="Times New Roman" w:ascii="Times New Roman" w:hAnsi="Times New Roman"/>
          <w:color w:val="000000"/>
          <w:sz w:val="24"/>
          <w:szCs w:val="24"/>
        </w:rPr>
      </w:pPr>
      <w:bookmarkStart w:id="15" w:name="_Toc480380988"/>
      <w:bookmarkEnd w:id="15"/>
      <w:r>
        <w:rPr>
          <w:rFonts w:cs="Times New Roman" w:ascii="Times New Roman" w:hAnsi="Times New Roman"/>
          <w:color w:val="000000"/>
          <w:sz w:val="24"/>
          <w:szCs w:val="24"/>
        </w:rPr>
        <w:t>2.3.1.2. Ordenamiento jurídico italiano.</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El ordenamiento jurídico italiano, por su parte, contempla el uso de las armas por los miembros de la </w:t>
      </w:r>
      <w:r>
        <w:rPr>
          <w:rFonts w:cs="Times New Roman" w:ascii="Times New Roman" w:hAnsi="Times New Roman"/>
          <w:i/>
          <w:color w:val="000000"/>
          <w:sz w:val="24"/>
          <w:szCs w:val="24"/>
        </w:rPr>
        <w:t>Pubblica Sicurezza</w:t>
      </w:r>
      <w:r>
        <w:rPr>
          <w:rFonts w:cs="Times New Roman" w:ascii="Times New Roman" w:hAnsi="Times New Roman"/>
          <w:color w:val="000000"/>
          <w:sz w:val="24"/>
          <w:szCs w:val="24"/>
        </w:rPr>
        <w:t xml:space="preserve"> desde la perspectiva penal. El artículo 53, aprobado por Decreto de 19 de octubre de 1930 contempla la causa de justificación.</w:t>
      </w:r>
      <w:r>
        <w:rPr>
          <w:rStyle w:val="Ancladenotaalpie"/>
          <w:rFonts w:cs="Times New Roman" w:ascii="Times New Roman" w:hAnsi="Times New Roman"/>
          <w:color w:val="000000"/>
          <w:sz w:val="24"/>
          <w:szCs w:val="24"/>
        </w:rPr>
        <w:footnoteReference w:id="22"/>
      </w:r>
      <w:r>
        <w:rPr>
          <w:rFonts w:cs="Times New Roman" w:ascii="Times New Roman" w:hAnsi="Times New Roman"/>
          <w:color w:val="000000"/>
          <w:sz w:val="24"/>
          <w:szCs w:val="24"/>
        </w:rPr>
        <w:t xml:space="preserve"> Responde a la necesidad de repeler o vencer una agresión o violencia por parte de los miembros de las fuerzas de seguridad en cumplimiento de su propio cargo. </w:t>
      </w:r>
      <w:r>
        <w:rPr>
          <w:rStyle w:val="Ancladenotaalpie"/>
          <w:rFonts w:cs="Times New Roman" w:ascii="Times New Roman" w:hAnsi="Times New Roman"/>
          <w:color w:val="000000"/>
          <w:sz w:val="24"/>
          <w:szCs w:val="24"/>
        </w:rPr>
        <w:footnoteReference w:id="23"/>
      </w:r>
      <w:r>
        <w:rPr>
          <w:rFonts w:cs="Times New Roman" w:ascii="Times New Roman" w:hAnsi="Times New Roman"/>
          <w:color w:val="000000"/>
          <w:sz w:val="24"/>
          <w:szCs w:val="24"/>
        </w:rPr>
        <w:t xml:space="preserve"> Dicho precepto ha suscitado un gran debate doctrinal. Se trata de un artículo solo aplicable a los agentes de policía en el cumplimiento de su cargo. Si el agente se encuentra de servicio permanente, se deberá acudir a la legítima defensa. </w:t>
      </w:r>
      <w:r>
        <w:rPr>
          <w:rStyle w:val="Ancladenotaalpie"/>
          <w:rFonts w:cs="Times New Roman" w:ascii="Times New Roman" w:hAnsi="Times New Roman"/>
          <w:color w:val="000000"/>
          <w:sz w:val="24"/>
          <w:szCs w:val="24"/>
        </w:rPr>
        <w:footnoteReference w:id="24"/>
      </w:r>
      <w:r>
        <w:rPr>
          <w:rFonts w:cs="Times New Roman" w:ascii="Times New Roman" w:hAnsi="Times New Roman"/>
          <w:color w:val="000000"/>
          <w:sz w:val="24"/>
          <w:szCs w:val="24"/>
        </w:rPr>
        <w:t xml:space="preserve"> Al mismo tiempo se exige la verdadera necesidad de rechazar una violencia o de vencer una resistencia a la autoridad. En el artículo 53 encontramos un conflicto entre el principio de autoridad (interés público) y el interés privado, que puede ser sacrificado en potencia.</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La Ley de 1 de abril de 1981, Sobre el nuevo Ordenamiento de la Administración de la Seguridad Pública, no especifica nada en cuento al uso de las armas. Resulta curiosa la prohibición a los agentes de policía manifestándose portando armas y de las penas de privación de libertad, pudiendo llegar hasta tres años que se impone a los funcionarios que </w:t>
      </w:r>
      <w:r>
        <w:rPr>
          <w:rFonts w:cs="Times New Roman" w:ascii="Times New Roman" w:hAnsi="Times New Roman"/>
          <w:i/>
          <w:color w:val="000000"/>
          <w:sz w:val="24"/>
          <w:szCs w:val="24"/>
        </w:rPr>
        <w:t>“alteren de cualquier modo las características de las armas propias o de la munición de las que se les haya dotado, o que porten en servicio armas diversas de las que se les haya dotado”.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  continuación y una vez analizadas las normas, tanto nacionales, los ordenamientos jurídicos francés e italiano y las  emanadas de Naciones Unidas, que regulan el uso de las armas por las Fuerzas y Cuerpos de Seguridad del Estado, se enumerarán los elementos jurídicos que eximen por la culpabilidad de los actos realizados por Agentes policiales de los que se derivan hechos ilícitos que puedan llegar a ser considerados causas de responsabilidad criminal.</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r>
    </w:p>
    <w:p>
      <w:pPr>
        <w:pStyle w:val="ListParagraph"/>
        <w:numPr>
          <w:ilvl w:val="0"/>
          <w:numId w:val="1"/>
        </w:numPr>
        <w:spacing w:lineRule="auto" w:line="360"/>
        <w:jc w:val="both"/>
        <w:outlineLvl w:val="0"/>
        <w:rPr>
          <w:rFonts w:cs="Times New Roman" w:ascii="Times New Roman" w:hAnsi="Times New Roman"/>
          <w:b/>
          <w:color w:val="000000"/>
          <w:sz w:val="28"/>
          <w:szCs w:val="28"/>
        </w:rPr>
      </w:pPr>
      <w:bookmarkStart w:id="16" w:name="_Toc480380989"/>
      <w:bookmarkEnd w:id="16"/>
      <w:r>
        <w:rPr>
          <w:rFonts w:cs="Times New Roman" w:ascii="Times New Roman" w:hAnsi="Times New Roman"/>
          <w:b/>
          <w:color w:val="000000"/>
          <w:sz w:val="28"/>
          <w:szCs w:val="28"/>
        </w:rPr>
        <w:t>Causas de justificación.</w:t>
      </w:r>
    </w:p>
    <w:p>
      <w:pPr>
        <w:pStyle w:val="Normal"/>
        <w:spacing w:lineRule="auto" w:line="360"/>
        <w:jc w:val="both"/>
        <w:rPr>
          <w:rFonts w:cs="Times New Roman" w:ascii="Times New Roman" w:hAnsi="Times New Roman"/>
          <w:color w:val="000000"/>
          <w:sz w:val="24"/>
          <w:szCs w:val="24"/>
        </w:rPr>
      </w:pPr>
      <w:r>
        <w:rPr>
          <w:rFonts w:ascii="Times New Roman" w:hAnsi="Times New Roman"/>
          <w:sz w:val="24"/>
          <w:szCs w:val="24"/>
        </w:rPr>
        <w:t xml:space="preserve">La </w:t>
      </w:r>
      <w:r>
        <w:rPr>
          <w:rFonts w:cs="Times New Roman" w:ascii="Times New Roman" w:hAnsi="Times New Roman"/>
          <w:color w:val="000000"/>
          <w:sz w:val="24"/>
          <w:szCs w:val="24"/>
        </w:rPr>
        <w:t>la Ley Orgánica 2/1986 de 13 de marzo de Fuerzas y Cuerpos de Seguridad del Estado dice cuando se ha de usar las armas de fuego  por parte de los agentes de la autoridad. Lo que se ha de analizar es la consecuencia por el hecho realizado al usarlo, es decir, si la situación lo permite según los criterios de congruencia, oportunidad y proporcionalidad. El posible resultado lesivo causado debe verse justificado conforme a derecho.</w:t>
      </w:r>
    </w:p>
    <w:p>
      <w:pPr>
        <w:pStyle w:val="Normal"/>
        <w:spacing w:lineRule="auto" w:line="360"/>
        <w:jc w:val="both"/>
        <w:rPr>
          <w:rFonts w:ascii="Times New Roman" w:hAnsi="Times New Roman"/>
          <w:sz w:val="24"/>
          <w:szCs w:val="24"/>
        </w:rPr>
      </w:pPr>
      <w:r>
        <w:rPr>
          <w:rFonts w:ascii="Times New Roman" w:hAnsi="Times New Roman"/>
          <w:color w:val="000000"/>
          <w:sz w:val="24"/>
          <w:szCs w:val="24"/>
        </w:rPr>
        <w:t>El artículo 5.2 párrafo d de esta Ley Orgánica 2/1986 establece lo siguiente:  “</w:t>
      </w:r>
      <w:r>
        <w:rPr>
          <w:rFonts w:ascii="Times New Roman" w:hAnsi="Times New Roman"/>
          <w:i/>
          <w:color w:val="000000"/>
          <w:sz w:val="24"/>
          <w:szCs w:val="24"/>
        </w:rPr>
        <w:t>En el ejercicio de sus funciones deberán actuar con la decisión necesaria, y sin demora cuando de ello dependa evitar un daño grave, inmediato e irreparable; refiriéndose al hacerlo por los principios de congruencia, oportunidad y proporcionalidad en la utilización de los medios a su alcance”,</w:t>
      </w:r>
      <w:r>
        <w:rPr>
          <w:rFonts w:ascii="Times New Roman" w:hAnsi="Times New Roman"/>
          <w:color w:val="000000"/>
          <w:sz w:val="24"/>
          <w:szCs w:val="24"/>
        </w:rPr>
        <w:t>deber que va a ser relevante como causa de justificación en el caso de que como consecuencia del mismo se derive un resultado relevante penalmente. La causa de aplicación aplicable será, como regla general el cumplimiento de un deber, del artículo 20.7 CP o, en su caso, en legítima defensa, del artículo 20.4 CP</w:t>
      </w:r>
      <w:r>
        <w:rPr>
          <w:rFonts w:ascii="Times New Roman" w:hAnsi="Times New Roman"/>
          <w:i/>
          <w:color w:val="000000"/>
          <w:sz w:val="24"/>
          <w:szCs w:val="24"/>
        </w:rPr>
        <w:t>. </w:t>
      </w:r>
      <w:r>
        <w:rPr>
          <w:rFonts w:ascii="Times New Roman" w:hAnsi="Times New Roman"/>
          <w:sz w:val="24"/>
          <w:szCs w:val="24"/>
        </w:rPr>
        <w:t xml:space="preserve">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2"/>
        <w:rPr>
          <w:rFonts w:cs="Times New Roman" w:ascii="Times New Roman" w:hAnsi="Times New Roman"/>
          <w:color w:val="000000"/>
          <w:sz w:val="28"/>
          <w:szCs w:val="28"/>
        </w:rPr>
      </w:pPr>
      <w:bookmarkStart w:id="17" w:name="_Toc480380990"/>
      <w:bookmarkEnd w:id="17"/>
      <w:r>
        <w:rPr>
          <w:rFonts w:cs="Times New Roman" w:ascii="Times New Roman" w:hAnsi="Times New Roman"/>
          <w:color w:val="000000"/>
          <w:sz w:val="28"/>
          <w:szCs w:val="28"/>
        </w:rPr>
        <w:t>3.1 Cumplimiento de un deber.</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este punto se analizarán  diferentes posturas tanto doctrinales como jurisprudenciales sobre esta figura en relación con las Fuerzas y Cuerpos de Seguridad del Estado, así como del uso de la fuerza realizada por estos. Será esta la parte central del trabajo y en la que más nos detendremos.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3"/>
        <w:rPr>
          <w:rFonts w:cs="Times New Roman" w:ascii="Times New Roman" w:hAnsi="Times New Roman"/>
          <w:color w:val="000000"/>
          <w:sz w:val="28"/>
          <w:szCs w:val="28"/>
        </w:rPr>
      </w:pPr>
      <w:bookmarkStart w:id="18" w:name="_Toc480380991"/>
      <w:bookmarkEnd w:id="18"/>
      <w:r>
        <w:rPr>
          <w:rFonts w:cs="Times New Roman" w:ascii="Times New Roman" w:hAnsi="Times New Roman"/>
          <w:color w:val="000000"/>
          <w:sz w:val="28"/>
          <w:szCs w:val="28"/>
        </w:rPr>
        <w:t>3.1.1 Planteamiento.</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Tomando como base la ley,  la doctrina y la jurisprudencia, ya que a diferencia de los preceptos que regulan la legítima defensa o el estado de necesidad, en el caso que estamos estudiando, la eximente de obrar en el cumplimiento de un deber, no se han establecido qué requisitos concretos se deben exigir, motivo por el que diferentes autores han visto en esta eximente una “causa de justificación en blanco”.</w:t>
      </w:r>
      <w:r>
        <w:rPr>
          <w:rStyle w:val="Ancladenotaalpie"/>
          <w:rFonts w:cs="Times New Roman" w:ascii="Times New Roman" w:hAnsi="Times New Roman"/>
          <w:color w:val="000000"/>
          <w:sz w:val="24"/>
          <w:szCs w:val="24"/>
        </w:rPr>
        <w:footnoteReference w:id="25"/>
      </w:r>
      <w:r>
        <w:rPr>
          <w:rFonts w:cs="Times New Roman" w:ascii="Times New Roman" w:hAnsi="Times New Roman"/>
          <w:color w:val="000000"/>
          <w:sz w:val="24"/>
          <w:szCs w:val="24"/>
        </w:rPr>
        <w:t xml:space="preserve"> Comenzaremos con el Código penal. Así en su artículo 20. dice: </w:t>
      </w:r>
      <w:r>
        <w:rPr>
          <w:rFonts w:cs="Times New Roman" w:ascii="Times New Roman" w:hAnsi="Times New Roman"/>
          <w:i/>
          <w:color w:val="000000"/>
          <w:sz w:val="24"/>
          <w:szCs w:val="24"/>
        </w:rPr>
        <w:t>“el que obre en cumplimiento de un deber o en el ejercicio legítimo de un derecho, oficio o cargo”</w:t>
      </w:r>
      <w:r>
        <w:rPr>
          <w:rFonts w:cs="Times New Roman" w:ascii="Times New Roman" w:hAnsi="Times New Roman"/>
          <w:color w:val="000000"/>
          <w:sz w:val="24"/>
          <w:szCs w:val="24"/>
        </w:rPr>
        <w:t xml:space="preserve"> recoge, por tanto,  la eximente objeto de estudio.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Existen diferentes posturas doctrinales en cuanto al uso de la coacción o fuerza por parte de las Fuerzas y Cuerpos de Seguridad del Estado así como  los requisitos que deben concurrir para la aplicación de la eximente de obrar en cumplimiento del deber. Mientras unos se apoyan en la jurisprudencia del Tribunal Supremo, otros establecen unos principios materiales sobre el uso de esa fuerza, para ello se apoyan en el artículo 5.2 apdo c y d y en los generales de las causas de justificación.</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Cerezo cita los principios de </w:t>
      </w:r>
      <w:r>
        <w:rPr>
          <w:rFonts w:cs="Times New Roman" w:ascii="Times New Roman" w:hAnsi="Times New Roman"/>
          <w:i/>
          <w:color w:val="000000"/>
          <w:sz w:val="24"/>
          <w:szCs w:val="24"/>
        </w:rPr>
        <w:t xml:space="preserve">“necesidad, congruencia, oportunidad y proporcionalidad”, </w:t>
      </w:r>
      <w:r>
        <w:rPr>
          <w:rFonts w:cs="Times New Roman" w:ascii="Times New Roman" w:hAnsi="Times New Roman"/>
          <w:color w:val="000000"/>
          <w:sz w:val="24"/>
          <w:szCs w:val="24"/>
        </w:rPr>
        <w:t>añadiendo otro elemento</w:t>
      </w:r>
      <w:r>
        <w:rPr>
          <w:rFonts w:cs="Times New Roman" w:ascii="Times New Roman" w:hAnsi="Times New Roman"/>
          <w:i/>
          <w:color w:val="000000"/>
          <w:sz w:val="24"/>
          <w:szCs w:val="24"/>
        </w:rPr>
        <w:t xml:space="preserve"> “el sujeto debe actuar con ánimo de cumplir con su deber”</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26"/>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Observamos como este autor se apoya en los criterios de la Ley Orgánica de las Fuerzas y Cuerpos de Seguridad del Estado, añadiendo el principio de necesidad y un elemento subjetivo, que el sujeto actúe en cumplimiento de un deber y con la voluntad de querer hacerlo de acuerdo con dicho conocimiento. Sin embargo Cerezo no da ninguna definición de los principios que menciona.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Por otra parte, Muñoz Conde/García Arán </w:t>
      </w:r>
      <w:r>
        <w:rPr>
          <w:rStyle w:val="Ancladenotaalpie"/>
          <w:rFonts w:cs="Times New Roman" w:ascii="Times New Roman" w:hAnsi="Times New Roman"/>
          <w:color w:val="000000"/>
          <w:sz w:val="24"/>
          <w:szCs w:val="24"/>
        </w:rPr>
        <w:footnoteReference w:id="27"/>
      </w:r>
      <w:r>
        <w:rPr>
          <w:rFonts w:cs="Times New Roman" w:ascii="Times New Roman" w:hAnsi="Times New Roman"/>
          <w:color w:val="000000"/>
          <w:sz w:val="24"/>
          <w:szCs w:val="24"/>
        </w:rPr>
        <w:t xml:space="preserve"> consideran que son los requisitos generales de las causas de justificación los que deben regir en el uso de la fuerza policial, citando los principios de necesidad y proporcionalidad, a los que también dotan de contenido.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En opinión de Mir Puig </w:t>
      </w:r>
      <w:r>
        <w:rPr>
          <w:rStyle w:val="Ancladenotaalpie"/>
          <w:rFonts w:cs="Times New Roman" w:ascii="Times New Roman" w:hAnsi="Times New Roman"/>
          <w:color w:val="000000"/>
          <w:sz w:val="24"/>
          <w:szCs w:val="24"/>
        </w:rPr>
        <w:footnoteReference w:id="28"/>
      </w:r>
      <w:r>
        <w:rPr>
          <w:rFonts w:cs="Times New Roman" w:ascii="Times New Roman" w:hAnsi="Times New Roman"/>
          <w:color w:val="000000"/>
          <w:sz w:val="24"/>
          <w:szCs w:val="24"/>
        </w:rPr>
        <w:t xml:space="preserve"> al no poder </w:t>
      </w:r>
      <w:r>
        <w:rPr>
          <w:rFonts w:cs="Times New Roman" w:ascii="Times New Roman" w:hAnsi="Times New Roman"/>
          <w:i/>
          <w:color w:val="000000"/>
          <w:sz w:val="24"/>
          <w:szCs w:val="24"/>
        </w:rPr>
        <w:t>“describir legalmente y cada una de las concretas situaciones”</w:t>
      </w:r>
      <w:r>
        <w:rPr>
          <w:rFonts w:cs="Times New Roman" w:ascii="Times New Roman" w:hAnsi="Times New Roman"/>
          <w:color w:val="000000"/>
          <w:sz w:val="24"/>
          <w:szCs w:val="24"/>
        </w:rPr>
        <w:t xml:space="preserve">, </w:t>
      </w:r>
      <w:r>
        <w:rPr>
          <w:rFonts w:cs="Times New Roman" w:ascii="Times New Roman" w:hAnsi="Times New Roman"/>
          <w:i/>
          <w:color w:val="000000"/>
          <w:sz w:val="24"/>
          <w:szCs w:val="24"/>
        </w:rPr>
        <w:t>“hay que acudir a una delimitación general de los presupuestos de dicho uso de la fuerza”</w:t>
      </w:r>
      <w:r>
        <w:rPr>
          <w:rFonts w:cs="Times New Roman" w:ascii="Times New Roman" w:hAnsi="Times New Roman"/>
          <w:color w:val="000000"/>
          <w:sz w:val="24"/>
          <w:szCs w:val="24"/>
        </w:rPr>
        <w:t>, a su parecer deben darse un presupuesto subjetivo, que se concreta en la condición de autoridad o agente y un ejercicio efectivo del cargo, al mismo tiempo deben concurrir unos límites objetivos: necesidad y proporcionalidad.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cuanto a la jurisprudencia,  en la STS de 20 de octubre de 1980 (Ponente: Luis Vivas Marzal) se establece que para la aplicación de la eximente de obrar en el cumplimiento de un deber, se exigen unos requisitos.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La causa de exención de la responsabilidad criminal 11 del artículo. 8 del Código Penal; en su modalidad legitimadora del uso de la fuerza o violencia por parte de la autoridad o de sus agentes, encontró, en este Tribunal, y en fase ya superada, su justificación única en la agresión ilegítima precedente y procedente de aquella persona sobre la que, después, recae la fuerza o la violencia, habiendo declarado, las sentencias de dicho tribunal de 14 de julio 1919, 28 marzo 1930, 28 diciembre 1935 (RJ 1935/2443) y 6 febrero 1945 (RJ 1945/216), que, tanto la eximente completa como la incompleta, requieren inexcusablemente la agresión ilegítima. Sin embargo y puesto que, como destaca la doctrina científica, esta posición y la exigencia a ultranza de la ilegítima agresión oscurecería la diferenciación de esta eximente con la legítima defensa, pronto abundaron las sentencias inspiradas en criterio distinto y se abandonó definitivamente esta postura, como puede comprobarse en la ss de 25 junio 1889, 23 marzo 1942 (RJ 1942/375), 22 enero 1943 (RJ 1943/59), 9 y 27 marzo 1951 (RJ 1951/515) y (RJ  1951/853), 6 abril 1956 (RJ 1956/1587), 10 octubre 1958 (RJ 1958/3007), 23 junio 1959 (RJ 1959/2286) y 16 marzo 1961 (RJ 1961/860), las cuales, siquiera sea, en la mayoría de las ocasiones, en forma incompleta, aceptan la eximente basándose en que, el ordenamiento jurídico, atribuye a la Autoridad y a sus agentes el cumplimiento de ciertas funciones – prevención del delito, detención, entrada y registro domiciliar, mantenimiento del orden público -, cuyo ejercicio puede hacer necesario y, por lo tanto, legítimo el uso de la fuerza, como lo evidencian los artículos 492 y 546 y siguientes de la Ley de Enjuiciamiento Criminal y 11, 12 y 13 de la Ley de Orden Público (RCL 1980/1055 y NDL 22723) – véase especialmente el artículo 568 de la primera ley citada -, siendo indispensable para la estimación de la eximente analizada; 1º) que ha de tratarse necesariamente de autoridad o de sus agentes, habiendo declarado, al respecto, este tribunal, en sentencia de 29 diciembre 1953 (RJ 1953/3489), que los funcionarios del cuerpo general de policía están de servicio permanente y han de intervenir, siempre que las circunstancias lo demanden. 2º) que, dicha autoridad o sus agentes se hallen en el ejercicio de una función pública a ellos encomendada, es decir, cumpliendo unos deberes que su cuerpo les impone. 3º) que su comportamiento violento y es uso de la fuerza sean necesarios, estos es, que obedezcan a racional precisión indispensable para alcanzar la meta o el obligado cometido de la respectiva función pública, agregándose que será necesaria aquella acción que sea racionalmente imprescindible, con la consiguiente limitación implícita de la menor  lesividad posible, para conseguir el cumplimiento de la función, distinguiendo, la doctrina, entre ola necesidad de la videncia en abstracto y la necesidad en concreto la cual equivale a la idoneidad del medio específicamente interpuesto o utilizado, añadiéndose que si no hay necesidad abstracta del empleo de la fuerza no operará la eximente ni como completa ni como incompleta, y que, si falta la necesidad concreta, podrá aplicarse al amparo del núm 1º del art. 9 del Código Penal; 4º) que en los casos del transgresor que huye, si la autoridad o sus agentes; tras previas intimidaciones, hace uso de armas de fuego, disparando contra aquel sobre zonas no vitales, cabrá hablar de legitimación especialmente si concurre ausencia de otros medios y si, el delito cometido por el que huye, era de capital importancia, pero si la trasgresión no era especialmente grave, no cabrá calificar el comportamiento de la autoridad o de sus agentes, como ajustados a derecho – véase sentencias de 2 abril y 14 junio 1960 (RJ 1960/1166 y RJ 1960/1994), 9 marzo 1963 (RJ 1963/1008) y 9 mayo 1969 (RJ 1969/2735), si bien, no habiendo la debida proporción entre el mal producido o augurado y el medio empleado, cabe la aplicación de la eximente incompleta; 5º) que, abunde en lo dicho, cuando el exceso se produce por ausencia total de necesidad, constituye extralimitación manifiesta que impide la aplicación de la exención, tanto en forma completa como incompleta, pero si el exceso acontece por inadecuación de los medios utilizados, cabrá la aplicación de la eximente incompleta</w:t>
      </w:r>
      <w:r>
        <w:rPr>
          <w:rFonts w:cs="Times New Roman" w:ascii="Times New Roman" w:hAnsi="Times New Roman"/>
          <w:color w:val="000000"/>
          <w:sz w:val="24"/>
          <w:szCs w:val="24"/>
        </w:rPr>
        <w:t>”</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Esta sentencia supone una gran novedad </w:t>
      </w:r>
      <w:r>
        <w:rPr>
          <w:rStyle w:val="Ancladenotaalpie"/>
          <w:rFonts w:cs="Times New Roman" w:ascii="Times New Roman" w:hAnsi="Times New Roman"/>
          <w:color w:val="000000"/>
          <w:sz w:val="24"/>
          <w:szCs w:val="24"/>
        </w:rPr>
        <w:footnoteReference w:id="29"/>
      </w:r>
      <w:r>
        <w:rPr>
          <w:rFonts w:cs="Times New Roman" w:ascii="Times New Roman" w:hAnsi="Times New Roman"/>
          <w:b/>
          <w:i/>
          <w:color w:val="000000"/>
          <w:sz w:val="24"/>
          <w:szCs w:val="24"/>
        </w:rPr>
        <w:t xml:space="preserve"> </w:t>
      </w:r>
      <w:r>
        <w:rPr>
          <w:rFonts w:cs="Times New Roman" w:ascii="Times New Roman" w:hAnsi="Times New Roman"/>
          <w:color w:val="000000"/>
          <w:sz w:val="24"/>
          <w:szCs w:val="24"/>
        </w:rPr>
        <w:t>se abandona la tradicional exigencia de agresión ilegítima para poder aplicar la eximente, de obrar en el cumplimiento de un deber, esta era confundida, como alega la sentencia con la eximente de  legítima defensa.  Reúne los requisitos que con algunos cambios, se mantienen en la actualidad: el sujeto debe ser Autoridad o Agente de la Autoridad; que se halle en el ejercicio de la función pública; que exista necesidad en abstracto para el uso de la fuerza y la necesidad de utilizarla. En casos de huía, advirtiendo con anterioridad de su utilización si el delito perseguido es grave, y si existe una falta total de necesidad no se aplicará la eximente, podrá aplicarse la eximente incompleta si se produce una adecuación de medios.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La STS de 20 abril de 1990 introduce un requisito nuevo, el hecho de que la víctima haya ofrecido resistencia o una actitud peligrosa con lo que puede fundamentarse el uso de la fuerza policial: </w:t>
      </w:r>
      <w:r>
        <w:rPr>
          <w:rFonts w:cs="Times New Roman" w:ascii="Times New Roman" w:hAnsi="Times New Roman"/>
          <w:i/>
          <w:color w:val="000000"/>
          <w:sz w:val="24"/>
          <w:szCs w:val="24"/>
        </w:rPr>
        <w:t>“grado de resistencia o actividad, en su caso del previamente intimado”</w:t>
      </w:r>
      <w:r>
        <w:rPr>
          <w:rFonts w:cs="Times New Roman" w:ascii="Times New Roman" w:hAnsi="Times New Roman"/>
          <w:color w:val="000000"/>
          <w:sz w:val="24"/>
          <w:szCs w:val="24"/>
        </w:rPr>
        <w:t>.</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jurisprudencia exige también el requisito de la proporcionalidad. Este fue introducido por primera vez en la STS 1715/1994, de 30 de septiembre, en los siguientes términos:</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5º. Proporcionalidad de la violencia utilizada en relación con la situación que origina la intervención de la fuerza pública, pues la levedad del caso, si existiera, a veces justifica la no intervención o impide la utilización de un determinado medio demasiado peligroso cuando se carece de otro de inferior lesividad o este aparece como ineficaz, mientras que la gravedad de la situación solo autoriza para obrar de un modo ponderado y prudente en relación a tal gravedad, también conforme a las circunstancias del caso, sin poner trabas a operaciones que pueden exigir el actuar con la decisión necesaria y sin demora, como ya se ha dicho, pero al mismo tiempo sin conceder franquicias a actuaciones excesivas o inhumanas, teniendo en cuenta, por otro lado, que, respecto de la actuación de un particular en un supuesto paralelo, el comportamiento de las fuerzas de seguridad tiene a su favor el que siempre obran en la línea de “la afirmación del Derecho por encima de los injusto”, como ha dicho algún autor.”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Vemos como el Tribunal Supremo en la jurisprudencia anterior a la STS de 20 de octubre de 1980, se apoyaba únicamente en los principios de necesidad y proporcionalidad. En algunas sentencias recientes todavía para resolver casos de utilización de la fuerza policial, en la que se alega dicha eximente, se siguen apoyando exclusivamente en los principios de necesidad y proporcionalidad. Lo importante de esta sentencia es que ha trazado las líneas a seguir por el Tribunal Supremo y en la mayoría de las resoluciones seguirán estos criterios, con algunas modificaciones. Son muchos los estudios doctrinales también  que se apoyan en la jurisprudencia del Tribunal Supremo </w:t>
      </w:r>
      <w:r>
        <w:rPr>
          <w:rStyle w:val="Ancladenotaalpie"/>
          <w:rFonts w:cs="Times New Roman" w:ascii="Times New Roman" w:hAnsi="Times New Roman"/>
          <w:color w:val="000000"/>
          <w:sz w:val="24"/>
          <w:szCs w:val="24"/>
        </w:rPr>
        <w:footnoteReference w:id="30"/>
      </w:r>
      <w:r>
        <w:rPr>
          <w:rFonts w:cs="Times New Roman" w:ascii="Times New Roman" w:hAnsi="Times New Roman"/>
          <w:color w:val="000000"/>
          <w:sz w:val="24"/>
          <w:szCs w:val="24"/>
        </w:rPr>
        <w:t>, como ya se ha dicho anteriormente.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Así podemos concluir que las sentencias del Tribunal Supremo mantienen como requisitos: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1º- Que el sujeto sea Autoridad, Agente de la Autoridad o Funcionario Público, habilitado legalmente para el uso de la violencia.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2º – Que actúa en el ejercicio efectivo de sus funciones.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3º- Necesidad en abstracto de la fuerza o violencia.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4º - Necesidad en concreto de la misma.</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Se han fijado los tres primeros requisitos como esenciales y tal como establece la STS 1262/2006, de 28 de diciembre, no se podría aplicar la eximente si faltara alguno de ellos: </w:t>
      </w:r>
      <w:r>
        <w:rPr>
          <w:rFonts w:cs="Times New Roman" w:ascii="Times New Roman" w:hAnsi="Times New Roman"/>
          <w:i/>
          <w:color w:val="000000"/>
          <w:sz w:val="24"/>
          <w:szCs w:val="24"/>
        </w:rPr>
        <w:t>“Si faltara cualquiera de estos tres primeros requisitos que constituyen la esencia de la eximente núm 7 art. 20, no cabe su aplicación como eximente incompleta.”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Por otra parte en la Ley Orgánica 2/86, de 13 de marzo, de las Fuerzas y Cuerpos de Seguridad del Estado, se recogen expresamente los principios que deben regir la actuación de los Agentes policiales: congruencia, oportunidad y proporcionalidad, la jurisprudencia continua aplicando los criterios que ya exigía antes de la entrada en vigor de esta ley orgánica.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3"/>
        <w:rPr>
          <w:rFonts w:cs="Times New Roman" w:ascii="Times New Roman" w:hAnsi="Times New Roman"/>
          <w:color w:val="000000"/>
          <w:sz w:val="28"/>
          <w:szCs w:val="28"/>
        </w:rPr>
      </w:pPr>
      <w:bookmarkStart w:id="19" w:name="_Toc480380992"/>
      <w:bookmarkEnd w:id="19"/>
      <w:r>
        <w:rPr>
          <w:rFonts w:cs="Times New Roman" w:ascii="Times New Roman" w:hAnsi="Times New Roman"/>
          <w:color w:val="000000"/>
          <w:sz w:val="28"/>
          <w:szCs w:val="28"/>
        </w:rPr>
        <w:t>3.1.2. Requisitos de la causa de justificación.</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 continuación serán analizados los requisitos necesarios para la aplicación de la eximente del cumplimiento del deber.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4"/>
        <w:jc w:val="both"/>
        <w:rPr>
          <w:rFonts w:cs="Times New Roman" w:ascii="Times New Roman" w:hAnsi="Times New Roman"/>
          <w:i w:val="false"/>
          <w:color w:val="000000"/>
          <w:sz w:val="28"/>
          <w:szCs w:val="28"/>
        </w:rPr>
      </w:pPr>
      <w:bookmarkStart w:id="20" w:name="_Toc480380993"/>
      <w:bookmarkEnd w:id="20"/>
      <w:r>
        <w:rPr>
          <w:rFonts w:cs="Times New Roman" w:ascii="Times New Roman" w:hAnsi="Times New Roman"/>
          <w:i w:val="false"/>
          <w:color w:val="000000"/>
          <w:sz w:val="28"/>
          <w:szCs w:val="28"/>
        </w:rPr>
        <w:t>3.1.2.1. Elemento subjetivo. Autoridad, Agente de la Autoridad o Funcionario Público habilitado para el uso de la coacción o de la fuerza.</w:t>
      </w:r>
    </w:p>
    <w:p>
      <w:pPr>
        <w:pStyle w:val="Normal"/>
        <w:rPr>
          <w:color w:val="000000"/>
        </w:rPr>
      </w:pPr>
      <w:r>
        <w:rPr>
          <w:color w:val="000000"/>
        </w:rPr>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color w:val="000000"/>
          <w:sz w:val="24"/>
          <w:szCs w:val="24"/>
        </w:rPr>
        <w:t xml:space="preserve">La mayoría de la doctrina considera que para poder aplicar la eximente, el sujeto debe ser </w:t>
      </w:r>
      <w:r>
        <w:rPr>
          <w:rFonts w:cs="Times New Roman" w:ascii="Times New Roman" w:hAnsi="Times New Roman"/>
          <w:i/>
          <w:color w:val="000000"/>
          <w:sz w:val="24"/>
          <w:szCs w:val="24"/>
        </w:rPr>
        <w:t>“Autoridad”</w:t>
      </w:r>
      <w:r>
        <w:rPr>
          <w:rFonts w:cs="Times New Roman" w:ascii="Times New Roman" w:hAnsi="Times New Roman"/>
          <w:color w:val="000000"/>
          <w:sz w:val="24"/>
          <w:szCs w:val="24"/>
        </w:rPr>
        <w:t xml:space="preserve"> o </w:t>
      </w:r>
      <w:r>
        <w:rPr>
          <w:rFonts w:cs="Times New Roman" w:ascii="Times New Roman" w:hAnsi="Times New Roman"/>
          <w:i/>
          <w:color w:val="000000"/>
          <w:sz w:val="24"/>
          <w:szCs w:val="24"/>
        </w:rPr>
        <w:t>“Agente de la Autoridad”</w:t>
      </w:r>
      <w:r>
        <w:rPr>
          <w:rFonts w:cs="Times New Roman" w:ascii="Times New Roman" w:hAnsi="Times New Roman"/>
          <w:color w:val="000000"/>
          <w:sz w:val="24"/>
          <w:szCs w:val="24"/>
        </w:rPr>
        <w:t>.</w:t>
      </w:r>
      <w:r>
        <w:rPr>
          <w:rStyle w:val="Ancladenotaalpie"/>
          <w:rFonts w:cs="Times New Roman" w:ascii="Times New Roman" w:hAnsi="Times New Roman"/>
          <w:color w:val="000000"/>
          <w:sz w:val="24"/>
          <w:szCs w:val="24"/>
        </w:rPr>
        <w:footnoteReference w:id="31"/>
      </w:r>
      <w:r>
        <w:rPr>
          <w:rFonts w:cs="Times New Roman" w:ascii="Times New Roman" w:hAnsi="Times New Roman"/>
          <w:b/>
          <w:color w:val="000000"/>
          <w:sz w:val="24"/>
          <w:szCs w:val="24"/>
        </w:rPr>
        <w:t xml:space="preserve"> </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otras ocasiones se utiliza el término </w:t>
      </w:r>
      <w:r>
        <w:rPr>
          <w:rFonts w:cs="Times New Roman" w:ascii="Times New Roman" w:hAnsi="Times New Roman"/>
          <w:i/>
          <w:color w:val="000000"/>
          <w:sz w:val="24"/>
          <w:szCs w:val="24"/>
        </w:rPr>
        <w:t>“Funcionario Público”.</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32"/>
      </w:r>
      <w:r>
        <w:rPr>
          <w:rFonts w:cs="Times New Roman" w:ascii="Times New Roman" w:hAnsi="Times New Roman"/>
          <w:color w:val="000000"/>
          <w:sz w:val="24"/>
          <w:szCs w:val="24"/>
        </w:rPr>
        <w:t xml:space="preserve"> y en otras ocasiones</w:t>
      </w:r>
      <w:r>
        <w:rPr>
          <w:rFonts w:cs="Times New Roman" w:ascii="Times New Roman" w:hAnsi="Times New Roman"/>
          <w:b/>
          <w:color w:val="000000"/>
          <w:sz w:val="24"/>
          <w:szCs w:val="24"/>
        </w:rPr>
        <w:t xml:space="preserve"> </w:t>
      </w:r>
      <w:r>
        <w:rPr>
          <w:rFonts w:cs="Times New Roman" w:ascii="Times New Roman" w:hAnsi="Times New Roman"/>
          <w:i/>
          <w:color w:val="000000"/>
          <w:sz w:val="24"/>
          <w:szCs w:val="24"/>
        </w:rPr>
        <w:t>“Agente”.</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33"/>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Antes de continuar es necesario saber quiénes se consideran Autoridad, quiénes Agentes de la Autoridad y quiénes Funcionarios Públicos.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En cuanto a la delimitación del ámbito de aplicación de la eximente, el artículo 24.1 del vigente Código Penal establece que : </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«A los efectos penales se reputará autoridad al que por sí solo o como miembro de alguna corporación, Tribunal u órgano colegiado tenga mando o ejerza jurisdicción propia. En todo caso, tendrán la consideración de autoridades los miembros del Congreso de los Diputados, del Senado, de las Asamblea legislativa de Comunidad Autónoma y del Parlamento Europeo. Se reputarán también autoridades los miembros del Ministerio Fiscal».</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De la redacción de dicho artículo se deducen las dos características del concepto de Autoridad: que ejerza </w:t>
      </w:r>
      <w:r>
        <w:rPr>
          <w:rFonts w:cs="Times New Roman" w:ascii="Times New Roman" w:hAnsi="Times New Roman"/>
          <w:i/>
          <w:color w:val="000000"/>
          <w:sz w:val="24"/>
          <w:szCs w:val="24"/>
        </w:rPr>
        <w:t>“mando”</w:t>
      </w:r>
      <w:r>
        <w:rPr>
          <w:rFonts w:cs="Times New Roman" w:ascii="Times New Roman" w:hAnsi="Times New Roman"/>
          <w:color w:val="000000"/>
          <w:sz w:val="24"/>
          <w:szCs w:val="24"/>
        </w:rPr>
        <w:t xml:space="preserve"> o que ejerza </w:t>
      </w:r>
      <w:r>
        <w:rPr>
          <w:rFonts w:cs="Times New Roman" w:ascii="Times New Roman" w:hAnsi="Times New Roman"/>
          <w:i/>
          <w:color w:val="000000"/>
          <w:sz w:val="24"/>
          <w:szCs w:val="24"/>
        </w:rPr>
        <w:t>“jurisdicción”.</w:t>
      </w:r>
      <w:r>
        <w:rPr>
          <w:rFonts w:cs="Times New Roman" w:ascii="Times New Roman" w:hAnsi="Times New Roman"/>
          <w:color w:val="000000"/>
          <w:sz w:val="24"/>
          <w:szCs w:val="24"/>
        </w:rPr>
        <w:t xml:space="preserve"> Así mando equivaldría a la potestad de reclamar obediencia. </w:t>
      </w:r>
      <w:r>
        <w:rPr>
          <w:rStyle w:val="Ancladenotaalpie"/>
          <w:rFonts w:cs="Times New Roman" w:ascii="Times New Roman" w:hAnsi="Times New Roman"/>
          <w:color w:val="000000"/>
          <w:sz w:val="24"/>
          <w:szCs w:val="24"/>
        </w:rPr>
        <w:footnoteReference w:id="34"/>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cuanto a la jurisdicción, la doctrina considera que se trata de la </w:t>
      </w:r>
      <w:r>
        <w:rPr>
          <w:rFonts w:cs="Times New Roman" w:ascii="Times New Roman" w:hAnsi="Times New Roman"/>
          <w:i/>
          <w:color w:val="000000"/>
          <w:sz w:val="24"/>
          <w:szCs w:val="24"/>
        </w:rPr>
        <w:t>“potestad de resolver asuntos de cualquier índole que sean sometidos a la consideración del funcionario”</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35"/>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jurisprudencia por su parte en diferentes resoluciones ha venido señalando qué cargos son considerados autoridad: jueces y magistrados, ministros, subdelegado del Gobierno, decanos del Colegio de Abogados, miembros del Gobierno, notarios, inspectores de trabajo, directores de centros penitenciarios y delegados de Hacienda entre otros.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cuanto al concepto de funcionario público, el artículo 24.2 del Código Penal establece que: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"Se considerará funcionario público todo el que por disposición inmediata de la ley o por elección o por nombramiento de autoridad competente participe en el ejercicio de funciones públicas".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significado de funcionario público está por tanto configurado por dos aspectos relevantes: el título de habilitación o participación, y la elección o nombramiento por autoridad competente.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jurisprudencia ha otorgado el carácter de funcionario público a los diputados del congreso, auxiliar del registro de la propiedad, empleados de notarías, jueces y oficiales del juzgado, médicos y enfermeras de la Seguridad Social entre otros.</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 xml:space="preserve">La mayoría de la doctrina y jurisprudencia consideran que el concepto de funcionario público es más amplio que el de Agente de la Autoridad según Córdoba Roda al decir que </w:t>
      </w:r>
      <w:r>
        <w:rPr>
          <w:rFonts w:cs="Times New Roman" w:ascii="Times New Roman" w:hAnsi="Times New Roman"/>
          <w:i/>
          <w:color w:val="000000"/>
          <w:sz w:val="24"/>
          <w:szCs w:val="24"/>
        </w:rPr>
        <w:t xml:space="preserve">“la noción de autoridad resulta del artículo 24.1 y la de funcionario público del artículo 24.2. Los agentes de la autoridad no son definidos por el Código penal. Por vía de interpretación se entiende que son aquellos funcionarios públicos cuyo cometido es la ejecución de las decisiones de mando emanadas de la autoridad” </w:t>
      </w:r>
      <w:r>
        <w:rPr>
          <w:rStyle w:val="Ancladenotaalpie"/>
          <w:rFonts w:cs="Times New Roman" w:ascii="Times New Roman" w:hAnsi="Times New Roman"/>
          <w:i/>
          <w:color w:val="000000"/>
          <w:sz w:val="24"/>
          <w:szCs w:val="24"/>
        </w:rPr>
        <w:footnoteReference w:id="36"/>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Podemos por tanto deducir de lo anteriormente dicho que el término </w:t>
      </w:r>
      <w:r>
        <w:rPr>
          <w:rFonts w:cs="Times New Roman" w:ascii="Times New Roman" w:hAnsi="Times New Roman"/>
          <w:i/>
          <w:color w:val="000000"/>
          <w:sz w:val="24"/>
          <w:szCs w:val="24"/>
        </w:rPr>
        <w:t>“Agente”</w:t>
      </w:r>
      <w:r>
        <w:rPr>
          <w:rFonts w:cs="Times New Roman" w:ascii="Times New Roman" w:hAnsi="Times New Roman"/>
          <w:color w:val="000000"/>
          <w:sz w:val="24"/>
          <w:szCs w:val="24"/>
        </w:rPr>
        <w:t xml:space="preserve"> está subordinado al de </w:t>
      </w:r>
      <w:r>
        <w:rPr>
          <w:rFonts w:cs="Times New Roman" w:ascii="Times New Roman" w:hAnsi="Times New Roman"/>
          <w:i/>
          <w:color w:val="000000"/>
          <w:sz w:val="24"/>
          <w:szCs w:val="24"/>
        </w:rPr>
        <w:t>“Autoridad”,</w:t>
      </w:r>
      <w:r>
        <w:rPr>
          <w:rFonts w:cs="Times New Roman" w:ascii="Times New Roman" w:hAnsi="Times New Roman"/>
          <w:color w:val="000000"/>
          <w:sz w:val="24"/>
          <w:szCs w:val="24"/>
        </w:rPr>
        <w:t xml:space="preserve"> así el Agente recibirá instrucciones de la Autoridad.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STS de 18 de noviembre de 1992 nos da una definición de Agente de la Autoridad.</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Los Agentes de la Autoridad son las personas que, por disposición legal o nombramiento de quien para ello es competente, se hayan encargados del mantenimiento del orden público y de la seguridad de las personas y de las cosas, cometido reservado fundamentalmente a los cuerpos de seguridad del estado (en su caso también los policías municipales y autonómicos)”.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Respecto a los Agentes de la Autoridad, no existe definición legal ni siquiera para el ámbito penal, como ocurría para el concepto de Autoridad. Si la hubo en el Código Penal de 1928 que en el párrafo 3º del artículo 213 que decía:</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Se considerarán agentes de la autoridad no solo los funcionarios que con tal carácter dependan del Estado, de la Provincia o del Municipio, sino los de otras entidades que realicen o coadyuven a fines de aquellos y los que tengan a su cargo alguna misión general o determinada y en disposición reglamentaria o nombramiento expedido por Autoridad Competente o de legado de ésta, se expresa el carácter de tal agente”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Ante la ausencia de una definición legal de Agente de la Autoridad, la jurisprudencia del tribunal Supremo ha sido la encargada de dar tal definición. En la Sentencia de 28 de enero de 1982, siguiendo lo dicho por la sentencia de 27 de mayo de 1978, califica Agente de la Autoridad a quienes por razón de cargo están obligados a auxiliar a la autoridad en el ejercicio de sus funciones y ejecutar y llevar a efecto sus providencias, acuerdos, órdenes y mandatos.</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Siguiendo con el concepto de Autoridad, el artículo 7.1 de la ley Orgánica de las Fuerzas y Cuerpos de Seguridad del Estado se establece que: </w:t>
      </w:r>
      <w:r>
        <w:rPr>
          <w:rFonts w:cs="Times New Roman" w:ascii="Times New Roman" w:hAnsi="Times New Roman"/>
          <w:i/>
          <w:color w:val="000000"/>
          <w:sz w:val="24"/>
          <w:szCs w:val="24"/>
        </w:rPr>
        <w:t>“En el ejercicio de sus funciones, los miembros de las Fuerzas y Cuerpos de Seguridad tendrán a todos los efectos legales el carácter de Agentes de la Autoridad”.</w:t>
      </w:r>
      <w:r>
        <w:rPr>
          <w:rFonts w:cs="Times New Roman" w:ascii="Times New Roman" w:hAnsi="Times New Roman"/>
          <w:color w:val="000000"/>
          <w:sz w:val="24"/>
          <w:szCs w:val="24"/>
        </w:rPr>
        <w:t xml:space="preserve"> En su apartado 2 añade </w:t>
      </w:r>
      <w:r>
        <w:rPr>
          <w:rFonts w:cs="Times New Roman" w:ascii="Times New Roman" w:hAnsi="Times New Roman"/>
          <w:i/>
          <w:color w:val="000000"/>
          <w:sz w:val="24"/>
          <w:szCs w:val="24"/>
        </w:rPr>
        <w:t>“Cuando se cometa delito de atentado, empleando en su ejecución armas de fuego, explosivos u otros medios de agresión de análoga peligrosidad, que puedan poner en peligro grave la integridad física de los miembros de las Fuerzas y Cuerpos de Seguridad, tendrán al efecto de su protección penal la consideración de Autoridad”.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Para terminar este epígrafe, trataremos brevemente la  importante o no del uso de uniforme por parte de los Agentes en sus actuaciones, tal y como expone  Cervelló Donderis </w:t>
      </w:r>
      <w:r>
        <w:rPr>
          <w:rStyle w:val="Ancladenotaalpie"/>
          <w:rFonts w:cs="Times New Roman" w:ascii="Times New Roman" w:hAnsi="Times New Roman"/>
          <w:color w:val="000000"/>
          <w:sz w:val="24"/>
          <w:szCs w:val="24"/>
        </w:rPr>
        <w:footnoteReference w:id="37"/>
      </w:r>
      <w:r>
        <w:rPr>
          <w:rFonts w:cs="Times New Roman" w:ascii="Times New Roman" w:hAnsi="Times New Roman"/>
          <w:color w:val="000000"/>
          <w:sz w:val="24"/>
          <w:szCs w:val="24"/>
        </w:rPr>
        <w:t xml:space="preserve"> en la a STS 3101/2008 de 20 de mayo recoge el supuesto en el que un conductor, ante las indicaciones por parte de dos hombre que le exigían que  saliera del automóvil y acatara una serie de indicaciones, este se negó. Los Agentes no iban uniformados y en ningún momento mostraron sus placas ni solicitaron a una patrulla que se personara en la escena, a pesar de encontrarse a pocos metros de las dependencias policiales. En dicha sentencia el Tribunal Supremo pone de manifiesto la importancia del uso del uniforme y la identificación de los agentes, en caso de no llevarlo con algún medio que les identifique como Autoridades o Agentes policiales.</w:t>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r>
    </w:p>
    <w:p>
      <w:pPr>
        <w:pStyle w:val="Encabezado4"/>
        <w:rPr>
          <w:rFonts w:cs="Times New Roman" w:ascii="Times New Roman" w:hAnsi="Times New Roman"/>
          <w:color w:val="000000"/>
          <w:sz w:val="28"/>
          <w:szCs w:val="28"/>
        </w:rPr>
      </w:pPr>
      <w:bookmarkStart w:id="21" w:name="_Toc480380994"/>
      <w:r>
        <w:rPr>
          <w:rFonts w:cs="Times New Roman" w:ascii="Times New Roman" w:hAnsi="Times New Roman"/>
          <w:b w:val="false"/>
          <w:i w:val="false"/>
          <w:color w:val="000000"/>
          <w:sz w:val="28"/>
          <w:szCs w:val="28"/>
        </w:rPr>
        <w:t>3.1.2.2.</w:t>
      </w:r>
      <w:r>
        <w:rPr>
          <w:rFonts w:cs="Times New Roman" w:ascii="Times New Roman" w:hAnsi="Times New Roman"/>
          <w:color w:val="000000"/>
          <w:sz w:val="28"/>
          <w:szCs w:val="28"/>
        </w:rPr>
        <w:t xml:space="preserve"> </w:t>
      </w:r>
      <w:r>
        <w:rPr>
          <w:rFonts w:cs="Times New Roman" w:ascii="Times New Roman" w:hAnsi="Times New Roman"/>
          <w:i w:val="false"/>
          <w:color w:val="000000"/>
          <w:sz w:val="28"/>
          <w:szCs w:val="28"/>
        </w:rPr>
        <w:t>Principio de necesidad</w:t>
      </w:r>
      <w:bookmarkEnd w:id="21"/>
      <w:r>
        <w:rPr>
          <w:rFonts w:cs="Times New Roman" w:ascii="Times New Roman" w:hAnsi="Times New Roman"/>
          <w:color w:val="000000"/>
          <w:sz w:val="28"/>
          <w:szCs w:val="28"/>
        </w:rPr>
        <w:t>.</w:t>
      </w:r>
    </w:p>
    <w:p>
      <w:pPr>
        <w:pStyle w:val="Normal"/>
        <w:rPr>
          <w:color w:val="000000"/>
        </w:rPr>
      </w:pPr>
      <w:r>
        <w:rPr>
          <w:color w:val="000000"/>
        </w:rPr>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La mayoría de la doctrina se apoya en los principios de necesidad y proporcionalidad a la hora de justificar la utilización de la fuerza policial de forma legítima. </w:t>
      </w:r>
      <w:r>
        <w:rPr>
          <w:rStyle w:val="Ancladenotaalpie"/>
          <w:rFonts w:cs="Times New Roman" w:ascii="Times New Roman" w:hAnsi="Times New Roman"/>
          <w:color w:val="000000"/>
          <w:sz w:val="24"/>
          <w:szCs w:val="24"/>
        </w:rPr>
        <w:footnoteReference w:id="38"/>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cuanto al principio de necesidad se ha dicho que toda fuerza innecesaria es ilegítima </w:t>
      </w:r>
      <w:r>
        <w:rPr>
          <w:rStyle w:val="Ancladenotaalpie"/>
          <w:rFonts w:cs="Times New Roman" w:ascii="Times New Roman" w:hAnsi="Times New Roman"/>
          <w:color w:val="000000"/>
          <w:sz w:val="24"/>
          <w:szCs w:val="24"/>
        </w:rPr>
        <w:footnoteReference w:id="39"/>
      </w:r>
      <w:r>
        <w:rPr>
          <w:rFonts w:cs="Times New Roman" w:ascii="Times New Roman" w:hAnsi="Times New Roman"/>
          <w:color w:val="000000"/>
          <w:sz w:val="24"/>
          <w:szCs w:val="24"/>
        </w:rPr>
        <w:t xml:space="preserve"> o que solo cabe utilizar la fuerza si es necesaria para cumplir con la función pública.</w:t>
      </w:r>
      <w:r>
        <w:rPr>
          <w:rStyle w:val="Ancladenotaalpie"/>
          <w:rFonts w:cs="Times New Roman" w:ascii="Times New Roman" w:hAnsi="Times New Roman"/>
          <w:color w:val="000000"/>
          <w:sz w:val="24"/>
          <w:szCs w:val="24"/>
        </w:rPr>
        <w:footnoteReference w:id="40"/>
      </w:r>
      <w:r>
        <w:rPr>
          <w:rFonts w:cs="Times New Roman" w:ascii="Times New Roman" w:hAnsi="Times New Roman"/>
          <w:color w:val="000000"/>
          <w:sz w:val="24"/>
          <w:szCs w:val="24"/>
        </w:rPr>
        <w:t xml:space="preserve"> </w:t>
      </w:r>
      <w:r>
        <w:rPr>
          <w:rFonts w:cs="Times New Roman" w:ascii="Times New Roman" w:hAnsi="Times New Roman"/>
          <w:b/>
          <w:color w:val="000000"/>
          <w:sz w:val="24"/>
          <w:szCs w:val="24"/>
        </w:rPr>
        <w:t xml:space="preserve"> </w:t>
      </w:r>
      <w:r>
        <w:rPr>
          <w:rFonts w:cs="Times New Roman" w:ascii="Times New Roman" w:hAnsi="Times New Roman"/>
          <w:color w:val="000000"/>
          <w:sz w:val="24"/>
          <w:szCs w:val="24"/>
        </w:rPr>
        <w:t xml:space="preserve">Se exige también la </w:t>
      </w:r>
      <w:r>
        <w:rPr>
          <w:rFonts w:cs="Times New Roman" w:ascii="Times New Roman" w:hAnsi="Times New Roman"/>
          <w:i/>
          <w:color w:val="000000"/>
          <w:sz w:val="24"/>
          <w:szCs w:val="24"/>
        </w:rPr>
        <w:t>“necesidad racional”</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41"/>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La definición que da la RAE de necesidad dice que es </w:t>
      </w:r>
      <w:r>
        <w:rPr>
          <w:rFonts w:cs="Times New Roman" w:ascii="Times New Roman" w:hAnsi="Times New Roman"/>
          <w:i/>
          <w:color w:val="000000"/>
          <w:sz w:val="24"/>
          <w:szCs w:val="24"/>
        </w:rPr>
        <w:t>“impulso irresistible que hace que las cosas obren infaliblemente en cierto sentido”</w:t>
      </w:r>
      <w:r>
        <w:rPr>
          <w:rFonts w:cs="Times New Roman" w:ascii="Times New Roman" w:hAnsi="Times New Roman"/>
          <w:color w:val="000000"/>
          <w:sz w:val="24"/>
          <w:szCs w:val="24"/>
        </w:rPr>
        <w:t xml:space="preserve">, en una segunda acepción dice que </w:t>
      </w:r>
      <w:r>
        <w:rPr>
          <w:rFonts w:cs="Times New Roman" w:ascii="Times New Roman" w:hAnsi="Times New Roman"/>
          <w:i/>
          <w:color w:val="000000"/>
          <w:sz w:val="24"/>
          <w:szCs w:val="24"/>
        </w:rPr>
        <w:t>“es aquello a lo cual es imposible sustraerse, faltar o resistir”</w:t>
      </w:r>
      <w:r>
        <w:rPr>
          <w:rStyle w:val="Ancladenotaalpie"/>
          <w:rFonts w:cs="Times New Roman" w:ascii="Times New Roman" w:hAnsi="Times New Roman"/>
          <w:i/>
          <w:color w:val="000000"/>
          <w:sz w:val="24"/>
          <w:szCs w:val="24"/>
        </w:rPr>
        <w:footnoteReference w:id="42"/>
      </w:r>
      <w:r>
        <w:rPr>
          <w:rFonts w:cs="Times New Roman" w:ascii="Times New Roman" w:hAnsi="Times New Roman"/>
          <w:i/>
          <w:color w:val="000000"/>
          <w:sz w:val="24"/>
          <w:szCs w:val="24"/>
        </w:rPr>
        <w:t xml:space="preserve"> </w:t>
      </w:r>
      <w:r>
        <w:rPr>
          <w:rFonts w:cs="Times New Roman" w:ascii="Times New Roman" w:hAnsi="Times New Roman"/>
          <w:color w:val="000000"/>
          <w:sz w:val="24"/>
          <w:szCs w:val="24"/>
        </w:rPr>
        <w:t>Siguiendo por tanto las definiciones dadas por la RAE, podemos decir que el principio de necesidad indica los supuestos que deben concurrir para que puedan desplegar la coacción o la violencia los miembros de las Fuerzas y Cuerpos de Seguridad del Estado, sin los cuales dicha utilización sería ilegítima.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artículo 5.2, apdo c) de la ley Orgánica de las Fuerzas y Cuerpos de seguridad del estado dice: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en el ejercicio de sus funciones deberán actuar con la decisión necesaria, y sin demora cuando de ello dependa evitar daño grave, inmediato e irreparable”.</w:t>
      </w:r>
    </w:p>
    <w:p>
      <w:pPr>
        <w:pStyle w:val="Normal"/>
        <w:spacing w:lineRule="auto" w:line="360"/>
        <w:jc w:val="both"/>
        <w:rPr>
          <w:rStyle w:val="Ancladenotaalpie"/>
          <w:rFonts w:cs="Times New Roman" w:ascii="Times New Roman" w:hAnsi="Times New Roman"/>
          <w:b/>
          <w:color w:val="000000"/>
          <w:sz w:val="24"/>
          <w:szCs w:val="24"/>
        </w:rPr>
      </w:pPr>
      <w:r>
        <w:rPr>
          <w:rFonts w:cs="Times New Roman" w:ascii="Times New Roman" w:hAnsi="Times New Roman"/>
          <w:color w:val="000000"/>
          <w:sz w:val="24"/>
          <w:szCs w:val="24"/>
        </w:rPr>
        <w:t xml:space="preserve">Otros autores consideran que la necesidad debe ser </w:t>
      </w:r>
      <w:r>
        <w:rPr>
          <w:rFonts w:cs="Times New Roman" w:ascii="Times New Roman" w:hAnsi="Times New Roman"/>
          <w:i/>
          <w:color w:val="000000"/>
          <w:sz w:val="24"/>
          <w:szCs w:val="24"/>
        </w:rPr>
        <w:t>“la menor lesividad posible para el cumplimiento de la misión”</w:t>
      </w:r>
      <w:r>
        <w:rPr>
          <w:rFonts w:cs="Times New Roman" w:ascii="Times New Roman" w:hAnsi="Times New Roman"/>
          <w:color w:val="000000"/>
          <w:sz w:val="24"/>
          <w:szCs w:val="24"/>
        </w:rPr>
        <w:t xml:space="preserve">, por lo tanto se debe tener en cuenta </w:t>
      </w:r>
      <w:r>
        <w:rPr>
          <w:rFonts w:cs="Times New Roman" w:ascii="Times New Roman" w:hAnsi="Times New Roman"/>
          <w:i/>
          <w:color w:val="000000"/>
          <w:sz w:val="24"/>
          <w:szCs w:val="24"/>
        </w:rPr>
        <w:t>“el grado de necesidad, en su caso, del previamente intimado”.</w:t>
      </w:r>
      <w:r>
        <w:rPr>
          <w:rFonts w:cs="Times New Roman" w:ascii="Times New Roman" w:hAnsi="Times New Roman"/>
          <w:b/>
          <w:color w:val="000000"/>
          <w:sz w:val="24"/>
          <w:szCs w:val="24"/>
        </w:rPr>
        <w:t xml:space="preserve"> </w:t>
      </w:r>
      <w:r>
        <w:rPr>
          <w:rStyle w:val="Ancladenotaalpie"/>
          <w:rFonts w:cs="Times New Roman" w:ascii="Times New Roman" w:hAnsi="Times New Roman"/>
          <w:b/>
          <w:color w:val="000000"/>
          <w:sz w:val="24"/>
          <w:szCs w:val="24"/>
        </w:rPr>
        <w:footnoteReference w:id="43"/>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STS de 16 de mayo de 1983 afirma que: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El uso de las armas debe ser precedido cuando se halla en manos de los servicios del orden, de un juicio sereno y reflexivo, y acompañado de pericia y cuidado, de forma que el respeto a la ley y la restauración del orden público se logre siempre con el menor daño y quebranto para las personas y las cosas”.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la STS se 20 de abril de 1990, al referirse al disparo efectuado por un miembro de la guardia civil contra un coche que huía establece que: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El tribunal de instancia ha fundamentado la calificación de imprudencia temeraria que le ha merecido el disparo letal en “una falta de serenidad y estado de nerviosismo difícilmente compatible con la delicada misión que le estaba encomendada “al autor”. El resultado además era previsible y debió ser 0previsto, por tratarse de un vehículo en marcha y la hora nocturna”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Podemos encontrar otras definiciones de necesidad como “</w:t>
      </w:r>
      <w:r>
        <w:rPr>
          <w:rFonts w:cs="Times New Roman" w:ascii="Times New Roman" w:hAnsi="Times New Roman"/>
          <w:i/>
          <w:color w:val="000000"/>
          <w:sz w:val="24"/>
          <w:szCs w:val="24"/>
        </w:rPr>
        <w:t>Por necesidad de la conducta, entendemos aquí la racional precisión de la misma para alcanzar la misión propia de las Fuerzas y Cuerpos de Seguridad del Estado que según el artículo 104 de la Constitución Española es la de proteger el libre ejercicio de los derechos y libertades y garantizar la seguridad ciudadana”</w:t>
      </w:r>
      <w:r>
        <w:rPr>
          <w:rFonts w:cs="Times New Roman" w:ascii="Times New Roman" w:hAnsi="Times New Roman"/>
          <w:color w:val="000000"/>
          <w:sz w:val="24"/>
          <w:szCs w:val="24"/>
        </w:rPr>
        <w:t>.</w:t>
      </w:r>
      <w:r>
        <w:rPr>
          <w:rFonts w:cs="Times New Roman" w:ascii="Times New Roman" w:hAnsi="Times New Roman"/>
          <w:b/>
          <w:color w:val="000000"/>
          <w:sz w:val="24"/>
          <w:szCs w:val="24"/>
        </w:rPr>
        <w:t xml:space="preserve"> </w:t>
      </w:r>
      <w:r>
        <w:rPr>
          <w:rStyle w:val="Ancladenotaalpie"/>
          <w:rFonts w:cs="Times New Roman" w:ascii="Times New Roman" w:hAnsi="Times New Roman"/>
          <w:b/>
          <w:color w:val="000000"/>
          <w:sz w:val="24"/>
          <w:szCs w:val="24"/>
        </w:rPr>
        <w:footnoteReference w:id="44"/>
      </w:r>
      <w:r>
        <w:rPr>
          <w:rFonts w:cs="Times New Roman" w:ascii="Times New Roman" w:hAnsi="Times New Roman"/>
          <w:color w:val="000000"/>
          <w:sz w:val="24"/>
          <w:szCs w:val="24"/>
        </w:rPr>
        <w:t xml:space="preserve"> </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El Tribunal Supremo en numerosas sentencias ofrece este mismo sentido. Así en la STS 882/2010 de 15 de octubre dice que: </w:t>
      </w:r>
      <w:r>
        <w:rPr>
          <w:rFonts w:cs="Times New Roman" w:ascii="Times New Roman" w:hAnsi="Times New Roman"/>
          <w:i/>
          <w:color w:val="000000"/>
          <w:sz w:val="24"/>
          <w:szCs w:val="24"/>
        </w:rPr>
        <w:t>“su comportamiento violento y su uso de la fuerza sean necesarios, esto es, que obedezcan a racional precisión indispensable para alcanzar la meta o el obligado cometido de la respectiva función pública”.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Sánchez García </w:t>
      </w:r>
      <w:r>
        <w:rPr>
          <w:rStyle w:val="Ancladenotaalpie"/>
          <w:rFonts w:cs="Times New Roman" w:ascii="Times New Roman" w:hAnsi="Times New Roman"/>
          <w:color w:val="000000"/>
          <w:sz w:val="24"/>
          <w:szCs w:val="24"/>
        </w:rPr>
        <w:footnoteReference w:id="45"/>
      </w:r>
      <w:r>
        <w:rPr>
          <w:rFonts w:cs="Times New Roman" w:ascii="Times New Roman" w:hAnsi="Times New Roman"/>
          <w:color w:val="000000"/>
          <w:sz w:val="24"/>
          <w:szCs w:val="24"/>
        </w:rPr>
        <w:t xml:space="preserve">en cuanto al principio de necesidad entiende: </w:t>
      </w:r>
      <w:r>
        <w:rPr>
          <w:rFonts w:cs="Times New Roman" w:ascii="Times New Roman" w:hAnsi="Times New Roman"/>
          <w:i/>
          <w:color w:val="000000"/>
          <w:sz w:val="24"/>
          <w:szCs w:val="24"/>
        </w:rPr>
        <w:t>“Que no debe ir más allá de lo preciso para alcanzar el fin perseguido, es decir, ha de causar el menor daño posible al ciudadano y a la sociedad”.</w:t>
      </w:r>
      <w:r>
        <w:rPr>
          <w:rFonts w:cs="Times New Roman" w:ascii="Times New Roman" w:hAnsi="Times New Roman"/>
          <w:color w:val="000000"/>
          <w:sz w:val="24"/>
          <w:szCs w:val="24"/>
        </w:rPr>
        <w:t xml:space="preserve"> Exige que se haya comprobado la idoneidad de la intervención, desde un punto de vista del hecho y del derecho, en un examen objetivo y positivo ex ante. Por tanto coinciden: la idoneidad, la necesidad y la menor lesividad de la intervención polici8al”.</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Tribunal Supremo da una gran importancia al principio de necesidad, así en su STS de 2 de julio de 1987 dice: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En relación con la eximente cuestionada, no se inscribe solo en la exigencia de la proporcionalidad de los medios coactivos a emplear, sino en la más profunda y decisiva de la necesidad”.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su artículo 53 de la Constitución Española, en su primer apartado dice que: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vinculan a todos los poderes públicos. Sólo por ley, que en todo caso deberá respetar su contenido esencial, podrá regularse el ejercicio de tales derechos y libertades, que se tutelarán de acuerdo con lo previsto en el artículo 161, 1, 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artículo establece los supuestos habilitados de la actuación policial, será la necesidad basada en dicha ley la que de legitimidad a la actuación policial que podrá exigir el uso de la coacción o violencia según la actitud del sospechoso. Por tanto todos los poderes del estado deben respetar estos derechos y libertades y solo se podrán vulnerar si viene regulado por ley.</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Otro aspecto importante que debemos tener en cuenta es quién debe apreciar esa necesidad. En una situación real tenemos dos partes: el agente y el sospechoso. Parece claro que será el primero el que deba apreciar la necesidad o no de utilizar la violencia. Queralt, considera que </w:t>
      </w:r>
      <w:r>
        <w:rPr>
          <w:rFonts w:cs="Times New Roman" w:ascii="Times New Roman" w:hAnsi="Times New Roman"/>
          <w:i/>
          <w:color w:val="000000"/>
          <w:sz w:val="24"/>
          <w:szCs w:val="24"/>
        </w:rPr>
        <w:t>“el funcionario carece de legitimidad y de competencia para acometer excepcional o sistemáticamente la ablación de derechos que la apelación a la necesidad, desde su punto de vista, parece imponer como ineludible”</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46"/>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Es por tanto necesario que la ley regule los supuestos que habilitan a las Fuerzas y Cuerpos de Seguridad del estado para el uso de la fuerza.</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El artículo 492 de la ley de Enjuiciamiento Criminal habilita al funcionario policial a vulnerar el derecho a la libertad del artículo 17 de la Constitución Española. Según esta ley será la Autoridad o sus Agentes los que valorarán </w:t>
      </w:r>
      <w:r>
        <w:rPr>
          <w:rFonts w:cs="Times New Roman" w:ascii="Times New Roman" w:hAnsi="Times New Roman"/>
          <w:i/>
          <w:color w:val="000000"/>
          <w:sz w:val="24"/>
          <w:szCs w:val="24"/>
        </w:rPr>
        <w:t>“motivos racionalmente bastantes para creer en la existencia de un hecho que presente los caracteres de delito”.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Agente debe valorar la situación bajo criterios objetivos correspondientes a los que efectuaría racionalmente un hombre medio.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principio de necesidad se encuentra asociado a la situación en la que debe concurrir que resulte indispensable la utilización de la fuerza policial, dicha necesidad debe basarse en la ley.</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Con todo lo expuesto podemos decir que el criterio de necesidad es amplio e impreciso, así Córdoba Roda nos habla “</w:t>
      </w:r>
      <w:r>
        <w:rPr>
          <w:rFonts w:cs="Times New Roman" w:ascii="Times New Roman" w:hAnsi="Times New Roman"/>
          <w:i/>
          <w:color w:val="000000"/>
          <w:sz w:val="24"/>
          <w:szCs w:val="24"/>
        </w:rPr>
        <w:t>necesidad en abstracto”</w:t>
      </w:r>
      <w:r>
        <w:rPr>
          <w:rFonts w:cs="Times New Roman" w:ascii="Times New Roman" w:hAnsi="Times New Roman"/>
          <w:color w:val="000000"/>
          <w:sz w:val="24"/>
          <w:szCs w:val="24"/>
        </w:rPr>
        <w:t xml:space="preserve"> y </w:t>
      </w:r>
      <w:r>
        <w:rPr>
          <w:rFonts w:cs="Times New Roman" w:ascii="Times New Roman" w:hAnsi="Times New Roman"/>
          <w:i/>
          <w:color w:val="000000"/>
          <w:sz w:val="24"/>
          <w:szCs w:val="24"/>
        </w:rPr>
        <w:t>“necesidad en concreto”</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47"/>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diferenciación entre necesidad abstracta y necesidad concreta es aceptada por el Tribunal Supremo ya que es utilizada en sus resoluciones de manera habitual al referirse a la eximente de obrar en el cumplimiento de un deber.</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 xml:space="preserve">Podemos definir, siguiendo a Córdoba Roda, la necesidad en abstracto como: </w:t>
      </w:r>
      <w:r>
        <w:rPr>
          <w:rFonts w:cs="Times New Roman" w:ascii="Times New Roman" w:hAnsi="Times New Roman"/>
          <w:i/>
          <w:color w:val="000000"/>
          <w:sz w:val="24"/>
          <w:szCs w:val="24"/>
        </w:rPr>
        <w:t xml:space="preserve">“sin empleo de la violencia no se puede cumplir con la obligación del cargo” </w:t>
      </w:r>
      <w:r>
        <w:rPr>
          <w:rStyle w:val="Ancladenotaalpie"/>
          <w:rFonts w:cs="Times New Roman" w:ascii="Times New Roman" w:hAnsi="Times New Roman"/>
          <w:i/>
          <w:color w:val="000000"/>
          <w:sz w:val="24"/>
          <w:szCs w:val="24"/>
        </w:rPr>
        <w:footnoteReference w:id="48"/>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La jurisprudencia considera un requisito fundamental la necesidad en abstracto, sin ella no puede apreciarse la eximente ni siquiera la incompleta. </w:t>
      </w:r>
      <w:r>
        <w:rPr>
          <w:rStyle w:val="Ancladenotaalpie"/>
          <w:rFonts w:cs="Times New Roman" w:ascii="Times New Roman" w:hAnsi="Times New Roman"/>
          <w:color w:val="000000"/>
          <w:sz w:val="24"/>
          <w:szCs w:val="24"/>
        </w:rPr>
        <w:footnoteReference w:id="49"/>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En cuanto a la necesidad en concreto podemos definirla como: </w:t>
      </w:r>
      <w:r>
        <w:rPr>
          <w:rFonts w:cs="Times New Roman" w:ascii="Times New Roman" w:hAnsi="Times New Roman"/>
          <w:i/>
          <w:color w:val="000000"/>
          <w:sz w:val="24"/>
          <w:szCs w:val="24"/>
        </w:rPr>
        <w:t xml:space="preserve">“clase o cantidad que se ha empleado” </w:t>
      </w:r>
      <w:r>
        <w:rPr>
          <w:rStyle w:val="Ancladenotaalpie"/>
          <w:rFonts w:cs="Times New Roman" w:ascii="Times New Roman" w:hAnsi="Times New Roman"/>
          <w:i/>
          <w:color w:val="000000"/>
          <w:sz w:val="24"/>
          <w:szCs w:val="24"/>
        </w:rPr>
        <w:footnoteReference w:id="50"/>
      </w:r>
      <w:r>
        <w:rPr>
          <w:rFonts w:cs="Times New Roman" w:ascii="Times New Roman" w:hAnsi="Times New Roman"/>
          <w:b/>
          <w:color w:val="000000"/>
          <w:sz w:val="24"/>
          <w:szCs w:val="24"/>
        </w:rPr>
        <w:t xml:space="preserve"> </w:t>
      </w:r>
      <w:r>
        <w:rPr>
          <w:rFonts w:cs="Times New Roman" w:ascii="Times New Roman" w:hAnsi="Times New Roman"/>
          <w:color w:val="000000"/>
          <w:sz w:val="24"/>
          <w:szCs w:val="24"/>
        </w:rPr>
        <w:t>hace referencia al medio utilizado y a la intensidad en un caso concreto.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STS 26/1998, de 16 de enero la define como:</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El real uso de la fuerza en el caso concreto que resulta innecesaria o rebasa los términos de aquella necesidad racional “utilización concreta” es lo que hace desaparecer la eximente o reducirla a una eximente incompleta”.</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También ha recordado este Tribunal que</w:t>
      </w:r>
      <w:r>
        <w:rPr>
          <w:rFonts w:cs="Times New Roman" w:ascii="Times New Roman" w:hAnsi="Times New Roman"/>
          <w:i/>
          <w:color w:val="000000"/>
          <w:sz w:val="24"/>
          <w:szCs w:val="24"/>
        </w:rPr>
        <w:t xml:space="preserve"> “cuando el exceso se produce por ausencia total de necesidad constituye extralimitación manifiesta impeditiva de la aplicación de la exención completa o incompleta” </w:t>
      </w:r>
      <w:r>
        <w:rPr>
          <w:rStyle w:val="Ancladenotaalpie"/>
          <w:rFonts w:cs="Times New Roman" w:ascii="Times New Roman" w:hAnsi="Times New Roman"/>
          <w:i/>
          <w:color w:val="000000"/>
          <w:sz w:val="24"/>
          <w:szCs w:val="24"/>
        </w:rPr>
        <w:footnoteReference w:id="51"/>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Vemos como la  jurisprudencia del Tribunal Supremo sigue el criterio de considerar  la eximente incompleta si una vez comprobada se produce un exceso en la cantidad ejercida o necesidad en concreto.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4"/>
        <w:rPr>
          <w:rFonts w:cs="Times New Roman" w:ascii="Times New Roman" w:hAnsi="Times New Roman"/>
          <w:color w:val="000000"/>
          <w:sz w:val="28"/>
          <w:szCs w:val="28"/>
        </w:rPr>
      </w:pPr>
      <w:bookmarkStart w:id="22" w:name="_Toc480380995"/>
      <w:r>
        <w:rPr>
          <w:rFonts w:cs="Times New Roman" w:ascii="Times New Roman" w:hAnsi="Times New Roman"/>
          <w:i w:val="false"/>
          <w:color w:val="000000"/>
          <w:sz w:val="28"/>
          <w:szCs w:val="28"/>
        </w:rPr>
        <w:t>3.1.2.3. La proporcionalidad</w:t>
      </w:r>
      <w:bookmarkEnd w:id="22"/>
      <w:r>
        <w:rPr>
          <w:rFonts w:cs="Times New Roman" w:ascii="Times New Roman" w:hAnsi="Times New Roman"/>
          <w:color w:val="000000"/>
          <w:sz w:val="28"/>
          <w:szCs w:val="28"/>
        </w:rPr>
        <w:t>.</w:t>
      </w:r>
    </w:p>
    <w:p>
      <w:pPr>
        <w:pStyle w:val="Normal"/>
        <w:rPr>
          <w:color w:val="000000"/>
        </w:rPr>
      </w:pPr>
      <w:r>
        <w:rPr>
          <w:color w:val="000000"/>
        </w:rPr>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materia penal el significado que la mayoría de la doctrina sigue del principio de proporcionalidad es el propuesto por Cobo del Rosal/Vives Antón, denominado principio de proporcionalidad en sentido amplio o de prohibición de exceso. Mide la razonable intensidad en la aplicación de las penas y su clara vinculación con la protección del bien jurídico. </w:t>
      </w:r>
      <w:r>
        <w:rPr>
          <w:rStyle w:val="Ancladenotaalpie"/>
          <w:rFonts w:cs="Times New Roman" w:ascii="Times New Roman" w:hAnsi="Times New Roman"/>
          <w:color w:val="000000"/>
          <w:sz w:val="24"/>
          <w:szCs w:val="24"/>
        </w:rPr>
        <w:footnoteReference w:id="52"/>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Analizando el principio de proporcionalidad y reconduciéndolo al ámbito de las actuaciones policiales, podemos señalar que la adecuación se puede vincular a la idoneidad del medio que se emplea para conseguir el objetivo que se debe cumplir. El medio coactivo usado debe ser el </w:t>
      </w:r>
      <w:r>
        <w:rPr>
          <w:rFonts w:cs="Times New Roman" w:ascii="Times New Roman" w:hAnsi="Times New Roman"/>
          <w:i/>
          <w:color w:val="000000"/>
          <w:sz w:val="24"/>
          <w:szCs w:val="24"/>
        </w:rPr>
        <w:t>“apto para tutelar el bien jurídico de que se trate”.</w:t>
      </w:r>
      <w:r>
        <w:rPr>
          <w:rFonts w:cs="Times New Roman" w:ascii="Times New Roman" w:hAnsi="Times New Roman"/>
          <w:color w:val="000000"/>
          <w:sz w:val="24"/>
          <w:szCs w:val="24"/>
        </w:rPr>
        <w:t xml:space="preserve"> El medio debe ser utilizado de la forma menos lesiva, si la situación no exige el uso de fuerza esta no deberá emplearse. Por el contrario si es imprescindible se utilizará en la forma precisa para lograr el objetivo, causando el menor daño posible.</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 xml:space="preserve">Cobo del Rosal/Vives Antón configuran el principio de proporcionalidad </w:t>
      </w:r>
      <w:r>
        <w:rPr>
          <w:rFonts w:cs="Times New Roman" w:ascii="Times New Roman" w:hAnsi="Times New Roman"/>
          <w:i/>
          <w:color w:val="000000"/>
          <w:sz w:val="24"/>
          <w:szCs w:val="24"/>
        </w:rPr>
        <w:t>como “límite al poder de policía, para luego generalizarse hasta convertirse en un principio general del Derecho público que rige el establecimiento y aplicación de toda suerte de medidas restrictivas de los derechos y libertades”</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53"/>
      </w:r>
      <w:r>
        <w:rPr>
          <w:rFonts w:cs="Times New Roman" w:ascii="Times New Roman" w:hAnsi="Times New Roman"/>
          <w:color w:val="000000"/>
          <w:sz w:val="24"/>
          <w:szCs w:val="24"/>
        </w:rPr>
        <w:t xml:space="preserve"> Por su parte Mir Puig señala que el principio de proporcionalidad </w:t>
      </w:r>
      <w:r>
        <w:rPr>
          <w:rFonts w:cs="Times New Roman" w:ascii="Times New Roman" w:hAnsi="Times New Roman"/>
          <w:i/>
          <w:color w:val="000000"/>
          <w:sz w:val="24"/>
          <w:szCs w:val="24"/>
        </w:rPr>
        <w:t xml:space="preserve">“Ha de erigirse en principio general de todo el derecho Penal” </w:t>
      </w:r>
      <w:r>
        <w:rPr>
          <w:rStyle w:val="Ancladenotaalpie"/>
          <w:rFonts w:cs="Times New Roman" w:ascii="Times New Roman" w:hAnsi="Times New Roman"/>
          <w:i/>
          <w:color w:val="000000"/>
          <w:sz w:val="24"/>
          <w:szCs w:val="24"/>
        </w:rPr>
        <w:footnoteReference w:id="54"/>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Se observa una vinculación entre el principio de proporcionalidad y la actuación de las Fuerzas y Cuerpos de Seguridad del Estado. Algunos autores lo han considerado como </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i/>
          <w:color w:val="000000"/>
          <w:sz w:val="24"/>
          <w:szCs w:val="24"/>
        </w:rPr>
        <w:t xml:space="preserve"> “</w:t>
      </w:r>
      <w:r>
        <w:rPr>
          <w:rFonts w:cs="Times New Roman" w:ascii="Times New Roman" w:hAnsi="Times New Roman"/>
          <w:i/>
          <w:color w:val="000000"/>
          <w:sz w:val="24"/>
          <w:szCs w:val="24"/>
        </w:rPr>
        <w:t>criterio decisivo de toda la actuación policial”.</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55"/>
      </w:r>
      <w:r>
        <w:rPr>
          <w:rFonts w:cs="Times New Roman" w:ascii="Times New Roman" w:hAnsi="Times New Roman"/>
          <w:color w:val="000000"/>
          <w:sz w:val="24"/>
          <w:szCs w:val="24"/>
        </w:rPr>
        <w:t xml:space="preserve"> Incluso antes de la aprobación de la Ley Orgánica de las Fuerzas y Cuerpos de Seguridad del Estado y como principio rector del ordenamiento jurídico penal y en otros sectores </w:t>
      </w:r>
      <w:r>
        <w:rPr>
          <w:rFonts w:cs="Times New Roman" w:ascii="Times New Roman" w:hAnsi="Times New Roman"/>
          <w:i/>
          <w:color w:val="000000"/>
          <w:sz w:val="24"/>
          <w:szCs w:val="24"/>
        </w:rPr>
        <w:t>“sectores de la actividad de los poderes públicos”.</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56"/>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Ley 30/1992, de 26 de noviembre, de Régimen Jurídico de las Administraciones Públicas y del Procedimiento Administrativo Común (vigente hasta el 02 de octubre de 2016) contiene dos referencias  al principio de proporcionalidad: la primera en al ámbito de la ejecución forzosa de los actos administrativos y la segunda referida a los principios que deben regir el ejercicio de la potestad sancionadora de la administración. Así el artículo 96 dice: </w:t>
      </w:r>
      <w:r>
        <w:rPr>
          <w:rFonts w:cs="Times New Roman" w:ascii="Times New Roman" w:hAnsi="Times New Roman"/>
          <w:i/>
          <w:color w:val="000000"/>
          <w:sz w:val="24"/>
          <w:szCs w:val="24"/>
        </w:rPr>
        <w:t>“1. La ejecución forzosa por las Administraciones Públicas se efectuará, respetando siempre el principio de proporcionalidad…”</w:t>
      </w:r>
      <w:r>
        <w:rPr>
          <w:rFonts w:cs="Times New Roman" w:ascii="Times New Roman" w:hAnsi="Times New Roman"/>
          <w:color w:val="000000"/>
          <w:sz w:val="24"/>
          <w:szCs w:val="24"/>
        </w:rPr>
        <w:t xml:space="preserve"> </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En opinión de Mir Puig el principio de proporcionalidad </w:t>
      </w:r>
      <w:r>
        <w:rPr>
          <w:rFonts w:cs="Times New Roman" w:ascii="Times New Roman" w:hAnsi="Times New Roman"/>
          <w:i/>
          <w:color w:val="000000"/>
          <w:sz w:val="24"/>
          <w:szCs w:val="24"/>
        </w:rPr>
        <w:t>“debe limitar toda intervención estatal que afecte a derechos del ciudadano y supone una exigencia constitucional cuando, como ocurre en principio en Derecho Penal, la intervención estatal afecta a derechos fundamentales”</w:t>
      </w:r>
      <w:r>
        <w:rPr>
          <w:rFonts w:cs="Times New Roman" w:ascii="Times New Roman" w:hAnsi="Times New Roman"/>
          <w:color w:val="000000"/>
          <w:sz w:val="24"/>
          <w:szCs w:val="24"/>
        </w:rPr>
        <w:t xml:space="preserve"> </w:t>
      </w:r>
      <w:r>
        <w:rPr>
          <w:rStyle w:val="Ancladenotaalpie"/>
          <w:rFonts w:cs="Times New Roman" w:ascii="Times New Roman" w:hAnsi="Times New Roman"/>
          <w:color w:val="000000"/>
          <w:sz w:val="24"/>
          <w:szCs w:val="24"/>
        </w:rPr>
        <w:footnoteReference w:id="57"/>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Algunos autores consideran que el principio de proporcionalidad puede extraerse del artículo 1 de la Constitución Española, ya que consagra la justicia e igualdad como valores superiores del ordenamiento jurídico. </w:t>
      </w:r>
      <w:r>
        <w:rPr>
          <w:rStyle w:val="Ancladenotaalpie"/>
          <w:rFonts w:cs="Times New Roman" w:ascii="Times New Roman" w:hAnsi="Times New Roman"/>
          <w:color w:val="000000"/>
          <w:sz w:val="24"/>
          <w:szCs w:val="24"/>
        </w:rPr>
        <w:footnoteReference w:id="58"/>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La jurisprudencia del Tribunal Constitucional ha confirmado  su valor normativo, directo y aplicable. </w:t>
      </w:r>
      <w:r>
        <w:rPr>
          <w:rStyle w:val="Ancladenotaalpie"/>
          <w:rFonts w:cs="Times New Roman" w:ascii="Times New Roman" w:hAnsi="Times New Roman"/>
          <w:color w:val="000000"/>
          <w:sz w:val="24"/>
          <w:szCs w:val="24"/>
        </w:rPr>
        <w:footnoteReference w:id="59"/>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Parte de la doctrina otorga al principio la ponderación de intereses, esto supone que el agente policial deberá efectuar un juicio previo, valorando los bienes en juego, para concluir si la fuerza que se pretende desplegar justifica el objetivo perseguido.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También la jurisprudencia se ha referido a este principio en la STS de 16 de marzo de 1990, al referirse a la eximente contenida en el artículo 8.11ª (hoy art 20.7 del Código Penal).</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A la misma conclusión se llega si se acude, como hace el recurrente, a la eximente 11ª del artículo 8 del Código Penal pues es claro que el ejercicio de un derecho es per se una causa de justificación, basada como tal en el principio del interés preponderante que hace prevalecer el derecho a la información cuando el mismo se actúa sobre el interés colectivo anejo a la acción política y administrativa en cualquiera de sus ramas o aspectos, prevalencia que decae cuando a dicha crítica se unen afirmaciones vejatorias para el honor ajeno, en todo caso innecesarias para el fin de la formación de la opinión pública o cuando la información se vierte por entero en cuestiones relativas a la vida privada de las personas en cuyo caso, según palabras del tribunal Constitucional, “el honor alcanza su más alta eficacia” (Sentencia 104/86)”</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La instrucción 12/2007, de 14 de septiembre, de la Secretaria del Estado de Seguridad sobre los comportamientos exigidos a los miembros de las Fuerzas y Cuerpos de Seguridad del Estado para garantizar los derechos de las personas que se encuentran bajo custodia policial, en la instrucción séptima y tomando como base el artículo 5.2 c) de la Ley Orgánica de las Fuerzas y Cuerpos de Seguridad del Estado, de 1986 entiende por proporcionalidad: </w:t>
      </w:r>
      <w:r>
        <w:rPr>
          <w:rFonts w:cs="Times New Roman" w:ascii="Times New Roman" w:hAnsi="Times New Roman"/>
          <w:i/>
          <w:color w:val="000000"/>
          <w:sz w:val="24"/>
          <w:szCs w:val="24"/>
        </w:rPr>
        <w:t>“La proporcionalidad supone que, una vez decidido el empleo de la fuerza y el medio idóneo, el agente deberá adecuar la intensidad de su empleo, de forma que no sobrepase la estrictamente necesaria para conseguir el control de la persona, quedando absolutamente proscrito todo exceso.”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 la redacción de dicha resolución se observa como el principio de proporcionalidad está íntimamente ligado al concepto de necesidad y no como opina la mayoría de la doctrina a la ponderación.</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sentencias más recientes el Tribunal Supremo continua dando protagonismo a los principios de congruencia, oportunidad y proporcionalidad, recogidos en la Ley Orgánica de las Fuerzas y Cuerpos de Seguridad del Estado. Así en la STS 828/2013 de 6 de noviembre y en la 153/2013 de 6 de marzo, se resuelve el recurso de casación, basándose en los mismos. En cambio en el Auto del Tribunal Supremo 1157/2014, de 18 de junio y la STS 27/2013, de 21 de enero, no cita estos principios. Los criterios de necesidad y proporcionalidad, están presentes en ambas resoluciones, pero no se refieren expresamente a la Ley Orgánica de las Fuerzas y Cuerpos de Seguridad del Estado.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opinión de Alfonso Pérez</w:t>
      </w:r>
      <w:r>
        <w:rPr>
          <w:rStyle w:val="Ancladenotaalpie"/>
          <w:rFonts w:cs="Times New Roman" w:ascii="Times New Roman" w:hAnsi="Times New Roman"/>
          <w:color w:val="000000"/>
          <w:sz w:val="24"/>
          <w:szCs w:val="24"/>
        </w:rPr>
        <w:footnoteReference w:id="60"/>
      </w:r>
      <w:r>
        <w:rPr>
          <w:rFonts w:cs="Times New Roman" w:ascii="Times New Roman" w:hAnsi="Times New Roman"/>
          <w:color w:val="000000"/>
          <w:sz w:val="24"/>
          <w:szCs w:val="24"/>
        </w:rPr>
        <w:t xml:space="preserve">, junto a los principios recogidos en el artículo 5.2 de la LOFCS, de debería añadir un principio más: el de menor lesividad.  Este se infiere de la Ley de Enjuiciamiento Criminal, en su artículo 520.1, que dice: </w:t>
      </w:r>
      <w:r>
        <w:rPr>
          <w:rFonts w:cs="Times New Roman" w:ascii="Times New Roman" w:hAnsi="Times New Roman"/>
          <w:i/>
          <w:color w:val="000000"/>
          <w:sz w:val="24"/>
          <w:szCs w:val="24"/>
        </w:rPr>
        <w:t>“la detención y la prisión provisional deberán practicarse en la forma que menos perjudique al detenido o preso en su persona, reputación y patrimonio”</w:t>
      </w:r>
      <w:r>
        <w:rPr>
          <w:rFonts w:cs="Times New Roman" w:ascii="Times New Roman" w:hAnsi="Times New Roman"/>
          <w:color w:val="000000"/>
          <w:sz w:val="24"/>
          <w:szCs w:val="24"/>
        </w:rPr>
        <w:t>. Este mismo tratamiento lo encontramos en la LOFCS, en el artículo 5.3.b, al tratar la actuación que deberá llevarse a cabo en la detención. Así establece: “</w:t>
      </w:r>
      <w:r>
        <w:rPr>
          <w:rFonts w:cs="Times New Roman" w:ascii="Times New Roman" w:hAnsi="Times New Roman"/>
          <w:i/>
          <w:color w:val="000000"/>
          <w:sz w:val="24"/>
          <w:szCs w:val="24"/>
        </w:rPr>
        <w:t>velarán por la vida e integridad física de las personas a quienes detuvieran o que se encuentren bajo su custodia y respetarán el honor y la dignidad de las personas”.</w:t>
      </w:r>
      <w:r>
        <w:rPr>
          <w:rFonts w:cs="Times New Roman" w:ascii="Times New Roman" w:hAnsi="Times New Roman"/>
          <w:color w:val="000000"/>
          <w:sz w:val="24"/>
          <w:szCs w:val="24"/>
        </w:rPr>
        <w:t xml:space="preserve"> Observamos como ambos preceptos regulan lo mismo, si bien hay que decir que la Ley de Enjuiciamiento Criminal lo hace de manera más precisa.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Un ejemplo se encuentra en la STS 474/2005, de 22 de marzo. Recoge el supuesto de una detención por parte de unos agentes a un joven que se encontraba columpiándose, y tras ser recriminado por la autoridad, este les insulta y golpea a unos de ellos. Con lo que el joven es detenido y trasladado a las dependencias policiales, donde se le propinan varias bofetadas. En la sentencia se hace referencia a la innecesaria fuerza llevada a cabo por los agentes, ya que el joven se encontraba ya detenido y por tanto los policías no podrán beneficiarse de la eximente de cumplimiento de un deber, ni en su forma incompleta. No se pueden justificar métodos innecesariamente agresivos, ya que hubiese bastado con inmovilizarle y trasladarle a una celda.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Sin embargo encontramos otro supuesto recogido en la STS 543/2010, de 2 de junio, en la que tres agentes de policía golpearon a un detenido en las dependencias policiales, ante la gran resistencia ofrecida por el mismo y las patadas dadas al aire. En este caso los tres agente fueron absueltos por el Tribunal Supremo, si bien antes habían sido condenados por la Audiencia Provincial de Zaragoza, en base a que el sujeto, de gran corpulencia, se resistió violentamente, amenazó a los agentes e intentó huir, incluso con los grilletes. Los golpes fueron dirigidos hacia zonas del cuerpo donde el daño previsible era menor, que no precisaron tratamiento médico posterior. Asimismo, la agresión por parte de los agentes cesó en el momento en el que el sujeto fue reducido. En este caso, al contrario que en el anterior expuesto, los agentes estaban amparados por la eximente de cumplimiento de un deber, estaban legitimados y no cometieron infracción penal alguna.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La LOFCS hace mención a los medios que pueden ser utilizados por los funcionarios, mencionando </w:t>
      </w:r>
      <w:r>
        <w:rPr>
          <w:rFonts w:cs="Times New Roman" w:ascii="Times New Roman" w:hAnsi="Times New Roman"/>
          <w:i/>
          <w:color w:val="000000"/>
          <w:sz w:val="24"/>
          <w:szCs w:val="24"/>
        </w:rPr>
        <w:t>“los medios a su alcance”</w:t>
      </w:r>
      <w:r>
        <w:rPr>
          <w:rFonts w:cs="Times New Roman" w:ascii="Times New Roman" w:hAnsi="Times New Roman"/>
          <w:color w:val="000000"/>
          <w:sz w:val="24"/>
          <w:szCs w:val="24"/>
        </w:rPr>
        <w:t xml:space="preserve">. Como norma general se les permite usar cualquier medio del que dispongan para cumplir con su función. Se trata en mi opinión de una redacción bastante ambigua. Con anterioridad a la entrada en vigor de nuestra Constitución, las normas eran muy permisivas en cuanto a la fuerza policial, con lo que eran frecuentes los casos de abuso de autoridad. La legislación actual sigue siendo ambigua, ya que no establece con claridad los límites. Esto hace que en ocasiones se deba recurrir a la normativa internacional, más precisa en estos casos. Por otra parte se trata de una materia de gran importancia, ya que incide en los derechos de los ciudadanos. Cervelló Donderis </w:t>
      </w:r>
      <w:r>
        <w:rPr>
          <w:rStyle w:val="Ancladenotaalpie"/>
          <w:rFonts w:cs="Times New Roman" w:ascii="Times New Roman" w:hAnsi="Times New Roman"/>
          <w:color w:val="000000"/>
          <w:sz w:val="24"/>
          <w:szCs w:val="24"/>
        </w:rPr>
        <w:footnoteReference w:id="61"/>
      </w:r>
      <w:r>
        <w:rPr>
          <w:rFonts w:cs="Times New Roman" w:ascii="Times New Roman" w:hAnsi="Times New Roman"/>
          <w:color w:val="000000"/>
          <w:sz w:val="24"/>
          <w:szCs w:val="24"/>
        </w:rPr>
        <w:t xml:space="preserve"> considera que el precepto es confuso en los casos de resistencia pasiva, ya que el artículo no delimita la actuación que debe llevarse a cabo por  los agentes, si es necesaria una agresión previa y una vez que hayan actuado lo hacen en legítima defensa o bien en cumplimiento de un deber.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Siguiendo a Cervelló Donderis, en los supuestos en los que un ciudadano ejerce un acto violento, se reclama indebidamente en muchos casos un elemento de agresión ilegítima, dando a entender que el Agente se está defendiendo del agresor, pero no se debe olvidar que el uso de la violencia policial es un supuesto de ejercicio legítimo de las atribuciones del cargo y no se trata de un supuesto de legítima defensa. Por tanto, en los casos de resistencia pasiva, donde el ciudadano no ejerce violencia, se deben establecer los límites de la actuación policial, adaptando los criterios de necesidad, oportunidad, congruencia y proporcionalidad. Se trata de supuestos en los que se debe cuestionar si es lícito el uso de la violencia policial, ya que los ciudadanos ni ofrecen resistencia, ni actúan de manera violenta.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 continuación expondré un caso en el que no se cumplen los criterios anteriormente citados y es un claro ejemplo del uso no proporcional de las armas por las Fuezas y Cuerpo de Seguridad del Estado. Se trata de la Sentencia dictada por el Tribunal Supremo de 11 de mayo de 2006, la que se falla en contra de un Agente de un Autoridad, que utilizó su arma imprudentemente. El tribunal dictaminó delito de homicidio por imprudencia profesional grave.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Dos policías que se encontraban de patrulla y debidamente uniformados realizando labora de seguridad de tráfico en la NI, en dirección Madrid-Irún, se percataron que en la parte contraria de la carretera se encontraban dos vehículos parados en el arcén, viendo como un conductor estaba siendo agredido por dos sujetos. Uno de los agentes, tras gritar a su compañero, atravesó los cuatro carriles de la NI, gritando en voz alta “alto policía”, y sacando el arma reglamentaria de su funda, se acercó al agresor, agarrándole con ambas manos por la espalda, con intención de reducirle. El detenido se giró y el agente que mantenía el arma en su mano sin seguro, y en contacto con el cuerpo de la víctima, olvidando las más elementales precauciones y quebrantando las reglas propias de su quehacer profesional, accionó el gatillo. El proyectil alcanzó la cabeza del detenido que falleció ese día.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Venidos como el uso de las armas por parte de las Fuerzas y Cuerpos de Seguridad del Estado, pueden tener consecuencias trágicas, y como el Tribunal Supremo tiene muy en cuenta el uso correcto de las mismas.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Para finalizar este apartado, mencionaremos el tratamiento que sobre la necesidad y proporcionalidad hace el Tribunal Europeo de Derechos Humanos. Utiliza de forma continuada estos criterios para resolver los asuntos que llegan a su jurisdicción. Dicho Tribunal alegó que: </w:t>
      </w:r>
      <w:r>
        <w:rPr>
          <w:rFonts w:cs="Times New Roman" w:ascii="Times New Roman" w:hAnsi="Times New Roman"/>
          <w:i/>
          <w:color w:val="000000"/>
          <w:sz w:val="24"/>
          <w:szCs w:val="24"/>
        </w:rPr>
        <w:t>"el curso a la fuerza era absolutamente necesario y que la fuerza utilizada era proporcional al comportamiento de los manifestantes”,</w:t>
      </w:r>
      <w:r>
        <w:rPr>
          <w:rFonts w:cs="Times New Roman" w:ascii="Times New Roman" w:hAnsi="Times New Roman"/>
          <w:color w:val="000000"/>
          <w:sz w:val="24"/>
          <w:szCs w:val="24"/>
        </w:rPr>
        <w:t xml:space="preserve"> en la sentencia de 8 de febrero de 2011 (caso Gülizar Tuncer contra Turquía).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Apreciamos, por tanto que tanto el Tribunal Europeo de Derechos humanos como el Tribunal Supremo, barajan argumentos muy similares.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Encabezado4"/>
        <w:rPr>
          <w:rFonts w:cs="Times New Roman" w:ascii="Times New Roman" w:hAnsi="Times New Roman"/>
          <w:color w:val="000000"/>
          <w:sz w:val="28"/>
          <w:szCs w:val="28"/>
        </w:rPr>
      </w:pPr>
      <w:bookmarkStart w:id="23" w:name="_Toc480380996"/>
      <w:r>
        <w:rPr>
          <w:rFonts w:cs="Times New Roman" w:ascii="Times New Roman" w:hAnsi="Times New Roman"/>
          <w:i w:val="false"/>
          <w:color w:val="000000"/>
          <w:sz w:val="28"/>
          <w:szCs w:val="28"/>
        </w:rPr>
        <w:t>3.1.2.4. Principio de congruencia</w:t>
      </w:r>
      <w:bookmarkEnd w:id="23"/>
      <w:r>
        <w:rPr>
          <w:rFonts w:cs="Times New Roman" w:ascii="Times New Roman" w:hAnsi="Times New Roman"/>
          <w:color w:val="000000"/>
          <w:sz w:val="28"/>
          <w:szCs w:val="28"/>
        </w:rPr>
        <w:t>.</w:t>
      </w:r>
    </w:p>
    <w:p>
      <w:pPr>
        <w:pStyle w:val="Normal"/>
        <w:rPr>
          <w:color w:val="000000"/>
        </w:rPr>
      </w:pPr>
      <w:r>
        <w:rPr>
          <w:color w:val="000000"/>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No se dispone de una definición legal de principio de congruencia. El diccionario de la RAE dice </w:t>
      </w:r>
      <w:r>
        <w:rPr>
          <w:rStyle w:val="Ancladenotaalpie"/>
          <w:rFonts w:cs="Times New Roman" w:ascii="Times New Roman" w:hAnsi="Times New Roman"/>
          <w:color w:val="000000"/>
          <w:sz w:val="24"/>
          <w:szCs w:val="24"/>
        </w:rPr>
        <w:footnoteReference w:id="62"/>
      </w:r>
      <w:r>
        <w:rPr>
          <w:rFonts w:cs="Times New Roman" w:ascii="Times New Roman" w:hAnsi="Times New Roman"/>
          <w:color w:val="000000"/>
          <w:sz w:val="24"/>
          <w:szCs w:val="24"/>
        </w:rPr>
        <w:t xml:space="preserve"> </w:t>
      </w:r>
      <w:r>
        <w:rPr>
          <w:rFonts w:cs="Times New Roman" w:ascii="Times New Roman" w:hAnsi="Times New Roman"/>
          <w:i/>
          <w:color w:val="000000"/>
          <w:sz w:val="24"/>
          <w:szCs w:val="24"/>
        </w:rPr>
        <w:t>“Conveniencia, coherencia, relación lógica”</w:t>
      </w:r>
      <w:r>
        <w:rPr>
          <w:rFonts w:cs="Times New Roman" w:ascii="Times New Roman" w:hAnsi="Times New Roman"/>
          <w:color w:val="000000"/>
          <w:sz w:val="24"/>
          <w:szCs w:val="24"/>
        </w:rPr>
        <w:t>. A raíz de dicha definición podemos deducir que el principio de congruencia es equiparable al de idoneidad.</w:t>
      </w:r>
    </w:p>
    <w:p>
      <w:pPr>
        <w:pStyle w:val="Normal"/>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 xml:space="preserve">Queralt, por su parte, vincula el principio de idoneidad al de congruencia del medio utilizado en la actuación policial: </w:t>
      </w:r>
      <w:r>
        <w:rPr>
          <w:rFonts w:cs="Times New Roman" w:ascii="Times New Roman" w:hAnsi="Times New Roman"/>
          <w:i/>
          <w:color w:val="000000"/>
          <w:sz w:val="24"/>
          <w:szCs w:val="24"/>
        </w:rPr>
        <w:t xml:space="preserve">“Habrá que elegir el que para cada situación se demuestre más indicado”. </w:t>
      </w:r>
      <w:r>
        <w:rPr>
          <w:rStyle w:val="Ancladenotaalpie"/>
          <w:rFonts w:cs="Times New Roman" w:ascii="Times New Roman" w:hAnsi="Times New Roman"/>
          <w:i/>
          <w:color w:val="000000"/>
          <w:sz w:val="24"/>
          <w:szCs w:val="24"/>
        </w:rPr>
        <w:footnoteReference w:id="63"/>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En cuanto a la falta de regulación debemos partir de la redacción del artículo 5.2 c) de la Ley Orgánica de las Fuerzas y Cuerpos de Seguridad del Estado, se refiere a </w:t>
      </w:r>
      <w:r>
        <w:rPr>
          <w:rFonts w:cs="Times New Roman" w:ascii="Times New Roman" w:hAnsi="Times New Roman"/>
          <w:i/>
          <w:color w:val="000000"/>
          <w:sz w:val="24"/>
          <w:szCs w:val="24"/>
        </w:rPr>
        <w:t>“los medios a su alcance”.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En el ejercicio de sus funciones deberán actuar con la decisión necesaria, y sin demora cuando de ello dependa evitar un daño grave, inmediato e irreparable; rigiéndose al hacerlo por los principios de congruencia, oportunidad y proporcionalidad en la utilización de los medios a su alcance”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instrucción 12/2007, de 14 de septiembre, de la Secretaria del Estado de Seguridad sobre los comportamientos exigidos a los miembros de las Fuerzas y Cuerpos de Seguridad del Estado para garantizar los derechos de las personas que se encuentran bajo custodia policial, en la instrucción séptima dice: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La congruencia supone que el agente, una vez haya decidido el empleo de la fuerza y para que éste sea legítimo, habrá de elegir, de entre los medios legales previstos y disponibles, el que sea más idóneo y que mejor se adapte a la concreta situación, valorando, para ello, las prestaciones del medio agresivo, sus características, grados y demás efectos que respondan a la situación y finalidad legal pretendida”.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Se puede extraer que siempre que sea congruente, oportuno, y se utilice con proporcionalidad, cualquier medio es posible. </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color w:val="000000"/>
          <w:sz w:val="24"/>
          <w:szCs w:val="24"/>
        </w:rPr>
        <w:t>La instrucción séptima en su apartado 5 continua diciendo: “</w:t>
      </w:r>
      <w:r>
        <w:rPr>
          <w:rFonts w:cs="Times New Roman" w:ascii="Times New Roman" w:hAnsi="Times New Roman"/>
          <w:i/>
          <w:color w:val="000000"/>
          <w:sz w:val="24"/>
          <w:szCs w:val="24"/>
        </w:rPr>
        <w:t>Está terminantemente prohibida la utilización, durante la detención o en cualquier otro servicio policial, de armas que no estén incluidas en los equipamientos oficiales de las Fuerzas y Cuerpos de Seguridad del Estado o cuya utilización no haya sido autorizada expresamente”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 dicha redacción podemos alegar que los agentes no podrán utilizar armas particulares o no reglamentarias. Sin embargo el Tribunal Supremo considera más importante el modo de utilización del arma y no el carácter de la misma como se deduce de la STS 891/2008 de 11 de diciembre en el que el agente utilizó una defensa eléctrica no reglamentaria. El tribunal no entró en su carácter antirreglamentario o no.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Para finalizar diremos que en cuanto al tratamiento por parte de la jurisprudencia del principio de congruencia, se limita a citar dicho principio al hilo de la mención de la ley Orgánica de las fuerzas y Cuerpos de Seguridad del Estado, como norma reguladora en dichos casos.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1"/>
          <w:numId w:val="1"/>
        </w:numPr>
        <w:spacing w:lineRule="auto" w:line="360"/>
        <w:jc w:val="both"/>
        <w:outlineLvl w:val="1"/>
        <w:rPr>
          <w:rFonts w:cs="Times New Roman" w:ascii="Times New Roman" w:hAnsi="Times New Roman"/>
          <w:b/>
          <w:color w:val="000000"/>
          <w:sz w:val="28"/>
          <w:szCs w:val="28"/>
        </w:rPr>
      </w:pPr>
      <w:bookmarkStart w:id="24" w:name="_Toc480380997"/>
      <w:bookmarkEnd w:id="24"/>
      <w:r>
        <w:rPr>
          <w:rFonts w:cs="Times New Roman" w:ascii="Times New Roman" w:hAnsi="Times New Roman"/>
          <w:b/>
          <w:color w:val="000000"/>
          <w:sz w:val="28"/>
          <w:szCs w:val="28"/>
        </w:rPr>
        <w:t>Legítima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Junto al cumplimiento del deber existe otro criterio con capacidad de exonerar a las Fuerzas y Cuerpos de Seguridad del Estado de responsabilidad criminal por el uso de las armas. </w:t>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ListParagraph"/>
        <w:numPr>
          <w:ilvl w:val="2"/>
          <w:numId w:val="1"/>
        </w:numPr>
        <w:spacing w:lineRule="auto" w:line="360"/>
        <w:jc w:val="both"/>
        <w:outlineLvl w:val="2"/>
        <w:rPr>
          <w:rFonts w:cs="Times New Roman" w:ascii="Times New Roman" w:hAnsi="Times New Roman"/>
          <w:b/>
          <w:color w:val="000000"/>
          <w:sz w:val="28"/>
          <w:szCs w:val="28"/>
        </w:rPr>
      </w:pPr>
      <w:bookmarkStart w:id="25" w:name="_Toc480380998"/>
      <w:bookmarkEnd w:id="25"/>
      <w:r>
        <w:rPr>
          <w:rFonts w:cs="Times New Roman" w:ascii="Times New Roman" w:hAnsi="Times New Roman"/>
          <w:b/>
          <w:color w:val="000000"/>
          <w:sz w:val="28"/>
          <w:szCs w:val="28"/>
        </w:rPr>
        <w:t>Concepto y naturaleza jurídica.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Es la más conocida de las eximentes de la responsabilidad penal, parte del instinto innato que tiene el ser humano de sobrevivir, socialmente es aceptada como causa de exención de responsabilidad, aunque como bien establece el artículo 20.4 del Código Penal, tiene límites.</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Con la legítima defensa se hace referencia a una situación límite en la que el ordenamiento jurídico justifica repeler una agresión ilegítima contra bienes o derechos, aun a costa de inferir un daño al agresor.</w:t>
      </w:r>
      <w:r>
        <w:rPr>
          <w:rStyle w:val="Ancladenotaalpie"/>
          <w:rFonts w:cs="Times New Roman" w:ascii="Times New Roman" w:hAnsi="Times New Roman"/>
          <w:color w:val="000000"/>
          <w:sz w:val="24"/>
          <w:szCs w:val="24"/>
        </w:rPr>
        <w:footnoteReference w:id="64"/>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El Código Penal la define como la defensa necesaria para repeler una agresión o ataque injusto y actual o inminente dirigido contra los bienes jurídicos propios o ajenos, que son objeto de tutela de derecho penal. Su naturaleza es la de ser una causa de justificación independiente y absolutamente autónoma. El acto realizado en legítima defensa no es un acto antijurídico, puesto que las causas de justificación excluyen la antijuridicidad y la persona que obre bajo el ámbito de esta circunstancia, obra jurídicamente conforme al derecho y por lo tanto está libre de cualquier responsabilidad.  Su fundamento por tanto es doble: por una parte nos encontramos con un fundamento individual que no es más que la necesidad de proteger jurídicamente bienes individuales, que son objeto de un ataque considerado ilegítimo y por otra un fundamento social que consiste en la necesidad de defender dentro de los límites marcados por la ley el orden jurídico infringido por una agresión ilícita. La antijuridicidad es eliminada dada su naturaleza de causa de justificación. Tiene, por otra parte, carácter subsidiario limitado. La jurisprudencia establece que quien se defiende a él mismo o a otro de una agresión injusta, está impidiendo la conculación del orden jurídico y queda subrogado en una función exclusiva del poder público, pero que en este momento no puede ejercer. </w:t>
      </w:r>
      <w:r>
        <w:rPr>
          <w:rStyle w:val="Ancladenotaalpie"/>
          <w:rFonts w:cs="Times New Roman" w:ascii="Times New Roman" w:hAnsi="Times New Roman"/>
          <w:color w:val="000000"/>
          <w:sz w:val="24"/>
          <w:szCs w:val="24"/>
        </w:rPr>
        <w:footnoteReference w:id="65"/>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Según la doctrina su ámbito es general, ya que puede referirse a cualquier clase de derecho que esté siendo atacado. La jurisprudencia por su parte, solo admite esta eximente en determinados casos: ataque contra la vida e integridad de las personas, contra la libertad sexual, contra la propiedad si concurre acontecimiento personal o violación de domicilio o en agresiones referentes a la integridad moral o al honor.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Esta figura tiene su actuación principal en Derecho Penal como causa de exclusión de la antijuridicidad de las conductas típicas realizadas dentro de sus presupuestos, es una eximente que puede operar con idénticos efectos justificantes en las demás hipótesis de ilícito recogidas en las diferentes disciplinas jurídicas. </w:t>
      </w:r>
      <w:r>
        <w:rPr>
          <w:rStyle w:val="Ancladenotaalpie"/>
          <w:rFonts w:cs="Times New Roman" w:ascii="Times New Roman" w:hAnsi="Times New Roman"/>
          <w:color w:val="000000"/>
          <w:sz w:val="24"/>
          <w:szCs w:val="24"/>
        </w:rPr>
        <w:footnoteReference w:id="66"/>
      </w:r>
      <w:r>
        <w:rPr>
          <w:rFonts w:cs="Times New Roman" w:ascii="Times New Roman" w:hAnsi="Times New Roman"/>
          <w:color w:val="000000"/>
          <w:sz w:val="24"/>
          <w:szCs w:val="24"/>
        </w:rPr>
        <w:t xml:space="preserve"> Según la doctrina incluye además de los ilícitos civil y administrativos el supuesto creado por el artículo 13 de la Ley Orgánica de la Libertad Sindical, cuya finalidad es reprimir los actos contrarios, a la libertad sindical, recogida en el artículo 28.1 de la Constitución Española: conductas antisindicales.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Entendemos, por tanto, por legítima defensa aquella actuación que pretende finalizar, o interrumpir, con una determinada actividad ilícita que lesiona determinados bienes jurídicos propios o de un tercero, tras la lectura del artículo 20.4 Código Penal.</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4.º El que obre en defensa de la persona o derechos propios o ajenos, siempre que concurran los requisitos siguientes:</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Primero. Agresión ilegítima. En caso de defensa de los bienes se reputará agresión ilegítima el ataque a los mismos que constituya delito y los ponga en grave peligro de deterioro o pérdida inminentes. En caso de defensa de la morada o sus dependencias, se reputará agresión ilegítima la entrada indebida en aquélla o éstas”.</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La legítima defensa es como ya se ha dicho una necesidad natural del ser humano a reaccionar ante un peligro, es lo que conocemos como animus defendendi. La doctrina considera esta reacción como algo natural tal y como señalan Fernández Palma y Álvarez Feijoo, ya que el instinto de supervivencia es uno de los más básicos. </w:t>
      </w:r>
      <w:r>
        <w:rPr>
          <w:rStyle w:val="Ancladenotaalpie"/>
          <w:rFonts w:cs="Times New Roman" w:ascii="Times New Roman" w:hAnsi="Times New Roman"/>
          <w:color w:val="000000"/>
          <w:sz w:val="24"/>
          <w:szCs w:val="24"/>
        </w:rPr>
        <w:footnoteReference w:id="67"/>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Debemos establecer una limitación a la legítima defensa, por tanto tendrá que estar en peligro un determinado bien jurídico.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Código Penal de 1983 establecía tres casos diferentes de la legítima defensa: la legítima defensa propia; la legítima defensa de familiares; y la legítima defensa de desconocidos. Tras la reforma llevada a cabo por la Ley Orgánica 8/1983, de 25 de junio de Reforma Urgente y Parcial del Código Penal, se unificaron en un único criterio.</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El supuesto que nos concierne en el presente trabajo es saber qué bienes pueden ser objeto de consideración cuando hablamos de Cuerpos y Fuerzas de Seguridad como agente de la Autoridad, ya que en este caso se añaden derechos pertenecientes al Estado. </w:t>
      </w:r>
      <w:r>
        <w:rPr>
          <w:rStyle w:val="Ancladenotaalpie"/>
          <w:rFonts w:cs="Times New Roman" w:ascii="Times New Roman" w:hAnsi="Times New Roman"/>
          <w:color w:val="000000"/>
          <w:sz w:val="24"/>
          <w:szCs w:val="24"/>
        </w:rPr>
        <w:footnoteReference w:id="68"/>
      </w:r>
    </w:p>
    <w:p>
      <w:pPr>
        <w:pStyle w:val="Normal"/>
        <w:spacing w:lineRule="auto" w:line="360"/>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ListParagraph"/>
        <w:numPr>
          <w:ilvl w:val="2"/>
          <w:numId w:val="1"/>
        </w:numPr>
        <w:spacing w:lineRule="auto" w:line="360"/>
        <w:jc w:val="both"/>
        <w:outlineLvl w:val="2"/>
        <w:rPr>
          <w:rFonts w:cs="Times New Roman" w:ascii="Times New Roman" w:hAnsi="Times New Roman"/>
          <w:b/>
          <w:color w:val="000000"/>
          <w:sz w:val="28"/>
          <w:szCs w:val="28"/>
        </w:rPr>
      </w:pPr>
      <w:bookmarkStart w:id="26" w:name="_Toc480380999"/>
      <w:bookmarkEnd w:id="26"/>
      <w:r>
        <w:rPr>
          <w:rFonts w:cs="Times New Roman" w:ascii="Times New Roman" w:hAnsi="Times New Roman"/>
          <w:b/>
          <w:color w:val="000000"/>
          <w:sz w:val="28"/>
          <w:szCs w:val="28"/>
        </w:rPr>
        <w:t>Elementos de la legítima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artículo 20.4 del Código Penal realiza una enumeración de los elementos objetivos que integran la legítima defensa: Agresión ilegítima; Necesidad racional del medio empleado para impedirla o repelerla; Falta de provocación suficiente por parte del defensor.</w:t>
      </w:r>
    </w:p>
    <w:p>
      <w:pPr>
        <w:pStyle w:val="Normal"/>
        <w:spacing w:lineRule="auto" w:line="360"/>
        <w:jc w:val="both"/>
        <w:rPr>
          <w:rStyle w:val="Ancladenotaalpie"/>
          <w:rFonts w:cs="Times New Roman" w:ascii="Times New Roman" w:hAnsi="Times New Roman"/>
          <w:b/>
          <w:color w:val="000000"/>
          <w:sz w:val="24"/>
          <w:szCs w:val="24"/>
        </w:rPr>
      </w:pPr>
      <w:r>
        <w:rPr>
          <w:rFonts w:cs="Times New Roman" w:ascii="Times New Roman" w:hAnsi="Times New Roman"/>
          <w:color w:val="000000"/>
          <w:sz w:val="24"/>
          <w:szCs w:val="24"/>
        </w:rPr>
        <w:t>Estos elementos han sido defendidos por la jurisprudencia como elementos de obligado cumplimiento para que pueda aplicarse la eximente de la legítima defensa.</w:t>
      </w:r>
      <w:r>
        <w:rPr>
          <w:rFonts w:cs="Times New Roman" w:ascii="Times New Roman" w:hAnsi="Times New Roman"/>
          <w:b/>
          <w:color w:val="000000"/>
          <w:sz w:val="24"/>
          <w:szCs w:val="24"/>
        </w:rPr>
        <w:t xml:space="preserve"> </w:t>
      </w:r>
      <w:r>
        <w:rPr>
          <w:rStyle w:val="Ancladenotaalpie"/>
          <w:rFonts w:cs="Times New Roman" w:ascii="Times New Roman" w:hAnsi="Times New Roman"/>
          <w:b/>
          <w:color w:val="000000"/>
          <w:sz w:val="24"/>
          <w:szCs w:val="24"/>
        </w:rPr>
        <w:footnoteReference w:id="69"/>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3"/>
          <w:numId w:val="1"/>
        </w:numPr>
        <w:spacing w:lineRule="auto" w:line="360"/>
        <w:jc w:val="both"/>
        <w:outlineLvl w:val="3"/>
        <w:rPr>
          <w:rFonts w:cs="Times New Roman" w:ascii="Times New Roman" w:hAnsi="Times New Roman"/>
          <w:b/>
          <w:color w:val="000000"/>
          <w:sz w:val="24"/>
          <w:szCs w:val="24"/>
        </w:rPr>
      </w:pPr>
      <w:bookmarkStart w:id="27" w:name="_Toc480381000"/>
      <w:bookmarkEnd w:id="27"/>
      <w:r>
        <w:rPr>
          <w:rFonts w:cs="Times New Roman" w:ascii="Times New Roman" w:hAnsi="Times New Roman"/>
          <w:b/>
          <w:color w:val="000000"/>
          <w:sz w:val="24"/>
          <w:szCs w:val="24"/>
        </w:rPr>
        <w:t>Agresión ilegítima.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concepto de agresión ilegítima ha ido evolucionando con el paso del tiempo. Así, en un principio solo se consideraba agresión ilegítima si se producía por el empleo de la fuerza y la violencia física. Existía un vacío legal con respecto a los bienes jurídicos de la persona. Por este motivo la jurisprudencia ha ido ampliando el concepto hasta el que se encuentra tipificado en nuestros días.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primer párrafo del artículo 20.7 señala:</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Agresión ilegítima. En caso de defensa de los bienes se reputará agresión ilegítima el ataque a los mismos que constituya delito y los ponga en grave peligro de deterioro o pérdida inminentes. En caso de defensa de la morada o de sus dependencias, se reputará agresión ilegítima la entrada indebida en aquella o estas.”</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 xml:space="preserve">La agresión ilegítima se produce contra la persona a través de una agresión física, pero también contra sus bienes y derechos. Romero Casabona entiende por agresión, aquel acto con relevancia jurídica para impulsar la acción de los sujetos que defienden los bienes jurídicos protegidos, es un comportamiento humano penalmente relevante </w:t>
      </w:r>
      <w:r>
        <w:rPr>
          <w:rStyle w:val="Ancladenotaalpie"/>
          <w:rFonts w:cs="Times New Roman" w:ascii="Times New Roman" w:hAnsi="Times New Roman"/>
          <w:color w:val="000000"/>
          <w:sz w:val="24"/>
          <w:szCs w:val="24"/>
        </w:rPr>
        <w:footnoteReference w:id="70"/>
      </w:r>
      <w:r>
        <w:rPr>
          <w:rFonts w:cs="Times New Roman" w:ascii="Times New Roman" w:hAnsi="Times New Roman"/>
          <w:color w:val="000000"/>
          <w:sz w:val="24"/>
          <w:szCs w:val="24"/>
        </w:rPr>
        <w:t>. Pero como ya se ha dicho en el presente trabajo, la jurisprudencia admite otras vías de agresión a otros bienes como el honor, la seguridad de la persona …</w:t>
      </w:r>
      <w:r>
        <w:rPr>
          <w:rStyle w:val="Ancladenotaalpie"/>
          <w:rFonts w:cs="Times New Roman" w:ascii="Times New Roman" w:hAnsi="Times New Roman"/>
          <w:color w:val="000000"/>
          <w:sz w:val="24"/>
          <w:szCs w:val="24"/>
        </w:rPr>
        <w:footnoteReference w:id="71"/>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Según la jurisprudencia por agresión ilegítima, debe entenderse todo ataque inminente, real, directo, injusto, inmotivado e imprevisto. </w:t>
      </w:r>
      <w:r>
        <w:rPr>
          <w:rStyle w:val="Ancladenotaalpie"/>
          <w:rFonts w:cs="Times New Roman" w:ascii="Times New Roman" w:hAnsi="Times New Roman"/>
          <w:color w:val="000000"/>
          <w:sz w:val="24"/>
          <w:szCs w:val="24"/>
        </w:rPr>
        <w:footnoteReference w:id="72"/>
      </w:r>
      <w:r>
        <w:rPr>
          <w:rFonts w:cs="Times New Roman" w:ascii="Times New Roman" w:hAnsi="Times New Roman"/>
          <w:color w:val="000000"/>
          <w:sz w:val="24"/>
          <w:szCs w:val="24"/>
        </w:rPr>
        <w:t xml:space="preserve"> Por lo que se entiende que debe ser dolosa causada intencionadamente, sin que se admitan las formas imprudentes de la agresión ilegítima, no debe encontrarse amparada en derecho.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Con respecto al carácter </w:t>
      </w:r>
      <w:r>
        <w:rPr>
          <w:rFonts w:cs="Times New Roman" w:ascii="Times New Roman" w:hAnsi="Times New Roman"/>
          <w:i/>
          <w:color w:val="000000"/>
          <w:sz w:val="24"/>
          <w:szCs w:val="24"/>
        </w:rPr>
        <w:t>“inminente”,</w:t>
      </w:r>
      <w:r>
        <w:rPr>
          <w:rFonts w:cs="Times New Roman" w:ascii="Times New Roman" w:hAnsi="Times New Roman"/>
          <w:color w:val="000000"/>
          <w:sz w:val="24"/>
          <w:szCs w:val="24"/>
        </w:rPr>
        <w:t xml:space="preserve"> se requiere que la legítima defensa se ejercite frente a una agresión que no haya sido consumada y agotada, sino actual. Toda agresión posterior será considerada venganza. </w:t>
      </w:r>
      <w:r>
        <w:rPr>
          <w:rStyle w:val="Ancladenotaalpie"/>
          <w:rFonts w:cs="Times New Roman" w:ascii="Times New Roman" w:hAnsi="Times New Roman"/>
          <w:color w:val="000000"/>
          <w:sz w:val="24"/>
          <w:szCs w:val="24"/>
        </w:rPr>
        <w:footnoteReference w:id="73"/>
      </w:r>
      <w:r>
        <w:rPr>
          <w:rFonts w:cs="Times New Roman" w:ascii="Times New Roman" w:hAnsi="Times New Roman"/>
          <w:color w:val="000000"/>
          <w:sz w:val="24"/>
          <w:szCs w:val="24"/>
        </w:rPr>
        <w:t>Debe tratarse de una agresión real.</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Según el Tribunal Supremo, podemos entender como provocación a la agresión el incitar a ella. El defensor no debe dar lugar, con su conducta injusta, a la agresión, excitando, exasperando o provocando al agresor. No es aceptada en estos casos la discusión. En caso de que se halla incitado a la agresión, como ya hemos dicho anteriormente, no existe legítima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cuanto a los bienes jurídicos defendibles, cualquier bien jurídico puede ser objeto de agresión, por tanto, defendible, tanto los propios como los ajenos.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Podemos concluir diciendo que uno de los pilares fundamentales de la legítima defensa es la agresión ilegítima.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3"/>
          <w:numId w:val="1"/>
        </w:numPr>
        <w:spacing w:lineRule="auto" w:line="360"/>
        <w:jc w:val="both"/>
        <w:outlineLvl w:val="3"/>
        <w:rPr>
          <w:rFonts w:cs="Times New Roman" w:ascii="Times New Roman" w:hAnsi="Times New Roman"/>
          <w:b/>
          <w:color w:val="000000"/>
          <w:sz w:val="24"/>
          <w:szCs w:val="24"/>
        </w:rPr>
      </w:pPr>
      <w:bookmarkStart w:id="28" w:name="_Toc480381001"/>
      <w:bookmarkEnd w:id="28"/>
      <w:r>
        <w:rPr>
          <w:rFonts w:cs="Times New Roman" w:ascii="Times New Roman" w:hAnsi="Times New Roman"/>
          <w:b/>
          <w:color w:val="000000"/>
          <w:sz w:val="24"/>
          <w:szCs w:val="24"/>
        </w:rPr>
        <w:t>Necesidad de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trata de una necesidad racional, el agredido para evitar el ataque del agresor y sus consecuencias no puede acudir a otro medio más que a la defensa. La acción de defensa debe ser la adecuada para repeler o impedir la agresión.</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artículo 20 párrafo 2º del Código Penal dice:</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Necesidad racional del medio empleado para impedirla o repelerla.”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 este artículo emanan dos criterios: necesidad de una defensa frente a una agresión ilegítima y necesidad racional del medio empleado, que desarrollaremos en los siguientes epígrafes.</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El Tribunal Supremo ha declarado que no es exigible al agredido que evite la agresión huyendo, salvo si la huida, es posible, no vergonzante y con ello es segura y no habrá agresión. </w:t>
      </w:r>
      <w:r>
        <w:rPr>
          <w:rStyle w:val="Ancladenotaalpie"/>
          <w:rFonts w:cs="Times New Roman" w:ascii="Times New Roman" w:hAnsi="Times New Roman"/>
          <w:color w:val="000000"/>
          <w:sz w:val="24"/>
          <w:szCs w:val="24"/>
        </w:rPr>
        <w:footnoteReference w:id="74"/>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No es exigible que haya proporcionalidad entre el daño del agresor y el daño causado por la defensa, sino la necesidad de esta para impedir la agresión. Otra cosa diferente es que la proporcionalidad determina la exclusión del derecho de defensa si es exagerada de desproporción.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La defensa necesaria se excluye en los casos de relaciones personales estrechas: padres, hijos, esposos etc. En estos casos se debe recurrir al medio más suave.</w:t>
      </w:r>
    </w:p>
    <w:p>
      <w:pPr>
        <w:pStyle w:val="Normal"/>
        <w:spacing w:lineRule="auto" w:line="360"/>
        <w:jc w:val="both"/>
        <w:rPr>
          <w:rStyle w:val="Ancladenotaalpie"/>
          <w:rFonts w:cs="Times New Roman" w:ascii="Times New Roman" w:hAnsi="Times New Roman"/>
          <w:color w:val="000000"/>
          <w:sz w:val="24"/>
          <w:szCs w:val="24"/>
        </w:rPr>
      </w:pPr>
      <w:r>
        <w:rPr>
          <w:rFonts w:cs="Times New Roman" w:ascii="Times New Roman" w:hAnsi="Times New Roman"/>
          <w:color w:val="000000"/>
          <w:sz w:val="24"/>
          <w:szCs w:val="24"/>
        </w:rPr>
        <w:t xml:space="preserve">El Tribunal Supremo en numerosos pronunciamientos ha declarado que debe existir una proporcionalidad entre los medios de defensa y ataque, tanto en cuanto a los instrumentos utilizados como al modo en el que usan. </w:t>
      </w:r>
      <w:r>
        <w:rPr>
          <w:rStyle w:val="Ancladenotaalpie"/>
          <w:rFonts w:cs="Times New Roman" w:ascii="Times New Roman" w:hAnsi="Times New Roman"/>
          <w:color w:val="000000"/>
          <w:sz w:val="24"/>
          <w:szCs w:val="24"/>
        </w:rPr>
        <w:footnoteReference w:id="75"/>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4"/>
          <w:numId w:val="1"/>
        </w:numPr>
        <w:spacing w:lineRule="auto" w:line="360"/>
        <w:jc w:val="both"/>
        <w:outlineLvl w:val="4"/>
        <w:rPr>
          <w:rFonts w:cs="Times New Roman" w:ascii="Times New Roman" w:hAnsi="Times New Roman"/>
          <w:b/>
          <w:color w:val="000000"/>
          <w:sz w:val="24"/>
          <w:szCs w:val="24"/>
        </w:rPr>
      </w:pPr>
      <w:bookmarkStart w:id="29" w:name="_Toc480381002"/>
      <w:bookmarkEnd w:id="29"/>
      <w:r>
        <w:rPr>
          <w:rFonts w:cs="Times New Roman" w:ascii="Times New Roman" w:hAnsi="Times New Roman"/>
          <w:b/>
          <w:color w:val="000000"/>
          <w:sz w:val="24"/>
          <w:szCs w:val="24"/>
        </w:rPr>
        <w:t>Necesidad de una defensa frente a una agresión ilegítima.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primero de los criterios a los que hace referencia el citado artículo, se refiere a la necesidad de defensa frente a una agresión ilícita. Estamos ante una necesidad de defensa en abstracto.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Debemos puntualizar que la agresión debe ser inminente o actual, con lo que todavía cabe la posibilidad de defensa.</w:t>
      </w:r>
      <w:r>
        <w:rPr>
          <w:rStyle w:val="Ancladenotaalpie"/>
          <w:rFonts w:cs="Times New Roman" w:ascii="Times New Roman" w:hAnsi="Times New Roman"/>
          <w:color w:val="000000"/>
          <w:sz w:val="24"/>
          <w:szCs w:val="24"/>
        </w:rPr>
        <w:footnoteReference w:id="76"/>
      </w:r>
      <w:r>
        <w:rPr>
          <w:rFonts w:cs="Times New Roman" w:ascii="Times New Roman" w:hAnsi="Times New Roman"/>
          <w:color w:val="000000"/>
          <w:sz w:val="24"/>
          <w:szCs w:val="24"/>
        </w:rPr>
        <w:t xml:space="preserve"> Por tanto la agresión no puede haber finalizado. Con el carácter inminente se hace referencia a los actos preparatorios necesarios para llevar a cabo la actividad.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Si el sujeto responde con anterioridad al inicio de la agresión, no se podrá apreciar la legítima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Es preciso también que la agresión tenga un carácter de peligrosidad para que la actuación del sujeto o del tercero sea legítima, de otro modo no se podría justificar la actuación defensiva, puesto que faltaría la necesidad.</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4"/>
          <w:numId w:val="1"/>
        </w:numPr>
        <w:spacing w:lineRule="auto" w:line="360"/>
        <w:jc w:val="both"/>
        <w:outlineLvl w:val="4"/>
        <w:rPr>
          <w:rFonts w:cs="Times New Roman" w:ascii="Times New Roman" w:hAnsi="Times New Roman"/>
          <w:b/>
          <w:color w:val="000000"/>
          <w:sz w:val="24"/>
          <w:szCs w:val="24"/>
        </w:rPr>
      </w:pPr>
      <w:bookmarkStart w:id="30" w:name="_Toc480381003"/>
      <w:bookmarkEnd w:id="30"/>
      <w:r>
        <w:rPr>
          <w:rFonts w:cs="Times New Roman" w:ascii="Times New Roman" w:hAnsi="Times New Roman"/>
          <w:b/>
          <w:color w:val="000000"/>
          <w:sz w:val="24"/>
          <w:szCs w:val="24"/>
        </w:rPr>
        <w:t>Necesidad racional del medio empleado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 cuanto al segundo criterio, ni la doctrina ni la jurisprudencia aceptan la necesidad de cualquier tipo de fuerza. La necesidad del medio utilizado debe ser racional, tal como señala el Tribunal Supremo</w:t>
      </w:r>
      <w:r>
        <w:rPr>
          <w:rStyle w:val="Ancladenotaalpie"/>
          <w:rFonts w:cs="Times New Roman" w:ascii="Times New Roman" w:hAnsi="Times New Roman"/>
          <w:color w:val="000000"/>
          <w:sz w:val="24"/>
          <w:szCs w:val="24"/>
        </w:rPr>
        <w:footnoteReference w:id="77"/>
      </w:r>
      <w:r>
        <w:rPr>
          <w:rFonts w:cs="Times New Roman" w:ascii="Times New Roman" w:hAnsi="Times New Roman"/>
          <w:color w:val="000000"/>
          <w:sz w:val="24"/>
          <w:szCs w:val="24"/>
        </w:rPr>
        <w:t>. Por tanto cualquier fuerza o defensa que se considere desmedida con respecto a los hechos que la causan, no podrá ser apreciada.</w:t>
      </w:r>
    </w:p>
    <w:p>
      <w:pPr>
        <w:pStyle w:val="Footnotetext"/>
        <w:spacing w:lineRule="auto" w:line="360"/>
        <w:jc w:val="both"/>
        <w:rPr>
          <w:rStyle w:val="Ancladenotaalpie"/>
          <w:rFonts w:cs="Times New Roman" w:ascii="Times New Roman" w:hAnsi="Times New Roman"/>
          <w:i/>
          <w:color w:val="000000"/>
          <w:sz w:val="24"/>
          <w:szCs w:val="24"/>
        </w:rPr>
      </w:pPr>
      <w:r>
        <w:rPr>
          <w:rFonts w:cs="Times New Roman" w:ascii="Times New Roman" w:hAnsi="Times New Roman"/>
          <w:color w:val="000000"/>
          <w:sz w:val="24"/>
          <w:szCs w:val="24"/>
        </w:rPr>
        <w:t xml:space="preserve">Siguiendo al Tribunal Supremo en su sentencia de 18 de noviembre de 2000 </w:t>
      </w:r>
      <w:r>
        <w:rPr>
          <w:rFonts w:cs="Times New Roman" w:ascii="Times New Roman" w:hAnsi="Times New Roman"/>
          <w:i/>
          <w:color w:val="000000"/>
          <w:sz w:val="24"/>
          <w:szCs w:val="24"/>
        </w:rPr>
        <w:t>“...la necesidad del medio ha de llevarse a un plano referencial de proporcionalidad o correspondencia entre el ataque y la reacción defensiva, de lo que se infiere, en definitiva, que la necesidad de defensa ha sido entendida de modo general, en el sentido de justificar la actitud de un contraataque frente a una agresión o acontecimiento amenazantes ...”</w:t>
      </w:r>
      <w:r>
        <w:rPr>
          <w:rStyle w:val="Ancladenotaalpie"/>
          <w:rFonts w:cs="Times New Roman" w:ascii="Times New Roman" w:hAnsi="Times New Roman"/>
          <w:i/>
          <w:color w:val="000000"/>
          <w:sz w:val="24"/>
          <w:szCs w:val="24"/>
        </w:rPr>
        <w:footnoteReference w:id="78"/>
      </w:r>
    </w:p>
    <w:p>
      <w:pPr>
        <w:pStyle w:val="Footnotetext"/>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No sería éticamente correcto que con el fin de justificar un acto ilícito, se sobrepasaran los límites morales.</w:t>
      </w:r>
    </w:p>
    <w:p>
      <w:pPr>
        <w:pStyle w:val="Normal"/>
        <w:spacing w:lineRule="auto" w:line="360"/>
        <w:jc w:val="both"/>
        <w:rPr>
          <w:rFonts w:cs="Times New Roman" w:ascii="Times New Roman" w:hAnsi="Times New Roman"/>
          <w:b/>
          <w:color w:val="000000"/>
          <w:sz w:val="28"/>
          <w:szCs w:val="28"/>
        </w:rPr>
      </w:pPr>
      <w:r>
        <w:rPr>
          <w:rFonts w:cs="Times New Roman" w:ascii="Times New Roman" w:hAnsi="Times New Roman"/>
          <w:b/>
          <w:color w:val="000000"/>
          <w:sz w:val="28"/>
          <w:szCs w:val="28"/>
        </w:rPr>
      </w:r>
    </w:p>
    <w:p>
      <w:pPr>
        <w:pStyle w:val="ListParagraph"/>
        <w:numPr>
          <w:ilvl w:val="3"/>
          <w:numId w:val="1"/>
        </w:numPr>
        <w:spacing w:lineRule="auto" w:line="360"/>
        <w:jc w:val="both"/>
        <w:outlineLvl w:val="3"/>
        <w:rPr>
          <w:rFonts w:cs="Times New Roman" w:ascii="Times New Roman" w:hAnsi="Times New Roman"/>
          <w:b/>
          <w:color w:val="000000"/>
          <w:sz w:val="28"/>
          <w:szCs w:val="28"/>
        </w:rPr>
      </w:pPr>
      <w:bookmarkStart w:id="31" w:name="_Toc480381004"/>
      <w:bookmarkEnd w:id="31"/>
      <w:r>
        <w:rPr>
          <w:rFonts w:cs="Times New Roman" w:ascii="Times New Roman" w:hAnsi="Times New Roman"/>
          <w:b/>
          <w:color w:val="000000"/>
          <w:sz w:val="28"/>
          <w:szCs w:val="28"/>
        </w:rPr>
        <w:t>Falta de provocación suficiente.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trata  del último de los elementos regulado en el artículo 20.4 del Código Penal:</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t>“</w:t>
      </w:r>
      <w:r>
        <w:rPr>
          <w:rFonts w:cs="Times New Roman" w:ascii="Times New Roman" w:hAnsi="Times New Roman"/>
          <w:i/>
          <w:color w:val="000000"/>
          <w:sz w:val="24"/>
          <w:szCs w:val="24"/>
        </w:rPr>
        <w:t>Falta de provocación suficiente por parte del defensor”.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Encontramos dificultades en cuanto a la interpretación de este requisito, tanto en la teoría como en la práctica. Según el Tribunal Supremo es provocación suficiente la que es adecuada a la reacción del provocado. La doctrina por su parte entiende que es aquella que al hombre medio le hubiera determinado una reacción agresiva.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El ánimo defensivo, constituye un elemento subjetivo de la legítima defensa, debiendo concurrir siempre, que el que se defienda lo haya hecho conociendo las circunstancias de la lesión ilegítima y que haya una intención de defenderse (animus defendendi)</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ListParagraph"/>
        <w:numPr>
          <w:ilvl w:val="0"/>
          <w:numId w:val="1"/>
        </w:numPr>
        <w:spacing w:lineRule="auto" w:line="360"/>
        <w:jc w:val="both"/>
        <w:outlineLvl w:val="0"/>
        <w:rPr>
          <w:rFonts w:cs="Times New Roman" w:ascii="Times New Roman" w:hAnsi="Times New Roman"/>
          <w:b/>
          <w:color w:val="000000"/>
          <w:sz w:val="28"/>
          <w:szCs w:val="28"/>
        </w:rPr>
      </w:pPr>
      <w:bookmarkStart w:id="32" w:name="_Toc480381005"/>
      <w:bookmarkEnd w:id="32"/>
      <w:r>
        <w:rPr>
          <w:rFonts w:cs="Times New Roman" w:ascii="Times New Roman" w:hAnsi="Times New Roman"/>
          <w:b/>
          <w:color w:val="000000"/>
          <w:sz w:val="28"/>
          <w:szCs w:val="28"/>
        </w:rPr>
        <w:t>Conclusiones finales.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Como se ha dicho al inicio del presente trabajo la utilización de las armas por parte de las Fuerzas y Cuerpos de Seguridad del Estado ha suscitado numerosas controversias. El órgano legislativo español ha buscado soluciones para estos casos, ya que se trata de un problema relevante en nuestra sociedad y con anterioridad a la entrada en vigor de nuestra Constitución su regulación era muy permisiva, con lo que frecuentemente se cometían abusos policiales. Así nuestro ordenamiento jurídico ha ido evolucionando con el fin de proteger tanto a los ciudadanos como a sus bienes frente a actuaciones coactivas por parte de los Agentes del Estado, aunque en  opinión de muchos autores los artículos que regulan este tema siguen siendo  ambiguos o por lo menos poco precisos.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Tras el estudio normativo llevado a cabo, podemos decir que la circunstancia contenida en el   artículo 20.7ª del Código Penal, es la que mejor recoge los supuestos en los que un agente se ve obligado a utilizar la fuerza para el cumplimiento de un deber. Sin embargo, como se ha visto a lo largo del trabajo, nuestro ordenamiento jurídico no contiene una norma que regule la utilización de las armas por parte de las Fuerzas y Cuerpos de Seguridad del Estado, muy al contrario nos encontramos con una duplicidad de normas que hacen referencia a este caso concreto.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Pero esto no es algo nuevo, ya en el Código Penal de 1848 se recogía la eximente de obrar en el cumplimiento de un deber, o en el ejercicio legítimo de un derecho, oficio o cargo. Podemos citar también el código Penal de 1822 que contiene preceptos que regulan aspectos relacionados con la eximente de cumplimiento de un deber. Así en su  art 624 dicho  código  permite matar al autor de un delito grave para la causa pública, o al que se resiste a la detención o bien huye. Se introduce el requisito de la proporcionalidad, inédito hasta ese momento. Como ya hemos dicho será el Código Penal de 1848 el que recoja la eximente, con una redacción prácticamente igual a la actual. Así en su art 8.11º del Código Penal dice: </w:t>
      </w:r>
      <w:r>
        <w:rPr>
          <w:rFonts w:cs="Times New Roman" w:ascii="Times New Roman" w:hAnsi="Times New Roman"/>
          <w:i/>
          <w:color w:val="000000"/>
          <w:sz w:val="24"/>
          <w:szCs w:val="24"/>
        </w:rPr>
        <w:t>“El que obra en cumplimiento de un deber o en el ejercicio legítimo de un derecho, autoridad, oficio o cargo”, el de 1870 suprimirá la expresión “cumplimiento de un deber” por “cumplimiento de un precepto legal”</w:t>
      </w:r>
      <w:r>
        <w:rPr>
          <w:rFonts w:cs="Times New Roman" w:ascii="Times New Roman" w:hAnsi="Times New Roman"/>
          <w:color w:val="000000"/>
          <w:sz w:val="24"/>
          <w:szCs w:val="24"/>
        </w:rPr>
        <w:t>. A partir del Código Penal de 1932, su redacción vuelve a ser la original, permaneciendo prácticamente como la que tenemos en la actualidad. Esta obediencia debida se corresponde en la actualidad con la eximente de cumplimiento de un deber.</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Nuestro ordenamiento jurídico realiza una enumeración negativa de los casos en los que las Fuerzas y Cuerpos de Seguridad del Estado no tienen responsabilidad penal. Así la Ley 2/1987 de 13 de marzo de Fuerzas y Cuerpos de Seguridad limita las situaciones en las que podrán emplearse las armas, de una manera genérica, para el caso de peligro para la vida y peligro para la seguridad ciudadana. Con lo que en nuestro ordenamiento jurídico no existe una norma que regule el uso de armas por parte de las Fuerzas y Cuerpos de Seguridad del Estado.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No se puede olvidar para concluir que la jurisprudencia y la doctrina se encuentran enfrentadas en cuanto a las causas de justificación jurídica con respecto a la aplicación o no de la legítima defensa como causa de exoneración de la responsabilidad de los agentes policiales. Tanto la jurisprudencia del Tribunal Supremo como diversos autores consideran que la legítima defensa es incompatible con el cumplimiento de un deber con respecto al uso de las armas por los Cuerpos y Fuerzas de Seguridad del Estado. Otros, por el contrario determinan  el carácter subsidiario de la legítima defensa, en los supuestos en los que falte alguno de los requisitos necesarios en el cumplimiento de un deber, por tanto, podrá ser aplicable la legítima defensa.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Se afirma, por tanto, que no existe en nuestro ordenamiento jurídico una norma concreta que regule el uso de las armas por parte de los Cuerpos de las Fuerzas de Seguridad del Estado. La Ley de Fuerzas y Cuerpos de Seguridad del Estado  realiza únicamente una enumeración tácita, enumerando las causas de exculpación de la responsabilidad penal, recogidas en el Código Penal, en su Libro I, Título I, Capítulo II.</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Para concluir se debe decir que las Fuerzas y Cuerpos del Estado cumplen la misión de mantener el orden público y garantizar los derechos y libertades recogidos en nuestra Carta Magna. Para la aplicación de la eximente del cumplimiento de un deber (tratada en el presente trabajo), el funcionario debe estar autorizado y el uso de la violencia debe ser necesario, asimismo el ejercicio de dicha violencia debe ser proporcionado, con lo que debe haber resistencia o una actitud peligrosa por parte del sujeto que sufre la violencia policial. Es necesario diferenciar aquellos supuestos en los que los ciudadanos, insultan, agreden o lanzan objetos de aquellos en los que se da una resistencia pasiva, en los que simplemente se niegan a cumplir las indicaciones de los agentes. Por tanto, la proporcionalidad de los medios requieren un examen individualizado. Es necesaria la prohibición de toda práctica discriminatorio, arbitraría o abusiva que entrañe violencia. Los agentes deben regirse en todas sus actuaciones de acuerdo con los principios de congruencia u oportunidad y proporcionalidad en el uso de los medios que tenga a su alcance.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Queda patente, tras el estudio realizado, la ambigüedad con la que nuestro ordenamiento jurídico trata el tema y la necesidad de individualizar los casos.</w:t>
      </w:r>
    </w:p>
    <w:p>
      <w:pPr>
        <w:pStyle w:val="ListParagraph"/>
        <w:numPr>
          <w:ilvl w:val="0"/>
          <w:numId w:val="1"/>
        </w:numPr>
        <w:spacing w:lineRule="auto" w:line="360"/>
        <w:jc w:val="both"/>
        <w:outlineLvl w:val="0"/>
        <w:rPr>
          <w:rFonts w:cs="Times New Roman" w:ascii="Times New Roman" w:hAnsi="Times New Roman"/>
          <w:b/>
          <w:color w:val="000000"/>
          <w:sz w:val="24"/>
          <w:szCs w:val="24"/>
        </w:rPr>
      </w:pPr>
      <w:bookmarkStart w:id="33" w:name="_Toc480381006"/>
      <w:r>
        <w:rPr>
          <w:rFonts w:cs="Times New Roman" w:ascii="Times New Roman" w:hAnsi="Times New Roman"/>
          <w:b/>
          <w:color w:val="000000"/>
          <w:sz w:val="28"/>
          <w:szCs w:val="28"/>
        </w:rPr>
        <w:t>Jurisprudencia.</w:t>
      </w:r>
      <w:bookmarkEnd w:id="33"/>
      <w:r>
        <w:rPr>
          <w:rFonts w:cs="Times New Roman" w:ascii="Times New Roman" w:hAnsi="Times New Roman"/>
          <w:b/>
          <w:color w:val="000000"/>
          <w:sz w:val="24"/>
          <w:szCs w:val="24"/>
        </w:rPr>
        <w:t xml:space="preserve">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de 9 de marzo de 1963</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5001/1980,  20 octubre  1980. ECLI: ES:TS:1980:5001</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STC de 2 de febrero de 1981</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STC de 31 de marzo de 1981</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de 16 de mayo de 1983</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de 2 de julio de 1987</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de 16 de marzo de 1990</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15168/1990, 20 abril  1990. ECLI:ES:TS 1990:15168</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de 18 de noviembre de 1992</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1715/1994, de 30 de septiembre ECLI:ES:TS:1994:1715</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STS 7387/1997  5 de diciembre 1997. ECLI:ES:TS 1997:7387 </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26/1998, de 16 de enero . ECLI:ES:TS 1998:26</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722/1998, de 20 de mayo. ECLI:ES:TS:1998:722</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1766/1999, de 9 de diciembre.ECLI:ES:TS:1999:1766</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8356/2000, 16 de noviembre de 2000. ECLI:ES:TS:2000:8356</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1053/2002, de 5 de junio. ECLI:ES:TS:2002:1053</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1630/2002, de 2 de octubre. ECLI:ES:TS:2002:1630</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444/2004, de 1 de abril; ECLI:ES:TS:2004:444</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1262/2006, de 28 de diciembre,ECLI:ES:TS:2006:1262</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882/2010 de 15 de octubre ECLI:ES:TS:2010:882</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STS 891/2008 de 11 de diciembre ECLI:ES:TS:2008:891</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STEDH de 8 de febrero de 2011</w:t>
      </w:r>
    </w:p>
    <w:p>
      <w:pPr>
        <w:pStyle w:val="ListParagraph"/>
        <w:numPr>
          <w:ilvl w:val="0"/>
          <w:numId w:val="1"/>
        </w:numPr>
        <w:jc w:val="both"/>
        <w:outlineLvl w:val="0"/>
        <w:rPr>
          <w:rFonts w:cs="Times New Roman" w:ascii="Times New Roman" w:hAnsi="Times New Roman"/>
          <w:b/>
          <w:color w:val="000000"/>
          <w:sz w:val="24"/>
          <w:szCs w:val="24"/>
        </w:rPr>
      </w:pPr>
      <w:bookmarkStart w:id="34" w:name="_Toc480381007"/>
      <w:bookmarkEnd w:id="34"/>
      <w:r>
        <w:rPr>
          <w:rFonts w:cs="Times New Roman" w:ascii="Times New Roman" w:hAnsi="Times New Roman"/>
          <w:b/>
          <w:color w:val="000000"/>
          <w:sz w:val="24"/>
          <w:szCs w:val="24"/>
        </w:rPr>
        <w:t>BIBLIOGRAFÍA</w:t>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BAYÓN LÓPEZ, C (2009) </w:t>
      </w:r>
      <w:r>
        <w:rPr>
          <w:rFonts w:cs="Times New Roman" w:ascii="Times New Roman" w:hAnsi="Times New Roman"/>
          <w:i/>
          <w:color w:val="000000"/>
          <w:sz w:val="24"/>
          <w:szCs w:val="24"/>
        </w:rPr>
        <w:t>El uso de las armas por parte de los funcionarios policiales.</w:t>
      </w:r>
      <w:r>
        <w:rPr>
          <w:rFonts w:cs="Times New Roman" w:ascii="Times New Roman" w:hAnsi="Times New Roman"/>
          <w:color w:val="000000"/>
          <w:sz w:val="24"/>
          <w:szCs w:val="24"/>
        </w:rPr>
        <w:t xml:space="preserve"> Diario la Ley, nº 7177, año XXX,  19 de mayo de 2009, Ref. D-180, Editorial: La Ley.  (LA LEY 11123/2009)</w:t>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BRAIBANT, G  (1984) </w:t>
      </w:r>
      <w:r>
        <w:rPr>
          <w:rFonts w:cs="Times New Roman" w:ascii="Times New Roman" w:hAnsi="Times New Roman"/>
          <w:i/>
          <w:color w:val="000000"/>
          <w:sz w:val="24"/>
          <w:szCs w:val="24"/>
        </w:rPr>
        <w:t>Le droit administratif frangais</w:t>
      </w:r>
      <w:r>
        <w:rPr>
          <w:rFonts w:cs="Times New Roman" w:ascii="Times New Roman" w:hAnsi="Times New Roman"/>
          <w:color w:val="000000"/>
          <w:sz w:val="24"/>
          <w:szCs w:val="24"/>
        </w:rPr>
        <w:t xml:space="preserve">, Presses de la Fondation Nationale des Sciences Politiques y Dalloz. Pp. 283. </w:t>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t>CARRO FERNÁNDEZ-VALMAYOR, J.L (1977) La problemática europea sobre el uso de las armas de fuego como forma de coacción administrativa. Revista de Administración Pública. Núm 84. Pp. 109</w:t>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i/>
          <w:color w:val="000000"/>
          <w:sz w:val="24"/>
          <w:szCs w:val="24"/>
        </w:rPr>
        <w:t>Congreso de las Naciones Unidas sobre prevención de delitos y justicia penal. 1955-2010. 55 año de logros.</w:t>
      </w:r>
      <w:r>
        <w:rPr>
          <w:rFonts w:cs="Times New Roman" w:ascii="Times New Roman" w:hAnsi="Times New Roman"/>
          <w:color w:val="000000"/>
          <w:sz w:val="24"/>
          <w:szCs w:val="24"/>
        </w:rPr>
        <w:t xml:space="preserve">  Texto rescatado de:</w:t>
      </w:r>
    </w:p>
    <w:p>
      <w:pPr>
        <w:pStyle w:val="Normal"/>
        <w:jc w:val="both"/>
        <w:rPr>
          <w:rStyle w:val="EnlacedeInternet"/>
          <w:rFonts w:cs="Times New Roman" w:ascii="Times New Roman" w:hAnsi="Times New Roman"/>
          <w:color w:val="000000"/>
          <w:sz w:val="24"/>
          <w:szCs w:val="24"/>
        </w:rPr>
      </w:pPr>
      <w:hyperlink r:id="rId2">
        <w:r>
          <w:rPr>
            <w:rStyle w:val="EnlacedeInternet"/>
            <w:rFonts w:cs="Times New Roman" w:ascii="Times New Roman" w:hAnsi="Times New Roman"/>
            <w:color w:val="000000"/>
            <w:sz w:val="24"/>
            <w:szCs w:val="24"/>
          </w:rPr>
          <w:t>http://www.un.org/es/events/crimecongress2010/pdf/55years_ebook_es.pdf</w:t>
        </w:r>
      </w:hyperlink>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MOUREAU, J (1986) </w:t>
      </w:r>
      <w:r>
        <w:rPr>
          <w:rFonts w:cs="Times New Roman" w:ascii="Times New Roman" w:hAnsi="Times New Roman"/>
          <w:i/>
          <w:color w:val="000000"/>
          <w:sz w:val="24"/>
          <w:szCs w:val="24"/>
        </w:rPr>
        <w:t>La responsabilité administrative</w:t>
      </w:r>
      <w:r>
        <w:rPr>
          <w:rFonts w:cs="Times New Roman" w:ascii="Times New Roman" w:hAnsi="Times New Roman"/>
          <w:color w:val="000000"/>
          <w:sz w:val="24"/>
          <w:szCs w:val="24"/>
        </w:rPr>
        <w:t xml:space="preserve">, El Derecho Administrativo francés. Pp. 72-73; </w:t>
      </w:r>
    </w:p>
    <w:p>
      <w:pPr>
        <w:pStyle w:val="Footnotetext"/>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CEREZO MIR, J. (2000) </w:t>
      </w:r>
      <w:r>
        <w:rPr>
          <w:rFonts w:cs="Times New Roman" w:ascii="Times New Roman" w:hAnsi="Times New Roman"/>
          <w:i/>
          <w:iCs/>
          <w:color w:val="000000"/>
          <w:sz w:val="24"/>
          <w:szCs w:val="24"/>
        </w:rPr>
        <w:t>Curso de Derecho Penal Español</w:t>
      </w:r>
      <w:r>
        <w:rPr>
          <w:rFonts w:cs="Times New Roman" w:ascii="Times New Roman" w:hAnsi="Times New Roman"/>
          <w:iCs/>
          <w:color w:val="000000"/>
          <w:sz w:val="24"/>
          <w:szCs w:val="24"/>
        </w:rPr>
        <w:t>.</w:t>
      </w:r>
      <w:r>
        <w:rPr>
          <w:rFonts w:cs="Times New Roman" w:ascii="Times New Roman" w:hAnsi="Times New Roman"/>
          <w:i/>
          <w:iCs/>
          <w:color w:val="000000"/>
          <w:sz w:val="24"/>
          <w:szCs w:val="24"/>
        </w:rPr>
        <w:t xml:space="preserve"> Parte General II. Teoría</w:t>
      </w:r>
    </w:p>
    <w:p>
      <w:pPr>
        <w:pStyle w:val="Normal"/>
        <w:jc w:val="both"/>
        <w:rPr>
          <w:rFonts w:cs="Times New Roman" w:ascii="Times New Roman" w:hAnsi="Times New Roman"/>
          <w:color w:val="000000"/>
          <w:sz w:val="24"/>
          <w:szCs w:val="24"/>
        </w:rPr>
      </w:pPr>
      <w:r>
        <w:rPr>
          <w:rFonts w:cs="Times New Roman" w:ascii="Times New Roman" w:hAnsi="Times New Roman"/>
          <w:i/>
          <w:iCs/>
          <w:color w:val="000000"/>
          <w:sz w:val="24"/>
          <w:szCs w:val="24"/>
        </w:rPr>
        <w:t xml:space="preserve">Jurídica del delito. </w:t>
      </w:r>
      <w:r>
        <w:rPr>
          <w:rFonts w:cs="Times New Roman" w:ascii="Times New Roman" w:hAnsi="Times New Roman"/>
          <w:color w:val="000000"/>
          <w:sz w:val="24"/>
          <w:szCs w:val="24"/>
        </w:rPr>
        <w:t>Editorial Technos.</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MUÑOZ CONDE, F. / GARCÍA ARÁN, M  (2015) </w:t>
      </w:r>
      <w:r>
        <w:rPr>
          <w:rFonts w:cs="Times New Roman" w:ascii="Times New Roman" w:hAnsi="Times New Roman"/>
          <w:i/>
          <w:iCs/>
          <w:color w:val="000000"/>
          <w:sz w:val="24"/>
          <w:szCs w:val="24"/>
        </w:rPr>
        <w:t>Derecho Penal. Parte General</w:t>
      </w:r>
      <w:r>
        <w:rPr>
          <w:rFonts w:cs="Times New Roman" w:ascii="Times New Roman" w:hAnsi="Times New Roman"/>
          <w:color w:val="000000"/>
          <w:sz w:val="24"/>
          <w:szCs w:val="24"/>
        </w:rPr>
        <w:t>,</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Editorial Tirant lo Blanch. 9ª Edición. </w:t>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MIR PUIG, S. (2016) </w:t>
      </w:r>
      <w:r>
        <w:rPr>
          <w:rFonts w:cs="Times New Roman" w:ascii="Times New Roman" w:hAnsi="Times New Roman"/>
          <w:i/>
          <w:color w:val="000000"/>
          <w:sz w:val="24"/>
          <w:szCs w:val="24"/>
        </w:rPr>
        <w:t xml:space="preserve">Derecho penal, Parte General. </w:t>
      </w:r>
      <w:r>
        <w:rPr>
          <w:rFonts w:cs="Times New Roman" w:ascii="Times New Roman" w:hAnsi="Times New Roman"/>
          <w:color w:val="000000"/>
          <w:sz w:val="24"/>
          <w:szCs w:val="24"/>
        </w:rPr>
        <w:t>Editorial: Reppertor. 10º edición.</w:t>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SÁNCHEZ GARCÍA, I.(1995)  </w:t>
      </w:r>
      <w:r>
        <w:rPr>
          <w:rFonts w:cs="Times New Roman" w:ascii="Times New Roman" w:hAnsi="Times New Roman"/>
          <w:i/>
          <w:iCs/>
          <w:color w:val="000000"/>
          <w:sz w:val="24"/>
          <w:szCs w:val="24"/>
        </w:rPr>
        <w:t>Ejercicio legítimo del cargo y uso de armas por la</w:t>
      </w:r>
    </w:p>
    <w:p>
      <w:pPr>
        <w:pStyle w:val="Normal"/>
        <w:jc w:val="both"/>
        <w:rPr>
          <w:rFonts w:cs="Times New Roman" w:ascii="Times New Roman" w:hAnsi="Times New Roman"/>
          <w:color w:val="000000"/>
          <w:sz w:val="24"/>
          <w:szCs w:val="24"/>
        </w:rPr>
      </w:pPr>
      <w:r>
        <w:rPr>
          <w:rFonts w:cs="Times New Roman" w:ascii="Times New Roman" w:hAnsi="Times New Roman"/>
          <w:i/>
          <w:iCs/>
          <w:color w:val="000000"/>
          <w:sz w:val="24"/>
          <w:szCs w:val="24"/>
        </w:rPr>
        <w:t xml:space="preserve">autoridad. </w:t>
      </w:r>
      <w:r>
        <w:rPr>
          <w:rFonts w:cs="Times New Roman" w:ascii="Times New Roman" w:hAnsi="Times New Roman"/>
          <w:color w:val="000000"/>
          <w:sz w:val="24"/>
          <w:szCs w:val="24"/>
        </w:rPr>
        <w:t xml:space="preserve">Editorial Bosch. </w:t>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QUERALT JIMÉNEZ, J. J. (1983) </w:t>
      </w:r>
      <w:r>
        <w:rPr>
          <w:rFonts w:cs="Times New Roman" w:ascii="Times New Roman" w:hAnsi="Times New Roman"/>
          <w:i/>
          <w:color w:val="000000"/>
          <w:sz w:val="24"/>
          <w:szCs w:val="24"/>
        </w:rPr>
        <w:t>Coacción directa y justificación.</w:t>
      </w:r>
      <w:r>
        <w:rPr>
          <w:rFonts w:cs="Times New Roman" w:ascii="Times New Roman" w:hAnsi="Times New Roman"/>
          <w:color w:val="000000"/>
          <w:sz w:val="24"/>
          <w:szCs w:val="24"/>
        </w:rPr>
        <w:t xml:space="preserve"> Revista jurídica de Cataluña 1983. </w:t>
      </w:r>
      <w:r>
        <w:rPr>
          <w:rStyle w:val="Appleconvertedspace"/>
          <w:rFonts w:cs="Times New Roman" w:ascii="Times New Roman" w:hAnsi="Times New Roman"/>
          <w:color w:val="000000"/>
          <w:sz w:val="24"/>
          <w:szCs w:val="24"/>
        </w:rPr>
        <w:t> </w:t>
      </w:r>
      <w:hyperlink r:id="rId3">
        <w:r>
          <w:rPr>
            <w:rStyle w:val="EnlacedeInternet"/>
            <w:rFonts w:cs="Times New Roman" w:ascii="Times New Roman" w:hAnsi="Times New Roman"/>
            <w:color w:val="000000"/>
            <w:sz w:val="24"/>
            <w:szCs w:val="24"/>
            <w:u w:val="none"/>
          </w:rPr>
          <w:t>Vol. 82, Nº 3, 1983</w:t>
        </w:r>
      </w:hyperlink>
      <w:r>
        <w:rPr>
          <w:rFonts w:cs="Times New Roman" w:ascii="Times New Roman" w:hAnsi="Times New Roman"/>
          <w:color w:val="000000"/>
          <w:sz w:val="24"/>
          <w:szCs w:val="24"/>
        </w:rPr>
        <w:t>.</w:t>
      </w:r>
      <w:r>
        <w:rPr>
          <w:rStyle w:val="Appleconvertedspace"/>
          <w:rFonts w:cs="Times New Roman" w:ascii="Times New Roman" w:hAnsi="Times New Roman"/>
          <w:color w:val="000000"/>
          <w:sz w:val="24"/>
          <w:szCs w:val="24"/>
        </w:rPr>
        <w:t> </w:t>
      </w:r>
      <w:r>
        <w:rPr>
          <w:rFonts w:cs="Times New Roman" w:ascii="Times New Roman" w:hAnsi="Times New Roman"/>
          <w:color w:val="000000"/>
          <w:sz w:val="24"/>
          <w:szCs w:val="24"/>
        </w:rPr>
        <w:t>pp.</w:t>
      </w:r>
      <w:r>
        <w:rPr>
          <w:rStyle w:val="Appleconvertedspace"/>
          <w:rFonts w:cs="Times New Roman" w:ascii="Times New Roman" w:hAnsi="Times New Roman"/>
          <w:color w:val="000000"/>
          <w:sz w:val="24"/>
          <w:szCs w:val="24"/>
        </w:rPr>
        <w:t> </w:t>
      </w:r>
      <w:r>
        <w:rPr>
          <w:rFonts w:cs="Times New Roman" w:ascii="Times New Roman" w:hAnsi="Times New Roman"/>
          <w:color w:val="000000"/>
          <w:sz w:val="24"/>
          <w:szCs w:val="24"/>
        </w:rPr>
        <w:t>643-660.</w:t>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QUERALT JIMÉNEZ, J. J (1990) </w:t>
      </w:r>
      <w:r>
        <w:rPr>
          <w:rFonts w:cs="Times New Roman" w:ascii="Times New Roman" w:hAnsi="Times New Roman"/>
          <w:i/>
          <w:color w:val="000000"/>
          <w:sz w:val="24"/>
          <w:szCs w:val="24"/>
        </w:rPr>
        <w:t>Necesidad, legalidad y oportunidad. (A propósito de la cobertura de la injerencia policial). Revista</w:t>
      </w:r>
      <w:r>
        <w:rPr>
          <w:rFonts w:cs="Times New Roman" w:ascii="Times New Roman" w:hAnsi="Times New Roman"/>
          <w:color w:val="000000"/>
          <w:sz w:val="24"/>
          <w:szCs w:val="24"/>
        </w:rPr>
        <w:t xml:space="preserve"> del Centro de Estudios Constitucionales nº5, 1990. Pp. 135-157.</w:t>
      </w:r>
    </w:p>
    <w:p>
      <w:pPr>
        <w:pStyle w:val="NoSpacing"/>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QUINTERO OLIVARES, G. /MORALES PRATS, F. (2010) </w:t>
      </w:r>
      <w:r>
        <w:rPr>
          <w:rFonts w:cs="Times New Roman" w:ascii="Times New Roman" w:hAnsi="Times New Roman"/>
          <w:i/>
          <w:iCs/>
          <w:color w:val="000000"/>
          <w:sz w:val="24"/>
          <w:szCs w:val="24"/>
        </w:rPr>
        <w:t>Manual de Derecho Penal</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iCs/>
          <w:color w:val="000000"/>
          <w:sz w:val="24"/>
          <w:szCs w:val="24"/>
        </w:rPr>
        <w:t>Parte General</w:t>
      </w:r>
      <w:r>
        <w:rPr>
          <w:rFonts w:cs="Times New Roman" w:ascii="Times New Roman" w:hAnsi="Times New Roman"/>
          <w:color w:val="000000"/>
          <w:sz w:val="24"/>
          <w:szCs w:val="24"/>
        </w:rPr>
        <w:t xml:space="preserve">. Editorial: Aranzadi, 4ª edición. </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RODRIGUEZ RAMOS, L. (2010) </w:t>
      </w:r>
      <w:r>
        <w:rPr>
          <w:rFonts w:cs="Times New Roman" w:ascii="Times New Roman" w:hAnsi="Times New Roman"/>
          <w:i/>
          <w:iCs/>
          <w:color w:val="000000"/>
          <w:sz w:val="24"/>
          <w:szCs w:val="24"/>
        </w:rPr>
        <w:t xml:space="preserve">Compendio de Derecho Penal. </w:t>
      </w:r>
      <w:r>
        <w:rPr>
          <w:rFonts w:cs="Times New Roman" w:ascii="Times New Roman" w:hAnsi="Times New Roman"/>
          <w:iCs/>
          <w:color w:val="000000"/>
          <w:sz w:val="24"/>
          <w:szCs w:val="24"/>
        </w:rPr>
        <w:t>Parte General</w:t>
      </w:r>
      <w:r>
        <w:rPr>
          <w:rFonts w:cs="Times New Roman" w:ascii="Times New Roman" w:hAnsi="Times New Roman"/>
          <w:color w:val="000000"/>
          <w:sz w:val="24"/>
          <w:szCs w:val="24"/>
        </w:rPr>
        <w:t>.</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Editorial: Dykinson, 2ª edición. </w:t>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CÓRDOBA RODA, J. / GARCÍA ARÁN, M (2011) </w:t>
      </w:r>
      <w:r>
        <w:rPr>
          <w:rFonts w:cs="Times New Roman" w:ascii="Times New Roman" w:hAnsi="Times New Roman"/>
          <w:i/>
          <w:iCs/>
          <w:color w:val="000000"/>
          <w:sz w:val="24"/>
          <w:szCs w:val="24"/>
        </w:rPr>
        <w:t>Comentarios al Código</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i/>
          <w:iCs/>
          <w:color w:val="000000"/>
          <w:sz w:val="24"/>
          <w:szCs w:val="24"/>
        </w:rPr>
        <w:t xml:space="preserve">Penal. </w:t>
      </w:r>
      <w:r>
        <w:rPr>
          <w:rFonts w:cs="Times New Roman" w:ascii="Times New Roman" w:hAnsi="Times New Roman"/>
          <w:iCs/>
          <w:color w:val="000000"/>
          <w:sz w:val="24"/>
          <w:szCs w:val="24"/>
        </w:rPr>
        <w:t>Parte General</w:t>
      </w:r>
      <w:r>
        <w:rPr>
          <w:rFonts w:cs="Times New Roman" w:ascii="Times New Roman" w:hAnsi="Times New Roman"/>
          <w:i/>
          <w:iCs/>
          <w:color w:val="000000"/>
          <w:sz w:val="24"/>
          <w:szCs w:val="24"/>
        </w:rPr>
        <w:t xml:space="preserve">. </w:t>
      </w:r>
      <w:r>
        <w:rPr>
          <w:rFonts w:cs="Times New Roman" w:ascii="Times New Roman" w:hAnsi="Times New Roman"/>
          <w:color w:val="000000"/>
          <w:sz w:val="24"/>
          <w:szCs w:val="24"/>
        </w:rPr>
        <w:t>Editorial: Marcial Pons.</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ROMEO CASABONA, C. M. (2013) </w:t>
      </w:r>
      <w:r>
        <w:rPr>
          <w:rFonts w:cs="Times New Roman" w:ascii="Times New Roman" w:hAnsi="Times New Roman"/>
          <w:i/>
          <w:color w:val="000000"/>
          <w:sz w:val="24"/>
          <w:szCs w:val="24"/>
        </w:rPr>
        <w:t xml:space="preserve">Derecho Penal. Parte general. Introducción. Teoría jurídica del delito. </w:t>
      </w:r>
      <w:r>
        <w:rPr>
          <w:rFonts w:cs="Times New Roman" w:ascii="Times New Roman" w:hAnsi="Times New Roman"/>
          <w:color w:val="000000"/>
          <w:sz w:val="24"/>
          <w:szCs w:val="24"/>
        </w:rPr>
        <w:t>Editorial: Comares. Granada 2013.</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COLMENERO MENÉNDEZ DE LUARCA, M</w:t>
      </w:r>
      <w:r>
        <w:rPr>
          <w:rFonts w:cs="Times New Roman" w:ascii="Times New Roman" w:hAnsi="Times New Roman"/>
          <w:i/>
          <w:color w:val="000000"/>
          <w:sz w:val="24"/>
          <w:szCs w:val="24"/>
        </w:rPr>
        <w:t>., (2007) “Art. 20.7º. Cumplimiento de un deber o ejercicio legítimo de un derecho, oficio o cargo”</w:t>
      </w:r>
      <w:r>
        <w:rPr>
          <w:rFonts w:cs="Times New Roman" w:ascii="Times New Roman" w:hAnsi="Times New Roman"/>
          <w:color w:val="000000"/>
          <w:sz w:val="24"/>
          <w:szCs w:val="24"/>
        </w:rPr>
        <w:t xml:space="preserve">, en CONDE-PUMPIDO TOURÓN, C/ LÓPEZ BARJA DE QUIROGA, J.. </w:t>
      </w:r>
      <w:r>
        <w:rPr>
          <w:rFonts w:cs="Times New Roman" w:ascii="Times New Roman" w:hAnsi="Times New Roman"/>
          <w:i/>
          <w:iCs/>
          <w:color w:val="000000"/>
          <w:sz w:val="24"/>
          <w:szCs w:val="24"/>
        </w:rPr>
        <w:t xml:space="preserve">Comentarios al Código Penal. </w:t>
      </w:r>
      <w:r>
        <w:rPr>
          <w:rFonts w:cs="Times New Roman" w:ascii="Times New Roman" w:hAnsi="Times New Roman"/>
          <w:iCs/>
          <w:color w:val="000000"/>
          <w:sz w:val="24"/>
          <w:szCs w:val="24"/>
        </w:rPr>
        <w:t>Tomo 1</w:t>
      </w:r>
      <w:r>
        <w:rPr>
          <w:rFonts w:cs="Times New Roman" w:ascii="Times New Roman" w:hAnsi="Times New Roman"/>
          <w:color w:val="000000"/>
          <w:sz w:val="24"/>
          <w:szCs w:val="24"/>
        </w:rPr>
        <w:t>. Editorial: Bosch.</w:t>
      </w:r>
    </w:p>
    <w:p>
      <w:pPr>
        <w:pStyle w:val="Normal"/>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240" w:before="0" w:after="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JAVATO MARTÍN, A.M., (2011) </w:t>
      </w:r>
      <w:r>
        <w:rPr>
          <w:rFonts w:cs="Times New Roman" w:ascii="Times New Roman" w:hAnsi="Times New Roman"/>
          <w:i/>
          <w:color w:val="000000"/>
          <w:sz w:val="24"/>
          <w:szCs w:val="24"/>
        </w:rPr>
        <w:t>“El concepto de funcionario y autoridad a efectos</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i/>
          <w:color w:val="000000"/>
          <w:sz w:val="24"/>
          <w:szCs w:val="24"/>
        </w:rPr>
        <w:t>penales</w:t>
      </w:r>
      <w:r>
        <w:rPr>
          <w:rFonts w:cs="Times New Roman" w:ascii="Times New Roman" w:hAnsi="Times New Roman"/>
          <w:color w:val="000000"/>
          <w:sz w:val="24"/>
          <w:szCs w:val="24"/>
        </w:rPr>
        <w:t xml:space="preserve">”. </w:t>
      </w:r>
      <w:r>
        <w:rPr>
          <w:rFonts w:cs="Times New Roman" w:ascii="Times New Roman" w:hAnsi="Times New Roman"/>
          <w:i/>
          <w:iCs/>
          <w:color w:val="000000"/>
          <w:sz w:val="24"/>
          <w:szCs w:val="24"/>
        </w:rPr>
        <w:t xml:space="preserve">Revista jurídica de Castilla y León </w:t>
      </w:r>
      <w:r>
        <w:rPr>
          <w:rFonts w:cs="Times New Roman" w:ascii="Times New Roman" w:hAnsi="Times New Roman"/>
          <w:color w:val="000000"/>
          <w:sz w:val="24"/>
          <w:szCs w:val="24"/>
        </w:rPr>
        <w:t>nº 23. Pp. 167-168</w:t>
      </w:r>
    </w:p>
    <w:p>
      <w:pPr>
        <w:pStyle w:val="Normal"/>
        <w:spacing w:lineRule="auto" w:line="360"/>
        <w:jc w:val="both"/>
        <w:rPr>
          <w:rFonts w:cs="Times New Roman" w:ascii="Times New Roman" w:hAnsi="Times New Roman"/>
          <w:i/>
          <w:color w:val="000000"/>
          <w:sz w:val="24"/>
          <w:szCs w:val="24"/>
        </w:rPr>
      </w:pPr>
      <w:r>
        <w:rPr>
          <w:rFonts w:cs="Times New Roman" w:ascii="Times New Roman" w:hAnsi="Times New Roman"/>
          <w:i/>
          <w:color w:val="000000"/>
          <w:sz w:val="24"/>
          <w:szCs w:val="24"/>
        </w:rPr>
      </w:r>
    </w:p>
    <w:p>
      <w:pPr>
        <w:pStyle w:val="Normal"/>
        <w:spacing w:lineRule="auto" w:line="240" w:before="0" w:after="0"/>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BUSTOS RAMÍREZ, J.J. / HORMAZÁBAL MALARÉE, H.. (2006) </w:t>
      </w:r>
      <w:r>
        <w:rPr>
          <w:rFonts w:cs="Times New Roman" w:ascii="Times New Roman" w:hAnsi="Times New Roman"/>
          <w:i/>
          <w:color w:val="000000"/>
          <w:sz w:val="24"/>
          <w:szCs w:val="24"/>
        </w:rPr>
        <w:t>Lecciones de</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i/>
          <w:color w:val="000000"/>
          <w:sz w:val="24"/>
          <w:szCs w:val="24"/>
        </w:rPr>
        <w:t>Derecho Penal</w:t>
      </w:r>
      <w:r>
        <w:rPr>
          <w:rFonts w:cs="Times New Roman" w:ascii="Times New Roman" w:hAnsi="Times New Roman"/>
          <w:color w:val="000000"/>
          <w:sz w:val="24"/>
          <w:szCs w:val="24"/>
        </w:rPr>
        <w:t>. Editorial : Trotta.</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RECIO JUAREZ, M ( 1995) </w:t>
      </w:r>
      <w:r>
        <w:rPr>
          <w:rFonts w:cs="Times New Roman" w:ascii="Times New Roman" w:hAnsi="Times New Roman"/>
          <w:i/>
          <w:color w:val="000000"/>
          <w:sz w:val="24"/>
          <w:szCs w:val="24"/>
        </w:rPr>
        <w:t>“La eximente del número 11 del artículo 8 del Código Penal de cumplimiento del deber en su aplicación a las fuerzas y cuerpos de seguridad públicos”</w:t>
      </w:r>
      <w:r>
        <w:rPr>
          <w:rFonts w:cs="Times New Roman" w:ascii="Times New Roman" w:hAnsi="Times New Roman"/>
          <w:color w:val="000000"/>
          <w:sz w:val="24"/>
          <w:szCs w:val="24"/>
        </w:rPr>
        <w:t xml:space="preserve">. </w:t>
      </w:r>
      <w:r>
        <w:rPr>
          <w:rFonts w:cs="Times New Roman" w:ascii="Times New Roman" w:hAnsi="Times New Roman"/>
          <w:i/>
          <w:iCs/>
          <w:color w:val="000000"/>
          <w:sz w:val="24"/>
          <w:szCs w:val="24"/>
        </w:rPr>
        <w:t xml:space="preserve">Diario La Ley: </w:t>
      </w:r>
      <w:r>
        <w:rPr>
          <w:rFonts w:cs="Times New Roman" w:ascii="Times New Roman" w:hAnsi="Times New Roman"/>
          <w:iCs/>
          <w:color w:val="000000"/>
          <w:sz w:val="24"/>
          <w:szCs w:val="24"/>
        </w:rPr>
        <w:t>Revista jurídica española de doctrina, jurisprudencia y bibliografía</w:t>
      </w:r>
      <w:r>
        <w:rPr>
          <w:rFonts w:cs="Times New Roman" w:ascii="Times New Roman" w:hAnsi="Times New Roman"/>
          <w:color w:val="000000"/>
          <w:sz w:val="24"/>
          <w:szCs w:val="24"/>
        </w:rPr>
        <w:t>, nº 3.  Pp. 659-663.</w:t>
      </w:r>
    </w:p>
    <w:p>
      <w:pPr>
        <w:pStyle w:val="Normal"/>
        <w:jc w:val="both"/>
        <w:rPr>
          <w:rFonts w:cs="Times New Roman" w:ascii="Times New Roman" w:hAnsi="Times New Roman"/>
          <w:b/>
          <w:color w:val="000000"/>
          <w:sz w:val="24"/>
          <w:szCs w:val="24"/>
        </w:rPr>
      </w:pPr>
      <w:r>
        <w:rPr>
          <w:rFonts w:cs="Times New Roman" w:ascii="Times New Roman" w:hAnsi="Times New Roman"/>
          <w:b/>
          <w:color w:val="000000"/>
          <w:sz w:val="24"/>
          <w:szCs w:val="24"/>
        </w:rPr>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SÁNCHEZ GARCÍA, I (1995) </w:t>
      </w:r>
      <w:r>
        <w:rPr>
          <w:rFonts w:cs="Times New Roman" w:ascii="Times New Roman" w:hAnsi="Times New Roman"/>
          <w:i/>
          <w:iCs/>
          <w:color w:val="000000"/>
          <w:sz w:val="24"/>
          <w:szCs w:val="24"/>
        </w:rPr>
        <w:t>Ejercicio legítimo del cargo y uso de armas por la</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i/>
          <w:iCs/>
          <w:color w:val="000000"/>
          <w:sz w:val="24"/>
          <w:szCs w:val="24"/>
        </w:rPr>
        <w:t xml:space="preserve">Autoridad. </w:t>
      </w:r>
      <w:r>
        <w:rPr>
          <w:rFonts w:cs="Times New Roman" w:ascii="Times New Roman" w:hAnsi="Times New Roman"/>
          <w:color w:val="000000"/>
          <w:sz w:val="24"/>
          <w:szCs w:val="24"/>
        </w:rPr>
        <w:t>Editorial: Bosch.</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SÁNCHEZ GARCÍA, I (1994)  </w:t>
      </w:r>
      <w:r>
        <w:rPr>
          <w:rFonts w:cs="Times New Roman" w:ascii="Times New Roman" w:hAnsi="Times New Roman"/>
          <w:i/>
          <w:color w:val="000000"/>
          <w:sz w:val="24"/>
          <w:szCs w:val="24"/>
        </w:rPr>
        <w:t>“El principio constitucional de proporcionalidad en el Derecho penal”,</w:t>
      </w:r>
      <w:r>
        <w:rPr>
          <w:rFonts w:cs="Times New Roman" w:ascii="Times New Roman" w:hAnsi="Times New Roman"/>
          <w:color w:val="000000"/>
          <w:sz w:val="24"/>
          <w:szCs w:val="24"/>
        </w:rPr>
        <w:t xml:space="preserve"> en </w:t>
      </w:r>
      <w:r>
        <w:rPr>
          <w:rFonts w:cs="Times New Roman" w:ascii="Times New Roman" w:hAnsi="Times New Roman"/>
          <w:i/>
          <w:iCs/>
          <w:color w:val="000000"/>
          <w:sz w:val="24"/>
          <w:szCs w:val="24"/>
        </w:rPr>
        <w:t>Diario la Ley</w:t>
      </w:r>
      <w:r>
        <w:rPr>
          <w:rFonts w:cs="Times New Roman" w:ascii="Times New Roman" w:hAnsi="Times New Roman"/>
          <w:color w:val="000000"/>
          <w:sz w:val="24"/>
          <w:szCs w:val="24"/>
        </w:rPr>
        <w:t>, tomo 4. Pp. 114-126.</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240" w:before="0" w:after="0"/>
        <w:jc w:val="both"/>
        <w:rPr>
          <w:rFonts w:cs="Times New Roman" w:ascii="Times New Roman" w:hAnsi="Times New Roman"/>
          <w:i/>
          <w:iCs/>
          <w:color w:val="000000"/>
          <w:sz w:val="24"/>
          <w:szCs w:val="24"/>
        </w:rPr>
      </w:pPr>
      <w:r>
        <w:rPr>
          <w:rFonts w:cs="Times New Roman" w:ascii="Times New Roman" w:hAnsi="Times New Roman"/>
          <w:color w:val="000000"/>
          <w:sz w:val="24"/>
          <w:szCs w:val="24"/>
        </w:rPr>
        <w:t xml:space="preserve">ORTS BERENGUER, E. / GONZÁLEZ CUSSAC, J. L. (2011) </w:t>
      </w:r>
      <w:r>
        <w:rPr>
          <w:rFonts w:cs="Times New Roman" w:ascii="Times New Roman" w:hAnsi="Times New Roman"/>
          <w:i/>
          <w:iCs/>
          <w:color w:val="000000"/>
          <w:sz w:val="24"/>
          <w:szCs w:val="24"/>
        </w:rPr>
        <w:t>Compendio de Derecho</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i/>
          <w:iCs/>
          <w:color w:val="000000"/>
          <w:sz w:val="24"/>
          <w:szCs w:val="24"/>
        </w:rPr>
        <w:t xml:space="preserve">Penal (Parte General y Parte Especial). </w:t>
      </w:r>
      <w:r>
        <w:rPr>
          <w:rFonts w:cs="Times New Roman" w:ascii="Times New Roman" w:hAnsi="Times New Roman"/>
          <w:color w:val="000000"/>
          <w:sz w:val="24"/>
          <w:szCs w:val="24"/>
        </w:rPr>
        <w:t xml:space="preserve">Editorial Tirant lo Blanch. </w:t>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COBO DEL ROSAL, M. / VIVES ANTÓN, T.S. (1999) </w:t>
      </w:r>
      <w:r>
        <w:rPr>
          <w:rFonts w:cs="Times New Roman" w:ascii="Times New Roman" w:hAnsi="Times New Roman"/>
          <w:i/>
          <w:iCs/>
          <w:color w:val="000000"/>
          <w:sz w:val="24"/>
          <w:szCs w:val="24"/>
        </w:rPr>
        <w:t>Derecho Penal. Parte General</w:t>
      </w:r>
      <w:r>
        <w:rPr>
          <w:rFonts w:cs="Times New Roman" w:ascii="Times New Roman" w:hAnsi="Times New Roman"/>
          <w:color w:val="000000"/>
          <w:sz w:val="24"/>
          <w:szCs w:val="24"/>
        </w:rPr>
        <w:t>. Editorial: Tirant lo Blanch. Edición: 5ª</w:t>
      </w:r>
    </w:p>
    <w:p>
      <w:pPr>
        <w:pStyle w:val="Normal"/>
        <w:spacing w:lineRule="auto" w:line="360"/>
        <w:jc w:val="both"/>
        <w:rPr>
          <w:rFonts w:cs="Times New Roman" w:ascii="Times New Roman" w:hAnsi="Times New Roman"/>
          <w:color w:val="000000"/>
          <w:sz w:val="24"/>
          <w:szCs w:val="24"/>
        </w:rPr>
      </w:pPr>
      <w:r>
        <w:rPr>
          <w:rFonts w:cs="Times New Roman" w:ascii="Times New Roman" w:hAnsi="Times New Roman"/>
          <w:color w:val="000000"/>
          <w:sz w:val="24"/>
          <w:szCs w:val="24"/>
        </w:rPr>
      </w:r>
    </w:p>
    <w:p>
      <w:pPr>
        <w:pStyle w:val="Normal"/>
        <w:jc w:val="both"/>
        <w:rPr>
          <w:rStyle w:val="EnlacedeInternet"/>
          <w:rFonts w:cs="Times New Roman" w:ascii="Times New Roman" w:hAnsi="Times New Roman"/>
          <w:color w:val="000000"/>
          <w:sz w:val="24"/>
          <w:szCs w:val="24"/>
        </w:rPr>
      </w:pPr>
      <w:hyperlink r:id="rId4">
        <w:r>
          <w:rPr>
            <w:rStyle w:val="EnlacedeInternet"/>
            <w:rFonts w:cs="Times New Roman" w:ascii="Times New Roman" w:hAnsi="Times New Roman"/>
            <w:color w:val="000000"/>
            <w:sz w:val="24"/>
            <w:szCs w:val="24"/>
          </w:rPr>
          <w:t>http://www.rae.es/</w:t>
        </w:r>
      </w:hyperlink>
    </w:p>
    <w:p>
      <w:pPr>
        <w:pStyle w:val="Normal"/>
        <w:spacing w:lineRule="auto" w:line="240" w:before="0" w:after="0"/>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QUERALT JIMÉNEZ, J. J (1983) </w:t>
      </w:r>
      <w:r>
        <w:rPr>
          <w:rFonts w:cs="Times New Roman" w:ascii="Times New Roman" w:hAnsi="Times New Roman"/>
          <w:i/>
          <w:color w:val="000000"/>
          <w:sz w:val="24"/>
          <w:szCs w:val="24"/>
        </w:rPr>
        <w:t>“Coacción directa y justificación”,</w:t>
      </w:r>
      <w:r>
        <w:rPr>
          <w:rFonts w:cs="Times New Roman" w:ascii="Times New Roman" w:hAnsi="Times New Roman"/>
          <w:color w:val="000000"/>
          <w:sz w:val="24"/>
          <w:szCs w:val="24"/>
        </w:rPr>
        <w:t xml:space="preserve"> en Revista Jurídica de Cataluña, nº 3.  Pp. 109-126.</w:t>
      </w:r>
    </w:p>
    <w:p>
      <w:pPr>
        <w:pStyle w:val="Normal"/>
        <w:jc w:val="both"/>
        <w:rPr>
          <w:rFonts w:cs="Times New Roman" w:ascii="Times New Roman" w:hAnsi="Times New Roman"/>
          <w:i/>
          <w:sz w:val="24"/>
          <w:szCs w:val="24"/>
        </w:rPr>
      </w:pPr>
      <w:r>
        <w:rPr>
          <w:rFonts w:cs="Times New Roman" w:ascii="Times New Roman" w:hAnsi="Times New Roman"/>
          <w:i/>
          <w:sz w:val="24"/>
          <w:szCs w:val="24"/>
        </w:rPr>
      </w:r>
    </w:p>
    <w:p>
      <w:pPr>
        <w:pStyle w:val="Normal"/>
        <w:jc w:val="both"/>
        <w:rPr>
          <w:rFonts w:cs="Times New Roman" w:ascii="Times New Roman" w:hAnsi="Times New Roman"/>
          <w:i/>
          <w:color w:val="000000"/>
          <w:sz w:val="24"/>
          <w:szCs w:val="24"/>
        </w:rPr>
      </w:pPr>
      <w:r>
        <w:rPr>
          <w:rFonts w:cs="Times New Roman" w:ascii="Times New Roman" w:hAnsi="Times New Roman"/>
          <w:color w:val="000000"/>
          <w:sz w:val="24"/>
          <w:szCs w:val="24"/>
        </w:rPr>
        <w:t>RODRIGUEZ DEVESA, J.M (1983)</w:t>
      </w:r>
      <w:r>
        <w:rPr>
          <w:rFonts w:cs="Times New Roman" w:ascii="Times New Roman" w:hAnsi="Times New Roman"/>
          <w:i/>
          <w:color w:val="000000"/>
          <w:sz w:val="24"/>
          <w:szCs w:val="24"/>
        </w:rPr>
        <w:t xml:space="preserve"> Derecho Penal Español. Parte general. Editorial: Carasa. Pp. 555</w:t>
      </w:r>
    </w:p>
    <w:p>
      <w:pPr>
        <w:pStyle w:val="Normal"/>
        <w:jc w:val="both"/>
        <w:rPr>
          <w:rFonts w:cs="Times New Roman" w:ascii="Times New Roman" w:hAnsi="Times New Roman"/>
          <w:color w:val="000000"/>
          <w:sz w:val="24"/>
          <w:szCs w:val="24"/>
        </w:rPr>
      </w:pPr>
      <w:r>
        <w:rPr>
          <w:rFonts w:cs="Times New Roman" w:ascii="Times New Roman" w:hAnsi="Times New Roman"/>
          <w:color w:val="000000"/>
          <w:sz w:val="24"/>
          <w:szCs w:val="24"/>
        </w:rPr>
        <w:t xml:space="preserve">DIEZ PICAZO L. y GULLÓN, A. (1984) </w:t>
      </w:r>
      <w:r>
        <w:rPr>
          <w:rFonts w:cs="Times New Roman" w:ascii="Times New Roman" w:hAnsi="Times New Roman"/>
          <w:i/>
          <w:color w:val="000000"/>
          <w:sz w:val="24"/>
          <w:szCs w:val="24"/>
        </w:rPr>
        <w:t>Sistema de derecho Civil.</w:t>
      </w:r>
      <w:r>
        <w:rPr>
          <w:rFonts w:cs="Times New Roman" w:ascii="Times New Roman" w:hAnsi="Times New Roman"/>
          <w:color w:val="000000"/>
          <w:sz w:val="24"/>
          <w:szCs w:val="24"/>
        </w:rPr>
        <w:t xml:space="preserve"> Editorial: Technos. Edición: 4ª.vol 2, pp 633</w:t>
      </w:r>
    </w:p>
    <w:p>
      <w:pPr>
        <w:pStyle w:val="Footnotetext"/>
        <w:jc w:val="both"/>
        <w:rPr>
          <w:rFonts w:cs="Times New Roman" w:ascii="Times New Roman" w:hAnsi="Times New Roman"/>
          <w:i/>
          <w:color w:val="000000"/>
          <w:sz w:val="24"/>
          <w:szCs w:val="24"/>
        </w:rPr>
      </w:pPr>
      <w:r>
        <w:rPr>
          <w:rFonts w:cs="Times New Roman" w:ascii="Times New Roman" w:hAnsi="Times New Roman"/>
          <w:color w:val="000000"/>
          <w:sz w:val="24"/>
          <w:szCs w:val="24"/>
        </w:rPr>
        <w:t xml:space="preserve">FERNÁNDEZ PALMA,R/ÁLVAREZ FEIJOO, M (2013). </w:t>
      </w:r>
      <w:r>
        <w:rPr>
          <w:rFonts w:cs="Times New Roman" w:ascii="Times New Roman" w:hAnsi="Times New Roman"/>
          <w:i/>
          <w:color w:val="000000"/>
          <w:sz w:val="24"/>
          <w:szCs w:val="24"/>
        </w:rPr>
        <w:t>Código Penal con jurisprudencia</w:t>
      </w:r>
      <w:r>
        <w:rPr>
          <w:rFonts w:cs="Times New Roman" w:ascii="Times New Roman" w:hAnsi="Times New Roman"/>
          <w:color w:val="000000"/>
          <w:sz w:val="24"/>
          <w:szCs w:val="24"/>
        </w:rPr>
        <w:t xml:space="preserve">. Editorial Thomson. Reuters Aranzadi. Edición: 1ª  </w:t>
      </w:r>
      <w:r>
        <w:rPr>
          <w:rFonts w:cs="Times New Roman" w:ascii="Times New Roman" w:hAnsi="Times New Roman"/>
          <w:i/>
          <w:color w:val="000000"/>
          <w:sz w:val="24"/>
          <w:szCs w:val="24"/>
        </w:rPr>
        <w:t>“un derecho esencial del individuo tan elemental y tan viejo como la propia conclusión humana”</w:t>
      </w:r>
    </w:p>
    <w:p>
      <w:pPr>
        <w:pStyle w:val="Normal"/>
        <w:jc w:val="both"/>
        <w:rPr/>
      </w:pPr>
      <w:r>
        <w:rPr/>
      </w:r>
    </w:p>
    <w:p>
      <w:pPr>
        <w:pStyle w:val="Notaalpie"/>
        <w:spacing w:before="0" w:after="200"/>
        <w:jc w:val="both"/>
        <w:rPr>
          <w:rFonts w:ascii="Times New Roman" w:hAnsi="Times New Roman"/>
          <w:sz w:val="24"/>
          <w:szCs w:val="24"/>
        </w:rPr>
      </w:pPr>
      <w:r>
        <w:rPr>
          <w:rFonts w:ascii="Times New Roman" w:hAnsi="Times New Roman"/>
          <w:sz w:val="24"/>
          <w:szCs w:val="24"/>
        </w:rPr>
        <w:t>Temario Colegio de Guardias Jóvenes para la oposición a la escala de Cabos y Guardias de la Guardia Civil.</w:t>
      </w:r>
    </w:p>
    <w:sectPr>
      <w:footerReference w:type="default" r:id="rId5"/>
      <w:footnotePr>
        <w:numFmt w:val="decimal"/>
      </w:footnotePr>
      <w:type w:val="nextPage"/>
      <w:pgSz w:w="11906" w:h="16838"/>
      <w:pgMar w:left="1701" w:right="1701" w:header="0" w:top="1417" w:footer="708" w:bottom="1417"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iedepgina"/>
      <w:jc w:val="right"/>
      <w:rPr/>
    </w:pPr>
    <w:r>
      <w:rPr/>
      <w:fldChar w:fldCharType="begin"/>
    </w:r>
    <w:r>
      <w:instrText> PAGE </w:instrText>
    </w:r>
    <w:r>
      <w:fldChar w:fldCharType="separate"/>
    </w:r>
    <w:r>
      <w:t>49</w:t>
    </w:r>
    <w:r>
      <w:fldChar w:fldCharType="end"/>
    </w:r>
  </w:p>
  <w:p>
    <w:pPr>
      <w:pStyle w:val="Piedepgina"/>
      <w:rPr/>
    </w:pPr>
    <w:r>
      <w:rPr/>
    </w:r>
  </w:p>
</w:ftr>
</file>

<file path=word/footnotes.xml><?xml version="1.0" encoding="utf-8"?>
<w:footnotes xmlns:w="http://schemas.openxmlformats.org/wordprocessingml/2006/main" xmlns:r="http://schemas.openxmlformats.org/officeDocument/2006/relationships">
  <w:footnote w:id="0" w:type="separator">
    <w:p>
      <w:r>
        <w:separator/>
      </w:r>
    </w:p>
  </w:footnote>
  <w:footnote w:id="1" w:type="continuationSeparator">
    <w:p>
      <w:r>
        <w:continuationSeparator/>
      </w:r>
    </w:p>
  </w:footnote>
  <w:footnote w:id="2">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Artículo 149.29 de la Constitución Española de 1978.</w:t>
      </w:r>
    </w:p>
  </w:footnote>
  <w:footnote w:id="3">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Preámbulo II Ley Orgánica 2/1986, 13 de Marzo, Ley de Fuerzas y Cuerpos de Seguridad del Estado.</w:t>
      </w:r>
    </w:p>
  </w:footnote>
  <w:footnote w:id="4">
    <w:p>
      <w:pPr>
        <w:pStyle w:val="Notaalpie"/>
        <w:spacing w:before="0" w:after="200"/>
        <w:rPr>
          <w:rFonts w:cs="Times New Roman" w:ascii="Times New Roman" w:hAnsi="Times New Roman"/>
          <w:i/>
        </w:rPr>
      </w:pPr>
      <w:r>
        <w:rPr>
          <w:rStyle w:val="Footnotereference"/>
        </w:rPr>
        <w:footnoteRef/>
        <w:tab/>
      </w:r>
      <w:r>
        <w:rPr/>
        <w:t xml:space="preserve"> </w:t>
      </w:r>
      <w:r>
        <w:rPr>
          <w:rFonts w:cs="Times New Roman" w:ascii="Times New Roman" w:hAnsi="Times New Roman"/>
        </w:rPr>
        <w:t xml:space="preserve">Art 138 CP “1. </w:t>
      </w:r>
      <w:r>
        <w:rPr>
          <w:rFonts w:cs="Times New Roman" w:ascii="Times New Roman" w:hAnsi="Times New Roman"/>
          <w:i/>
        </w:rPr>
        <w:t>El que matare a otro será castigado como reo de homicidio, con la pena de prisión de diez a quince años. 2. Los hechos serán castigados con la pena superior en grado en los siguientes casos: a ) Cuando concurra en su comisión alguna de las circunstancias del apartado 1 artículo 140, o b) Cuando los hechos sean constitutivos de un delito de atentado del artículo 550”</w:t>
      </w:r>
    </w:p>
  </w:footnote>
  <w:footnote w:id="5">
    <w:p>
      <w:pPr>
        <w:pStyle w:val="Notaalpie"/>
        <w:spacing w:before="0" w:after="200"/>
        <w:rPr>
          <w:rFonts w:cs="Times New Roman" w:ascii="Times New Roman" w:hAnsi="Times New Roman"/>
          <w:color w:val="000000"/>
        </w:rPr>
      </w:pPr>
      <w:r>
        <w:rPr>
          <w:rStyle w:val="Footnotereference"/>
          <w:rFonts w:cs="Times New Roman" w:ascii="Times New Roman" w:hAnsi="Times New Roman"/>
          <w:color w:val="000000"/>
        </w:rPr>
        <w:footnoteRef/>
        <w:tab/>
      </w:r>
      <w:r>
        <w:rPr>
          <w:rFonts w:cs="Times New Roman" w:ascii="Times New Roman" w:hAnsi="Times New Roman"/>
          <w:color w:val="000000"/>
        </w:rPr>
        <w:t xml:space="preserve"> </w:t>
      </w:r>
      <w:r>
        <w:rPr>
          <w:rFonts w:cs="Times New Roman" w:ascii="Times New Roman" w:hAnsi="Times New Roman"/>
          <w:color w:val="000000"/>
        </w:rPr>
        <w:t>Art 142 CP “1. El que por imprudencia grave causare la muerte de otro será castigado como reo de homicidio imprudente, con la pena de prisión de uno a cuatro años …”</w:t>
      </w:r>
    </w:p>
  </w:footnote>
  <w:footnote w:id="6">
    <w:p>
      <w:pPr>
        <w:pStyle w:val="Notaalpie"/>
        <w:spacing w:before="0" w:after="200"/>
        <w:rPr>
          <w:rFonts w:cs="Times New Roman" w:ascii="Times New Roman" w:hAnsi="Times New Roman"/>
          <w:sz w:val="20"/>
          <w:szCs w:val="20"/>
        </w:rPr>
      </w:pPr>
      <w:r>
        <w:rPr>
          <w:rStyle w:val="Footnotereference"/>
          <w:rFonts w:cs="Times New Roman" w:ascii="Times New Roman" w:hAnsi="Times New Roman"/>
          <w:sz w:val="20"/>
          <w:szCs w:val="20"/>
        </w:rPr>
        <w:footnoteRef/>
        <w:tab/>
      </w:r>
      <w:r>
        <w:rPr>
          <w:rFonts w:cs="Times New Roman" w:ascii="Times New Roman" w:hAnsi="Times New Roman"/>
          <w:sz w:val="20"/>
          <w:szCs w:val="20"/>
        </w:rPr>
        <w:t xml:space="preserve">Bayón López, C (2009) </w:t>
      </w:r>
      <w:r>
        <w:rPr>
          <w:rFonts w:cs="Times New Roman" w:ascii="Times New Roman" w:hAnsi="Times New Roman"/>
          <w:i/>
          <w:sz w:val="20"/>
          <w:szCs w:val="20"/>
        </w:rPr>
        <w:t>El uso de las armas por parte de los funcionarios policiales.</w:t>
      </w:r>
      <w:r>
        <w:rPr>
          <w:rFonts w:cs="Times New Roman" w:ascii="Times New Roman" w:hAnsi="Times New Roman"/>
          <w:sz w:val="20"/>
          <w:szCs w:val="20"/>
        </w:rPr>
        <w:t xml:space="preserve"> Diario la Ley, nº 7177, sección Tribuna, 19 mayo, año xxx, Ref. D-180. Pp.2. Editorial: la ley. </w:t>
      </w:r>
    </w:p>
  </w:footnote>
  <w:footnote w:id="7">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Artículo 3 del Código de conducta para funcionarios encargados de hacer cumplir la Ley.</w:t>
      </w:r>
    </w:p>
  </w:footnote>
  <w:footnote w:id="8">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Artículo 22.1 del Real Decreto 1484/1987,  4 Diciembre, Real Decreto sobre normas Generales Relativas a Escalas, Categorías, Personal Facultativo y Técnico, Uniformes, Distintivos y Armamento del Cuerpo Nacional de Policía.</w:t>
      </w:r>
    </w:p>
  </w:footnote>
  <w:footnote w:id="9">
    <w:p>
      <w:pPr>
        <w:pStyle w:val="Notaalpie"/>
        <w:spacing w:before="0" w:after="200"/>
        <w:rPr>
          <w:rFonts w:cs="Times New Roman" w:ascii="Times New Roman" w:hAnsi="Times New Roman"/>
          <w:color w:val="000000"/>
          <w:sz w:val="20"/>
          <w:szCs w:val="20"/>
        </w:rPr>
      </w:pPr>
      <w:r>
        <w:rPr>
          <w:rStyle w:val="Footnotereference"/>
          <w:rFonts w:cs="Times New Roman" w:ascii="Times New Roman" w:hAnsi="Times New Roman"/>
          <w:color w:val="000000"/>
          <w:sz w:val="20"/>
          <w:szCs w:val="20"/>
        </w:rPr>
        <w:footnoteRef/>
        <w:tab/>
      </w:r>
      <w:r>
        <w:rPr>
          <w:rFonts w:cs="Times New Roman" w:ascii="Times New Roman" w:hAnsi="Times New Roman"/>
          <w:color w:val="000000"/>
          <w:sz w:val="20"/>
          <w:szCs w:val="20"/>
        </w:rPr>
        <w:t xml:space="preserve"> </w:t>
      </w:r>
      <w:r>
        <w:rPr>
          <w:rFonts w:cs="Times New Roman" w:ascii="Times New Roman" w:hAnsi="Times New Roman"/>
          <w:color w:val="000000"/>
          <w:sz w:val="20"/>
          <w:szCs w:val="20"/>
        </w:rPr>
        <w:t>Como ejemplo citaremos el párrafo último del preámbulo de la Resolución 34/169, 17 diciembre de 1979, en la que se señala el carácter no imperativo y meramente</w:t>
      </w:r>
      <w:r>
        <w:rPr>
          <w:rFonts w:cs="Times New Roman" w:ascii="Times New Roman" w:hAnsi="Times New Roman"/>
          <w:b/>
          <w:color w:val="00B050"/>
          <w:sz w:val="20"/>
          <w:szCs w:val="20"/>
        </w:rPr>
        <w:t xml:space="preserve"> </w:t>
      </w:r>
      <w:r>
        <w:rPr>
          <w:rFonts w:cs="Times New Roman" w:ascii="Times New Roman" w:hAnsi="Times New Roman"/>
          <w:color w:val="000000"/>
          <w:sz w:val="20"/>
          <w:szCs w:val="20"/>
        </w:rPr>
        <w:t>recomendatorio.</w:t>
      </w:r>
      <w:r>
        <w:rPr>
          <w:rFonts w:cs="Times New Roman" w:ascii="Times New Roman" w:hAnsi="Times New Roman"/>
          <w:color w:val="000000"/>
        </w:rPr>
        <w:t xml:space="preserve"> </w:t>
      </w:r>
      <w:r>
        <w:rPr>
          <w:rFonts w:cs="Times New Roman" w:ascii="Times New Roman" w:hAnsi="Times New Roman"/>
          <w:color w:val="000000"/>
          <w:sz w:val="20"/>
          <w:szCs w:val="20"/>
        </w:rPr>
        <w:t>“La Asamblea General (…) aprueba el Código de Conducta para funcionarios encargados de hacer cumplir la ley (…) y decide transmitirlo a los Gobiernos con la recomendación de que consideren favorablemente la posibilidad de utilizarlo …”</w:t>
      </w:r>
    </w:p>
  </w:footnote>
  <w:footnote w:id="10">
    <w:p>
      <w:pPr>
        <w:pStyle w:val="Notaalpie"/>
        <w:spacing w:before="0" w:after="200"/>
        <w:rPr>
          <w:rFonts w:ascii="Times New Roman" w:hAnsi="Times New Roman"/>
          <w:sz w:val="20"/>
          <w:szCs w:val="20"/>
        </w:rPr>
      </w:pPr>
      <w:r>
        <w:rPr>
          <w:rFonts w:ascii="Times New Roman" w:hAnsi="Times New Roman"/>
          <w:sz w:val="20"/>
          <w:szCs w:val="20"/>
        </w:rPr>
        <w:footnoteRef/>
        <w:tab/>
        <w:t xml:space="preserve"> </w:t>
      </w:r>
      <w:bookmarkStart w:id="35" w:name="__DdeLink__3469_831510031"/>
      <w:bookmarkEnd w:id="35"/>
      <w:r>
        <w:rPr>
          <w:rFonts w:ascii="Times New Roman" w:hAnsi="Times New Roman"/>
          <w:sz w:val="20"/>
          <w:szCs w:val="20"/>
        </w:rPr>
        <w:t>Temario Colegio de Guardias Jóvenes para la oposición a la escala de Cabos y Guardias de la Guardia Civil.</w:t>
      </w:r>
    </w:p>
  </w:footnote>
  <w:footnote w:id="11">
    <w:p>
      <w:pPr>
        <w:pStyle w:val="Notaalpie"/>
        <w:spacing w:before="0" w:after="200"/>
        <w:rPr>
          <w:rFonts w:cs="Times New Roman" w:ascii="Times New Roman" w:hAnsi="Times New Roman"/>
          <w:color w:val="000000"/>
          <w:sz w:val="20"/>
          <w:szCs w:val="20"/>
        </w:rPr>
      </w:pPr>
      <w:r>
        <w:rPr>
          <w:rStyle w:val="Footnotereference"/>
          <w:color w:val="000000"/>
        </w:rPr>
        <w:footnoteRef/>
        <w:tab/>
      </w:r>
      <w:r>
        <w:rPr>
          <w:color w:val="000000"/>
        </w:rPr>
        <w:t xml:space="preserve"> </w:t>
      </w:r>
      <w:r>
        <w:rPr>
          <w:rFonts w:cs="Times New Roman" w:ascii="Times New Roman" w:hAnsi="Times New Roman"/>
          <w:color w:val="000000"/>
          <w:sz w:val="20"/>
          <w:szCs w:val="20"/>
        </w:rPr>
        <w:t>En su artículo 3 establece</w:t>
      </w:r>
      <w:r>
        <w:rPr>
          <w:color w:val="000000"/>
        </w:rPr>
        <w:t xml:space="preserve">: </w:t>
      </w:r>
      <w:r>
        <w:rPr>
          <w:rFonts w:cs="Times New Roman" w:ascii="Times New Roman" w:hAnsi="Times New Roman"/>
          <w:i/>
          <w:color w:val="000000"/>
          <w:sz w:val="20"/>
          <w:szCs w:val="20"/>
        </w:rPr>
        <w:t>“Los funcionarios encargados de hacer cumplir la ley podrán usar la fuerza sólo cuando sea estrictamente necesario y en la medida que lo requiera el desempeño de sus tareas</w:t>
      </w:r>
      <w:r>
        <w:rPr>
          <w:rFonts w:cs="Times New Roman" w:ascii="Times New Roman" w:hAnsi="Times New Roman"/>
          <w:color w:val="000000"/>
          <w:sz w:val="20"/>
          <w:szCs w:val="20"/>
        </w:rPr>
        <w:t>”</w:t>
      </w:r>
    </w:p>
  </w:footnote>
  <w:footnote w:id="12">
    <w:p>
      <w:pPr>
        <w:pStyle w:val="Notaalpie"/>
        <w:rPr>
          <w:rFonts w:cs="Times New Roman" w:ascii="Times New Roman" w:hAnsi="Times New Roman"/>
          <w:color w:val="000000"/>
          <w:sz w:val="20"/>
          <w:szCs w:val="20"/>
        </w:rPr>
      </w:pPr>
      <w:r>
        <w:rPr>
          <w:rStyle w:val="Footnotereference"/>
          <w:color w:val="000000"/>
        </w:rPr>
        <w:footnoteRef/>
        <w:tab/>
      </w:r>
      <w:r>
        <w:rPr>
          <w:color w:val="000000"/>
        </w:rPr>
        <w:t xml:space="preserve"> </w:t>
      </w:r>
      <w:r>
        <w:rPr>
          <w:rFonts w:cs="Times New Roman" w:ascii="Times New Roman" w:hAnsi="Times New Roman"/>
          <w:color w:val="000000"/>
          <w:sz w:val="20"/>
          <w:szCs w:val="20"/>
        </w:rPr>
        <w:t xml:space="preserve">Cita del párrafo C del artículo 3 de la Resolución 34/169, 17 diciembre 1979, mediante la cual se aprueba el Código de conducta para los Funcionarios encargados de hacer cumplir la Ley. </w:t>
      </w:r>
    </w:p>
    <w:p>
      <w:pPr>
        <w:pStyle w:val="Notaalpie"/>
        <w:spacing w:before="0" w:after="200"/>
        <w:rPr/>
      </w:pPr>
      <w:r>
        <w:rPr/>
      </w:r>
    </w:p>
  </w:footnote>
  <w:footnote w:id="13">
    <w:p>
      <w:pPr>
        <w:pStyle w:val="Notaalpie"/>
        <w:spacing w:before="0" w:after="200"/>
        <w:rPr/>
      </w:pPr>
      <w:r>
        <w:rPr>
          <w:rStyle w:val="Footnotereference"/>
        </w:rPr>
        <w:footnoteRef/>
        <w:tab/>
      </w:r>
      <w:r>
        <w:rPr/>
        <w:t xml:space="preserve"> </w:t>
      </w:r>
      <w:r>
        <w:rPr/>
        <w:t>Artículo quinto de los Principios básicos sobre el empleo de la fuerza y de armas de fuego por los funcionarios encargados de hacer cumplir la ley. Tras el 8º Congreso de las Naciones Unidas sobre Prevención del Delito y Tratamiento del Delincuente, celebrado en La Habana, Cuba, del 27 de agosto al 07 de septiembre de 1990.</w:t>
      </w:r>
    </w:p>
  </w:footnote>
  <w:footnote w:id="14">
    <w:p>
      <w:pPr>
        <w:pStyle w:val="Notaalpie"/>
        <w:spacing w:before="0" w:after="200"/>
        <w:rPr/>
      </w:pPr>
      <w:r>
        <w:rPr>
          <w:rStyle w:val="Footnotereference"/>
        </w:rPr>
        <w:footnoteRef/>
        <w:tab/>
      </w:r>
      <w:r>
        <w:rPr/>
        <w:t xml:space="preserve"> </w:t>
      </w:r>
      <w:r>
        <w:rPr/>
        <w:t xml:space="preserve">Carta de los Derechos Fundamentales de la Unión Europea (2000/C 364/01) </w:t>
      </w:r>
    </w:p>
  </w:footnote>
  <w:footnote w:id="15">
    <w:p>
      <w:pPr>
        <w:pStyle w:val="Notaalpie"/>
        <w:spacing w:before="0" w:after="200"/>
        <w:rPr>
          <w:rFonts w:cs="Times New Roman" w:ascii="Times New Roman" w:hAnsi="Times New Roman"/>
        </w:rPr>
      </w:pPr>
      <w:r>
        <w:rPr>
          <w:rStyle w:val="Footnotereference"/>
        </w:rPr>
        <w:footnoteRef/>
        <w:tab/>
      </w:r>
      <w:r>
        <w:rPr/>
        <w:t xml:space="preserve">  </w:t>
      </w:r>
      <w:r>
        <w:rPr>
          <w:rFonts w:cs="Times New Roman" w:ascii="Times New Roman" w:hAnsi="Times New Roman"/>
        </w:rPr>
        <w:t>Cita del artículo 1º, párrafo 1 y 2 de la Instrucción de 14 de abril de 1983 de la Dirección de la Seguridad Social del Estado, sobre la utilización de las armas de fuego por los miembros de los Cuerpos y Fuerzas de Seguridad del Estado.</w:t>
      </w:r>
    </w:p>
  </w:footnote>
  <w:footnote w:id="16">
    <w:p>
      <w:pPr>
        <w:pStyle w:val="Notaalpie"/>
        <w:spacing w:before="0" w:after="200"/>
        <w:rPr/>
      </w:pPr>
      <w:r>
        <w:rPr>
          <w:rStyle w:val="Footnotereference"/>
        </w:rPr>
        <w:footnoteRef/>
        <w:tab/>
      </w:r>
      <w:r>
        <w:rPr/>
        <w:t xml:space="preserve"> </w:t>
      </w:r>
      <w:r>
        <w:rPr/>
        <w:t>La referencia a “ instituto armado”, recogida en la LOFCS para el Cuerpo Nacional de policía viene recogida en el artículo 9 a); para la Guardia Civil en los artículo 9b) y 15 1, y para la policía local en el artículo 52.1.</w:t>
      </w:r>
    </w:p>
  </w:footnote>
  <w:footnote w:id="17">
    <w:p>
      <w:pPr>
        <w:pStyle w:val="Notaalpie"/>
        <w:spacing w:before="0" w:after="200"/>
        <w:rPr>
          <w:color w:val="000000"/>
        </w:rPr>
      </w:pPr>
      <w:r>
        <w:rPr>
          <w:rStyle w:val="Footnotereference"/>
          <w:color w:val="000000"/>
        </w:rPr>
        <w:footnoteRef/>
        <w:tab/>
      </w:r>
      <w:r>
        <w:rPr>
          <w:color w:val="000000"/>
        </w:rPr>
        <w:t xml:space="preserve"> </w:t>
      </w:r>
      <w:r>
        <w:rPr>
          <w:rStyle w:val="EnlacedeInternetyavisitado"/>
          <w:color w:val="000000"/>
        </w:rPr>
        <w:t>www.rae.es,22ªedición</w:t>
      </w:r>
      <w:r>
        <w:rPr>
          <w:color w:val="000000"/>
        </w:rPr>
        <w:t xml:space="preserve"> digital de 2012</w:t>
      </w:r>
    </w:p>
  </w:footnote>
  <w:footnote w:id="18">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Carro Fernández-Valmayor, J.L (1977) </w:t>
      </w:r>
      <w:r>
        <w:rPr>
          <w:rFonts w:cs="Times New Roman" w:ascii="Times New Roman" w:hAnsi="Times New Roman"/>
          <w:i/>
        </w:rPr>
        <w:t xml:space="preserve">La problemática europea sobre el uso de las armas de fuego como forma de coacción administrativa. </w:t>
      </w:r>
      <w:r>
        <w:rPr>
          <w:rFonts w:cs="Times New Roman" w:ascii="Times New Roman" w:hAnsi="Times New Roman"/>
        </w:rPr>
        <w:t>Revista de Administración Pública, nº 84, Pp 109</w:t>
      </w:r>
    </w:p>
  </w:footnote>
  <w:footnote w:id="19">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artículo 186: «lorsqu'un fonctionnaire ou officier public, un administrateur, un agent ou un prépose du gouvernment ou de la pólice, un exécuteur des mandáis de justice ou jugements, aura sans motif legitime, usé ou iait user de la violence envers les personnes, dans l'exercise o á l'occasion de Vexercise de ses fonctions, ü sera puni selon la nature et la gravité de ees violences, et en elévant la peine suivant la regle possée par l'article 198 ci-aprés»</w:t>
      </w:r>
    </w:p>
  </w:footnote>
  <w:footnote w:id="20">
    <w:p>
      <w:pPr>
        <w:pStyle w:val="Notaalpie"/>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Artículo 327: «¿/ n'y a pas ni crime ni délit, lorsque l'homicide, ¡es blessures et les coups élaient ordonées para la loi et commandées par l´autorité legitime»;</w:t>
      </w:r>
    </w:p>
    <w:p>
      <w:pPr>
        <w:pStyle w:val="Notaalpie"/>
        <w:spacing w:before="0" w:after="200"/>
        <w:rPr/>
      </w:pPr>
      <w:r>
        <w:rPr/>
      </w:r>
    </w:p>
  </w:footnote>
  <w:footnote w:id="21">
    <w:p>
      <w:pPr>
        <w:pStyle w:val="Notaalpie"/>
        <w:spacing w:before="0" w:after="200"/>
        <w:rPr/>
      </w:pPr>
      <w:r>
        <w:rPr>
          <w:rStyle w:val="Footnotereference"/>
        </w:rPr>
        <w:footnoteRef/>
        <w:tab/>
      </w:r>
      <w:r>
        <w:rPr/>
        <w:t xml:space="preserve"> </w:t>
      </w:r>
      <w:r>
        <w:rPr/>
        <w:t xml:space="preserve">MOUREAU, J (1986) </w:t>
      </w:r>
      <w:r>
        <w:rPr>
          <w:i/>
        </w:rPr>
        <w:t>La responsabilité administrative</w:t>
      </w:r>
      <w:r>
        <w:rPr/>
        <w:t xml:space="preserve">, El Derecho Administrativo francés. Pp. 72-73; BRAIBANT, G (1984) </w:t>
      </w:r>
      <w:r>
        <w:rPr>
          <w:i/>
        </w:rPr>
        <w:t>Le droit administratif frangais,</w:t>
      </w:r>
      <w:r>
        <w:rPr/>
        <w:t xml:space="preserve"> Presses de la Fondation Nationale des Sciences Politiques y Dalloz. Pp. 283. </w:t>
      </w:r>
    </w:p>
  </w:footnote>
  <w:footnote w:id="22">
    <w:p>
      <w:pPr>
        <w:pStyle w:val="Notaalpie"/>
        <w:spacing w:before="0" w:after="200"/>
        <w:rPr>
          <w:i/>
        </w:rPr>
      </w:pPr>
      <w:r>
        <w:rPr>
          <w:rStyle w:val="Footnotereference"/>
        </w:rPr>
        <w:footnoteRef/>
        <w:tab/>
      </w:r>
      <w:r>
        <w:rPr/>
        <w:t xml:space="preserve"> </w:t>
      </w:r>
      <w:r>
        <w:rPr/>
        <w:t>Art 53 del Código Penal Italiano: “</w:t>
      </w:r>
      <w:r>
        <w:rPr>
          <w:i/>
        </w:rPr>
        <w:t>Ferme le disposizioni contenute nei due articoli precedenti, non è punibile ilpubblico ufficiale che, al fine di adempiere un dovere del proprio ufficio, fa uso ovvero ordina di far uso delle armi o di un altro mezzo di coazione fisica, quando vi è costretto dalla necessità di respingere unaviolenza o di vincere una resistenza all'Autorità e comunque di impedire la consumazione dei delitti di strage, di naufragio, sommersione, disastro aviatorio, disastro ferroviario, omicidio volontario, rapina a mano armata e sequestro di persona. La stessa disposizione si applica a qualsiasi persona che, legalmente richiesta dal pubblico ufficiale, gli presti assistenza. La legge determina gli altri casi, nei quali è autorizzato l'uso delle armi o di un altro mezzo di coazione física”.</w:t>
      </w:r>
    </w:p>
  </w:footnote>
  <w:footnote w:id="23">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Carro Fernández-Valmayor, J.L, La polémica europea, p. 92 Op cit., 11.</w:t>
      </w:r>
    </w:p>
  </w:footnote>
  <w:footnote w:id="24">
    <w:p>
      <w:pPr>
        <w:pStyle w:val="Notaalpie"/>
        <w:spacing w:before="0" w:after="200"/>
        <w:rPr>
          <w:rFonts w:cs="Times New Roman" w:ascii="Times New Roman" w:hAnsi="Times New Roman"/>
          <w:i/>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artículo 52: </w:t>
      </w:r>
      <w:r>
        <w:rPr>
          <w:rFonts w:cs="Times New Roman" w:ascii="Times New Roman" w:hAnsi="Times New Roman"/>
          <w:i/>
        </w:rPr>
        <w:t>«non é punibile chi ha comesso il fatto, peresservi stato costretto dalla necessitá di difendere un diritto propio od altrui contrail pericolo attuale di un'offesa ingiusta, sempre che la difesa sia proporzionata all'offesa».</w:t>
      </w:r>
    </w:p>
  </w:footnote>
  <w:footnote w:id="25">
    <w:p>
      <w:pPr>
        <w:pStyle w:val="Notaalpie"/>
        <w:spacing w:before="0" w:after="200"/>
        <w:rPr/>
      </w:pPr>
      <w:r>
        <w:rPr>
          <w:rStyle w:val="Footnotereference"/>
        </w:rPr>
        <w:footnoteRef/>
        <w:tab/>
      </w:r>
      <w:r>
        <w:rPr/>
        <w:t xml:space="preserve"> </w:t>
      </w:r>
      <w:r>
        <w:rPr/>
        <w:t>Roldán Barbero, H. Manual de derecho Penal. Parte General. Editorial Comares. 2016.</w:t>
      </w:r>
    </w:p>
  </w:footnote>
  <w:footnote w:id="26">
    <w:p>
      <w:pPr>
        <w:pStyle w:val="Notaalpie"/>
        <w:spacing w:before="0" w:after="200"/>
        <w:rPr/>
      </w:pPr>
      <w:r>
        <w:rPr>
          <w:rStyle w:val="Footnotereference"/>
        </w:rPr>
        <w:footnoteRef/>
        <w:tab/>
      </w:r>
      <w:r>
        <w:rPr/>
        <w:t xml:space="preserve">  </w:t>
      </w:r>
      <w:r>
        <w:rPr/>
        <w:t>Cerezo MIR J, Curso de Derecho Penal Español. Parte General. Tomo II. Teoría jurídica del delito. Editorial Technos. Madrid 2000 y en su artículo “la eximente de obrar en el cumplimiento de un deber o en el ejercicio legítimo de un derecho, oficio o cargo”</w:t>
      </w:r>
    </w:p>
  </w:footnote>
  <w:footnote w:id="27">
    <w:p>
      <w:pPr>
        <w:pStyle w:val="Notaalpie"/>
        <w:spacing w:before="0" w:after="200"/>
        <w:rPr/>
      </w:pPr>
      <w:r>
        <w:rPr>
          <w:rStyle w:val="Footnotereference"/>
        </w:rPr>
        <w:footnoteRef/>
        <w:tab/>
      </w:r>
      <w:r>
        <w:rPr/>
        <w:t xml:space="preserve">  </w:t>
      </w:r>
      <w:r>
        <w:rPr/>
        <w:t xml:space="preserve">Muñoz Conde, F/García Arán, M. (2015) </w:t>
      </w:r>
      <w:r>
        <w:rPr>
          <w:i/>
        </w:rPr>
        <w:t>Derecho Penal</w:t>
      </w:r>
      <w:r>
        <w:rPr/>
        <w:t>. Parte General. Editorial Tirant lo Blanch, 9º Edición, Valencia 2015. Pp. 362-363</w:t>
      </w:r>
    </w:p>
  </w:footnote>
  <w:footnote w:id="28">
    <w:p>
      <w:pPr>
        <w:pStyle w:val="Notaalpie"/>
        <w:spacing w:before="0" w:after="200"/>
        <w:rPr/>
      </w:pPr>
      <w:r>
        <w:rPr>
          <w:rStyle w:val="Footnotereference"/>
        </w:rPr>
        <w:footnoteRef/>
        <w:tab/>
      </w:r>
      <w:r>
        <w:rPr/>
        <w:t xml:space="preserve">  </w:t>
      </w:r>
      <w:r>
        <w:rPr/>
        <w:t>Mir Puig. S. Derecho Penal. Parte general. P .491</w:t>
      </w:r>
    </w:p>
  </w:footnote>
  <w:footnote w:id="29">
    <w:p>
      <w:pPr>
        <w:pStyle w:val="Notaalpie"/>
        <w:spacing w:before="0" w:after="200"/>
        <w:rPr/>
      </w:pPr>
      <w:r>
        <w:rPr>
          <w:rStyle w:val="Footnotereference"/>
        </w:rPr>
        <w:footnoteRef/>
        <w:tab/>
      </w:r>
      <w:r>
        <w:rPr/>
        <w:t xml:space="preserve">  </w:t>
      </w:r>
      <w:r>
        <w:rPr/>
        <w:t xml:space="preserve">Sánchez García, I (1995) </w:t>
      </w:r>
      <w:r>
        <w:rPr>
          <w:i/>
        </w:rPr>
        <w:t>Ejercicio legítimo del cargo y uso de armas por la Autoridad</w:t>
      </w:r>
      <w:r>
        <w:rPr/>
        <w:t xml:space="preserve">. Editorial Bosch. p.224; Mir Puig, S. </w:t>
      </w:r>
      <w:r>
        <w:rPr>
          <w:i/>
        </w:rPr>
        <w:t>Derecho Penal</w:t>
      </w:r>
      <w:r>
        <w:rPr/>
        <w:t xml:space="preserve">. Parte General. p  497. Op. Cit, 20 </w:t>
      </w:r>
    </w:p>
  </w:footnote>
  <w:footnote w:id="30">
    <w:p>
      <w:pPr>
        <w:pStyle w:val="Notaalpie"/>
        <w:spacing w:before="0" w:after="200"/>
        <w:rPr/>
      </w:pPr>
      <w:r>
        <w:rPr>
          <w:rStyle w:val="Footnotereference"/>
        </w:rPr>
        <w:footnoteRef/>
        <w:tab/>
      </w:r>
      <w:r>
        <w:rPr/>
        <w:t xml:space="preserve">  </w:t>
      </w:r>
      <w:r>
        <w:rPr/>
        <w:t xml:space="preserve">Quintero Olivares, G/ Morales Prats, F. (2010) </w:t>
      </w:r>
      <w:r>
        <w:rPr>
          <w:i/>
        </w:rPr>
        <w:t>Manual de Derecho Penal</w:t>
      </w:r>
      <w:r>
        <w:rPr/>
        <w:t xml:space="preserve">. Parte General. Editorial Aranzadi. Edición: 4ª.  p. 512; Rodríguez Ramos, L. (2010) </w:t>
      </w:r>
      <w:r>
        <w:rPr>
          <w:i/>
        </w:rPr>
        <w:t>Compendio de Derecho Penal</w:t>
      </w:r>
      <w:r>
        <w:rPr/>
        <w:t>. Parte General. Editorial Dykinson. Edición: 2ª p. 151.</w:t>
      </w:r>
    </w:p>
  </w:footnote>
  <w:footnote w:id="31">
    <w:p>
      <w:pPr>
        <w:pStyle w:val="Notaalpie"/>
        <w:spacing w:before="0" w:after="200"/>
        <w:rPr/>
      </w:pPr>
      <w:r>
        <w:rPr>
          <w:rStyle w:val="Footnotereference"/>
        </w:rPr>
        <w:footnoteRef/>
        <w:tab/>
      </w:r>
      <w:r>
        <w:rPr/>
        <w:t xml:space="preserve"> </w:t>
      </w:r>
      <w:r>
        <w:rPr/>
        <w:t xml:space="preserve">Córdoba Roda, J/García Arán, M (2011) </w:t>
      </w:r>
      <w:r>
        <w:rPr>
          <w:i/>
        </w:rPr>
        <w:t>Comentarios al Código Penal</w:t>
      </w:r>
      <w:r>
        <w:rPr/>
        <w:t>; Parte General. Editorial: Marcial Ponds. p.227.</w:t>
      </w:r>
    </w:p>
  </w:footnote>
  <w:footnote w:id="32">
    <w:p>
      <w:pPr>
        <w:pStyle w:val="Notaalpie"/>
        <w:spacing w:before="0" w:after="200"/>
        <w:rPr/>
      </w:pPr>
      <w:r>
        <w:rPr>
          <w:rStyle w:val="Footnotereference"/>
        </w:rPr>
        <w:footnoteRef/>
        <w:tab/>
      </w:r>
      <w:r>
        <w:rPr/>
        <w:t xml:space="preserve"> </w:t>
      </w:r>
      <w:r>
        <w:rPr/>
        <w:t xml:space="preserve">Hernández Plasencia, J.U; “Capítulo 16. El obrar en cumplimiento de un deber o en el ejercicio legítimo de un derecho, oficio o </w:t>
      </w:r>
      <w:r>
        <w:rPr>
          <w:i/>
        </w:rPr>
        <w:t>cargo</w:t>
      </w:r>
      <w:r>
        <w:rPr/>
        <w:t>. El consentimiento”, en Romeo Casabona, C.M (2013). Derecho Penal. Parte General. Introducción. Teoría jurídica del delito. Editorial: Comares. Granada 2013..</w:t>
      </w:r>
    </w:p>
  </w:footnote>
  <w:footnote w:id="33">
    <w:p>
      <w:pPr>
        <w:pStyle w:val="Notaalpie"/>
        <w:spacing w:before="0" w:after="200"/>
        <w:rPr/>
      </w:pPr>
      <w:r>
        <w:rPr>
          <w:rStyle w:val="Footnotereference"/>
        </w:rPr>
        <w:footnoteRef/>
        <w:tab/>
      </w:r>
      <w:r>
        <w:rPr/>
        <w:t xml:space="preserve"> </w:t>
      </w:r>
      <w:r>
        <w:rPr/>
        <w:t>Colmenero Menéndez de Luarca, M; (2007) “</w:t>
      </w:r>
      <w:r>
        <w:rPr>
          <w:i/>
        </w:rPr>
        <w:t>Artículo 20.7º. Cumplimiento de un deber o ejercicio legítimo de un derecho, oficio o cargo”</w:t>
      </w:r>
      <w:r>
        <w:rPr/>
        <w:t xml:space="preserve"> en Conde-Pumpido Tourón, C/López Barja de Quiroga, J. Comentarios al Código Penal. Tomo I. Editorial: Bosch. Barcelona, 2007. P 238.</w:t>
      </w:r>
    </w:p>
  </w:footnote>
  <w:footnote w:id="34">
    <w:p>
      <w:pPr>
        <w:pStyle w:val="Notaalpie"/>
        <w:spacing w:before="0" w:after="200"/>
        <w:rPr/>
      </w:pPr>
      <w:r>
        <w:rPr>
          <w:rStyle w:val="Footnotereference"/>
        </w:rPr>
        <w:footnoteRef/>
        <w:tab/>
      </w:r>
      <w:r>
        <w:rPr/>
        <w:t xml:space="preserve"> </w:t>
      </w:r>
      <w:r>
        <w:rPr/>
        <w:t xml:space="preserve">Javato Martín, A.M (2011) </w:t>
      </w:r>
      <w:r>
        <w:rPr>
          <w:i/>
        </w:rPr>
        <w:t xml:space="preserve">“El concepto de funcionario público y autoridad a efectos penales”. Revista jurídica de Castilla y León nº 23, 2011. </w:t>
      </w:r>
      <w:r>
        <w:rPr/>
        <w:t xml:space="preserve"> p. 167.</w:t>
      </w:r>
    </w:p>
  </w:footnote>
  <w:footnote w:id="35">
    <w:p>
      <w:pPr>
        <w:pStyle w:val="Notaalpie"/>
        <w:spacing w:before="0" w:after="200"/>
        <w:rPr/>
      </w:pPr>
      <w:r>
        <w:rPr>
          <w:rStyle w:val="Footnotereference"/>
        </w:rPr>
        <w:footnoteRef/>
        <w:tab/>
      </w:r>
      <w:r>
        <w:rPr/>
        <w:t xml:space="preserve"> </w:t>
      </w:r>
      <w:r>
        <w:rPr/>
        <w:t>Javato Martín, A.M; “El concepto de funcionario público y autoridad a efectos penales”. P 168. Opus cit. 26</w:t>
      </w:r>
    </w:p>
  </w:footnote>
  <w:footnote w:id="36">
    <w:p>
      <w:pPr>
        <w:pStyle w:val="Notaalpie"/>
        <w:spacing w:before="0" w:after="200"/>
        <w:rPr/>
      </w:pPr>
      <w:r>
        <w:rPr>
          <w:rStyle w:val="Footnotereference"/>
        </w:rPr>
        <w:footnoteRef/>
        <w:tab/>
      </w:r>
      <w:r>
        <w:rPr/>
        <w:t xml:space="preserve">  </w:t>
      </w:r>
      <w:r>
        <w:rPr/>
        <w:t xml:space="preserve">Córdoba Roda, J. </w:t>
      </w:r>
      <w:r>
        <w:rPr>
          <w:i/>
        </w:rPr>
        <w:t>”Artículo 20.7º”,</w:t>
      </w:r>
      <w:r>
        <w:rPr/>
        <w:t xml:space="preserve"> en Córdoba Roda, J/García Arán, M. </w:t>
      </w:r>
      <w:r>
        <w:rPr>
          <w:i/>
        </w:rPr>
        <w:t>Comentarios al Código penal, Parte Especial</w:t>
      </w:r>
      <w:r>
        <w:rPr/>
        <w:t>. p. 217. Op.cit. 23</w:t>
      </w:r>
    </w:p>
  </w:footnote>
  <w:footnote w:id="37">
    <w:p>
      <w:pPr>
        <w:pStyle w:val="Notaalpie"/>
        <w:spacing w:before="0" w:after="200"/>
        <w:rPr/>
      </w:pPr>
      <w:r>
        <w:rPr>
          <w:rStyle w:val="Footnotereference"/>
        </w:rPr>
        <w:footnoteRef/>
        <w:tab/>
      </w:r>
      <w:r>
        <w:rPr/>
        <w:t xml:space="preserve"> </w:t>
      </w:r>
      <w:r>
        <w:rPr/>
        <w:t>Cervelló Donderis, V. “Limitaciones al ejercicio de la violencia policial en los supuestos de resistencia pasiva”. Revista de Derecho y Criminología. 2013. P 28.</w:t>
      </w:r>
    </w:p>
  </w:footnote>
  <w:footnote w:id="38">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Cerezo Mir, J. Curso de Derecho Penal español. Parte general. Tomo II. Teoría jurídica  del delito. P.301 Op Cit. 18. Quintero Olivares, G /Morales Prats, F. </w:t>
      </w:r>
      <w:r>
        <w:rPr>
          <w:rFonts w:cs="Times New Roman" w:ascii="Times New Roman" w:hAnsi="Times New Roman"/>
          <w:i/>
        </w:rPr>
        <w:t>Parte general del Derecho Penal</w:t>
      </w:r>
      <w:r>
        <w:rPr>
          <w:rFonts w:cs="Times New Roman" w:ascii="Times New Roman" w:hAnsi="Times New Roman"/>
        </w:rPr>
        <w:t xml:space="preserve">  Op cit. 22.</w:t>
      </w:r>
    </w:p>
  </w:footnote>
  <w:footnote w:id="39">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Bustos Ramírez, J.J. /Hormazábal Malaree, H. ( 2006). </w:t>
      </w:r>
      <w:r>
        <w:rPr>
          <w:rFonts w:cs="Times New Roman" w:ascii="Times New Roman" w:hAnsi="Times New Roman"/>
          <w:i/>
        </w:rPr>
        <w:t>Lecciones de Derecho Penal. Parte General. Editorial:Trotta. Madrid, 2006</w:t>
      </w:r>
      <w:r>
        <w:rPr>
          <w:rFonts w:cs="Times New Roman" w:ascii="Times New Roman" w:hAnsi="Times New Roman"/>
        </w:rPr>
        <w:t xml:space="preserve"> .</w:t>
      </w:r>
    </w:p>
  </w:footnote>
  <w:footnote w:id="40">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Mir Puig, S. </w:t>
      </w:r>
      <w:r>
        <w:rPr>
          <w:rFonts w:cs="Times New Roman" w:ascii="Times New Roman" w:hAnsi="Times New Roman"/>
          <w:i/>
        </w:rPr>
        <w:t>Derecho Penal. Parte General</w:t>
      </w:r>
      <w:r>
        <w:rPr>
          <w:rFonts w:cs="Times New Roman" w:ascii="Times New Roman" w:hAnsi="Times New Roman"/>
        </w:rPr>
        <w:t>. P. 497 Op cit.,20.</w:t>
      </w:r>
    </w:p>
  </w:footnote>
  <w:footnote w:id="41">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Carbonell Mateus, J.C (1995) “Artículo 20.7”, en Vives Antón, T.S. </w:t>
      </w:r>
      <w:r>
        <w:rPr>
          <w:rFonts w:cs="Times New Roman" w:ascii="Times New Roman" w:hAnsi="Times New Roman"/>
          <w:i/>
        </w:rPr>
        <w:t>Comentarios al Código Penal de 1995</w:t>
      </w:r>
      <w:r>
        <w:rPr>
          <w:rFonts w:cs="Times New Roman" w:ascii="Times New Roman" w:hAnsi="Times New Roman"/>
        </w:rPr>
        <w:t xml:space="preserve">, p.192 y en su artículo </w:t>
      </w:r>
      <w:r>
        <w:rPr>
          <w:rFonts w:cs="Times New Roman" w:ascii="Times New Roman" w:hAnsi="Times New Roman"/>
          <w:i/>
        </w:rPr>
        <w:t>El abuso de la violencia por la Autoridad pública o sus Agentes</w:t>
      </w:r>
      <w:r>
        <w:rPr>
          <w:rFonts w:cs="Times New Roman" w:ascii="Times New Roman" w:hAnsi="Times New Roman"/>
        </w:rPr>
        <w:t>. P.1025. Del Moral García, A./Serrano Butragueño, J. Código Penal.</w:t>
      </w:r>
    </w:p>
  </w:footnote>
  <w:footnote w:id="42">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Página web oficial de la Real Academia de la lengua Española, (www.rae.es) que contiene la 22 edición digital de 2012.</w:t>
      </w:r>
    </w:p>
  </w:footnote>
  <w:footnote w:id="43">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Recio Juárez, M (1995) “</w:t>
      </w:r>
      <w:r>
        <w:rPr>
          <w:rFonts w:cs="Times New Roman" w:ascii="Times New Roman" w:hAnsi="Times New Roman"/>
          <w:i/>
        </w:rPr>
        <w:t>La eximente del número 11 del artículo 8 del Código Penal del cumplimiento del deber en su aplicación a las fuerzas y cuerpos de seguridad públicos”.</w:t>
      </w:r>
      <w:r>
        <w:rPr>
          <w:rFonts w:cs="Times New Roman" w:ascii="Times New Roman" w:hAnsi="Times New Roman"/>
        </w:rPr>
        <w:t xml:space="preserve"> Diario La Ley. Tomo III, p. 662.</w:t>
      </w:r>
    </w:p>
  </w:footnote>
  <w:footnote w:id="44">
    <w:p>
      <w:pPr>
        <w:pStyle w:val="Notaalpie"/>
        <w:spacing w:before="0" w:after="200"/>
        <w:rPr>
          <w:rFonts w:cs="Times New Roman" w:ascii="Times New Roman" w:hAnsi="Times New Roman"/>
          <w:sz w:val="20"/>
          <w:szCs w:val="20"/>
        </w:rPr>
      </w:pPr>
      <w:r>
        <w:rPr>
          <w:rStyle w:val="Footnotereference"/>
          <w:rFonts w:cs="Times New Roman" w:ascii="Times New Roman" w:hAnsi="Times New Roman"/>
          <w:sz w:val="20"/>
          <w:szCs w:val="20"/>
        </w:rPr>
        <w:footnoteRef/>
        <w:tab/>
      </w:r>
      <w:r>
        <w:rPr>
          <w:rFonts w:cs="Times New Roman" w:ascii="Times New Roman" w:hAnsi="Times New Roman"/>
          <w:sz w:val="20"/>
          <w:szCs w:val="20"/>
        </w:rPr>
        <w:t xml:space="preserve">  </w:t>
      </w:r>
      <w:r>
        <w:rPr>
          <w:rFonts w:cs="Times New Roman" w:ascii="Times New Roman" w:hAnsi="Times New Roman"/>
          <w:sz w:val="20"/>
          <w:szCs w:val="20"/>
        </w:rPr>
        <w:t xml:space="preserve">Recio Juárez, M </w:t>
      </w:r>
      <w:r>
        <w:rPr>
          <w:rFonts w:cs="Times New Roman" w:ascii="Times New Roman" w:hAnsi="Times New Roman"/>
          <w:i/>
          <w:sz w:val="20"/>
          <w:szCs w:val="20"/>
        </w:rPr>
        <w:t>”La eximente del número 11 del artículo 8 del Código penal del cumplimiento del deber en su aplicación a las fuerzas y cuerpos de seguridad públicos”.</w:t>
      </w:r>
      <w:r>
        <w:rPr>
          <w:rFonts w:cs="Times New Roman" w:ascii="Times New Roman" w:hAnsi="Times New Roman"/>
          <w:sz w:val="20"/>
          <w:szCs w:val="20"/>
        </w:rPr>
        <w:t xml:space="preserve"> Pp.659-663. Op. Cit 34</w:t>
      </w:r>
    </w:p>
  </w:footnote>
  <w:footnote w:id="45">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Sánchez García, I. (1995) </w:t>
      </w:r>
      <w:r>
        <w:rPr>
          <w:rFonts w:cs="Times New Roman" w:ascii="Times New Roman" w:hAnsi="Times New Roman"/>
          <w:i/>
        </w:rPr>
        <w:t>Ejercicio legítimo del cargo y uso de las armas por la autoridad</w:t>
      </w:r>
      <w:r>
        <w:rPr>
          <w:rFonts w:cs="Times New Roman" w:ascii="Times New Roman" w:hAnsi="Times New Roman"/>
        </w:rPr>
        <w:t xml:space="preserve">.  Editorial Bosch, Barcelona. Pp.290 y ss. </w:t>
      </w:r>
    </w:p>
  </w:footnote>
  <w:footnote w:id="46">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Queralt Jiménez, J.J (1990). </w:t>
      </w:r>
      <w:r>
        <w:rPr>
          <w:rFonts w:cs="Times New Roman" w:ascii="Times New Roman" w:hAnsi="Times New Roman"/>
          <w:i/>
        </w:rPr>
        <w:t xml:space="preserve">Necesidad, legalidad y oportuni8dad (a propósito de la cobertura de la injerencia policial”. </w:t>
      </w:r>
      <w:r>
        <w:rPr>
          <w:rFonts w:cs="Times New Roman" w:ascii="Times New Roman" w:hAnsi="Times New Roman"/>
        </w:rPr>
        <w:t xml:space="preserve">Revista  del Centro de Estudios Constitucionales, nº 5. 1990.Pp 135-157 </w:t>
      </w:r>
    </w:p>
  </w:footnote>
  <w:footnote w:id="47">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Córdoba Roda, J., </w:t>
      </w:r>
      <w:r>
        <w:rPr>
          <w:rFonts w:cs="Times New Roman" w:ascii="Times New Roman" w:hAnsi="Times New Roman"/>
          <w:i/>
        </w:rPr>
        <w:t>“11.el que obra en cumplimiento de un beber o en el ejercicio legítimo de un derecho, oficio o cargo”, en Córdoba Roda, J/Rodríguez Mourullo, G. Comentarios al Código Penal. El análisis específico del ejercicio del cargo por la autoridad y los requisitos de necesidad de “abstracto” y “necesidad en concreto”</w:t>
      </w:r>
      <w:r>
        <w:rPr>
          <w:rFonts w:cs="Times New Roman" w:ascii="Times New Roman" w:hAnsi="Times New Roman"/>
        </w:rPr>
        <w:t xml:space="preserve"> se expone en la pág 368. En su obra más reciente. Córdoba Roda,J. </w:t>
      </w:r>
      <w:r>
        <w:rPr>
          <w:rFonts w:cs="Times New Roman" w:ascii="Times New Roman" w:hAnsi="Times New Roman"/>
          <w:i/>
        </w:rPr>
        <w:t>“Artículo 20.7”,</w:t>
      </w:r>
      <w:r>
        <w:rPr>
          <w:rFonts w:cs="Times New Roman" w:ascii="Times New Roman" w:hAnsi="Times New Roman"/>
        </w:rPr>
        <w:t xml:space="preserve"> en Córdoba Roda, J/García Arán, M. Comentarios al Código Penal. Parte General  Opus cit 23</w:t>
      </w:r>
    </w:p>
  </w:footnote>
  <w:footnote w:id="48">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Orts Berenguer, E/González Cursac, J.L. (2011) </w:t>
      </w:r>
      <w:r>
        <w:rPr>
          <w:rFonts w:cs="Times New Roman" w:ascii="Times New Roman" w:hAnsi="Times New Roman"/>
          <w:i/>
        </w:rPr>
        <w:t>Compendio de derecho Penal. Parte general</w:t>
      </w:r>
      <w:r>
        <w:rPr>
          <w:rFonts w:cs="Times New Roman" w:ascii="Times New Roman" w:hAnsi="Times New Roman"/>
        </w:rPr>
        <w:t xml:space="preserve"> y Parte Especial. Editorial:Tirant lo Blanch. P. 345</w:t>
      </w:r>
    </w:p>
  </w:footnote>
  <w:footnote w:id="49">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La STS de 9 de marzo de 1963 ha considerado que la falta de necesidad en abstracto no era óbice para aplicar la eximente incompleta)</w:t>
      </w:r>
    </w:p>
  </w:footnote>
  <w:footnote w:id="50">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Mir Puig,S. Derecho penal Parte General. Op. Cit 20</w:t>
      </w:r>
    </w:p>
  </w:footnote>
  <w:footnote w:id="51">
    <w:p>
      <w:pPr>
        <w:pStyle w:val="Notaalpie"/>
        <w:rPr>
          <w:rFonts w:cs="Times New Roman" w:ascii="Times New Roman" w:hAnsi="Times New Roman"/>
          <w:color w:val="000000"/>
        </w:rPr>
      </w:pPr>
      <w:r>
        <w:rPr>
          <w:rStyle w:val="Footnotereference"/>
          <w:rFonts w:cs="Times New Roman" w:ascii="Times New Roman" w:hAnsi="Times New Roman"/>
          <w:color w:val="000000"/>
          <w:sz w:val="20"/>
          <w:szCs w:val="20"/>
        </w:rPr>
        <w:footnoteRef/>
        <w:tab/>
      </w:r>
      <w:r>
        <w:rPr>
          <w:rFonts w:cs="Times New Roman" w:ascii="Times New Roman" w:hAnsi="Times New Roman"/>
          <w:color w:val="000000"/>
          <w:sz w:val="20"/>
          <w:szCs w:val="20"/>
        </w:rPr>
        <w:t xml:space="preserve"> </w:t>
      </w:r>
      <w:r>
        <w:rPr>
          <w:rFonts w:cs="Times New Roman" w:ascii="Times New Roman" w:hAnsi="Times New Roman"/>
          <w:color w:val="000000"/>
          <w:sz w:val="20"/>
          <w:szCs w:val="20"/>
        </w:rPr>
        <w:t>En este sentido también las Sentencias del Tribunal Supremo de 15 marzo 1990; 42/1994, de</w:t>
      </w:r>
      <w:r>
        <w:rPr>
          <w:rFonts w:cs="Times New Roman" w:ascii="Times New Roman" w:hAnsi="Times New Roman"/>
          <w:color w:val="000000"/>
        </w:rPr>
        <w:t>24 enero y 106/1997, de 31 enero.</w:t>
      </w:r>
    </w:p>
    <w:p>
      <w:pPr>
        <w:pStyle w:val="Notaalpie"/>
        <w:spacing w:before="0" w:after="200"/>
        <w:rPr/>
      </w:pPr>
      <w:r>
        <w:rPr/>
      </w:r>
    </w:p>
  </w:footnote>
  <w:footnote w:id="52">
    <w:p>
      <w:pPr>
        <w:pStyle w:val="Notaalpie"/>
        <w:spacing w:before="0" w:after="200"/>
        <w:rPr>
          <w:rFonts w:cs="Times New Roman" w:ascii="Times New Roman" w:hAnsi="Times New Roman"/>
          <w:i/>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Cobo del Rosal, M/Vives Antón, T.S. (1999) </w:t>
      </w:r>
      <w:r>
        <w:rPr>
          <w:rFonts w:cs="Times New Roman" w:ascii="Times New Roman" w:hAnsi="Times New Roman"/>
          <w:i/>
        </w:rPr>
        <w:t>Derecho Penal. Parte General</w:t>
      </w:r>
      <w:r>
        <w:rPr>
          <w:rFonts w:cs="Times New Roman" w:ascii="Times New Roman" w:hAnsi="Times New Roman"/>
        </w:rPr>
        <w:t xml:space="preserve">. Editorial: Tirant lo Blanch. Edición: 5º. Pp. 81-90. Configuran el principio de proporcionalidad como </w:t>
      </w:r>
      <w:r>
        <w:rPr>
          <w:rFonts w:cs="Times New Roman" w:ascii="Times New Roman" w:hAnsi="Times New Roman"/>
          <w:i/>
        </w:rPr>
        <w:t>“límite al poder de policía, para luego generalizarse hasta convertirse en un principio general del Derecho público, que rige el establecimiento y aplicación de toda suerte de medidas restrictivas de los derechos y libertades”.</w:t>
      </w:r>
    </w:p>
  </w:footnote>
  <w:footnote w:id="53">
    <w:p>
      <w:pPr>
        <w:pStyle w:val="Notaalpie"/>
        <w:spacing w:before="0" w:after="200"/>
        <w:rPr/>
      </w:pPr>
      <w:r>
        <w:rPr>
          <w:rStyle w:val="Footnotereference"/>
        </w:rPr>
        <w:footnoteRef/>
        <w:tab/>
      </w:r>
      <w:r>
        <w:rPr/>
        <w:t xml:space="preserve"> </w:t>
      </w:r>
      <w:r>
        <w:rPr/>
        <w:t>Cobo del Rosal, M/Vives Antón, T.S. Derecho Penal. Parte General. Op. cit. 42</w:t>
      </w:r>
    </w:p>
  </w:footnote>
  <w:footnote w:id="54">
    <w:p>
      <w:pPr>
        <w:pStyle w:val="Notaalpie"/>
        <w:spacing w:before="0" w:after="200"/>
        <w:rPr/>
      </w:pPr>
      <w:r>
        <w:rPr>
          <w:rStyle w:val="Footnotereference"/>
        </w:rPr>
        <w:footnoteRef/>
        <w:tab/>
      </w:r>
      <w:r>
        <w:rPr/>
        <w:t xml:space="preserve"> </w:t>
      </w:r>
      <w:r>
        <w:rPr/>
        <w:t xml:space="preserve">Mir Puig, S. Derecho Penal. Parte General. Op. cit. 20 </w:t>
      </w:r>
    </w:p>
  </w:footnote>
  <w:footnote w:id="55">
    <w:p>
      <w:pPr>
        <w:pStyle w:val="Notaalpie"/>
        <w:spacing w:before="0" w:after="200"/>
        <w:rPr/>
      </w:pPr>
      <w:r>
        <w:rPr>
          <w:rStyle w:val="Footnotereference"/>
        </w:rPr>
        <w:footnoteRef/>
        <w:tab/>
      </w:r>
      <w:r>
        <w:rPr/>
        <w:t xml:space="preserve"> </w:t>
      </w:r>
      <w:r>
        <w:rPr/>
        <w:t xml:space="preserve">Queralt Jiménez, J.J (1983)  </w:t>
      </w:r>
      <w:r>
        <w:rPr>
          <w:i/>
        </w:rPr>
        <w:t>“Tirar a matar”,</w:t>
      </w:r>
      <w:r>
        <w:rPr/>
        <w:t xml:space="preserve"> en Cuadernos de Política criminal. P.732.</w:t>
      </w:r>
    </w:p>
  </w:footnote>
  <w:footnote w:id="56">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Queralt Jiménez, J.J; “Tirar a matar”.p 733.  Op. cit. 45.</w:t>
      </w:r>
    </w:p>
  </w:footnote>
  <w:footnote w:id="57">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Mir Puig, S</w:t>
      </w:r>
      <w:r>
        <w:rPr>
          <w:rFonts w:cs="Times New Roman" w:ascii="Times New Roman" w:hAnsi="Times New Roman"/>
          <w:i/>
        </w:rPr>
        <w:t>. Derecho Penal. Parte General. p 138</w:t>
      </w:r>
      <w:r>
        <w:rPr>
          <w:rFonts w:cs="Times New Roman" w:ascii="Times New Roman" w:hAnsi="Times New Roman"/>
        </w:rPr>
        <w:t>. OP.cit; p. 20</w:t>
      </w:r>
    </w:p>
  </w:footnote>
  <w:footnote w:id="58">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Sánchez García, M.I (1994) </w:t>
      </w:r>
      <w:r>
        <w:rPr>
          <w:rFonts w:cs="Times New Roman" w:ascii="Times New Roman" w:hAnsi="Times New Roman"/>
          <w:i/>
        </w:rPr>
        <w:t>“El principio constitucional de proporcionalidad es el derecho Penal”,</w:t>
      </w:r>
      <w:r>
        <w:rPr>
          <w:rFonts w:cs="Times New Roman" w:ascii="Times New Roman" w:hAnsi="Times New Roman"/>
        </w:rPr>
        <w:t xml:space="preserve"> en Diario La Ley, Tomo  IV. p 1114</w:t>
      </w:r>
    </w:p>
  </w:footnote>
  <w:footnote w:id="59">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SSTC de 2 de febrero de 1981 y 31 de marzo de 1981 que reconoce expresamente  el carácter informador de los principios generales del derecho</w:t>
      </w:r>
    </w:p>
  </w:footnote>
  <w:footnote w:id="60">
    <w:p>
      <w:pPr>
        <w:pStyle w:val="Notaalpie"/>
        <w:spacing w:before="0" w:after="200"/>
        <w:rPr/>
      </w:pPr>
      <w:r>
        <w:rPr>
          <w:rStyle w:val="Footnotereference"/>
        </w:rPr>
        <w:footnoteRef/>
        <w:tab/>
      </w:r>
      <w:r>
        <w:rPr/>
        <w:t xml:space="preserve"> </w:t>
      </w:r>
      <w:r>
        <w:rPr/>
        <w:t>Alfonso Pérez, F. Manual de Policía. Editorial La Ley. 3º edición. Madrid, 2003, p 50.</w:t>
      </w:r>
    </w:p>
  </w:footnote>
  <w:footnote w:id="61">
    <w:p>
      <w:pPr>
        <w:pStyle w:val="Notaalpie"/>
        <w:spacing w:before="0" w:after="200"/>
        <w:rPr>
          <w:b/>
          <w:color w:val="00B050"/>
        </w:rPr>
      </w:pPr>
      <w:r>
        <w:rPr>
          <w:rStyle w:val="Footnotereference"/>
        </w:rPr>
        <w:footnoteRef/>
        <w:tab/>
      </w:r>
      <w:r>
        <w:rPr/>
        <w:t xml:space="preserve"> </w:t>
      </w:r>
      <w:r>
        <w:rPr/>
        <w:t xml:space="preserve">Cervelló Donderis, V. “Limitaciones al ejercicio de violencia judicial en los supuestos de resistencia pasiva. Revista de derecho Penal y Criminología. 2013. </w:t>
      </w:r>
      <w:r>
        <w:rPr>
          <w:b/>
          <w:color w:val="00B050"/>
        </w:rPr>
        <w:t>Pp 13-52</w:t>
      </w:r>
    </w:p>
  </w:footnote>
  <w:footnote w:id="62">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Significado extraído de la página web oficial de la real Academia de la Lengua Española (www.rae.es) que contiene la 22 edición digital de 2012</w:t>
      </w:r>
    </w:p>
  </w:footnote>
  <w:footnote w:id="63">
    <w:p>
      <w:pPr>
        <w:pStyle w:val="Notaalpie"/>
        <w:spacing w:before="0" w:after="200"/>
        <w:rPr>
          <w:rFonts w:cs="Times New Roman" w:ascii="Times New Roman" w:hAnsi="Times New Roman"/>
        </w:rPr>
      </w:pPr>
      <w:r>
        <w:rPr>
          <w:rStyle w:val="Footnotereference"/>
          <w:rFonts w:cs="Times New Roman" w:ascii="Times New Roman" w:hAnsi="Times New Roman"/>
        </w:rPr>
        <w:footnoteRef/>
        <w:tab/>
      </w:r>
      <w:r>
        <w:rPr>
          <w:rFonts w:cs="Times New Roman" w:ascii="Times New Roman" w:hAnsi="Times New Roman"/>
        </w:rPr>
        <w:t xml:space="preserve">  </w:t>
      </w:r>
      <w:r>
        <w:rPr>
          <w:rFonts w:cs="Times New Roman" w:ascii="Times New Roman" w:hAnsi="Times New Roman"/>
        </w:rPr>
        <w:t xml:space="preserve">Queralt Jiménez, J.J (1983) </w:t>
      </w:r>
      <w:r>
        <w:rPr>
          <w:rFonts w:cs="Times New Roman" w:ascii="Times New Roman" w:hAnsi="Times New Roman"/>
          <w:i/>
        </w:rPr>
        <w:t>“Coacción directa y justificación”</w:t>
      </w:r>
      <w:r>
        <w:rPr>
          <w:rFonts w:cs="Times New Roman" w:ascii="Times New Roman" w:hAnsi="Times New Roman"/>
        </w:rPr>
        <w:t>. Revista Jurídica de Cataluña. Nº 3 Pp.109-126.</w:t>
      </w:r>
    </w:p>
  </w:footnote>
  <w:footnote w:id="64">
    <w:p>
      <w:pPr>
        <w:pStyle w:val="Notaalpie"/>
        <w:spacing w:before="0" w:after="200"/>
        <w:rPr>
          <w:i/>
        </w:rPr>
      </w:pPr>
      <w:r>
        <w:rPr>
          <w:rStyle w:val="Footnotereference"/>
          <w:i/>
        </w:rPr>
        <w:footnoteRef/>
        <w:tab/>
      </w:r>
      <w:r>
        <w:rPr>
          <w:i/>
        </w:rPr>
        <w:t xml:space="preserve"> </w:t>
      </w:r>
      <w:r>
        <w:rPr/>
        <w:t>Rodríguez Devesa, J.M (1983)</w:t>
      </w:r>
      <w:r>
        <w:rPr>
          <w:i/>
        </w:rPr>
        <w:t xml:space="preserve"> Derecho Penal Español. Parte general. Editorial: Carasa. Pp. 555 “La situación de legítima defensa presupone que en el momento en que se produce el ataque injusto el individuo se halla abandonado a sus propias fuerzas y que reacciona contra el injusto agresor. La otra alternativa consistirá en soportar la agresión injusta, en el fondo, pues, de toda legítima defensa late una situación de necesidad: el sujeto ha de sufrir un mal o inferirlo”.</w:t>
      </w:r>
    </w:p>
  </w:footnote>
  <w:footnote w:id="65">
    <w:p>
      <w:pPr>
        <w:pStyle w:val="Notaalpie"/>
        <w:spacing w:before="0" w:after="200"/>
        <w:rPr/>
      </w:pPr>
      <w:r>
        <w:rPr>
          <w:rStyle w:val="Footnotereference"/>
        </w:rPr>
        <w:footnoteRef/>
        <w:tab/>
      </w:r>
      <w:r>
        <w:rPr/>
        <w:t xml:space="preserve"> </w:t>
      </w:r>
      <w:r>
        <w:rPr/>
        <w:t>STS 29 de septiembre de 1994.</w:t>
      </w:r>
    </w:p>
  </w:footnote>
  <w:footnote w:id="66">
    <w:p>
      <w:pPr>
        <w:pStyle w:val="Notaalpie"/>
        <w:spacing w:before="0" w:after="200"/>
        <w:rPr/>
      </w:pPr>
      <w:r>
        <w:rPr>
          <w:rStyle w:val="Footnotereference"/>
        </w:rPr>
        <w:footnoteRef/>
        <w:tab/>
      </w:r>
      <w:r>
        <w:rPr/>
        <w:t xml:space="preserve"> </w:t>
      </w:r>
      <w:r>
        <w:rPr/>
        <w:t xml:space="preserve">Diez Picazo,l. y Gullón, A. (1984) </w:t>
      </w:r>
      <w:r>
        <w:rPr>
          <w:i/>
        </w:rPr>
        <w:t>Sistema de derecho Civil.</w:t>
      </w:r>
      <w:r>
        <w:rPr/>
        <w:t xml:space="preserve"> Editorial Technos. Edición: 4ª. vol 2, pp 633</w:t>
      </w:r>
    </w:p>
  </w:footnote>
  <w:footnote w:id="67">
    <w:p>
      <w:pPr>
        <w:pStyle w:val="Notaalpie"/>
        <w:spacing w:before="0" w:after="200"/>
        <w:rPr>
          <w:i/>
        </w:rPr>
      </w:pPr>
      <w:r>
        <w:rPr>
          <w:rStyle w:val="Footnotereference"/>
        </w:rPr>
        <w:footnoteRef/>
        <w:tab/>
      </w:r>
      <w:r>
        <w:rPr/>
        <w:t xml:space="preserve"> </w:t>
      </w:r>
      <w:r>
        <w:rPr/>
        <w:t xml:space="preserve">Fernández Palma, R/Álvarez Feijoo, M (2013). </w:t>
      </w:r>
      <w:r>
        <w:rPr>
          <w:i/>
        </w:rPr>
        <w:t>Código Penal con jurisprudencia</w:t>
      </w:r>
      <w:r>
        <w:rPr/>
        <w:t xml:space="preserve">. Editorial Thomson. Reuters Aranzadi. Edición: 1ª  </w:t>
      </w:r>
      <w:r>
        <w:rPr>
          <w:i/>
        </w:rPr>
        <w:t>“un derecho esencial del individuo tan elemental y tan viejo como la propia conclusión humana”</w:t>
      </w:r>
    </w:p>
  </w:footnote>
  <w:footnote w:id="68">
    <w:p>
      <w:pPr>
        <w:pStyle w:val="Notaalpie"/>
        <w:spacing w:before="0" w:after="200"/>
        <w:rPr/>
      </w:pPr>
      <w:r>
        <w:rPr>
          <w:rStyle w:val="Footnotereference"/>
        </w:rPr>
        <w:footnoteRef/>
        <w:tab/>
      </w:r>
      <w:r>
        <w:rPr/>
        <w:t xml:space="preserve"> </w:t>
      </w:r>
      <w:r>
        <w:rPr/>
        <w:t>Romeo Casabona, C.M (2013) Derecho Penal. Parte General. Introducción. Teoría jurídica del derecho Penal 210-211 Opus cit 24</w:t>
      </w:r>
    </w:p>
  </w:footnote>
  <w:footnote w:id="69">
    <w:p>
      <w:pPr>
        <w:pStyle w:val="Notaalpie"/>
        <w:rPr>
          <w:rFonts w:cs="Times New Roman" w:ascii="Times New Roman" w:hAnsi="Times New Roman"/>
          <w:i/>
          <w:color w:val="000000"/>
        </w:rPr>
      </w:pPr>
      <w:r>
        <w:rPr>
          <w:rStyle w:val="Footnotereference"/>
        </w:rPr>
        <w:footnoteRef/>
        <w:tab/>
      </w:r>
      <w:r>
        <w:rPr/>
        <w:t xml:space="preserve">  </w:t>
      </w:r>
      <w:r>
        <w:rPr/>
        <w:t xml:space="preserve">STS 8356/2000, 16 de noviembre de 2000. </w:t>
      </w:r>
      <w:r>
        <w:rPr>
          <w:rFonts w:cs="Times New Roman" w:ascii="Times New Roman" w:hAnsi="Times New Roman"/>
        </w:rPr>
        <w:t>.</w:t>
      </w:r>
      <w:r>
        <w:rPr>
          <w:rFonts w:cs="Times New Roman" w:ascii="Times New Roman" w:hAnsi="Times New Roman"/>
          <w:color w:val="000000"/>
        </w:rPr>
        <w:t xml:space="preserve"> </w:t>
      </w:r>
      <w:r>
        <w:rPr>
          <w:rFonts w:eastAsia="Times New Roman" w:cs="Times New Roman" w:ascii="Times New Roman" w:hAnsi="Times New Roman"/>
          <w:color w:val="000000"/>
          <w:lang w:eastAsia="es-ES"/>
        </w:rPr>
        <w:t>“</w:t>
      </w:r>
      <w:r>
        <w:rPr>
          <w:rFonts w:cs="Times New Roman" w:ascii="Times New Roman" w:hAnsi="Times New Roman"/>
          <w:i/>
          <w:color w:val="000000"/>
        </w:rPr>
        <w:t>En términos generales y con carácter previo hemos de decir que esa eximente, como causa excluyente de la antijuridicidad, se asienta en dos soportes principales que son, […]una agresión ilegítima y la necesidad de defenderse por parte de quien sufre aquélla […]Todo lo anteriormente dicho, unido al requisito de la falta de provocación suficiente por parte del que se defiende…”</w:t>
      </w:r>
    </w:p>
    <w:p>
      <w:pPr>
        <w:pStyle w:val="Notaalpie"/>
        <w:spacing w:before="0" w:after="200"/>
        <w:rPr/>
      </w:pPr>
      <w:r>
        <w:rPr/>
      </w:r>
    </w:p>
  </w:footnote>
  <w:footnote w:id="70">
    <w:p>
      <w:pPr>
        <w:pStyle w:val="Notaalpie"/>
        <w:spacing w:before="0" w:after="200"/>
        <w:rPr/>
      </w:pPr>
      <w:r>
        <w:rPr>
          <w:rStyle w:val="Footnotereference"/>
        </w:rPr>
        <w:footnoteRef/>
        <w:tab/>
      </w:r>
      <w:r>
        <w:rPr/>
        <w:t xml:space="preserve"> </w:t>
      </w:r>
      <w:r>
        <w:rPr/>
        <w:t xml:space="preserve">Romero Casabona (2013) </w:t>
      </w:r>
      <w:r>
        <w:rPr>
          <w:i/>
        </w:rPr>
        <w:t>Derecho Penal</w:t>
      </w:r>
      <w:r>
        <w:rPr/>
        <w:t>. Pp 211 Op. Cit 24</w:t>
      </w:r>
    </w:p>
  </w:footnote>
  <w:footnote w:id="71">
    <w:p>
      <w:pPr>
        <w:pStyle w:val="Notaalpie"/>
        <w:spacing w:before="0" w:after="200"/>
        <w:rPr/>
      </w:pPr>
      <w:r>
        <w:rPr>
          <w:rStyle w:val="Footnotereference"/>
        </w:rPr>
        <w:footnoteRef/>
        <w:tab/>
      </w:r>
      <w:r>
        <w:rPr/>
        <w:t xml:space="preserve"> </w:t>
      </w:r>
      <w:r>
        <w:rPr/>
        <w:t>STS 499/1979, 29 enero 1998.</w:t>
      </w:r>
    </w:p>
  </w:footnote>
  <w:footnote w:id="72">
    <w:p>
      <w:pPr>
        <w:pStyle w:val="Notaalpie"/>
        <w:spacing w:before="0" w:after="200"/>
        <w:rPr/>
      </w:pPr>
      <w:r>
        <w:rPr>
          <w:rStyle w:val="Footnotereference"/>
        </w:rPr>
        <w:footnoteRef/>
        <w:tab/>
      </w:r>
      <w:r>
        <w:rPr/>
        <w:t xml:space="preserve">  </w:t>
      </w:r>
      <w:r>
        <w:rPr/>
        <w:t>STS 1766/1999, de 9 de diciembre.</w:t>
      </w:r>
    </w:p>
  </w:footnote>
  <w:footnote w:id="73">
    <w:p>
      <w:pPr>
        <w:pStyle w:val="Notaalpie"/>
        <w:spacing w:before="0" w:after="200"/>
        <w:rPr/>
      </w:pPr>
      <w:r>
        <w:rPr>
          <w:rStyle w:val="Footnotereference"/>
        </w:rPr>
        <w:footnoteRef/>
        <w:tab/>
      </w:r>
      <w:r>
        <w:rPr/>
        <w:t xml:space="preserve">  </w:t>
      </w:r>
      <w:r>
        <w:rPr/>
        <w:t>STS 722/1998, de 20 de mayo.</w:t>
      </w:r>
    </w:p>
  </w:footnote>
  <w:footnote w:id="74">
    <w:p>
      <w:pPr>
        <w:pStyle w:val="Notaalpie"/>
        <w:spacing w:before="0" w:after="200"/>
        <w:rPr/>
      </w:pPr>
      <w:r>
        <w:rPr>
          <w:rStyle w:val="Footnotereference"/>
        </w:rPr>
        <w:footnoteRef/>
        <w:tab/>
      </w:r>
      <w:r>
        <w:rPr/>
        <w:t xml:space="preserve"> </w:t>
      </w:r>
      <w:r>
        <w:rPr/>
        <w:t>STS 1766/1999, de 9 de diciembre; y 1630/2002, de 2 de octubre.</w:t>
      </w:r>
    </w:p>
  </w:footnote>
  <w:footnote w:id="75">
    <w:p>
      <w:pPr>
        <w:pStyle w:val="Notaalpie"/>
        <w:spacing w:before="0" w:after="200"/>
        <w:rPr/>
      </w:pPr>
      <w:r>
        <w:rPr>
          <w:rStyle w:val="Footnotereference"/>
        </w:rPr>
        <w:footnoteRef/>
        <w:tab/>
      </w:r>
      <w:r>
        <w:rPr/>
        <w:t xml:space="preserve"> </w:t>
      </w:r>
      <w:r>
        <w:rPr/>
        <w:t>STS: 444/2004, de 1 de abril; y 1053/2002, de 5 de junio.</w:t>
      </w:r>
    </w:p>
  </w:footnote>
  <w:footnote w:id="76">
    <w:p>
      <w:pPr>
        <w:pStyle w:val="Notaalpie"/>
        <w:spacing w:before="0" w:after="200"/>
        <w:rPr/>
      </w:pPr>
      <w:r>
        <w:rPr>
          <w:rStyle w:val="Footnotereference"/>
        </w:rPr>
        <w:footnoteRef/>
        <w:tab/>
      </w:r>
      <w:r>
        <w:rPr/>
        <w:t xml:space="preserve"> </w:t>
      </w:r>
      <w:r>
        <w:rPr/>
        <w:t xml:space="preserve">Mir Puig, S. (2016). </w:t>
      </w:r>
      <w:r>
        <w:rPr>
          <w:i/>
        </w:rPr>
        <w:t>Derecho Penal. Parte General.</w:t>
      </w:r>
      <w:r>
        <w:rPr/>
        <w:t xml:space="preserve"> P. 493 Op. Cit  20</w:t>
      </w:r>
    </w:p>
  </w:footnote>
  <w:footnote w:id="77">
    <w:p>
      <w:pPr>
        <w:pStyle w:val="Notaalpie"/>
        <w:spacing w:before="0" w:after="200"/>
        <w:rPr>
          <w:i/>
        </w:rPr>
      </w:pPr>
      <w:r>
        <w:rPr>
          <w:rStyle w:val="Footnotereference"/>
        </w:rPr>
        <w:footnoteRef/>
        <w:tab/>
      </w:r>
      <w:r>
        <w:rPr/>
        <w:t xml:space="preserve"> </w:t>
      </w:r>
      <w:r>
        <w:rPr/>
        <w:t xml:space="preserve">STS 738/1997 de 5 de diciembre  “… </w:t>
      </w:r>
      <w:r>
        <w:rPr>
          <w:i/>
        </w:rPr>
        <w:t>la necesidad racional del medio empleado para impedir o repeler la agresión constituye un juicio de valor sobre la proporcionalidad entre las condiciones, instrumentos y riesgos de la agresión, y los propios medios y comportamientos decisivos”</w:t>
      </w:r>
    </w:p>
  </w:footnote>
  <w:footnote w:id="78">
    <w:p>
      <w:pPr>
        <w:pStyle w:val="Notaalpie"/>
        <w:spacing w:before="0" w:after="200"/>
        <w:rPr>
          <w:rFonts w:cs="Times New Roman" w:ascii="Times New Roman" w:hAnsi="Times New Roman"/>
        </w:rPr>
      </w:pPr>
      <w:r>
        <w:rPr>
          <w:rStyle w:val="Footnotereference"/>
        </w:rPr>
        <w:footnoteRef/>
        <w:tab/>
      </w:r>
      <w:r>
        <w:rPr/>
        <w:t xml:space="preserve"> </w:t>
      </w:r>
      <w:r>
        <w:rPr>
          <w:rFonts w:cs="Times New Roman" w:ascii="Times New Roman" w:hAnsi="Times New Roman"/>
        </w:rPr>
        <w:t>STS 8404/2000, 18 noviembre del 2000.</w:t>
      </w:r>
    </w:p>
  </w:footnote>
</w:footnote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644" w:hanging="360"/>
      </w:pPr>
    </w:lvl>
    <w:lvl w:ilvl="1">
      <w:start w:val="2"/>
      <w:numFmt w:val="decimal"/>
      <w:lvlText w:val="%1.%2."/>
      <w:lvlJc w:val="left"/>
      <w:pPr>
        <w:ind w:left="1004" w:hanging="720"/>
      </w:pPr>
      <w:rPr>
        <w:sz w:val="24"/>
      </w:rPr>
    </w:lvl>
    <w:lvl w:ilvl="2">
      <w:start w:val="1"/>
      <w:numFmt w:val="decimal"/>
      <w:lvlText w:val="%1.%2.%3."/>
      <w:lvlJc w:val="left"/>
      <w:pPr>
        <w:ind w:left="1004" w:hanging="720"/>
      </w:pPr>
      <w:rPr>
        <w:sz w:val="24"/>
      </w:rPr>
    </w:lvl>
    <w:lvl w:ilvl="3">
      <w:start w:val="1"/>
      <w:numFmt w:val="decimal"/>
      <w:lvlText w:val="%1.%2.%3.%4."/>
      <w:lvlJc w:val="left"/>
      <w:pPr>
        <w:ind w:left="1364" w:hanging="1080"/>
      </w:pPr>
      <w:rPr>
        <w:sz w:val="24"/>
      </w:rPr>
    </w:lvl>
    <w:lvl w:ilvl="4">
      <w:start w:val="1"/>
      <w:numFmt w:val="decimal"/>
      <w:lvlText w:val="%1.%2.%3.%4.%5."/>
      <w:lvlJc w:val="left"/>
      <w:pPr>
        <w:ind w:left="1364" w:hanging="1080"/>
      </w:pPr>
      <w:rPr>
        <w:sz w:val="24"/>
      </w:rPr>
    </w:lvl>
    <w:lvl w:ilvl="5">
      <w:start w:val="1"/>
      <w:numFmt w:val="decimal"/>
      <w:lvlText w:val="%1.%2.%3.%4.%5.%6."/>
      <w:lvlJc w:val="left"/>
      <w:pPr>
        <w:ind w:left="1724" w:hanging="1440"/>
      </w:pPr>
      <w:rPr>
        <w:sz w:val="24"/>
      </w:rPr>
    </w:lvl>
    <w:lvl w:ilvl="6">
      <w:start w:val="1"/>
      <w:numFmt w:val="decimal"/>
      <w:lvlText w:val="%1.%2.%3.%4.%5.%6.%7."/>
      <w:lvlJc w:val="left"/>
      <w:pPr>
        <w:ind w:left="2084" w:hanging="1800"/>
      </w:pPr>
      <w:rPr>
        <w:sz w:val="24"/>
      </w:rPr>
    </w:lvl>
    <w:lvl w:ilvl="7">
      <w:start w:val="1"/>
      <w:numFmt w:val="decimal"/>
      <w:lvlText w:val="%1.%2.%3.%4.%5.%6.%7.%8."/>
      <w:lvlJc w:val="left"/>
      <w:pPr>
        <w:ind w:left="2084" w:hanging="1800"/>
      </w:pPr>
      <w:rPr>
        <w:sz w:val="24"/>
      </w:rPr>
    </w:lvl>
    <w:lvl w:ilvl="8">
      <w:start w:val="1"/>
      <w:numFmt w:val="decimal"/>
      <w:lvlText w:val="%1.%2.%3.%4.%5.%6.%7.%8.%9."/>
      <w:lvlJc w:val="left"/>
      <w:pPr>
        <w:ind w:left="2444" w:hanging="2160"/>
      </w:pPr>
      <w:rPr>
        <w:sz w:val="24"/>
      </w:r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10"/>
  <w:defaultTabStop w:val="708"/>
  <w:footnotePr>
    <w:numFmt w:val="decimal"/>
    <w:footnote w:id="0"/>
    <w:footnote w:id="1"/>
  </w:footnotePr>
</w:settings>
</file>

<file path=word/styles.xml><?xml version="1.0" encoding="utf-8"?>
<w:styles xmlns:w="http://schemas.openxmlformats.org/wordprocessingml/2006/main">
  <w:docDefaults>
    <w:rPrDefault>
      <w:rPr>
        <w:rFonts w:ascii="Calibri" w:hAnsi="Calibri" w:eastAsia="SimSun" w:cs="Calibri"/>
        <w:sz w:val="22"/>
        <w:szCs w:val="22"/>
        <w:lang w:val="es-ES" w:eastAsia="en-US" w:bidi="ar-SA"/>
      </w:rPr>
    </w:rPrDefault>
    <w:pPrDefault>
      <w:pPr>
        <w:spacing w:lineRule="auto" w:line="276"/>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iPriority="39" w:name="toc 1"/>
    <w:lsdException w:qFormat="1" w:uiPriority="39"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5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pPr>
      <w:widowControl/>
      <w:suppressAutoHyphens w:val="true"/>
      <w:bidi w:val="0"/>
      <w:spacing w:before="0" w:after="200" w:lineRule="auto" w:line="276"/>
      <w:jc w:val="left"/>
    </w:pPr>
    <w:rPr>
      <w:rFonts w:ascii="Calibri" w:hAnsi="Calibri" w:eastAsia="SimSun" w:cs="Calibri"/>
      <w:color w:val="00000A"/>
      <w:sz w:val="22"/>
      <w:szCs w:val="22"/>
      <w:lang w:val="es-ES" w:eastAsia="en-US" w:bidi="ar-SA"/>
    </w:rPr>
  </w:style>
  <w:style w:type="paragraph" w:styleId="Encabezado1" w:customStyle="1">
    <w:name w:val="Encabezado 1"/>
    <w:uiPriority w:val="9"/>
    <w:qFormat/>
    <w:link w:val="Ttulo1Car"/>
    <w:rsid w:val="00fe6358"/>
    <w:basedOn w:val="Normal"/>
    <w:next w:val="Normal"/>
    <w:pPr>
      <w:keepNext/>
      <w:keepLines/>
      <w:spacing w:before="480" w:after="0"/>
      <w:outlineLvl w:val="0"/>
    </w:pPr>
    <w:rPr>
      <w:rFonts w:ascii="Cambria" w:hAnsi="Cambria"/>
      <w:b/>
      <w:bCs/>
      <w:color w:val="365F91"/>
      <w:sz w:val="28"/>
      <w:szCs w:val="28"/>
    </w:rPr>
  </w:style>
  <w:style w:type="paragraph" w:styleId="Encabezado2" w:customStyle="1">
    <w:name w:val="Encabezado 2"/>
    <w:uiPriority w:val="9"/>
    <w:qFormat/>
    <w:semiHidden/>
    <w:unhideWhenUsed/>
    <w:link w:val="Ttulo2Car"/>
    <w:rsid w:val="00fe6358"/>
    <w:basedOn w:val="Normal"/>
    <w:next w:val="Normal"/>
    <w:pPr>
      <w:keepNext/>
      <w:keepLines/>
      <w:spacing w:before="200" w:after="0"/>
      <w:outlineLvl w:val="1"/>
    </w:pPr>
    <w:rPr>
      <w:rFonts w:ascii="Cambria" w:hAnsi="Cambria"/>
      <w:b/>
      <w:bCs/>
      <w:color w:val="4F81BD"/>
      <w:sz w:val="26"/>
      <w:szCs w:val="26"/>
    </w:rPr>
  </w:style>
  <w:style w:type="paragraph" w:styleId="Encabezado3" w:customStyle="1">
    <w:name w:val="Encabezado 3"/>
    <w:uiPriority w:val="9"/>
    <w:qFormat/>
    <w:semiHidden/>
    <w:unhideWhenUsed/>
    <w:link w:val="Ttulo3Car"/>
    <w:rsid w:val="00fe6358"/>
    <w:basedOn w:val="Normal"/>
    <w:next w:val="Normal"/>
    <w:pPr>
      <w:keepNext/>
      <w:keepLines/>
      <w:spacing w:before="200" w:after="0"/>
      <w:outlineLvl w:val="2"/>
    </w:pPr>
    <w:rPr>
      <w:rFonts w:ascii="Cambria" w:hAnsi="Cambria"/>
      <w:b/>
      <w:bCs/>
      <w:color w:val="4F81BD"/>
    </w:rPr>
  </w:style>
  <w:style w:type="paragraph" w:styleId="Encabezado4" w:customStyle="1">
    <w:name w:val="Encabezado 4"/>
    <w:uiPriority w:val="9"/>
    <w:qFormat/>
    <w:semiHidden/>
    <w:unhideWhenUsed/>
    <w:link w:val="Ttulo4Car"/>
    <w:rsid w:val="00ba1cff"/>
    <w:basedOn w:val="Normal"/>
    <w:next w:val="Normal"/>
    <w:pPr>
      <w:keepNext/>
      <w:keepLines/>
      <w:spacing w:before="200" w:after="0"/>
      <w:outlineLvl w:val="3"/>
    </w:pPr>
    <w:rPr>
      <w:rFonts w:ascii="Cambria" w:hAnsi="Cambria"/>
      <w:b/>
      <w:bCs/>
      <w:i/>
      <w:iCs/>
      <w:color w:val="4F81BD"/>
    </w:rPr>
  </w:style>
  <w:style w:type="character" w:styleId="DefaultParagraphFont" w:default="1">
    <w:name w:val="Default Paragraph Font"/>
    <w:uiPriority w:val="1"/>
    <w:semiHidden/>
    <w:unhideWhenUsed/>
    <w:rPr/>
  </w:style>
  <w:style w:type="character" w:styleId="EnlacedeInternet" w:customStyle="1">
    <w:name w:val="Enlace de Internet"/>
    <w:uiPriority w:val="99"/>
    <w:unhideWhenUsed/>
    <w:rsid w:val="00211736"/>
    <w:basedOn w:val="DefaultParagraphFont"/>
    <w:rPr>
      <w:color w:val="0000FF"/>
      <w:u w:val="single"/>
      <w:lang w:val="zxx" w:eastAsia="zxx" w:bidi="zxx"/>
    </w:rPr>
  </w:style>
  <w:style w:type="character" w:styleId="EncabezadoCar" w:customStyle="1">
    <w:name w:val="Encabezado Car"/>
    <w:uiPriority w:val="99"/>
    <w:link w:val="Encabezado"/>
    <w:rsid w:val="0040520a"/>
    <w:basedOn w:val="DefaultParagraphFont"/>
    <w:rPr/>
  </w:style>
  <w:style w:type="character" w:styleId="PiedepginaCar" w:customStyle="1">
    <w:name w:val="Pie de página Car"/>
    <w:uiPriority w:val="99"/>
    <w:link w:val="Piedepgina"/>
    <w:rsid w:val="0040520a"/>
    <w:basedOn w:val="DefaultParagraphFont"/>
    <w:rPr/>
  </w:style>
  <w:style w:type="character" w:styleId="TextodegloboCar" w:customStyle="1">
    <w:name w:val="Texto de globo Car"/>
    <w:uiPriority w:val="99"/>
    <w:semiHidden/>
    <w:link w:val="Textodeglobo"/>
    <w:rsid w:val="0040520a"/>
    <w:basedOn w:val="DefaultParagraphFont"/>
    <w:rPr>
      <w:rFonts w:ascii="Tahoma" w:hAnsi="Tahoma" w:cs="Tahoma"/>
      <w:sz w:val="16"/>
      <w:szCs w:val="16"/>
    </w:rPr>
  </w:style>
  <w:style w:type="character" w:styleId="TextonotaalfinalCar" w:customStyle="1">
    <w:name w:val="Texto nota al final Car"/>
    <w:uiPriority w:val="99"/>
    <w:semiHidden/>
    <w:link w:val="Textonotaalfinal"/>
    <w:rsid w:val="0040520a"/>
    <w:basedOn w:val="DefaultParagraphFont"/>
    <w:rPr>
      <w:sz w:val="20"/>
      <w:szCs w:val="20"/>
    </w:rPr>
  </w:style>
  <w:style w:type="character" w:styleId="Endnotereference">
    <w:name w:val="endnote reference"/>
    <w:uiPriority w:val="99"/>
    <w:semiHidden/>
    <w:unhideWhenUsed/>
    <w:rsid w:val="0040520a"/>
    <w:basedOn w:val="DefaultParagraphFont"/>
    <w:rPr>
      <w:vertAlign w:val="superscript"/>
    </w:rPr>
  </w:style>
  <w:style w:type="character" w:styleId="TextonotapieCar" w:customStyle="1">
    <w:name w:val="Texto nota pie Car"/>
    <w:uiPriority w:val="99"/>
    <w:link w:val="Textonotapie"/>
    <w:rsid w:val="001d743a"/>
    <w:basedOn w:val="DefaultParagraphFont"/>
    <w:rPr>
      <w:sz w:val="20"/>
      <w:szCs w:val="20"/>
    </w:rPr>
  </w:style>
  <w:style w:type="character" w:styleId="Footnotereference">
    <w:name w:val="footnote reference"/>
    <w:uiPriority w:val="99"/>
    <w:semiHidden/>
    <w:unhideWhenUsed/>
    <w:rsid w:val="001d743a"/>
    <w:basedOn w:val="DefaultParagraphFont"/>
    <w:rPr>
      <w:vertAlign w:val="superscript"/>
    </w:rPr>
  </w:style>
  <w:style w:type="character" w:styleId="Appleconvertedspace" w:customStyle="1">
    <w:name w:val="apple-converted-space"/>
    <w:rsid w:val="00d91244"/>
    <w:basedOn w:val="DefaultParagraphFont"/>
    <w:rPr/>
  </w:style>
  <w:style w:type="character" w:styleId="Ttulo1Car" w:customStyle="1">
    <w:name w:val="Título 1 Car"/>
    <w:uiPriority w:val="9"/>
    <w:link w:val="Encabezado1"/>
    <w:rsid w:val="00fe6358"/>
    <w:basedOn w:val="DefaultParagraphFont"/>
    <w:rPr>
      <w:rFonts w:ascii="Cambria" w:hAnsi="Cambria"/>
      <w:b/>
      <w:bCs/>
      <w:color w:val="365F91"/>
      <w:sz w:val="28"/>
      <w:szCs w:val="28"/>
    </w:rPr>
  </w:style>
  <w:style w:type="character" w:styleId="Ttulo2Car" w:customStyle="1">
    <w:name w:val="Título 2 Car"/>
    <w:uiPriority w:val="9"/>
    <w:semiHidden/>
    <w:link w:val="Encabezado2"/>
    <w:rsid w:val="00fe6358"/>
    <w:basedOn w:val="DefaultParagraphFont"/>
    <w:rPr>
      <w:rFonts w:ascii="Cambria" w:hAnsi="Cambria"/>
      <w:b/>
      <w:bCs/>
      <w:color w:val="4F81BD"/>
      <w:sz w:val="26"/>
      <w:szCs w:val="26"/>
    </w:rPr>
  </w:style>
  <w:style w:type="character" w:styleId="Ttulo3Car" w:customStyle="1">
    <w:name w:val="Título 3 Car"/>
    <w:uiPriority w:val="9"/>
    <w:semiHidden/>
    <w:link w:val="Encabezado3"/>
    <w:rsid w:val="00fe6358"/>
    <w:basedOn w:val="DefaultParagraphFont"/>
    <w:rPr>
      <w:rFonts w:ascii="Cambria" w:hAnsi="Cambria"/>
      <w:b/>
      <w:bCs/>
      <w:color w:val="4F81BD"/>
    </w:rPr>
  </w:style>
  <w:style w:type="character" w:styleId="Ttulo4Car" w:customStyle="1">
    <w:name w:val="Título 4 Car"/>
    <w:uiPriority w:val="9"/>
    <w:semiHidden/>
    <w:link w:val="Encabezado4"/>
    <w:rsid w:val="00ba1cff"/>
    <w:basedOn w:val="DefaultParagraphFont"/>
    <w:rPr>
      <w:rFonts w:ascii="Cambria" w:hAnsi="Cambria"/>
      <w:b/>
      <w:bCs/>
      <w:i/>
      <w:iCs/>
      <w:color w:val="4F81BD"/>
    </w:rPr>
  </w:style>
  <w:style w:type="character" w:styleId="ListLabel1" w:customStyle="1">
    <w:name w:val="ListLabel 1"/>
    <w:rPr>
      <w:sz w:val="24"/>
    </w:rPr>
  </w:style>
  <w:style w:type="character" w:styleId="ListLabel2" w:customStyle="1">
    <w:name w:val="ListLabel 2"/>
    <w:rPr>
      <w:rFonts w:cs="Courier New"/>
    </w:rPr>
  </w:style>
  <w:style w:type="character" w:styleId="EnlacedeInternetyavisitado" w:customStyle="1">
    <w:name w:val="Enlace de Internet ya visitado"/>
    <w:rPr>
      <w:color w:val="800000"/>
      <w:u w:val="single"/>
      <w:lang w:val="zxx" w:eastAsia="zxx" w:bidi="zxx"/>
    </w:rPr>
  </w:style>
  <w:style w:type="character" w:styleId="Ancladenotaalpie" w:customStyle="1">
    <w:name w:val="Ancla de nota al pie"/>
    <w:rPr>
      <w:vertAlign w:val="superscript"/>
    </w:rPr>
  </w:style>
  <w:style w:type="character" w:styleId="Ancladenotafinal" w:customStyle="1">
    <w:name w:val="Ancla de nota final"/>
    <w:rPr>
      <w:vertAlign w:val="superscript"/>
    </w:rPr>
  </w:style>
  <w:style w:type="character" w:styleId="ListLabel3" w:customStyle="1">
    <w:name w:val="ListLabel 3"/>
    <w:rPr>
      <w:sz w:val="24"/>
    </w:rPr>
  </w:style>
  <w:style w:type="character" w:styleId="ListLabel4" w:customStyle="1">
    <w:name w:val="ListLabel 4"/>
    <w:rPr>
      <w:sz w:val="24"/>
    </w:rPr>
  </w:style>
  <w:style w:type="character" w:styleId="ListLabel5" w:customStyle="1">
    <w:name w:val="ListLabel 5"/>
    <w:rPr>
      <w:sz w:val="24"/>
    </w:rPr>
  </w:style>
  <w:style w:type="character" w:styleId="ListLabel6" w:customStyle="1">
    <w:name w:val="ListLabel 6"/>
    <w:rPr>
      <w:sz w:val="24"/>
    </w:rPr>
  </w:style>
  <w:style w:type="character" w:styleId="Enlacedelndice" w:customStyle="1">
    <w:name w:val="Enlace del índice"/>
    <w:rPr/>
  </w:style>
  <w:style w:type="character" w:styleId="Caracteresdenotaalpie" w:customStyle="1">
    <w:name w:val="Caracteres de nota al pie"/>
    <w:rPr/>
  </w:style>
  <w:style w:type="character" w:styleId="Caracteresdenotafinal" w:customStyle="1">
    <w:name w:val="Caracteres de nota final"/>
    <w:rPr/>
  </w:style>
  <w:style w:type="character" w:styleId="ListLabel7">
    <w:name w:val="ListLabel 7"/>
    <w:rPr>
      <w:sz w:val="24"/>
    </w:rPr>
  </w:style>
  <w:style w:type="paragraph" w:styleId="Encabezado">
    <w:name w:val="Encabezado"/>
    <w:basedOn w:val="Normal"/>
    <w:next w:val="Cuerpodetexto"/>
    <w:pPr>
      <w:keepNext/>
      <w:spacing w:before="240" w:after="120"/>
    </w:pPr>
    <w:rPr>
      <w:rFonts w:ascii="Liberation Sans" w:hAnsi="Liberation Sans" w:eastAsia="Microsoft YaHei" w:cs="Arial"/>
      <w:sz w:val="28"/>
      <w:szCs w:val="28"/>
    </w:rPr>
  </w:style>
  <w:style w:type="paragraph" w:styleId="Cuerpodetexto" w:customStyle="1">
    <w:name w:val="Cuerpo de texto"/>
    <w:basedOn w:val="Normal"/>
    <w:pPr>
      <w:spacing w:lineRule="auto" w:line="288" w:before="0" w:after="140"/>
    </w:pPr>
    <w:rPr/>
  </w:style>
  <w:style w:type="paragraph" w:styleId="Lista">
    <w:name w:val="Lista"/>
    <w:basedOn w:val="Cuerpodetexto"/>
    <w:pPr/>
    <w:rPr>
      <w:rFonts w:cs="Arial"/>
    </w:rPr>
  </w:style>
  <w:style w:type="paragraph" w:styleId="Pie" w:customStyle="1">
    <w:name w:val="Pie"/>
    <w:basedOn w:val="Normal"/>
    <w:pPr>
      <w:suppressLineNumbers/>
      <w:spacing w:before="120" w:after="120"/>
    </w:pPr>
    <w:rPr>
      <w:rFonts w:cs="Arial"/>
      <w:i/>
      <w:iCs/>
      <w:sz w:val="24"/>
      <w:szCs w:val="24"/>
    </w:rPr>
  </w:style>
  <w:style w:type="paragraph" w:styleId="Ndice" w:customStyle="1">
    <w:name w:val="Índice"/>
    <w:basedOn w:val="Normal"/>
    <w:pPr>
      <w:suppressLineNumbers/>
    </w:pPr>
    <w:rPr>
      <w:rFonts w:cs="Arial"/>
    </w:rPr>
  </w:style>
  <w:style w:type="paragraph" w:styleId="Encabezamiento" w:customStyle="1">
    <w:name w:val="Encabezamiento"/>
    <w:uiPriority w:val="99"/>
    <w:unhideWhenUsed/>
    <w:rsid w:val="0040520a"/>
    <w:basedOn w:val="Normal"/>
    <w:pPr>
      <w:keepNext/>
      <w:tabs>
        <w:tab w:val="center" w:pos="4252" w:leader="none"/>
        <w:tab w:val="right" w:pos="8504" w:leader="none"/>
      </w:tabs>
      <w:spacing w:lineRule="auto" w:line="240" w:before="240" w:after="0"/>
    </w:pPr>
    <w:rPr>
      <w:rFonts w:ascii="Liberation Sans" w:hAnsi="Liberation Sans" w:eastAsia="Microsoft YaHei" w:cs="Arial"/>
      <w:sz w:val="28"/>
      <w:szCs w:val="28"/>
    </w:rPr>
  </w:style>
  <w:style w:type="paragraph" w:styleId="Piedepgina">
    <w:name w:val="Pie de página"/>
    <w:uiPriority w:val="99"/>
    <w:unhideWhenUsed/>
    <w:link w:val="PiedepginaCar"/>
    <w:rsid w:val="0040520a"/>
    <w:basedOn w:val="Normal"/>
    <w:pPr>
      <w:tabs>
        <w:tab w:val="center" w:pos="4252" w:leader="none"/>
        <w:tab w:val="right" w:pos="8504" w:leader="none"/>
      </w:tabs>
      <w:spacing w:lineRule="auto" w:line="240" w:before="0" w:after="0"/>
    </w:pPr>
    <w:rPr/>
  </w:style>
  <w:style w:type="paragraph" w:styleId="BalloonText">
    <w:name w:val="Balloon Text"/>
    <w:uiPriority w:val="99"/>
    <w:semiHidden/>
    <w:unhideWhenUsed/>
    <w:link w:val="TextodegloboCar"/>
    <w:rsid w:val="0040520a"/>
    <w:basedOn w:val="Normal"/>
    <w:pPr>
      <w:spacing w:lineRule="auto" w:line="240" w:before="0" w:after="0"/>
    </w:pPr>
    <w:rPr>
      <w:rFonts w:ascii="Tahoma" w:hAnsi="Tahoma" w:cs="Tahoma"/>
      <w:sz w:val="16"/>
      <w:szCs w:val="16"/>
    </w:rPr>
  </w:style>
  <w:style w:type="paragraph" w:styleId="Endnotetext">
    <w:name w:val="endnote text"/>
    <w:uiPriority w:val="99"/>
    <w:semiHidden/>
    <w:unhideWhenUsed/>
    <w:link w:val="TextonotaalfinalCar"/>
    <w:rsid w:val="0040520a"/>
    <w:basedOn w:val="Normal"/>
    <w:pPr>
      <w:spacing w:lineRule="auto" w:line="240" w:before="0" w:after="0"/>
    </w:pPr>
    <w:rPr>
      <w:sz w:val="20"/>
      <w:szCs w:val="20"/>
    </w:rPr>
  </w:style>
  <w:style w:type="paragraph" w:styleId="Footnotetext">
    <w:name w:val="footnote text"/>
    <w:uiPriority w:val="99"/>
    <w:unhideWhenUsed/>
    <w:link w:val="TextonotapieCar"/>
    <w:rsid w:val="001d743a"/>
    <w:basedOn w:val="Normal"/>
    <w:pPr>
      <w:spacing w:lineRule="auto" w:line="240" w:before="0" w:after="0"/>
    </w:pPr>
    <w:rPr>
      <w:sz w:val="20"/>
      <w:szCs w:val="20"/>
    </w:rPr>
  </w:style>
  <w:style w:type="paragraph" w:styleId="ListParagraph">
    <w:name w:val="List Paragraph"/>
    <w:uiPriority w:val="34"/>
    <w:qFormat/>
    <w:rsid w:val="00e079a7"/>
    <w:basedOn w:val="Normal"/>
    <w:pPr>
      <w:spacing w:before="0" w:after="200"/>
      <w:ind w:left="720" w:right="0" w:hanging="0"/>
      <w:contextualSpacing/>
    </w:pPr>
    <w:rPr/>
  </w:style>
  <w:style w:type="paragraph" w:styleId="Bibliography">
    <w:name w:val="Bibliography"/>
    <w:uiPriority w:val="37"/>
    <w:unhideWhenUsed/>
    <w:rsid w:val="004339bd"/>
    <w:basedOn w:val="Normal"/>
    <w:next w:val="Normal"/>
    <w:pPr/>
    <w:rPr/>
  </w:style>
  <w:style w:type="paragraph" w:styleId="NoSpacing">
    <w:name w:val="No Spacing"/>
    <w:uiPriority w:val="1"/>
    <w:qFormat/>
    <w:rsid w:val="00c06afe"/>
    <w:pPr>
      <w:widowControl/>
      <w:suppressAutoHyphens w:val="true"/>
      <w:bidi w:val="0"/>
      <w:spacing w:lineRule="auto" w:line="240"/>
      <w:jc w:val="left"/>
    </w:pPr>
    <w:rPr>
      <w:rFonts w:ascii="Calibri" w:hAnsi="Calibri" w:eastAsia="SimSun" w:cs="Calibri"/>
      <w:color w:val="00000A"/>
      <w:sz w:val="22"/>
      <w:szCs w:val="22"/>
      <w:lang w:val="es-ES" w:eastAsia="en-US" w:bidi="ar-SA"/>
    </w:rPr>
  </w:style>
  <w:style w:type="paragraph" w:styleId="Index1">
    <w:name w:val="index 1"/>
    <w:uiPriority w:val="39"/>
    <w:qFormat/>
    <w:unhideWhenUsed/>
    <w:rsid w:val="00fe6358"/>
    <w:basedOn w:val="Normal"/>
    <w:next w:val="Normal"/>
    <w:autoRedefine/>
    <w:pPr>
      <w:spacing w:before="0" w:after="100"/>
    </w:pPr>
    <w:rPr/>
  </w:style>
  <w:style w:type="paragraph" w:styleId="Encabezadodelndice" w:customStyle="1">
    <w:name w:val="Encabezado del índice"/>
    <w:uiPriority w:val="39"/>
    <w:qFormat/>
    <w:semiHidden/>
    <w:unhideWhenUsed/>
    <w:rsid w:val="005c1d82"/>
    <w:basedOn w:val="Encabezado1"/>
    <w:next w:val="Normal"/>
    <w:pPr/>
    <w:rPr>
      <w:lang w:eastAsia="es-ES"/>
    </w:rPr>
  </w:style>
  <w:style w:type="paragraph" w:styleId="Index2">
    <w:name w:val="index 2"/>
    <w:uiPriority w:val="39"/>
    <w:qFormat/>
    <w:unhideWhenUsed/>
    <w:rsid w:val="00175eae"/>
    <w:basedOn w:val="Normal"/>
    <w:next w:val="Normal"/>
    <w:autoRedefine/>
    <w:pPr>
      <w:tabs>
        <w:tab w:val="left" w:pos="880" w:leader="none"/>
        <w:tab w:val="right" w:pos="8494" w:leader="dot"/>
      </w:tabs>
      <w:spacing w:lineRule="auto" w:line="360" w:before="0" w:after="100"/>
      <w:ind w:left="220" w:right="0" w:hanging="0"/>
    </w:pPr>
    <w:rPr>
      <w:lang w:eastAsia="es-ES"/>
    </w:rPr>
  </w:style>
  <w:style w:type="paragraph" w:styleId="Index3">
    <w:name w:val="index 3"/>
    <w:uiPriority w:val="39"/>
    <w:qFormat/>
    <w:unhideWhenUsed/>
    <w:rsid w:val="005c1d82"/>
    <w:basedOn w:val="Normal"/>
    <w:next w:val="Normal"/>
    <w:autoRedefine/>
    <w:pPr>
      <w:spacing w:before="0" w:after="100"/>
      <w:ind w:left="440" w:right="0" w:hanging="0"/>
    </w:pPr>
    <w:rPr>
      <w:lang w:eastAsia="es-ES"/>
    </w:rPr>
  </w:style>
  <w:style w:type="paragraph" w:styleId="Index4">
    <w:name w:val="index 4"/>
    <w:uiPriority w:val="39"/>
    <w:unhideWhenUsed/>
    <w:rsid w:val="00175eae"/>
    <w:basedOn w:val="Normal"/>
    <w:next w:val="Normal"/>
    <w:autoRedefine/>
    <w:pPr>
      <w:spacing w:before="0" w:after="100"/>
      <w:ind w:left="660" w:right="0" w:hanging="0"/>
    </w:pPr>
    <w:rPr/>
  </w:style>
  <w:style w:type="paragraph" w:styleId="Index5">
    <w:name w:val="index 5"/>
    <w:uiPriority w:val="39"/>
    <w:unhideWhenUsed/>
    <w:rsid w:val="00175eae"/>
    <w:basedOn w:val="Normal"/>
    <w:next w:val="Normal"/>
    <w:autoRedefine/>
    <w:pPr>
      <w:spacing w:before="0" w:after="100"/>
      <w:ind w:left="880" w:right="0" w:hanging="0"/>
    </w:pPr>
    <w:rPr/>
  </w:style>
  <w:style w:type="paragraph" w:styleId="Notaalpie" w:customStyle="1">
    <w:name w:val="Nota al pie"/>
    <w:basedOn w:val="Normal"/>
    <w:pPr/>
    <w:rPr/>
  </w:style>
  <w:style w:type="numbering" w:styleId="NoList" w:default="1">
    <w:name w:val="No List"/>
    <w:uiPriority w:val="99"/>
    <w:semiHidden/>
    <w:unhideWhenUsed/>
  </w:style>
  <w:style w:type="table" w:default="1" w:styleId="Tablanormal">
    <w:name w:val="Normal Table"/>
    <w:uiPriority w:val="99"/>
    <w:semiHidden/>
    <w:unhideWhenUsed/>
    <w:tblPr>
      <w:tblInd w:type="dxa" w:w="0"/>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www.un.org/es/events/crimecongress2010/pdf/55years_ebook_es.pdf" TargetMode="External"/><Relationship Id="rId3" Type="http://schemas.openxmlformats.org/officeDocument/2006/relationships/hyperlink" Target="https://dialnet.unirioja.es/ejemplar/140318" TargetMode="External"/><Relationship Id="rId4" Type="http://schemas.openxmlformats.org/officeDocument/2006/relationships/hyperlink" Target="http://www.rae.es/" TargetMode="External"/><Relationship Id="rId5" Type="http://schemas.openxmlformats.org/officeDocument/2006/relationships/footer" Target="footer1.xml"/><Relationship Id="rId6" Type="http://schemas.openxmlformats.org/officeDocument/2006/relationships/footnotes" Target="footnotes.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Relationship Id="rId11" Type="http://schemas.openxmlformats.org/officeDocument/2006/relationships/customXml" Target="../customXml/item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Cer04</b:Tag>
    <b:SourceType>Book</b:SourceType>
    <b:Guid>{925A067F-7748-4ECF-9A2E-21A21BC34E76}</b:Guid>
    <b:Title>Curso de Derecho Penal Español. Paerte Genaral</b:Title>
    <b:Year>2004</b:Year>
    <b:Publisher>Technos</b:Publisher>
    <b:Author>
      <b:Author>
        <b:NameList>
          <b:Person>
            <b:Last>Cerezo Mir</b:Last>
            <b:First>Juan</b:First>
          </b:Person>
        </b:NameList>
      </b:Author>
    </b:Author>
    <b:Volume>Tomo II</b:Volume>
    <b:Pages>447</b:Pages>
    <b:Edition>6º</b:Edition>
    <b:RefOrder>1</b:RefOrder>
  </b:Source>
</b:Sources>
</file>

<file path=customXml/itemProps1.xml><?xml version="1.0" encoding="utf-8"?>
<ds:datastoreItem xmlns:ds="http://schemas.openxmlformats.org/officeDocument/2006/customXml" ds:itemID="{AFFDE64A-11EE-4253-B37F-78E414E43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Application>Microsoft Office Word</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2017-05-10T11:17:00Z</dcterms:created>
  <dc:creator>ACADEMIA</dc:creator>
  <dc:language>es-ES</dc:language>
  <cp:lastModifiedBy>PC3</cp:lastModifiedBy>
  <cp:lastPrinted>2017-06-22T10:10:00Z</cp:lastPrinted>
  <dcterms:modified xsi:type="dcterms:W3CDTF">2017-06-22T10:11:00Z</dcterms:modified>
  <cp:revision>3</cp:revision>
</cp:coreProperties>
</file>