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6FB2" w:rsidRDefault="00EB6FB2" w:rsidP="00EB6FB2">
      <w:pPr>
        <w:pStyle w:val="Normal1"/>
        <w:keepNext/>
        <w:keepLines/>
        <w:tabs>
          <w:tab w:val="left" w:pos="5288"/>
        </w:tabs>
        <w:spacing w:before="480" w:after="240"/>
        <w:jc w:val="both"/>
        <w:rPr>
          <w:rFonts w:ascii="Times New Roman" w:eastAsia="Times New Roman" w:hAnsi="Times New Roman" w:cs="Times New Roman"/>
          <w:b/>
          <w:sz w:val="32"/>
          <w:szCs w:val="32"/>
        </w:rPr>
      </w:pPr>
      <w:r>
        <w:rPr>
          <w:rFonts w:ascii="Times New Roman" w:eastAsia="Times New Roman" w:hAnsi="Times New Roman" w:cs="Times New Roman"/>
          <w:b/>
          <w:noProof/>
          <w:sz w:val="32"/>
          <w:szCs w:val="32"/>
        </w:rPr>
        <w:drawing>
          <wp:anchor distT="0" distB="0" distL="114300" distR="114300" simplePos="0" relativeHeight="251661312" behindDoc="0" locked="0" layoutInCell="0" allowOverlap="1">
            <wp:simplePos x="0" y="0"/>
            <wp:positionH relativeFrom="column">
              <wp:posOffset>3520440</wp:posOffset>
            </wp:positionH>
            <wp:positionV relativeFrom="paragraph">
              <wp:posOffset>-242570</wp:posOffset>
            </wp:positionV>
            <wp:extent cx="962025" cy="1028700"/>
            <wp:effectExtent l="19050" t="0" r="9525" b="0"/>
            <wp:wrapTopAndBottom/>
            <wp:docPr id="4"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62025" cy="1028700"/>
                    </a:xfrm>
                    <a:prstGeom prst="rect">
                      <a:avLst/>
                    </a:prstGeom>
                    <a:noFill/>
                  </pic:spPr>
                </pic:pic>
              </a:graphicData>
            </a:graphic>
          </wp:anchor>
        </w:drawing>
      </w:r>
      <w:r w:rsidR="009E53A4">
        <w:rPr>
          <w:rFonts w:ascii="Times New Roman" w:eastAsia="Times New Roman" w:hAnsi="Times New Roman" w:cs="Times New Roman"/>
          <w:b/>
          <w:noProof/>
          <w:sz w:val="32"/>
          <w:szCs w:val="32"/>
        </w:rPr>
        <w:pict>
          <v:shapetype id="_x0000_t202" coordsize="21600,21600" o:spt="202" path="m,l,21600r21600,l21600,xe">
            <v:stroke joinstyle="miter"/>
            <v:path gradientshapeok="t" o:connecttype="rect"/>
          </v:shapetype>
          <v:shape id="_x0000_s1027" type="#_x0000_t202" style="position:absolute;left:0;text-align:left;margin-left:104.65pt;margin-top:68.65pt;width:410.85pt;height:148.8pt;z-index:2516623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" o:allowincell="f" stroked="f">
            <v:textbox>
              <w:txbxContent>
                <w:p w:rsidR="00CE43C0" w:rsidRPr="00D6612F" w:rsidRDefault="00CE43C0" w:rsidP="00EB6FB2">
                  <w:pPr>
                    <w:pStyle w:val="Ttulo6"/>
                    <w:jc w:val="center"/>
                    <w:rPr>
                      <w:rFonts w:ascii="NewBskvll BT" w:hAnsi="NewBskvll BT"/>
                      <w:b/>
                      <w:color w:val="auto"/>
                      <w:sz w:val="28"/>
                    </w:rPr>
                  </w:pPr>
                  <w:r w:rsidRPr="00D6612F">
                    <w:rPr>
                      <w:rFonts w:ascii="NewBskvll BT" w:hAnsi="NewBskvll BT"/>
                      <w:b/>
                      <w:color w:val="auto"/>
                      <w:sz w:val="28"/>
                    </w:rPr>
                    <w:t>Universidad de Jaén</w:t>
                  </w:r>
                </w:p>
                <w:p w:rsidR="00CE43C0" w:rsidRPr="00D6612F" w:rsidRDefault="00CE43C0" w:rsidP="00EB6FB2">
                  <w:pPr>
                    <w:pStyle w:val="Ttulo3"/>
                    <w:jc w:val="center"/>
                    <w:rPr>
                      <w:rFonts w:ascii="NewBskvll BT" w:hAnsi="NewBskvll BT"/>
                      <w:b w:val="0"/>
                      <w:i/>
                      <w:color w:val="auto"/>
                      <w:sz w:val="24"/>
                    </w:rPr>
                  </w:pPr>
                  <w:bookmarkStart w:id="0" w:name="_Toc486448307"/>
                  <w:r w:rsidRPr="00D6612F">
                    <w:rPr>
                      <w:rFonts w:ascii="NewBskvll BT" w:hAnsi="NewBskvll BT"/>
                      <w:b w:val="0"/>
                      <w:i/>
                      <w:color w:val="auto"/>
                      <w:sz w:val="24"/>
                    </w:rPr>
                    <w:t>Facultad de Ciencias Sociales y Jurídicas</w:t>
                  </w:r>
                  <w:bookmarkEnd w:id="0"/>
                </w:p>
                <w:p w:rsidR="00CE43C0" w:rsidRDefault="00CE43C0" w:rsidP="00EB6FB2"/>
                <w:p w:rsidR="00CE43C0" w:rsidRDefault="00CE43C0" w:rsidP="00EB6FB2"/>
                <w:p w:rsidR="00CE43C0" w:rsidRPr="00D6612F" w:rsidRDefault="00CE43C0" w:rsidP="00EB6FB2">
                  <w:pPr>
                    <w:widowControl/>
                    <w:spacing w:after="0" w:line="240" w:lineRule="auto"/>
                    <w:jc w:val="center"/>
                    <w:rPr>
                      <w:rFonts w:ascii="Arial" w:eastAsia="Times New Roman" w:hAnsi="Arial" w:cs="Times New Roman"/>
                      <w:color w:val="auto"/>
                      <w:sz w:val="44"/>
                      <w:szCs w:val="20"/>
                      <w:u w:val="single"/>
                    </w:rPr>
                  </w:pPr>
                  <w:r w:rsidRPr="00D6612F">
                    <w:rPr>
                      <w:rFonts w:ascii="Arial" w:eastAsia="Times New Roman" w:hAnsi="Arial" w:cs="Times New Roman"/>
                      <w:color w:val="auto"/>
                      <w:sz w:val="44"/>
                      <w:szCs w:val="20"/>
                      <w:u w:val="single"/>
                    </w:rPr>
                    <w:t>Trabajo Fin de Grado</w:t>
                  </w:r>
                </w:p>
                <w:p w:rsidR="00CE43C0" w:rsidRDefault="00CE43C0" w:rsidP="00EB6FB2"/>
                <w:p w:rsidR="00CE43C0" w:rsidRDefault="00CE43C0" w:rsidP="00EB6FB2"/>
                <w:p w:rsidR="00CE43C0" w:rsidRDefault="00CE43C0" w:rsidP="00EB6FB2"/>
                <w:p w:rsidR="00CE43C0" w:rsidRDefault="00CE43C0" w:rsidP="00EB6FB2">
                  <w:pPr>
                    <w:pStyle w:val="Textoindependiente"/>
                    <w:rPr>
                      <w:rFonts w:ascii="Arial" w:hAnsi="Arial"/>
                      <w:sz w:val="44"/>
                      <w:u w:val="single"/>
                    </w:rPr>
                  </w:pPr>
                  <w:r>
                    <w:rPr>
                      <w:rFonts w:ascii="Arial" w:hAnsi="Arial"/>
                      <w:sz w:val="44"/>
                      <w:u w:val="single"/>
                    </w:rPr>
                    <w:t>Trabajo Fin de Grado</w:t>
                  </w:r>
                </w:p>
                <w:p w:rsidR="00CE43C0" w:rsidRDefault="00CE43C0" w:rsidP="00EB6FB2"/>
                <w:p w:rsidR="00CE43C0" w:rsidRDefault="00CE43C0" w:rsidP="00EB6FB2"/>
                <w:p w:rsidR="00CE43C0" w:rsidRDefault="00CE43C0" w:rsidP="00EB6FB2"/>
                <w:p w:rsidR="00CE43C0" w:rsidRDefault="00CE43C0" w:rsidP="00EB6FB2"/>
                <w:p w:rsidR="00CE43C0" w:rsidRDefault="00CE43C0" w:rsidP="00EB6FB2"/>
                <w:p w:rsidR="00CE43C0" w:rsidRDefault="00CE43C0" w:rsidP="00EB6FB2">
                  <w:pPr>
                    <w:pStyle w:val="Textoindependiente"/>
                    <w:rPr>
                      <w:rFonts w:ascii="Arial" w:hAnsi="Arial"/>
                      <w:sz w:val="44"/>
                      <w:u w:val="single"/>
                    </w:rPr>
                  </w:pPr>
                  <w:r>
                    <w:rPr>
                      <w:rFonts w:ascii="Arial" w:hAnsi="Arial"/>
                      <w:sz w:val="44"/>
                      <w:u w:val="single"/>
                    </w:rPr>
                    <w:t>Trabajo Fin de Grado</w:t>
                  </w:r>
                </w:p>
              </w:txbxContent>
            </v:textbox>
          </v:shape>
        </w:pict>
      </w:r>
      <w:r w:rsidR="009E53A4">
        <w:rPr>
          <w:rFonts w:ascii="Times New Roman" w:eastAsia="Times New Roman" w:hAnsi="Times New Roman" w:cs="Times New Roman"/>
          <w:b/>
          <w:noProof/>
          <w:sz w:val="32"/>
          <w:szCs w:val="32"/>
        </w:rPr>
        <w:pict>
          <v:shape id="_x0000_s1026" type="#_x0000_t202" style="position:absolute;left:0;text-align:left;margin-left:-85.8pt;margin-top:-71.6pt;width:180.75pt;height:869.1pt;z-index:2516602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" o:allowincell="f" fillcolor="#ea0000" stroked="f">
            <v:textbox style="layout-flow:vertical;mso-layout-flow-alt:bottom-to-top;mso-next-textbox:#_x0000_s1026">
              <w:txbxContent>
                <w:p w:rsidR="00CE43C0" w:rsidRPr="00B9129F" w:rsidRDefault="00CE43C0" w:rsidP="00EB6FB2">
                  <w:pPr>
                    <w:pStyle w:val="Ttulo2"/>
                    <w:jc w:val="center"/>
                    <w:rPr>
                      <w:color w:val="F79646" w:themeColor="accent6"/>
                      <w:sz w:val="72"/>
                    </w:rPr>
                  </w:pPr>
                  <w:bookmarkStart w:id="1" w:name="_Toc486448308"/>
                  <w:r w:rsidRPr="00B9129F">
                    <w:rPr>
                      <w:color w:val="F79646" w:themeColor="accent6"/>
                      <w:sz w:val="72"/>
                    </w:rPr>
                    <w:t>Facultad de Ciencias Sociales y Jurídicas</w:t>
                  </w:r>
                  <w:bookmarkEnd w:id="1"/>
                </w:p>
                <w:p w:rsidR="00CE43C0" w:rsidRPr="00D6612F" w:rsidRDefault="00CE43C0" w:rsidP="00EB6FB2">
                  <w:pPr>
                    <w:keepNext/>
                    <w:widowControl/>
                    <w:spacing w:after="0" w:line="240" w:lineRule="auto"/>
                    <w:jc w:val="center"/>
                    <w:outlineLvl w:val="0"/>
                    <w:rPr>
                      <w:rFonts w:ascii="Arial Narrow" w:eastAsia="Times New Roman" w:hAnsi="Arial Narrow" w:cs="Times New Roman"/>
                      <w:outline/>
                      <w:sz w:val="96"/>
                      <w:szCs w:val="20"/>
                    </w:rPr>
                  </w:pPr>
                  <w:bookmarkStart w:id="2" w:name="_Toc486448309"/>
                  <w:r w:rsidRPr="00D6612F">
                    <w:rPr>
                      <w:rFonts w:ascii="Arial Narrow" w:eastAsia="Times New Roman" w:hAnsi="Arial Narrow" w:cs="Times New Roman"/>
                      <w:outline/>
                      <w:sz w:val="96"/>
                      <w:szCs w:val="20"/>
                    </w:rPr>
                    <w:t>Grado en Derecho</w:t>
                  </w:r>
                  <w:bookmarkEnd w:id="2"/>
                </w:p>
                <w:p w:rsidR="00CE43C0" w:rsidRPr="00D406A5" w:rsidRDefault="00CE43C0" w:rsidP="00EB6FB2">
                  <w:pPr>
                    <w:pStyle w:val="Ttulo1"/>
                    <w:jc w:val="center"/>
                    <w:rPr>
                      <w:rFonts w:ascii="Arial Narrow" w:hAnsi="Arial Narrow"/>
                    </w:rPr>
                  </w:pPr>
                </w:p>
              </w:txbxContent>
            </v:textbox>
          </v:shape>
        </w:pict>
      </w:r>
      <w:r>
        <w:rPr>
          <w:rFonts w:ascii="Times New Roman" w:eastAsia="Times New Roman" w:hAnsi="Times New Roman" w:cs="Times New Roman"/>
          <w:b/>
          <w:sz w:val="32"/>
          <w:szCs w:val="32"/>
        </w:rPr>
        <w:tab/>
      </w:r>
    </w:p>
    <w:p w:rsidR="00EB6FB2" w:rsidRDefault="009E53A4" w:rsidP="00EB6FB2">
      <w:pPr>
        <w:rPr>
          <w:rFonts w:ascii="Times New Roman" w:eastAsia="Times New Roman" w:hAnsi="Times New Roman" w:cs="Times New Roman"/>
          <w:b/>
          <w:sz w:val="32"/>
          <w:szCs w:val="32"/>
        </w:rPr>
      </w:pPr>
      <w:r>
        <w:rPr>
          <w:rFonts w:ascii="Times New Roman" w:eastAsia="Times New Roman" w:hAnsi="Times New Roman" w:cs="Times New Roman"/>
          <w:b/>
          <w:noProof/>
          <w:sz w:val="32"/>
          <w:szCs w:val="32"/>
        </w:rPr>
        <w:pict>
          <v:shape id="_x0000_s1028" type="#_x0000_t202" style="position:absolute;margin-left:117.95pt;margin-top:137.1pt;width:370.75pt;height:141.7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vfahwIAABg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" o:allowincell="f" stroked="f">
            <v:textbox>
              <w:txbxContent>
                <w:p w:rsidR="00CE43C0" w:rsidRPr="00377EEA" w:rsidRDefault="00CE43C0" w:rsidP="00EB6FB2">
                  <w:pPr>
                    <w:pStyle w:val="normal0"/>
                    <w:keepNext/>
                    <w:keepLines/>
                    <w:spacing w:before="480" w:after="240"/>
                    <w:jc w:val="center"/>
                    <w:rPr>
                      <w:rFonts w:ascii="Arial" w:eastAsia="Times New Roman" w:hAnsi="Arial" w:cs="Arial"/>
                      <w:b/>
                      <w:sz w:val="44"/>
                      <w:szCs w:val="44"/>
                    </w:rPr>
                  </w:pPr>
                  <w:r w:rsidRPr="00377EEA">
                    <w:rPr>
                      <w:rFonts w:ascii="Arial" w:eastAsia="Times New Roman" w:hAnsi="Arial" w:cs="Arial"/>
                      <w:b/>
                      <w:sz w:val="44"/>
                      <w:szCs w:val="44"/>
                    </w:rPr>
                    <w:t>EL DERECHO PENAL Y LAS EXTRALIMITACIONES DE LOS SERVICIOS DE INTELIGENCIA.</w:t>
                  </w:r>
                </w:p>
                <w:p w:rsidR="00CE43C0" w:rsidRPr="00D6612F" w:rsidRDefault="00CE43C0" w:rsidP="00EB6FB2"/>
              </w:txbxContent>
            </v:textbox>
          </v:shape>
        </w:pict>
      </w:r>
      <w:r>
        <w:rPr>
          <w:rFonts w:ascii="Times New Roman" w:eastAsia="Times New Roman" w:hAnsi="Times New Roman" w:cs="Times New Roman"/>
          <w:b/>
          <w:noProof/>
          <w:sz w:val="32"/>
          <w:szCs w:val="32"/>
        </w:rPr>
        <w:pict>
          <v:shape id="_x0000_s1029" type="#_x0000_t202" style="position:absolute;margin-left:117.95pt;margin-top:336.3pt;width:356.55pt;height:223.2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t32A/YcCAAAYBQAADgAAAAAAAAAAAAAAAAAuAgAAZHJzL2Uyb0RvYy54bWxQSwECLQAUAAYA&#10;CAAAACEAA4idR+AAAAAMAQAADwAAAAAAAAAAAAAAAADhBAAAZHJzL2Rvd25yZXYueG1sUEsFBgAA&#10;AAAEAAQA8wAAAO4FAAAAAA==&#10;" o:allowincell="f" stroked="f">
            <v:textbox>
              <w:txbxContent>
                <w:p w:rsidR="00CE43C0" w:rsidRPr="00732A40" w:rsidRDefault="00CE43C0" w:rsidP="00EB6FB2">
                  <w:pPr>
                    <w:pStyle w:val="Ttulo5"/>
                    <w:jc w:val="center"/>
                    <w:rPr>
                      <w:rFonts w:ascii="Arial" w:hAnsi="Arial" w:cs="Arial"/>
                      <w:color w:val="auto"/>
                      <w:sz w:val="32"/>
                    </w:rPr>
                  </w:pPr>
                  <w:r w:rsidRPr="00732A40">
                    <w:rPr>
                      <w:rFonts w:ascii="Arial" w:hAnsi="Arial" w:cs="Arial"/>
                      <w:color w:val="auto"/>
                      <w:sz w:val="32"/>
                    </w:rPr>
                    <w:t>Alumno: Marco Bernardi Saavedra</w:t>
                  </w:r>
                </w:p>
                <w:p w:rsidR="00CE43C0" w:rsidRPr="00732A40" w:rsidRDefault="00CE43C0" w:rsidP="00EB6FB2">
                  <w:pPr>
                    <w:pStyle w:val="normal0"/>
                  </w:pPr>
                </w:p>
                <w:p w:rsidR="00CE43C0" w:rsidRDefault="00CE43C0" w:rsidP="00EB6FB2">
                  <w:pPr>
                    <w:jc w:val="center"/>
                    <w:rPr>
                      <w:rFonts w:ascii="Arial" w:hAnsi="Arial"/>
                      <w:sz w:val="32"/>
                    </w:rPr>
                  </w:pPr>
                </w:p>
                <w:p w:rsidR="00CE43C0" w:rsidRDefault="00CE43C0" w:rsidP="00EB6FB2">
                  <w:pPr>
                    <w:jc w:val="center"/>
                    <w:rPr>
                      <w:rFonts w:ascii="Arial" w:hAnsi="Arial"/>
                      <w:sz w:val="32"/>
                    </w:rPr>
                  </w:pPr>
                </w:p>
                <w:p w:rsidR="00CE43C0" w:rsidRDefault="00CE43C0" w:rsidP="00EB6FB2">
                  <w:pPr>
                    <w:jc w:val="center"/>
                    <w:rPr>
                      <w:rFonts w:ascii="Arial" w:hAnsi="Arial"/>
                      <w:sz w:val="32"/>
                    </w:rPr>
                  </w:pPr>
                </w:p>
                <w:p w:rsidR="00CE43C0" w:rsidRDefault="00CE43C0" w:rsidP="00EB6FB2">
                  <w:pPr>
                    <w:jc w:val="center"/>
                    <w:rPr>
                      <w:rFonts w:ascii="Arial" w:hAnsi="Arial"/>
                      <w:sz w:val="32"/>
                    </w:rPr>
                  </w:pPr>
                  <w:r>
                    <w:rPr>
                      <w:rFonts w:ascii="Arial" w:hAnsi="Arial"/>
                      <w:sz w:val="32"/>
                    </w:rPr>
                    <w:t>Julio, 2017</w:t>
                  </w:r>
                </w:p>
                <w:p w:rsidR="00CE43C0" w:rsidRDefault="00CE43C0" w:rsidP="00EB6FB2">
                  <w:pPr>
                    <w:jc w:val="center"/>
                    <w:rPr>
                      <w:rFonts w:ascii="Arial" w:hAnsi="Arial"/>
                      <w:sz w:val="32"/>
                    </w:rPr>
                  </w:pPr>
                </w:p>
                <w:p w:rsidR="00CE43C0" w:rsidRDefault="00CE43C0" w:rsidP="00EB6FB2">
                  <w:pPr>
                    <w:jc w:val="center"/>
                    <w:rPr>
                      <w:rFonts w:ascii="Arial" w:hAnsi="Arial"/>
                      <w:sz w:val="32"/>
                    </w:rPr>
                  </w:pPr>
                </w:p>
                <w:p w:rsidR="00CE43C0" w:rsidRDefault="00CE43C0" w:rsidP="00EB6FB2">
                  <w:pPr>
                    <w:pStyle w:val="Ttulo4"/>
                    <w:rPr>
                      <w:b w:val="0"/>
                      <w:sz w:val="36"/>
                    </w:rPr>
                  </w:pPr>
                  <w:r>
                    <w:rPr>
                      <w:sz w:val="36"/>
                    </w:rPr>
                    <w:t>Mes, Año</w:t>
                  </w:r>
                </w:p>
              </w:txbxContent>
            </v:textbox>
          </v:shape>
        </w:pict>
      </w:r>
      <w:r w:rsidR="00EB6FB2">
        <w:rPr>
          <w:rFonts w:ascii="Times New Roman" w:eastAsia="Times New Roman" w:hAnsi="Times New Roman" w:cs="Times New Roman"/>
          <w:b/>
          <w:sz w:val="32"/>
          <w:szCs w:val="32"/>
        </w:rPr>
        <w:br w:type="page"/>
      </w:r>
    </w:p>
    <w:p w:rsidR="00EB6FB2" w:rsidRDefault="00EB6FB2" w:rsidP="00EB6FB2">
      <w:pPr>
        <w:pStyle w:val="Normal1"/>
        <w:keepNext/>
        <w:keepLines/>
        <w:spacing w:before="480" w:after="2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RESUMEN</w:t>
      </w:r>
    </w:p>
    <w:p w:rsidR="00EB6FB2" w:rsidRDefault="00EB6FB2" w:rsidP="00EB6FB2">
      <w:pPr>
        <w:pStyle w:val="Normal1"/>
        <w:keepNext/>
        <w:keepLines/>
        <w:spacing w:before="480"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trabajo trata de analizar la regulación que recibe los servicios de inteligencia, tanto en nuestro régimen, como en otros ordenamientos, para ello es preciso determinar qué control jurídico reciben las actuaciones de esta institución. Dicho control, será utilizado para delimitar el margen legal de actuación de los servicios de inteligencia, y por lo contrario, en que situaciones actúan fuera del principio de legalidad. También, determinaremos que delitos son de apreciación en las conductas realizadas por los servicios de inteligencia, para ello analizaremos si los miembros de los servicios de inteligencia pueden ser englobados dentro de los delitos cometidos por autoridades públicas. Asimismo, se examinara si la defensa del estado, el cumplimiento de un deber jurídico y el estado de necesidad pueden considerarse como posibles justificaciones para cometer estos delitos. </w:t>
      </w:r>
    </w:p>
    <w:p w:rsidR="00EB6FB2" w:rsidRDefault="00EB6FB2" w:rsidP="00EB6FB2">
      <w:pPr>
        <w:pStyle w:val="Normal1"/>
        <w:keepNext/>
        <w:keepLines/>
        <w:spacing w:before="480"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Además, la Rendición Extraordinaria, se postula como manifestación global de las extralimitaciones de los servicios secreto. En este asunto observaremos no solo la cooperación y coordinación que los servicios de inteligencia de los diferentes estados del mundo han entablado con la CIA, sino también la participación de los altos cargos políticos.</w:t>
      </w:r>
    </w:p>
    <w:p w:rsidR="00EB6FB2" w:rsidRDefault="00EB6FB2" w:rsidP="00EB6FB2">
      <w:pPr>
        <w:pStyle w:val="Normal1"/>
        <w:keepNext/>
        <w:keepLines/>
        <w:spacing w:before="480" w:after="240" w:line="360" w:lineRule="auto"/>
        <w:jc w:val="both"/>
        <w:rPr>
          <w:rFonts w:ascii="Times New Roman" w:eastAsia="Times New Roman" w:hAnsi="Times New Roman" w:cs="Times New Roman"/>
          <w:sz w:val="24"/>
          <w:szCs w:val="24"/>
        </w:rPr>
      </w:pPr>
      <w:r w:rsidRPr="00CE678B">
        <w:rPr>
          <w:rFonts w:ascii="Times New Roman" w:eastAsia="Times New Roman" w:hAnsi="Times New Roman" w:cs="Times New Roman"/>
          <w:b/>
          <w:sz w:val="24"/>
          <w:szCs w:val="24"/>
        </w:rPr>
        <w:t xml:space="preserve">Palabras Clave: </w:t>
      </w:r>
      <w:r>
        <w:rPr>
          <w:rFonts w:ascii="Times New Roman" w:eastAsia="Times New Roman" w:hAnsi="Times New Roman" w:cs="Times New Roman"/>
          <w:sz w:val="24"/>
          <w:szCs w:val="24"/>
        </w:rPr>
        <w:t>Servicios de Inteligencia, seguridad nacional, secreto de Estado, control judicial previo, torturas, rendición extraordinaria.</w:t>
      </w:r>
    </w:p>
    <w:p w:rsidR="00EB6FB2" w:rsidRPr="00001049" w:rsidRDefault="00EB6FB2" w:rsidP="00EB6FB2">
      <w:pPr>
        <w:pStyle w:val="Normal1"/>
        <w:keepNext/>
        <w:keepLines/>
        <w:spacing w:before="480" w:after="240" w:line="360" w:lineRule="auto"/>
        <w:jc w:val="center"/>
        <w:rPr>
          <w:rFonts w:ascii="Times New Roman" w:eastAsia="Times New Roman" w:hAnsi="Times New Roman" w:cs="Times New Roman"/>
          <w:b/>
          <w:sz w:val="24"/>
          <w:szCs w:val="24"/>
          <w:lang w:val="en-US"/>
        </w:rPr>
      </w:pPr>
      <w:r w:rsidRPr="00001049">
        <w:rPr>
          <w:rFonts w:ascii="Times New Roman" w:eastAsia="Times New Roman" w:hAnsi="Times New Roman" w:cs="Times New Roman"/>
          <w:b/>
          <w:sz w:val="24"/>
          <w:szCs w:val="24"/>
          <w:lang w:val="en-US"/>
        </w:rPr>
        <w:t>ABSTRACT</w:t>
      </w:r>
    </w:p>
    <w:p w:rsidR="00EB6FB2" w:rsidRPr="00596738" w:rsidRDefault="00EB6FB2" w:rsidP="00EB6FB2">
      <w:pPr>
        <w:spacing w:line="360" w:lineRule="auto"/>
        <w:ind w:firstLine="720"/>
        <w:jc w:val="both"/>
        <w:rPr>
          <w:rFonts w:ascii="Times New Roman" w:eastAsia="Times New Roman" w:hAnsi="Times New Roman" w:cs="Times New Roman"/>
          <w:sz w:val="24"/>
          <w:szCs w:val="24"/>
          <w:lang w:val="en-US"/>
        </w:rPr>
      </w:pPr>
      <w:r w:rsidRPr="00001049">
        <w:rPr>
          <w:rFonts w:ascii="Times New Roman" w:eastAsia="Times New Roman" w:hAnsi="Times New Roman" w:cs="Times New Roman"/>
          <w:sz w:val="24"/>
          <w:szCs w:val="24"/>
          <w:lang w:val="en-US"/>
        </w:rPr>
        <w:t>This project tries to analyze the regulation that receives the services of intelligence, so much in our regime,</w:t>
      </w:r>
      <w:r>
        <w:rPr>
          <w:rFonts w:ascii="Times New Roman" w:eastAsia="Times New Roman" w:hAnsi="Times New Roman" w:cs="Times New Roman"/>
          <w:sz w:val="24"/>
          <w:szCs w:val="24"/>
          <w:lang w:val="en-US"/>
        </w:rPr>
        <w:t xml:space="preserve"> b</w:t>
      </w:r>
      <w:r w:rsidRPr="00001049">
        <w:rPr>
          <w:rFonts w:ascii="Times New Roman" w:eastAsia="Times New Roman" w:hAnsi="Times New Roman" w:cs="Times New Roman"/>
          <w:sz w:val="24"/>
          <w:szCs w:val="24"/>
          <w:lang w:val="en-US"/>
        </w:rPr>
        <w:t>oth in our regime and in other legal systems, it is necessary to determine what legal control the actions of this institution receive.</w:t>
      </w:r>
      <w:r>
        <w:rPr>
          <w:rFonts w:ascii="Times New Roman" w:eastAsia="Times New Roman" w:hAnsi="Times New Roman" w:cs="Times New Roman"/>
          <w:sz w:val="24"/>
          <w:szCs w:val="24"/>
          <w:lang w:val="en-US"/>
        </w:rPr>
        <w:t xml:space="preserve"> </w:t>
      </w:r>
      <w:r w:rsidRPr="00001049">
        <w:rPr>
          <w:rFonts w:ascii="Times New Roman" w:eastAsia="Times New Roman" w:hAnsi="Times New Roman" w:cs="Times New Roman"/>
          <w:sz w:val="24"/>
          <w:szCs w:val="24"/>
          <w:lang w:val="en-US"/>
        </w:rPr>
        <w:t>This control will be used to delimit the legal scope of action of the intelligence services,</w:t>
      </w:r>
      <w:r>
        <w:rPr>
          <w:rFonts w:ascii="Times New Roman" w:eastAsia="Times New Roman" w:hAnsi="Times New Roman" w:cs="Times New Roman"/>
          <w:sz w:val="24"/>
          <w:szCs w:val="24"/>
          <w:lang w:val="en-US"/>
        </w:rPr>
        <w:t xml:space="preserve"> </w:t>
      </w:r>
      <w:r w:rsidRPr="00001049">
        <w:rPr>
          <w:rFonts w:ascii="Times New Roman" w:eastAsia="Times New Roman" w:hAnsi="Times New Roman" w:cs="Times New Roman"/>
          <w:sz w:val="24"/>
          <w:szCs w:val="24"/>
          <w:lang w:val="en-US"/>
        </w:rPr>
        <w:t>And on the contrary, in which situations they act outside the principle of legality.</w:t>
      </w:r>
      <w:r>
        <w:rPr>
          <w:rFonts w:ascii="Times New Roman" w:eastAsia="Times New Roman" w:hAnsi="Times New Roman" w:cs="Times New Roman"/>
          <w:sz w:val="24"/>
          <w:szCs w:val="24"/>
          <w:lang w:val="en-US"/>
        </w:rPr>
        <w:t xml:space="preserve"> </w:t>
      </w:r>
      <w:r w:rsidRPr="00001049">
        <w:rPr>
          <w:rFonts w:ascii="Times New Roman" w:eastAsia="Times New Roman" w:hAnsi="Times New Roman" w:cs="Times New Roman"/>
          <w:sz w:val="24"/>
          <w:szCs w:val="24"/>
          <w:lang w:val="en-US"/>
        </w:rPr>
        <w:t xml:space="preserve">Also, we will determine which crimes are appreciated in the conduct carried out by the </w:t>
      </w:r>
      <w:r w:rsidRPr="00001049">
        <w:rPr>
          <w:rFonts w:ascii="Times New Roman" w:eastAsia="Times New Roman" w:hAnsi="Times New Roman" w:cs="Times New Roman"/>
          <w:sz w:val="24"/>
          <w:szCs w:val="24"/>
          <w:lang w:val="en-US"/>
        </w:rPr>
        <w:lastRenderedPageBreak/>
        <w:t>intelligence services, for this we will analyze if the members of the intelligence services can be encompassed within the crimes committed by public authorities.</w:t>
      </w:r>
      <w:r>
        <w:rPr>
          <w:rFonts w:ascii="Times New Roman" w:eastAsia="Times New Roman" w:hAnsi="Times New Roman" w:cs="Times New Roman"/>
          <w:sz w:val="24"/>
          <w:szCs w:val="24"/>
          <w:lang w:val="en-US"/>
        </w:rPr>
        <w:t xml:space="preserve"> Likewise, it will </w:t>
      </w:r>
      <w:r w:rsidRPr="00001049">
        <w:rPr>
          <w:rFonts w:ascii="Times New Roman" w:eastAsia="Times New Roman" w:hAnsi="Times New Roman" w:cs="Times New Roman"/>
          <w:sz w:val="24"/>
          <w:szCs w:val="24"/>
          <w:lang w:val="en-US"/>
        </w:rPr>
        <w:t>examine whether the defense of the state, the fulfillment of a legal duty and the state of necessity can be considered as possible justifications for committing these crimes.</w:t>
      </w:r>
    </w:p>
    <w:p w:rsidR="00EB6FB2" w:rsidRDefault="00EB6FB2" w:rsidP="00EB6FB2">
      <w:pPr>
        <w:spacing w:line="360" w:lineRule="auto"/>
        <w:ind w:firstLine="720"/>
        <w:jc w:val="both"/>
        <w:rPr>
          <w:rFonts w:ascii="Times New Roman" w:eastAsia="Times New Roman" w:hAnsi="Times New Roman" w:cs="Times New Roman"/>
          <w:sz w:val="24"/>
          <w:szCs w:val="24"/>
          <w:lang w:val="en-US"/>
        </w:rPr>
      </w:pPr>
      <w:r w:rsidRPr="00596738">
        <w:rPr>
          <w:rFonts w:ascii="Times New Roman" w:eastAsia="Times New Roman" w:hAnsi="Times New Roman" w:cs="Times New Roman"/>
          <w:sz w:val="24"/>
          <w:szCs w:val="24"/>
          <w:lang w:val="en-US"/>
        </w:rPr>
        <w:t xml:space="preserve">In addition, the Extraordinary </w:t>
      </w:r>
      <w:r>
        <w:rPr>
          <w:rFonts w:ascii="Times New Roman" w:eastAsia="Times New Roman" w:hAnsi="Times New Roman" w:cs="Times New Roman"/>
          <w:sz w:val="24"/>
          <w:szCs w:val="24"/>
          <w:lang w:val="en-US"/>
        </w:rPr>
        <w:t>rendition</w:t>
      </w:r>
      <w:r w:rsidRPr="00596738">
        <w:rPr>
          <w:rFonts w:ascii="Times New Roman" w:eastAsia="Times New Roman" w:hAnsi="Times New Roman" w:cs="Times New Roman"/>
          <w:sz w:val="24"/>
          <w:szCs w:val="24"/>
          <w:lang w:val="en-US"/>
        </w:rPr>
        <w:t>, is postulated as a global manifestation of the extra services of the secret services. In this matter we will observe not only the cooperation and coordination that the intelligence services of the different states of the world have engaged with the CIA, also the participation of the high political positions.</w:t>
      </w:r>
    </w:p>
    <w:p w:rsidR="00EB6FB2" w:rsidRPr="00596738" w:rsidRDefault="00EB6FB2" w:rsidP="00EB6FB2">
      <w:pPr>
        <w:spacing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b/>
          <w:sz w:val="24"/>
          <w:szCs w:val="24"/>
          <w:lang w:val="en-US"/>
        </w:rPr>
        <w:t>Keyw</w:t>
      </w:r>
      <w:r w:rsidRPr="00596738">
        <w:rPr>
          <w:rFonts w:ascii="Times New Roman" w:eastAsia="Times New Roman" w:hAnsi="Times New Roman" w:cs="Times New Roman"/>
          <w:b/>
          <w:sz w:val="24"/>
          <w:szCs w:val="24"/>
          <w:lang w:val="en-US"/>
        </w:rPr>
        <w:t xml:space="preserve">ords: </w:t>
      </w:r>
      <w:r w:rsidRPr="00596738">
        <w:rPr>
          <w:rFonts w:ascii="Times New Roman" w:eastAsia="Times New Roman" w:hAnsi="Times New Roman" w:cs="Times New Roman"/>
          <w:sz w:val="24"/>
          <w:szCs w:val="24"/>
          <w:lang w:val="en-US"/>
        </w:rPr>
        <w:t>Intelligence services,</w:t>
      </w:r>
      <w:r w:rsidRPr="00596738">
        <w:rPr>
          <w:lang w:val="en-US"/>
        </w:rPr>
        <w:t xml:space="preserve"> </w:t>
      </w:r>
      <w:r w:rsidRPr="00596738">
        <w:rPr>
          <w:rFonts w:ascii="Times New Roman" w:eastAsia="Times New Roman" w:hAnsi="Times New Roman" w:cs="Times New Roman"/>
          <w:sz w:val="24"/>
          <w:szCs w:val="24"/>
          <w:lang w:val="en-US"/>
        </w:rPr>
        <w:t xml:space="preserve">national security, state secret, </w:t>
      </w:r>
      <w:r>
        <w:rPr>
          <w:rFonts w:ascii="Times New Roman" w:eastAsia="Times New Roman" w:hAnsi="Times New Roman" w:cs="Times New Roman"/>
          <w:sz w:val="24"/>
          <w:szCs w:val="24"/>
          <w:lang w:val="en-US"/>
        </w:rPr>
        <w:t>j</w:t>
      </w:r>
      <w:r w:rsidRPr="00596738">
        <w:rPr>
          <w:rFonts w:ascii="Times New Roman" w:eastAsia="Times New Roman" w:hAnsi="Times New Roman" w:cs="Times New Roman"/>
          <w:sz w:val="24"/>
          <w:szCs w:val="24"/>
          <w:lang w:val="en-US"/>
        </w:rPr>
        <w:t xml:space="preserve">udicial previous control, </w:t>
      </w:r>
      <w:r>
        <w:rPr>
          <w:rFonts w:ascii="Times New Roman" w:eastAsia="Times New Roman" w:hAnsi="Times New Roman" w:cs="Times New Roman"/>
          <w:sz w:val="24"/>
          <w:szCs w:val="24"/>
          <w:lang w:val="en-US"/>
        </w:rPr>
        <w:t>t</w:t>
      </w:r>
      <w:r w:rsidRPr="00596738">
        <w:rPr>
          <w:rFonts w:ascii="Times New Roman" w:eastAsia="Times New Roman" w:hAnsi="Times New Roman" w:cs="Times New Roman"/>
          <w:sz w:val="24"/>
          <w:szCs w:val="24"/>
          <w:lang w:val="en-US"/>
        </w:rPr>
        <w:t xml:space="preserve">orture, </w:t>
      </w:r>
      <w:r>
        <w:rPr>
          <w:rFonts w:ascii="Times New Roman" w:eastAsia="Times New Roman" w:hAnsi="Times New Roman" w:cs="Times New Roman"/>
          <w:sz w:val="24"/>
          <w:szCs w:val="24"/>
          <w:lang w:val="en-US"/>
        </w:rPr>
        <w:t>e</w:t>
      </w:r>
      <w:r w:rsidRPr="00596738">
        <w:rPr>
          <w:rFonts w:ascii="Times New Roman" w:eastAsia="Times New Roman" w:hAnsi="Times New Roman" w:cs="Times New Roman"/>
          <w:sz w:val="24"/>
          <w:szCs w:val="24"/>
          <w:lang w:val="en-US"/>
        </w:rPr>
        <w:t>xtraordinary rendition.</w:t>
      </w:r>
    </w:p>
    <w:p w:rsidR="00EB6FB2" w:rsidRDefault="00EB6FB2" w:rsidP="00EB6FB2">
      <w:pPr>
        <w:spacing w:line="360" w:lineRule="auto"/>
        <w:ind w:firstLine="720"/>
        <w:jc w:val="both"/>
        <w:rPr>
          <w:rFonts w:ascii="Times New Roman" w:eastAsia="Times New Roman" w:hAnsi="Times New Roman" w:cs="Times New Roman"/>
          <w:sz w:val="24"/>
          <w:szCs w:val="24"/>
          <w:lang w:val="en-US"/>
        </w:rPr>
      </w:pPr>
    </w:p>
    <w:p w:rsidR="00EB6FB2" w:rsidRDefault="00EB6FB2" w:rsidP="00EB6FB2">
      <w:pPr>
        <w:spacing w:line="360" w:lineRule="auto"/>
        <w:jc w:val="both"/>
        <w:rPr>
          <w:rFonts w:ascii="Times New Roman" w:eastAsia="Times New Roman" w:hAnsi="Times New Roman" w:cs="Times New Roman"/>
          <w:sz w:val="24"/>
          <w:szCs w:val="24"/>
          <w:lang w:val="en-US"/>
        </w:rPr>
      </w:pPr>
    </w:p>
    <w:p w:rsidR="00EB6FB2" w:rsidRPr="00001049" w:rsidRDefault="00EB6FB2" w:rsidP="00EB6FB2">
      <w:pPr>
        <w:spacing w:line="360" w:lineRule="auto"/>
        <w:jc w:val="both"/>
        <w:rPr>
          <w:rFonts w:ascii="Times New Roman" w:eastAsia="Times New Roman" w:hAnsi="Times New Roman" w:cs="Times New Roman"/>
          <w:sz w:val="24"/>
          <w:szCs w:val="24"/>
          <w:lang w:val="en-US"/>
        </w:rPr>
      </w:pPr>
      <w:r w:rsidRPr="00001049">
        <w:rPr>
          <w:rFonts w:ascii="Times New Roman" w:eastAsia="Times New Roman" w:hAnsi="Times New Roman" w:cs="Times New Roman"/>
          <w:sz w:val="24"/>
          <w:szCs w:val="24"/>
          <w:lang w:val="en-US"/>
        </w:rPr>
        <w:br w:type="page"/>
      </w:r>
    </w:p>
    <w:p w:rsidR="00EB6FB2" w:rsidRPr="00001049" w:rsidRDefault="00EB6FB2" w:rsidP="00EB6FB2">
      <w:pPr>
        <w:pStyle w:val="Normal1"/>
        <w:keepNext/>
        <w:keepLines/>
        <w:spacing w:before="480" w:after="240"/>
        <w:jc w:val="both"/>
        <w:rPr>
          <w:rFonts w:ascii="Times New Roman" w:eastAsia="Times New Roman" w:hAnsi="Times New Roman" w:cs="Times New Roman"/>
          <w:b/>
          <w:sz w:val="24"/>
          <w:szCs w:val="24"/>
          <w:lang w:val="en-US"/>
        </w:rPr>
      </w:pPr>
      <w:r w:rsidRPr="00001049">
        <w:rPr>
          <w:rFonts w:ascii="Times New Roman" w:eastAsia="Times New Roman" w:hAnsi="Times New Roman" w:cs="Times New Roman"/>
          <w:b/>
          <w:sz w:val="24"/>
          <w:szCs w:val="24"/>
          <w:lang w:val="en-US"/>
        </w:rPr>
        <w:lastRenderedPageBreak/>
        <w:t>ÍNDICE</w:t>
      </w:r>
    </w:p>
    <w:sdt>
      <w:sdtPr>
        <w:id w:val="-993272450"/>
        <w:docPartObj>
          <w:docPartGallery w:val="Table of Contents"/>
          <w:docPartUnique/>
        </w:docPartObj>
      </w:sdtPr>
      <w:sdtEndPr>
        <w:rPr>
          <w:rFonts w:ascii="Calibri" w:eastAsia="Calibri" w:hAnsi="Calibri" w:cs="Calibri"/>
          <w:b w:val="0"/>
          <w:bCs w:val="0"/>
          <w:color w:val="000000"/>
          <w:sz w:val="22"/>
          <w:szCs w:val="22"/>
          <w:lang w:eastAsia="es-ES"/>
        </w:rPr>
      </w:sdtEndPr>
      <w:sdtContent>
        <w:p w:rsidR="00377EEA" w:rsidRPr="00377EEA" w:rsidRDefault="00377EEA" w:rsidP="00377EEA">
          <w:pPr>
            <w:pStyle w:val="TtulodeTDC"/>
            <w:rPr>
              <w:rFonts w:ascii="Times New Roman" w:hAnsi="Times New Roman" w:cs="Times New Roman"/>
              <w:sz w:val="24"/>
              <w:szCs w:val="24"/>
            </w:rPr>
          </w:pPr>
          <w:r>
            <w:fldChar w:fldCharType="begin"/>
          </w:r>
          <w:r>
            <w:instrText xml:space="preserve"> TOC \o "1-3" \h \z \u </w:instrText>
          </w:r>
          <w:r>
            <w:fldChar w:fldCharType="separate"/>
          </w:r>
        </w:p>
        <w:p w:rsidR="00377EEA" w:rsidRPr="00377EEA" w:rsidRDefault="00377EEA">
          <w:pPr>
            <w:pStyle w:val="TDC1"/>
            <w:tabs>
              <w:tab w:val="right" w:leader="dot" w:pos="8494"/>
            </w:tabs>
            <w:rPr>
              <w:rFonts w:ascii="Times New Roman" w:eastAsiaTheme="minorEastAsia" w:hAnsi="Times New Roman" w:cs="Times New Roman"/>
              <w:b/>
              <w:noProof/>
              <w:color w:val="auto"/>
              <w:sz w:val="24"/>
              <w:szCs w:val="24"/>
            </w:rPr>
          </w:pPr>
          <w:hyperlink w:anchor="_Toc486448310" w:history="1">
            <w:r w:rsidRPr="00377EEA">
              <w:rPr>
                <w:rStyle w:val="Hipervnculo"/>
                <w:rFonts w:ascii="Times New Roman" w:hAnsi="Times New Roman" w:cs="Times New Roman"/>
                <w:b/>
                <w:noProof/>
                <w:sz w:val="24"/>
                <w:szCs w:val="24"/>
              </w:rPr>
              <w:t>1. INTRODUCCIÓN.</w:t>
            </w:r>
            <w:r w:rsidRPr="00377EEA">
              <w:rPr>
                <w:rFonts w:ascii="Times New Roman" w:hAnsi="Times New Roman" w:cs="Times New Roman"/>
                <w:b/>
                <w:noProof/>
                <w:webHidden/>
                <w:sz w:val="24"/>
                <w:szCs w:val="24"/>
              </w:rPr>
              <w:tab/>
            </w:r>
            <w:r w:rsidRPr="00377EEA">
              <w:rPr>
                <w:rFonts w:ascii="Times New Roman" w:hAnsi="Times New Roman" w:cs="Times New Roman"/>
                <w:b/>
                <w:noProof/>
                <w:webHidden/>
                <w:sz w:val="24"/>
                <w:szCs w:val="24"/>
              </w:rPr>
              <w:fldChar w:fldCharType="begin"/>
            </w:r>
            <w:r w:rsidRPr="00377EEA">
              <w:rPr>
                <w:rFonts w:ascii="Times New Roman" w:hAnsi="Times New Roman" w:cs="Times New Roman"/>
                <w:b/>
                <w:noProof/>
                <w:webHidden/>
                <w:sz w:val="24"/>
                <w:szCs w:val="24"/>
              </w:rPr>
              <w:instrText xml:space="preserve"> PAGEREF _Toc486448310 \h </w:instrText>
            </w:r>
            <w:r w:rsidRPr="00377EEA">
              <w:rPr>
                <w:rFonts w:ascii="Times New Roman" w:hAnsi="Times New Roman" w:cs="Times New Roman"/>
                <w:b/>
                <w:noProof/>
                <w:webHidden/>
                <w:sz w:val="24"/>
                <w:szCs w:val="24"/>
              </w:rPr>
            </w:r>
            <w:r w:rsidRPr="00377EEA">
              <w:rPr>
                <w:rFonts w:ascii="Times New Roman" w:hAnsi="Times New Roman" w:cs="Times New Roman"/>
                <w:b/>
                <w:noProof/>
                <w:webHidden/>
                <w:sz w:val="24"/>
                <w:szCs w:val="24"/>
              </w:rPr>
              <w:fldChar w:fldCharType="separate"/>
            </w:r>
            <w:r w:rsidRPr="00377EEA">
              <w:rPr>
                <w:rFonts w:ascii="Times New Roman" w:hAnsi="Times New Roman" w:cs="Times New Roman"/>
                <w:b/>
                <w:noProof/>
                <w:webHidden/>
                <w:sz w:val="24"/>
                <w:szCs w:val="24"/>
              </w:rPr>
              <w:t>6</w:t>
            </w:r>
            <w:r w:rsidRPr="00377EEA">
              <w:rPr>
                <w:rFonts w:ascii="Times New Roman" w:hAnsi="Times New Roman" w:cs="Times New Roman"/>
                <w:b/>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11" w:history="1">
            <w:r w:rsidRPr="00377EEA">
              <w:rPr>
                <w:rStyle w:val="Hipervnculo"/>
                <w:rFonts w:ascii="Times New Roman" w:hAnsi="Times New Roman" w:cs="Times New Roman"/>
                <w:noProof/>
                <w:sz w:val="24"/>
                <w:szCs w:val="24"/>
              </w:rPr>
              <w:t>1.1. La constitución y los servicios de inteligencia.</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_Toc486448311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8</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12" w:history="1">
            <w:r w:rsidRPr="00377EEA">
              <w:rPr>
                <w:rStyle w:val="Hipervnculo"/>
                <w:rFonts w:ascii="Times New Roman" w:hAnsi="Times New Roman" w:cs="Times New Roman"/>
                <w:noProof/>
                <w:sz w:val="24"/>
                <w:szCs w:val="24"/>
              </w:rPr>
              <w:t>1.2. Los servicios de inteligencia en el Siglo XXI.</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_Toc486448312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8</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13" w:history="1">
            <w:r w:rsidRPr="00377EEA">
              <w:rPr>
                <w:rStyle w:val="Hipervnculo"/>
                <w:rFonts w:ascii="Times New Roman" w:hAnsi="Times New Roman" w:cs="Times New Roman"/>
                <w:noProof/>
                <w:sz w:val="24"/>
                <w:szCs w:val="24"/>
              </w:rPr>
              <w:t>1.3. La función que la Constitución prevé para los servicios de inteligencia.</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_Toc486448313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9</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jc w:val="both"/>
            <w:rPr>
              <w:rFonts w:ascii="Times New Roman" w:eastAsiaTheme="minorEastAsia" w:hAnsi="Times New Roman" w:cs="Times New Roman"/>
              <w:noProof/>
              <w:color w:val="auto"/>
              <w:sz w:val="24"/>
              <w:szCs w:val="24"/>
            </w:rPr>
          </w:pPr>
          <w:hyperlink w:anchor="_Toc486448314" w:history="1">
            <w:r w:rsidRPr="00377EEA">
              <w:rPr>
                <w:rStyle w:val="Hipervnculo"/>
                <w:rFonts w:ascii="Times New Roman" w:hAnsi="Times New Roman" w:cs="Times New Roman"/>
                <w:b/>
                <w:noProof/>
                <w:sz w:val="24"/>
                <w:szCs w:val="24"/>
              </w:rPr>
              <w:t>2. LOS SERVICIOS DE INTELIGENCIA EN OTROS SISTEMA</w:t>
            </w:r>
            <w:r>
              <w:rPr>
                <w:rStyle w:val="Hipervnculo"/>
                <w:rFonts w:ascii="Times New Roman" w:hAnsi="Times New Roman" w:cs="Times New Roman"/>
                <w:b/>
                <w:noProof/>
                <w:sz w:val="24"/>
                <w:szCs w:val="24"/>
              </w:rPr>
              <w:t xml:space="preserve">S </w:t>
            </w:r>
            <w:r w:rsidRPr="00377EEA">
              <w:rPr>
                <w:rStyle w:val="Hipervnculo"/>
                <w:rFonts w:ascii="Times New Roman" w:hAnsi="Times New Roman" w:cs="Times New Roman"/>
                <w:b/>
                <w:noProof/>
                <w:sz w:val="24"/>
                <w:szCs w:val="24"/>
              </w:rPr>
              <w:t>CONSTITUCIONALES.</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_Toc486448314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11</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15" w:history="1">
            <w:r w:rsidRPr="00377EEA">
              <w:rPr>
                <w:rStyle w:val="Hipervnculo"/>
                <w:rFonts w:ascii="Times New Roman" w:hAnsi="Times New Roman" w:cs="Times New Roman"/>
                <w:noProof/>
                <w:sz w:val="24"/>
                <w:szCs w:val="24"/>
              </w:rPr>
              <w:t>2.1. Reino Unido</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_Toc486448315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11</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16" w:history="1">
            <w:r w:rsidRPr="00377EEA">
              <w:rPr>
                <w:rStyle w:val="Hipervnculo"/>
                <w:rFonts w:ascii="Times New Roman" w:hAnsi="Times New Roman" w:cs="Times New Roman"/>
                <w:noProof/>
                <w:sz w:val="24"/>
                <w:szCs w:val="24"/>
              </w:rPr>
              <w:t>2.2. Estados Unidos</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_Toc486448316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12</w:t>
            </w:r>
            <w:r w:rsidRPr="00377EEA">
              <w:rPr>
                <w:rFonts w:ascii="Times New Roman" w:hAnsi="Times New Roman" w:cs="Times New Roman"/>
                <w:noProof/>
                <w:webHidden/>
                <w:sz w:val="24"/>
                <w:szCs w:val="24"/>
              </w:rPr>
              <w:fldChar w:fldCharType="end"/>
            </w:r>
          </w:hyperlink>
        </w:p>
        <w:p w:rsidR="00377EEA" w:rsidRPr="00377EEA" w:rsidRDefault="00377EEA">
          <w:pPr>
            <w:pStyle w:val="TDC1"/>
            <w:tabs>
              <w:tab w:val="right" w:leader="dot" w:pos="8494"/>
            </w:tabs>
            <w:rPr>
              <w:rFonts w:ascii="Times New Roman" w:eastAsiaTheme="minorEastAsia" w:hAnsi="Times New Roman" w:cs="Times New Roman"/>
              <w:b/>
              <w:noProof/>
              <w:color w:val="auto"/>
              <w:sz w:val="24"/>
              <w:szCs w:val="24"/>
            </w:rPr>
          </w:pPr>
          <w:hyperlink w:anchor="_Toc486448317" w:history="1">
            <w:r w:rsidRPr="00377EEA">
              <w:rPr>
                <w:rStyle w:val="Hipervnculo"/>
                <w:rFonts w:ascii="Times New Roman" w:hAnsi="Times New Roman" w:cs="Times New Roman"/>
                <w:b/>
                <w:noProof/>
                <w:sz w:val="24"/>
                <w:szCs w:val="24"/>
              </w:rPr>
              <w:t>3. EL CENTRO NACIONAL DE INTELIGENCIA.</w:t>
            </w:r>
            <w:r w:rsidRPr="00377EEA">
              <w:rPr>
                <w:rFonts w:ascii="Times New Roman" w:hAnsi="Times New Roman" w:cs="Times New Roman"/>
                <w:b/>
                <w:noProof/>
                <w:webHidden/>
                <w:sz w:val="24"/>
                <w:szCs w:val="24"/>
              </w:rPr>
              <w:tab/>
            </w:r>
            <w:r w:rsidRPr="00377EEA">
              <w:rPr>
                <w:rFonts w:ascii="Times New Roman" w:hAnsi="Times New Roman" w:cs="Times New Roman"/>
                <w:b/>
                <w:noProof/>
                <w:webHidden/>
                <w:sz w:val="24"/>
                <w:szCs w:val="24"/>
              </w:rPr>
              <w:fldChar w:fldCharType="begin"/>
            </w:r>
            <w:r w:rsidRPr="00377EEA">
              <w:rPr>
                <w:rFonts w:ascii="Times New Roman" w:hAnsi="Times New Roman" w:cs="Times New Roman"/>
                <w:b/>
                <w:noProof/>
                <w:webHidden/>
                <w:sz w:val="24"/>
                <w:szCs w:val="24"/>
              </w:rPr>
              <w:instrText xml:space="preserve"> PAGEREF _Toc486448317 \h </w:instrText>
            </w:r>
            <w:r w:rsidRPr="00377EEA">
              <w:rPr>
                <w:rFonts w:ascii="Times New Roman" w:hAnsi="Times New Roman" w:cs="Times New Roman"/>
                <w:b/>
                <w:noProof/>
                <w:webHidden/>
                <w:sz w:val="24"/>
                <w:szCs w:val="24"/>
              </w:rPr>
            </w:r>
            <w:r w:rsidRPr="00377EEA">
              <w:rPr>
                <w:rFonts w:ascii="Times New Roman" w:hAnsi="Times New Roman" w:cs="Times New Roman"/>
                <w:b/>
                <w:noProof/>
                <w:webHidden/>
                <w:sz w:val="24"/>
                <w:szCs w:val="24"/>
              </w:rPr>
              <w:fldChar w:fldCharType="separate"/>
            </w:r>
            <w:r w:rsidRPr="00377EEA">
              <w:rPr>
                <w:rFonts w:ascii="Times New Roman" w:hAnsi="Times New Roman" w:cs="Times New Roman"/>
                <w:b/>
                <w:noProof/>
                <w:webHidden/>
                <w:sz w:val="24"/>
                <w:szCs w:val="24"/>
              </w:rPr>
              <w:t>14</w:t>
            </w:r>
            <w:r w:rsidRPr="00377EEA">
              <w:rPr>
                <w:rFonts w:ascii="Times New Roman" w:hAnsi="Times New Roman" w:cs="Times New Roman"/>
                <w:b/>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18" w:history="1">
            <w:r w:rsidRPr="00377EEA">
              <w:rPr>
                <w:rStyle w:val="Hipervnculo"/>
                <w:rFonts w:ascii="Times New Roman" w:hAnsi="Times New Roman" w:cs="Times New Roman"/>
                <w:noProof/>
                <w:sz w:val="24"/>
                <w:szCs w:val="24"/>
              </w:rPr>
              <w:t>3.1. Antecedentes Históricos.</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_Toc486448318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14</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19" w:history="1">
            <w:r w:rsidRPr="00377EEA">
              <w:rPr>
                <w:rStyle w:val="Hipervnculo"/>
                <w:rFonts w:ascii="Times New Roman" w:hAnsi="Times New Roman" w:cs="Times New Roman"/>
                <w:noProof/>
                <w:sz w:val="24"/>
                <w:szCs w:val="24"/>
              </w:rPr>
              <w:t>3.2. Antecedentes legislativos.</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_Toc486448319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15</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20" w:history="1">
            <w:r w:rsidRPr="00377EEA">
              <w:rPr>
                <w:rStyle w:val="Hipervnculo"/>
                <w:rFonts w:ascii="Times New Roman" w:hAnsi="Times New Roman" w:cs="Times New Roman"/>
                <w:noProof/>
                <w:sz w:val="24"/>
                <w:szCs w:val="24"/>
              </w:rPr>
              <w:t>3.3. La creación del Centro Nacional de Inteligencia (CNI).</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_Toc486448320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16</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21" w:history="1">
            <w:r w:rsidRPr="00377EEA">
              <w:rPr>
                <w:rStyle w:val="Hipervnculo"/>
                <w:rFonts w:ascii="Times New Roman" w:hAnsi="Times New Roman" w:cs="Times New Roman"/>
                <w:noProof/>
                <w:sz w:val="24"/>
                <w:szCs w:val="24"/>
              </w:rPr>
              <w:t>3.4. Control judicial previo en las actuaciones del CNI.</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_Toc486448321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18</w:t>
            </w:r>
            <w:r w:rsidRPr="00377EEA">
              <w:rPr>
                <w:rFonts w:ascii="Times New Roman" w:hAnsi="Times New Roman" w:cs="Times New Roman"/>
                <w:noProof/>
                <w:webHidden/>
                <w:sz w:val="24"/>
                <w:szCs w:val="24"/>
              </w:rPr>
              <w:fldChar w:fldCharType="end"/>
            </w:r>
          </w:hyperlink>
        </w:p>
        <w:p w:rsidR="00377EEA" w:rsidRPr="00377EEA" w:rsidRDefault="00377EEA">
          <w:pPr>
            <w:pStyle w:val="TDC1"/>
            <w:tabs>
              <w:tab w:val="right" w:leader="dot" w:pos="8494"/>
            </w:tabs>
            <w:rPr>
              <w:rFonts w:ascii="Times New Roman" w:eastAsiaTheme="minorEastAsia" w:hAnsi="Times New Roman" w:cs="Times New Roman"/>
              <w:b/>
              <w:noProof/>
              <w:color w:val="auto"/>
              <w:sz w:val="24"/>
              <w:szCs w:val="24"/>
            </w:rPr>
          </w:pPr>
          <w:hyperlink w:anchor="_Toc486448322" w:history="1">
            <w:r w:rsidRPr="00377EEA">
              <w:rPr>
                <w:rStyle w:val="Hipervnculo"/>
                <w:rFonts w:ascii="Times New Roman" w:hAnsi="Times New Roman" w:cs="Times New Roman"/>
                <w:b/>
                <w:noProof/>
                <w:sz w:val="24"/>
                <w:szCs w:val="24"/>
              </w:rPr>
              <w:t>4. LA REGULACIÓN DE LOS SECRETOS DE ESTADO.</w:t>
            </w:r>
            <w:r w:rsidRPr="00377EEA">
              <w:rPr>
                <w:rFonts w:ascii="Times New Roman" w:hAnsi="Times New Roman" w:cs="Times New Roman"/>
                <w:b/>
                <w:noProof/>
                <w:webHidden/>
                <w:sz w:val="24"/>
                <w:szCs w:val="24"/>
              </w:rPr>
              <w:tab/>
            </w:r>
            <w:r w:rsidRPr="00377EEA">
              <w:rPr>
                <w:rFonts w:ascii="Times New Roman" w:hAnsi="Times New Roman" w:cs="Times New Roman"/>
                <w:b/>
                <w:noProof/>
                <w:webHidden/>
                <w:sz w:val="24"/>
                <w:szCs w:val="24"/>
              </w:rPr>
              <w:fldChar w:fldCharType="begin"/>
            </w:r>
            <w:r w:rsidRPr="00377EEA">
              <w:rPr>
                <w:rFonts w:ascii="Times New Roman" w:hAnsi="Times New Roman" w:cs="Times New Roman"/>
                <w:b/>
                <w:noProof/>
                <w:webHidden/>
                <w:sz w:val="24"/>
                <w:szCs w:val="24"/>
              </w:rPr>
              <w:instrText xml:space="preserve"> PAGEREF _Toc486448322 \h </w:instrText>
            </w:r>
            <w:r w:rsidRPr="00377EEA">
              <w:rPr>
                <w:rFonts w:ascii="Times New Roman" w:hAnsi="Times New Roman" w:cs="Times New Roman"/>
                <w:b/>
                <w:noProof/>
                <w:webHidden/>
                <w:sz w:val="24"/>
                <w:szCs w:val="24"/>
              </w:rPr>
            </w:r>
            <w:r w:rsidRPr="00377EEA">
              <w:rPr>
                <w:rFonts w:ascii="Times New Roman" w:hAnsi="Times New Roman" w:cs="Times New Roman"/>
                <w:b/>
                <w:noProof/>
                <w:webHidden/>
                <w:sz w:val="24"/>
                <w:szCs w:val="24"/>
              </w:rPr>
              <w:fldChar w:fldCharType="separate"/>
            </w:r>
            <w:r w:rsidRPr="00377EEA">
              <w:rPr>
                <w:rFonts w:ascii="Times New Roman" w:hAnsi="Times New Roman" w:cs="Times New Roman"/>
                <w:b/>
                <w:noProof/>
                <w:webHidden/>
                <w:sz w:val="24"/>
                <w:szCs w:val="24"/>
              </w:rPr>
              <w:t>20</w:t>
            </w:r>
            <w:r w:rsidRPr="00377EEA">
              <w:rPr>
                <w:rFonts w:ascii="Times New Roman" w:hAnsi="Times New Roman" w:cs="Times New Roman"/>
                <w:b/>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23" w:history="1">
            <w:r w:rsidRPr="00377EEA">
              <w:rPr>
                <w:rStyle w:val="Hipervnculo"/>
                <w:rFonts w:ascii="Times New Roman" w:hAnsi="Times New Roman" w:cs="Times New Roman"/>
                <w:noProof/>
                <w:sz w:val="24"/>
                <w:szCs w:val="24"/>
              </w:rPr>
              <w:t>4.1. Introducción.</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_Toc486448323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20</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24" w:history="1">
            <w:r w:rsidRPr="00377EEA">
              <w:rPr>
                <w:rStyle w:val="Hipervnculo"/>
                <w:rFonts w:ascii="Times New Roman" w:hAnsi="Times New Roman" w:cs="Times New Roman"/>
                <w:noProof/>
                <w:sz w:val="24"/>
                <w:szCs w:val="24"/>
              </w:rPr>
              <w:t>4.2. El Control de los secretos oficiales.</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_Toc486448324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21</w:t>
            </w:r>
            <w:r w:rsidRPr="00377EEA">
              <w:rPr>
                <w:rFonts w:ascii="Times New Roman" w:hAnsi="Times New Roman" w:cs="Times New Roman"/>
                <w:noProof/>
                <w:webHidden/>
                <w:sz w:val="24"/>
                <w:szCs w:val="24"/>
              </w:rPr>
              <w:fldChar w:fldCharType="end"/>
            </w:r>
          </w:hyperlink>
        </w:p>
        <w:p w:rsidR="00377EEA" w:rsidRPr="00377EEA" w:rsidRDefault="00377EEA">
          <w:pPr>
            <w:pStyle w:val="TDC1"/>
            <w:tabs>
              <w:tab w:val="right" w:leader="dot" w:pos="8494"/>
            </w:tabs>
            <w:rPr>
              <w:rFonts w:ascii="Times New Roman" w:eastAsiaTheme="minorEastAsia" w:hAnsi="Times New Roman" w:cs="Times New Roman"/>
              <w:b/>
              <w:noProof/>
              <w:color w:val="auto"/>
              <w:sz w:val="24"/>
              <w:szCs w:val="24"/>
            </w:rPr>
          </w:pPr>
          <w:hyperlink w:anchor="_Toc486448325" w:history="1">
            <w:r w:rsidRPr="00377EEA">
              <w:rPr>
                <w:rStyle w:val="Hipervnculo"/>
                <w:rFonts w:ascii="Times New Roman" w:hAnsi="Times New Roman" w:cs="Times New Roman"/>
                <w:b/>
                <w:noProof/>
                <w:sz w:val="24"/>
                <w:szCs w:val="24"/>
              </w:rPr>
              <w:t>5. EL DERECHO PENAL Y LOS SERVICIOS DE INTELIGENCIA.</w:t>
            </w:r>
            <w:r w:rsidRPr="00377EEA">
              <w:rPr>
                <w:rFonts w:ascii="Times New Roman" w:hAnsi="Times New Roman" w:cs="Times New Roman"/>
                <w:b/>
                <w:noProof/>
                <w:webHidden/>
                <w:sz w:val="24"/>
                <w:szCs w:val="24"/>
              </w:rPr>
              <w:tab/>
            </w:r>
            <w:r w:rsidRPr="00377EEA">
              <w:rPr>
                <w:rFonts w:ascii="Times New Roman" w:hAnsi="Times New Roman" w:cs="Times New Roman"/>
                <w:b/>
                <w:noProof/>
                <w:webHidden/>
                <w:sz w:val="24"/>
                <w:szCs w:val="24"/>
              </w:rPr>
              <w:fldChar w:fldCharType="begin"/>
            </w:r>
            <w:r w:rsidRPr="00377EEA">
              <w:rPr>
                <w:rFonts w:ascii="Times New Roman" w:hAnsi="Times New Roman" w:cs="Times New Roman"/>
                <w:b/>
                <w:noProof/>
                <w:webHidden/>
                <w:sz w:val="24"/>
                <w:szCs w:val="24"/>
              </w:rPr>
              <w:instrText xml:space="preserve"> PAGEREF _Toc486448325 \h </w:instrText>
            </w:r>
            <w:r w:rsidRPr="00377EEA">
              <w:rPr>
                <w:rFonts w:ascii="Times New Roman" w:hAnsi="Times New Roman" w:cs="Times New Roman"/>
                <w:b/>
                <w:noProof/>
                <w:webHidden/>
                <w:sz w:val="24"/>
                <w:szCs w:val="24"/>
              </w:rPr>
            </w:r>
            <w:r w:rsidRPr="00377EEA">
              <w:rPr>
                <w:rFonts w:ascii="Times New Roman" w:hAnsi="Times New Roman" w:cs="Times New Roman"/>
                <w:b/>
                <w:noProof/>
                <w:webHidden/>
                <w:sz w:val="24"/>
                <w:szCs w:val="24"/>
              </w:rPr>
              <w:fldChar w:fldCharType="separate"/>
            </w:r>
            <w:r w:rsidRPr="00377EEA">
              <w:rPr>
                <w:rFonts w:ascii="Times New Roman" w:hAnsi="Times New Roman" w:cs="Times New Roman"/>
                <w:b/>
                <w:noProof/>
                <w:webHidden/>
                <w:sz w:val="24"/>
                <w:szCs w:val="24"/>
              </w:rPr>
              <w:t>23</w:t>
            </w:r>
            <w:r w:rsidRPr="00377EEA">
              <w:rPr>
                <w:rFonts w:ascii="Times New Roman" w:hAnsi="Times New Roman" w:cs="Times New Roman"/>
                <w:b/>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26" w:history="1">
            <w:r w:rsidRPr="00377EEA">
              <w:rPr>
                <w:rStyle w:val="Hipervnculo"/>
                <w:rFonts w:ascii="Times New Roman" w:hAnsi="Times New Roman" w:cs="Times New Roman"/>
                <w:noProof/>
                <w:sz w:val="24"/>
                <w:szCs w:val="24"/>
              </w:rPr>
              <w:t>5.1. Introducción</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_Toc486448326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23</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27" w:history="1">
            <w:r w:rsidRPr="00377EEA">
              <w:rPr>
                <w:rStyle w:val="Hipervnculo"/>
                <w:rFonts w:ascii="Times New Roman" w:hAnsi="Times New Roman" w:cs="Times New Roman"/>
                <w:noProof/>
                <w:sz w:val="24"/>
                <w:szCs w:val="24"/>
              </w:rPr>
              <w:t>5.2. El delito de espionaje</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_Toc486448327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23</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28" w:history="1">
            <w:r w:rsidRPr="00377EEA">
              <w:rPr>
                <w:rStyle w:val="Hipervnculo"/>
                <w:rFonts w:ascii="Times New Roman" w:hAnsi="Times New Roman" w:cs="Times New Roman"/>
                <w:noProof/>
                <w:sz w:val="24"/>
                <w:szCs w:val="24"/>
              </w:rPr>
              <w:t>5.3. Las torturas y los tratos degradantes.</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_Toc486448328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25</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1416"/>
            <w:jc w:val="both"/>
            <w:rPr>
              <w:rFonts w:ascii="Times New Roman" w:eastAsiaTheme="minorEastAsia" w:hAnsi="Times New Roman" w:cs="Times New Roman"/>
              <w:noProof/>
              <w:color w:val="auto"/>
              <w:sz w:val="24"/>
              <w:szCs w:val="24"/>
            </w:rPr>
          </w:pPr>
          <w:hyperlink w:anchor="_Toc486448329" w:history="1">
            <w:r w:rsidRPr="00377EEA">
              <w:rPr>
                <w:rStyle w:val="Hipervnculo"/>
                <w:rFonts w:ascii="Times New Roman" w:hAnsi="Times New Roman" w:cs="Times New Roman"/>
                <w:noProof/>
                <w:sz w:val="24"/>
                <w:szCs w:val="24"/>
              </w:rPr>
              <w:t>5.3.1. Descripción de los elementos del delito en relación a las actuaciones de los servicios secretos.</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_Toc486448329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26</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1416"/>
            <w:jc w:val="both"/>
            <w:rPr>
              <w:rFonts w:ascii="Times New Roman" w:eastAsiaTheme="minorEastAsia" w:hAnsi="Times New Roman" w:cs="Times New Roman"/>
              <w:noProof/>
              <w:color w:val="auto"/>
              <w:sz w:val="24"/>
              <w:szCs w:val="24"/>
            </w:rPr>
          </w:pPr>
          <w:hyperlink w:anchor="_Toc486448330" w:history="1">
            <w:r w:rsidRPr="00377EEA">
              <w:rPr>
                <w:rStyle w:val="Hipervnculo"/>
                <w:rFonts w:ascii="Times New Roman" w:hAnsi="Times New Roman" w:cs="Times New Roman"/>
                <w:noProof/>
                <w:sz w:val="24"/>
                <w:szCs w:val="24"/>
              </w:rPr>
              <w:t>5.3.2. ¿Existe alguna eximente en el delito de tortura?</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_Toc486448330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28</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1416"/>
            <w:jc w:val="both"/>
            <w:rPr>
              <w:rFonts w:ascii="Times New Roman" w:eastAsiaTheme="minorEastAsia" w:hAnsi="Times New Roman" w:cs="Times New Roman"/>
              <w:noProof/>
              <w:color w:val="auto"/>
              <w:sz w:val="24"/>
              <w:szCs w:val="24"/>
            </w:rPr>
          </w:pPr>
          <w:hyperlink w:anchor="_Toc486448331" w:history="1">
            <w:r w:rsidRPr="00377EEA">
              <w:rPr>
                <w:rStyle w:val="Hipervnculo"/>
                <w:rFonts w:ascii="Times New Roman" w:hAnsi="Times New Roman" w:cs="Times New Roman"/>
                <w:noProof/>
                <w:sz w:val="24"/>
                <w:szCs w:val="24"/>
              </w:rPr>
              <w:t>5.3.3. Las omisiones de los funcionarios públicos de torturas realizadas a terceros como delito.</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_Toc486448331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30</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1416"/>
            <w:jc w:val="both"/>
            <w:rPr>
              <w:rFonts w:ascii="Times New Roman" w:eastAsiaTheme="minorEastAsia" w:hAnsi="Times New Roman" w:cs="Times New Roman"/>
              <w:noProof/>
              <w:color w:val="auto"/>
              <w:sz w:val="24"/>
              <w:szCs w:val="24"/>
            </w:rPr>
          </w:pPr>
          <w:hyperlink w:anchor="_Toc486448332" w:history="1">
            <w:r w:rsidRPr="00377EEA">
              <w:rPr>
                <w:rStyle w:val="Hipervnculo"/>
                <w:rFonts w:ascii="Times New Roman" w:hAnsi="Times New Roman" w:cs="Times New Roman"/>
                <w:noProof/>
                <w:sz w:val="24"/>
                <w:szCs w:val="24"/>
              </w:rPr>
              <w:t>5.3.4. ¿Son consideradas las torturas a los terrorista como delito?.</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_Toc486448332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33</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708"/>
            <w:jc w:val="both"/>
            <w:rPr>
              <w:rFonts w:ascii="Times New Roman" w:eastAsiaTheme="minorEastAsia" w:hAnsi="Times New Roman" w:cs="Times New Roman"/>
              <w:noProof/>
              <w:color w:val="auto"/>
              <w:sz w:val="24"/>
              <w:szCs w:val="24"/>
            </w:rPr>
          </w:pPr>
          <w:hyperlink w:anchor="_Toc486448333" w:history="1">
            <w:r w:rsidRPr="00377EEA">
              <w:rPr>
                <w:rStyle w:val="Hipervnculo"/>
                <w:rFonts w:ascii="Times New Roman" w:hAnsi="Times New Roman" w:cs="Times New Roman"/>
                <w:noProof/>
                <w:sz w:val="24"/>
                <w:szCs w:val="24"/>
              </w:rPr>
              <w:t>5.4. Los delitos de los servicios de inteligencia contra el "ámbito personal" de los ciudadanos.</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_Toc486448333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37</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1416"/>
            <w:rPr>
              <w:rFonts w:ascii="Times New Roman" w:eastAsiaTheme="minorEastAsia" w:hAnsi="Times New Roman" w:cs="Times New Roman"/>
              <w:noProof/>
              <w:color w:val="auto"/>
              <w:sz w:val="24"/>
              <w:szCs w:val="24"/>
            </w:rPr>
          </w:pPr>
          <w:hyperlink w:anchor="_Toc486448334" w:history="1">
            <w:r w:rsidRPr="00377EEA">
              <w:rPr>
                <w:rStyle w:val="Hipervnculo"/>
                <w:rFonts w:ascii="Times New Roman" w:hAnsi="Times New Roman" w:cs="Times New Roman"/>
                <w:noProof/>
                <w:sz w:val="24"/>
                <w:szCs w:val="24"/>
              </w:rPr>
              <w:t xml:space="preserve">5.4.1. El descubrimiento y revelación de secretos, como posible delito de </w:t>
            </w:r>
            <w:r w:rsidRPr="00377EEA">
              <w:rPr>
                <w:rStyle w:val="Hipervnculo"/>
                <w:rFonts w:ascii="Times New Roman" w:hAnsi="Times New Roman" w:cs="Times New Roman"/>
                <w:noProof/>
                <w:sz w:val="24"/>
                <w:szCs w:val="24"/>
              </w:rPr>
              <w:lastRenderedPageBreak/>
              <w:t>los servicios de inteligencia.</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_Toc486448334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40</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1416"/>
            <w:rPr>
              <w:rFonts w:ascii="Times New Roman" w:eastAsiaTheme="minorEastAsia" w:hAnsi="Times New Roman" w:cs="Times New Roman"/>
              <w:noProof/>
              <w:color w:val="auto"/>
              <w:sz w:val="24"/>
              <w:szCs w:val="24"/>
            </w:rPr>
          </w:pPr>
          <w:hyperlink w:anchor="_Toc486448335" w:history="1">
            <w:r w:rsidRPr="00377EEA">
              <w:rPr>
                <w:rStyle w:val="Hipervnculo"/>
                <w:rFonts w:ascii="Times New Roman" w:hAnsi="Times New Roman" w:cs="Times New Roman"/>
                <w:noProof/>
                <w:sz w:val="24"/>
                <w:szCs w:val="24"/>
              </w:rPr>
              <w:t>5.4.2. La revelación de secretos por autoridad o funcionario público.</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_Toc486448335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41</w:t>
            </w:r>
            <w:r w:rsidRPr="00377EEA">
              <w:rPr>
                <w:rFonts w:ascii="Times New Roman" w:hAnsi="Times New Roman" w:cs="Times New Roman"/>
                <w:noProof/>
                <w:webHidden/>
                <w:sz w:val="24"/>
                <w:szCs w:val="24"/>
              </w:rPr>
              <w:fldChar w:fldCharType="end"/>
            </w:r>
          </w:hyperlink>
        </w:p>
        <w:p w:rsidR="00377EEA" w:rsidRPr="00377EEA" w:rsidRDefault="00377EEA">
          <w:pPr>
            <w:pStyle w:val="TDC1"/>
            <w:tabs>
              <w:tab w:val="right" w:leader="dot" w:pos="8494"/>
            </w:tabs>
            <w:rPr>
              <w:rFonts w:ascii="Times New Roman" w:eastAsiaTheme="minorEastAsia" w:hAnsi="Times New Roman" w:cs="Times New Roman"/>
              <w:b/>
              <w:noProof/>
              <w:color w:val="auto"/>
              <w:sz w:val="24"/>
              <w:szCs w:val="24"/>
            </w:rPr>
          </w:pPr>
          <w:hyperlink w:anchor="_Toc486448336" w:history="1">
            <w:r w:rsidRPr="00377EEA">
              <w:rPr>
                <w:rStyle w:val="Hipervnculo"/>
                <w:rFonts w:ascii="Times New Roman" w:hAnsi="Times New Roman" w:cs="Times New Roman"/>
                <w:b/>
                <w:noProof/>
                <w:sz w:val="24"/>
                <w:szCs w:val="24"/>
              </w:rPr>
              <w:t>6. LA RENDICIÓN EXTRAORDINARIA.</w:t>
            </w:r>
            <w:r w:rsidRPr="00377EEA">
              <w:rPr>
                <w:rFonts w:ascii="Times New Roman" w:hAnsi="Times New Roman" w:cs="Times New Roman"/>
                <w:b/>
                <w:noProof/>
                <w:webHidden/>
                <w:sz w:val="24"/>
                <w:szCs w:val="24"/>
              </w:rPr>
              <w:tab/>
            </w:r>
            <w:r w:rsidRPr="00377EEA">
              <w:rPr>
                <w:rFonts w:ascii="Times New Roman" w:hAnsi="Times New Roman" w:cs="Times New Roman"/>
                <w:b/>
                <w:noProof/>
                <w:webHidden/>
                <w:sz w:val="24"/>
                <w:szCs w:val="24"/>
              </w:rPr>
              <w:fldChar w:fldCharType="begin"/>
            </w:r>
            <w:r w:rsidRPr="00377EEA">
              <w:rPr>
                <w:rFonts w:ascii="Times New Roman" w:hAnsi="Times New Roman" w:cs="Times New Roman"/>
                <w:b/>
                <w:noProof/>
                <w:webHidden/>
                <w:sz w:val="24"/>
                <w:szCs w:val="24"/>
              </w:rPr>
              <w:instrText xml:space="preserve"> PAGEREF _Toc486448336 \h </w:instrText>
            </w:r>
            <w:r w:rsidRPr="00377EEA">
              <w:rPr>
                <w:rFonts w:ascii="Times New Roman" w:hAnsi="Times New Roman" w:cs="Times New Roman"/>
                <w:b/>
                <w:noProof/>
                <w:webHidden/>
                <w:sz w:val="24"/>
                <w:szCs w:val="24"/>
              </w:rPr>
            </w:r>
            <w:r w:rsidRPr="00377EEA">
              <w:rPr>
                <w:rFonts w:ascii="Times New Roman" w:hAnsi="Times New Roman" w:cs="Times New Roman"/>
                <w:b/>
                <w:noProof/>
                <w:webHidden/>
                <w:sz w:val="24"/>
                <w:szCs w:val="24"/>
              </w:rPr>
              <w:fldChar w:fldCharType="separate"/>
            </w:r>
            <w:r w:rsidRPr="00377EEA">
              <w:rPr>
                <w:rFonts w:ascii="Times New Roman" w:hAnsi="Times New Roman" w:cs="Times New Roman"/>
                <w:b/>
                <w:noProof/>
                <w:webHidden/>
                <w:sz w:val="24"/>
                <w:szCs w:val="24"/>
              </w:rPr>
              <w:t>45</w:t>
            </w:r>
            <w:r w:rsidRPr="00377EEA">
              <w:rPr>
                <w:rFonts w:ascii="Times New Roman" w:hAnsi="Times New Roman" w:cs="Times New Roman"/>
                <w:b/>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37" w:history="1">
            <w:r w:rsidRPr="00377EEA">
              <w:rPr>
                <w:rStyle w:val="Hipervnculo"/>
                <w:rFonts w:ascii="Times New Roman" w:hAnsi="Times New Roman" w:cs="Times New Roman"/>
                <w:noProof/>
                <w:sz w:val="24"/>
                <w:szCs w:val="24"/>
              </w:rPr>
              <w:t>6.1. Antecedentes.</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_Toc486448337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45</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38" w:history="1">
            <w:r w:rsidRPr="00377EEA">
              <w:rPr>
                <w:rStyle w:val="Hipervnculo"/>
                <w:rFonts w:ascii="Times New Roman" w:hAnsi="Times New Roman" w:cs="Times New Roman"/>
                <w:noProof/>
                <w:sz w:val="24"/>
                <w:szCs w:val="24"/>
              </w:rPr>
              <w:t>6.3. Resoluciones en el ámbito comunitario relativas al programa de rendición extraordinaria.</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_Toc486448338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49</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39" w:history="1">
            <w:r w:rsidRPr="00377EEA">
              <w:rPr>
                <w:rStyle w:val="Hipervnculo"/>
                <w:rFonts w:ascii="Times New Roman" w:hAnsi="Times New Roman" w:cs="Times New Roman"/>
                <w:noProof/>
                <w:sz w:val="24"/>
                <w:szCs w:val="24"/>
              </w:rPr>
              <w:t>6.4. Centros clandestinos utilizados en las Entregas Extraordinaria por la CIA.</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_Toc486448339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51</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40" w:history="1">
            <w:r w:rsidRPr="00377EEA">
              <w:rPr>
                <w:rStyle w:val="Hipervnculo"/>
                <w:rFonts w:ascii="Times New Roman" w:hAnsi="Times New Roman" w:cs="Times New Roman"/>
                <w:noProof/>
                <w:sz w:val="24"/>
                <w:szCs w:val="24"/>
              </w:rPr>
              <w:t>6.5. El papel de España en la Rendición Extraordinaria.</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_Toc486448340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54</w:t>
            </w:r>
            <w:r w:rsidRPr="00377EEA">
              <w:rPr>
                <w:rFonts w:ascii="Times New Roman" w:hAnsi="Times New Roman" w:cs="Times New Roman"/>
                <w:noProof/>
                <w:webHidden/>
                <w:sz w:val="24"/>
                <w:szCs w:val="24"/>
              </w:rPr>
              <w:fldChar w:fldCharType="end"/>
            </w:r>
          </w:hyperlink>
        </w:p>
        <w:p w:rsidR="00377EEA" w:rsidRPr="00377EEA" w:rsidRDefault="00377EEA" w:rsidP="00377EEA">
          <w:pPr>
            <w:pStyle w:val="TDC1"/>
            <w:tabs>
              <w:tab w:val="right" w:leader="dot" w:pos="8494"/>
            </w:tabs>
            <w:ind w:left="708"/>
            <w:rPr>
              <w:rFonts w:ascii="Times New Roman" w:eastAsiaTheme="minorEastAsia" w:hAnsi="Times New Roman" w:cs="Times New Roman"/>
              <w:noProof/>
              <w:color w:val="auto"/>
              <w:sz w:val="24"/>
              <w:szCs w:val="24"/>
            </w:rPr>
          </w:pPr>
          <w:hyperlink w:anchor="_Toc486448341" w:history="1">
            <w:r w:rsidRPr="00377EEA">
              <w:rPr>
                <w:rStyle w:val="Hipervnculo"/>
                <w:rFonts w:ascii="Times New Roman" w:hAnsi="Times New Roman" w:cs="Times New Roman"/>
                <w:noProof/>
                <w:sz w:val="24"/>
                <w:szCs w:val="24"/>
              </w:rPr>
              <w:t>6.6. Víctimas de las entregas extraordinarias.</w:t>
            </w:r>
            <w:r w:rsidRPr="00377EEA">
              <w:rPr>
                <w:rFonts w:ascii="Times New Roman" w:hAnsi="Times New Roman" w:cs="Times New Roman"/>
                <w:noProof/>
                <w:webHidden/>
                <w:sz w:val="24"/>
                <w:szCs w:val="24"/>
              </w:rPr>
              <w:tab/>
            </w:r>
            <w:r w:rsidRPr="00377EEA">
              <w:rPr>
                <w:rFonts w:ascii="Times New Roman" w:hAnsi="Times New Roman" w:cs="Times New Roman"/>
                <w:noProof/>
                <w:webHidden/>
                <w:sz w:val="24"/>
                <w:szCs w:val="24"/>
              </w:rPr>
              <w:fldChar w:fldCharType="begin"/>
            </w:r>
            <w:r w:rsidRPr="00377EEA">
              <w:rPr>
                <w:rFonts w:ascii="Times New Roman" w:hAnsi="Times New Roman" w:cs="Times New Roman"/>
                <w:noProof/>
                <w:webHidden/>
                <w:sz w:val="24"/>
                <w:szCs w:val="24"/>
              </w:rPr>
              <w:instrText xml:space="preserve"> PAGEREF _Toc486448341 \h </w:instrText>
            </w:r>
            <w:r w:rsidRPr="00377EEA">
              <w:rPr>
                <w:rFonts w:ascii="Times New Roman" w:hAnsi="Times New Roman" w:cs="Times New Roman"/>
                <w:noProof/>
                <w:webHidden/>
                <w:sz w:val="24"/>
                <w:szCs w:val="24"/>
              </w:rPr>
            </w:r>
            <w:r w:rsidRPr="00377EEA">
              <w:rPr>
                <w:rFonts w:ascii="Times New Roman" w:hAnsi="Times New Roman" w:cs="Times New Roman"/>
                <w:noProof/>
                <w:webHidden/>
                <w:sz w:val="24"/>
                <w:szCs w:val="24"/>
              </w:rPr>
              <w:fldChar w:fldCharType="separate"/>
            </w:r>
            <w:r w:rsidRPr="00377EEA">
              <w:rPr>
                <w:rFonts w:ascii="Times New Roman" w:hAnsi="Times New Roman" w:cs="Times New Roman"/>
                <w:noProof/>
                <w:webHidden/>
                <w:sz w:val="24"/>
                <w:szCs w:val="24"/>
              </w:rPr>
              <w:t>57</w:t>
            </w:r>
            <w:r w:rsidRPr="00377EEA">
              <w:rPr>
                <w:rFonts w:ascii="Times New Roman" w:hAnsi="Times New Roman" w:cs="Times New Roman"/>
                <w:noProof/>
                <w:webHidden/>
                <w:sz w:val="24"/>
                <w:szCs w:val="24"/>
              </w:rPr>
              <w:fldChar w:fldCharType="end"/>
            </w:r>
          </w:hyperlink>
        </w:p>
        <w:p w:rsidR="00377EEA" w:rsidRPr="00377EEA" w:rsidRDefault="00377EEA">
          <w:pPr>
            <w:pStyle w:val="TDC1"/>
            <w:tabs>
              <w:tab w:val="right" w:leader="dot" w:pos="8494"/>
            </w:tabs>
            <w:rPr>
              <w:rFonts w:ascii="Times New Roman" w:eastAsiaTheme="minorEastAsia" w:hAnsi="Times New Roman" w:cs="Times New Roman"/>
              <w:b/>
              <w:noProof/>
              <w:color w:val="auto"/>
              <w:sz w:val="24"/>
              <w:szCs w:val="24"/>
            </w:rPr>
          </w:pPr>
          <w:hyperlink w:anchor="_Toc486448342" w:history="1">
            <w:r w:rsidRPr="00377EEA">
              <w:rPr>
                <w:rStyle w:val="Hipervnculo"/>
                <w:rFonts w:ascii="Times New Roman" w:hAnsi="Times New Roman" w:cs="Times New Roman"/>
                <w:b/>
                <w:noProof/>
                <w:sz w:val="24"/>
                <w:szCs w:val="24"/>
              </w:rPr>
              <w:t>7. CONCLUSIONES.</w:t>
            </w:r>
            <w:r w:rsidRPr="00377EEA">
              <w:rPr>
                <w:rFonts w:ascii="Times New Roman" w:hAnsi="Times New Roman" w:cs="Times New Roman"/>
                <w:b/>
                <w:noProof/>
                <w:webHidden/>
                <w:sz w:val="24"/>
                <w:szCs w:val="24"/>
              </w:rPr>
              <w:tab/>
            </w:r>
            <w:r w:rsidRPr="00377EEA">
              <w:rPr>
                <w:rFonts w:ascii="Times New Roman" w:hAnsi="Times New Roman" w:cs="Times New Roman"/>
                <w:b/>
                <w:noProof/>
                <w:webHidden/>
                <w:sz w:val="24"/>
                <w:szCs w:val="24"/>
              </w:rPr>
              <w:fldChar w:fldCharType="begin"/>
            </w:r>
            <w:r w:rsidRPr="00377EEA">
              <w:rPr>
                <w:rFonts w:ascii="Times New Roman" w:hAnsi="Times New Roman" w:cs="Times New Roman"/>
                <w:b/>
                <w:noProof/>
                <w:webHidden/>
                <w:sz w:val="24"/>
                <w:szCs w:val="24"/>
              </w:rPr>
              <w:instrText xml:space="preserve"> PAGEREF _Toc486448342 \h </w:instrText>
            </w:r>
            <w:r w:rsidRPr="00377EEA">
              <w:rPr>
                <w:rFonts w:ascii="Times New Roman" w:hAnsi="Times New Roman" w:cs="Times New Roman"/>
                <w:b/>
                <w:noProof/>
                <w:webHidden/>
                <w:sz w:val="24"/>
                <w:szCs w:val="24"/>
              </w:rPr>
            </w:r>
            <w:r w:rsidRPr="00377EEA">
              <w:rPr>
                <w:rFonts w:ascii="Times New Roman" w:hAnsi="Times New Roman" w:cs="Times New Roman"/>
                <w:b/>
                <w:noProof/>
                <w:webHidden/>
                <w:sz w:val="24"/>
                <w:szCs w:val="24"/>
              </w:rPr>
              <w:fldChar w:fldCharType="separate"/>
            </w:r>
            <w:r w:rsidRPr="00377EEA">
              <w:rPr>
                <w:rFonts w:ascii="Times New Roman" w:hAnsi="Times New Roman" w:cs="Times New Roman"/>
                <w:b/>
                <w:noProof/>
                <w:webHidden/>
                <w:sz w:val="24"/>
                <w:szCs w:val="24"/>
              </w:rPr>
              <w:t>59</w:t>
            </w:r>
            <w:r w:rsidRPr="00377EEA">
              <w:rPr>
                <w:rFonts w:ascii="Times New Roman" w:hAnsi="Times New Roman" w:cs="Times New Roman"/>
                <w:b/>
                <w:noProof/>
                <w:webHidden/>
                <w:sz w:val="24"/>
                <w:szCs w:val="24"/>
              </w:rPr>
              <w:fldChar w:fldCharType="end"/>
            </w:r>
          </w:hyperlink>
        </w:p>
        <w:p w:rsidR="00377EEA" w:rsidRPr="00377EEA" w:rsidRDefault="00377EEA">
          <w:pPr>
            <w:pStyle w:val="TDC1"/>
            <w:tabs>
              <w:tab w:val="right" w:leader="dot" w:pos="8494"/>
            </w:tabs>
            <w:rPr>
              <w:rFonts w:asciiTheme="minorHAnsi" w:eastAsiaTheme="minorEastAsia" w:hAnsiTheme="minorHAnsi" w:cstheme="minorBidi"/>
              <w:b/>
              <w:noProof/>
              <w:color w:val="auto"/>
            </w:rPr>
          </w:pPr>
          <w:hyperlink w:anchor="_Toc486448343" w:history="1">
            <w:r w:rsidRPr="00377EEA">
              <w:rPr>
                <w:rStyle w:val="Hipervnculo"/>
                <w:rFonts w:ascii="Times New Roman" w:hAnsi="Times New Roman" w:cs="Times New Roman"/>
                <w:b/>
                <w:noProof/>
                <w:sz w:val="24"/>
                <w:szCs w:val="24"/>
              </w:rPr>
              <w:t>8. BIBLIOGRAFÍA.</w:t>
            </w:r>
            <w:r w:rsidRPr="00377EEA">
              <w:rPr>
                <w:rFonts w:ascii="Times New Roman" w:hAnsi="Times New Roman" w:cs="Times New Roman"/>
                <w:b/>
                <w:noProof/>
                <w:webHidden/>
                <w:sz w:val="24"/>
                <w:szCs w:val="24"/>
              </w:rPr>
              <w:tab/>
            </w:r>
            <w:r w:rsidRPr="00377EEA">
              <w:rPr>
                <w:rFonts w:ascii="Times New Roman" w:hAnsi="Times New Roman" w:cs="Times New Roman"/>
                <w:b/>
                <w:noProof/>
                <w:webHidden/>
                <w:sz w:val="24"/>
                <w:szCs w:val="24"/>
              </w:rPr>
              <w:fldChar w:fldCharType="begin"/>
            </w:r>
            <w:r w:rsidRPr="00377EEA">
              <w:rPr>
                <w:rFonts w:ascii="Times New Roman" w:hAnsi="Times New Roman" w:cs="Times New Roman"/>
                <w:b/>
                <w:noProof/>
                <w:webHidden/>
                <w:sz w:val="24"/>
                <w:szCs w:val="24"/>
              </w:rPr>
              <w:instrText xml:space="preserve"> PAGEREF _Toc486448343 \h </w:instrText>
            </w:r>
            <w:r w:rsidRPr="00377EEA">
              <w:rPr>
                <w:rFonts w:ascii="Times New Roman" w:hAnsi="Times New Roman" w:cs="Times New Roman"/>
                <w:b/>
                <w:noProof/>
                <w:webHidden/>
                <w:sz w:val="24"/>
                <w:szCs w:val="24"/>
              </w:rPr>
            </w:r>
            <w:r w:rsidRPr="00377EEA">
              <w:rPr>
                <w:rFonts w:ascii="Times New Roman" w:hAnsi="Times New Roman" w:cs="Times New Roman"/>
                <w:b/>
                <w:noProof/>
                <w:webHidden/>
                <w:sz w:val="24"/>
                <w:szCs w:val="24"/>
              </w:rPr>
              <w:fldChar w:fldCharType="separate"/>
            </w:r>
            <w:r w:rsidRPr="00377EEA">
              <w:rPr>
                <w:rFonts w:ascii="Times New Roman" w:hAnsi="Times New Roman" w:cs="Times New Roman"/>
                <w:b/>
                <w:noProof/>
                <w:webHidden/>
                <w:sz w:val="24"/>
                <w:szCs w:val="24"/>
              </w:rPr>
              <w:t>61</w:t>
            </w:r>
            <w:r w:rsidRPr="00377EEA">
              <w:rPr>
                <w:rFonts w:ascii="Times New Roman" w:hAnsi="Times New Roman" w:cs="Times New Roman"/>
                <w:b/>
                <w:noProof/>
                <w:webHidden/>
                <w:sz w:val="24"/>
                <w:szCs w:val="24"/>
              </w:rPr>
              <w:fldChar w:fldCharType="end"/>
            </w:r>
          </w:hyperlink>
        </w:p>
        <w:p w:rsidR="00377EEA" w:rsidRDefault="00377EEA">
          <w:r>
            <w:fldChar w:fldCharType="end"/>
          </w:r>
        </w:p>
      </w:sdtContent>
    </w:sdt>
    <w:p w:rsidR="00EB6FB2" w:rsidRDefault="00EB6FB2" w:rsidP="00EB6FB2">
      <w:pPr>
        <w:pStyle w:val="Normal1"/>
        <w:jc w:val="both"/>
      </w:pPr>
    </w:p>
    <w:p w:rsidR="00EB6FB2" w:rsidRDefault="00EB6FB2" w:rsidP="00EB6FB2">
      <w:pPr>
        <w:pStyle w:val="Normal1"/>
        <w:keepNext/>
        <w:keepLines/>
        <w:spacing w:before="480" w:after="240"/>
        <w:rPr>
          <w:rFonts w:ascii="Times New Roman" w:eastAsia="Times New Roman" w:hAnsi="Times New Roman" w:cs="Times New Roman"/>
          <w:b/>
          <w:sz w:val="24"/>
          <w:szCs w:val="24"/>
        </w:rPr>
      </w:pPr>
    </w:p>
    <w:p w:rsidR="00EB6FB2" w:rsidRDefault="00EB6FB2" w:rsidP="00EB6FB2">
      <w:pPr>
        <w:pStyle w:val="Normal1"/>
        <w:spacing w:line="360" w:lineRule="auto"/>
        <w:jc w:val="both"/>
        <w:rPr>
          <w:rFonts w:ascii="Times New Roman" w:eastAsia="Times New Roman" w:hAnsi="Times New Roman" w:cs="Times New Roman"/>
          <w:b/>
          <w:sz w:val="24"/>
          <w:szCs w:val="24"/>
        </w:rPr>
      </w:pPr>
    </w:p>
    <w:p w:rsidR="00EB6FB2" w:rsidRDefault="00EB6FB2" w:rsidP="00EB6FB2">
      <w:pPr>
        <w:pStyle w:val="Normal1"/>
        <w:spacing w:line="360" w:lineRule="auto"/>
        <w:jc w:val="both"/>
        <w:rPr>
          <w:rFonts w:ascii="Times New Roman" w:eastAsia="Times New Roman" w:hAnsi="Times New Roman" w:cs="Times New Roman"/>
          <w:b/>
          <w:sz w:val="24"/>
          <w:szCs w:val="24"/>
        </w:rPr>
      </w:pPr>
    </w:p>
    <w:p w:rsidR="00EB6FB2" w:rsidRDefault="00EB6FB2" w:rsidP="00EB6FB2">
      <w:pPr>
        <w:pStyle w:val="Normal1"/>
        <w:spacing w:line="360" w:lineRule="auto"/>
        <w:jc w:val="both"/>
        <w:rPr>
          <w:rFonts w:ascii="Times New Roman" w:eastAsia="Times New Roman" w:hAnsi="Times New Roman" w:cs="Times New Roman"/>
          <w:b/>
          <w:sz w:val="24"/>
          <w:szCs w:val="24"/>
        </w:rPr>
      </w:pPr>
    </w:p>
    <w:p w:rsidR="00EB6FB2" w:rsidRDefault="00EB6FB2" w:rsidP="00EB6FB2">
      <w:pPr>
        <w:pStyle w:val="Normal1"/>
        <w:spacing w:line="360" w:lineRule="auto"/>
        <w:jc w:val="both"/>
        <w:rPr>
          <w:rFonts w:ascii="Times New Roman" w:eastAsia="Times New Roman" w:hAnsi="Times New Roman" w:cs="Times New Roman"/>
          <w:b/>
          <w:sz w:val="24"/>
          <w:szCs w:val="24"/>
        </w:rPr>
      </w:pPr>
    </w:p>
    <w:p w:rsidR="00EB6FB2" w:rsidRDefault="00EB6FB2" w:rsidP="00EB6FB2">
      <w:pPr>
        <w:pStyle w:val="Normal1"/>
        <w:spacing w:line="360" w:lineRule="auto"/>
        <w:jc w:val="both"/>
        <w:rPr>
          <w:rFonts w:ascii="Times New Roman" w:eastAsia="Times New Roman" w:hAnsi="Times New Roman" w:cs="Times New Roman"/>
          <w:b/>
          <w:sz w:val="24"/>
          <w:szCs w:val="24"/>
        </w:rPr>
      </w:pPr>
    </w:p>
    <w:p w:rsidR="00EB6FB2" w:rsidRDefault="00EB6FB2" w:rsidP="00EB6FB2">
      <w:pPr>
        <w:pStyle w:val="Normal1"/>
        <w:spacing w:line="360" w:lineRule="auto"/>
        <w:jc w:val="both"/>
        <w:rPr>
          <w:rFonts w:ascii="Times New Roman" w:eastAsia="Times New Roman" w:hAnsi="Times New Roman" w:cs="Times New Roman"/>
          <w:b/>
          <w:sz w:val="24"/>
          <w:szCs w:val="24"/>
        </w:rPr>
      </w:pPr>
    </w:p>
    <w:p w:rsidR="00EB6FB2" w:rsidRDefault="00EB6FB2" w:rsidP="00EB6FB2">
      <w:pPr>
        <w:pStyle w:val="Normal1"/>
        <w:spacing w:line="360" w:lineRule="auto"/>
        <w:jc w:val="both"/>
        <w:rPr>
          <w:rFonts w:ascii="Times New Roman" w:eastAsia="Times New Roman" w:hAnsi="Times New Roman" w:cs="Times New Roman"/>
          <w:b/>
          <w:sz w:val="24"/>
          <w:szCs w:val="24"/>
        </w:rPr>
      </w:pPr>
    </w:p>
    <w:p w:rsidR="00377EEA" w:rsidRDefault="00377EEA" w:rsidP="00EB6FB2">
      <w:pPr>
        <w:pStyle w:val="Ttulo1"/>
      </w:pPr>
      <w:bookmarkStart w:id="3" w:name="_Toc486448310"/>
    </w:p>
    <w:p w:rsidR="00377EEA" w:rsidRPr="00377EEA" w:rsidRDefault="00377EEA" w:rsidP="00377EEA">
      <w:pPr>
        <w:pStyle w:val="Normal1"/>
      </w:pPr>
    </w:p>
    <w:p w:rsidR="00EB6FB2" w:rsidRDefault="00EB6FB2" w:rsidP="00EB6FB2">
      <w:pPr>
        <w:pStyle w:val="Ttulo1"/>
      </w:pPr>
      <w:r>
        <w:lastRenderedPageBreak/>
        <w:t>1. INTRODUCCIÓN.</w:t>
      </w:r>
      <w:bookmarkEnd w:id="3"/>
    </w:p>
    <w:p w:rsidR="00EB6FB2" w:rsidRDefault="00EB6FB2" w:rsidP="00EB6FB2">
      <w:pPr>
        <w:pStyle w:val="Normal1"/>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Para comenzar es considerable dar una correcta definición de qué entendemos por servicios de inteligencia. La ley del Centro Nacional de Inteligencia</w:t>
      </w:r>
      <w:r>
        <w:rPr>
          <w:rFonts w:ascii="Times New Roman" w:eastAsia="Times New Roman" w:hAnsi="Times New Roman" w:cs="Times New Roman"/>
          <w:sz w:val="24"/>
          <w:szCs w:val="24"/>
          <w:vertAlign w:val="superscript"/>
        </w:rPr>
        <w:footnoteReference w:id="1"/>
      </w:r>
      <w:r>
        <w:rPr>
          <w:rFonts w:ascii="Times New Roman" w:eastAsia="Times New Roman" w:hAnsi="Times New Roman" w:cs="Times New Roman"/>
          <w:sz w:val="24"/>
          <w:szCs w:val="24"/>
        </w:rPr>
        <w:t xml:space="preserve"> (CNI) los define como una organización del Estado que tiene como objetivo la recopilación de información, su análisis y su posterior traspaso al gobierno para que este tome las decisiones oportunas.</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una organización esencial para el Estado, por ello se hace necesario que tenga una completa regulación tanto de sus funciones como del control de sus actividades. Esto será de análisis posteriormente, puesto que inicialmente en el sistema de la inteligencia española no existía una regulación acorde a los servicios de inteligencia (en adelante SI), por eso con el paso de los años y de los correspondientes gobiernos los servicios de inteligencia han ido tanto evolucionando como cambiando de nombre, hasta tener una regulación propia.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Pero no solo analizamos los servicios de inteligencia españoles, ya que también es considerable observar y estudiar cómo actúan los servicios de inteligencia de otros países del mundo, entre ellos los considerados más importantes en el mundo de la inteligencia, países como Estado Unidos y Reino Unido, que cuentan con los servicios de inteligencia con más actividad y progreso. También es interesante comparar la regulación existente en España para los SI y la regulación existente en otros países, así como el control que recibe el desarrollo de sus funciones. Los servicios de inteligencia en España, se encuentran sometidos a dos leyes; una ley ordinaria mencionada anteriormente que se encarga de regular su funcionamiento, y una ley orgánica que establece el control judicial al que se encuentran sujetos los servicios de inteligencia en sus continuas investigaciones.</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 embargo, todas las actuaciones de los servicios de inteligencia están sometidas a un riguroso secreto de estado, su acceso está altamente protegido y </w:t>
      </w:r>
      <w:r>
        <w:rPr>
          <w:rFonts w:ascii="Times New Roman" w:eastAsia="Times New Roman" w:hAnsi="Times New Roman" w:cs="Times New Roman"/>
          <w:sz w:val="24"/>
          <w:szCs w:val="24"/>
        </w:rPr>
        <w:lastRenderedPageBreak/>
        <w:t>limitado. No todos los ciudadanos tienen acceso a la información recopilada por los SI, sólo unos pocos tienen ese privilegio. La justificación de este secretismo se encuentra en la protección de la defensa nacional, evitar o prevenir el conocimiento de cierta información por personas que le podrían dar un uso inadecuado. A esto se suma un exhaustivo control para aquellas personas que puedan tener acceso a dicha información.</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bien hemos dicho antes, existe una ley específica que regula el control judicial de las actividades de los SI, pero no es el único control que reciben. Así también encontramos un control parlamentario. Aun así muchos son los autores que consideran que tanto el control como la regulación correspondiente es tanto escasa como imperfecta, así lo considera María Concepción Pérez Villalobos</w:t>
      </w:r>
      <w:r>
        <w:rPr>
          <w:rStyle w:val="Refdenotaalpie"/>
          <w:rFonts w:ascii="Times New Roman" w:eastAsia="Times New Roman" w:hAnsi="Times New Roman" w:cs="Times New Roman"/>
          <w:sz w:val="24"/>
          <w:szCs w:val="24"/>
        </w:rPr>
        <w:footnoteReference w:id="2"/>
      </w:r>
      <w:r>
        <w:rPr>
          <w:rFonts w:ascii="Times New Roman" w:eastAsia="Times New Roman" w:hAnsi="Times New Roman" w:cs="Times New Roman"/>
          <w:sz w:val="24"/>
          <w:szCs w:val="24"/>
        </w:rPr>
        <w:t xml:space="preserve">. Por lo tanto, existen ciertas lagunas jurídicas que rellenar como ciertos problemas que resolver.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control se hace necesario puesto que el ejercicio de los SI en ocasiones determinadas puede vulnerar ciertos derechos y actuar al margen de la ley. Por ello es preciso comentar </w:t>
      </w:r>
      <w:r>
        <w:rPr>
          <w:rFonts w:ascii="Times New Roman" w:eastAsia="Times New Roman" w:hAnsi="Times New Roman" w:cs="Times New Roman"/>
          <w:b/>
          <w:sz w:val="24"/>
          <w:szCs w:val="24"/>
          <w:u w:val="single"/>
        </w:rPr>
        <w:t xml:space="preserve">qué delitos son subsumibles a este organismo y la previsión legal que existe respecto a esto. Pues son muchas las situaciones </w:t>
      </w:r>
      <w:r w:rsidRPr="002D78C0">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n las que los servicios de inteligencia han estado al margen de la legalidad para conseguir esa información que tan necesaria es para ellos. Por lo que sería necesario determinar qué justificación tendría que dichas actividades vulneraran ciertos derechos y libertades. En esta cuestión entra en juego las causas de justificación del Derecho. </w:t>
      </w:r>
    </w:p>
    <w:p w:rsidR="00EB6FB2" w:rsidRDefault="00EB6FB2" w:rsidP="00EB6FB2">
      <w:pPr>
        <w:pStyle w:val="Normal1"/>
        <w:spacing w:line="360" w:lineRule="auto"/>
        <w:ind w:firstLine="720"/>
        <w:jc w:val="both"/>
        <w:rPr>
          <w:b/>
          <w:sz w:val="28"/>
          <w:szCs w:val="28"/>
        </w:rPr>
      </w:pPr>
      <w:r>
        <w:rPr>
          <w:rFonts w:ascii="Times New Roman" w:eastAsia="Times New Roman" w:hAnsi="Times New Roman" w:cs="Times New Roman"/>
          <w:sz w:val="24"/>
          <w:szCs w:val="24"/>
        </w:rPr>
        <w:t xml:space="preserve">En relación con lo anterior, en la actualidad encontramos un programa llevado a cabo y promovido por la CIA con ayuda de otros países, entres ellos europeos. En este programa se han detectado una serie de actuaciones de los servicios de inteligencia que han ido contra la integridad física y moral de ciertos ciudadanos. Este programa recibe el nombre de </w:t>
      </w:r>
      <w:r>
        <w:rPr>
          <w:rFonts w:ascii="Times New Roman" w:eastAsia="Times New Roman" w:hAnsi="Times New Roman" w:cs="Times New Roman"/>
          <w:b/>
          <w:sz w:val="24"/>
          <w:szCs w:val="24"/>
          <w:u w:val="single"/>
        </w:rPr>
        <w:t>rendición extraordinaria,</w:t>
      </w:r>
      <w:r>
        <w:rPr>
          <w:rFonts w:ascii="Times New Roman" w:eastAsia="Times New Roman" w:hAnsi="Times New Roman" w:cs="Times New Roman"/>
          <w:sz w:val="24"/>
          <w:szCs w:val="24"/>
        </w:rPr>
        <w:t xml:space="preserve"> está asociado a un centenar de casos de torturas y detenciones ilegales, así como vuelos irregulares en los que las víctimas han sido trasladados de un territorio a otro para ser finalmente interrogados, detenidos y torturados en centros altamente secretos.</w:t>
      </w:r>
    </w:p>
    <w:p w:rsidR="00EB6FB2" w:rsidRDefault="00EB6FB2" w:rsidP="00EB6FB2">
      <w:pPr>
        <w:pStyle w:val="Ttulo1"/>
      </w:pPr>
      <w:bookmarkStart w:id="4" w:name="_Toc486448311"/>
      <w:r>
        <w:lastRenderedPageBreak/>
        <w:t>1.1. La constitución y los servicios de inteligencia.</w:t>
      </w:r>
      <w:bookmarkEnd w:id="4"/>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servicios de inteligencia son parte fundamental de los Estados Constitucionales, es una institución necesaria para el Gobierno de un Estado, por lo que es preciso incorporar los servicios de inteligencia dentro de la Constitución. Además, estos se deben ajustar al principio de legalidad, ya que nada puede escapar a este control y al respeto de los derechos fundamentales.</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Aunque parezca extraño los servicios de inteligencia forman parte de un Estado Democrático o Social, pero sus actuaciones deben respetar totalmente los derechos fundamentales; esto conlleva que estén sometidos no solo al control del principio de legalidad sino también deben hacer frente al control judicial y parlamentario.</w:t>
      </w:r>
    </w:p>
    <w:p w:rsidR="00EB6FB2" w:rsidRDefault="00EB6FB2" w:rsidP="00EB6FB2">
      <w:pPr>
        <w:pStyle w:val="Ttulo1"/>
      </w:pPr>
      <w:bookmarkStart w:id="5" w:name="_Toc486448312"/>
      <w:r>
        <w:t>1.2. Los servicios de inteligencia en el Siglo XXI.</w:t>
      </w:r>
      <w:bookmarkEnd w:id="5"/>
      <w:r>
        <w:t xml:space="preserv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servicios de inteligencia siempre han sido sinónimo de protectores de la paz mundial, de evitar amenazas o actos que puedan debilitar o derruir la Seguridad Nacional o la defensa de un Estado. De ello se han encargado los espías o los agentes secretos, mediante sus actuaciones al filo de la ley.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inteligencia en la actualidad es una figura primordial para la mayoría de Estados del mundo, podemos determinar o aclarar que los Estados más pequeños o con menos importancia global poseen unos servicios de inteligencia dispuestos a conservar la seguridad interior</w:t>
      </w:r>
      <w:r>
        <w:rPr>
          <w:rFonts w:ascii="Times New Roman" w:eastAsia="Times New Roman" w:hAnsi="Times New Roman" w:cs="Times New Roman"/>
          <w:sz w:val="24"/>
          <w:szCs w:val="24"/>
          <w:vertAlign w:val="superscript"/>
        </w:rPr>
        <w:footnoteReference w:id="3"/>
      </w:r>
      <w:r>
        <w:rPr>
          <w:rFonts w:ascii="Times New Roman" w:eastAsia="Times New Roman" w:hAnsi="Times New Roman" w:cs="Times New Roman"/>
          <w:sz w:val="24"/>
          <w:szCs w:val="24"/>
        </w:rPr>
        <w:t xml:space="preserve">, mientras que los estados más grandes o con más importancia global además de conservar la seguridad nacional, también orientan sus actividades a políticas exteriores.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Una frase que puede definir la situación actual es la que ilustra el </w:t>
      </w:r>
      <w:proofErr w:type="spellStart"/>
      <w:r>
        <w:rPr>
          <w:rFonts w:ascii="Times New Roman" w:eastAsia="Times New Roman" w:hAnsi="Times New Roman" w:cs="Times New Roman"/>
          <w:sz w:val="24"/>
          <w:szCs w:val="24"/>
        </w:rPr>
        <w:t>exdirector</w:t>
      </w:r>
      <w:proofErr w:type="spellEnd"/>
      <w:r>
        <w:rPr>
          <w:rFonts w:ascii="Times New Roman" w:eastAsia="Times New Roman" w:hAnsi="Times New Roman" w:cs="Times New Roman"/>
          <w:sz w:val="24"/>
          <w:szCs w:val="24"/>
        </w:rPr>
        <w:t xml:space="preserve"> de la CIA, Michael </w:t>
      </w:r>
      <w:proofErr w:type="spellStart"/>
      <w:r>
        <w:rPr>
          <w:rFonts w:ascii="Times New Roman" w:eastAsia="Times New Roman" w:hAnsi="Times New Roman" w:cs="Times New Roman"/>
          <w:sz w:val="24"/>
          <w:szCs w:val="24"/>
        </w:rPr>
        <w:t>Hayden</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"Antes el enemigo era fácil de descubrir y difícil de destruir y ahora es más fácil acabar con él pero mucho más difícil de localizar</w:t>
      </w:r>
      <w:r>
        <w:rPr>
          <w:rFonts w:ascii="Times New Roman" w:eastAsia="Times New Roman" w:hAnsi="Times New Roman" w:cs="Times New Roman"/>
          <w:i/>
          <w:sz w:val="24"/>
          <w:szCs w:val="24"/>
          <w:vertAlign w:val="superscript"/>
        </w:rPr>
        <w:footnoteReference w:id="4"/>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Como posibles </w:t>
      </w:r>
      <w:r>
        <w:rPr>
          <w:rFonts w:ascii="Times New Roman" w:eastAsia="Times New Roman" w:hAnsi="Times New Roman" w:cs="Times New Roman"/>
          <w:sz w:val="24"/>
          <w:szCs w:val="24"/>
        </w:rPr>
        <w:lastRenderedPageBreak/>
        <w:t>errores de los servicios de inteligencia en el S. XXI, está el 11 de Septiembre (2001), los escándalos de artefactos de destrucción masiva (2003) y la Primavera Árabe (2010).</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Tras el 11-S los servicios de inteligencia han sufrido una transformación o al menos lo han intentado, este suceso dejó en evidencia a los SI que no fueron capaces de prevenir o prever dicho ataque. No obstante, la evolución de los SI sigue aún en transcurso en la actualidad. Se han reformado diferentes aspectos, desde su estructura hasta la innovación en herramientas o métodos, en obtención de información. Pero lo imperioso es la cooperación y coordinación de los diferentes servicios de inteligencia ante una amenaza común, siendo esta la solución ideal para hacer frente a dichas situaciones. </w:t>
      </w:r>
    </w:p>
    <w:p w:rsidR="00EB6FB2" w:rsidRDefault="00EB6FB2" w:rsidP="00EB6FB2">
      <w:pPr>
        <w:pStyle w:val="Ttulo1"/>
      </w:pPr>
      <w:bookmarkStart w:id="6" w:name="_Toc486448313"/>
      <w:r>
        <w:t>1.3. La función que la Constitución prevé para los servicios de inteligencia.</w:t>
      </w:r>
      <w:bookmarkEnd w:id="6"/>
      <w:r>
        <w:t xml:space="preserv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primer lugar, sería correcto determinar qué entendemos por inteligencia, podemos hablar de inteligencia como la actividad que lleva a cabo la obtención, la evaluación, la interpretación de la información necesaria para proteger y promover los intereses políticos, económicos, industriales, comerciales y estratégicos de España, así lo recoge el artículo 4 en su apartado a) de la Ley del Centro Nacional de Inteligencia.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información que los servicios de inteligencia obtienen de su ejercicio ha de ser utilizada de tal forma que suponga una ventaja, cumpliendo así con el objetivo constitucional. La información obtenida debe de servir de ayuda a los gobiernos  para la toma de decisiones sobre la seguridad y defensa del Estado, anticiparse a futuros problemas o amenazas con el análisis de esta.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servicios de inteligencia no pueden ser considerados como parte de la policía del Estado, es una institución independiente pero a la vez totalmente ligada al Gobierno. La policía del Estado persigue mantener el orden público y la seguridad de los ciudadanos mientras que los servicios de inteligencia indagan e investigan para lograr información y transformar ésta en conocimiento, esta es la principal diferencia que existe entre lo que consideramos policía del Estado y los servicios de inteligencia.</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Bien aunque los servicios de inteligencia son la institución, como antes hemos mencionado, que se encarga de orientar o ayudar al Gobierno a la toma de decisiones en el ámbito de política interior o exterior, son los altos dirigentes del Estado los que deben primero decidir sobre qué materia o ámbito quieren ser informados y segundo decidir cuál es la mejor decisión, es decir, tomar una decisión final sobre la posible amenaza o problema. Por lo tanto, podemos decir que el Gobierno dirige o guía las actuaciones de los servicios de inteligencia.</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servicios de inteligencia no investigan delitos para salvaguardar los derechos de los ciudadanos, ni siquiera investigan el quebrantamiento de la ley. Las actuaciones de los SI no tienen como origen necesario el indicio de un delito, sino que pueden investigar sobre cualquier actividad o materias siempre que así lo prevea el Gobierno. Esto quiere decir que los servicios de inteligencia no actúan en el ámbito del principio de intervención indiciaria</w:t>
      </w:r>
      <w:r>
        <w:rPr>
          <w:rFonts w:ascii="Times New Roman" w:eastAsia="Times New Roman" w:hAnsi="Times New Roman" w:cs="Times New Roman"/>
          <w:sz w:val="24"/>
          <w:szCs w:val="24"/>
          <w:vertAlign w:val="superscript"/>
        </w:rPr>
        <w:footnoteReference w:id="5"/>
      </w:r>
      <w:r>
        <w:rPr>
          <w:rFonts w:ascii="Times New Roman" w:eastAsia="Times New Roman" w:hAnsi="Times New Roman" w:cs="Times New Roman"/>
          <w:sz w:val="24"/>
          <w:szCs w:val="24"/>
        </w:rPr>
        <w:t xml:space="preserv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Queda claro entonces que la intervención de los servicios de inteligencia no es obligada en el sector de la delincuencia sino que sus competencias o sus actuaciones van más allá que a la mera investigación de delitos, su principal objetivo o función, como así lo prevé la Constitución, es convertir la información obtenida en conocimiento o inteligencia para su posterior aprovechamiento por el Gobierno.</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obtención de información o las investigaciones que realizan los SI deben de estar dentro de la legalidad, es más deben respetar la Constitución y en concreto los derechos fundamentales. Pero esto no es una prohibición absoluta ya que los servicios de inteligencia en su afán de proteger la seguridad del Estado realizan actuaciones arriesgadas que pueden suponer una vulneración de los derechos fundamentales (detenciones ilegales, torturas, escuchas telefónicas, etc.)</w:t>
      </w:r>
    </w:p>
    <w:p w:rsidR="00EB6FB2" w:rsidRDefault="00EB6FB2" w:rsidP="00EB6FB2">
      <w:pPr>
        <w:pStyle w:val="Ttulo1"/>
        <w:jc w:val="both"/>
      </w:pPr>
      <w:bookmarkStart w:id="7" w:name="_Toc486448314"/>
      <w:r>
        <w:lastRenderedPageBreak/>
        <w:t>2. LOS SERVICIOS DE INTELIGENCIA EN OTROS SISTEMAS CONSTITUCIONALES.</w:t>
      </w:r>
      <w:bookmarkEnd w:id="7"/>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Podemos considerar a los servicios de inteligencia como una institución universal de la que hacen uso todos los países del mundo. Sirven de ayuda a todos los gobiernos para la toma de decisiones en materia de política interior y exterior, cuando en estas categorías puede haber una amenaza para el Estado. Así que procedemos a analizar la regulación que realizan ciertos países respecto a sus servicios de inteligencia. Países en los que la inteligencia pasa a ser una herramienta esencial para su desarrollo interior y exterior. </w:t>
      </w:r>
    </w:p>
    <w:p w:rsidR="00EB6FB2" w:rsidRDefault="00EB6FB2" w:rsidP="00EB6FB2">
      <w:pPr>
        <w:pStyle w:val="Ttulo1"/>
      </w:pPr>
      <w:bookmarkStart w:id="8" w:name="_Toc486448315"/>
      <w:r>
        <w:t>2.1. Reino Unido</w:t>
      </w:r>
      <w:bookmarkEnd w:id="8"/>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país los servicios de inteligencia tienen una completa regulación. Podemos considerar que son unos de los SI más activos, también considerados de los más importantes ya que forman parte de los </w:t>
      </w:r>
      <w:proofErr w:type="spellStart"/>
      <w:r>
        <w:rPr>
          <w:rFonts w:ascii="Times New Roman" w:eastAsia="Times New Roman" w:hAnsi="Times New Roman" w:cs="Times New Roman"/>
          <w:i/>
          <w:sz w:val="24"/>
          <w:szCs w:val="24"/>
        </w:rPr>
        <w:t>five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eyes</w:t>
      </w:r>
      <w:proofErr w:type="spellEnd"/>
      <w:r>
        <w:rPr>
          <w:rFonts w:ascii="Times New Roman" w:eastAsia="Times New Roman" w:hAnsi="Times New Roman" w:cs="Times New Roman"/>
          <w:i/>
          <w:sz w:val="24"/>
          <w:szCs w:val="24"/>
          <w:vertAlign w:val="superscript"/>
        </w:rPr>
        <w:footnoteReference w:id="6"/>
      </w:r>
      <w:r>
        <w:rPr>
          <w:rFonts w:ascii="Times New Roman" w:eastAsia="Times New Roman" w:hAnsi="Times New Roman" w:cs="Times New Roman"/>
          <w:sz w:val="24"/>
          <w:szCs w:val="24"/>
        </w:rPr>
        <w:t>(</w:t>
      </w:r>
      <w:r w:rsidRPr="0023188B">
        <w:rPr>
          <w:rFonts w:ascii="Times New Roman" w:eastAsia="Times New Roman" w:hAnsi="Times New Roman" w:cs="Times New Roman"/>
          <w:sz w:val="24"/>
          <w:szCs w:val="24"/>
        </w:rPr>
        <w:t>asociación de varios servicios de inteligencia para la cooperación en materia de defensa, compuesto por Reino Unido, Canadá, Nueva Zelanda, Australia, y Estados Unidos</w:t>
      </w:r>
      <w:r>
        <w:rPr>
          <w:rFonts w:ascii="Times New Roman" w:eastAsia="Times New Roman" w:hAnsi="Times New Roman" w:cs="Times New Roman"/>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del sistema de vigilancia ECHELON</w:t>
      </w:r>
      <w:r>
        <w:rPr>
          <w:rFonts w:ascii="Times New Roman" w:eastAsia="Times New Roman" w:hAnsi="Times New Roman" w:cs="Times New Roman"/>
          <w:sz w:val="24"/>
          <w:szCs w:val="24"/>
          <w:vertAlign w:val="superscript"/>
        </w:rPr>
        <w:footnoteReference w:id="7"/>
      </w:r>
      <w:r>
        <w:rPr>
          <w:rFonts w:ascii="Times New Roman" w:eastAsia="Times New Roman" w:hAnsi="Times New Roman" w:cs="Times New Roman"/>
          <w:sz w:val="24"/>
          <w:szCs w:val="24"/>
        </w:rPr>
        <w:t xml:space="preserv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servicios de inteligencia de Reino Unido poseen un complejo entramado institucional, ya que se encuentra compuesto por diversos organismos. Cuenta con comités que son dependientes al primer ministro, departamentos ministeriales también conectados con el primer ministro a través del Gabinete ministerial de los Servicios de Inteligencia.  Asimismo, encontramos otros servicios de inteligencia como pueden ser el MI6 (Servicio Secreto de Inteligencia), el MI5 (Inteligencia interior) y la inteligencia militar.</w:t>
      </w:r>
    </w:p>
    <w:p w:rsidR="00EB6FB2" w:rsidRDefault="00EB6FB2" w:rsidP="00EB6FB2">
      <w:pPr>
        <w:pStyle w:val="Normal1"/>
        <w:shd w:val="clear" w:color="auto" w:fill="FFFFFF"/>
        <w:spacing w:before="280" w:after="24" w:line="360" w:lineRule="auto"/>
        <w:ind w:left="24"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servicios de inteligencia británicos se encuentran regulados en los Security </w:t>
      </w:r>
      <w:r>
        <w:rPr>
          <w:rFonts w:ascii="Times New Roman" w:eastAsia="Times New Roman" w:hAnsi="Times New Roman" w:cs="Times New Roman"/>
          <w:sz w:val="24"/>
          <w:szCs w:val="24"/>
        </w:rPr>
        <w:lastRenderedPageBreak/>
        <w:t xml:space="preserve">Service </w:t>
      </w:r>
      <w:proofErr w:type="spellStart"/>
      <w:r>
        <w:rPr>
          <w:rFonts w:ascii="Times New Roman" w:eastAsia="Times New Roman" w:hAnsi="Times New Roman" w:cs="Times New Roman"/>
          <w:sz w:val="24"/>
          <w:szCs w:val="24"/>
        </w:rPr>
        <w:t>Act</w:t>
      </w:r>
      <w:proofErr w:type="spellEnd"/>
      <w:r>
        <w:rPr>
          <w:rFonts w:ascii="Times New Roman" w:eastAsia="Times New Roman" w:hAnsi="Times New Roman" w:cs="Times New Roman"/>
          <w:sz w:val="24"/>
          <w:szCs w:val="24"/>
        </w:rPr>
        <w:t xml:space="preserve"> de 1989</w:t>
      </w:r>
      <w:r>
        <w:rPr>
          <w:rFonts w:ascii="Times New Roman" w:eastAsia="Times New Roman" w:hAnsi="Times New Roman" w:cs="Times New Roman"/>
          <w:sz w:val="24"/>
          <w:szCs w:val="24"/>
          <w:vertAlign w:val="superscript"/>
        </w:rPr>
        <w:footnoteReference w:id="8"/>
      </w:r>
      <w:r>
        <w:rPr>
          <w:rFonts w:ascii="Times New Roman" w:eastAsia="Times New Roman" w:hAnsi="Times New Roman" w:cs="Times New Roman"/>
          <w:sz w:val="24"/>
          <w:szCs w:val="24"/>
        </w:rPr>
        <w:t xml:space="preserve">. De interesante significado es la </w:t>
      </w:r>
      <w:proofErr w:type="spellStart"/>
      <w:r>
        <w:rPr>
          <w:rFonts w:ascii="Times New Roman" w:eastAsia="Times New Roman" w:hAnsi="Times New Roman" w:cs="Times New Roman"/>
          <w:sz w:val="24"/>
          <w:szCs w:val="24"/>
        </w:rPr>
        <w:t>Intelligence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Services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Act</w:t>
      </w:r>
      <w:proofErr w:type="spellEnd"/>
      <w:r>
        <w:rPr>
          <w:rFonts w:ascii="Times New Roman" w:eastAsia="Times New Roman" w:hAnsi="Times New Roman" w:cs="Times New Roman"/>
          <w:sz w:val="24"/>
          <w:szCs w:val="24"/>
        </w:rPr>
        <w:t xml:space="preserve"> de 1994</w:t>
      </w:r>
      <w:r>
        <w:rPr>
          <w:rFonts w:ascii="Times New Roman" w:eastAsia="Times New Roman" w:hAnsi="Times New Roman" w:cs="Times New Roman"/>
          <w:sz w:val="24"/>
          <w:szCs w:val="24"/>
          <w:vertAlign w:val="superscript"/>
        </w:rPr>
        <w:footnoteReference w:id="9"/>
      </w:r>
      <w:r>
        <w:rPr>
          <w:rFonts w:ascii="Times New Roman" w:eastAsia="Times New Roman" w:hAnsi="Times New Roman" w:cs="Times New Roman"/>
          <w:sz w:val="24"/>
          <w:szCs w:val="24"/>
        </w:rPr>
        <w:t xml:space="preserve"> que introduce una directiva anual que marca los objetivos a alcanzar por los servicios de inteligencia, dicha directiva procede del Gabinete del Primer Ministro, en este sentido, existe una interesante correlación con la regulación española pues las órdenes y el control de los SI provienen de la alta esfera política.</w:t>
      </w:r>
    </w:p>
    <w:p w:rsidR="00EB6FB2" w:rsidRDefault="00EB6FB2" w:rsidP="00EB6FB2">
      <w:pPr>
        <w:pStyle w:val="Normal1"/>
        <w:shd w:val="clear" w:color="auto" w:fill="FFFFFF"/>
        <w:spacing w:before="256" w:after="24" w:line="360" w:lineRule="auto"/>
        <w:ind w:left="23"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Existe un triple control de los trabajos llevados a cabo por los servicios de inteligencia, encontramos un control administrativo del que podemos destacar como bien hemos dicho, antes un informe anual en el que se analiza la información y se marcan los objetivos a cumplir por los servicios de inteligencia. Por otro lado, hallamos una garantía judicial, de ella extraemos la existencia de un Tribunal independiente creado para investigar las demandas interpuestas por particulares en lo referente a las actuaciones de los servicios de inteligencia. Por último, está el control parlamentario que no es más que un comité parlamentario en el que se realiza un informe anual. </w:t>
      </w:r>
    </w:p>
    <w:p w:rsidR="00EB6FB2" w:rsidRDefault="00EB6FB2" w:rsidP="00EB6FB2">
      <w:pPr>
        <w:pStyle w:val="Ttulo1"/>
      </w:pPr>
      <w:bookmarkStart w:id="9" w:name="_Toc486448316"/>
      <w:r>
        <w:t>2.2. Estados Unidos</w:t>
      </w:r>
      <w:bookmarkEnd w:id="9"/>
      <w:r>
        <w:t xml:space="preserv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sistema de inteligencia estadounidense se postula como uno de los más importantes en el mundo. Los diferentes servicios de inteligencia que existen en EE.UU se introducen en una Comunidad de Inteligencia, esta se compone por 16 agencias de inteligencia que actúan de forma coordinada, para la defensa y la seguridad nacional. La Comunidad de Inteligencia recibe órdenes y es dependiente del Presidente de los Estados Unidos. Esta comunidad se creó a partir de la Orden Ejecutiva 12333</w:t>
      </w:r>
      <w:r>
        <w:rPr>
          <w:rFonts w:ascii="Times New Roman" w:eastAsia="Times New Roman" w:hAnsi="Times New Roman" w:cs="Times New Roman"/>
          <w:sz w:val="24"/>
          <w:szCs w:val="24"/>
          <w:vertAlign w:val="superscript"/>
        </w:rPr>
        <w:footnoteReference w:id="10"/>
      </w:r>
      <w:r>
        <w:rPr>
          <w:rFonts w:ascii="Times New Roman" w:eastAsia="Times New Roman" w:hAnsi="Times New Roman" w:cs="Times New Roman"/>
          <w:sz w:val="24"/>
          <w:szCs w:val="24"/>
        </w:rPr>
        <w:t xml:space="preserve"> del 4 de Diciembre de 1981, firmada por el Presidente Ronald Reagan.</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Asimismo, encontramos agencias como la CIA y el FBI, además del creciente desarrollo de la agencia NSA; la primera se ocupa de todo lo relativo a la política exterior y la contrainteligencia y la segunda se preocupa por aspectos de inteligencia </w:t>
      </w:r>
      <w:r>
        <w:rPr>
          <w:rFonts w:ascii="Times New Roman" w:eastAsia="Times New Roman" w:hAnsi="Times New Roman" w:cs="Times New Roman"/>
          <w:sz w:val="24"/>
          <w:szCs w:val="24"/>
        </w:rPr>
        <w:lastRenderedPageBreak/>
        <w:t>interior. De esto extraemos que el sistema de inteligencia en Estados Unidos se encuentra diseminado y compuesto por una gran pluralidad de agencias, pero esto no quiere decir que su organización sea deficiente ya que todas están conexas con el Gobierno central.</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Otra de las agencias de inteligencia con mayor repercusión en Estados Unidos, es la Agencia de Seguridad Nacional (NSA), su principal objetivo es la recopilación de información para velar por la seguridad el Estado. Para ello utilizan diversas técnicas como, especialistas criptográficos, lingüistas, hackers, expertos en aparatos de escuchas y video, etc. Esta agencia recaba información de cualquier soporte y de cualquier materia, todo con el fin de asegurar la defensa del Estado. Reciente es el escándalo del Caso Snowden, en el que se ve envuelta esta agencia, por extraer una inmensa cantidad de información personal de soportes privados.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Ahora bien la agencia que más interés despierta es la CIA (Agencia Central de Inteligencia), que como bien hemos dicho antes se encarga de la defensa exterior y de la contrainteligencia</w:t>
      </w:r>
      <w:r>
        <w:rPr>
          <w:rFonts w:ascii="Times New Roman" w:eastAsia="Times New Roman" w:hAnsi="Times New Roman" w:cs="Times New Roman"/>
          <w:sz w:val="24"/>
          <w:szCs w:val="24"/>
          <w:vertAlign w:val="superscript"/>
        </w:rPr>
        <w:footnoteReference w:id="11"/>
      </w:r>
      <w:r>
        <w:rPr>
          <w:rFonts w:ascii="Times New Roman" w:eastAsia="Times New Roman" w:hAnsi="Times New Roman" w:cs="Times New Roman"/>
          <w:sz w:val="24"/>
          <w:szCs w:val="24"/>
        </w:rPr>
        <w:t xml:space="preserve">. Fue creada a partir de la Ley de Seguridad Nacional de 1947 firmada por el Presidente Truman. Se considera a la CIA como una agencia independiente puesto que orienta, sin control previo, al Presidente.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concretar las actividades que deben llevar a cabo la CIA debemos de analizar la Orden Ejecutiva 12333, extraemos de dicha orden que la CIA tiene vetado reunir información sobre la intimidad de los americanos pues su verdadero objetivo, y así lo impone la orden, es analizar inteligencia extranjera. Solo podrían recabar información de los ciudadanos estadounidenses si se trata de una actuación autorizada, siempre que exista la posibilidad de que un individuo realice actos u operaciones que puedan suponer una amenaza para el Estado.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Respecto al control ejecutivo de las actividades de la CIA se realiza a través del Consejo de Seguridad Nacional, sin embargo, el control parlamentario se desarrolla ante </w:t>
      </w:r>
      <w:r>
        <w:rPr>
          <w:rFonts w:ascii="Times New Roman" w:eastAsia="Times New Roman" w:hAnsi="Times New Roman" w:cs="Times New Roman"/>
          <w:sz w:val="24"/>
          <w:szCs w:val="24"/>
        </w:rPr>
        <w:lastRenderedPageBreak/>
        <w:t xml:space="preserve">un Comité de Inteligencia. El primero es más significativo puesto que el Consejo de Seguridad de Nacional está integrado por el Presidente, el Vicepresidente, el Secretario de Defensa y el Secretario de Estado. El Consejo determina las actuaciones que deben de desarrollar o ejecutar la CIA. </w:t>
      </w:r>
    </w:p>
    <w:p w:rsidR="00EB6FB2" w:rsidRDefault="00EB6FB2" w:rsidP="00EB6FB2">
      <w:pPr>
        <w:pStyle w:val="Ttulo1"/>
      </w:pPr>
      <w:bookmarkStart w:id="10" w:name="_Toc486448317"/>
      <w:r>
        <w:t>3. EL CENTRO NACIONAL DE INTELIGENCIA.</w:t>
      </w:r>
      <w:bookmarkEnd w:id="10"/>
      <w:r>
        <w:t xml:space="preserv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conocer de forma exacta y analizar el funcionamiento del Centro Nacional de Inteligencia es correcto estudiar los antecedentes históricos y legislativos de este organismo, pues hasta su nacimiento muchos fueron los organismos y regulaciones que quedaron atrás, pero que sirvieron para confeccionar un sistema de inteligencia más completo.</w:t>
      </w:r>
    </w:p>
    <w:p w:rsidR="00EB6FB2" w:rsidRDefault="00EB6FB2" w:rsidP="00EB6FB2">
      <w:pPr>
        <w:pStyle w:val="Ttulo1"/>
      </w:pPr>
      <w:bookmarkStart w:id="11" w:name="_Toc486448318"/>
      <w:r>
        <w:t>3.1. Antecedentes Históricos.</w:t>
      </w:r>
      <w:bookmarkEnd w:id="11"/>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antecedentes que existen sobre los servicios de inteligencia en España son de difícil análisis puesto que de ellos solo tenemos actuaciones concretas sin prolongación en el tiempo. Así el primer antecedente que encontramos es el </w:t>
      </w:r>
      <w:r>
        <w:rPr>
          <w:rFonts w:ascii="Times New Roman" w:eastAsia="Times New Roman" w:hAnsi="Times New Roman" w:cs="Times New Roman"/>
          <w:i/>
          <w:sz w:val="24"/>
          <w:szCs w:val="24"/>
        </w:rPr>
        <w:t>Circulo 30</w:t>
      </w:r>
      <w:r>
        <w:rPr>
          <w:rFonts w:ascii="Times New Roman" w:eastAsia="Times New Roman" w:hAnsi="Times New Roman" w:cs="Times New Roman"/>
          <w:i/>
          <w:sz w:val="24"/>
          <w:szCs w:val="24"/>
          <w:vertAlign w:val="superscript"/>
        </w:rPr>
        <w:footnoteReference w:id="12"/>
      </w:r>
      <w:r>
        <w:rPr>
          <w:rFonts w:ascii="Times New Roman" w:eastAsia="Times New Roman" w:hAnsi="Times New Roman" w:cs="Times New Roman"/>
          <w:sz w:val="24"/>
          <w:szCs w:val="24"/>
        </w:rPr>
        <w:t xml:space="preserve"> en la época de Primo de Rivera, su principal función era obtener información del Riff africano para que el gobierno español tuviera conocimiento de lo que estaba sucediendo.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Tras la guerra civil, se crearon hasta 8 servicios de inteligencia. Este incremento de organismos dedicados a la inteligencia, tuvo como consecuencia principal una masificación del sector, que provoco una total descoordinación, entre ellos destacamos: el </w:t>
      </w:r>
      <w:r>
        <w:rPr>
          <w:rFonts w:ascii="Times New Roman" w:eastAsia="Times New Roman" w:hAnsi="Times New Roman" w:cs="Times New Roman"/>
          <w:i/>
          <w:sz w:val="24"/>
          <w:szCs w:val="24"/>
        </w:rPr>
        <w:t>Servicio de Información del Movimiento</w:t>
      </w:r>
      <w:r>
        <w:rPr>
          <w:rFonts w:ascii="Times New Roman" w:eastAsia="Times New Roman" w:hAnsi="Times New Roman" w:cs="Times New Roman"/>
          <w:sz w:val="24"/>
          <w:szCs w:val="24"/>
        </w:rPr>
        <w:t xml:space="preserve">, el </w:t>
      </w:r>
      <w:r>
        <w:rPr>
          <w:rFonts w:ascii="Times New Roman" w:eastAsia="Times New Roman" w:hAnsi="Times New Roman" w:cs="Times New Roman"/>
          <w:i/>
          <w:sz w:val="24"/>
          <w:szCs w:val="24"/>
        </w:rPr>
        <w:t>Servicio de Inteligencia Exterior y Contrainteligencia</w:t>
      </w:r>
      <w:r>
        <w:rPr>
          <w:rFonts w:ascii="Times New Roman" w:eastAsia="Times New Roman" w:hAnsi="Times New Roman" w:cs="Times New Roman"/>
          <w:sz w:val="24"/>
          <w:szCs w:val="24"/>
        </w:rPr>
        <w:t xml:space="preserve"> y el </w:t>
      </w:r>
      <w:r>
        <w:rPr>
          <w:rFonts w:ascii="Times New Roman" w:eastAsia="Times New Roman" w:hAnsi="Times New Roman" w:cs="Times New Roman"/>
          <w:i/>
          <w:sz w:val="24"/>
          <w:szCs w:val="24"/>
        </w:rPr>
        <w:t>Servicio Central de Documentación</w:t>
      </w:r>
      <w:r>
        <w:rPr>
          <w:rFonts w:ascii="Times New Roman" w:eastAsia="Times New Roman" w:hAnsi="Times New Roman" w:cs="Times New Roman"/>
          <w:sz w:val="24"/>
          <w:szCs w:val="24"/>
        </w:rPr>
        <w:t xml:space="preserve"> (SECED).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esta etapa de la historia de los servicios de inteligencia en España podemos determinar que el SECED fue el primer precedente de lo que conocemos como CESID </w:t>
      </w:r>
      <w:r>
        <w:rPr>
          <w:rFonts w:ascii="Times New Roman" w:eastAsia="Times New Roman" w:hAnsi="Times New Roman" w:cs="Times New Roman"/>
          <w:sz w:val="24"/>
          <w:szCs w:val="24"/>
        </w:rPr>
        <w:lastRenderedPageBreak/>
        <w:t>(Centro Superior de Información y Defensa). El SECED fue un servicio de inteligencia policial-militar que tenía como función principal el espionaje político a nivel interno y la lucha contra el terrorismo, además eran dependientes del Almirante Carrero Blanco. La operación más relevante que llevó a cabo el SECED fue la operación Lobo</w:t>
      </w:r>
      <w:r>
        <w:rPr>
          <w:rFonts w:ascii="Times New Roman" w:eastAsia="Times New Roman" w:hAnsi="Times New Roman" w:cs="Times New Roman"/>
          <w:sz w:val="24"/>
          <w:szCs w:val="24"/>
          <w:vertAlign w:val="superscript"/>
        </w:rPr>
        <w:footnoteReference w:id="13"/>
      </w:r>
      <w:r>
        <w:rPr>
          <w:rFonts w:ascii="Times New Roman" w:eastAsia="Times New Roman" w:hAnsi="Times New Roman" w:cs="Times New Roman"/>
          <w:sz w:val="24"/>
          <w:szCs w:val="24"/>
        </w:rPr>
        <w:t xml:space="preserve">, en la que Mikel </w:t>
      </w:r>
      <w:proofErr w:type="spellStart"/>
      <w:r>
        <w:rPr>
          <w:rFonts w:ascii="Times New Roman" w:eastAsia="Times New Roman" w:hAnsi="Times New Roman" w:cs="Times New Roman"/>
          <w:sz w:val="24"/>
          <w:szCs w:val="24"/>
        </w:rPr>
        <w:t>Lejarza</w:t>
      </w:r>
      <w:proofErr w:type="spellEnd"/>
      <w:r>
        <w:rPr>
          <w:rFonts w:ascii="Times New Roman" w:eastAsia="Times New Roman" w:hAnsi="Times New Roman" w:cs="Times New Roman"/>
          <w:sz w:val="24"/>
          <w:szCs w:val="24"/>
        </w:rPr>
        <w:t xml:space="preserve"> se infiltró para terminar con una cuarta parte de la banda terrorista ETA.</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Acabada la guerra civil y la etapa franquista, el nuevo presidente Adolfo Suárez decidió realizar una reforma del sistema de inteligencia. Para ello suprimió al SECED y creó un único servicio de inteligencia que englobara la contrainteligencia, la política exterior e interior, hablamos del CESID. Dependía jerárquicamente del Ministerio de Defensa y fue aprobado a través del Real Decreto 1558/77.</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CESID fue considerado como uno de los servicios de inteligencia más trascendental del mundo, ya que estuvo presente en más de 50 países, además intercambiaba información con otros servicios de inteligencia. Al igual que otros importantes servicios de inteligencia, el CESID se encargaba de recabar y analizar la información necesaria para ponerla a disposición del Gobierno para la toma de decisiones.</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Tras el 23-F, se detectó un error normativo en el CESID y en el conjunto de la inteligencia española, ya que tenían prohibido el conocimiento sobre la política militar, hecho que podría haber evitado el intento de golpe de estado. Con la Orden Ministerial 135/1982 se redefine el CESID como un órgano del Presidente de Gobierno e instituye la coordinación con los servicios de inteligencia militar.</w:t>
      </w:r>
    </w:p>
    <w:p w:rsidR="00EB6FB2" w:rsidRDefault="00EB6FB2" w:rsidP="00EB6FB2">
      <w:pPr>
        <w:pStyle w:val="Ttulo1"/>
      </w:pPr>
      <w:bookmarkStart w:id="12" w:name="_Toc486448319"/>
      <w:r>
        <w:t>3.2. Antecedentes legislativos.</w:t>
      </w:r>
      <w:bookmarkEnd w:id="12"/>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Realmente de lo que hablamos es de una normativa con carácter reglamentario, desde el Real Decreto 1558/77 el cual implanta el Ministerio de Defensa e introduce dentro de este al CESID, hasta el Real Decreto 726//81 que define los objetivos del </w:t>
      </w:r>
      <w:r>
        <w:rPr>
          <w:rFonts w:ascii="Times New Roman" w:eastAsia="Times New Roman" w:hAnsi="Times New Roman" w:cs="Times New Roman"/>
          <w:sz w:val="24"/>
          <w:szCs w:val="24"/>
        </w:rPr>
        <w:lastRenderedPageBreak/>
        <w:t>CESID. Toda la regulación es reglamentaria exceptuando el Estatuto del personal de los SI que fue regulado a través de una ley.</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tipo de regulación supuso una serie de consecuencias que hacían patente que la regulación existente hasta la creación del CNI se centralizaba en el Ministerio de Defensa. Podemos hablar de tres consecuencias:</w:t>
      </w:r>
    </w:p>
    <w:p w:rsidR="00EB6FB2" w:rsidRDefault="00EB6FB2" w:rsidP="00EB6FB2">
      <w:pPr>
        <w:pStyle w:val="Normal1"/>
        <w:numPr>
          <w:ilvl w:val="0"/>
          <w:numId w:val="5"/>
        </w:numPr>
        <w:spacing w:after="0" w:line="360" w:lineRule="auto"/>
        <w:ind w:hanging="360"/>
        <w:contextualSpacing/>
        <w:jc w:val="both"/>
        <w:rPr>
          <w:sz w:val="24"/>
          <w:szCs w:val="24"/>
        </w:rPr>
      </w:pPr>
      <w:r>
        <w:rPr>
          <w:rFonts w:ascii="Times New Roman" w:eastAsia="Times New Roman" w:hAnsi="Times New Roman" w:cs="Times New Roman"/>
          <w:sz w:val="24"/>
          <w:szCs w:val="24"/>
        </w:rPr>
        <w:t>El CESID o el sistema de inteligencia de ese momento no hacía una diferenciación entre políticas de interior y exterior, sino que se centraban en la inteligencia interna. Sin embargo, la mayoría de estados dividían los sectores de actividad de los SI entre exterior e interior.</w:t>
      </w:r>
    </w:p>
    <w:p w:rsidR="00EB6FB2" w:rsidRDefault="00EB6FB2" w:rsidP="00EB6FB2">
      <w:pPr>
        <w:pStyle w:val="Normal1"/>
        <w:numPr>
          <w:ilvl w:val="0"/>
          <w:numId w:val="5"/>
        </w:numPr>
        <w:spacing w:after="0" w:line="360" w:lineRule="auto"/>
        <w:ind w:hanging="360"/>
        <w:contextualSpacing/>
        <w:jc w:val="both"/>
        <w:rPr>
          <w:sz w:val="24"/>
          <w:szCs w:val="24"/>
        </w:rPr>
      </w:pPr>
      <w:r>
        <w:rPr>
          <w:rFonts w:ascii="Times New Roman" w:eastAsia="Times New Roman" w:hAnsi="Times New Roman" w:cs="Times New Roman"/>
          <w:sz w:val="24"/>
          <w:szCs w:val="24"/>
        </w:rPr>
        <w:t>España, en la Transición, buscaba una evolución de los servicios de inteligencia, pero la creación de CESID no supuso una verdadera reforma de ellos, el objetivo del nacimiento del CESID era darle una nueva orientación a los servicios secretos españoles debido a la aparición de nuevas amenazas.</w:t>
      </w:r>
    </w:p>
    <w:p w:rsidR="00EB6FB2" w:rsidRPr="00F84099" w:rsidRDefault="00EB6FB2" w:rsidP="00EB6FB2">
      <w:pPr>
        <w:pStyle w:val="Normal1"/>
        <w:numPr>
          <w:ilvl w:val="0"/>
          <w:numId w:val="5"/>
        </w:numPr>
        <w:spacing w:after="0" w:line="360" w:lineRule="auto"/>
        <w:ind w:hanging="360"/>
        <w:contextualSpacing/>
        <w:jc w:val="both"/>
        <w:rPr>
          <w:sz w:val="24"/>
          <w:szCs w:val="24"/>
        </w:rPr>
      </w:pPr>
      <w:r>
        <w:rPr>
          <w:rFonts w:ascii="Times New Roman" w:eastAsia="Times New Roman" w:hAnsi="Times New Roman" w:cs="Times New Roman"/>
          <w:sz w:val="24"/>
          <w:szCs w:val="24"/>
        </w:rPr>
        <w:t>Por último, la regulación existente en el momento era deficiente y desorganizada, esto añadía un problema más a la defensa nacional, era necesaria una regulación unitaria para mejorar la situación de los servicios de inteligencia.</w:t>
      </w:r>
    </w:p>
    <w:p w:rsidR="00EB6FB2" w:rsidRDefault="00EB6FB2" w:rsidP="00EB6FB2">
      <w:pPr>
        <w:pStyle w:val="Normal1"/>
        <w:spacing w:after="0" w:line="360" w:lineRule="auto"/>
        <w:ind w:left="360"/>
        <w:contextualSpacing/>
        <w:jc w:val="both"/>
        <w:rPr>
          <w:sz w:val="24"/>
          <w:szCs w:val="24"/>
        </w:rPr>
      </w:pPr>
    </w:p>
    <w:p w:rsidR="00EB6FB2" w:rsidRDefault="00EB6FB2" w:rsidP="00EB6FB2">
      <w:pPr>
        <w:pStyle w:val="Normal1"/>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lo tanto, se hacía evidente la necesidad de darle un giro a la figura de los servicios de inteligencia en España, era necesario una verdadera reforma del sistema y una regulación completa y firme. El indudable intento de cambio en el sistema de inteligencia español, más en concreto el CESID, se plasmó con el proyecto de </w:t>
      </w:r>
      <w:r>
        <w:rPr>
          <w:rFonts w:ascii="Times New Roman" w:eastAsia="Times New Roman" w:hAnsi="Times New Roman" w:cs="Times New Roman"/>
          <w:i/>
          <w:sz w:val="24"/>
          <w:szCs w:val="24"/>
        </w:rPr>
        <w:t>Ley ordinaria reguladora del Centro Nacional de Inteligencia</w:t>
      </w:r>
      <w:r>
        <w:rPr>
          <w:rFonts w:ascii="Times New Roman" w:eastAsia="Times New Roman" w:hAnsi="Times New Roman" w:cs="Times New Roman"/>
          <w:sz w:val="24"/>
          <w:szCs w:val="24"/>
        </w:rPr>
        <w:t xml:space="preserve">, y con el proyecto de </w:t>
      </w:r>
      <w:r>
        <w:rPr>
          <w:rFonts w:ascii="Times New Roman" w:eastAsia="Times New Roman" w:hAnsi="Times New Roman" w:cs="Times New Roman"/>
          <w:i/>
          <w:sz w:val="24"/>
          <w:szCs w:val="24"/>
        </w:rPr>
        <w:t>Ley orgánica reguladora del control judicial previo a la actuación de los servicios de inteligencia</w:t>
      </w:r>
      <w:r>
        <w:rPr>
          <w:rFonts w:ascii="Times New Roman" w:eastAsia="Times New Roman" w:hAnsi="Times New Roman" w:cs="Times New Roman"/>
          <w:sz w:val="24"/>
          <w:szCs w:val="24"/>
        </w:rPr>
        <w:t>.</w:t>
      </w:r>
    </w:p>
    <w:p w:rsidR="00EB6FB2" w:rsidRDefault="00EB6FB2" w:rsidP="00EB6FB2">
      <w:pPr>
        <w:pStyle w:val="Ttulo1"/>
      </w:pPr>
      <w:bookmarkStart w:id="13" w:name="_Toc486448320"/>
      <w:r>
        <w:t>3.3. La creación del Centro Nacional de Inteligencia (CNI).</w:t>
      </w:r>
      <w:bookmarkEnd w:id="13"/>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Ley 11/2002, de 6 de mayo, reguladora del Centro Nacional de Inteligencia, completó el vacío legal que existía en el sistema de la inteligencia en España y le dio a los servicios de inteligencia una serie de funciones necesarias hasta al momento. Sin </w:t>
      </w:r>
      <w:r>
        <w:rPr>
          <w:rFonts w:ascii="Times New Roman" w:eastAsia="Times New Roman" w:hAnsi="Times New Roman" w:cs="Times New Roman"/>
          <w:sz w:val="24"/>
          <w:szCs w:val="24"/>
        </w:rPr>
        <w:lastRenderedPageBreak/>
        <w:t>embargo, esta nueva normativa posee conceptos indeterminados que permite la discrecionalidad del Gobierno pudiendo completar con sus decisiones la imprecisión de la ley. La regulación es completada con la Ley Orgánica 2/2002, de 6 de mayo, reguladora del control judicial previo del Centro Nacional de Inteligencia, no obstante, la regulación del control judicial previo a las actuaciones de los servicios de inteligencia es escueta y básica.</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la nueva regulación se considera al Centro Nacional de Inteligencia como un ente o una agencia independiente, aun adscrita al Ministerio de Defensa. El CNI posee una estructura unitaria, ya que no hace división entre política de interior, exterior y militar, como sí hace otros países de nuestro entorno.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Que los servicios de inteligencia españoles posean una organización unitaria presenta más inconvenientes que ventajas. Este </w:t>
      </w:r>
      <w:r w:rsidRPr="00892D16">
        <w:rPr>
          <w:rFonts w:ascii="Times New Roman" w:eastAsia="Times New Roman" w:hAnsi="Times New Roman" w:cs="Times New Roman"/>
          <w:b/>
          <w:sz w:val="24"/>
          <w:szCs w:val="24"/>
        </w:rPr>
        <w:t>carácter unitario</w:t>
      </w:r>
      <w:r>
        <w:rPr>
          <w:rFonts w:ascii="Times New Roman" w:eastAsia="Times New Roman" w:hAnsi="Times New Roman" w:cs="Times New Roman"/>
          <w:sz w:val="24"/>
          <w:szCs w:val="24"/>
        </w:rPr>
        <w:t xml:space="preserve"> que presenta los servicios de inteligencia españoles conlleva que el CNI tenga que dividir sus esfuerzos a la consecución de varios objetivos, como son la política interior, exterior y militar. Otra contrariedad que supone el aspecto unitario es que la disgregación de las funciones del CNI pueda conllevar una impresión de atropello y discrecionalidad, y porque no hablar de una </w:t>
      </w:r>
      <w:r w:rsidRPr="00892D16">
        <w:rPr>
          <w:rFonts w:ascii="Times New Roman" w:eastAsia="Times New Roman" w:hAnsi="Times New Roman" w:cs="Times New Roman"/>
          <w:b/>
          <w:sz w:val="24"/>
          <w:szCs w:val="24"/>
        </w:rPr>
        <w:t>militarización</w:t>
      </w:r>
      <w:r>
        <w:rPr>
          <w:rFonts w:ascii="Times New Roman" w:eastAsia="Times New Roman" w:hAnsi="Times New Roman" w:cs="Times New Roman"/>
          <w:sz w:val="24"/>
          <w:szCs w:val="24"/>
        </w:rPr>
        <w:t xml:space="preserve"> de los servicios de inteligencia.</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Hablamos de militarización de los servicios de inteligencia, debido a que la nueva regulación no se desprende en su totalidad de la tradición de mezclar los preceptos de seguridad y defensa, es decir, de integrar los servicios de inteligencia en el Ministerio de Defensa, y también de que el CNI se encargue de una materia como es la militar. Esto puede suponer un peligro si el ejército decide atentar contra el Estado, para ello, como ya venimos comentando, se hace necesario una descentralización de los tres núcleos de inteligencia, que política exterior, interior y militar se abarque por agencias distintas, pero siempre coordinadas.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causa por la que el CNI  posee un </w:t>
      </w:r>
      <w:r w:rsidRPr="003C32C2">
        <w:rPr>
          <w:rFonts w:ascii="Times New Roman" w:eastAsia="Times New Roman" w:hAnsi="Times New Roman" w:cs="Times New Roman"/>
          <w:sz w:val="24"/>
          <w:szCs w:val="24"/>
        </w:rPr>
        <w:t>carácter unitario</w:t>
      </w:r>
      <w:r>
        <w:rPr>
          <w:rFonts w:ascii="Times New Roman" w:eastAsia="Times New Roman" w:hAnsi="Times New Roman" w:cs="Times New Roman"/>
          <w:sz w:val="24"/>
          <w:szCs w:val="24"/>
        </w:rPr>
        <w:t xml:space="preserve"> reside en el principio de eficacia, es decir, debe de haber un coordinación entres las diferentes materias y funciones. Pero en España esta coordinación es complicada, por lo que se hace necesario también la existencia de un ente que presida y guíe las actuaciones del CNI, </w:t>
      </w:r>
      <w:r>
        <w:rPr>
          <w:rFonts w:ascii="Times New Roman" w:eastAsia="Times New Roman" w:hAnsi="Times New Roman" w:cs="Times New Roman"/>
          <w:sz w:val="24"/>
          <w:szCs w:val="24"/>
        </w:rPr>
        <w:lastRenderedPageBreak/>
        <w:t xml:space="preserve">para ello se crea la Comisión Delegada de Inteligencia del Estado; se compone por el Vicepresidente del Gobierno, los Ministros de defensa, exterior, interior y economía, así como los Secretarios de Estado competentes.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servicios de inteligencia españoles, tienen la competencia para actuar tanto en España como en el extranjero, pero con preferencia el CNI otorga información al Gobierno para que tome las decisiones oportunas para la defensa del Estado. Pero esta predilección no impide que nuestros servicios de inteligencia colaboren y coordinen sus actuaciones con los servicios de inteligencia de otros estados, aspecto importante para la consecución de los objetivos preestablecidos y la elusión de posibles amenazas, sobre todo tras el 11-S pues este suceso se podría haber evitado con una mayor coordinación entres los diferentes servicios de inteligencia del mundo. </w:t>
      </w:r>
    </w:p>
    <w:p w:rsidR="00EB6FB2" w:rsidRDefault="00EB6FB2" w:rsidP="00EB6FB2">
      <w:pPr>
        <w:pStyle w:val="Ttulo1"/>
      </w:pPr>
      <w:bookmarkStart w:id="14" w:name="_Toc486448321"/>
      <w:r>
        <w:t>3.4. Control judicial previo en las actuaciones del CNI.</w:t>
      </w:r>
      <w:bookmarkEnd w:id="14"/>
      <w:r>
        <w:t xml:space="preserv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servicios de inteligencia en sus actuaciones pueden verse obligados, para obtener la información necesaria en su investigación, a entrometerse en la intimidad de los ciudadanos españoles. Para llevar a cabo la intromisión es necesario una autorización previa, así lo prevé la Ley 11/2002, de 6 de mayo  que regula el Centro Nacional de Inteligencia, en su artículo 12</w:t>
      </w:r>
      <w:r>
        <w:rPr>
          <w:rFonts w:ascii="Times New Roman" w:eastAsia="Times New Roman" w:hAnsi="Times New Roman" w:cs="Times New Roman"/>
          <w:sz w:val="24"/>
          <w:szCs w:val="24"/>
          <w:vertAlign w:val="superscript"/>
        </w:rPr>
        <w:footnoteReference w:id="14"/>
      </w:r>
      <w:r>
        <w:rPr>
          <w:rFonts w:ascii="Times New Roman" w:eastAsia="Times New Roman" w:hAnsi="Times New Roman" w:cs="Times New Roman"/>
          <w:sz w:val="24"/>
          <w:szCs w:val="24"/>
        </w:rPr>
        <w:t>, que a su vez se remite a la ley 2/2002, de 6 de mayo para que realice el control judicial previo.</w:t>
      </w:r>
    </w:p>
    <w:p w:rsidR="00EB6FB2" w:rsidRDefault="00EB6FB2" w:rsidP="00EB6FB2">
      <w:pPr>
        <w:pStyle w:val="Normal1"/>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Desde 2002 las intromisiones del CNI que puedan vulnerar los derechos recogidos en el artículo 18</w:t>
      </w:r>
      <w:r>
        <w:rPr>
          <w:rFonts w:ascii="Times New Roman" w:eastAsia="Times New Roman" w:hAnsi="Times New Roman" w:cs="Times New Roman"/>
          <w:sz w:val="24"/>
          <w:szCs w:val="24"/>
          <w:vertAlign w:val="superscript"/>
        </w:rPr>
        <w:footnoteReference w:id="15"/>
      </w:r>
      <w:r>
        <w:rPr>
          <w:rFonts w:ascii="Times New Roman" w:eastAsia="Times New Roman" w:hAnsi="Times New Roman" w:cs="Times New Roman"/>
          <w:sz w:val="24"/>
          <w:szCs w:val="24"/>
        </w:rPr>
        <w:t xml:space="preserve"> CE, deberán someterse al control judicial previo, aunque realmente se trata de una autorización judicial previa. Son actividades que pueden afectar a la inviolabilidad del domicilio y al secreto de las comunicaciones. También debemos de analizar lo que señala al respecto el Convenio europeo para la protección de </w:t>
      </w:r>
      <w:r>
        <w:rPr>
          <w:rFonts w:ascii="Times New Roman" w:eastAsia="Times New Roman" w:hAnsi="Times New Roman" w:cs="Times New Roman"/>
          <w:sz w:val="24"/>
          <w:szCs w:val="24"/>
        </w:rPr>
        <w:lastRenderedPageBreak/>
        <w:t>los Derechos Humanos en su artículo 8, dice: "</w:t>
      </w:r>
      <w:r>
        <w:rPr>
          <w:rFonts w:ascii="Times New Roman" w:eastAsia="Times New Roman" w:hAnsi="Times New Roman" w:cs="Times New Roman"/>
          <w:i/>
          <w:sz w:val="24"/>
          <w:szCs w:val="24"/>
        </w:rPr>
        <w:t>No podrá haber injerencia de la autoridad pública en el ejercicio de este derecho, sino en tanto en cuanto esta injerencia esté prevista por la ley y constituya una medida que, en una sociedad democrática, sea necesaria para la seguridad nacional, la seguridad pública, el bienestar económico del país, la defensa del orden y la prevención del delito, la protección de la salud o de la moral, o la protección de los derechos y las libertades de los demás".</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lo tanto, queda claro que la intromisión de los servicios de inteligencia españoles sólo será válida y coherente cuando exista una amenaza que pueda poner en peligro la Seguridad Nacional de España. La Sentencia del Tribunal Constitucional 49/1999 considero que para la limitar los derechos fundamentales deben existir requisitos muy específicos. El control previo es responsabilidad del Poder Judicial, su principal función es seleccionar al Magistrado, este debe pertenecer al Tribunal Supremo; de la Sala segunda o tercera, que se encargue de validar o denegar las autorizaciones solicitadas por el CNI.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Respecto al proceso, el Director del Centro Nacional de Inteligencia deberá solicitar al Magistrado del Tribunal Supremo, la autorización para la adopción de las medidas oportunas que afecte al artículo 18 CE. La solicitud contendrá la concreción de las medidas que se solicitan, los hechos en los que se apoyan la solicitud y la individualización de las personas afectadas. </w:t>
      </w:r>
      <w:r>
        <w:rPr>
          <w:rFonts w:ascii="Times New Roman" w:eastAsia="Times New Roman" w:hAnsi="Times New Roman" w:cs="Times New Roman"/>
          <w:sz w:val="24"/>
          <w:szCs w:val="24"/>
          <w:vertAlign w:val="superscript"/>
        </w:rPr>
        <w:footnoteReference w:id="16"/>
      </w:r>
    </w:p>
    <w:p w:rsidR="00EB6FB2" w:rsidRDefault="00EB6FB2" w:rsidP="00EB6FB2">
      <w:pPr>
        <w:pStyle w:val="Normal1"/>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Las autorizaciones que afecten a la inviolabilidad del domicilio tendrán un plazo máximo de veinticuatro horas, mientras que los mecanismos de intervención de las comunicaciones no podrán prolongarse más de tres meses. También es sustancial señalar que el Director del CNI ordenará</w:t>
      </w:r>
      <w:r>
        <w:rPr>
          <w:rFonts w:ascii="Times New Roman" w:eastAsia="Times New Roman" w:hAnsi="Times New Roman" w:cs="Times New Roman"/>
          <w:i/>
          <w:sz w:val="24"/>
          <w:szCs w:val="24"/>
        </w:rPr>
        <w:t xml:space="preserve"> la inmediata destrucción del material obtenido en la intercepción de las comunicaciones, que no tengan ninguna relación con el fin de </w:t>
      </w:r>
      <w:r>
        <w:rPr>
          <w:rFonts w:ascii="Times New Roman" w:eastAsia="Times New Roman" w:hAnsi="Times New Roman" w:cs="Times New Roman"/>
          <w:i/>
          <w:sz w:val="24"/>
          <w:szCs w:val="24"/>
        </w:rPr>
        <w:lastRenderedPageBreak/>
        <w:t>la medida</w:t>
      </w:r>
      <w:r>
        <w:rPr>
          <w:rFonts w:ascii="Times New Roman" w:eastAsia="Times New Roman" w:hAnsi="Times New Roman" w:cs="Times New Roman"/>
          <w:i/>
          <w:sz w:val="24"/>
          <w:szCs w:val="24"/>
          <w:vertAlign w:val="superscript"/>
        </w:rPr>
        <w:footnoteReference w:id="17"/>
      </w:r>
      <w:r>
        <w:rPr>
          <w:rFonts w:ascii="Times New Roman" w:eastAsia="Times New Roman" w:hAnsi="Times New Roman" w:cs="Times New Roman"/>
          <w:i/>
          <w:sz w:val="24"/>
          <w:szCs w:val="24"/>
        </w:rPr>
        <w:t>.</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 algo hay que reseñar de la regulación existente sobre el control judicial al que se someten las actuaciones de los servicios de inteligencia (CNI), no es otra que esta sigue siendo incompleta, ya que si el propio "Jefe de espías" es el que debe decidir si solicitar la autorización y si destruir el resto del material obtenido, queda claro entonces que la regulación resulta bastante discrecional y arbitraria. También puede resultar impropio que un solo juez decida sobre la autorización, pues puede llegar a entenderse que el CNI tiene su propio Magistrado y que solo existe solo uno especializado en la materia. </w:t>
      </w:r>
    </w:p>
    <w:p w:rsidR="00EB6FB2" w:rsidRDefault="00EB6FB2" w:rsidP="00EB6FB2">
      <w:pPr>
        <w:pStyle w:val="Ttulo1"/>
      </w:pPr>
      <w:bookmarkStart w:id="15" w:name="_Toc486448322"/>
      <w:r>
        <w:t>4. LA REGULACIÓN DE LOS SECRETOS DE ESTADO.</w:t>
      </w:r>
      <w:bookmarkEnd w:id="15"/>
    </w:p>
    <w:p w:rsidR="00EB6FB2" w:rsidRDefault="00EB6FB2" w:rsidP="00EB6FB2">
      <w:pPr>
        <w:pStyle w:val="Ttulo1"/>
      </w:pPr>
      <w:bookmarkStart w:id="16" w:name="_Toc486448323"/>
      <w:r>
        <w:t>4.1. Introducción.</w:t>
      </w:r>
      <w:bookmarkEnd w:id="16"/>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Que los servicios de inteligencia tenga un carácter "secreto" no significa que estos intente ocultar operaciones ilícitas que puedan atentar contra los derechos fundamentales, ese secretismo es más bien para asegurar que la información extraída de sus actuaciones no sea conocida por aquellas personas, que en su poder, pueda suponer una amenaza para el Estado, por lo tanto el secretismo de la operaciones tiene como fundamento el buen fin de las operaciones de los SI, y en consecuencia la protección de la defensa del Estado.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 embargo, esa confidencialidad a la que están sujetos los SI supone en la sociedad una incertidumbre, sobre todo cuando estos entran en la esfera personal de los ciudadanos, siempre queda esa duda de lo que conocen, cómo utilizan esa información y que control tiene. Por lo que podemos hablar de un respeto o sumisión de la sociedad hacia los servicios de inteligencia. Quien maneja esa información posee un gran poder y </w:t>
      </w:r>
      <w:r>
        <w:rPr>
          <w:rFonts w:ascii="Times New Roman" w:eastAsia="Times New Roman" w:hAnsi="Times New Roman" w:cs="Times New Roman"/>
          <w:sz w:val="24"/>
          <w:szCs w:val="24"/>
        </w:rPr>
        <w:lastRenderedPageBreak/>
        <w:t>en contra, nos coloca a nosotros en una posición de desamparo.</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los sistemas constitucionales la información clasificada está sometida a un control ya sea parlamentario o judicial, ya que si el Estado hace pública la información obtenida pueden verse comprometidos los derechos fundamentales de los ciudadanos. Es evidente que entra en conflicto el secreto de estado y el principio de publicidad. </w:t>
      </w:r>
    </w:p>
    <w:p w:rsidR="00EB6FB2" w:rsidRDefault="00EB6FB2" w:rsidP="00EB6FB2">
      <w:pPr>
        <w:pStyle w:val="Ttulo1"/>
      </w:pPr>
      <w:bookmarkStart w:id="17" w:name="_Toc486448324"/>
      <w:r>
        <w:t>4.2. El Control de los secretos oficiales.</w:t>
      </w:r>
      <w:bookmarkEnd w:id="17"/>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hemos comentado antes aunque las actuaciones de los servicios de inteligencia estén sujetas al puro secretismo, esto no quiere decir que no tenga un control, pues es oportuno para el mantenimiento de los derechos y libertades de los ciudadanos. Quiere decir esto que cierta información obtenida por los SI no tendrá una igual divulgación que sí podría tener otras materias. Por lo tanto el acceso público es muy restringido para el resto de las personas.</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Sí tendrán acceso a los secretos oficiales el Congreso de los Diputados y el Senado, pero siempre siguiendo el procedimiento previsto en los reglamentos, como así lo prevé el artículo 10.2 de la Ley de Secretos Oficiales. Hablamos aquí de un control parlamentario, el propio Reglamento del Congreso lo reconoce diciendo que tanto los parlamentarios como los grupos parlamentarios tienen competencia para conocer la información de las oportunas Administraciones Públicas para el mejor cumplimiento de sus funciones. Pero no siempre tendrán acceso a la información secreta todos los parlamentarios, cuando la información es considerada como un secreto oficial solo podrán solicitar su conocimiento los Grupos Parlamentarios que representen una cuarta parte de la Cámara, así lo prevé el artículo 8 LSO.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Reglamento del Congreso determina el deber de los parlamentarios de guardar secreto sobre la información que conozcan y si no lo guarda prevé la correspondiente sanción, así también lo considera la Ley que regula el funcionamiento del CNI, para aquellas personas que tengan acceso a información clasificada (artículo 11.3 Ley CNI).</w:t>
      </w:r>
    </w:p>
    <w:p w:rsidR="00EB6FB2" w:rsidRDefault="00EB6FB2" w:rsidP="00EB6FB2">
      <w:pPr>
        <w:pStyle w:val="Normal1"/>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 xml:space="preserve">Cambiando de aspecto, nos concierne analizar el control judicial que recibe la información obtenida por los servicios de inteligencia. Para hablar sobre el control judicial que reciben los secretos de estado es pertinente analizar la </w:t>
      </w:r>
      <w:r>
        <w:rPr>
          <w:rFonts w:ascii="Times New Roman" w:eastAsia="Times New Roman" w:hAnsi="Times New Roman" w:cs="Times New Roman"/>
          <w:i/>
          <w:sz w:val="24"/>
          <w:szCs w:val="24"/>
        </w:rPr>
        <w:t>Sentencia del Tribunal de Conflictos de Jurisdicción de 14 de Diciembre de 1995.</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lo referente a los antecedentes de hecho, el titular del Juzgados Central de Instrucción núm. 5 de la Audiencia Nacional solicitó al Director del CESID que aportará la información necesaria para resolver veinte circunstancias relacionadas, con el requerimiento de información del CESID sobre el GAL (Grupo Terrorista de Liberación, cuyo objetivo era desarticular la banda ETA), con presuntas intervenciones ilegales de personas que conformaban los Cuerpos y Fuerzas de Seguridad y también el conocimiento de información de los servicios de inteligencia de otros países. A esto el Director del CESID en ese momento, objetó que la información solicitada era materia clasificada o mejor dicho secreto oficial.  </w:t>
      </w:r>
    </w:p>
    <w:p w:rsidR="00EB6FB2" w:rsidRDefault="00EB6FB2" w:rsidP="00EB6FB2">
      <w:pPr>
        <w:pStyle w:val="Normal1"/>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 respecto la sentencia mencionada anteriormente dice lo siguiente:</w:t>
      </w:r>
    </w:p>
    <w:p w:rsidR="00EB6FB2" w:rsidRDefault="00EB6FB2" w:rsidP="00EB6FB2">
      <w:pPr>
        <w:pStyle w:val="Normal1"/>
        <w:spacing w:line="360" w:lineRule="auto"/>
        <w:ind w:left="851" w:right="8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 de destacarse que la utilización de la técnica del secreto para sustraer a conocimiento público, o de otros órganos del Estado, incluidos los judiciales, determinadas materias que se consideran sensibles para la seguridad del Estado o para la protección de otros bienes jurídicos, es común en los países de nuestro entorno. [...] El juez de Instrucción que considere necesarios, a los fines de la investigación sumarial, determinados documentos clasificados como materia comprendida en el ámbito de la reserva de secreto oficial, no puede imponer, sin más, al Ministro responsable su entrega y aportación".</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Así pues, consideramos que esta sentencia, la cual ofreció un importante precedente en la materia, restringe el control judicial cuando este choca con la categoría de materia clasificada, como con los secretos oficiales. Pero en realidad en un Estado constitucional, que una materia sea considerada como secreto oficial no puede inferir en la función judicial, por lo tanto se hace necesario una salida a esta incierta situación, la </w:t>
      </w:r>
      <w:r>
        <w:rPr>
          <w:rFonts w:ascii="Times New Roman" w:eastAsia="Times New Roman" w:hAnsi="Times New Roman" w:cs="Times New Roman"/>
          <w:sz w:val="24"/>
          <w:szCs w:val="24"/>
        </w:rPr>
        <w:lastRenderedPageBreak/>
        <w:t xml:space="preserve">solución podría estar en seguir un procedimiento como el control parlamentario, en el que todos sus miembros pueden conocer sobre las actividades de los servicios de inteligencia, con la única limitación de no revelarla. Por ello, parece oportuno otorgar esta misma consideración al control judicial, que puedan conocer sobre las actividades del CNI, siempre que no divulguen su conocimiento. </w:t>
      </w:r>
    </w:p>
    <w:p w:rsidR="00EB6FB2" w:rsidRDefault="00EB6FB2" w:rsidP="00EB6FB2">
      <w:pPr>
        <w:pStyle w:val="Ttulo1"/>
      </w:pPr>
      <w:bookmarkStart w:id="18" w:name="_Toc486448325"/>
      <w:r>
        <w:t>5. EL DERECHO PENAL Y LOS SERVICIOS DE INTELIGENCIA.</w:t>
      </w:r>
      <w:bookmarkEnd w:id="18"/>
    </w:p>
    <w:p w:rsidR="00EB6FB2" w:rsidRDefault="00EB6FB2" w:rsidP="00EB6FB2">
      <w:pPr>
        <w:pStyle w:val="Ttulo1"/>
      </w:pPr>
      <w:bookmarkStart w:id="19" w:name="_Toc486448326"/>
      <w:r>
        <w:t>5.1. Introducción</w:t>
      </w:r>
      <w:bookmarkEnd w:id="19"/>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servicios de inteligencia en su lucha por asegurar la paz y la tranquilidad en nuestro Estado no tienen la facultad o la autorización para cometer delitos. Los actos de los SI siempre deben ceñirse a la ley, aunque pueden darse situaciones en la que las investigaciones pueden estar fuera de la legalidad, en ese caso es necesario la oportuna autorización judicial si fuera necesaria la intromisión en algún derecho de los considerados fundamentales. Las conductas de los servicios de inteligencia que se encuentre al margen de la ley se encontraran tipificadas en el Código Penal.</w:t>
      </w:r>
    </w:p>
    <w:p w:rsidR="00EB6FB2" w:rsidRDefault="00EB6FB2" w:rsidP="00EB6FB2">
      <w:pPr>
        <w:pStyle w:val="Ttulo1"/>
      </w:pPr>
      <w:bookmarkStart w:id="20" w:name="_Toc486448327"/>
      <w:r>
        <w:t>5.2. El delito de espionaje</w:t>
      </w:r>
      <w:bookmarkEnd w:id="20"/>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principal objetivo de los servicios de inteligencia es la obtención de información para facilitar al Gobierno la toma de decisiones en materia de política interior y exterior del Estado, por lo que "espiar" sería ilegítimo y vulneraría los derechos fundamentales</w:t>
      </w:r>
      <w:r>
        <w:rPr>
          <w:rFonts w:ascii="Times New Roman" w:eastAsia="Times New Roman" w:hAnsi="Times New Roman" w:cs="Times New Roman"/>
          <w:sz w:val="24"/>
          <w:szCs w:val="24"/>
          <w:vertAlign w:val="superscript"/>
        </w:rPr>
        <w:footnoteReference w:id="18"/>
      </w:r>
      <w:r>
        <w:rPr>
          <w:rFonts w:ascii="Times New Roman" w:eastAsia="Times New Roman" w:hAnsi="Times New Roman" w:cs="Times New Roman"/>
          <w:sz w:val="24"/>
          <w:szCs w:val="24"/>
        </w:rPr>
        <w:t xml:space="preserv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delito de espionaje se encuentra regulado en España en el Título XXIII del Libro II del Código Penal de 1995 en su artículo 584, "</w:t>
      </w:r>
      <w:r>
        <w:rPr>
          <w:rFonts w:ascii="Times New Roman" w:eastAsia="Times New Roman" w:hAnsi="Times New Roman" w:cs="Times New Roman"/>
          <w:i/>
          <w:sz w:val="24"/>
          <w:szCs w:val="24"/>
        </w:rPr>
        <w:t xml:space="preserve">El español que, con el propósito de favorecer a una potencia extranjera, asociación u organización internacional, se procure, se falsee, inutilice o revele información clasificada como reservada o secreta, susceptible de perjudicar la seguridad nacional, será castigado, como traidor, con la </w:t>
      </w:r>
      <w:r>
        <w:rPr>
          <w:rFonts w:ascii="Times New Roman" w:eastAsia="Times New Roman" w:hAnsi="Times New Roman" w:cs="Times New Roman"/>
          <w:i/>
          <w:sz w:val="24"/>
          <w:szCs w:val="24"/>
        </w:rPr>
        <w:lastRenderedPageBreak/>
        <w:t>pena de prisión de seis a doce años"</w:t>
      </w:r>
      <w:r>
        <w:rPr>
          <w:rFonts w:ascii="Times New Roman" w:eastAsia="Times New Roman" w:hAnsi="Times New Roman" w:cs="Times New Roman"/>
          <w:sz w:val="24"/>
          <w:szCs w:val="24"/>
        </w:rPr>
        <w:t>. Ninguna referencia hace dicho artículo a los servicios de inteligencia españoles, por lo que la cuestión está en si se les permite a estos realizar actividades de espionaje y por lo tanto no ser castigados si realizan la conducta ilícita que sanciona el artículo 584</w:t>
      </w:r>
      <w:r>
        <w:rPr>
          <w:rFonts w:ascii="Times New Roman" w:eastAsia="Times New Roman" w:hAnsi="Times New Roman" w:cs="Times New Roman"/>
          <w:sz w:val="24"/>
          <w:szCs w:val="24"/>
          <w:vertAlign w:val="superscript"/>
        </w:rPr>
        <w:footnoteReference w:id="19"/>
      </w:r>
      <w:r>
        <w:rPr>
          <w:rFonts w:ascii="Times New Roman" w:eastAsia="Times New Roman" w:hAnsi="Times New Roman" w:cs="Times New Roman"/>
          <w:sz w:val="24"/>
          <w:szCs w:val="24"/>
        </w:rPr>
        <w:t>.</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verdadera conducta del delito de espionaje, de las definidas por el artículo, es la de revelar información clasificada. Esto nos hace volver a la cuestión que nos hacíamos anteriormente, si la conducta típica del delito de espionaje es revelar información clasificada y la principal función de los servicios de inteligencia es recopilar información y analizarla para transfórmala en conocimiento para el Gobierno, ¿podemos considerar entonces que a los servicios de inteligencia se les permite vulnerar derechos fundamentales y cometer delitos para cumplir sus objetivos?.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esta pregunta podemos contestar como ejemplo con el </w:t>
      </w:r>
      <w:r>
        <w:rPr>
          <w:rFonts w:ascii="Times New Roman" w:eastAsia="Times New Roman" w:hAnsi="Times New Roman" w:cs="Times New Roman"/>
          <w:i/>
          <w:sz w:val="24"/>
          <w:szCs w:val="24"/>
        </w:rPr>
        <w:t>"caso Snowden"</w:t>
      </w:r>
      <w:r>
        <w:rPr>
          <w:rFonts w:ascii="Times New Roman" w:eastAsia="Times New Roman" w:hAnsi="Times New Roman" w:cs="Times New Roman"/>
          <w:sz w:val="24"/>
          <w:szCs w:val="24"/>
          <w:vertAlign w:val="superscript"/>
        </w:rPr>
        <w:footnoteReference w:id="20"/>
      </w:r>
      <w:r>
        <w:rPr>
          <w:rFonts w:ascii="Times New Roman" w:eastAsia="Times New Roman" w:hAnsi="Times New Roman" w:cs="Times New Roman"/>
          <w:sz w:val="24"/>
          <w:szCs w:val="24"/>
        </w:rPr>
        <w:t>.  Edward Joseph Snowden, antiguo empleado de la CIA, divulgó a través de varios periódicos documentos clasificados en los que se revelaba la existencia de un programa llamado PRISM</w:t>
      </w:r>
      <w:r>
        <w:rPr>
          <w:rFonts w:ascii="Times New Roman" w:eastAsia="Times New Roman" w:hAnsi="Times New Roman" w:cs="Times New Roman"/>
          <w:sz w:val="24"/>
          <w:szCs w:val="24"/>
          <w:vertAlign w:val="superscript"/>
        </w:rPr>
        <w:footnoteReference w:id="21"/>
      </w:r>
      <w:r>
        <w:rPr>
          <w:rFonts w:ascii="Times New Roman" w:eastAsia="Times New Roman" w:hAnsi="Times New Roman" w:cs="Times New Roman"/>
          <w:sz w:val="24"/>
          <w:szCs w:val="24"/>
        </w:rPr>
        <w:t xml:space="preserve">, dicho programa tenía acceso a datos telefónicos y a servidores de internet, conociendo la información íntima de millones de estadounidenses. El Gobierno además de acusar a Snowden de espionaje, justificó su propio espionaje como un mecanismo para la lucha contra el terrorismo.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relación al delito de espionaje, muy común a los servicios de inteligencia de todo el mundo, observamos varias conclusiones, entre ellas que se permite a los SI actuar al margen de la ley no siendo castigados por sus actuaciones y pudiendo cometer delitos (como el de espionaje). Además, en el "espionaje" podemos afirmar que entra en juego </w:t>
      </w:r>
      <w:r w:rsidRPr="00D374ED">
        <w:rPr>
          <w:rFonts w:ascii="Times New Roman" w:eastAsia="Times New Roman" w:hAnsi="Times New Roman" w:cs="Times New Roman"/>
          <w:b/>
          <w:sz w:val="24"/>
          <w:szCs w:val="24"/>
        </w:rPr>
        <w:t>el</w:t>
      </w:r>
      <w:r>
        <w:rPr>
          <w:rFonts w:ascii="Times New Roman" w:eastAsia="Times New Roman" w:hAnsi="Times New Roman" w:cs="Times New Roman"/>
          <w:sz w:val="24"/>
          <w:szCs w:val="24"/>
        </w:rPr>
        <w:t xml:space="preserve"> </w:t>
      </w:r>
      <w:r w:rsidRPr="00D374ED">
        <w:rPr>
          <w:rFonts w:ascii="Times New Roman" w:eastAsia="Times New Roman" w:hAnsi="Times New Roman" w:cs="Times New Roman"/>
          <w:b/>
          <w:sz w:val="24"/>
          <w:szCs w:val="24"/>
        </w:rPr>
        <w:t>estado de necesidad</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esta justificación es utilizada por los SI, como un mecanismo que busca otorgar una total seguridad al Estado frente posibles ataques, por </w:t>
      </w:r>
      <w:r>
        <w:rPr>
          <w:rFonts w:ascii="Times New Roman" w:eastAsia="Times New Roman" w:hAnsi="Times New Roman" w:cs="Times New Roman"/>
          <w:sz w:val="24"/>
          <w:szCs w:val="24"/>
        </w:rPr>
        <w:lastRenderedPageBreak/>
        <w:t xml:space="preserve">ello los SI consideran el espionaje como la técnica más eficiente para conseguir la seguridad de nuestro Estado. Otra de las conclusiones a  la que llegamos es la vulneración de los derechos fundamentales por los servicios de inteligencia, en el caso comentado anteriormente se vulnera de forma categórica el Derecho al honor, a la intimidad y a la propia imagen. </w:t>
      </w:r>
    </w:p>
    <w:p w:rsidR="00EB6FB2" w:rsidRDefault="00EB6FB2" w:rsidP="00EB6FB2">
      <w:pPr>
        <w:pStyle w:val="Ttulo1"/>
      </w:pPr>
      <w:bookmarkStart w:id="21" w:name="_Toc486448328"/>
      <w:r>
        <w:t>5.3. Las torturas y los tratos degradantes.</w:t>
      </w:r>
      <w:bookmarkEnd w:id="21"/>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torturas y el trato degradante a personas se encuentra castigado como un delito contra la integridad moral de las personas, su regulación en el Código Penal se encuentra en el Título VII, del Libro II bajo el nombre: </w:t>
      </w:r>
      <w:r>
        <w:rPr>
          <w:rFonts w:ascii="Times New Roman" w:eastAsia="Times New Roman" w:hAnsi="Times New Roman" w:cs="Times New Roman"/>
          <w:i/>
          <w:sz w:val="24"/>
          <w:szCs w:val="24"/>
        </w:rPr>
        <w:t xml:space="preserve">“De las torturas y otros delitos contra integridad moral”. </w:t>
      </w:r>
      <w:r>
        <w:rPr>
          <w:rFonts w:ascii="Times New Roman" w:eastAsia="Times New Roman" w:hAnsi="Times New Roman" w:cs="Times New Roman"/>
          <w:sz w:val="24"/>
          <w:szCs w:val="24"/>
        </w:rPr>
        <w:t xml:space="preserve">Es el artículo 173 el que realiza una previsión general de los actos contra integridad moral. </w:t>
      </w:r>
    </w:p>
    <w:p w:rsidR="00EB6FB2" w:rsidRDefault="00EB6FB2" w:rsidP="00EB6FB2">
      <w:pPr>
        <w:pStyle w:val="Normal1"/>
        <w:spacing w:line="360" w:lineRule="auto"/>
        <w:ind w:left="907" w:right="907"/>
        <w:jc w:val="both"/>
        <w:rPr>
          <w:rFonts w:ascii="Times New Roman" w:eastAsia="Times New Roman" w:hAnsi="Times New Roman" w:cs="Times New Roman"/>
          <w:i/>
          <w:sz w:val="24"/>
          <w:szCs w:val="24"/>
        </w:rPr>
      </w:pPr>
      <w:r>
        <w:rPr>
          <w:rFonts w:ascii="Rambla" w:eastAsia="Rambla" w:hAnsi="Rambla" w:cs="Rambla"/>
          <w:i/>
          <w:color w:val="222222"/>
          <w:sz w:val="20"/>
          <w:szCs w:val="20"/>
          <w:highlight w:val="white"/>
        </w:rPr>
        <w:t>“</w:t>
      </w:r>
      <w:r>
        <w:rPr>
          <w:rFonts w:ascii="Times New Roman" w:eastAsia="Times New Roman" w:hAnsi="Times New Roman" w:cs="Times New Roman"/>
          <w:i/>
          <w:color w:val="222222"/>
          <w:sz w:val="24"/>
          <w:szCs w:val="24"/>
          <w:highlight w:val="white"/>
        </w:rPr>
        <w:t>El que infligiera a otra persona un trato degradante, menoscabando gravemente su integridad moral, será castigado con la pena de prisión de seis meses a dos años</w:t>
      </w:r>
      <w:r>
        <w:rPr>
          <w:rFonts w:ascii="Times New Roman" w:eastAsia="Times New Roman" w:hAnsi="Times New Roman" w:cs="Times New Roman"/>
          <w:i/>
          <w:color w:val="222222"/>
          <w:sz w:val="24"/>
          <w:szCs w:val="24"/>
          <w:highlight w:val="white"/>
          <w:vertAlign w:val="superscript"/>
        </w:rPr>
        <w:footnoteReference w:id="22"/>
      </w:r>
      <w:r>
        <w:rPr>
          <w:rFonts w:ascii="Times New Roman" w:eastAsia="Times New Roman" w:hAnsi="Times New Roman" w:cs="Times New Roman"/>
          <w:i/>
          <w:color w:val="222222"/>
          <w:sz w:val="24"/>
          <w:szCs w:val="24"/>
          <w:highlight w:val="white"/>
        </w:rPr>
        <w:t>”.</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Mientras que el artículo 174 CP prevé las torturas del tipo agravado que son realizadas  por autoridades públicas y miembros de los cuerpos de seguridad el Estado. ¿Qué artículo sería de aplicación a los integrantes de los servicios de inteligencia?. Los miembros de los SI forman parte de los cuerpos de seguridad del Estado, aunque su función no es perseguir conductas delictivas, por lo tanto le es de aplicación el artículo 174, siempre que realicen torturas u otros delitos contra la integridad moral.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hemos dicho antes los miembros de los SI tienen consideración de autoridades públicas. Pese a que estos actúan bajo las ordenes del Gobierno, y siempre dirigen sus actuaciones para la seguridad del estado, esto no puede actuar como justificante para que los SI  cometan torturas o tratos degradantes, por lo tanto podemos decir que, n</w:t>
      </w:r>
      <w:r w:rsidRPr="007E5078">
        <w:rPr>
          <w:rFonts w:ascii="Times New Roman" w:eastAsia="Times New Roman" w:hAnsi="Times New Roman" w:cs="Times New Roman"/>
          <w:sz w:val="24"/>
          <w:szCs w:val="24"/>
        </w:rPr>
        <w:t xml:space="preserve">o hay nada que explique la tortura, ni </w:t>
      </w:r>
      <w:r>
        <w:rPr>
          <w:rFonts w:ascii="Times New Roman" w:eastAsia="Times New Roman" w:hAnsi="Times New Roman" w:cs="Times New Roman"/>
          <w:sz w:val="24"/>
          <w:szCs w:val="24"/>
        </w:rPr>
        <w:t xml:space="preserve">siquiera </w:t>
      </w:r>
      <w:r w:rsidRPr="007E5078">
        <w:rPr>
          <w:rFonts w:ascii="Times New Roman" w:eastAsia="Times New Roman" w:hAnsi="Times New Roman" w:cs="Times New Roman"/>
          <w:sz w:val="24"/>
          <w:szCs w:val="24"/>
        </w:rPr>
        <w:t>el peligro de desaparición del propio Estado. Es una prohibición absoluta del derecho internacional</w:t>
      </w:r>
      <w:r>
        <w:rPr>
          <w:rFonts w:ascii="Times New Roman" w:eastAsia="Times New Roman" w:hAnsi="Times New Roman" w:cs="Times New Roman"/>
          <w:sz w:val="24"/>
          <w:szCs w:val="24"/>
        </w:rPr>
        <w:t>.</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Más adelante analizaremos varios casos en los que los servicios de inteligencia estadounidenses con la cooperación de otros países han infligido torturas a centenares de personas, siguiendo el  programa de Rendición Extraordinaria, desarrollado y promovido por la CIA.</w:t>
      </w:r>
    </w:p>
    <w:p w:rsidR="00EB6FB2" w:rsidRDefault="00EB6FB2" w:rsidP="00EB6FB2">
      <w:pPr>
        <w:pStyle w:val="Ttulo1"/>
      </w:pPr>
      <w:bookmarkStart w:id="22" w:name="_Toc486448329"/>
      <w:r>
        <w:t>5.3.1. Descripción de los elementos del delito en relación a las actuaciones de los servicios secretos.</w:t>
      </w:r>
      <w:bookmarkEnd w:id="22"/>
      <w:r>
        <w:t xml:space="preserv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 determinarse este delito como un </w:t>
      </w:r>
      <w:r>
        <w:rPr>
          <w:rFonts w:ascii="Times New Roman" w:eastAsia="Times New Roman" w:hAnsi="Times New Roman" w:cs="Times New Roman"/>
          <w:b/>
          <w:sz w:val="24"/>
          <w:szCs w:val="24"/>
        </w:rPr>
        <w:t>delito especial impropio</w:t>
      </w:r>
      <w:r>
        <w:rPr>
          <w:rFonts w:ascii="Times New Roman" w:eastAsia="Times New Roman" w:hAnsi="Times New Roman" w:cs="Times New Roman"/>
          <w:sz w:val="24"/>
          <w:szCs w:val="24"/>
        </w:rPr>
        <w:t xml:space="preserve">, podemos decir que son sujetos activos de forma exclusiva, la autoridad, los funcionarios públicos, los funcionarios de instituciones penitenciarias, los centros de protección y de corrección de menores.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Desde una perspectiva internacional</w:t>
      </w:r>
      <w:r>
        <w:rPr>
          <w:rStyle w:val="Refdenotaalpie"/>
          <w:rFonts w:ascii="Times New Roman" w:eastAsia="Times New Roman" w:hAnsi="Times New Roman" w:cs="Times New Roman"/>
          <w:sz w:val="24"/>
          <w:szCs w:val="24"/>
        </w:rPr>
        <w:footnoteReference w:id="23"/>
      </w:r>
      <w:r>
        <w:rPr>
          <w:rFonts w:ascii="Times New Roman" w:eastAsia="Times New Roman" w:hAnsi="Times New Roman" w:cs="Times New Roman"/>
          <w:sz w:val="24"/>
          <w:szCs w:val="24"/>
        </w:rPr>
        <w:t>, aparece considerado como un delito especial pero con acceso a particulares. La Convención de las Naciones Unidas contra las torturas</w:t>
      </w:r>
      <w:r>
        <w:rPr>
          <w:rFonts w:ascii="Times New Roman" w:eastAsia="Times New Roman" w:hAnsi="Times New Roman" w:cs="Times New Roman"/>
          <w:sz w:val="24"/>
          <w:szCs w:val="24"/>
          <w:vertAlign w:val="superscript"/>
        </w:rPr>
        <w:footnoteReference w:id="24"/>
      </w:r>
      <w:r>
        <w:rPr>
          <w:rFonts w:ascii="Times New Roman" w:eastAsia="Times New Roman" w:hAnsi="Times New Roman" w:cs="Times New Roman"/>
          <w:sz w:val="24"/>
          <w:szCs w:val="24"/>
        </w:rPr>
        <w:t>, recoge este delito en los artículos 1,2 y 16.2, esta regulación permite que los sistemas internos puedan introducir otros sujetos activos sin que surja una cuestión de incompatibilidad, así lo dice la Sentencia de 25 de Febrero de 1982 del TEDH</w:t>
      </w:r>
      <w:r>
        <w:rPr>
          <w:rFonts w:ascii="Times New Roman" w:eastAsia="Times New Roman" w:hAnsi="Times New Roman" w:cs="Times New Roman"/>
          <w:sz w:val="24"/>
          <w:szCs w:val="24"/>
          <w:vertAlign w:val="superscript"/>
        </w:rPr>
        <w:footnoteReference w:id="25"/>
      </w:r>
      <w:r>
        <w:rPr>
          <w:rFonts w:ascii="Times New Roman" w:eastAsia="Times New Roman" w:hAnsi="Times New Roman" w:cs="Times New Roman"/>
          <w:sz w:val="24"/>
          <w:szCs w:val="24"/>
        </w:rPr>
        <w:t xml:space="preserve">. Con carácter general, el sujeto activo de este delito es el "funcionario público" u otra persona que esté bajo su poder.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Respecto al sujeto activo, señalar la destacable ausencia que existe, tanto en nuestra legislación, como en la normativa comunitaria, de una regulación en relación a las torturas realizadas por los miembros de los SI, puesto que aunque pueden ser englobados como autoridades públicas, se alejan de este concepto, por lo que se hace necesario que se introduzcan a estos de forma separada y específica en la regulación.</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La conducta típica de este delito, en nuestra normativa, se encuentra tipificada en el artículo 174 del Código Penal, toma como inspiración el artículo 1 de la Convención contra la Tortura, considerándola como la conducta que busca infligir, de forma voluntaria, dolores o sufrimientos graves, tanto físicos, como psíquicos, a otra persona.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España, nuestros legisladores intentaron especificar cuáles eran los medios, que con su utilización, provoca un sufrimiento, sin embargo, el intento no obtuvo el resultado esperado. El legislador español, determinó como conducta típica de este delito: </w:t>
      </w:r>
      <w:r>
        <w:rPr>
          <w:rFonts w:ascii="Times New Roman" w:eastAsia="Times New Roman" w:hAnsi="Times New Roman" w:cs="Times New Roman"/>
          <w:i/>
          <w:sz w:val="24"/>
          <w:szCs w:val="24"/>
        </w:rPr>
        <w:t>"el sometimiento a una persona a condiciones o procedimientos que en función de diversos elementos - naturaleza</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duración y, por analogía, cualquier otra circunstancia- puedan atentar contra su integridad moral". </w:t>
      </w:r>
      <w:r>
        <w:rPr>
          <w:rFonts w:ascii="Times New Roman" w:eastAsia="Times New Roman" w:hAnsi="Times New Roman" w:cs="Times New Roman"/>
          <w:sz w:val="24"/>
          <w:szCs w:val="24"/>
        </w:rPr>
        <w:t>A esta conducta se le puede añadir el uso de técnicas de diversa tipología, técnicas utilizadas en la historia por los diferentes servicios de inteligencia del mundo, para obtener la tan codiciada información, a través de ensayos de ejecución, de duros interrogatorios, también, a través de la privación del sueño, visión e higiene, así como del uso de amenazas</w:t>
      </w:r>
      <w:r>
        <w:rPr>
          <w:rStyle w:val="Refdenotaalpie"/>
          <w:rFonts w:ascii="Times New Roman" w:eastAsia="Times New Roman" w:hAnsi="Times New Roman" w:cs="Times New Roman"/>
          <w:sz w:val="24"/>
          <w:szCs w:val="24"/>
        </w:rPr>
        <w:footnoteReference w:id="26"/>
      </w:r>
      <w:r>
        <w:rPr>
          <w:rFonts w:ascii="Times New Roman" w:eastAsia="Times New Roman" w:hAnsi="Times New Roman" w:cs="Times New Roman"/>
          <w:sz w:val="24"/>
          <w:szCs w:val="24"/>
        </w:rPr>
        <w:t>.</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Estamos ante un delito de resultado, se castiga la aparición de un sufrimiento, de un daño, de un dolor, causado intencionadamente por una persona, en este caso una autoridad pública, la imposición de una pena más o menos grave, variará según la gravedad de la conducta realizada. Como aspecto relevante, señalar que la Convención interamericana considera como delito de torturas el mero daño a la integridad moral, sin que sea necesario un efectivo daño físico.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 embargo, nuestro legislador se aleja de esta concepción y sigue el camino que establecen el resto de textos internacionales, considerando al delito de torturas, un delito de resultado, con la exigencia de que exista un daño físico o psíquico real.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artículo 174, añade ciertos elementos subjetivos o fines a la conducta típica del delito de torturas, conductas que se pueden asemejar a las actividades que llevan a </w:t>
      </w:r>
      <w:r>
        <w:rPr>
          <w:rFonts w:ascii="Times New Roman" w:eastAsia="Times New Roman" w:hAnsi="Times New Roman" w:cs="Times New Roman"/>
          <w:sz w:val="24"/>
          <w:szCs w:val="24"/>
        </w:rPr>
        <w:lastRenderedPageBreak/>
        <w:t xml:space="preserve">cabo los servicios de inteligencia, hablamos de la obtención de una confesión o información. Estos objetivos guardan relación con los establecidos por la Convención de las Naciones Unidas, se persigue la extracción de información, a través de la intimidación o tortura.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el mismo 174 en su segundo apartado, determina un delito de torturas específico, referido a los funcionarios de prisiones o de centros de corrección de menores. Este tipo específico incluye los elementos o criterios del primer apartado. Podemos llevar este delito a las actuaciones que ciertos funcionarios públicos españoles, en cooperación con los servicios de inteligencia estadounidenses, llevaron a cabo en Guantánamo, prisión y centro de una gran cantidad de torturas</w:t>
      </w:r>
      <w:r>
        <w:rPr>
          <w:rFonts w:ascii="Times New Roman" w:eastAsia="Times New Roman" w:hAnsi="Times New Roman" w:cs="Times New Roman"/>
          <w:sz w:val="24"/>
          <w:szCs w:val="24"/>
          <w:vertAlign w:val="superscript"/>
        </w:rPr>
        <w:footnoteReference w:id="27"/>
      </w:r>
      <w:r>
        <w:rPr>
          <w:rFonts w:ascii="Times New Roman" w:eastAsia="Times New Roman" w:hAnsi="Times New Roman" w:cs="Times New Roman"/>
          <w:sz w:val="24"/>
          <w:szCs w:val="24"/>
        </w:rPr>
        <w:t xml:space="preserve">.   </w:t>
      </w:r>
    </w:p>
    <w:p w:rsidR="00EB6FB2" w:rsidRDefault="00EB6FB2" w:rsidP="00EB6FB2">
      <w:pPr>
        <w:pStyle w:val="Ttulo1"/>
      </w:pPr>
      <w:bookmarkStart w:id="23" w:name="_Toc486448330"/>
      <w:r>
        <w:t>5.3.2. ¿Existe alguna eximente en el delito de tortura?</w:t>
      </w:r>
      <w:bookmarkEnd w:id="23"/>
      <w:r>
        <w:t xml:space="preserve">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referencia a la normativa comunitaria, tanto de la Carta de los Derechos Fundamentales de la Unión Europea</w:t>
      </w:r>
      <w:r>
        <w:rPr>
          <w:rFonts w:ascii="Times New Roman" w:eastAsia="Times New Roman" w:hAnsi="Times New Roman" w:cs="Times New Roman"/>
          <w:sz w:val="24"/>
          <w:szCs w:val="24"/>
          <w:vertAlign w:val="superscript"/>
        </w:rPr>
        <w:footnoteReference w:id="28"/>
      </w:r>
      <w:r>
        <w:rPr>
          <w:rFonts w:ascii="Times New Roman" w:eastAsia="Times New Roman" w:hAnsi="Times New Roman" w:cs="Times New Roman"/>
          <w:sz w:val="24"/>
          <w:szCs w:val="24"/>
        </w:rPr>
        <w:t>, como el Convenio Europeo de protección de los derechos humanos y de las libertades fundamentales</w:t>
      </w:r>
      <w:r>
        <w:rPr>
          <w:rFonts w:ascii="Times New Roman" w:eastAsia="Times New Roman" w:hAnsi="Times New Roman" w:cs="Times New Roman"/>
          <w:sz w:val="24"/>
          <w:szCs w:val="24"/>
          <w:vertAlign w:val="superscript"/>
        </w:rPr>
        <w:footnoteReference w:id="29"/>
      </w:r>
      <w:r>
        <w:rPr>
          <w:rFonts w:ascii="Times New Roman" w:eastAsia="Times New Roman" w:hAnsi="Times New Roman" w:cs="Times New Roman"/>
          <w:sz w:val="24"/>
          <w:szCs w:val="24"/>
        </w:rPr>
        <w:t xml:space="preserve">, se desprende una negativa absoluta a una posible eximente de las torturas cometidas.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lo tanto, hablamos de un derecho absoluto, cuyo contenido esencial no puede ser limitado por la protección de otro bien jurídico, así también lo establece el artículo 3</w:t>
      </w:r>
      <w:r>
        <w:rPr>
          <w:rFonts w:ascii="Times New Roman" w:eastAsia="Times New Roman" w:hAnsi="Times New Roman" w:cs="Times New Roman"/>
          <w:sz w:val="24"/>
          <w:szCs w:val="24"/>
          <w:vertAlign w:val="superscript"/>
        </w:rPr>
        <w:footnoteReference w:id="30"/>
      </w:r>
      <w:r>
        <w:rPr>
          <w:rFonts w:ascii="Times New Roman" w:eastAsia="Times New Roman" w:hAnsi="Times New Roman" w:cs="Times New Roman"/>
          <w:sz w:val="24"/>
          <w:szCs w:val="24"/>
        </w:rPr>
        <w:t xml:space="preserve"> de la Declaración contra la tortura de la Asamblea General de las Naciones Unidas. Hablamos de torturas llevadas a cabo para perseguir el terrorismo o el crimen </w:t>
      </w:r>
      <w:r>
        <w:rPr>
          <w:rFonts w:ascii="Times New Roman" w:eastAsia="Times New Roman" w:hAnsi="Times New Roman" w:cs="Times New Roman"/>
          <w:sz w:val="24"/>
          <w:szCs w:val="24"/>
        </w:rPr>
        <w:lastRenderedPageBreak/>
        <w:t xml:space="preserve">organizado, objetivos siempre de los servicios de inteligencia, por lo que los sufrimientos que estos provoquen a ciertas personas para extraer la información, no encontrará una eximente o exculpación por la defensa de la seguridad del Estado.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Pese a esta concepción absoluta, existen ciertos supuestos en los que los servicios de inteligencia alegan tener una posible justificación para cometer torturas y tratos degradantes. Entre ellos encontramos, la defensa de la seguridad nacional y el ejercicio legítimo del cargo.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Pese a que un primer momento se puede permitir que los servicios secretos españoles realicen actividades contra los derechos fundamentales de los ciudadanos para la defensa de la seguridad del Estado, posteriormente, y siguiendo el control judicial, este tipo de actuaciones se encuentra altamente limitadas, pues la protección de otro bien jurídico no puede considerarse como suficiente para que los SI realicen intromisiones ilegítimas, en este caso a través de las torturas y trato degradantes.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ejercicio legítimo del cargo, es una de las cláusulas que excluyen la antijuricidad, así lo recoge el artículo 20.7 CP</w:t>
      </w:r>
      <w:r>
        <w:rPr>
          <w:rFonts w:ascii="Times New Roman" w:eastAsia="Times New Roman" w:hAnsi="Times New Roman" w:cs="Times New Roman"/>
          <w:sz w:val="24"/>
          <w:szCs w:val="24"/>
          <w:vertAlign w:val="superscript"/>
        </w:rPr>
        <w:footnoteReference w:id="31"/>
      </w:r>
      <w:r>
        <w:rPr>
          <w:rFonts w:ascii="Times New Roman" w:eastAsia="Times New Roman" w:hAnsi="Times New Roman" w:cs="Times New Roman"/>
          <w:sz w:val="24"/>
          <w:szCs w:val="24"/>
        </w:rPr>
        <w:t>. Pese a comerte un delito el uso de esta cláusula supondría estar conforme a Derecho, siempre que se actué dentro del margen de la cláusula. No obstante, el tipo penal que recoge este artículo está constituido por una serie de criterios de antijuridicidad</w:t>
      </w:r>
      <w:r>
        <w:rPr>
          <w:rFonts w:ascii="Times New Roman" w:eastAsia="Times New Roman" w:hAnsi="Times New Roman" w:cs="Times New Roman"/>
          <w:sz w:val="24"/>
          <w:szCs w:val="24"/>
          <w:vertAlign w:val="superscript"/>
        </w:rPr>
        <w:footnoteReference w:id="32"/>
      </w:r>
      <w:r>
        <w:rPr>
          <w:rFonts w:ascii="Times New Roman" w:eastAsia="Times New Roman" w:hAnsi="Times New Roman" w:cs="Times New Roman"/>
          <w:sz w:val="24"/>
          <w:szCs w:val="24"/>
        </w:rPr>
        <w:t>, que en caso de no estar presente en el desenvolvimiento del cargo, se excluiría la cláusula. Estos supuestos se encuentran recogidos en el artículo 173 CP</w:t>
      </w:r>
      <w:r>
        <w:rPr>
          <w:rFonts w:ascii="Times New Roman" w:eastAsia="Times New Roman" w:hAnsi="Times New Roman" w:cs="Times New Roman"/>
          <w:sz w:val="24"/>
          <w:szCs w:val="24"/>
          <w:vertAlign w:val="superscript"/>
        </w:rPr>
        <w:footnoteReference w:id="33"/>
      </w:r>
      <w:r>
        <w:rPr>
          <w:rFonts w:ascii="Times New Roman" w:eastAsia="Times New Roman" w:hAnsi="Times New Roman" w:cs="Times New Roman"/>
          <w:sz w:val="24"/>
          <w:szCs w:val="24"/>
        </w:rPr>
        <w:t xml:space="preserve">, que determina el abuso del cargo, para realizar cualquier conducta fuera de la legalidad.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Como bien dice el Profesor DE LA CUESTA ARZAMENDI</w:t>
      </w:r>
      <w:r>
        <w:rPr>
          <w:rFonts w:ascii="Times New Roman" w:eastAsia="Times New Roman" w:hAnsi="Times New Roman" w:cs="Times New Roman"/>
          <w:sz w:val="24"/>
          <w:szCs w:val="24"/>
          <w:vertAlign w:val="superscript"/>
        </w:rPr>
        <w:footnoteReference w:id="34"/>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"Los funcionarios o autoridades deben de actuar abusando de su cargo. Esto exigirá que el funcionario o autoridad estén ejerciendo de manera genérica o específica su funciones, no actuando &lt;&lt;por móviles privados&gt;&gt;, y que, en ese marco, se constate un exceso o utilización desviada de las atribuciones o un aprovechamiento de los poderes inherentes al mismo que permitan la ejecución de los hechos con una mayor facilidad".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SI utilizan este tipo de justificación</w:t>
      </w:r>
      <w:r>
        <w:rPr>
          <w:rFonts w:ascii="Times New Roman" w:eastAsia="Times New Roman" w:hAnsi="Times New Roman" w:cs="Times New Roman"/>
          <w:sz w:val="24"/>
          <w:szCs w:val="24"/>
          <w:vertAlign w:val="superscript"/>
        </w:rPr>
        <w:footnoteReference w:id="35"/>
      </w:r>
      <w:r>
        <w:rPr>
          <w:rFonts w:ascii="Times New Roman" w:eastAsia="Times New Roman" w:hAnsi="Times New Roman" w:cs="Times New Roman"/>
          <w:sz w:val="24"/>
          <w:szCs w:val="24"/>
        </w:rPr>
        <w:t xml:space="preserve"> cuando tienen bajo su custodia a ciertos detenidos, alegan haber realizado torturas bajo el ejercicio legítimo de su cargo, pero lo único cierto de este tipo de conductas es que los servicios secretos se prevalecen de su cargo para cometer todo tipo de tratos degradantes contra los detenidos para extraer de ellos la información que necesiten.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ello, parece sensato excluir cualquier posible justificación en las torturas cometidas por los servicios de inteligencia, ya sea para la defensa de la seguridad nacional, o por el ejercicio legítimo de su cargo, pues ningún ciudadano del mundo tiene el deber jurídico de soportar este tipo de tratamientos, además así lo ampara, tanto nuestro ordenamiento interno, como el internacional. También es pertinente castigar las actuaciones de las autoridades públicas en las que se permiten, de forma omisiva, la realización de sometimientos y tratos degradantes, considerando dentro de la noción de autoridad pública a los miembros de los servicios de inteligencia, esta cuestión va a ser analizada en el siguiente epígrafe. </w:t>
      </w:r>
    </w:p>
    <w:p w:rsidR="00EB6FB2" w:rsidRDefault="00EB6FB2" w:rsidP="00EB6FB2">
      <w:pPr>
        <w:pStyle w:val="Ttulo1"/>
        <w:spacing w:line="360" w:lineRule="auto"/>
      </w:pPr>
      <w:bookmarkStart w:id="24" w:name="_Toc486448331"/>
      <w:r>
        <w:t>5.3.3. Las omisiones de los funcionarios públicos de torturas realizadas a terceros como delito.</w:t>
      </w:r>
      <w:bookmarkEnd w:id="24"/>
      <w:r>
        <w:t xml:space="preserve">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Este tipo penal se encuentra recogido en el artículo 176 del Código Penal, que dice: </w:t>
      </w:r>
      <w:r>
        <w:rPr>
          <w:rFonts w:ascii="Times New Roman" w:eastAsia="Times New Roman" w:hAnsi="Times New Roman" w:cs="Times New Roman"/>
          <w:i/>
          <w:sz w:val="24"/>
          <w:szCs w:val="24"/>
        </w:rPr>
        <w:t xml:space="preserve">"Se impondrán las penas respectivamente establecidas en los artículos precedentes a la autoridad o funcionario que, faltando a los deberes de su cargo, </w:t>
      </w:r>
      <w:r>
        <w:rPr>
          <w:rFonts w:ascii="Times New Roman" w:eastAsia="Times New Roman" w:hAnsi="Times New Roman" w:cs="Times New Roman"/>
          <w:i/>
          <w:sz w:val="24"/>
          <w:szCs w:val="24"/>
        </w:rPr>
        <w:lastRenderedPageBreak/>
        <w:t>permitiere que otras personas ejecuten los hechos previstos en ellos".</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Hablamos de una conducta, por parte del funcionario público, omisiva</w:t>
      </w:r>
      <w:r>
        <w:rPr>
          <w:rFonts w:ascii="Times New Roman" w:eastAsia="Times New Roman" w:hAnsi="Times New Roman" w:cs="Times New Roman"/>
          <w:sz w:val="24"/>
          <w:szCs w:val="24"/>
          <w:vertAlign w:val="superscript"/>
        </w:rPr>
        <w:footnoteReference w:id="36"/>
      </w:r>
      <w:r>
        <w:rPr>
          <w:rFonts w:ascii="Times New Roman" w:eastAsia="Times New Roman" w:hAnsi="Times New Roman" w:cs="Times New Roman"/>
          <w:sz w:val="24"/>
          <w:szCs w:val="24"/>
        </w:rPr>
        <w:t xml:space="preserve"> que permite que terceros atente contra la integridad física y psíquica de otras personas. El legislador reguló este tipo específico para crear una consecuencia jurídica acorde con los hechos ilícitos, pues sin ello, la conducta omisiva del funcionario se englobaría dentro de la omisión impropia, que recoge el artículo 11</w:t>
      </w:r>
      <w:r>
        <w:rPr>
          <w:rFonts w:ascii="Times New Roman" w:eastAsia="Times New Roman" w:hAnsi="Times New Roman" w:cs="Times New Roman"/>
          <w:sz w:val="24"/>
          <w:szCs w:val="24"/>
          <w:vertAlign w:val="superscript"/>
        </w:rPr>
        <w:footnoteReference w:id="37"/>
      </w:r>
      <w:r>
        <w:rPr>
          <w:rFonts w:ascii="Times New Roman" w:eastAsia="Times New Roman" w:hAnsi="Times New Roman" w:cs="Times New Roman"/>
          <w:sz w:val="24"/>
          <w:szCs w:val="24"/>
        </w:rPr>
        <w:t xml:space="preserve"> del Código Penal.  El motivo se encuentra en el deber que lo funcionarios públicos o autoridades públicas poseen en su cargo, a la hora de desarrollar su profesión, es decir, deberán de respetar ese </w:t>
      </w:r>
      <w:r>
        <w:rPr>
          <w:rFonts w:ascii="Times New Roman" w:eastAsia="Times New Roman" w:hAnsi="Times New Roman" w:cs="Times New Roman"/>
          <w:b/>
          <w:sz w:val="24"/>
          <w:szCs w:val="24"/>
        </w:rPr>
        <w:t>deber de garante</w:t>
      </w:r>
      <w:r>
        <w:rPr>
          <w:rFonts w:ascii="Times New Roman" w:eastAsia="Times New Roman" w:hAnsi="Times New Roman" w:cs="Times New Roman"/>
          <w:b/>
          <w:sz w:val="24"/>
          <w:szCs w:val="24"/>
          <w:vertAlign w:val="superscript"/>
        </w:rPr>
        <w:footnoteReference w:id="38"/>
      </w:r>
      <w:r>
        <w:rPr>
          <w:rFonts w:ascii="Times New Roman" w:eastAsia="Times New Roman" w:hAnsi="Times New Roman" w:cs="Times New Roman"/>
          <w:sz w:val="24"/>
          <w:szCs w:val="24"/>
        </w:rPr>
        <w:t xml:space="preserve"> que ostenta  su cargo, sobre todo cuando bajo su poder está un detenido o un preso.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tipo penal sería aplicable en aquellos casos en los que los funcionarios españoles han permitido que los servicios de inteligencia estadounidenses, en el asunto de rendición extraordinaria; a través de los vuelos irregulares, llevarán a cabo torturas en nuestro país o sin hacerlo en nuestro territorio, tuvieran conocimiento de ello. Actividades que se refieren al transporte de detenidos de un país a otro o a centros clandestinos para recibir torturas con el objetivo de extraer la información necesaria.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Estas actuaciones, vulneran todo lo que está bajo el concepto de "Garante". Nos referimos al deber que tienen los funcionarios de cuidar por la protección de la integridad física y psíquicas, de aquellas personas detenidas que están a su amparo.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artículo 176, añade a la conducta típica de este delito, el deber por parte de los funcionarios públicos de evitar aquellas situaciones de torturas o trato degradantes hacia los detenidos. Por lo tanto, este precepto no sólo exige que los funcionarios no permitan este tipo de conductas, si no que va más allá e introduce la obligación de evitar dichas torturas por terceros.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Este segundo criterio tiene como objetivo castigar a aquellos funcionarios que participes de una investigación, y obligados a evitar cualquier daño a los derechos fundamentales, permite bajo su custodia que el detenido</w:t>
      </w:r>
      <w:r>
        <w:rPr>
          <w:rStyle w:val="Refdenotaalpie"/>
          <w:rFonts w:ascii="Times New Roman" w:eastAsia="Times New Roman" w:hAnsi="Times New Roman" w:cs="Times New Roman"/>
          <w:sz w:val="24"/>
          <w:szCs w:val="24"/>
        </w:rPr>
        <w:footnoteReference w:id="39"/>
      </w:r>
      <w:r>
        <w:rPr>
          <w:rFonts w:ascii="Times New Roman" w:eastAsia="Times New Roman" w:hAnsi="Times New Roman" w:cs="Times New Roman"/>
          <w:sz w:val="24"/>
          <w:szCs w:val="24"/>
        </w:rPr>
        <w:t xml:space="preserve"> perciba sufrimientos, daños y tratos inhumanos. Este tipo de conducta de evitar, por parte de los funcionarios, las torturas podemos encontrarla, en la cooperación que existe o existió entre los funcionarios públicos españoles y los servicios de inteligencia estadounidenses. Sobre todo en los casos de "Vuelos irregulares de la CIA", en los que los funcionarios españoles no informaron de las actuaciones que se estaban llevando a cabo.</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Estado, según este precepto, puede ser responsable como </w:t>
      </w:r>
      <w:r>
        <w:rPr>
          <w:rFonts w:ascii="Times New Roman" w:eastAsia="Times New Roman" w:hAnsi="Times New Roman" w:cs="Times New Roman"/>
          <w:b/>
          <w:sz w:val="24"/>
          <w:szCs w:val="24"/>
        </w:rPr>
        <w:t xml:space="preserve">garante del delito, </w:t>
      </w:r>
      <w:r>
        <w:rPr>
          <w:rFonts w:ascii="Times New Roman" w:eastAsia="Times New Roman" w:hAnsi="Times New Roman" w:cs="Times New Roman"/>
          <w:sz w:val="24"/>
          <w:szCs w:val="24"/>
        </w:rPr>
        <w:t xml:space="preserve">ya que los funcionarios públicos están bajo su poder de vigilancia. La responsabilidad del Estado en estos caso, encuentra su fundamento en la obligación de investigar si se están llevando a cabo tratos degradantes, inhumanos o torturas,  sobre ciertos detenidos. Los poderes públicos en este tipo de procedimientos tiene el deber u obligación de supervisar las actuaciones de los funcionarios públicos, referido a su relación con los detenidos, pues son estos los que deben salvaguardar los derechos y libertades fundamentales de los ciudadanos, y en este aspecto los detenidos ni mucho menos quedan excluidos. Por ello, podemos observar una posible responsabilidad del Estado en los "Vuelos Irregulares de la CIA", pues aparte de existir una permisibilidad considerable, no se ha llevado a cabo ningún tipo de indagación por parte del Estado.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Bajo esta concepción, el TEDH certifica que ciertos sufrimientos o daños producidos durante el proceso de detención provoca firmes presunciones de hecho, de esto se deriva que la carga de la prueba es obligación de las autoridades públicas, pues deben de justificar o demostrar en contrario que no se dieron dichos sometimientos.</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España por este aspecto, ha sido sancionada en diferentes ocasiones, al no presentar pruebas suficientes que testificaran que los hechos no se habían llevado a cabo, es decir, que no se habían dado tortura en el procedimiento de detención. Así </w:t>
      </w:r>
      <w:r>
        <w:rPr>
          <w:rFonts w:ascii="Times New Roman" w:eastAsia="Times New Roman" w:hAnsi="Times New Roman" w:cs="Times New Roman"/>
          <w:sz w:val="24"/>
          <w:szCs w:val="24"/>
        </w:rPr>
        <w:lastRenderedPageBreak/>
        <w:t xml:space="preserve">ocurrió, en el asunto </w:t>
      </w:r>
      <w:r>
        <w:rPr>
          <w:rFonts w:ascii="Times New Roman" w:eastAsia="Times New Roman" w:hAnsi="Times New Roman" w:cs="Times New Roman"/>
          <w:i/>
          <w:sz w:val="24"/>
          <w:szCs w:val="24"/>
        </w:rPr>
        <w:t>Beristain Ukar c. España</w:t>
      </w:r>
      <w:r>
        <w:rPr>
          <w:rFonts w:ascii="Times New Roman" w:eastAsia="Times New Roman" w:hAnsi="Times New Roman" w:cs="Times New Roman"/>
          <w:i/>
          <w:sz w:val="24"/>
          <w:szCs w:val="24"/>
          <w:vertAlign w:val="superscript"/>
        </w:rPr>
        <w:footnoteReference w:id="40"/>
      </w:r>
      <w:r>
        <w:rPr>
          <w:rFonts w:ascii="Times New Roman" w:eastAsia="Times New Roman" w:hAnsi="Times New Roman" w:cs="Times New Roman"/>
          <w:sz w:val="24"/>
          <w:szCs w:val="24"/>
        </w:rPr>
        <w:t xml:space="preserve">.  En este asunto el Tribunal, declaró que España no había llevado a cabo las investigaciones necesarias, tras las alegaciones realizadas por el demandante de ser víctima de torturas. </w:t>
      </w:r>
    </w:p>
    <w:p w:rsidR="00EB6FB2" w:rsidRDefault="00EB6FB2" w:rsidP="00EB6FB2">
      <w:pPr>
        <w:pStyle w:val="Ttulo1"/>
      </w:pPr>
      <w:bookmarkStart w:id="25" w:name="_Toc486448332"/>
      <w:r>
        <w:t>5.3.4. ¿Son consideradas las torturas a los terrorista como delito?.</w:t>
      </w:r>
      <w:bookmarkEnd w:id="25"/>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excepción del Derecho, es una de las características destacables de las estrategias llevadas a cabo por los gobiernos occidentales. Para justificar esta declaración, exponemos el caso  enjuiciado por el Tribunal Militar Territorial Primero que anuló un auto dirigido contra cinco soldados españoles, y un posible miembro del CNI, por haber cometido presuntamente una serie de torturas, auto que fue dictado por el Juzgado Togado nº 11. Según el conocimiento del Tribunal, varios soldados españoles en el Centro de Detención, Diwaniyah (Irak), en unas de las celdas del centro, accedieron para realizar una serie de torturas a los dos detenidos que se encontraban en la dependencias.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cuestión que se realizó el Tribunal respecto a este asunto, deriva de la duda de aplicar a los detenidos los Convenios de Ginebra. Si los detenidos tuvieran la consideración de terroristas no les sería de aplicación el tercer Convenio de Ginebra</w:t>
      </w:r>
      <w:r>
        <w:rPr>
          <w:rFonts w:ascii="Times New Roman" w:eastAsia="Times New Roman" w:hAnsi="Times New Roman" w:cs="Times New Roman"/>
          <w:sz w:val="24"/>
          <w:szCs w:val="24"/>
          <w:vertAlign w:val="superscript"/>
        </w:rPr>
        <w:footnoteReference w:id="41"/>
      </w:r>
      <w:r>
        <w:rPr>
          <w:rFonts w:ascii="Times New Roman" w:eastAsia="Times New Roman" w:hAnsi="Times New Roman" w:cs="Times New Roman"/>
          <w:sz w:val="24"/>
          <w:szCs w:val="24"/>
        </w:rPr>
        <w:t>, que hace referencia a los prisioneros de guerra. Respecto al cuarto Convenio de Ginebra</w:t>
      </w:r>
      <w:r>
        <w:rPr>
          <w:rFonts w:ascii="Times New Roman" w:eastAsia="Times New Roman" w:hAnsi="Times New Roman" w:cs="Times New Roman"/>
          <w:sz w:val="24"/>
          <w:szCs w:val="24"/>
          <w:vertAlign w:val="superscript"/>
        </w:rPr>
        <w:footnoteReference w:id="42"/>
      </w:r>
      <w:r>
        <w:rPr>
          <w:rFonts w:ascii="Times New Roman" w:eastAsia="Times New Roman" w:hAnsi="Times New Roman" w:cs="Times New Roman"/>
          <w:sz w:val="24"/>
          <w:szCs w:val="24"/>
        </w:rPr>
        <w:t xml:space="preserve"> que ampara a personas con una protección especial, tampoco sería de empleo a los terroristas.</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Existen una serie de errores en la sentencia que analizamos. Unos de los principales fallos, es otorgar a los detenidos la figura de terroristas, para ello es necesario la iniciación de un procedimiento penal para verificar que los detenidos </w:t>
      </w:r>
      <w:r>
        <w:rPr>
          <w:rFonts w:ascii="Times New Roman" w:eastAsia="Times New Roman" w:hAnsi="Times New Roman" w:cs="Times New Roman"/>
          <w:sz w:val="24"/>
          <w:szCs w:val="24"/>
        </w:rPr>
        <w:lastRenderedPageBreak/>
        <w:t>forman parte de un grupo armado y estructurado, además de demostrar que perpetró el delito. Al no llevarse a cabo este procedimiento no le podemos otorgar a los detenidos las identidad de terroristas, sino más bien es oportuno considerarlos como "presuntos terroristas".</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supuesto de que realmente el Tribunal acertara con la consideración de los detenidos como "presuntos" terroristas, el siguiente paso a realizar sería determinar si estos gozan de la protección de los Convenios de Ginebra, como sostiene este Tribunal.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articulado del tercer Convenio de Ginebra, observamos diversos tipos de prisioneros de guerra, pero ¿Qué ocurriría si los detenidos no fueran subsumibles a ninguna de las tipologías que recoge el convenio?. La respuesta se encuentra en el artículo 5</w:t>
      </w:r>
      <w:r>
        <w:rPr>
          <w:rFonts w:ascii="Times New Roman" w:eastAsia="Times New Roman" w:hAnsi="Times New Roman" w:cs="Times New Roman"/>
          <w:sz w:val="24"/>
          <w:szCs w:val="24"/>
          <w:vertAlign w:val="superscript"/>
        </w:rPr>
        <w:footnoteReference w:id="43"/>
      </w:r>
      <w:r>
        <w:rPr>
          <w:rFonts w:ascii="Times New Roman" w:eastAsia="Times New Roman" w:hAnsi="Times New Roman" w:cs="Times New Roman"/>
          <w:sz w:val="24"/>
          <w:szCs w:val="24"/>
        </w:rPr>
        <w:t xml:space="preserve"> de dicho convenio, que dice, que en el caso de duda se otorgará a los detenidos la cualidad de prisioneros de guerra.  Bajo esta afirmación, se determina la responsabilidad del Estado de proteger la integridad de los detenidos, pues actúa como garante de estos. Dicho esto se consideraría delito cualquier menoscabo que sufriera el detenido, tanto en sus integridad física, como psicológica, por una conducta dolosa u omisiva.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Pero siguiendo con la afirmación que realiza el Tribunal, deberíamos de alejarnos de cualquier concepción de prisionero de guerra, descartando el tercer Convenio de Ginebra y analizando, por consiguiente, el cuarto Convenio de Ginebra.</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cuarto Convenio de Ginebra, que se encuentra firmado por Irak, tiene como función proteger a aquellas personas civiles que residan en un Estado que se encuentra en un periodo de guerra. Sin embargo, este texto incluye una excepción, el artículo 5</w:t>
      </w:r>
      <w:r>
        <w:rPr>
          <w:rFonts w:ascii="Times New Roman" w:eastAsia="Times New Roman" w:hAnsi="Times New Roman" w:cs="Times New Roman"/>
          <w:sz w:val="24"/>
          <w:szCs w:val="24"/>
          <w:vertAlign w:val="superscript"/>
        </w:rPr>
        <w:footnoteReference w:id="44"/>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prevé la posibilidad de que ciertas personas que realizan tareas "perjudiciales" para la seguridad de una nación, queden fueran de los derechos o libertades que se les reconoce en este Convenio. Por lo tanto, si continuamos con la afirmación que realiza el Tribunal, los detenidos, como presuntos terroristas, no disfrutarían de estos derechos.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Aun así, y finalmente, la consideración que realiza el Tribunal de excluir a los detenidos de la protección de dicho convenio, por ser presunto terrorista, es totalmente errónea, aunque la convención excluye a ciertas personas de su amparo, esto no quiere decir que puedan ser objeto de torturas y tratos inhumanos. </w:t>
      </w:r>
      <w:r>
        <w:rPr>
          <w:rFonts w:ascii="Times New Roman" w:eastAsia="Times New Roman" w:hAnsi="Times New Roman" w:cs="Times New Roman"/>
          <w:b/>
          <w:sz w:val="24"/>
          <w:szCs w:val="24"/>
        </w:rPr>
        <w:t>Estos deben ser tratados en todo momento con totalidad humanidad en el proceso de detención.</w:t>
      </w:r>
      <w:r>
        <w:rPr>
          <w:rFonts w:ascii="Times New Roman" w:eastAsia="Times New Roman" w:hAnsi="Times New Roman" w:cs="Times New Roman"/>
          <w:sz w:val="24"/>
          <w:szCs w:val="24"/>
        </w:rPr>
        <w:t xml:space="preserve">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definitiva, podemos decir que el Tribunal se equivoca, excluyendo a los detenidos de los Convenios de Ginebra, aunque estos excluyan a ciertas personas de disfrutar de los derechos y libertades que recogen, también dicen que todas las personas sean terroristas, prisioneros de guerra o personas civiles deberán ser tratadas con humanidad, y por lo tanto no recibir torturas. Así, concretamos una prohibición absoluta de la tortura, ya esté en riesgo, la seguridad de un estado, o su democracia.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Por lo que podemos decir que el delito de torturas no encuentra aquí una posible excepción o justificación. Así toda actividad que incluya un sufrimiento, daño o menoscabo, a la integridad física y moral de una persona, será considerada como una actividad delictiva, incluso desde el punto de vista de este convenio. Por lo tanto, introducimos dentro de esta reflexión aquellas torturas que los servicios de inteligencia ha realizado contra presunto terroristas, justificándolo en que estos no son objeto de amparo por los Convenios de Ginebra.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Además, esta sentencia guarda relación con las actividades que Estados Unidos lleva a cabo en el centro de detención de Guantánamo. El Gobierno de Bush, consideró que los presuntos terroristas al no ser, siguiendo las Convenciones de Ginebra, ni prisioneros de guerra, ni personas civiles protegidas, debían ser excluidos de la protección de los Convenios. A esto añadió, que los Convenios protegen a los Estados firmantes, y no a grupos terroristas como Al Qaeda. Respecto a esto, el Profesor Guillermo Portilla, establece al "detenido" en Guantánamo, como un nuevo </w:t>
      </w:r>
      <w:r>
        <w:rPr>
          <w:rFonts w:ascii="Times New Roman" w:eastAsia="Times New Roman" w:hAnsi="Times New Roman" w:cs="Times New Roman"/>
          <w:i/>
          <w:sz w:val="24"/>
          <w:szCs w:val="24"/>
        </w:rPr>
        <w:t>homo sacer</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siendo la tortura un instrumento de control.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Podemos considerar a Guantánamo, como una prisión donde el Derecho no tiene cabida, en el que gobierna la excepcionalidad. Además, se descubrió que Guantánamo alberga un centro secreto donde la CIA lleva a cabo sus actividades ilegales contra "presuntos" terroristas, así hablamos de Guantánamo</w:t>
      </w:r>
      <w:r>
        <w:rPr>
          <w:rStyle w:val="Refdenotaalpie"/>
          <w:rFonts w:ascii="Times New Roman" w:eastAsia="Times New Roman" w:hAnsi="Times New Roman" w:cs="Times New Roman"/>
          <w:sz w:val="24"/>
          <w:szCs w:val="24"/>
        </w:rPr>
        <w:footnoteReference w:id="45"/>
      </w:r>
      <w:r>
        <w:rPr>
          <w:rFonts w:ascii="Times New Roman" w:eastAsia="Times New Roman" w:hAnsi="Times New Roman" w:cs="Times New Roman"/>
          <w:sz w:val="24"/>
          <w:szCs w:val="24"/>
        </w:rPr>
        <w:t xml:space="preserve"> como exponente absoluto de la excepcionalidad del Derecho.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Administración estadounidense aplica a los detenidos ilegales, la </w:t>
      </w:r>
      <w:r>
        <w:rPr>
          <w:rFonts w:ascii="Times New Roman" w:eastAsia="Times New Roman" w:hAnsi="Times New Roman" w:cs="Times New Roman"/>
          <w:i/>
          <w:sz w:val="24"/>
          <w:szCs w:val="24"/>
        </w:rPr>
        <w:t>Orden Militar de 13 de noviembre de 2001</w:t>
      </w:r>
      <w:r>
        <w:rPr>
          <w:rFonts w:ascii="Times New Roman" w:eastAsia="Times New Roman" w:hAnsi="Times New Roman" w:cs="Times New Roman"/>
          <w:sz w:val="24"/>
          <w:szCs w:val="24"/>
        </w:rPr>
        <w:t>, relativa a la detención indefinida de ciertas personas sin cargos sobre ellos. En Guantánamo, abundan las prácticas deshonestas, inhumanas y degradantes sobre los detenidos: sufren interrogatorios de larga duración, permanecen de pie durante varias horas, soportan ataques contra sus fobias, son privados de cualquier privilegio (luz, sueño e higiene), etc. En conclusión, se infringe cualquier normativa que haga alusión a la tortura, desde las Convenciones de Ginebra relativas a la protección de ciertas personas de las torturas, hasta el Pacto Internacional de Derechos Civiles y políticos</w:t>
      </w:r>
      <w:r>
        <w:rPr>
          <w:rFonts w:ascii="Times New Roman" w:eastAsia="Times New Roman" w:hAnsi="Times New Roman" w:cs="Times New Roman"/>
          <w:sz w:val="24"/>
          <w:szCs w:val="24"/>
          <w:vertAlign w:val="superscript"/>
        </w:rPr>
        <w:footnoteReference w:id="46"/>
      </w:r>
      <w:r>
        <w:rPr>
          <w:rFonts w:ascii="Times New Roman" w:eastAsia="Times New Roman" w:hAnsi="Times New Roman" w:cs="Times New Roman"/>
          <w:sz w:val="24"/>
          <w:szCs w:val="24"/>
        </w:rPr>
        <w:t xml:space="preserve">.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Como expone el profesor Guillermo Portilla: "</w:t>
      </w:r>
      <w:r>
        <w:rPr>
          <w:rFonts w:ascii="Times New Roman" w:eastAsia="Times New Roman" w:hAnsi="Times New Roman" w:cs="Times New Roman"/>
          <w:i/>
          <w:sz w:val="24"/>
          <w:szCs w:val="24"/>
        </w:rPr>
        <w:t>los campos de concentración de Guantánamo, las prisiones y vuelos secretos de la CIA, los centros de tortura en Irak, etc., son lugares elegidos en las posmodernidad para suspender el derecho, las garantías jurídicas, el sitio en el que la violencia fundadora del no-derecho se transforma en una contraviolencia preventiva legalizada. Una excepcionalidad que transcendida de un derecho que se suspende a sí mismo cuando el "príncipe" decide la existencia de un peligro para la conservación del Estado</w:t>
      </w:r>
      <w:r>
        <w:rPr>
          <w:rFonts w:ascii="Times New Roman" w:eastAsia="Times New Roman" w:hAnsi="Times New Roman" w:cs="Times New Roman"/>
          <w:i/>
          <w:sz w:val="24"/>
          <w:szCs w:val="24"/>
          <w:vertAlign w:val="superscript"/>
        </w:rPr>
        <w:footnoteReference w:id="47"/>
      </w:r>
      <w:r>
        <w:rPr>
          <w:rFonts w:ascii="Times New Roman" w:eastAsia="Times New Roman" w:hAnsi="Times New Roman" w:cs="Times New Roman"/>
          <w:i/>
          <w:sz w:val="24"/>
          <w:szCs w:val="24"/>
        </w:rPr>
        <w:t xml:space="preserve">".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Por último, nos encontramos con un creciente desarrollo de la legislación de guerra, basada en un derecho sin protección, tanto penal, como procesal. JAKOBS, </w:t>
      </w:r>
      <w:r>
        <w:rPr>
          <w:rFonts w:ascii="Times New Roman" w:eastAsia="Times New Roman" w:hAnsi="Times New Roman" w:cs="Times New Roman"/>
          <w:sz w:val="24"/>
          <w:szCs w:val="24"/>
        </w:rPr>
        <w:lastRenderedPageBreak/>
        <w:t xml:space="preserve">quien analiza la cuestión a fondo, planteó </w:t>
      </w:r>
      <w:r>
        <w:rPr>
          <w:rFonts w:ascii="Times New Roman" w:eastAsia="Times New Roman" w:hAnsi="Times New Roman" w:cs="Times New Roman"/>
          <w:i/>
          <w:sz w:val="24"/>
          <w:szCs w:val="24"/>
        </w:rPr>
        <w:t>"Que un Estado que no conoce custodia de seguridad, que pena la fundación de una asociación terrorista exclusivamente en cuanto delito contra el orden público, al que son ajenos la incomunicación, las escuchas masivas, los agentes encubiertos y muchos otros instrumentos, se acerca más al ideal de un Estado de Derecho que uno que permite tales instituciones y medidas, ésta es una constatación que sólo puede llevarse a cabo en abstracto; en cambio, en concreto puede ser que la renuncia a estas instituciones vacíe de contenido el derecho del ciudadano a la seguridad, y este derecho a la seguridad sólo es otra denominación del derecho al estado de vigencia real del ordenamiento jurídico</w:t>
      </w:r>
      <w:r>
        <w:rPr>
          <w:rFonts w:ascii="Times New Roman" w:eastAsia="Times New Roman" w:hAnsi="Times New Roman" w:cs="Times New Roman"/>
          <w:i/>
          <w:sz w:val="24"/>
          <w:szCs w:val="24"/>
          <w:vertAlign w:val="superscript"/>
        </w:rPr>
        <w:footnoteReference w:id="48"/>
      </w:r>
      <w:r>
        <w:rPr>
          <w:rFonts w:ascii="Times New Roman" w:eastAsia="Times New Roman" w:hAnsi="Times New Roman" w:cs="Times New Roman"/>
          <w:i/>
          <w:sz w:val="24"/>
          <w:szCs w:val="24"/>
        </w:rPr>
        <w:t>".</w:t>
      </w:r>
    </w:p>
    <w:p w:rsidR="00EB6FB2" w:rsidRDefault="00EB6FB2" w:rsidP="00EB6FB2">
      <w:pPr>
        <w:pStyle w:val="Ttulo1"/>
      </w:pPr>
      <w:bookmarkStart w:id="26" w:name="_Toc486448333"/>
      <w:r>
        <w:t>5.4. Los delitos de los servicios de inteligencia contra el "ámbito personal" de los ciudadanos.</w:t>
      </w:r>
      <w:bookmarkEnd w:id="26"/>
      <w:r>
        <w:t xml:space="preserv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La divulgación por los SI de la información obtenida en sus investigaciones, puede suponer un delito contra el honor y la intimidad</w:t>
      </w:r>
      <w:r>
        <w:rPr>
          <w:rFonts w:ascii="Times New Roman" w:eastAsia="Times New Roman" w:hAnsi="Times New Roman" w:cs="Times New Roman"/>
          <w:sz w:val="24"/>
          <w:szCs w:val="24"/>
          <w:vertAlign w:val="superscript"/>
        </w:rPr>
        <w:footnoteReference w:id="49"/>
      </w:r>
      <w:r>
        <w:rPr>
          <w:rFonts w:ascii="Times New Roman" w:eastAsia="Times New Roman" w:hAnsi="Times New Roman" w:cs="Times New Roman"/>
          <w:sz w:val="24"/>
          <w:szCs w:val="24"/>
        </w:rPr>
        <w:t xml:space="preserve"> de las personas, este delito puede guardar una conexión con el delito contra la integridad moral, cuando la información es extraída de una persona a través de torturas y posteriormente dicha información es divulgada por los propios SI.</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derecho a la intimidad y el honor actúa como límite a las actuaciones de los SI, ya que la información que conozcan estos durante sus investigaciones no podrá ser difundida públicamente cuando pueda afectar a la esfera personal de los ciudadanos.</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Sin embargo, los SI tienen como función esencial recopilar información, para después ser traspasada al Gobierno para la toma de decisiones, en lo referente a la seguridad y defensa del Estado. El conocimiento de dicha información por los servicios de inteligencia en un primer momento no tiene porque vulnerar los derechos recogidos en el artículo 18 de nuestra Constitución, pero en ciertas actuaciones este derecho puede verse restringido.</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La justificación para que los Poderes Públicos, y en este caso los servicios de inteligencia, puedan actuar violando el derecho a la intimidad y el honor, está en que existan amenazas que puedan poner en peligro otros bienes jurídicos constitucionales, como podría ser la Defensa del Estado.</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regulación prevé una esfera de intimidad en la que la persona pueda tener una pacífica vida privada sin intromisiones del Estado o de los propios servicios de inteligencia. Pero el problema está cuando la actividad de los servicios de inteligencia puede invadir la esfera personal de los ciudadanos. Existe un control previo de las actuaciones de los servicios de inteligencia, en su propia ley reguladora, pero nada dice dicha ley del control previo a la actuaciones que puedan vulnerar el derecho a la intimidad y al honor (artículo 18.1 CE</w:t>
      </w:r>
      <w:r>
        <w:rPr>
          <w:rFonts w:ascii="Times New Roman" w:eastAsia="Times New Roman" w:hAnsi="Times New Roman" w:cs="Times New Roman"/>
          <w:sz w:val="24"/>
          <w:szCs w:val="24"/>
          <w:vertAlign w:val="superscript"/>
        </w:rPr>
        <w:footnoteReference w:id="50"/>
      </w:r>
      <w:r>
        <w:rPr>
          <w:rFonts w:ascii="Times New Roman" w:eastAsia="Times New Roman" w:hAnsi="Times New Roman" w:cs="Times New Roman"/>
          <w:sz w:val="24"/>
          <w:szCs w:val="24"/>
        </w:rPr>
        <w:t>), mientras que si prevé un control previo para los artículos 18.2 y 3 de la CE.</w:t>
      </w:r>
    </w:p>
    <w:p w:rsidR="00EB6FB2" w:rsidRDefault="00EB6FB2" w:rsidP="00EB6FB2">
      <w:pPr>
        <w:pStyle w:val="Normal1"/>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El Tribunal Supremo se manifestó al respecto de dichas actividades, en la STS -Sala 2ª- de 6 de mayo de 1993: </w:t>
      </w:r>
      <w:r>
        <w:rPr>
          <w:rFonts w:ascii="Times New Roman" w:eastAsia="Times New Roman" w:hAnsi="Times New Roman" w:cs="Times New Roman"/>
          <w:i/>
          <w:sz w:val="24"/>
          <w:szCs w:val="24"/>
        </w:rPr>
        <w:t>“Mediante la percepción visual y directa de las acciones que realizan en la vía pública o en cualquier otro espacio abierto (...) la captación de imágenes se encuentra autorizada por la ley en el curso de una investigación criminal siempre que se limite a la grabación de lo que ocurre en espacios públicos fuera del recinto inviolable donde tiene lugar el ejercicio de la intimidad. Por ello, cuando el emplazamiento de aparatos de filmación o de escucha invada el espacio restringido reservado para la intimidad de las personas, sólo puede ser acordado en virtud de mandamiento judicial que constituye un instrumento habilitante para la intromisión en un derecho fundamental. No estarían autorizados sin el oportuno plácet judicial, aquellos medios de captación de la imagen o del sonido que filmaran escenas en el interior del domicilio, prevaliéndose de los adelantos y posibilidades técnicas de estos aparatos grabadores, aun cuando la captación tuviera lugar desde emplazamientos alejados del recinto domiciliario</w:t>
      </w:r>
      <w:r>
        <w:rPr>
          <w:rFonts w:ascii="Times New Roman" w:eastAsia="Times New Roman" w:hAnsi="Times New Roman" w:cs="Times New Roman"/>
          <w:i/>
          <w:sz w:val="24"/>
          <w:szCs w:val="24"/>
          <w:vertAlign w:val="superscript"/>
        </w:rPr>
        <w:footnoteReference w:id="51"/>
      </w:r>
      <w:r>
        <w:rPr>
          <w:rFonts w:ascii="Times New Roman" w:eastAsia="Times New Roman" w:hAnsi="Times New Roman" w:cs="Times New Roman"/>
          <w:i/>
          <w:sz w:val="24"/>
          <w:szCs w:val="24"/>
        </w:rPr>
        <w:t>”.</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Por lo tanto el Tribunal Supremo considera legítimo que se pudiera hacer un seguimiento de ciertas personas sospechosas pero siempre que fuera en un lugar público, y en el caso de que fuera necesario una intromisión en el domicilio del investigado, es esencial una autorización judicial. Aunque hay considerar que el seguimiento público puede vulnerar el derecho que analizamos, pues pueden verse expuestos circunstancias íntimas de esa persona.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ámbito nacional encontramos dos casos o escándalos, en los que los SI han sobrepasado la esfera de la intimidad de los ciudadanos con sus actuaciones. Hablamos de las escuchas del CESID y las escuchas realizadas al propio Rey.</w:t>
      </w:r>
    </w:p>
    <w:p w:rsidR="00EB6FB2" w:rsidRDefault="00EB6FB2" w:rsidP="00EB6FB2">
      <w:pPr>
        <w:pStyle w:val="Normal1"/>
        <w:spacing w:line="360" w:lineRule="auto"/>
        <w:ind w:firstLine="720"/>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Comencemos analizando el caso controvertido de las escuchas del CESID. Este organismo realizó durante casi 11 años grabaciones de conversaciones telefónicas de cualquier índole, grabaciones que recaían sobre políticos, diplomáticos, periodistas y hasta como hemos dicho antes en el propio Rey. La jurisprudencia en este caso, concreto algo que no había realizado la propia Ley reguladora del CNI, determinando que la seguridad nacional nunca puede prevalecerse ante los derechos fundamentales y en concreto ante el derecho a la intimidad. Así lo estableció la sentencia 26 de Mayo de 1999, que condenaba a los acusados de realizar las escuchas.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 hilo de este caso encontramos las escuchas del CESID al Rey emérito Juan Carlos I. Los principales medios de comunicación de España apuntan que las escuchas fueron utilizadas para que el Rey obviara de su tradicional discurso de Navidad cualquier alusión a los casos de corrupción que afectó de lleno al PSOE y en su caso al Gobierno de Felipe González. El Rey fue chantajeado por el CESID con divulgar una supuesta relación extramatrimonial.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conclusión, las actividades de los servicios de inteligencia cuando afectan a la intimidad y al honor solo pueden verse probadas cuando está en peligro la defensa nacional, pero el problema está en que no existe un control judicial o un órgano encargado de controlar este tipo de actividades, por lo que se hace patente la necesidad </w:t>
      </w:r>
      <w:r>
        <w:rPr>
          <w:rFonts w:ascii="Times New Roman" w:eastAsia="Times New Roman" w:hAnsi="Times New Roman" w:cs="Times New Roman"/>
          <w:sz w:val="24"/>
          <w:szCs w:val="24"/>
        </w:rPr>
        <w:lastRenderedPageBreak/>
        <w:t>de someter  dichas actuaciones a  control judicial al igual que se realiza con los artículos 18.2 y 3 CE.</w:t>
      </w:r>
    </w:p>
    <w:p w:rsidR="00EB6FB2" w:rsidRDefault="00EB6FB2" w:rsidP="00EB6FB2">
      <w:pPr>
        <w:pStyle w:val="Ttulo1"/>
        <w:spacing w:line="360" w:lineRule="auto"/>
        <w:jc w:val="both"/>
        <w:rPr>
          <w:color w:val="FF0000"/>
        </w:rPr>
      </w:pPr>
      <w:bookmarkStart w:id="27" w:name="_Toc486448334"/>
      <w:r>
        <w:t>5.4.1. El descubrimiento y revelación de secretos, como posible delito de los servicios de inteligencia.</w:t>
      </w:r>
      <w:bookmarkEnd w:id="27"/>
      <w:r>
        <w:t xml:space="preserv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Código penal se preocupa en concretar en un único título la protección de la intimidad, la propia imagen y la inviolabilidad del domicilio, lo realiza a través del Título X del Libro II del Código Penal de 1995, </w:t>
      </w:r>
      <w:r>
        <w:rPr>
          <w:rFonts w:ascii="Times New Roman" w:eastAsia="Times New Roman" w:hAnsi="Times New Roman" w:cs="Times New Roman"/>
          <w:i/>
          <w:sz w:val="24"/>
          <w:szCs w:val="24"/>
        </w:rPr>
        <w:t xml:space="preserve">Delitos contra la intimidad, el derecho a la propia imagen y la inviolabilidad del domicilio. </w:t>
      </w:r>
      <w:r>
        <w:rPr>
          <w:rFonts w:ascii="Times New Roman" w:eastAsia="Times New Roman" w:hAnsi="Times New Roman" w:cs="Times New Roman"/>
          <w:sz w:val="24"/>
          <w:szCs w:val="24"/>
        </w:rPr>
        <w:t xml:space="preserve">Pero en este epígrafe, nos centraremos en analizar el delito que recoge el artículo 197, que hace referencia al </w:t>
      </w:r>
      <w:r>
        <w:rPr>
          <w:rFonts w:ascii="Times New Roman" w:eastAsia="Times New Roman" w:hAnsi="Times New Roman" w:cs="Times New Roman"/>
          <w:i/>
          <w:sz w:val="24"/>
          <w:szCs w:val="24"/>
        </w:rPr>
        <w:t xml:space="preserve">descubrimiento y revelación de secretos, </w:t>
      </w:r>
      <w:r>
        <w:rPr>
          <w:rFonts w:ascii="Times New Roman" w:eastAsia="Times New Roman" w:hAnsi="Times New Roman" w:cs="Times New Roman"/>
          <w:sz w:val="24"/>
          <w:szCs w:val="24"/>
        </w:rPr>
        <w:t>así el artículo 197.1</w:t>
      </w:r>
      <w:r>
        <w:rPr>
          <w:rFonts w:ascii="Times New Roman" w:eastAsia="Times New Roman" w:hAnsi="Times New Roman" w:cs="Times New Roman"/>
          <w:sz w:val="24"/>
          <w:szCs w:val="24"/>
          <w:vertAlign w:val="superscript"/>
        </w:rPr>
        <w:footnoteReference w:id="52"/>
      </w:r>
      <w:r>
        <w:rPr>
          <w:rFonts w:ascii="Times New Roman" w:eastAsia="Times New Roman" w:hAnsi="Times New Roman" w:cs="Times New Roman"/>
          <w:sz w:val="24"/>
          <w:szCs w:val="24"/>
        </w:rPr>
        <w:t xml:space="preserve"> recoge un tipo básico para la protección de los secretos.</w:t>
      </w:r>
    </w:p>
    <w:p w:rsidR="00EB6FB2" w:rsidRDefault="00EB6FB2" w:rsidP="00EB6FB2">
      <w:pPr>
        <w:pStyle w:val="Normal1"/>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artículo establece tres conductas diferentes</w:t>
      </w:r>
      <w:r>
        <w:rPr>
          <w:rFonts w:ascii="Times New Roman" w:eastAsia="Times New Roman" w:hAnsi="Times New Roman" w:cs="Times New Roman"/>
          <w:sz w:val="24"/>
          <w:szCs w:val="24"/>
          <w:vertAlign w:val="superscript"/>
        </w:rPr>
        <w:footnoteReference w:id="53"/>
      </w:r>
      <w:r>
        <w:rPr>
          <w:rFonts w:ascii="Times New Roman" w:eastAsia="Times New Roman" w:hAnsi="Times New Roman" w:cs="Times New Roman"/>
          <w:sz w:val="24"/>
          <w:szCs w:val="24"/>
        </w:rPr>
        <w:t xml:space="preserve"> para cometer el delito:</w:t>
      </w:r>
    </w:p>
    <w:p w:rsidR="00EB6FB2" w:rsidRDefault="00EB6FB2" w:rsidP="00EB6FB2">
      <w:pPr>
        <w:pStyle w:val="Normal1"/>
        <w:numPr>
          <w:ilvl w:val="0"/>
          <w:numId w:val="2"/>
        </w:numPr>
        <w:spacing w:after="0" w:line="36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Apoderarse de ciertas cosas que pueden guardar secretos o información íntima, como ejemplos: cartas, objetos personales, documentos, etc.</w:t>
      </w:r>
    </w:p>
    <w:p w:rsidR="00EB6FB2" w:rsidRDefault="00EB6FB2" w:rsidP="00EB6FB2">
      <w:pPr>
        <w:pStyle w:val="Normal1"/>
        <w:numPr>
          <w:ilvl w:val="0"/>
          <w:numId w:val="2"/>
        </w:numPr>
        <w:spacing w:after="0" w:line="36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Interceptación de las comunicaciones realizadas por teléfono o aparato similar.</w:t>
      </w:r>
    </w:p>
    <w:p w:rsidR="00EB6FB2" w:rsidRDefault="00EB6FB2" w:rsidP="00EB6FB2">
      <w:pPr>
        <w:pStyle w:val="Normal1"/>
        <w:numPr>
          <w:ilvl w:val="0"/>
          <w:numId w:val="2"/>
        </w:numPr>
        <w:spacing w:after="0" w:line="36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Utilización de instrumentos para realizar escuchas o grabaciones de imágenes</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Todas estas conductas pueden ser englobadas dentro de las actividades que los servicios de inteligencia llevan a cabo, sobre todo aquellas que hace referencia a la realización de escuchas y grabaciones para la obtención de la información, sin embargo, pese a la posible justificación que estos aleguen, todas ellas son objeto de sanción penal.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Estamos ante un delito que busca castigar el descubrimiento de secretos </w:t>
      </w:r>
      <w:r>
        <w:rPr>
          <w:rFonts w:ascii="Times New Roman" w:eastAsia="Times New Roman" w:hAnsi="Times New Roman" w:cs="Times New Roman"/>
          <w:sz w:val="24"/>
          <w:szCs w:val="24"/>
        </w:rPr>
        <w:lastRenderedPageBreak/>
        <w:t>documentales y la interceptación de las comunicaciones, no hace referencia del soporte electrónico</w:t>
      </w:r>
      <w:r>
        <w:rPr>
          <w:rFonts w:ascii="Times New Roman" w:eastAsia="Times New Roman" w:hAnsi="Times New Roman" w:cs="Times New Roman"/>
          <w:sz w:val="24"/>
          <w:szCs w:val="24"/>
          <w:vertAlign w:val="superscript"/>
        </w:rPr>
        <w:footnoteReference w:id="54"/>
      </w:r>
      <w:r>
        <w:rPr>
          <w:rFonts w:ascii="Times New Roman" w:eastAsia="Times New Roman" w:hAnsi="Times New Roman" w:cs="Times New Roman"/>
          <w:sz w:val="24"/>
          <w:szCs w:val="24"/>
        </w:rPr>
        <w:t xml:space="preserve">, pues de ello se ocupa el tipo básico del apartado 2, y tampoco busca sancionar su difusión, ya que la difusión no se encuentra dentro de las conductas de este tipo básico, esto se castiga en el apartado 3, como tipo cualificado. Para apreciar este delito solo es necesario que exista por cualquier persona (sujeto activo) una intención especial de revelar o descubrir ciertos documentos que almacenan información secreta o íntima de otra persona (sujeto pasivo), por lo tanto, se sanciona las conducta dolosa. Y es castigado con la pena de prisión de uno a cuatro años y multa de doce a veinticuatro meses.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 obstante, para concretar, aún más, donde se introducirán las actividades de los servicios de inteligencia que pudiera vulnerar alguno de los derechos que aquí se establecen, habrá que observar los tipos cualificados del artículo 197, pues son estos los que guardan más relación, con el tipo de información que revela los servicios secretos, y por quien la posee. Ya que en este tipo básico observamos que el delito puede ser cometido por cualquier persona, por lo que realmente el 197.1 no es subsumible a los servicios de inteligencia ya que sus miembros tienen la consideración de funcionarios públicos.</w:t>
      </w:r>
    </w:p>
    <w:p w:rsidR="00EB6FB2" w:rsidRDefault="00EB6FB2" w:rsidP="00EB6FB2">
      <w:pPr>
        <w:pStyle w:val="Ttulo1"/>
      </w:pPr>
      <w:bookmarkStart w:id="28" w:name="_Toc486448335"/>
      <w:r>
        <w:t>5.4.2. La revelación de secretos por autoridad o funcionario público.</w:t>
      </w:r>
      <w:bookmarkEnd w:id="28"/>
      <w:r>
        <w:t xml:space="preserv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artículo 198</w:t>
      </w:r>
      <w:r>
        <w:rPr>
          <w:rFonts w:ascii="Times New Roman" w:eastAsia="Times New Roman" w:hAnsi="Times New Roman" w:cs="Times New Roman"/>
          <w:sz w:val="24"/>
          <w:szCs w:val="24"/>
          <w:vertAlign w:val="superscript"/>
        </w:rPr>
        <w:footnoteReference w:id="55"/>
      </w:r>
      <w:r>
        <w:rPr>
          <w:rFonts w:ascii="Times New Roman" w:eastAsia="Times New Roman" w:hAnsi="Times New Roman" w:cs="Times New Roman"/>
          <w:sz w:val="24"/>
          <w:szCs w:val="24"/>
        </w:rPr>
        <w:t xml:space="preserve"> del Código Penal recoge un tipo cualificado por la especialidad del sujeto que lo comete, en este caso por autoridad o funcionario público. Lo que pretende este artículo es castigar, al igual que otros artículos, las actividades realizadas por los funcionarios públicos. El legislador busca suprimir el régimen de privilegio del que gozan estos cuando realizan una revelación ilegítima de información secreta.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Este tipo agravado, procura dar una protección a aquellas personas, que sin el deber jurídico de soportarlo, reciben una intromisión ilegítima por parte de autoridades o funcionarios públicos, en la extralimitación de sus funciones. Se configura como un </w:t>
      </w:r>
      <w:r>
        <w:rPr>
          <w:rFonts w:ascii="Times New Roman" w:eastAsia="Times New Roman" w:hAnsi="Times New Roman" w:cs="Times New Roman"/>
          <w:i/>
          <w:sz w:val="24"/>
          <w:szCs w:val="24"/>
        </w:rPr>
        <w:t xml:space="preserve">delito especial impropio, </w:t>
      </w:r>
      <w:r>
        <w:rPr>
          <w:rFonts w:ascii="Times New Roman" w:eastAsia="Times New Roman" w:hAnsi="Times New Roman" w:cs="Times New Roman"/>
          <w:sz w:val="24"/>
          <w:szCs w:val="24"/>
        </w:rPr>
        <w:t xml:space="preserve">atendiendo a la posición de garante que posee el sujeto activo de este tipo penal. Por lo que, será </w:t>
      </w:r>
      <w:r>
        <w:rPr>
          <w:rFonts w:ascii="Times New Roman" w:eastAsia="Times New Roman" w:hAnsi="Times New Roman" w:cs="Times New Roman"/>
          <w:i/>
          <w:sz w:val="24"/>
          <w:szCs w:val="24"/>
        </w:rPr>
        <w:t>sujeto activo</w:t>
      </w:r>
      <w:r>
        <w:rPr>
          <w:rFonts w:ascii="Times New Roman" w:eastAsia="Times New Roman" w:hAnsi="Times New Roman" w:cs="Times New Roman"/>
          <w:sz w:val="24"/>
          <w:szCs w:val="24"/>
        </w:rPr>
        <w:t xml:space="preserve"> aquellos funcionarios o autoridades públicas que actúan fuera del espacio de sus competencias, prevaleciéndose de su posición privilegiada, y abusando de las funciones que le otorga su cargo. </w:t>
      </w:r>
    </w:p>
    <w:p w:rsidR="00EB6FB2" w:rsidRDefault="00EB6FB2" w:rsidP="00EB6FB2">
      <w:pPr>
        <w:pStyle w:val="Normal1"/>
        <w:spacing w:line="360" w:lineRule="auto"/>
        <w:ind w:firstLine="720"/>
        <w:jc w:val="both"/>
        <w:rPr>
          <w:sz w:val="24"/>
          <w:szCs w:val="24"/>
        </w:rPr>
      </w:pPr>
      <w:r>
        <w:rPr>
          <w:rFonts w:ascii="Times New Roman" w:eastAsia="Times New Roman" w:hAnsi="Times New Roman" w:cs="Times New Roman"/>
          <w:sz w:val="24"/>
          <w:szCs w:val="24"/>
        </w:rPr>
        <w:t xml:space="preserve">Es pertinente, realizar una definición de </w:t>
      </w:r>
      <w:r>
        <w:rPr>
          <w:rFonts w:ascii="Times New Roman" w:eastAsia="Times New Roman" w:hAnsi="Times New Roman" w:cs="Times New Roman"/>
          <w:i/>
          <w:sz w:val="24"/>
          <w:szCs w:val="24"/>
        </w:rPr>
        <w:t>funcionario público</w:t>
      </w:r>
      <w:r>
        <w:rPr>
          <w:rFonts w:ascii="Times New Roman" w:eastAsia="Times New Roman" w:hAnsi="Times New Roman" w:cs="Times New Roman"/>
          <w:i/>
          <w:sz w:val="24"/>
          <w:szCs w:val="24"/>
          <w:vertAlign w:val="superscript"/>
        </w:rPr>
        <w:footnoteReference w:id="56"/>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para concretar qué personas podrían ser englobadas dentro de este concepto, y por consiguiente ser objeto de este delito. Para ello utilizaremos la definición que otorga el artículo 24.2 CP, </w:t>
      </w:r>
      <w:r>
        <w:rPr>
          <w:rFonts w:ascii="Times New Roman" w:eastAsia="Times New Roman" w:hAnsi="Times New Roman" w:cs="Times New Roman"/>
          <w:i/>
          <w:sz w:val="24"/>
          <w:szCs w:val="24"/>
        </w:rPr>
        <w:t xml:space="preserve">“Se considerará funcionario público todo el que por disposición inmediata de la Ley o por elección o por nombramiento de autoridad competente participe en el ejercicio de funciones públicas”.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 consideramos a los miembros de los servicios de inteligencia como autoridad pública, la conducta típica que recoge este artículo es subsumible a aquellas actividades, en las que los servicios secretos, revelan o descubre información de otras personas, ya sea a través de la interceptación de las comunicaciones, o mediante el apoderamiento de documentos, ficheros, etc. Sobre todo cuando estos se exceden de sus funciones, o descubren información que rebasa lo estrictamente necesario.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objetivo de los servicios de inteligencia, como venimos reiterando, es la obtención de información necesaria, para su posterior análisis y traslado a las altas esferas políticas, para la defensa nacional del estado. Los miembros de este organismo, como autoridades públicas, utilizan  la justificación de la protección  de otro bien jurídico (seguridad nacional</w:t>
      </w:r>
      <w:r>
        <w:rPr>
          <w:rFonts w:ascii="Times New Roman" w:eastAsia="Times New Roman" w:hAnsi="Times New Roman" w:cs="Times New Roman"/>
          <w:sz w:val="24"/>
          <w:szCs w:val="24"/>
          <w:vertAlign w:val="superscript"/>
        </w:rPr>
        <w:footnoteReference w:id="57"/>
      </w:r>
      <w:r>
        <w:rPr>
          <w:rFonts w:ascii="Times New Roman" w:eastAsia="Times New Roman" w:hAnsi="Times New Roman" w:cs="Times New Roman"/>
          <w:sz w:val="24"/>
          <w:szCs w:val="24"/>
        </w:rPr>
        <w:t xml:space="preserve">) para recabar información de una forma ilegítima, ya sea realizando escuchas o grabaciones, interceptando información secreta, o apoderándose de documentos clasificados, pero siempre prevaliéndose del ejercicio de sus funciones, pues exceden el ámbito de sus facultades.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El fundamento de la cualificación que realiza este artículo, se encuentra en el prevalimiento del ejercicio de las funciones del sujeto activo. Así, queda fuera de este fundamento la posición de garante como criterio agravante de este tipo penal, no es necesario que la conducta sea realizada por la persona que supervisa los documentos, si no que exista un prevalimiento de su cargo, y aproveche dicha situación para descubrir y revelar la información.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Sin embargo, cuando el funcionario o autoridad pública, además de prevalecerse de su cargo, accediera a información o documentos que están bajo su custodia, estará cometiendo un delito específico de esta categoría penal, recogido en los artículos 413</w:t>
      </w:r>
      <w:r>
        <w:rPr>
          <w:rFonts w:ascii="Times New Roman" w:eastAsia="Times New Roman" w:hAnsi="Times New Roman" w:cs="Times New Roman"/>
          <w:sz w:val="24"/>
          <w:szCs w:val="24"/>
          <w:vertAlign w:val="superscript"/>
        </w:rPr>
        <w:footnoteReference w:id="58"/>
      </w:r>
      <w:r>
        <w:rPr>
          <w:rFonts w:ascii="Times New Roman" w:eastAsia="Times New Roman" w:hAnsi="Times New Roman" w:cs="Times New Roman"/>
          <w:sz w:val="24"/>
          <w:szCs w:val="24"/>
        </w:rPr>
        <w:t xml:space="preserve"> y siguientes, en este caso, el delito específico sería de aplicación preferente al cualificado. El tipo cualificado, castiga aprovechar su situación o cargo para conocer la información necesaria, siempre que no sea la persona que custodia la información, por lo tanto le sería de aplicación el tipo específico.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Forman la conducta típica de este delito, todas las descritas por el tipo básico (apoderarse de información, intervenir las comunicaciones, o el uso de aparatos electrónicos para la grabación o escucha de conversaciones, etc.). Son conductas que exigen que el funcionario público actúe fuera de la legalidad, sin que exista una posible justificación legal. Conducta que es exteriorizada continuamente por los servicios de inteligencia, en su búsqueda de la información para satisfacer al Gobierno. Para ello utiliza todo tipo de aparatos y métodos para llegar a aquella información que considere relevante para la defensa del Estado, saltándose los ámbitos de invulnerabilidad de las personas, es decir, los derechos fundamentales de los que son sujetos los ciudadanos, en este caso el derecho fundamental al honor, a la intimidad y a la propia imagen, así como a la inviolabilidad del domicilio.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Cuando los funcionarios o autoridades públicas, intervinieran telecomunicaciones, o utilizarán medios electrónicos para realizar escuchas, grabaciones </w:t>
      </w:r>
      <w:r>
        <w:rPr>
          <w:rFonts w:ascii="Times New Roman" w:eastAsia="Times New Roman" w:hAnsi="Times New Roman" w:cs="Times New Roman"/>
          <w:sz w:val="24"/>
          <w:szCs w:val="24"/>
        </w:rPr>
        <w:lastRenderedPageBreak/>
        <w:t>o transmisión de conversaciones, en un procedimiento de indagación judicial por delito, se aplicará el tipo penal del artículo 536 CP</w:t>
      </w:r>
      <w:r>
        <w:rPr>
          <w:rFonts w:ascii="Times New Roman" w:eastAsia="Times New Roman" w:hAnsi="Times New Roman" w:cs="Times New Roman"/>
          <w:sz w:val="24"/>
          <w:szCs w:val="24"/>
          <w:vertAlign w:val="superscript"/>
        </w:rPr>
        <w:footnoteReference w:id="59"/>
      </w:r>
      <w:r>
        <w:rPr>
          <w:rFonts w:ascii="Times New Roman" w:eastAsia="Times New Roman" w:hAnsi="Times New Roman" w:cs="Times New Roman"/>
          <w:sz w:val="24"/>
          <w:szCs w:val="24"/>
        </w:rPr>
        <w:t xml:space="preserve">. Quizás, este delito sea el que más parecido guarda con las actividades que realizan los servicios de inteligencia en su investigaciones. Se refiere a aquellas situaciones en las que las autoridades públicas se exceden del poder que la autoridad judicial le concede para realizar intromisiones en la intimidad de ciertas personas.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observamos, en estos supuestos las autoridades públicas se encuentran sometidas a un control judicial, a través del cual y bajo su responsabilidad, realizan la intromisión en la intimidad de la persona investigada. Esto nos recuerda, al control judicial al que se someten los servicios de inteligencia españoles (CNI), establecido por la Ley Orgánica 2/2002. Aun así, al igual que se observa en este delito, los servicios de inteligencia realizan intromisiones que van más allá de lo permitido por la autoridad judicial, invadiendo la intimidad del investigado en exceso. Por la información  transcendental y secreta que manejan los servicios secretos en este tipo de investigaciones, sería oportuno crear un tipo penal específico que castigue este tipo de intromisiones, pues el artículo 536 solo hace referencia a aspectos generales. </w:t>
      </w:r>
    </w:p>
    <w:p w:rsidR="00EB6FB2" w:rsidRDefault="00EB6FB2" w:rsidP="00EB6FB2">
      <w:pPr>
        <w:pStyle w:val="Normal1"/>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No obstante, cuando los funcionarios y autoridades actuaran dentro de los márgenes establecidos por las autoridades judiciales, no serán responsables penales, pues existe una justificación penal que legitima la vulneración del derecho fundamental. La justificación, se basa en el sometimiento a un deber o cargo público, para perseguir aquellos </w:t>
      </w:r>
      <w:r>
        <w:rPr>
          <w:rFonts w:ascii="Times New Roman" w:eastAsia="Times New Roman" w:hAnsi="Times New Roman" w:cs="Times New Roman"/>
          <w:i/>
          <w:sz w:val="24"/>
          <w:szCs w:val="24"/>
        </w:rPr>
        <w:t>delitos cometidos por los funcionarios públicos contra la inviolabilidad domiciliaria y demás garantías de la intimidad.</w:t>
      </w:r>
    </w:p>
    <w:p w:rsidR="00EB6FB2" w:rsidRDefault="00EB6FB2" w:rsidP="00EB6FB2">
      <w:pPr>
        <w:pStyle w:val="Normal1"/>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conclusión, nos encontramos ante un delito que coloca como sujetos activos a funcionarios y autoridades públicas, pero en el que puede ser incluido por completo los miembros de los servicios de inteligencia. Como hemos expuesto, este organismo del estado, en su perseguimiento de la información, supera límites infranqueables, como </w:t>
      </w:r>
      <w:r>
        <w:rPr>
          <w:rFonts w:ascii="Times New Roman" w:eastAsia="Times New Roman" w:hAnsi="Times New Roman" w:cs="Times New Roman"/>
          <w:sz w:val="24"/>
          <w:szCs w:val="24"/>
        </w:rPr>
        <w:lastRenderedPageBreak/>
        <w:t xml:space="preserve">es el derecho fundamental al honor, a la intimidad y la propia imagen, por ello este delito puede servir para castigar este tipo de conductas, sobre todo cuando se excede del margen que le otorgan las autoridades judiciales en sus investigaciones. Pero, por el tipo de información que manejan los SI no sería una insensatez castigar de forma agravada a estos, pues hay ocasiones en la que esta institución conoce aspectos de la intimidad de los ciudadanos que deja completamente vacío el contenido esencial del derecho que les protege. </w:t>
      </w:r>
    </w:p>
    <w:p w:rsidR="00EB6FB2" w:rsidRDefault="00EB6FB2" w:rsidP="00EB6FB2">
      <w:pPr>
        <w:pStyle w:val="Ttulo1"/>
        <w:spacing w:before="0" w:line="360" w:lineRule="auto"/>
      </w:pPr>
      <w:bookmarkStart w:id="29" w:name="_Toc486448336"/>
      <w:r>
        <w:t>6. LA RENDICIÓN EXTRAORDINARIA.</w:t>
      </w:r>
      <w:bookmarkEnd w:id="29"/>
    </w:p>
    <w:p w:rsidR="00EB6FB2" w:rsidRDefault="00EB6FB2" w:rsidP="00EB6FB2">
      <w:pPr>
        <w:pStyle w:val="Ttulo1"/>
        <w:spacing w:before="0"/>
      </w:pPr>
      <w:bookmarkStart w:id="30" w:name="_Toc486448337"/>
      <w:r>
        <w:t>6.1. Antecedentes.</w:t>
      </w:r>
      <w:bookmarkEnd w:id="30"/>
      <w:r>
        <w:t xml:space="preserv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Podemos decir que el desencadenante de las entregas extraordinarias fue el atentado del 11 de Septiembre de 2001. Antes de este momento las entregas se concebían como un método de extradición de ciertas personas sospechosas de estar relacionadas con el terrorismo para posteriormente ser juzgadas, de todo esto fue precursor Estados Unidos. Sin embargo, agencias de inteligencia estadounidenses trasladaban a los detenidos a otros países, no para ser sometidos a juicio sino para ser custodiados y vigilados, para que no fueran una futura amenaza.</w:t>
      </w:r>
    </w:p>
    <w:p w:rsidR="00EB6FB2" w:rsidRDefault="00EB6FB2" w:rsidP="00EB6FB2">
      <w:pPr>
        <w:pStyle w:val="Normal1"/>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Michael Scheuer ex jefe de la Unidad </w:t>
      </w:r>
      <w:proofErr w:type="spellStart"/>
      <w:r>
        <w:rPr>
          <w:rFonts w:ascii="Times New Roman" w:eastAsia="Times New Roman" w:hAnsi="Times New Roman" w:cs="Times New Roman"/>
          <w:sz w:val="24"/>
          <w:szCs w:val="24"/>
        </w:rPr>
        <w:t>Bin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Laden</w:t>
      </w:r>
      <w:proofErr w:type="spellEnd"/>
      <w:r>
        <w:rPr>
          <w:rFonts w:ascii="Times New Roman" w:eastAsia="Times New Roman" w:hAnsi="Times New Roman" w:cs="Times New Roman"/>
          <w:sz w:val="24"/>
          <w:szCs w:val="24"/>
        </w:rPr>
        <w:t xml:space="preserve"> declaró que este programa de entregas extraordinarias fue promovido inicialmente por la CIA, su objetivo era el traslado de terroristas a EEUU para encerrarlos como prisioneros de guerra. El programa no fue aceptado por el gobierno estadounidense, por lo que la propuesta fue traspasada y aceptada por Egipto. Scheuer expresó que la principal función del programa era sacar a los terroristas de la calle para obtener de ellos documentos, ordenadores y otro tipo de informaciones para ser analizada por la inteligencia. Este también determinó que la Casa Blanca era quien decidía en último lugar, los miembros de esta manifestaban: </w:t>
      </w:r>
      <w:r>
        <w:rPr>
          <w:rFonts w:ascii="Times New Roman" w:eastAsia="Times New Roman" w:hAnsi="Times New Roman" w:cs="Times New Roman"/>
          <w:i/>
          <w:sz w:val="24"/>
          <w:szCs w:val="24"/>
        </w:rPr>
        <w:t xml:space="preserve">"Que la CIA decidía cómo perseguir, capturar y detener a los terroristas [...] pero al no encontrar medios legales para mantener a todos los detenidos bajo la custodia estadounidense, preferían dejar que otros países hicieran el </w:t>
      </w:r>
      <w:r>
        <w:rPr>
          <w:rFonts w:ascii="Times New Roman" w:eastAsia="Times New Roman" w:hAnsi="Times New Roman" w:cs="Times New Roman"/>
          <w:i/>
          <w:sz w:val="24"/>
          <w:szCs w:val="24"/>
        </w:rPr>
        <w:lastRenderedPageBreak/>
        <w:t>trabajo sucio"</w:t>
      </w:r>
      <w:r>
        <w:rPr>
          <w:rFonts w:ascii="Times New Roman" w:eastAsia="Times New Roman" w:hAnsi="Times New Roman" w:cs="Times New Roman"/>
          <w:i/>
          <w:sz w:val="24"/>
          <w:szCs w:val="24"/>
          <w:vertAlign w:val="superscript"/>
        </w:rPr>
        <w:footnoteReference w:id="60"/>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Aunque oficialmente se seguía manifestando que la rendición extraordinaria había sido creada para procesar a los sospechosos de terrorismo. El director de la CIA en el año 2000, George Tenet declaró: </w:t>
      </w:r>
      <w:r>
        <w:rPr>
          <w:rFonts w:ascii="Times New Roman" w:eastAsia="Times New Roman" w:hAnsi="Times New Roman" w:cs="Times New Roman"/>
          <w:i/>
          <w:sz w:val="24"/>
          <w:szCs w:val="24"/>
        </w:rPr>
        <w:t xml:space="preserve">"Que desde Julio de 1998 trabajamos con otros gobiernos del mundo, nosotros hemos ayudado a que más de una docena de terrorista sean entregados a la justicia. Más de la mitad eran fieles a Osama </w:t>
      </w:r>
      <w:proofErr w:type="spellStart"/>
      <w:r>
        <w:rPr>
          <w:rFonts w:ascii="Times New Roman" w:eastAsia="Times New Roman" w:hAnsi="Times New Roman" w:cs="Times New Roman"/>
          <w:i/>
          <w:sz w:val="24"/>
          <w:szCs w:val="24"/>
        </w:rPr>
        <w:t>Bin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Laden</w:t>
      </w:r>
      <w:proofErr w:type="spellEnd"/>
      <w:r>
        <w:rPr>
          <w:rFonts w:ascii="Times New Roman" w:eastAsia="Times New Roman" w:hAnsi="Times New Roman" w:cs="Times New Roman"/>
          <w:i/>
          <w:sz w:val="24"/>
          <w:szCs w:val="24"/>
        </w:rPr>
        <w:t xml:space="preserve"> e integrantes de Al Qaeda. Estas entregas han evitado que ocurrieran ataques terroristas, así como la destrucción de células terroristas"</w:t>
      </w:r>
      <w:r>
        <w:rPr>
          <w:rFonts w:ascii="Times New Roman" w:eastAsia="Times New Roman" w:hAnsi="Times New Roman" w:cs="Times New Roman"/>
          <w:i/>
          <w:sz w:val="24"/>
          <w:szCs w:val="24"/>
          <w:vertAlign w:val="superscript"/>
        </w:rPr>
        <w:footnoteReference w:id="61"/>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Pero no queda claro nada de lo manifestado ya que la organización Amnistía Internacional requirió a las CIA en más de una ocasión información relacionada con las entregas y los juicios realizados, sin embargo no recibió dicha información.</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Tras el 11 de Septiembre comienza la etapa plena de las entregas extraordinarias, ya que la CIA y en este caso el Gobierno de Bush se dejaron de perspicacias. Bush aprobó la Rendición extraordinaria como un instrumento con el que Estados Unidos contrataba con terceros países el envío de terroristas para que éstos fueran interrogados y torturados. Así se hizo públicamente por el presidente de los Estados Unidos el 6 de Septiembre de 2006.  En conferencia, Bush manifestó que un pequeño número de supuestos terroristas</w:t>
      </w:r>
      <w:r>
        <w:rPr>
          <w:rFonts w:ascii="Times New Roman" w:eastAsia="Times New Roman" w:hAnsi="Times New Roman" w:cs="Times New Roman"/>
          <w:sz w:val="24"/>
          <w:szCs w:val="24"/>
          <w:vertAlign w:val="superscript"/>
        </w:rPr>
        <w:footnoteReference w:id="62"/>
      </w:r>
      <w:r>
        <w:rPr>
          <w:rFonts w:ascii="Times New Roman" w:eastAsia="Times New Roman" w:hAnsi="Times New Roman" w:cs="Times New Roman"/>
          <w:sz w:val="24"/>
          <w:szCs w:val="24"/>
        </w:rPr>
        <w:t xml:space="preserve"> habían sido capturados durante la guerra , y que habían sido interrogados fuera del país y posteriormente transferidos a Guantánamo, todo esto mediante un programa promovido por la CIA, es decir, la Rendición extraordinaria. Aclaró que el programa de entregas extraordinarias y secretas que utilizaba interrogatorios alternativos, para su posterior traslado a prisiones secretas, todavía seguía abierto.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Era la primera vez que el gobierno de los Estados Unidos revelaba la existencia de cárceles secretas para el encarcelamiento de terroristas. Durante varias décadas </w:t>
      </w:r>
      <w:r>
        <w:rPr>
          <w:rFonts w:ascii="Times New Roman" w:eastAsia="Times New Roman" w:hAnsi="Times New Roman" w:cs="Times New Roman"/>
          <w:sz w:val="24"/>
          <w:szCs w:val="24"/>
        </w:rPr>
        <w:lastRenderedPageBreak/>
        <w:t xml:space="preserve">Estados Unidos y otros países habían utilizado el sistema de "rendición" para transportar supuestos terroristas desde su lugar de origen a otro país donde ellos eran interrogados, detenidos y entregados a la justicia. Pero ha habido casos en que, por alguna razón, el gobierno local no pudo detener o enjuiciar a un sospechoso, al ser la extradición tradicional una mala opción. En estos casos, el gobierno local puede tomar la decisión soberana de cooperar en una rendición.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John </w:t>
      </w:r>
      <w:proofErr w:type="spellStart"/>
      <w:r>
        <w:rPr>
          <w:rFonts w:ascii="Times New Roman" w:eastAsia="Times New Roman" w:hAnsi="Times New Roman" w:cs="Times New Roman"/>
          <w:sz w:val="24"/>
          <w:szCs w:val="24"/>
        </w:rPr>
        <w:t>Bellinger</w:t>
      </w:r>
      <w:proofErr w:type="spellEnd"/>
      <w:r>
        <w:rPr>
          <w:rFonts w:ascii="Times New Roman" w:eastAsia="Times New Roman" w:hAnsi="Times New Roman" w:cs="Times New Roman"/>
          <w:sz w:val="24"/>
          <w:szCs w:val="24"/>
        </w:rPr>
        <w:t>, asesor jurídico de Estados Unidos, determinó la existencia de 1.245 vuelos irregulares</w:t>
      </w:r>
      <w:r>
        <w:rPr>
          <w:rFonts w:ascii="Times New Roman" w:eastAsia="Times New Roman" w:hAnsi="Times New Roman" w:cs="Times New Roman"/>
          <w:sz w:val="24"/>
          <w:szCs w:val="24"/>
          <w:vertAlign w:val="superscript"/>
        </w:rPr>
        <w:footnoteReference w:id="63"/>
      </w:r>
      <w:r>
        <w:rPr>
          <w:rFonts w:ascii="Times New Roman" w:eastAsia="Times New Roman" w:hAnsi="Times New Roman" w:cs="Times New Roman"/>
          <w:sz w:val="24"/>
          <w:szCs w:val="24"/>
        </w:rPr>
        <w:t xml:space="preserve">, aunque pueden ser más, relacionados con las actividades llevadas a cabo por la CIA en Europa entre el año 2001 y 2005. Por lo que se pone de manifiesto que varios países de la Unión Europea cooperan con Estados Unidos en el programa de rendición extraordinaria. Así lo manifestó </w:t>
      </w:r>
      <w:proofErr w:type="spellStart"/>
      <w:r>
        <w:rPr>
          <w:rFonts w:ascii="Times New Roman" w:eastAsia="Times New Roman" w:hAnsi="Times New Roman" w:cs="Times New Roman"/>
          <w:sz w:val="24"/>
          <w:szCs w:val="24"/>
        </w:rPr>
        <w:t>Bellinger</w:t>
      </w:r>
      <w:proofErr w:type="spellEnd"/>
      <w:r>
        <w:rPr>
          <w:rFonts w:ascii="Times New Roman" w:eastAsia="Times New Roman" w:hAnsi="Times New Roman" w:cs="Times New Roman"/>
          <w:sz w:val="24"/>
          <w:szCs w:val="24"/>
        </w:rPr>
        <w:t xml:space="preserve"> en una Comisión de las Naciones Unidas exponiendo que varios países europeos permitían el hospedaje de terroristas para ser interrogados y detenidos. Hoy en día el análisis de estos vuelos irregulares y el uso de la herramienta de la rendición extraordinaria es objeto de preocupación del Parlamento Europeo</w:t>
      </w:r>
      <w:r>
        <w:rPr>
          <w:rFonts w:ascii="Times New Roman" w:eastAsia="Times New Roman" w:hAnsi="Times New Roman" w:cs="Times New Roman"/>
          <w:sz w:val="24"/>
          <w:szCs w:val="24"/>
          <w:vertAlign w:val="superscript"/>
        </w:rPr>
        <w:footnoteReference w:id="64"/>
      </w:r>
      <w:r>
        <w:rPr>
          <w:rFonts w:ascii="Times New Roman" w:eastAsia="Times New Roman" w:hAnsi="Times New Roman" w:cs="Times New Roman"/>
          <w:sz w:val="24"/>
          <w:szCs w:val="24"/>
        </w:rPr>
        <w:t xml:space="preserve">. </w:t>
      </w:r>
    </w:p>
    <w:p w:rsidR="00EB6FB2" w:rsidRDefault="00EB6FB2" w:rsidP="00EB6FB2">
      <w:pPr>
        <w:pStyle w:val="Normal1"/>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6.2. Concepto de Rendición Extraordinaria.</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Primero debemos comenzar definiendo qué entendemos por "Rendición" en términos jurídicos. Podemos definirla como un proceso de traslado de personas de un país a otro, tras el correspondiente procedimiento judicial y siempre respetando la ley. Mientras que por "Rendición Extraordinaria" entendemos un procedimiento o proceso que actúa al margen de la legalidad, engloba actividades como detenciones, interrogatorios y torturas.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actualidad este concepto se utiliza para describir las operaciones que los Estados Unidos realizan con la cooperación de ciertos países europeos. Los servicios de inteligencia estadounidense (CIA) llevan a cabo detenciones de personas sospechosas de </w:t>
      </w:r>
      <w:r>
        <w:rPr>
          <w:rFonts w:ascii="Times New Roman" w:eastAsia="Times New Roman" w:hAnsi="Times New Roman" w:cs="Times New Roman"/>
          <w:sz w:val="24"/>
          <w:szCs w:val="24"/>
        </w:rPr>
        <w:lastRenderedPageBreak/>
        <w:t xml:space="preserve">terrorismo para ser posteriormente transferidas a otro país, en este los sospechosos de terrorismo sufren torturas y tratos degradantes.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¿Qué son entonces las entregas extraordinarias o la rendición extraordinaria?. Es una herramienta ilegal que vulnera los derechos humanos, es utilizada por los servicios de inteligencia estadounidenses para el secuestro o la detención ilegal de ciertas personas que son sospechosas de terrorismo, para posteriormente ser trasladadas a otro país en la que son interrogados y torturados. En la práctica estas personas que son "entregadas" se encuentran bajo la vigilancia de los Estados Unidos, bien en otro estado o en Guantánamo.</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Hay que señalar que varios políticos estadounidenses han intentado falsear la realidad de las entregas extraordinarias, estos quieren equiparar las entregas extraordinarias con otras que llevan a cabo países europeos, estas entregas están dentro de la legalidad, suponen detenciones de personas que han cometido delitos calificados como muy graves para ser trasladados de terceros países a Europa, en nuestro continente son llevados a los tribunales para ser juzgados ante un sistema que asegura todas las garantías jurídicas. Pero en Europa este tipo de entregas se realizan en casos muy excepcionales y siempre dentro de la legalidad.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 embargo, nada tiene que ver las entregas extraordinarias con el sistema utilizado por los países europeos, ya que estos introducen en el sistema judicial personas que han sido capturadas fueran de él, </w:t>
      </w:r>
      <w:r>
        <w:rPr>
          <w:rFonts w:ascii="Times New Roman" w:eastAsia="Times New Roman" w:hAnsi="Times New Roman" w:cs="Times New Roman"/>
          <w:i/>
          <w:sz w:val="24"/>
          <w:szCs w:val="24"/>
        </w:rPr>
        <w:t>"</w:t>
      </w:r>
      <w:proofErr w:type="spellStart"/>
      <w:r>
        <w:rPr>
          <w:rFonts w:ascii="Times New Roman" w:eastAsia="Times New Roman" w:hAnsi="Times New Roman" w:cs="Times New Roman"/>
          <w:i/>
          <w:sz w:val="24"/>
          <w:szCs w:val="24"/>
        </w:rPr>
        <w:t>Male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captus</w:t>
      </w:r>
      <w:proofErr w:type="spellEnd"/>
      <w:r>
        <w:rPr>
          <w:rFonts w:ascii="Times New Roman" w:eastAsia="Times New Roman" w:hAnsi="Times New Roman" w:cs="Times New Roman"/>
          <w:i/>
          <w:sz w:val="24"/>
          <w:szCs w:val="24"/>
        </w:rPr>
        <w:t xml:space="preserve">, bene </w:t>
      </w:r>
      <w:proofErr w:type="spellStart"/>
      <w:r>
        <w:rPr>
          <w:rFonts w:ascii="Times New Roman" w:eastAsia="Times New Roman" w:hAnsi="Times New Roman" w:cs="Times New Roman"/>
          <w:i/>
          <w:sz w:val="24"/>
          <w:szCs w:val="24"/>
        </w:rPr>
        <w:t>detentus</w:t>
      </w:r>
      <w:proofErr w:type="spellEnd"/>
      <w:r>
        <w:rPr>
          <w:rFonts w:ascii="Times New Roman" w:eastAsia="Times New Roman" w:hAnsi="Times New Roman" w:cs="Times New Roman"/>
          <w:i/>
          <w:sz w:val="24"/>
          <w:szCs w:val="24"/>
        </w:rPr>
        <w:t>"</w:t>
      </w:r>
      <w:r>
        <w:rPr>
          <w:rFonts w:ascii="Times New Roman" w:eastAsia="Times New Roman" w:hAnsi="Times New Roman" w:cs="Times New Roman"/>
          <w:i/>
          <w:sz w:val="24"/>
          <w:szCs w:val="24"/>
          <w:vertAlign w:val="superscript"/>
        </w:rPr>
        <w:footnoteReference w:id="65"/>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así fue entregado y juzgado Luis Roldán.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lo tanto hay que precisar que las entregas extraordinarias no pueden ser consideradas como detenciones, ya sea legales o ilegales. Así, políticos estadounidenses intentaron confundir a la sociedad falseando el verdadero significado de las entregas extraordinarias,  con la calificación de detenciones.</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En la práctica las entregas extraordinarias son una serie de detenciones ilegales </w:t>
      </w:r>
      <w:r>
        <w:rPr>
          <w:rFonts w:ascii="Times New Roman" w:eastAsia="Times New Roman" w:hAnsi="Times New Roman" w:cs="Times New Roman"/>
          <w:sz w:val="24"/>
          <w:szCs w:val="24"/>
        </w:rPr>
        <w:lastRenderedPageBreak/>
        <w:t>acompañadas de torturas, estas son realizadas por un funcionario del estado. Las personas que sufren dichas torturas tienen, según la información otorgada, la calificación de terrorista. El sospechoso es detenido durante varios meses o años. Tras ser interrogado y torturado, si finalmente el sospechoso no es considerado terrorista, este queda liberado pero sin el amparo de exigir nada, además de sufrir un daño moral que le quedara de por vida. Para agravar la situación observamos que este proceso de entregas, detenciones y torturas lo sufren, tanto personas que son considerados terroristas, que son encerradas en cárceles clandestinas, y que tiene también sus derechos humanos, como personas que no son ni han sido terroristas, pero que aun así han padecido las torturas, detenciones e interrogatorios que integran las entregas extraordinarias.</w:t>
      </w:r>
    </w:p>
    <w:p w:rsidR="00EB6FB2" w:rsidRDefault="00EB6FB2" w:rsidP="00EB6FB2">
      <w:pPr>
        <w:pStyle w:val="Ttulo1"/>
        <w:spacing w:line="360" w:lineRule="auto"/>
        <w:jc w:val="both"/>
      </w:pPr>
      <w:bookmarkStart w:id="31" w:name="_Toc486448338"/>
      <w:r>
        <w:t>6.3. Resoluciones en el ámbito comunitario relativas al programa de rendición extraordinaria.</w:t>
      </w:r>
      <w:bookmarkEnd w:id="31"/>
      <w:r>
        <w:t xml:space="preserve">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Tras las alegaciones realizadas por varias víctimas de la rendición extraordinaria, el Parlamento Europeo, inició una investigación para determinar la participación de los diferentes gobiernos europeos, en las entregas extraordinarias, los vuelos irregulares y las torturas en prisiones secretas, así como su cooperación con los servicios de inteligencia estadounidenses (CIA). Para ello, el pleno de esta institución, creó una comisión exclusiva para investigar la verdadera existencia de las actividades que estaba llevando a cabo la CIA con la ayuda de determinados países. Tras las distintas averiguaciones, uno de los miembros del Consejo de Europa, Dick Marty</w:t>
      </w:r>
      <w:r>
        <w:rPr>
          <w:rFonts w:ascii="Times New Roman" w:eastAsia="Times New Roman" w:hAnsi="Times New Roman" w:cs="Times New Roman"/>
          <w:sz w:val="24"/>
          <w:szCs w:val="24"/>
          <w:vertAlign w:val="superscript"/>
        </w:rPr>
        <w:footnoteReference w:id="66"/>
      </w:r>
      <w:r>
        <w:rPr>
          <w:rFonts w:ascii="Times New Roman" w:eastAsia="Times New Roman" w:hAnsi="Times New Roman" w:cs="Times New Roman"/>
          <w:sz w:val="24"/>
          <w:szCs w:val="24"/>
        </w:rPr>
        <w:t xml:space="preserve">,  expuso la existencia de un gran número de vuelos irregulares, así como de detenciones ilegales y  el uso determinadas técnicas de tortura contra los detenidos, realizadas por la propia CIA.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Seguidamente, el Parlamento Europeo realizó el 15 de junio de 2006 un Informe provisional</w:t>
      </w:r>
      <w:r>
        <w:rPr>
          <w:rFonts w:ascii="Times New Roman" w:eastAsia="Times New Roman" w:hAnsi="Times New Roman" w:cs="Times New Roman"/>
          <w:sz w:val="24"/>
          <w:szCs w:val="24"/>
          <w:vertAlign w:val="superscript"/>
        </w:rPr>
        <w:footnoteReference w:id="67"/>
      </w:r>
      <w:r>
        <w:rPr>
          <w:rFonts w:ascii="Times New Roman" w:eastAsia="Times New Roman" w:hAnsi="Times New Roman" w:cs="Times New Roman"/>
          <w:sz w:val="24"/>
          <w:szCs w:val="24"/>
        </w:rPr>
        <w:t xml:space="preserve">, en el que indaga sobre el uso de aeropuertos europeos, por los servicios </w:t>
      </w:r>
      <w:r>
        <w:rPr>
          <w:rFonts w:ascii="Times New Roman" w:eastAsia="Times New Roman" w:hAnsi="Times New Roman" w:cs="Times New Roman"/>
          <w:sz w:val="24"/>
          <w:szCs w:val="24"/>
        </w:rPr>
        <w:lastRenderedPageBreak/>
        <w:t>de inteligencia estadounidense, para el traslado de detenidos ilegales. En este informe se establecieron tres tipologías de detenciones ilegales, siempre ejecutadas por EEUU:</w:t>
      </w:r>
    </w:p>
    <w:p w:rsidR="00EB6FB2" w:rsidRDefault="00EB6FB2" w:rsidP="00EB6FB2">
      <w:pPr>
        <w:pStyle w:val="Normal1"/>
        <w:numPr>
          <w:ilvl w:val="0"/>
          <w:numId w:val="1"/>
        </w:numPr>
        <w:tabs>
          <w:tab w:val="left" w:pos="2475"/>
        </w:tabs>
        <w:spacing w:after="0" w:line="360" w:lineRule="auto"/>
        <w:ind w:hanging="360"/>
        <w:contextualSpacing/>
        <w:jc w:val="both"/>
        <w:rPr>
          <w:sz w:val="24"/>
          <w:szCs w:val="24"/>
        </w:rPr>
      </w:pPr>
      <w:r>
        <w:rPr>
          <w:rFonts w:ascii="Times New Roman" w:eastAsia="Times New Roman" w:hAnsi="Times New Roman" w:cs="Times New Roman"/>
          <w:sz w:val="24"/>
          <w:szCs w:val="24"/>
        </w:rPr>
        <w:t xml:space="preserve">Entregas extraordinarias: traslado de personas a otro país, para que en este, sean interrogados y torturados para extraer la información necesaria, pero siempre en lugares que son de propiedad de Estados Unidos. </w:t>
      </w:r>
    </w:p>
    <w:p w:rsidR="00EB6FB2" w:rsidRDefault="00EB6FB2" w:rsidP="00EB6FB2">
      <w:pPr>
        <w:pStyle w:val="Normal1"/>
        <w:numPr>
          <w:ilvl w:val="0"/>
          <w:numId w:val="1"/>
        </w:numPr>
        <w:tabs>
          <w:tab w:val="left" w:pos="2475"/>
        </w:tabs>
        <w:spacing w:after="0" w:line="360" w:lineRule="auto"/>
        <w:ind w:hanging="360"/>
        <w:contextualSpacing/>
        <w:jc w:val="both"/>
        <w:rPr>
          <w:sz w:val="24"/>
          <w:szCs w:val="24"/>
        </w:rPr>
      </w:pPr>
      <w:r>
        <w:rPr>
          <w:rFonts w:ascii="Times New Roman" w:eastAsia="Times New Roman" w:hAnsi="Times New Roman" w:cs="Times New Roman"/>
          <w:sz w:val="24"/>
          <w:szCs w:val="24"/>
        </w:rPr>
        <w:t>Detenciones secretas: en ellas ciertas personas son transferidas a zonas bajo la supervisión de Estados Unidos.</w:t>
      </w:r>
    </w:p>
    <w:p w:rsidR="00EB6FB2" w:rsidRDefault="00EB6FB2" w:rsidP="00EB6FB2">
      <w:pPr>
        <w:pStyle w:val="Normal1"/>
        <w:numPr>
          <w:ilvl w:val="0"/>
          <w:numId w:val="1"/>
        </w:numPr>
        <w:tabs>
          <w:tab w:val="left" w:pos="2475"/>
        </w:tabs>
        <w:spacing w:after="0" w:line="360" w:lineRule="auto"/>
        <w:ind w:hanging="360"/>
        <w:contextualSpacing/>
        <w:jc w:val="both"/>
        <w:rPr>
          <w:sz w:val="24"/>
          <w:szCs w:val="24"/>
        </w:rPr>
      </w:pPr>
      <w:r>
        <w:rPr>
          <w:rFonts w:ascii="Times New Roman" w:eastAsia="Times New Roman" w:hAnsi="Times New Roman" w:cs="Times New Roman"/>
          <w:sz w:val="24"/>
          <w:szCs w:val="24"/>
        </w:rPr>
        <w:t xml:space="preserve">Detenciones por cuenta de terceros: en este caso los detenidos son entregados a otros estados, para que estos los supervise, por orden de Estados Unidos.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partir de este informe, se debate la actitud de determinados países europeos, que llevaron a cabo una conducta omisiva o activa en ciertos casos de detenciones secretas. También se cuestiona que los gobiernos no supieran que se estaban realizando "entregas extraordinarias" en su territorio. Además de una posible cooperación de la Europol con los servicios de inteligencia estadounidense.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Desde este momento, las instituciones europeas exigieron una mayor vigilancia sobre los servicios de inteligencia ajenos a países europeos, sobre todo sobre la CIA. Con las pruebas expuesta en el informe, se llegó a la conclusión que varios países europeos habían participado, junto a los servicios secretos estadounidenses, en torturas, interrogatorios y traslado de detenidos, tanto en territorio europeo, como fuera de nuestro marco comunitario.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consecuencia, el Parlamento Europeo efectúo una Resolución</w:t>
      </w:r>
      <w:r>
        <w:rPr>
          <w:rFonts w:ascii="Times New Roman" w:eastAsia="Times New Roman" w:hAnsi="Times New Roman" w:cs="Times New Roman"/>
          <w:sz w:val="24"/>
          <w:szCs w:val="24"/>
          <w:vertAlign w:val="superscript"/>
        </w:rPr>
        <w:footnoteReference w:id="68"/>
      </w:r>
      <w:r>
        <w:rPr>
          <w:rFonts w:ascii="Times New Roman" w:eastAsia="Times New Roman" w:hAnsi="Times New Roman" w:cs="Times New Roman"/>
          <w:sz w:val="24"/>
          <w:szCs w:val="24"/>
        </w:rPr>
        <w:t xml:space="preserve">. En ella son varios los aspectos que se consolidan, se sanciona a todas las personas, que sin poseer una responsabilidad inmediata, han participado en el proceso de rendición extraordinaria. Se confirma, la conducta permisiva efectuada por algunos países </w:t>
      </w:r>
      <w:r>
        <w:rPr>
          <w:rFonts w:ascii="Times New Roman" w:eastAsia="Times New Roman" w:hAnsi="Times New Roman" w:cs="Times New Roman"/>
          <w:sz w:val="24"/>
          <w:szCs w:val="24"/>
        </w:rPr>
        <w:lastRenderedPageBreak/>
        <w:t>europeos, respecto a los "vuelos irregulares" realizados por la CIA en su territorio, permitiendo que se utilizaran sus instalaciones aéreas. A estos países, se les impone la obligación de prohibir la autorización en su territorio de aquellos vuelos que tengan un carácter sospechoso, y que puedan estar relacionados con los servicios de inteligencia estadounidenses, todo ello siguiendo el régimen establecido por el artículo 3 de la Convención de Chicago</w:t>
      </w:r>
      <w:r>
        <w:rPr>
          <w:rFonts w:ascii="Times New Roman" w:eastAsia="Times New Roman" w:hAnsi="Times New Roman" w:cs="Times New Roman"/>
          <w:sz w:val="24"/>
          <w:szCs w:val="24"/>
          <w:vertAlign w:val="superscript"/>
        </w:rPr>
        <w:footnoteReference w:id="69"/>
      </w:r>
      <w:r>
        <w:rPr>
          <w:rFonts w:ascii="Times New Roman" w:eastAsia="Times New Roman" w:hAnsi="Times New Roman" w:cs="Times New Roman"/>
          <w:sz w:val="24"/>
          <w:szCs w:val="24"/>
        </w:rPr>
        <w:t xml:space="preserve">. </w:t>
      </w:r>
    </w:p>
    <w:p w:rsidR="00EB6FB2" w:rsidRDefault="00EB6FB2" w:rsidP="00EB6FB2">
      <w:pPr>
        <w:pStyle w:val="Normal1"/>
        <w:tabs>
          <w:tab w:val="left" w:pos="247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definitiva, observamos que es la primera ocasión, que organismos como el Parlamento Europeo, afirman la existencia de un programa de torturas y detenciones ilegales llevado a cabo por EEUU, con la apreciable ayuda de gobiernos europeos, tras un largo periodo en el que medios de comunicación habían expuesto la existencia de estos sucesos. Por ello, tras su tardío pronunciamiento, las instituciones europeas realizan un gran esfuerzo para esclarecer los hechos, así como la autorías de estos, como ejemplo efectuó el informe provisional anteriormente analizado. Aun así, los esfuerzos son en vano, pues sigue intacta la existencia de este tipo de actividades, donde la CIA, como responsable principal, sigue paseando a sus detenidos de un lugar a otro, y efectuando sus principales maniobras en Guantánamo, como centro secreto. </w:t>
      </w:r>
    </w:p>
    <w:p w:rsidR="00EB6FB2" w:rsidRDefault="00EB6FB2" w:rsidP="00EB6FB2">
      <w:pPr>
        <w:pStyle w:val="Ttulo1"/>
      </w:pPr>
      <w:bookmarkStart w:id="32" w:name="_Toc486448339"/>
      <w:r>
        <w:t>6.4. Centros clandestinos utilizados en las Entregas Extraordinaria por la CIA.</w:t>
      </w:r>
      <w:bookmarkEnd w:id="32"/>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Hablamos de centros de detención secretos que habitualmente están controlados por la propia CIA, se sitúan fuera de Estados Unidos y escapa de todo tipo de control judicial y político. Estos centros clandestinos son utilizados para albergar a sospechosos de terrorismo, así lo confirma el informe del Parlamento Europeo</w:t>
      </w:r>
      <w:r>
        <w:rPr>
          <w:rFonts w:ascii="Times New Roman" w:eastAsia="Times New Roman" w:hAnsi="Times New Roman" w:cs="Times New Roman"/>
          <w:sz w:val="24"/>
          <w:szCs w:val="24"/>
          <w:vertAlign w:val="superscript"/>
        </w:rPr>
        <w:footnoteReference w:id="70"/>
      </w:r>
      <w:r>
        <w:rPr>
          <w:rFonts w:ascii="Times New Roman" w:eastAsia="Times New Roman" w:hAnsi="Times New Roman" w:cs="Times New Roman"/>
          <w:sz w:val="24"/>
          <w:szCs w:val="24"/>
        </w:rPr>
        <w:t xml:space="preserve">  de 2007,  que además certificaba que la CIA hacía uso del proceso de rendición extraordinaria para capturar sospechosos de terrorismo, para ello utilizo lo que conocemos como vuelos irregulares, es decir, la CIA con la cooperación de varios países europeos trasladaban a </w:t>
      </w:r>
      <w:r>
        <w:rPr>
          <w:rFonts w:ascii="Times New Roman" w:eastAsia="Times New Roman" w:hAnsi="Times New Roman" w:cs="Times New Roman"/>
          <w:sz w:val="24"/>
          <w:szCs w:val="24"/>
        </w:rPr>
        <w:lastRenderedPageBreak/>
        <w:t>estos sospechosos de un lugar a otro, e incluso de un país a un centro clandestino. Además George W. Bush confirmó que habían ciertos centros clandestinos, en una comparecencia pública.</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mismo informe no confirma que existan centros clandestinos de la CIA en países europeos. Pero si existe la duda de que distintos países de la Unión Europea hayan alojado a sospechosos de terrorismo. Se debe a que la CIA ordenó 1245 vuelos que sobrevolaron países europeos, en estos vuelos trasladaban sospechosos de terrorismo de un territorio a otro para ser interrogados y torturados. Por ello existe la incertidumbre de que en el territorio europeo exista prisiones secretas en las que se alberguen los detenidos de la CIA. Lo que sí deja claro este informe es que existe una cooperación entre los distintos países de la Unión Europea, y sus correspondientes SI, y la CIA, para albergar sospechosos y permitir vuelos irregulares.</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existe un cifra exacta sobre los detenidos que han sido hospedados por prisiones secretas, pero se presume que la cifra total puede estar en un centenar de personas. La cifra no es exacta ya que el porcentaje de acusados es muy bajo en relación al número de detenidos.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Respecto al número de prisiones utilizadas por la CIA en su programa de rendición extraordinaria, se observan varias cifras. Alrededor de unas 50 prisiones fueron utilizadas por la CIA en más de 28 diferentes, se estima que 25 de esas prisiones se encuentran en Afganistán y otras 20 en Irán. Incluso los servicios de inteligencia estadounidenses han utilizados 17 buques como centros clandestinos, por lo que en total se cifra en 100 las prisiones secretas utilizadas por la CIA o que se encuentran operadas por ella o por sus cooperadores,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hemos dicho antes, confirmado por Bush, la existencia de prisiones secretas no es una vacilación si no que su existencia es totalmente real. Algunas de las víctimas de las entregas extraordinarias hicieron referencia a estos centros clandestinos o de tortura, pero la pregunta esencial que se le hicieron era si alguno de estos centros se encontraba en Europa.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Solo tres hombres de los cientos que fueron detenidos y torturados, se manifestaron y  reclamaron haber estado bajo la observancia de los servicios de inteligencia estadounidenses, ellos eran Mahoma </w:t>
      </w:r>
      <w:proofErr w:type="spellStart"/>
      <w:r>
        <w:rPr>
          <w:rFonts w:ascii="Times New Roman" w:eastAsia="Times New Roman" w:hAnsi="Times New Roman" w:cs="Times New Roman"/>
          <w:sz w:val="24"/>
          <w:szCs w:val="24"/>
        </w:rPr>
        <w:t>Faraj</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Bashmilah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Salah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Nasir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Salim</w:t>
      </w:r>
      <w:proofErr w:type="spellEnd"/>
      <w:r>
        <w:rPr>
          <w:rFonts w:ascii="Times New Roman" w:eastAsia="Times New Roman" w:hAnsi="Times New Roman" w:cs="Times New Roman"/>
          <w:sz w:val="24"/>
          <w:szCs w:val="24"/>
        </w:rPr>
        <w:t xml:space="preserve"> y Mahoma </w:t>
      </w:r>
      <w:proofErr w:type="spellStart"/>
      <w:r>
        <w:rPr>
          <w:rFonts w:ascii="Times New Roman" w:eastAsia="Times New Roman" w:hAnsi="Times New Roman" w:cs="Times New Roman"/>
          <w:sz w:val="24"/>
          <w:szCs w:val="24"/>
        </w:rPr>
        <w:t>Abdullah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Salah</w:t>
      </w:r>
      <w:proofErr w:type="spellEnd"/>
      <w:r>
        <w:rPr>
          <w:rFonts w:ascii="Times New Roman" w:eastAsia="Times New Roman" w:hAnsi="Times New Roman" w:cs="Times New Roman"/>
          <w:sz w:val="24"/>
          <w:szCs w:val="24"/>
        </w:rPr>
        <w:t xml:space="preserve"> Al-Assad. Estos certificaron haber sido trasladados a prisiones secretas. Dos de ellos fueron apresados en Jordania, el tercero fue detenido en Tanzania, tras ello los tres pasaron a estar bajo la custodia de la CIA.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 papel importante en esta materia lo ocupa la organización Amnistía Internacional</w:t>
      </w:r>
      <w:r>
        <w:rPr>
          <w:rFonts w:ascii="Times New Roman" w:eastAsia="Times New Roman" w:hAnsi="Times New Roman" w:cs="Times New Roman"/>
          <w:sz w:val="24"/>
          <w:szCs w:val="24"/>
          <w:vertAlign w:val="superscript"/>
        </w:rPr>
        <w:footnoteReference w:id="71"/>
      </w:r>
      <w:r>
        <w:rPr>
          <w:rFonts w:ascii="Times New Roman" w:eastAsia="Times New Roman" w:hAnsi="Times New Roman" w:cs="Times New Roman"/>
          <w:sz w:val="24"/>
          <w:szCs w:val="24"/>
        </w:rPr>
        <w:t>, es la primera organización que manifestó la desaparición de los tres hombres mencionados en el párrafo anterior. Esta organización que lucha por la defensa de los Derechos Humanos, manifestó que los tres estaban siendo torturados en distintos centros clandestinos</w:t>
      </w:r>
      <w:r>
        <w:rPr>
          <w:rFonts w:ascii="Times New Roman" w:eastAsia="Times New Roman" w:hAnsi="Times New Roman" w:cs="Times New Roman"/>
          <w:sz w:val="24"/>
          <w:szCs w:val="24"/>
          <w:vertAlign w:val="superscript"/>
        </w:rPr>
        <w:footnoteReference w:id="72"/>
      </w:r>
      <w:r>
        <w:rPr>
          <w:rFonts w:ascii="Times New Roman" w:eastAsia="Times New Roman" w:hAnsi="Times New Roman" w:cs="Times New Roman"/>
          <w:sz w:val="24"/>
          <w:szCs w:val="24"/>
        </w:rPr>
        <w:t xml:space="preserve">.  Dos de ellos manifestaron a Amnistía Internacional, en adelante A.I, que tras ser trasladados a cuatro diferentes prisiones secretas, estiman que una de ellas estaba en Europa. Esta información también ha sido objeto de discusión por numerosos medios de comunicación europeos, que concretan que puede que exista un centro clandestino en Europa del Este.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propia A.I realizó un informe en el que relevó datos asombrosos. A los tres detenidos se les permitía rezar en un horario que previamente había sido confeccionado por los agentes de la CIA, sin embargo, no se les permitía salir ni siquiera tenían ventanas en sus habitáculos. Este dato de primeras puede ser irrelevante pero sirvió a esta organización, con ayuda de la referencia del horario de rezo, para localizar el centro clandestino en un país perteneciente al Consejo Europeo. Posibles países que podrían coincidir según los datos recabados son: Turquía, Georgia, Azerbaiyán, Rumania, Bulgaria, Albania y Macedonia.</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Varios medios de comunicación también manifiestan la existencia de prisiones </w:t>
      </w:r>
      <w:r>
        <w:rPr>
          <w:rFonts w:ascii="Times New Roman" w:eastAsia="Times New Roman" w:hAnsi="Times New Roman" w:cs="Times New Roman"/>
          <w:sz w:val="24"/>
          <w:szCs w:val="24"/>
        </w:rPr>
        <w:lastRenderedPageBreak/>
        <w:t>secretas en Europa del Este que claramente cooperan con la CIA en el programa de rendición extraordinaria. Además las investigaciones llevadas a cabo por los medios de comunicación</w:t>
      </w:r>
      <w:r>
        <w:rPr>
          <w:rFonts w:ascii="Times New Roman" w:eastAsia="Times New Roman" w:hAnsi="Times New Roman" w:cs="Times New Roman"/>
          <w:sz w:val="24"/>
          <w:szCs w:val="24"/>
          <w:vertAlign w:val="superscript"/>
        </w:rPr>
        <w:footnoteReference w:id="73"/>
      </w:r>
      <w:r>
        <w:rPr>
          <w:rFonts w:ascii="Times New Roman" w:eastAsia="Times New Roman" w:hAnsi="Times New Roman" w:cs="Times New Roman"/>
          <w:sz w:val="24"/>
          <w:szCs w:val="24"/>
        </w:rPr>
        <w:t xml:space="preserve"> concreto aun más la ubicación de los centros clandestinos europeos, situándolos en Polonia y Rumania.</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caso de Polonia</w:t>
      </w:r>
      <w:r>
        <w:rPr>
          <w:rFonts w:ascii="Times New Roman" w:eastAsia="Times New Roman" w:hAnsi="Times New Roman" w:cs="Times New Roman"/>
          <w:sz w:val="24"/>
          <w:szCs w:val="24"/>
          <w:vertAlign w:val="superscript"/>
        </w:rPr>
        <w:footnoteReference w:id="74"/>
      </w:r>
      <w:r>
        <w:rPr>
          <w:rFonts w:ascii="Times New Roman" w:eastAsia="Times New Roman" w:hAnsi="Times New Roman" w:cs="Times New Roman"/>
          <w:sz w:val="24"/>
          <w:szCs w:val="24"/>
        </w:rPr>
        <w:t xml:space="preserve">, encontramos varios datos que pueden certificar la implicación o la colaboración con la CIA albergando en su país sospechosos de terrorismo en lugares considerados como secretos, para allí ser interrogados y recibir torturas. El Parlamento Europeo mostró su preocupación y mandó una comisión para que investigara. La delegación comprobó cómo a ciertos vuelos se le daba un trato secreto, prohibiendo a los trabajadores en pista a acercarse a los aviones o examinar a las personas a bordo.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España según varios estudios e investigaciones, también ha estado en el punto de mira del Parlamento Europeo, puesto que existen indicios de cooperación con los servicios secretos estadounidenses, permitiendo una serie de vuelos irregulares. Por ello merece analizar el papel de España en el siguiente epígrafe. </w:t>
      </w:r>
    </w:p>
    <w:p w:rsidR="00EB6FB2" w:rsidRDefault="00EB6FB2" w:rsidP="00EB6FB2">
      <w:pPr>
        <w:pStyle w:val="Ttulo1"/>
      </w:pPr>
      <w:bookmarkStart w:id="33" w:name="_Toc486448340"/>
      <w:r>
        <w:t>6.5. El papel de España en la Rendición Extraordinaria.</w:t>
      </w:r>
      <w:bookmarkEnd w:id="33"/>
      <w:r>
        <w:t xml:space="preserv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Existen una serie de datos que dejan en evidencia que España ha colaborado con los servicios de inteligencia estadounidenses. Todo comienza con el auto de Audiencia Nacional 336/2014</w:t>
      </w:r>
      <w:r>
        <w:rPr>
          <w:rStyle w:val="Refdenotaalpie"/>
          <w:rFonts w:ascii="Times New Roman" w:eastAsia="Times New Roman" w:hAnsi="Times New Roman" w:cs="Times New Roman"/>
          <w:sz w:val="24"/>
          <w:szCs w:val="24"/>
        </w:rPr>
        <w:footnoteReference w:id="75"/>
      </w:r>
      <w:r>
        <w:rPr>
          <w:rFonts w:ascii="Times New Roman" w:eastAsia="Times New Roman" w:hAnsi="Times New Roman" w:cs="Times New Roman"/>
          <w:sz w:val="24"/>
          <w:szCs w:val="24"/>
        </w:rPr>
        <w:t xml:space="preserve">, de 17 de noviembre de 2014, que dejaba sin efecto los vuelos irregulares que se habían permitido en España. La Audiencia Nacional no observó que el comportamiento de los funcionarios del Estado fuera una conducta delictiva, ya que este tribunal estimó que los funcionarios no actuaron con dolo, pues no tenían el conocimiento exacto de lo que estaba ocurriendo.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Sin embargo, en referencia al auto encontramos el Voto Particular  del Magistrado DE PRADA SOLAESA</w:t>
      </w:r>
      <w:r>
        <w:rPr>
          <w:rFonts w:ascii="Times New Roman" w:eastAsia="Times New Roman" w:hAnsi="Times New Roman" w:cs="Times New Roman"/>
          <w:sz w:val="24"/>
          <w:szCs w:val="24"/>
          <w:vertAlign w:val="superscript"/>
        </w:rPr>
        <w:footnoteReference w:id="76"/>
      </w:r>
      <w:r>
        <w:rPr>
          <w:rFonts w:ascii="Times New Roman" w:eastAsia="Times New Roman" w:hAnsi="Times New Roman" w:cs="Times New Roman"/>
          <w:sz w:val="24"/>
          <w:szCs w:val="24"/>
        </w:rPr>
        <w:t>. Considera que existen suficientes pruebas y datos para determinar que los funcionarios españoles son responsables, al permitir que la CIA usará aeropuertos españoles (civiles y militares) para el programa de rendición extraordinaria. Y para llevar a cabo en nuestro país interrogatorios y torturas.</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Todo comienza, con el establecimiento de conversaciones entre el Consejero de la Embajada de EEUU en Madrid, y el Director General de Política Exterior para América del Norte. En dicha conversación, el Consejero comunicó que necesitaba el permiso del Gobierno Español para que ciertos vuelos estadounidenses pudieran utilizar aeropuertos españoles, civiles o militares, para el traslado secreto de “supuestos” talibanes o terroristas, utilizando el aeropuerto español para el repostaje en su camino hacia Guantánamo. Seguidamente, esta conversación fue trasladada, en primer lugar, al Secretario y Ministro de Asuntos Exteriores, y posteriormente, al Secretario General de Política de Defensa.  Tras una reunión del Consejo de Ministros, el Gobierno español contesto a la petición realizada por los EEUU afirmativamente.</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Toda esta información, fue ratificada por Moratinos en una sesión del Congreso de los Diputados, el 10 de diciembre de 2008.  Reveló la existencia de ciertas actividades, en España, relacionadas con los vuelos irregulares de la CIA, así como ciertos documentos clasificados, que recogían las distintas conversaciones, ordenadamente, que tuvieron el Gobierno español y el estadounidense.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Todo ello se encuentra recogido en el “Informe nº NUM034” efectuado por la Dirección General de Política Exterior, en este caso, de América del Norte, el 10 de enero de 2002. Se introduce en el documento, la solicitud llevada a cabo por el gobierno estadounidense, de utilizar instalaciones aéreas españolas. La contestación que el Gobierno español dio a esta solicitud, como hemos comentado anteriormente, fue afirmativa, otorgó a EEUU la autorización pertinente, y este le aseguro que los repostajes o escalas tendrían una escasa duración, para trasladar al “presunto” terroristas </w:t>
      </w:r>
      <w:r>
        <w:rPr>
          <w:rFonts w:ascii="Times New Roman" w:eastAsia="Times New Roman" w:hAnsi="Times New Roman" w:cs="Times New Roman"/>
          <w:sz w:val="24"/>
          <w:szCs w:val="24"/>
        </w:rPr>
        <w:lastRenderedPageBreak/>
        <w:t xml:space="preserve">de una aeronave a otra, y que además la seguridad de estos era responsabilidad del gobierno americano. El gobierno prestó para ello, con preferencia, las bases aéreo-militares de Morón y Rota.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Prada, recoge en su voto particular otro documento donde se relatan las conversaciones entre gobiernos, en este caso el documento (f. 3.909. de las actuaciones) contiene la respuesta afirmativa dada por el Director del Departamento Internacional y Seguridad del Gabinete de la Presidencia del Gobierno, así como por el Secretario de Estado de Exteriores.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partir de estos documentos, podemos afirmar que funcionarios españoles permitieron que ciertos vuelos irregulares de la CIA hicieran escala en nuestro territorio, con la presencia en ellos de detenidos ilegales con la calificación de “presuntos” terroristas. También se desprende que detrás de esta autorización, está el propio Presidente del Gobierno y sus Ministros de Asuntos Exteriores y de Defensa. Aznar, presidente en ese momento, permitió que los servicios de inteligencia estadounidense, a través de los vuelos irregulares, llevarán a cabo actividades ilegales en España, en su procedimiento de Rendición Extraordinaria, que tiene como objetivo el traslado de terroristas para ser interrogados y torturados en centros secretos, para extraer de ellos la información necesaria.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lo tanto, podemos afirmar que España es cómplice de las actividades excepcionales que el gobierno estadounidense está realizando por territorio europeo. Es por ello, que sorprende que con toda la información analizada y aportada por De Prada, la </w:t>
      </w:r>
      <w:r w:rsidR="00CE43C0">
        <w:rPr>
          <w:rFonts w:ascii="Times New Roman" w:eastAsia="Times New Roman" w:hAnsi="Times New Roman" w:cs="Times New Roman"/>
          <w:sz w:val="24"/>
          <w:szCs w:val="24"/>
        </w:rPr>
        <w:t>Audiencia Nacional no considerar</w:t>
      </w:r>
      <w:r>
        <w:rPr>
          <w:rFonts w:ascii="Times New Roman" w:eastAsia="Times New Roman" w:hAnsi="Times New Roman" w:cs="Times New Roman"/>
          <w:sz w:val="24"/>
          <w:szCs w:val="24"/>
        </w:rPr>
        <w:t>a responsable</w:t>
      </w:r>
      <w:r w:rsidR="00CE43C0">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de estas actividades a los funcionarios españoles que permitieron los vuelos irregulares, asegurando que su conducta no era delictiva, así como incluir al propio Presidente del Gobierno también como responsable. Podemos observar, quizás, un miedo de los órganos jurisdiccionales españoles de resolver y responsabilizar sobre las actuaciones ejecutadas por los miembros del Gobierno, puesto que la información expuesta es suficiente como para responsabilizar a estos de los vuelos irregulares que se dieron en España. </w:t>
      </w:r>
    </w:p>
    <w:p w:rsidR="00EB6FB2" w:rsidRDefault="00EB6FB2" w:rsidP="00EB6FB2">
      <w:pPr>
        <w:pStyle w:val="Ttulo1"/>
      </w:pPr>
      <w:bookmarkStart w:id="34" w:name="_Toc486448341"/>
      <w:r>
        <w:lastRenderedPageBreak/>
        <w:t>6.6. Víctimas de las entregas extraordinarias.</w:t>
      </w:r>
      <w:bookmarkEnd w:id="34"/>
      <w:r>
        <w:t xml:space="preserve">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Encontramos varias víctimas que han manifestado haber sido secuestrados y torturados por agentes de la CIA, haber sido trasladados de un territorio a otro, sin poder salir</w:t>
      </w:r>
      <w:r w:rsidR="00CE43C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 viviendo en condiciones mínimas durante un largo periodo de tiempo.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primera víctima que vamos a mencionar es, </w:t>
      </w:r>
      <w:proofErr w:type="spellStart"/>
      <w:r>
        <w:rPr>
          <w:rFonts w:ascii="Times New Roman" w:eastAsia="Times New Roman" w:hAnsi="Times New Roman" w:cs="Times New Roman"/>
          <w:i/>
          <w:sz w:val="24"/>
          <w:szCs w:val="24"/>
        </w:rPr>
        <w:t>Maher</w:t>
      </w:r>
      <w:proofErr w:type="spellEnd"/>
      <w:r>
        <w:rPr>
          <w:rFonts w:ascii="Times New Roman" w:eastAsia="Times New Roman" w:hAnsi="Times New Roman" w:cs="Times New Roman"/>
          <w:i/>
          <w:sz w:val="24"/>
          <w:szCs w:val="24"/>
        </w:rPr>
        <w:t xml:space="preserve"> Arar</w:t>
      </w:r>
      <w:r>
        <w:rPr>
          <w:rFonts w:ascii="Times New Roman" w:eastAsia="Times New Roman" w:hAnsi="Times New Roman" w:cs="Times New Roman"/>
          <w:sz w:val="24"/>
          <w:szCs w:val="24"/>
        </w:rPr>
        <w:t xml:space="preserve">. Ciudadano canadienses fue detenido cuando se disponía a volver de su viaje en Túnez, en Septiembre de 2002, concretamente fue detenido en el aeropuerto de Nueva York. Como todas las víctimas de entregas extraordinarias fue acusado de pertenecer a Al Qaida, es decir, era sospechoso de terrorismo. Detenido durante 13 días fue echado de  EE.UU y posteriormente quedó bajo la custodia de agentes de la CIA.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Tras su expulsión fue trasladado a Jordania, haciendo escala en Roma, </w:t>
      </w:r>
      <w:r w:rsidR="00CE43C0">
        <w:rPr>
          <w:rFonts w:ascii="Times New Roman" w:eastAsia="Times New Roman" w:hAnsi="Times New Roman" w:cs="Times New Roman"/>
          <w:sz w:val="24"/>
          <w:szCs w:val="24"/>
        </w:rPr>
        <w:t>dato que</w:t>
      </w:r>
      <w:r>
        <w:rPr>
          <w:rFonts w:ascii="Times New Roman" w:eastAsia="Times New Roman" w:hAnsi="Times New Roman" w:cs="Times New Roman"/>
          <w:sz w:val="24"/>
          <w:szCs w:val="24"/>
        </w:rPr>
        <w:t xml:space="preserve"> hi</w:t>
      </w:r>
      <w:r w:rsidR="00CE43C0">
        <w:rPr>
          <w:rFonts w:ascii="Times New Roman" w:eastAsia="Times New Roman" w:hAnsi="Times New Roman" w:cs="Times New Roman"/>
          <w:sz w:val="24"/>
          <w:szCs w:val="24"/>
        </w:rPr>
        <w:t>ce</w:t>
      </w:r>
      <w:r>
        <w:rPr>
          <w:rFonts w:ascii="Times New Roman" w:eastAsia="Times New Roman" w:hAnsi="Times New Roman" w:cs="Times New Roman"/>
          <w:sz w:val="24"/>
          <w:szCs w:val="24"/>
        </w:rPr>
        <w:t xml:space="preserve"> eviden</w:t>
      </w:r>
      <w:r w:rsidR="00CE43C0">
        <w:rPr>
          <w:rFonts w:ascii="Times New Roman" w:eastAsia="Times New Roman" w:hAnsi="Times New Roman" w:cs="Times New Roman"/>
          <w:sz w:val="24"/>
          <w:szCs w:val="24"/>
        </w:rPr>
        <w:t>te</w:t>
      </w:r>
      <w:r>
        <w:rPr>
          <w:rFonts w:ascii="Times New Roman" w:eastAsia="Times New Roman" w:hAnsi="Times New Roman" w:cs="Times New Roman"/>
          <w:sz w:val="24"/>
          <w:szCs w:val="24"/>
        </w:rPr>
        <w:t xml:space="preserve"> la cooperación, una vez más, de países europeos con la CIA. En la capital de Jordania (Ammán), paso a la custodia de los servicios de inteligencia jordanos, para ser trasladado a Siria. En Damasco, Arar fue traspasado a agentes de los servicios de inteligencia sirios que trasladaron a este a un centro clandestino. Durante un año Arar sufrió numerosas torturas físicas y psicológicas.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Finalmente fue liberado, sin ser considerado terrorista. El gobierno canadiense llevó a cabo una investigación para esclarecer los hechos y determinar si había existido esa detención ilegal y correspondiente torturas manifestada por Arar. Tras la investigación llegaron a la conclusión que todo lo declarado por Arar era totalmente cierto. Por último Arar compareció ante el Parlamento Europeo para explicar y pedir justicia del trato recibido.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segundo lugar, encontramos el caso de </w:t>
      </w:r>
      <w:r>
        <w:rPr>
          <w:rFonts w:ascii="Times New Roman" w:eastAsia="Times New Roman" w:hAnsi="Times New Roman" w:cs="Times New Roman"/>
          <w:i/>
          <w:sz w:val="24"/>
          <w:szCs w:val="24"/>
        </w:rPr>
        <w:t>Abu Omar</w:t>
      </w:r>
      <w:r>
        <w:rPr>
          <w:rFonts w:ascii="Times New Roman" w:eastAsia="Times New Roman" w:hAnsi="Times New Roman" w:cs="Times New Roman"/>
          <w:i/>
          <w:sz w:val="24"/>
          <w:szCs w:val="24"/>
          <w:vertAlign w:val="superscript"/>
        </w:rPr>
        <w:footnoteReference w:id="77"/>
      </w:r>
      <w:r>
        <w:rPr>
          <w:rFonts w:ascii="Times New Roman" w:eastAsia="Times New Roman" w:hAnsi="Times New Roman" w:cs="Times New Roman"/>
          <w:sz w:val="24"/>
          <w:szCs w:val="24"/>
        </w:rPr>
        <w:t xml:space="preserve">. Víctima de la CIA e imán de Milán, en 2003 fue capturado por agentes de la CIA cuando se proponía ir su mezquita. Su secuestro duró más de un año, durante ese tiempo nada se supo de Omar. Tras más de trece meses, Omar consiguió realizar varias llamadas desde Egipto y </w:t>
      </w:r>
      <w:r>
        <w:rPr>
          <w:rFonts w:ascii="Times New Roman" w:eastAsia="Times New Roman" w:hAnsi="Times New Roman" w:cs="Times New Roman"/>
          <w:sz w:val="24"/>
          <w:szCs w:val="24"/>
        </w:rPr>
        <w:lastRenderedPageBreak/>
        <w:t xml:space="preserve">contactar con sus familiares. Abu Omar manifestó haber sido detenido ilegalmente por los servicios secretos estadounidenses y trasladado en un vuelo irregular a Egipto por la CIA. En Egipto denunció haber recibido por parte de los servicios secretos del propio país africano duras torturas durante su larga residencia en una prisión de las consideradas secretas y clandestinas.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 destacable de este caso es la pronunciación de los tribunales italianos. Oscar </w:t>
      </w:r>
      <w:proofErr w:type="spellStart"/>
      <w:r>
        <w:rPr>
          <w:rFonts w:ascii="Times New Roman" w:eastAsia="Times New Roman" w:hAnsi="Times New Roman" w:cs="Times New Roman"/>
          <w:sz w:val="24"/>
          <w:szCs w:val="24"/>
        </w:rPr>
        <w:t>Magi</w:t>
      </w:r>
      <w:proofErr w:type="spellEnd"/>
      <w:r>
        <w:rPr>
          <w:rFonts w:ascii="Times New Roman" w:eastAsia="Times New Roman" w:hAnsi="Times New Roman" w:cs="Times New Roman"/>
          <w:sz w:val="24"/>
          <w:szCs w:val="24"/>
          <w:vertAlign w:val="superscript"/>
        </w:rPr>
        <w:footnoteReference w:id="78"/>
      </w:r>
      <w:r>
        <w:rPr>
          <w:rFonts w:ascii="Times New Roman" w:eastAsia="Times New Roman" w:hAnsi="Times New Roman" w:cs="Times New Roman"/>
          <w:sz w:val="24"/>
          <w:szCs w:val="24"/>
        </w:rPr>
        <w:t xml:space="preserve"> juez de Milán, condenó a 23 agentes de la CIA a penas de prisión que van desde los cinco hasta los ocho años, por delitos de detención ilegal y torturas. El magistrado de Milán firmó</w:t>
      </w:r>
      <w:r w:rsidR="00CE43C0">
        <w:rPr>
          <w:rFonts w:ascii="Times New Roman" w:eastAsia="Times New Roman" w:hAnsi="Times New Roman" w:cs="Times New Roman"/>
          <w:sz w:val="24"/>
          <w:szCs w:val="24"/>
        </w:rPr>
        <w:t xml:space="preserve"> una histórica sentencia pues era</w:t>
      </w:r>
      <w:r>
        <w:rPr>
          <w:rFonts w:ascii="Times New Roman" w:eastAsia="Times New Roman" w:hAnsi="Times New Roman" w:cs="Times New Roman"/>
          <w:sz w:val="24"/>
          <w:szCs w:val="24"/>
        </w:rPr>
        <w:t xml:space="preserve"> el primer caso de entregas extraordinarias que se condena</w:t>
      </w:r>
      <w:r w:rsidR="00CE43C0">
        <w:rPr>
          <w:rFonts w:ascii="Times New Roman" w:eastAsia="Times New Roman" w:hAnsi="Times New Roman" w:cs="Times New Roman"/>
          <w:sz w:val="24"/>
          <w:szCs w:val="24"/>
        </w:rPr>
        <w:t>ba</w:t>
      </w:r>
      <w:r>
        <w:rPr>
          <w:rFonts w:ascii="Times New Roman" w:eastAsia="Times New Roman" w:hAnsi="Times New Roman" w:cs="Times New Roman"/>
          <w:sz w:val="24"/>
          <w:szCs w:val="24"/>
        </w:rPr>
        <w:t xml:space="preserve"> en el mundo. El que mayor condena recibió es el ex jefe de la CIA en Milán, Roberto Seldon Lady. Sin embargo, dejó sin condena a varios agentes de los servicios de inteligencia italianos que habían cooperado con agentes de la CIA.</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pesar de los esfuerzos y de la condena, los agentes de la CIA condenados no llegaron a entrar en prisión, ya que Estados Unidos se niega a entregar a Italia los agentes de la CIA que participaron en el secuestro de Abu Omar.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Otro de los casos con más divulgación ha sido el de </w:t>
      </w:r>
      <w:proofErr w:type="spellStart"/>
      <w:r>
        <w:rPr>
          <w:rFonts w:ascii="Times New Roman" w:eastAsia="Times New Roman" w:hAnsi="Times New Roman" w:cs="Times New Roman"/>
          <w:i/>
          <w:sz w:val="24"/>
          <w:szCs w:val="24"/>
        </w:rPr>
        <w:t>Khaled</w:t>
      </w:r>
      <w:proofErr w:type="spellEnd"/>
      <w:r>
        <w:rPr>
          <w:rFonts w:ascii="Times New Roman" w:eastAsia="Times New Roman" w:hAnsi="Times New Roman" w:cs="Times New Roman"/>
          <w:i/>
          <w:sz w:val="24"/>
          <w:szCs w:val="24"/>
        </w:rPr>
        <w:t xml:space="preserve"> El </w:t>
      </w:r>
      <w:proofErr w:type="spellStart"/>
      <w:r>
        <w:rPr>
          <w:rFonts w:ascii="Times New Roman" w:eastAsia="Times New Roman" w:hAnsi="Times New Roman" w:cs="Times New Roman"/>
          <w:i/>
          <w:sz w:val="24"/>
          <w:szCs w:val="24"/>
        </w:rPr>
        <w:t>Masri</w:t>
      </w:r>
      <w:proofErr w:type="spellEnd"/>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Fue secuestrado en 2003 cuando se dirigía de vacaciones a </w:t>
      </w:r>
      <w:proofErr w:type="spellStart"/>
      <w:r>
        <w:rPr>
          <w:rFonts w:ascii="Times New Roman" w:eastAsia="Times New Roman" w:hAnsi="Times New Roman" w:cs="Times New Roman"/>
          <w:sz w:val="24"/>
          <w:szCs w:val="24"/>
        </w:rPr>
        <w:t>Skopje</w:t>
      </w:r>
      <w:proofErr w:type="spellEnd"/>
      <w:r>
        <w:rPr>
          <w:rFonts w:ascii="Times New Roman" w:eastAsia="Times New Roman" w:hAnsi="Times New Roman" w:cs="Times New Roman"/>
          <w:sz w:val="24"/>
          <w:szCs w:val="24"/>
        </w:rPr>
        <w:t xml:space="preserve">, de la Antigua República Yugoslava de Macedonia (ARYM). Fue interceptado justo en la frontera entre Serbia y ARYM. Según las declaraciones dadas por el propio El </w:t>
      </w:r>
      <w:proofErr w:type="spellStart"/>
      <w:r>
        <w:rPr>
          <w:rFonts w:ascii="Times New Roman" w:eastAsia="Times New Roman" w:hAnsi="Times New Roman" w:cs="Times New Roman"/>
          <w:sz w:val="24"/>
          <w:szCs w:val="24"/>
        </w:rPr>
        <w:t>Masri</w:t>
      </w:r>
      <w:proofErr w:type="spellEnd"/>
      <w:r>
        <w:rPr>
          <w:rFonts w:ascii="Times New Roman" w:eastAsia="Times New Roman" w:hAnsi="Times New Roman" w:cs="Times New Roman"/>
          <w:sz w:val="24"/>
          <w:szCs w:val="24"/>
        </w:rPr>
        <w:t xml:space="preserve">, manifestó haber sido interrogado por los servicios de inteligencia de ARYM, en este caso asombra que la actuación fuera iniciada por unos servicios de inteligencia diferentes a los estadounidenses. </w:t>
      </w:r>
    </w:p>
    <w:p w:rsidR="00EB6FB2" w:rsidRDefault="00EB6FB2" w:rsidP="00EB6FB2">
      <w:pPr>
        <w:pStyle w:val="Normal1"/>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Posteriormente, El </w:t>
      </w:r>
      <w:proofErr w:type="spellStart"/>
      <w:r>
        <w:rPr>
          <w:rFonts w:ascii="Times New Roman" w:eastAsia="Times New Roman" w:hAnsi="Times New Roman" w:cs="Times New Roman"/>
          <w:sz w:val="24"/>
          <w:szCs w:val="24"/>
        </w:rPr>
        <w:t>Masri</w:t>
      </w:r>
      <w:proofErr w:type="spellEnd"/>
      <w:r>
        <w:rPr>
          <w:rFonts w:ascii="Times New Roman" w:eastAsia="Times New Roman" w:hAnsi="Times New Roman" w:cs="Times New Roman"/>
          <w:sz w:val="24"/>
          <w:szCs w:val="24"/>
        </w:rPr>
        <w:t xml:space="preserve"> fue trasladado, en otro de los vuelos irregulares</w:t>
      </w:r>
      <w:r>
        <w:rPr>
          <w:rFonts w:ascii="Times New Roman" w:eastAsia="Times New Roman" w:hAnsi="Times New Roman" w:cs="Times New Roman"/>
          <w:sz w:val="24"/>
          <w:szCs w:val="24"/>
          <w:vertAlign w:val="superscript"/>
        </w:rPr>
        <w:footnoteReference w:id="79"/>
      </w:r>
      <w:r>
        <w:rPr>
          <w:rFonts w:ascii="Times New Roman" w:eastAsia="Times New Roman" w:hAnsi="Times New Roman" w:cs="Times New Roman"/>
          <w:sz w:val="24"/>
          <w:szCs w:val="24"/>
        </w:rPr>
        <w:t xml:space="preserve"> operados por la CIA, a Afganistán. Allí fue detenido durante 4 meses, además como dato relevante en la investigación de la cooperación de países europeos con la CIA, es la </w:t>
      </w:r>
      <w:r>
        <w:rPr>
          <w:rFonts w:ascii="Times New Roman" w:eastAsia="Times New Roman" w:hAnsi="Times New Roman" w:cs="Times New Roman"/>
          <w:sz w:val="24"/>
          <w:szCs w:val="24"/>
        </w:rPr>
        <w:lastRenderedPageBreak/>
        <w:t xml:space="preserve">visita en cinco ocasiones de un alemán llamado "Sam", según manifiesta El </w:t>
      </w:r>
      <w:proofErr w:type="spellStart"/>
      <w:r>
        <w:rPr>
          <w:rFonts w:ascii="Times New Roman" w:eastAsia="Times New Roman" w:hAnsi="Times New Roman" w:cs="Times New Roman"/>
          <w:sz w:val="24"/>
          <w:szCs w:val="24"/>
        </w:rPr>
        <w:t>Masri</w:t>
      </w:r>
      <w:proofErr w:type="spellEnd"/>
      <w:r>
        <w:rPr>
          <w:rFonts w:ascii="Times New Roman" w:eastAsia="Times New Roman" w:hAnsi="Times New Roman" w:cs="Times New Roman"/>
          <w:sz w:val="24"/>
          <w:szCs w:val="24"/>
        </w:rPr>
        <w:t xml:space="preserve">. El propio Sam acompañó al secuestrado en su vuelo de retorno a territorio europeo, dicho vuelo se sitúa que aterrizó aproximadamente en Albania. </w:t>
      </w:r>
    </w:p>
    <w:p w:rsidR="00EB6FB2" w:rsidRDefault="00EB6FB2" w:rsidP="00EB6FB2">
      <w:pPr>
        <w:pStyle w:val="Normal1"/>
        <w:spacing w:line="360" w:lineRule="auto"/>
        <w:ind w:firstLine="720"/>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Este caso también es reseñable en materia judicial, pues existen varias pronunciaciones en relación al caso de </w:t>
      </w:r>
      <w:proofErr w:type="spellStart"/>
      <w:r>
        <w:rPr>
          <w:rFonts w:ascii="Times New Roman" w:eastAsia="Times New Roman" w:hAnsi="Times New Roman" w:cs="Times New Roman"/>
          <w:sz w:val="24"/>
          <w:szCs w:val="24"/>
        </w:rPr>
        <w:t>Khaled</w:t>
      </w:r>
      <w:proofErr w:type="spellEnd"/>
      <w:r>
        <w:rPr>
          <w:rFonts w:ascii="Times New Roman" w:eastAsia="Times New Roman" w:hAnsi="Times New Roman" w:cs="Times New Roman"/>
          <w:sz w:val="24"/>
          <w:szCs w:val="24"/>
        </w:rPr>
        <w:t xml:space="preserve"> El </w:t>
      </w:r>
      <w:proofErr w:type="spellStart"/>
      <w:r>
        <w:rPr>
          <w:rFonts w:ascii="Times New Roman" w:eastAsia="Times New Roman" w:hAnsi="Times New Roman" w:cs="Times New Roman"/>
          <w:sz w:val="24"/>
          <w:szCs w:val="24"/>
        </w:rPr>
        <w:t>Masri</w:t>
      </w:r>
      <w:proofErr w:type="spellEnd"/>
      <w:r>
        <w:rPr>
          <w:rFonts w:ascii="Times New Roman" w:eastAsia="Times New Roman" w:hAnsi="Times New Roman" w:cs="Times New Roman"/>
          <w:sz w:val="24"/>
          <w:szCs w:val="24"/>
        </w:rPr>
        <w:t xml:space="preserve">. En primer lugar encontramos que en 2005 el fiscal de Múnich inició una investigación para esclarecer los hechos ocurridos. El mismo fiscal considero que lo manifestado por El </w:t>
      </w:r>
      <w:proofErr w:type="spellStart"/>
      <w:r>
        <w:rPr>
          <w:rFonts w:ascii="Times New Roman" w:eastAsia="Times New Roman" w:hAnsi="Times New Roman" w:cs="Times New Roman"/>
          <w:sz w:val="24"/>
          <w:szCs w:val="24"/>
        </w:rPr>
        <w:t>Masri</w:t>
      </w:r>
      <w:proofErr w:type="spellEnd"/>
      <w:r>
        <w:rPr>
          <w:rFonts w:ascii="Times New Roman" w:eastAsia="Times New Roman" w:hAnsi="Times New Roman" w:cs="Times New Roman"/>
          <w:sz w:val="24"/>
          <w:szCs w:val="24"/>
        </w:rPr>
        <w:t xml:space="preserve"> era cierto. Así la canciller alemana Ángela </w:t>
      </w:r>
      <w:proofErr w:type="spellStart"/>
      <w:r>
        <w:rPr>
          <w:rFonts w:ascii="Times New Roman" w:eastAsia="Times New Roman" w:hAnsi="Times New Roman" w:cs="Times New Roman"/>
          <w:sz w:val="24"/>
          <w:szCs w:val="24"/>
        </w:rPr>
        <w:t>Merkel</w:t>
      </w:r>
      <w:proofErr w:type="spellEnd"/>
      <w:r>
        <w:rPr>
          <w:rFonts w:ascii="Times New Roman" w:eastAsia="Times New Roman" w:hAnsi="Times New Roman" w:cs="Times New Roman"/>
          <w:sz w:val="24"/>
          <w:szCs w:val="24"/>
        </w:rPr>
        <w:t xml:space="preserve">, manifestó en una comparecencia pública que EE.UU se había equivocado en el caso El </w:t>
      </w:r>
      <w:proofErr w:type="spellStart"/>
      <w:r>
        <w:rPr>
          <w:rFonts w:ascii="Times New Roman" w:eastAsia="Times New Roman" w:hAnsi="Times New Roman" w:cs="Times New Roman"/>
          <w:sz w:val="24"/>
          <w:szCs w:val="24"/>
        </w:rPr>
        <w:t>Masri</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p>
    <w:p w:rsidR="005C6F8B" w:rsidRDefault="00EB6FB2" w:rsidP="005C6F8B">
      <w:pPr>
        <w:pStyle w:val="Ttulo1"/>
      </w:pPr>
      <w:bookmarkStart w:id="36" w:name="_Toc486448342"/>
      <w:r>
        <w:t>7. CONCLUSIONES.</w:t>
      </w:r>
      <w:bookmarkEnd w:id="36"/>
      <w:r>
        <w:t xml:space="preserve"> </w:t>
      </w:r>
    </w:p>
    <w:p w:rsidR="00BD19DF" w:rsidRDefault="00BD19DF" w:rsidP="00BD19DF">
      <w:pPr>
        <w:pStyle w:val="normal0"/>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 Los servicios de inteligencia en la Constitución.</w:t>
      </w:r>
    </w:p>
    <w:p w:rsidR="00BD19DF" w:rsidRDefault="00BD19DF" w:rsidP="00BD19DF">
      <w:pPr>
        <w:pStyle w:val="normal0"/>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cierto que los servicios de inteligencia son u</w:t>
      </w:r>
      <w:r w:rsidR="009C2F57">
        <w:rPr>
          <w:rFonts w:ascii="Times New Roman" w:eastAsia="Times New Roman" w:hAnsi="Times New Roman" w:cs="Times New Roman"/>
          <w:sz w:val="24"/>
          <w:szCs w:val="24"/>
        </w:rPr>
        <w:t>na institución necesaria en un Estado D</w:t>
      </w:r>
      <w:r>
        <w:rPr>
          <w:rFonts w:ascii="Times New Roman" w:eastAsia="Times New Roman" w:hAnsi="Times New Roman" w:cs="Times New Roman"/>
          <w:sz w:val="24"/>
          <w:szCs w:val="24"/>
        </w:rPr>
        <w:t xml:space="preserve">emocrático. Sin embargo, no es correcto que los servicios secretos actúen contra otros derechos que garantizan la constitución. La defensa de la seguridad nacional solo puede ser utilizada como justificación en casos muy concretos y solo cuando estos se encuentren previstos por la ley.   </w:t>
      </w:r>
    </w:p>
    <w:p w:rsidR="00BD19DF" w:rsidRDefault="00BD19DF" w:rsidP="00BD19DF">
      <w:pPr>
        <w:pStyle w:val="norm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Pr>
          <w:rFonts w:ascii="Times New Roman" w:eastAsia="Times New Roman" w:hAnsi="Times New Roman" w:cs="Times New Roman"/>
          <w:i/>
          <w:sz w:val="24"/>
          <w:szCs w:val="24"/>
        </w:rPr>
        <w:t>Ley del Centro Nacional de Inteligencia.</w:t>
      </w:r>
      <w:r>
        <w:rPr>
          <w:rFonts w:ascii="Times New Roman" w:eastAsia="Times New Roman" w:hAnsi="Times New Roman" w:cs="Times New Roman"/>
          <w:sz w:val="24"/>
          <w:szCs w:val="24"/>
        </w:rPr>
        <w:t xml:space="preserve"> </w:t>
      </w:r>
    </w:p>
    <w:p w:rsidR="00BD19DF" w:rsidRDefault="00BD19DF" w:rsidP="00BD19DF">
      <w:pPr>
        <w:pStyle w:val="normal0"/>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Pese al esfuerzo de crear una ley que diera una completa regulación a los servicios de inteligencia españoles, seguimos observando innumerables lagunas. Unos de los principales errores es albergar en el CNI los tres principales aspectos de la inteligencia (exterior, interior y militar). Sería coherente realizar una separación de estos tres núcleos y crear un servicio de inteligencia concreto e independiente para cada una de estas materias, pero siempre existiendo entre estos organismos una obligatoria cooperación. </w:t>
      </w:r>
    </w:p>
    <w:p w:rsidR="00BD19DF" w:rsidRDefault="00BD19DF" w:rsidP="00BD19DF">
      <w:pPr>
        <w:pStyle w:val="normal0"/>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También, observamos que el Centro Nacional de Inteligencia se encuentra aún militarizado. Nuestros servicios de inteligencia deben alejarse de esta concepción, para ello el sistema de la inteligencia debe ser totalmente independiente al Ministerio de </w:t>
      </w:r>
      <w:r>
        <w:rPr>
          <w:rFonts w:ascii="Times New Roman" w:eastAsia="Times New Roman" w:hAnsi="Times New Roman" w:cs="Times New Roman"/>
          <w:sz w:val="24"/>
          <w:szCs w:val="24"/>
        </w:rPr>
        <w:lastRenderedPageBreak/>
        <w:t xml:space="preserve">Defensa. </w:t>
      </w:r>
    </w:p>
    <w:p w:rsidR="00BD19DF" w:rsidRDefault="00BD19DF" w:rsidP="00BD19DF">
      <w:pPr>
        <w:pStyle w:val="normal0"/>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3. Secreto Estado.  </w:t>
      </w:r>
    </w:p>
    <w:p w:rsidR="00BD19DF" w:rsidRDefault="00BD19DF" w:rsidP="00BD19DF">
      <w:pPr>
        <w:pStyle w:val="normal0"/>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secreto de estado ha sido utilizado como "justificante" para ocultar las actividades inmorales de los servicios de inteligencia. Una adecuada regulación del secreto de estado pasaría por crear un mecanismo de control público de los secretos oficiales del estado, o seguir un proced</w:t>
      </w:r>
      <w:r w:rsidR="000A5EE5">
        <w:rPr>
          <w:rFonts w:ascii="Times New Roman" w:eastAsia="Times New Roman" w:hAnsi="Times New Roman" w:cs="Times New Roman"/>
          <w:sz w:val="24"/>
          <w:szCs w:val="24"/>
        </w:rPr>
        <w:t>imiento similar al que utiliza Estados U</w:t>
      </w:r>
      <w:r>
        <w:rPr>
          <w:rFonts w:ascii="Times New Roman" w:eastAsia="Times New Roman" w:hAnsi="Times New Roman" w:cs="Times New Roman"/>
          <w:sz w:val="24"/>
          <w:szCs w:val="24"/>
        </w:rPr>
        <w:t xml:space="preserve">nidos para dar acceso a los ciudadanos a este tipo de secretos. </w:t>
      </w:r>
    </w:p>
    <w:p w:rsidR="00BD19DF" w:rsidRDefault="00BD19DF" w:rsidP="00BD19DF">
      <w:pPr>
        <w:pStyle w:val="normal0"/>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4. </w:t>
      </w:r>
      <w:r>
        <w:rPr>
          <w:rFonts w:ascii="Times New Roman" w:eastAsia="Times New Roman" w:hAnsi="Times New Roman" w:cs="Times New Roman"/>
          <w:i/>
          <w:sz w:val="24"/>
          <w:szCs w:val="24"/>
        </w:rPr>
        <w:t>Torturas y tratos degradantes.</w:t>
      </w:r>
    </w:p>
    <w:p w:rsidR="00BD19DF" w:rsidRDefault="00BD19DF" w:rsidP="00BD19DF">
      <w:pPr>
        <w:pStyle w:val="normal0"/>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investigaciones de los servicios de inteligencia puede llegar a límites insospechados. De esta manera, las torturas son utilizadas de forma continua como mecanismo de extracción de información. Esto ha de ser suprimido, ni la defensa del estado puede ser utilizada como posible justificación. Sería oportuno crear un tipo específico que castigará las torturas cometidas por los miembros de los SI, por la posición que ocupa en el Estado, y por el tipo de información que extraen. Además, los órganos judi</w:t>
      </w:r>
      <w:r w:rsidR="00E95E47">
        <w:rPr>
          <w:rFonts w:ascii="Times New Roman" w:eastAsia="Times New Roman" w:hAnsi="Times New Roman" w:cs="Times New Roman"/>
          <w:sz w:val="24"/>
          <w:szCs w:val="24"/>
        </w:rPr>
        <w:t xml:space="preserve">ciales han de perder el "miedo", </w:t>
      </w:r>
      <w:r>
        <w:rPr>
          <w:rFonts w:ascii="Times New Roman" w:eastAsia="Times New Roman" w:hAnsi="Times New Roman" w:cs="Times New Roman"/>
          <w:sz w:val="24"/>
          <w:szCs w:val="24"/>
        </w:rPr>
        <w:t>y castigar este tipo de actividades realizadas por los SI.</w:t>
      </w:r>
    </w:p>
    <w:p w:rsidR="00BD19DF" w:rsidRDefault="00BD19DF" w:rsidP="00BD19DF">
      <w:pPr>
        <w:pStyle w:val="normal0"/>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5. Delitos contra el honor y la intimidad </w:t>
      </w:r>
    </w:p>
    <w:p w:rsidR="00BD19DF" w:rsidRDefault="00BD19DF" w:rsidP="00BD19DF">
      <w:pPr>
        <w:pStyle w:val="normal0"/>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necesario un verdadero control de las actividades de los servicios de inteligencia que puedan vulnerar este derecho fundamental. Para ello sería correcto extender el control judicial previo existente a todas las actuaciones que afecten a la intimidad. Sin embargo, el control judicial previo también debe ser objeto de ciertas modificaciones pues no es correcto que solo sea un magistrado el que decida sobre si se otorga el permiso a los SI de actuar en contra de ciertos derechos. Por lo que se hace necesario un órgano colegiado que decida sobre este tipo de cuestiones. </w:t>
      </w:r>
    </w:p>
    <w:p w:rsidR="00BD19DF" w:rsidRDefault="00BD19DF" w:rsidP="00BD19DF">
      <w:pPr>
        <w:pStyle w:val="normal0"/>
        <w:tabs>
          <w:tab w:val="left" w:pos="1935"/>
        </w:tabs>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6. </w:t>
      </w:r>
      <w:r>
        <w:rPr>
          <w:rFonts w:ascii="Times New Roman" w:eastAsia="Times New Roman" w:hAnsi="Times New Roman" w:cs="Times New Roman"/>
          <w:i/>
          <w:sz w:val="24"/>
          <w:szCs w:val="24"/>
        </w:rPr>
        <w:t xml:space="preserve">Rendición Extraordinaria. </w:t>
      </w:r>
    </w:p>
    <w:p w:rsidR="00BD19DF" w:rsidRPr="00BD19DF" w:rsidRDefault="00BD19DF" w:rsidP="00BD19DF">
      <w:pPr>
        <w:pStyle w:val="normal0"/>
        <w:tabs>
          <w:tab w:val="left" w:pos="1935"/>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Podemos afirmar que ha sido y es la mayor trama de </w:t>
      </w:r>
      <w:r>
        <w:rPr>
          <w:rFonts w:ascii="Times New Roman" w:eastAsia="Times New Roman" w:hAnsi="Times New Roman" w:cs="Times New Roman"/>
          <w:b/>
          <w:sz w:val="24"/>
          <w:szCs w:val="24"/>
        </w:rPr>
        <w:t>ilegalidades</w:t>
      </w:r>
      <w:r>
        <w:rPr>
          <w:rFonts w:ascii="Times New Roman" w:eastAsia="Times New Roman" w:hAnsi="Times New Roman" w:cs="Times New Roman"/>
          <w:sz w:val="24"/>
          <w:szCs w:val="24"/>
        </w:rPr>
        <w:t xml:space="preserve"> cometidas por los servicios de inteligencia de diferentes estados del mundo. En la que podemos </w:t>
      </w:r>
      <w:r>
        <w:rPr>
          <w:rFonts w:ascii="Times New Roman" w:eastAsia="Times New Roman" w:hAnsi="Times New Roman" w:cs="Times New Roman"/>
          <w:sz w:val="24"/>
          <w:szCs w:val="24"/>
        </w:rPr>
        <w:lastRenderedPageBreak/>
        <w:t xml:space="preserve">confirmar la participación de funcionarios españoles. Sin embargo, el único intento de sancionar esta conductas, en España, fue archivado, posiblemente por miedo a un caos político. Por lo tanto, se hace necesario un mecanismo de lucha contra este tipo de actividades, mecanismo que podría ser el aumento del control sobre las actividades de los servicios de inteligencia, cuyo conocimiento sea extendido a personas especializadas e independiente a los altos dirigentes del Estado. Además, para este asunto no sería incoherente crear un procedimiento de cooperación judicial internacional en el ámbito comunitario para luchar contra este tipo de actividades. </w:t>
      </w:r>
    </w:p>
    <w:p w:rsidR="00EB6FB2" w:rsidRPr="005C6F8B" w:rsidRDefault="00EB6FB2" w:rsidP="005C6F8B">
      <w:pPr>
        <w:pStyle w:val="Ttulo1"/>
      </w:pPr>
      <w:bookmarkStart w:id="37" w:name="_Toc486448343"/>
      <w:r w:rsidRPr="005C6F8B">
        <w:t>8. BIBLIOGRAFÍA.</w:t>
      </w:r>
      <w:bookmarkEnd w:id="37"/>
    </w:p>
    <w:p w:rsidR="00EB6FB2" w:rsidRDefault="00EB6FB2" w:rsidP="00EB6FB2">
      <w:pPr>
        <w:pStyle w:val="Normal1"/>
        <w:numPr>
          <w:ilvl w:val="0"/>
          <w:numId w:val="3"/>
        </w:numPr>
        <w:spacing w:line="240" w:lineRule="auto"/>
        <w:ind w:hanging="360"/>
        <w:jc w:val="both"/>
        <w:rPr>
          <w:sz w:val="24"/>
          <w:szCs w:val="24"/>
        </w:rPr>
      </w:pPr>
      <w:r>
        <w:rPr>
          <w:rFonts w:ascii="Times New Roman" w:eastAsia="Times New Roman" w:hAnsi="Times New Roman" w:cs="Times New Roman"/>
          <w:sz w:val="24"/>
          <w:szCs w:val="24"/>
        </w:rPr>
        <w:t xml:space="preserve">Alonso de Escamilla, A. (2016) </w:t>
      </w:r>
      <w:r>
        <w:rPr>
          <w:rFonts w:ascii="Times New Roman" w:eastAsia="Times New Roman" w:hAnsi="Times New Roman" w:cs="Times New Roman"/>
          <w:i/>
          <w:sz w:val="24"/>
          <w:szCs w:val="24"/>
        </w:rPr>
        <w:t xml:space="preserve">Delitos. La parte especial del Derecho Penal, </w:t>
      </w:r>
      <w:proofErr w:type="spellStart"/>
      <w:r>
        <w:rPr>
          <w:rFonts w:ascii="Times New Roman" w:eastAsia="Times New Roman" w:hAnsi="Times New Roman" w:cs="Times New Roman"/>
          <w:sz w:val="24"/>
          <w:szCs w:val="24"/>
        </w:rPr>
        <w:t>Dykinson</w:t>
      </w:r>
      <w:proofErr w:type="spellEnd"/>
      <w:r>
        <w:rPr>
          <w:rFonts w:ascii="Times New Roman" w:eastAsia="Times New Roman" w:hAnsi="Times New Roman" w:cs="Times New Roman"/>
          <w:sz w:val="24"/>
          <w:szCs w:val="24"/>
        </w:rPr>
        <w:t xml:space="preserve"> S.L, Madrid.</w:t>
      </w:r>
    </w:p>
    <w:p w:rsidR="00EB6FB2" w:rsidRDefault="00EB6FB2" w:rsidP="00EB6FB2">
      <w:pPr>
        <w:pStyle w:val="Normal1"/>
        <w:numPr>
          <w:ilvl w:val="0"/>
          <w:numId w:val="3"/>
        </w:numPr>
        <w:spacing w:after="240" w:line="240" w:lineRule="auto"/>
        <w:ind w:hanging="360"/>
        <w:jc w:val="both"/>
        <w:rPr>
          <w:sz w:val="24"/>
          <w:szCs w:val="24"/>
        </w:rPr>
      </w:pPr>
      <w:r>
        <w:rPr>
          <w:rFonts w:ascii="Times New Roman" w:eastAsia="Times New Roman" w:hAnsi="Times New Roman" w:cs="Times New Roman"/>
          <w:sz w:val="24"/>
          <w:szCs w:val="24"/>
        </w:rPr>
        <w:t xml:space="preserve">Córdoba Roda, J. García Arán, M. (2004) </w:t>
      </w:r>
      <w:r>
        <w:rPr>
          <w:rFonts w:ascii="Times New Roman" w:eastAsia="Times New Roman" w:hAnsi="Times New Roman" w:cs="Times New Roman"/>
          <w:i/>
          <w:sz w:val="24"/>
          <w:szCs w:val="24"/>
        </w:rPr>
        <w:t xml:space="preserve">Comentarios al Código Penal, parte especial, </w:t>
      </w:r>
      <w:r>
        <w:rPr>
          <w:rFonts w:ascii="Times New Roman" w:eastAsia="Times New Roman" w:hAnsi="Times New Roman" w:cs="Times New Roman"/>
          <w:sz w:val="24"/>
          <w:szCs w:val="24"/>
        </w:rPr>
        <w:t>Marcial Pons, Madrid.</w:t>
      </w:r>
    </w:p>
    <w:p w:rsidR="00EB6FB2" w:rsidRDefault="00EB6FB2" w:rsidP="00EB6FB2">
      <w:pPr>
        <w:pStyle w:val="Normal1"/>
        <w:numPr>
          <w:ilvl w:val="0"/>
          <w:numId w:val="3"/>
        </w:numPr>
        <w:spacing w:line="240" w:lineRule="auto"/>
        <w:ind w:hanging="360"/>
        <w:jc w:val="both"/>
        <w:rPr>
          <w:sz w:val="24"/>
          <w:szCs w:val="24"/>
        </w:rPr>
      </w:pPr>
      <w:r w:rsidRPr="00EA1B05">
        <w:rPr>
          <w:rFonts w:ascii="Times New Roman" w:eastAsia="Times New Roman" w:hAnsi="Times New Roman" w:cs="Times New Roman"/>
          <w:sz w:val="24"/>
          <w:szCs w:val="24"/>
          <w:lang w:val="en-US"/>
        </w:rPr>
        <w:t>Cox, James (</w:t>
      </w:r>
      <w:proofErr w:type="spellStart"/>
      <w:r w:rsidRPr="00EA1B05">
        <w:rPr>
          <w:rFonts w:ascii="Times New Roman" w:eastAsia="Times New Roman" w:hAnsi="Times New Roman" w:cs="Times New Roman"/>
          <w:sz w:val="24"/>
          <w:szCs w:val="24"/>
          <w:lang w:val="en-US"/>
        </w:rPr>
        <w:t>diciembre</w:t>
      </w:r>
      <w:proofErr w:type="spellEnd"/>
      <w:r w:rsidRPr="00EA1B05">
        <w:rPr>
          <w:rFonts w:ascii="Times New Roman" w:eastAsia="Times New Roman" w:hAnsi="Times New Roman" w:cs="Times New Roman"/>
          <w:sz w:val="24"/>
          <w:szCs w:val="24"/>
          <w:lang w:val="en-US"/>
        </w:rPr>
        <w:t xml:space="preserve"> de 2012). </w:t>
      </w:r>
      <w:r w:rsidRPr="00EA1B05">
        <w:rPr>
          <w:rFonts w:ascii="Times New Roman" w:eastAsia="Times New Roman" w:hAnsi="Times New Roman" w:cs="Times New Roman"/>
          <w:i/>
          <w:sz w:val="24"/>
          <w:szCs w:val="24"/>
          <w:lang w:val="en-US"/>
        </w:rPr>
        <w:t>"Canada and the Five Eyes Intelligence Community"</w:t>
      </w:r>
      <w:r w:rsidRPr="00EA1B05">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 xml:space="preserve">Canadian </w:t>
      </w:r>
      <w:proofErr w:type="spellStart"/>
      <w:r>
        <w:rPr>
          <w:rFonts w:ascii="Times New Roman" w:eastAsia="Times New Roman" w:hAnsi="Times New Roman" w:cs="Times New Roman"/>
          <w:sz w:val="24"/>
          <w:szCs w:val="24"/>
        </w:rPr>
        <w:t>Defence</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Foreign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Affairs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Institute</w:t>
      </w:r>
      <w:proofErr w:type="spellEnd"/>
      <w:r>
        <w:rPr>
          <w:rFonts w:ascii="Times New Roman" w:eastAsia="Times New Roman" w:hAnsi="Times New Roman" w:cs="Times New Roman"/>
          <w:sz w:val="24"/>
          <w:szCs w:val="24"/>
        </w:rPr>
        <w:t xml:space="preserve">. </w:t>
      </w:r>
    </w:p>
    <w:p w:rsidR="00EB6FB2" w:rsidRDefault="00EB6FB2" w:rsidP="00EB6FB2">
      <w:pPr>
        <w:pStyle w:val="Normal1"/>
        <w:numPr>
          <w:ilvl w:val="0"/>
          <w:numId w:val="3"/>
        </w:numPr>
        <w:spacing w:line="240" w:lineRule="auto"/>
        <w:ind w:hanging="360"/>
        <w:jc w:val="both"/>
        <w:rPr>
          <w:sz w:val="24"/>
          <w:szCs w:val="24"/>
        </w:rPr>
      </w:pPr>
      <w:r>
        <w:rPr>
          <w:rFonts w:ascii="Times New Roman" w:eastAsia="Times New Roman" w:hAnsi="Times New Roman" w:cs="Times New Roman"/>
          <w:sz w:val="24"/>
          <w:szCs w:val="24"/>
        </w:rPr>
        <w:t xml:space="preserve">Cuerda Arnau, M.L. (2015) </w:t>
      </w:r>
      <w:r>
        <w:rPr>
          <w:rFonts w:ascii="Times New Roman" w:eastAsia="Times New Roman" w:hAnsi="Times New Roman" w:cs="Times New Roman"/>
          <w:i/>
          <w:sz w:val="24"/>
          <w:szCs w:val="24"/>
        </w:rPr>
        <w:t xml:space="preserve">Derecho Penal parte especial, </w:t>
      </w:r>
      <w:r>
        <w:rPr>
          <w:rFonts w:ascii="Times New Roman" w:eastAsia="Times New Roman" w:hAnsi="Times New Roman" w:cs="Times New Roman"/>
          <w:sz w:val="24"/>
          <w:szCs w:val="24"/>
        </w:rPr>
        <w:t>Tirant lo Blanch, Valencia.</w:t>
      </w:r>
      <w:r>
        <w:rPr>
          <w:sz w:val="24"/>
          <w:szCs w:val="24"/>
        </w:rPr>
        <w:t xml:space="preserve"> </w:t>
      </w:r>
      <w:r>
        <w:rPr>
          <w:i/>
          <w:sz w:val="24"/>
          <w:szCs w:val="24"/>
        </w:rPr>
        <w:t xml:space="preserve"> </w:t>
      </w:r>
    </w:p>
    <w:p w:rsidR="00EB6FB2" w:rsidRDefault="00EB6FB2" w:rsidP="00EB6FB2">
      <w:pPr>
        <w:pStyle w:val="Normal1"/>
        <w:numPr>
          <w:ilvl w:val="0"/>
          <w:numId w:val="3"/>
        </w:numPr>
        <w:spacing w:line="240" w:lineRule="auto"/>
        <w:ind w:hanging="360"/>
        <w:jc w:val="both"/>
        <w:rPr>
          <w:sz w:val="24"/>
          <w:szCs w:val="24"/>
        </w:rPr>
      </w:pPr>
      <w:r>
        <w:rPr>
          <w:rFonts w:ascii="Times New Roman" w:eastAsia="Times New Roman" w:hAnsi="Times New Roman" w:cs="Times New Roman"/>
          <w:sz w:val="24"/>
          <w:szCs w:val="24"/>
        </w:rPr>
        <w:t xml:space="preserve">De la Cuesta Arzamendi, J.L. (1998) </w:t>
      </w:r>
      <w:r>
        <w:rPr>
          <w:rFonts w:ascii="Times New Roman" w:eastAsia="Times New Roman" w:hAnsi="Times New Roman" w:cs="Times New Roman"/>
          <w:i/>
          <w:sz w:val="24"/>
          <w:szCs w:val="24"/>
        </w:rPr>
        <w:t>Torturas y otros delitos contra la integridad moral</w:t>
      </w:r>
      <w:r>
        <w:rPr>
          <w:rFonts w:ascii="Times New Roman" w:eastAsia="Times New Roman" w:hAnsi="Times New Roman" w:cs="Times New Roman"/>
          <w:sz w:val="24"/>
          <w:szCs w:val="24"/>
        </w:rPr>
        <w:t xml:space="preserve">, Estudios penales y criminológicos, Universidad de Santiago de Compostela, Nº 21. </w:t>
      </w:r>
    </w:p>
    <w:p w:rsidR="00EB6FB2" w:rsidRDefault="00EB6FB2" w:rsidP="00EB6FB2">
      <w:pPr>
        <w:pStyle w:val="Normal1"/>
        <w:numPr>
          <w:ilvl w:val="0"/>
          <w:numId w:val="3"/>
        </w:numPr>
        <w:spacing w:line="240" w:lineRule="auto"/>
        <w:ind w:hanging="360"/>
        <w:jc w:val="both"/>
        <w:rPr>
          <w:sz w:val="24"/>
          <w:szCs w:val="24"/>
        </w:rPr>
      </w:pPr>
      <w:r>
        <w:rPr>
          <w:rFonts w:ascii="Times New Roman" w:eastAsia="Times New Roman" w:hAnsi="Times New Roman" w:cs="Times New Roman"/>
          <w:sz w:val="24"/>
          <w:szCs w:val="24"/>
        </w:rPr>
        <w:t xml:space="preserve">Del Rosal Blasco, B. (2015) </w:t>
      </w:r>
      <w:r>
        <w:rPr>
          <w:rFonts w:ascii="Times New Roman" w:eastAsia="Times New Roman" w:hAnsi="Times New Roman" w:cs="Times New Roman"/>
          <w:i/>
          <w:sz w:val="24"/>
          <w:szCs w:val="24"/>
        </w:rPr>
        <w:t xml:space="preserve">Sistema de Derecho Penal, parte especial, </w:t>
      </w:r>
      <w:proofErr w:type="spellStart"/>
      <w:r>
        <w:rPr>
          <w:rFonts w:ascii="Times New Roman" w:eastAsia="Times New Roman" w:hAnsi="Times New Roman" w:cs="Times New Roman"/>
          <w:sz w:val="24"/>
          <w:szCs w:val="24"/>
        </w:rPr>
        <w:t>Dykinson</w:t>
      </w:r>
      <w:proofErr w:type="spellEnd"/>
      <w:r>
        <w:rPr>
          <w:rFonts w:ascii="Times New Roman" w:eastAsia="Times New Roman" w:hAnsi="Times New Roman" w:cs="Times New Roman"/>
          <w:sz w:val="24"/>
          <w:szCs w:val="24"/>
        </w:rPr>
        <w:t>, S.L, Madrid.</w:t>
      </w:r>
    </w:p>
    <w:p w:rsidR="00EB6FB2" w:rsidRDefault="00EB6FB2" w:rsidP="00EB6FB2">
      <w:pPr>
        <w:pStyle w:val="Normal1"/>
        <w:numPr>
          <w:ilvl w:val="0"/>
          <w:numId w:val="3"/>
        </w:numPr>
        <w:spacing w:line="240" w:lineRule="auto"/>
        <w:ind w:hanging="360"/>
        <w:jc w:val="both"/>
        <w:rPr>
          <w:sz w:val="24"/>
          <w:szCs w:val="24"/>
        </w:rPr>
      </w:pPr>
      <w:r>
        <w:rPr>
          <w:rFonts w:ascii="Times New Roman" w:eastAsia="Times New Roman" w:hAnsi="Times New Roman" w:cs="Times New Roman"/>
          <w:sz w:val="24"/>
          <w:szCs w:val="24"/>
        </w:rPr>
        <w:t xml:space="preserve">Esquinas Valverde, P. (2010) </w:t>
      </w:r>
      <w:r>
        <w:rPr>
          <w:rFonts w:ascii="Times New Roman" w:eastAsia="Times New Roman" w:hAnsi="Times New Roman" w:cs="Times New Roman"/>
          <w:i/>
          <w:sz w:val="24"/>
          <w:szCs w:val="24"/>
        </w:rPr>
        <w:t xml:space="preserve">Protección de datos personales en la Policía Europea, </w:t>
      </w:r>
      <w:r>
        <w:rPr>
          <w:rFonts w:ascii="Times New Roman" w:eastAsia="Times New Roman" w:hAnsi="Times New Roman" w:cs="Times New Roman"/>
          <w:sz w:val="24"/>
          <w:szCs w:val="24"/>
        </w:rPr>
        <w:t>Tirant lo Blanch, Valencia.</w:t>
      </w:r>
    </w:p>
    <w:p w:rsidR="00EB6FB2" w:rsidRDefault="00EB6FB2" w:rsidP="00EB6FB2">
      <w:pPr>
        <w:pStyle w:val="Normal1"/>
        <w:numPr>
          <w:ilvl w:val="0"/>
          <w:numId w:val="3"/>
        </w:numPr>
        <w:spacing w:after="0" w:line="240" w:lineRule="auto"/>
        <w:ind w:hanging="360"/>
        <w:jc w:val="both"/>
        <w:rPr>
          <w:sz w:val="24"/>
          <w:szCs w:val="24"/>
        </w:rPr>
      </w:pPr>
      <w:r>
        <w:rPr>
          <w:rFonts w:ascii="Times New Roman" w:eastAsia="Times New Roman" w:hAnsi="Times New Roman" w:cs="Times New Roman"/>
          <w:sz w:val="24"/>
          <w:szCs w:val="24"/>
        </w:rPr>
        <w:t xml:space="preserve">Gómez Navas, J. (2005) </w:t>
      </w:r>
      <w:r>
        <w:rPr>
          <w:rFonts w:ascii="Times New Roman" w:eastAsia="Times New Roman" w:hAnsi="Times New Roman" w:cs="Times New Roman"/>
          <w:i/>
          <w:sz w:val="24"/>
          <w:szCs w:val="24"/>
        </w:rPr>
        <w:t xml:space="preserve">La protección de los datos personales. </w:t>
      </w:r>
      <w:r>
        <w:rPr>
          <w:rFonts w:ascii="Times New Roman" w:eastAsia="Times New Roman" w:hAnsi="Times New Roman" w:cs="Times New Roman"/>
          <w:sz w:val="24"/>
          <w:szCs w:val="24"/>
        </w:rPr>
        <w:t xml:space="preserve">Editorial Aranzadi.  </w:t>
      </w:r>
    </w:p>
    <w:p w:rsidR="00EB6FB2" w:rsidRDefault="00EB6FB2" w:rsidP="00EB6FB2">
      <w:pPr>
        <w:pStyle w:val="Normal1"/>
        <w:spacing w:after="0" w:line="240" w:lineRule="auto"/>
        <w:jc w:val="both"/>
        <w:rPr>
          <w:rFonts w:ascii="Times New Roman" w:eastAsia="Times New Roman" w:hAnsi="Times New Roman" w:cs="Times New Roman"/>
          <w:sz w:val="24"/>
          <w:szCs w:val="24"/>
        </w:rPr>
      </w:pPr>
    </w:p>
    <w:p w:rsidR="00EB6FB2" w:rsidRDefault="00EB6FB2" w:rsidP="00EB6FB2">
      <w:pPr>
        <w:pStyle w:val="Normal1"/>
        <w:numPr>
          <w:ilvl w:val="0"/>
          <w:numId w:val="3"/>
        </w:numPr>
        <w:spacing w:after="0" w:line="240" w:lineRule="auto"/>
        <w:ind w:hanging="360"/>
        <w:jc w:val="both"/>
        <w:rPr>
          <w:sz w:val="24"/>
          <w:szCs w:val="24"/>
        </w:rPr>
      </w:pPr>
      <w:r>
        <w:rPr>
          <w:rFonts w:ascii="Times New Roman" w:eastAsia="Times New Roman" w:hAnsi="Times New Roman" w:cs="Times New Roman"/>
          <w:sz w:val="24"/>
          <w:szCs w:val="24"/>
        </w:rPr>
        <w:t xml:space="preserve">González Cussac, J.L. (2016) </w:t>
      </w:r>
      <w:r>
        <w:rPr>
          <w:rFonts w:ascii="Times New Roman" w:eastAsia="Times New Roman" w:hAnsi="Times New Roman" w:cs="Times New Roman"/>
          <w:i/>
          <w:sz w:val="24"/>
          <w:szCs w:val="24"/>
        </w:rPr>
        <w:t>Servicios de Inteligencia y Contraterrorismo</w:t>
      </w:r>
      <w:r>
        <w:rPr>
          <w:rFonts w:ascii="Times New Roman" w:eastAsia="Times New Roman" w:hAnsi="Times New Roman" w:cs="Times New Roman"/>
          <w:sz w:val="24"/>
          <w:szCs w:val="24"/>
        </w:rPr>
        <w:t>. Universidad de Valencia, Valencia.</w:t>
      </w:r>
    </w:p>
    <w:p w:rsidR="00EB6FB2" w:rsidRDefault="00EB6FB2" w:rsidP="00EB6FB2">
      <w:pPr>
        <w:pStyle w:val="Normal1"/>
        <w:spacing w:after="0" w:line="240" w:lineRule="auto"/>
        <w:jc w:val="both"/>
        <w:rPr>
          <w:rFonts w:ascii="Times New Roman" w:eastAsia="Times New Roman" w:hAnsi="Times New Roman" w:cs="Times New Roman"/>
          <w:sz w:val="24"/>
          <w:szCs w:val="24"/>
        </w:rPr>
      </w:pPr>
    </w:p>
    <w:p w:rsidR="00EB6FB2" w:rsidRDefault="00EB6FB2" w:rsidP="00EB6FB2">
      <w:pPr>
        <w:pStyle w:val="Normal1"/>
        <w:numPr>
          <w:ilvl w:val="0"/>
          <w:numId w:val="3"/>
        </w:numPr>
        <w:spacing w:after="0" w:line="240" w:lineRule="auto"/>
        <w:ind w:hanging="360"/>
        <w:jc w:val="both"/>
        <w:rPr>
          <w:sz w:val="24"/>
          <w:szCs w:val="24"/>
        </w:rPr>
      </w:pPr>
      <w:proofErr w:type="spellStart"/>
      <w:r>
        <w:rPr>
          <w:rFonts w:ascii="Times New Roman" w:eastAsia="Times New Roman" w:hAnsi="Times New Roman" w:cs="Times New Roman"/>
          <w:sz w:val="24"/>
          <w:szCs w:val="24"/>
        </w:rPr>
        <w:t>Guardans</w:t>
      </w:r>
      <w:proofErr w:type="spellEnd"/>
      <w:r>
        <w:rPr>
          <w:rFonts w:ascii="Times New Roman" w:eastAsia="Times New Roman" w:hAnsi="Times New Roman" w:cs="Times New Roman"/>
          <w:sz w:val="24"/>
          <w:szCs w:val="24"/>
        </w:rPr>
        <w:t xml:space="preserve"> Cambó, I. (2009). "Entregas Extraordinarias, Torturas y Vuelos de la CIA" en </w:t>
      </w:r>
      <w:r>
        <w:rPr>
          <w:rFonts w:ascii="Times New Roman" w:eastAsia="Times New Roman" w:hAnsi="Times New Roman" w:cs="Times New Roman"/>
          <w:i/>
          <w:sz w:val="24"/>
          <w:szCs w:val="24"/>
        </w:rPr>
        <w:t>Nuevos desafíos del derecho penal internacional</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Tecnos</w:t>
      </w:r>
      <w:proofErr w:type="spellEnd"/>
      <w:r>
        <w:rPr>
          <w:rFonts w:ascii="Times New Roman" w:eastAsia="Times New Roman" w:hAnsi="Times New Roman" w:cs="Times New Roman"/>
          <w:sz w:val="24"/>
          <w:szCs w:val="24"/>
        </w:rPr>
        <w:t xml:space="preserve">, Madrid. </w:t>
      </w:r>
    </w:p>
    <w:p w:rsidR="00EB6FB2" w:rsidRDefault="00EB6FB2" w:rsidP="00EB6FB2">
      <w:pPr>
        <w:pStyle w:val="Normal1"/>
        <w:spacing w:after="0" w:line="240" w:lineRule="auto"/>
        <w:jc w:val="both"/>
        <w:rPr>
          <w:rFonts w:ascii="Times New Roman" w:eastAsia="Times New Roman" w:hAnsi="Times New Roman" w:cs="Times New Roman"/>
          <w:sz w:val="24"/>
          <w:szCs w:val="24"/>
        </w:rPr>
      </w:pPr>
    </w:p>
    <w:p w:rsidR="00EB6FB2" w:rsidRDefault="00EB6FB2" w:rsidP="00EB6FB2">
      <w:pPr>
        <w:pStyle w:val="Normal1"/>
        <w:numPr>
          <w:ilvl w:val="0"/>
          <w:numId w:val="3"/>
        </w:numPr>
        <w:spacing w:line="240" w:lineRule="auto"/>
        <w:ind w:hanging="360"/>
        <w:jc w:val="both"/>
        <w:rPr>
          <w:sz w:val="24"/>
          <w:szCs w:val="24"/>
        </w:rPr>
      </w:pPr>
      <w:r>
        <w:rPr>
          <w:rFonts w:ascii="Times New Roman" w:eastAsia="Times New Roman" w:hAnsi="Times New Roman" w:cs="Times New Roman"/>
          <w:sz w:val="24"/>
          <w:szCs w:val="24"/>
        </w:rPr>
        <w:t xml:space="preserve">Jakobs, G. (2006), </w:t>
      </w:r>
      <w:r>
        <w:rPr>
          <w:rFonts w:ascii="Times New Roman" w:eastAsia="Times New Roman" w:hAnsi="Times New Roman" w:cs="Times New Roman"/>
          <w:i/>
          <w:sz w:val="24"/>
          <w:szCs w:val="24"/>
        </w:rPr>
        <w:t xml:space="preserve">¿Derecho penal del enemigo? Un estudio acerca de los </w:t>
      </w:r>
      <w:r>
        <w:rPr>
          <w:rFonts w:ascii="Times New Roman" w:eastAsia="Times New Roman" w:hAnsi="Times New Roman" w:cs="Times New Roman"/>
          <w:i/>
          <w:sz w:val="24"/>
          <w:szCs w:val="24"/>
        </w:rPr>
        <w:lastRenderedPageBreak/>
        <w:t xml:space="preserve">presupuestos de la juridicidad. </w:t>
      </w:r>
      <w:r>
        <w:rPr>
          <w:rFonts w:ascii="Times New Roman" w:eastAsia="Times New Roman" w:hAnsi="Times New Roman" w:cs="Times New Roman"/>
          <w:sz w:val="24"/>
          <w:szCs w:val="24"/>
        </w:rPr>
        <w:t xml:space="preserve">Derecho penal del enemigo: el discurso penal de la exclusión, Vol. 2. </w:t>
      </w:r>
    </w:p>
    <w:p w:rsidR="00EB6FB2" w:rsidRDefault="00EB6FB2" w:rsidP="00EB6FB2">
      <w:pPr>
        <w:pStyle w:val="Normal1"/>
        <w:numPr>
          <w:ilvl w:val="0"/>
          <w:numId w:val="3"/>
        </w:numPr>
        <w:spacing w:after="240" w:line="240" w:lineRule="auto"/>
        <w:ind w:hanging="360"/>
        <w:jc w:val="both"/>
        <w:rPr>
          <w:sz w:val="24"/>
          <w:szCs w:val="24"/>
        </w:rPr>
      </w:pPr>
      <w:r>
        <w:rPr>
          <w:rFonts w:ascii="Times New Roman" w:eastAsia="Times New Roman" w:hAnsi="Times New Roman" w:cs="Times New Roman"/>
          <w:sz w:val="24"/>
          <w:szCs w:val="24"/>
        </w:rPr>
        <w:t xml:space="preserve">Lefébure, A. (2014) </w:t>
      </w:r>
      <w:r>
        <w:rPr>
          <w:rFonts w:ascii="Times New Roman" w:eastAsia="Times New Roman" w:hAnsi="Times New Roman" w:cs="Times New Roman"/>
          <w:i/>
          <w:sz w:val="24"/>
          <w:szCs w:val="24"/>
        </w:rPr>
        <w:t xml:space="preserve">el caso Snowden, así espía Estados Unidos al mundo, </w:t>
      </w:r>
      <w:r>
        <w:rPr>
          <w:rFonts w:ascii="Times New Roman" w:eastAsia="Times New Roman" w:hAnsi="Times New Roman" w:cs="Times New Roman"/>
          <w:sz w:val="24"/>
          <w:szCs w:val="24"/>
        </w:rPr>
        <w:t>Clave Intelectual, Madrid.</w:t>
      </w:r>
    </w:p>
    <w:p w:rsidR="00EB6FB2" w:rsidRDefault="00EB6FB2" w:rsidP="00EB6FB2">
      <w:pPr>
        <w:pStyle w:val="Normal1"/>
        <w:numPr>
          <w:ilvl w:val="0"/>
          <w:numId w:val="3"/>
        </w:numPr>
        <w:spacing w:after="0" w:line="240" w:lineRule="auto"/>
        <w:ind w:hanging="360"/>
        <w:jc w:val="both"/>
        <w:rPr>
          <w:sz w:val="24"/>
          <w:szCs w:val="24"/>
        </w:rPr>
      </w:pPr>
      <w:r>
        <w:rPr>
          <w:rFonts w:ascii="Times New Roman" w:eastAsia="Times New Roman" w:hAnsi="Times New Roman" w:cs="Times New Roman"/>
          <w:sz w:val="24"/>
          <w:szCs w:val="24"/>
        </w:rPr>
        <w:t xml:space="preserve">Libano Beristain, A. (2011) </w:t>
      </w:r>
      <w:r>
        <w:rPr>
          <w:rFonts w:ascii="Times New Roman" w:eastAsia="Times New Roman" w:hAnsi="Times New Roman" w:cs="Times New Roman"/>
          <w:i/>
          <w:sz w:val="24"/>
          <w:szCs w:val="24"/>
        </w:rPr>
        <w:t xml:space="preserve">Los delitos semipúblicos y privados: aspectos sustantivos y procesales. Adaptado a la reforma del Código Penal, “Los delitos de descubrimiento y revelación de secretos”. </w:t>
      </w:r>
      <w:r>
        <w:rPr>
          <w:rFonts w:ascii="Times New Roman" w:eastAsia="Times New Roman" w:hAnsi="Times New Roman" w:cs="Times New Roman"/>
          <w:sz w:val="24"/>
          <w:szCs w:val="24"/>
        </w:rPr>
        <w:t>J.M. Bosch Editor, Barcelona.</w:t>
      </w:r>
    </w:p>
    <w:p w:rsidR="00EB6FB2" w:rsidRDefault="00EB6FB2" w:rsidP="00EB6FB2">
      <w:pPr>
        <w:pStyle w:val="Normal1"/>
        <w:spacing w:after="0" w:line="240" w:lineRule="auto"/>
        <w:jc w:val="both"/>
        <w:rPr>
          <w:rFonts w:ascii="Times New Roman" w:eastAsia="Times New Roman" w:hAnsi="Times New Roman" w:cs="Times New Roman"/>
          <w:sz w:val="24"/>
          <w:szCs w:val="24"/>
        </w:rPr>
      </w:pPr>
    </w:p>
    <w:p w:rsidR="00EB6FB2" w:rsidRDefault="00EB6FB2" w:rsidP="00EB6FB2">
      <w:pPr>
        <w:pStyle w:val="Normal1"/>
        <w:numPr>
          <w:ilvl w:val="0"/>
          <w:numId w:val="3"/>
        </w:numPr>
        <w:spacing w:line="240" w:lineRule="auto"/>
        <w:ind w:hanging="360"/>
        <w:jc w:val="both"/>
        <w:rPr>
          <w:sz w:val="24"/>
          <w:szCs w:val="24"/>
        </w:rPr>
      </w:pPr>
      <w:r>
        <w:rPr>
          <w:rFonts w:ascii="Times New Roman" w:eastAsia="Times New Roman" w:hAnsi="Times New Roman" w:cs="Times New Roman"/>
          <w:sz w:val="24"/>
          <w:szCs w:val="24"/>
        </w:rPr>
        <w:t xml:space="preserve">Martin Morales, R. (1999) </w:t>
      </w:r>
      <w:r>
        <w:rPr>
          <w:rFonts w:ascii="Times New Roman" w:eastAsia="Times New Roman" w:hAnsi="Times New Roman" w:cs="Times New Roman"/>
          <w:i/>
          <w:sz w:val="24"/>
          <w:szCs w:val="24"/>
        </w:rPr>
        <w:t xml:space="preserve">El principio constitucional de intervención indiciaria, </w:t>
      </w:r>
      <w:r>
        <w:rPr>
          <w:rFonts w:ascii="Times New Roman" w:eastAsia="Times New Roman" w:hAnsi="Times New Roman" w:cs="Times New Roman"/>
          <w:sz w:val="24"/>
          <w:szCs w:val="24"/>
        </w:rPr>
        <w:t xml:space="preserve">Revista de la Facultad de Derecho de la Universidad de Granada, </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Nº2.</w:t>
      </w:r>
    </w:p>
    <w:p w:rsidR="00EB6FB2" w:rsidRDefault="00EB6FB2" w:rsidP="00EB6FB2">
      <w:pPr>
        <w:pStyle w:val="Normal1"/>
        <w:numPr>
          <w:ilvl w:val="0"/>
          <w:numId w:val="3"/>
        </w:numPr>
        <w:spacing w:line="240" w:lineRule="auto"/>
        <w:ind w:hanging="360"/>
        <w:jc w:val="both"/>
        <w:rPr>
          <w:sz w:val="24"/>
          <w:szCs w:val="24"/>
        </w:rPr>
      </w:pPr>
      <w:r>
        <w:rPr>
          <w:rFonts w:ascii="Times New Roman" w:eastAsia="Times New Roman" w:hAnsi="Times New Roman" w:cs="Times New Roman"/>
          <w:sz w:val="24"/>
          <w:szCs w:val="24"/>
        </w:rPr>
        <w:t xml:space="preserve">Navarro Bonilla, D. </w:t>
      </w:r>
      <w:r>
        <w:rPr>
          <w:rFonts w:ascii="Times New Roman" w:eastAsia="Times New Roman" w:hAnsi="Times New Roman" w:cs="Times New Roman"/>
          <w:i/>
          <w:sz w:val="24"/>
          <w:szCs w:val="24"/>
        </w:rPr>
        <w:t xml:space="preserve">Espionaje, seguridad nacional y relaciones internacionales, </w:t>
      </w:r>
      <w:r>
        <w:rPr>
          <w:rFonts w:ascii="Times New Roman" w:eastAsia="Times New Roman" w:hAnsi="Times New Roman" w:cs="Times New Roman"/>
          <w:sz w:val="24"/>
          <w:szCs w:val="24"/>
        </w:rPr>
        <w:t>Universidad del País Vasco.</w:t>
      </w:r>
    </w:p>
    <w:p w:rsidR="00EB6FB2" w:rsidRDefault="00EB6FB2" w:rsidP="00EB6FB2">
      <w:pPr>
        <w:pStyle w:val="Normal1"/>
        <w:numPr>
          <w:ilvl w:val="0"/>
          <w:numId w:val="3"/>
        </w:numPr>
        <w:spacing w:after="0" w:line="240" w:lineRule="auto"/>
        <w:ind w:hanging="360"/>
        <w:jc w:val="both"/>
        <w:rPr>
          <w:sz w:val="24"/>
          <w:szCs w:val="24"/>
        </w:rPr>
      </w:pPr>
      <w:r>
        <w:rPr>
          <w:rFonts w:ascii="Times New Roman" w:eastAsia="Times New Roman" w:hAnsi="Times New Roman" w:cs="Times New Roman"/>
          <w:sz w:val="24"/>
          <w:szCs w:val="24"/>
        </w:rPr>
        <w:t xml:space="preserve">Pérez Villalobos, M.C (2002) </w:t>
      </w:r>
      <w:r>
        <w:rPr>
          <w:rFonts w:ascii="Times New Roman" w:eastAsia="Times New Roman" w:hAnsi="Times New Roman" w:cs="Times New Roman"/>
          <w:i/>
          <w:sz w:val="24"/>
          <w:szCs w:val="24"/>
        </w:rPr>
        <w:t>Derechos Fundamentales y Servicios de Inteligencia</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Grupo Editorial Universitario, Granada.</w:t>
      </w:r>
    </w:p>
    <w:p w:rsidR="00EB6FB2" w:rsidRDefault="00EB6FB2" w:rsidP="00EB6FB2">
      <w:pPr>
        <w:pStyle w:val="Normal1"/>
        <w:spacing w:after="0" w:line="240" w:lineRule="auto"/>
        <w:ind w:left="720"/>
        <w:jc w:val="both"/>
        <w:rPr>
          <w:rFonts w:ascii="Times New Roman" w:eastAsia="Times New Roman" w:hAnsi="Times New Roman" w:cs="Times New Roman"/>
          <w:sz w:val="24"/>
          <w:szCs w:val="24"/>
        </w:rPr>
      </w:pPr>
    </w:p>
    <w:p w:rsidR="00EB6FB2" w:rsidRPr="006E0D29" w:rsidRDefault="00EB6FB2" w:rsidP="00EB6FB2">
      <w:pPr>
        <w:pStyle w:val="Normal1"/>
        <w:numPr>
          <w:ilvl w:val="0"/>
          <w:numId w:val="3"/>
        </w:numPr>
        <w:spacing w:line="240" w:lineRule="auto"/>
        <w:ind w:hanging="360"/>
        <w:jc w:val="both"/>
        <w:rPr>
          <w:sz w:val="24"/>
          <w:szCs w:val="24"/>
        </w:rPr>
      </w:pPr>
      <w:r>
        <w:rPr>
          <w:rFonts w:ascii="Times New Roman" w:eastAsia="Times New Roman" w:hAnsi="Times New Roman" w:cs="Times New Roman"/>
          <w:sz w:val="24"/>
          <w:szCs w:val="24"/>
        </w:rPr>
        <w:t xml:space="preserve">Portilla Contreras, G. (1996) </w:t>
      </w:r>
      <w:r>
        <w:rPr>
          <w:rFonts w:ascii="Times New Roman" w:eastAsia="Times New Roman" w:hAnsi="Times New Roman" w:cs="Times New Roman"/>
          <w:i/>
          <w:sz w:val="24"/>
          <w:szCs w:val="24"/>
        </w:rPr>
        <w:t xml:space="preserve">Curso de Derecho Penal español, </w:t>
      </w:r>
      <w:r>
        <w:rPr>
          <w:rFonts w:ascii="Times New Roman" w:eastAsia="Times New Roman" w:hAnsi="Times New Roman" w:cs="Times New Roman"/>
          <w:sz w:val="24"/>
          <w:szCs w:val="24"/>
        </w:rPr>
        <w:t>Marcial Pons, Madrid.</w:t>
      </w:r>
    </w:p>
    <w:p w:rsidR="00EB6FB2" w:rsidRPr="006E0D29" w:rsidRDefault="00EB6FB2" w:rsidP="00EB6FB2">
      <w:pPr>
        <w:pStyle w:val="Normal1"/>
        <w:numPr>
          <w:ilvl w:val="0"/>
          <w:numId w:val="3"/>
        </w:numPr>
        <w:spacing w:line="240" w:lineRule="auto"/>
        <w:ind w:hanging="360"/>
        <w:jc w:val="both"/>
        <w:rPr>
          <w:sz w:val="24"/>
          <w:szCs w:val="24"/>
        </w:rPr>
      </w:pPr>
      <w:r w:rsidRPr="006E0D29">
        <w:rPr>
          <w:rFonts w:ascii="Times New Roman" w:hAnsi="Times New Roman" w:cs="Times New Roman"/>
          <w:sz w:val="24"/>
          <w:szCs w:val="24"/>
        </w:rPr>
        <w:t xml:space="preserve">Portilla Contreras, G. (2007) </w:t>
      </w:r>
      <w:r w:rsidRPr="006E0D29">
        <w:rPr>
          <w:rFonts w:ascii="Times New Roman" w:hAnsi="Times New Roman" w:cs="Times New Roman"/>
          <w:i/>
          <w:sz w:val="24"/>
          <w:szCs w:val="24"/>
        </w:rPr>
        <w:t xml:space="preserve">El Derecho Penal entre el cosmopolitismo universalista y el relativismo </w:t>
      </w:r>
      <w:proofErr w:type="spellStart"/>
      <w:r w:rsidRPr="006E0D29">
        <w:rPr>
          <w:rFonts w:ascii="Times New Roman" w:hAnsi="Times New Roman" w:cs="Times New Roman"/>
          <w:i/>
          <w:sz w:val="24"/>
          <w:szCs w:val="24"/>
        </w:rPr>
        <w:t>portmodernista</w:t>
      </w:r>
      <w:proofErr w:type="spellEnd"/>
      <w:r w:rsidRPr="006E0D29">
        <w:rPr>
          <w:rFonts w:ascii="Times New Roman" w:hAnsi="Times New Roman" w:cs="Times New Roman"/>
          <w:i/>
          <w:sz w:val="24"/>
          <w:szCs w:val="24"/>
        </w:rPr>
        <w:t xml:space="preserve">, </w:t>
      </w:r>
      <w:r w:rsidRPr="006E0D29">
        <w:rPr>
          <w:rFonts w:ascii="Times New Roman" w:hAnsi="Times New Roman" w:cs="Times New Roman"/>
          <w:sz w:val="24"/>
          <w:szCs w:val="24"/>
        </w:rPr>
        <w:t>Tirant Lo Blanch, Valencia.</w:t>
      </w:r>
    </w:p>
    <w:p w:rsidR="00EB6FB2" w:rsidRPr="00B561F5" w:rsidRDefault="00EB6FB2" w:rsidP="00EB6FB2">
      <w:pPr>
        <w:pStyle w:val="Normal1"/>
        <w:numPr>
          <w:ilvl w:val="0"/>
          <w:numId w:val="3"/>
        </w:numPr>
        <w:spacing w:line="240" w:lineRule="auto"/>
        <w:ind w:hanging="360"/>
        <w:jc w:val="both"/>
        <w:rPr>
          <w:sz w:val="24"/>
          <w:szCs w:val="24"/>
        </w:rPr>
      </w:pPr>
      <w:r>
        <w:rPr>
          <w:rFonts w:ascii="Times New Roman" w:eastAsia="Times New Roman" w:hAnsi="Times New Roman" w:cs="Times New Roman"/>
          <w:sz w:val="24"/>
          <w:szCs w:val="24"/>
        </w:rPr>
        <w:t xml:space="preserve">Portilla Contreras, G. (2012) </w:t>
      </w:r>
      <w:r>
        <w:rPr>
          <w:rFonts w:ascii="Times New Roman" w:eastAsia="Times New Roman" w:hAnsi="Times New Roman" w:cs="Times New Roman"/>
          <w:i/>
          <w:sz w:val="24"/>
          <w:szCs w:val="24"/>
        </w:rPr>
        <w:t xml:space="preserve">El Derecho Penal de la libertad y seguridad (de los derechos), </w:t>
      </w:r>
      <w:r>
        <w:rPr>
          <w:rFonts w:ascii="Times New Roman" w:eastAsia="Times New Roman" w:hAnsi="Times New Roman" w:cs="Times New Roman"/>
          <w:sz w:val="24"/>
          <w:szCs w:val="24"/>
        </w:rPr>
        <w:t>Iustel, Madrid.</w:t>
      </w:r>
    </w:p>
    <w:p w:rsidR="00EB6FB2" w:rsidRPr="00465857" w:rsidRDefault="00EB6FB2" w:rsidP="00EB6FB2">
      <w:pPr>
        <w:pStyle w:val="Normal1"/>
        <w:numPr>
          <w:ilvl w:val="0"/>
          <w:numId w:val="3"/>
        </w:numPr>
        <w:spacing w:line="240" w:lineRule="auto"/>
        <w:ind w:hanging="360"/>
        <w:jc w:val="both"/>
        <w:rPr>
          <w:sz w:val="24"/>
          <w:szCs w:val="24"/>
        </w:rPr>
      </w:pPr>
      <w:r w:rsidRPr="00B561F5">
        <w:rPr>
          <w:rFonts w:ascii="Times New Roman" w:hAnsi="Times New Roman" w:cs="Times New Roman"/>
          <w:sz w:val="24"/>
          <w:szCs w:val="24"/>
        </w:rPr>
        <w:t xml:space="preserve">Portilla Contreras, G. (2016) "La permanente suspensión del Derecho: la habilitación judicial de la tortura y el auto de la Audiencia Nacional 336/2014, 17 de noviembre de 2014, sobre vuelos irregulares de la CIA en España" en </w:t>
      </w:r>
      <w:r w:rsidRPr="00B561F5">
        <w:rPr>
          <w:rFonts w:ascii="Times New Roman" w:hAnsi="Times New Roman" w:cs="Times New Roman"/>
          <w:i/>
          <w:sz w:val="24"/>
          <w:szCs w:val="24"/>
        </w:rPr>
        <w:t xml:space="preserve">Terrorismo y Contraterrorismo en el siglo XXI. Un análisis penal y político criminal, </w:t>
      </w:r>
      <w:r w:rsidRPr="00B561F5">
        <w:rPr>
          <w:rFonts w:ascii="Times New Roman" w:hAnsi="Times New Roman" w:cs="Times New Roman"/>
          <w:sz w:val="24"/>
          <w:szCs w:val="24"/>
        </w:rPr>
        <w:t xml:space="preserve">Ratio </w:t>
      </w:r>
      <w:proofErr w:type="spellStart"/>
      <w:r w:rsidRPr="00B561F5">
        <w:rPr>
          <w:rFonts w:ascii="Times New Roman" w:hAnsi="Times New Roman" w:cs="Times New Roman"/>
          <w:sz w:val="24"/>
          <w:szCs w:val="24"/>
        </w:rPr>
        <w:t>Legis</w:t>
      </w:r>
      <w:proofErr w:type="spellEnd"/>
      <w:r w:rsidRPr="00B561F5">
        <w:rPr>
          <w:rFonts w:ascii="Times New Roman" w:hAnsi="Times New Roman" w:cs="Times New Roman"/>
          <w:sz w:val="24"/>
          <w:szCs w:val="24"/>
        </w:rPr>
        <w:t>, Salamanca.</w:t>
      </w:r>
    </w:p>
    <w:p w:rsidR="00EB6FB2" w:rsidRPr="00465857" w:rsidRDefault="00EB6FB2" w:rsidP="00EB6FB2">
      <w:pPr>
        <w:pStyle w:val="Normal1"/>
        <w:numPr>
          <w:ilvl w:val="0"/>
          <w:numId w:val="3"/>
        </w:numPr>
        <w:spacing w:line="240" w:lineRule="auto"/>
        <w:ind w:hanging="360"/>
        <w:jc w:val="both"/>
        <w:rPr>
          <w:sz w:val="24"/>
          <w:szCs w:val="24"/>
        </w:rPr>
      </w:pPr>
      <w:r w:rsidRPr="00465857">
        <w:rPr>
          <w:rFonts w:ascii="Times New Roman" w:hAnsi="Times New Roman" w:cs="Times New Roman"/>
          <w:sz w:val="24"/>
          <w:szCs w:val="24"/>
        </w:rPr>
        <w:t xml:space="preserve">Portilla Contreras, G. (2012) " Prohibición de la tortura y de las penas o los Tratos inhumanos o degradantes" en </w:t>
      </w:r>
      <w:r w:rsidRPr="00465857">
        <w:rPr>
          <w:rFonts w:ascii="Times New Roman" w:hAnsi="Times New Roman" w:cs="Times New Roman"/>
          <w:i/>
          <w:sz w:val="24"/>
          <w:szCs w:val="24"/>
        </w:rPr>
        <w:t xml:space="preserve">La Europa de los Derechos. Cristina </w:t>
      </w:r>
      <w:proofErr w:type="spellStart"/>
      <w:r w:rsidRPr="00465857">
        <w:rPr>
          <w:rFonts w:ascii="Times New Roman" w:hAnsi="Times New Roman" w:cs="Times New Roman"/>
          <w:i/>
          <w:sz w:val="24"/>
          <w:szCs w:val="24"/>
        </w:rPr>
        <w:t>Monereo</w:t>
      </w:r>
      <w:proofErr w:type="spellEnd"/>
      <w:r w:rsidRPr="00465857">
        <w:rPr>
          <w:rFonts w:ascii="Times New Roman" w:hAnsi="Times New Roman" w:cs="Times New Roman"/>
          <w:i/>
          <w:sz w:val="24"/>
          <w:szCs w:val="24"/>
        </w:rPr>
        <w:t xml:space="preserve"> </w:t>
      </w:r>
      <w:proofErr w:type="spellStart"/>
      <w:r w:rsidRPr="00465857">
        <w:rPr>
          <w:rFonts w:ascii="Times New Roman" w:hAnsi="Times New Roman" w:cs="Times New Roman"/>
          <w:i/>
          <w:sz w:val="24"/>
          <w:szCs w:val="24"/>
        </w:rPr>
        <w:t>Atienza</w:t>
      </w:r>
      <w:proofErr w:type="spellEnd"/>
      <w:r w:rsidRPr="00465857">
        <w:rPr>
          <w:rFonts w:ascii="Times New Roman" w:hAnsi="Times New Roman" w:cs="Times New Roman"/>
          <w:i/>
          <w:sz w:val="24"/>
          <w:szCs w:val="24"/>
        </w:rPr>
        <w:t xml:space="preserve">, José </w:t>
      </w:r>
      <w:proofErr w:type="spellStart"/>
      <w:r w:rsidRPr="00465857">
        <w:rPr>
          <w:rFonts w:ascii="Times New Roman" w:hAnsi="Times New Roman" w:cs="Times New Roman"/>
          <w:i/>
          <w:sz w:val="24"/>
          <w:szCs w:val="24"/>
        </w:rPr>
        <w:t>luis</w:t>
      </w:r>
      <w:proofErr w:type="spellEnd"/>
      <w:r w:rsidRPr="00465857">
        <w:rPr>
          <w:rFonts w:ascii="Times New Roman" w:hAnsi="Times New Roman" w:cs="Times New Roman"/>
          <w:i/>
          <w:sz w:val="24"/>
          <w:szCs w:val="24"/>
        </w:rPr>
        <w:t xml:space="preserve"> </w:t>
      </w:r>
      <w:proofErr w:type="spellStart"/>
      <w:r w:rsidRPr="00465857">
        <w:rPr>
          <w:rFonts w:ascii="Times New Roman" w:hAnsi="Times New Roman" w:cs="Times New Roman"/>
          <w:i/>
          <w:sz w:val="24"/>
          <w:szCs w:val="24"/>
        </w:rPr>
        <w:t>Monereo</w:t>
      </w:r>
      <w:proofErr w:type="spellEnd"/>
      <w:r w:rsidRPr="00465857">
        <w:rPr>
          <w:rFonts w:ascii="Times New Roman" w:hAnsi="Times New Roman" w:cs="Times New Roman"/>
          <w:i/>
          <w:sz w:val="24"/>
          <w:szCs w:val="24"/>
        </w:rPr>
        <w:t xml:space="preserve"> Pérez (Coordinadores), </w:t>
      </w:r>
      <w:r w:rsidRPr="00465857">
        <w:rPr>
          <w:rFonts w:ascii="Times New Roman" w:hAnsi="Times New Roman" w:cs="Times New Roman"/>
          <w:sz w:val="24"/>
          <w:szCs w:val="24"/>
        </w:rPr>
        <w:t>Comares, Granada.</w:t>
      </w:r>
    </w:p>
    <w:p w:rsidR="00EB6FB2" w:rsidRPr="00701FFE" w:rsidRDefault="00EB6FB2" w:rsidP="00EB6FB2">
      <w:pPr>
        <w:pStyle w:val="Normal1"/>
        <w:numPr>
          <w:ilvl w:val="0"/>
          <w:numId w:val="3"/>
        </w:numPr>
        <w:spacing w:line="240" w:lineRule="auto"/>
        <w:ind w:hanging="360"/>
        <w:jc w:val="both"/>
        <w:rPr>
          <w:sz w:val="24"/>
          <w:szCs w:val="24"/>
        </w:rPr>
      </w:pPr>
      <w:r w:rsidRPr="00920087">
        <w:rPr>
          <w:rFonts w:ascii="Times New Roman" w:hAnsi="Times New Roman" w:cs="Times New Roman"/>
          <w:sz w:val="24"/>
          <w:szCs w:val="24"/>
        </w:rPr>
        <w:t xml:space="preserve">Portilla Contreras, G. (2014) </w:t>
      </w:r>
      <w:r w:rsidRPr="00920087">
        <w:rPr>
          <w:rFonts w:ascii="Times New Roman" w:hAnsi="Times New Roman" w:cs="Times New Roman"/>
          <w:i/>
          <w:sz w:val="24"/>
          <w:szCs w:val="24"/>
        </w:rPr>
        <w:t xml:space="preserve">Terroristas como no-personas del Derecho. ¿Es delito la tortura de presuntos terroristas?, </w:t>
      </w:r>
      <w:r w:rsidRPr="00920087">
        <w:rPr>
          <w:rFonts w:ascii="Times New Roman" w:hAnsi="Times New Roman" w:cs="Times New Roman"/>
          <w:sz w:val="24"/>
          <w:szCs w:val="24"/>
        </w:rPr>
        <w:t xml:space="preserve">Revista Mientras Tanto, nº130, Barcelona.  </w:t>
      </w:r>
    </w:p>
    <w:p w:rsidR="00EB6FB2" w:rsidRPr="00701FFE" w:rsidRDefault="00EB6FB2" w:rsidP="00EB6FB2">
      <w:pPr>
        <w:pStyle w:val="Normal1"/>
        <w:numPr>
          <w:ilvl w:val="0"/>
          <w:numId w:val="3"/>
        </w:numPr>
        <w:spacing w:line="240" w:lineRule="auto"/>
        <w:ind w:hanging="360"/>
        <w:jc w:val="both"/>
        <w:rPr>
          <w:sz w:val="24"/>
          <w:szCs w:val="24"/>
        </w:rPr>
      </w:pPr>
      <w:r w:rsidRPr="00701FFE">
        <w:rPr>
          <w:rFonts w:ascii="Times New Roman" w:hAnsi="Times New Roman" w:cs="Times New Roman"/>
          <w:sz w:val="24"/>
          <w:szCs w:val="24"/>
        </w:rPr>
        <w:t xml:space="preserve">Portilla Contreras, G. (2011) "Torturas y otros delitos contra la integridad moral" en </w:t>
      </w:r>
      <w:r w:rsidRPr="00701FFE">
        <w:rPr>
          <w:rFonts w:ascii="Times New Roman" w:hAnsi="Times New Roman" w:cs="Times New Roman"/>
          <w:i/>
          <w:sz w:val="24"/>
          <w:szCs w:val="24"/>
        </w:rPr>
        <w:t xml:space="preserve">Derecho penal. Parte Especial. Un estudio a través del sistema de casos resueltos, </w:t>
      </w:r>
      <w:r w:rsidRPr="00701FFE">
        <w:rPr>
          <w:rFonts w:ascii="Times New Roman" w:hAnsi="Times New Roman" w:cs="Times New Roman"/>
          <w:sz w:val="24"/>
          <w:szCs w:val="24"/>
        </w:rPr>
        <w:t>Tirant Lo Blanch, Valencia</w:t>
      </w:r>
      <w:r>
        <w:rPr>
          <w:rFonts w:ascii="Times New Roman" w:hAnsi="Times New Roman" w:cs="Times New Roman"/>
          <w:sz w:val="24"/>
          <w:szCs w:val="24"/>
        </w:rPr>
        <w:t>.</w:t>
      </w:r>
    </w:p>
    <w:p w:rsidR="00EB6FB2" w:rsidRPr="00544848" w:rsidRDefault="00EB6FB2" w:rsidP="00EB6FB2">
      <w:pPr>
        <w:pStyle w:val="Normal1"/>
        <w:numPr>
          <w:ilvl w:val="0"/>
          <w:numId w:val="3"/>
        </w:numPr>
        <w:spacing w:line="240" w:lineRule="auto"/>
        <w:ind w:hanging="360"/>
        <w:jc w:val="both"/>
        <w:rPr>
          <w:sz w:val="24"/>
          <w:szCs w:val="24"/>
        </w:rPr>
      </w:pPr>
      <w:r w:rsidRPr="00544848">
        <w:rPr>
          <w:rFonts w:ascii="Times New Roman" w:hAnsi="Times New Roman" w:cs="Times New Roman"/>
          <w:sz w:val="24"/>
          <w:szCs w:val="24"/>
        </w:rPr>
        <w:t xml:space="preserve">Portilla Contreras, G. (2015) "Vulneración de garantías en la detención" en </w:t>
      </w:r>
      <w:r w:rsidRPr="00544848">
        <w:rPr>
          <w:rFonts w:ascii="Times New Roman" w:hAnsi="Times New Roman" w:cs="Times New Roman"/>
          <w:i/>
          <w:sz w:val="24"/>
          <w:szCs w:val="24"/>
        </w:rPr>
        <w:lastRenderedPageBreak/>
        <w:t xml:space="preserve">Tratado de Derecho Penal Español, </w:t>
      </w:r>
      <w:r>
        <w:rPr>
          <w:rFonts w:ascii="Times New Roman" w:hAnsi="Times New Roman" w:cs="Times New Roman"/>
          <w:sz w:val="24"/>
          <w:szCs w:val="24"/>
        </w:rPr>
        <w:t>Tirant Lo Blanch, Valencia</w:t>
      </w:r>
      <w:r w:rsidRPr="00544848">
        <w:rPr>
          <w:rFonts w:ascii="Times New Roman" w:hAnsi="Times New Roman" w:cs="Times New Roman"/>
          <w:sz w:val="24"/>
          <w:szCs w:val="24"/>
        </w:rPr>
        <w:t>.</w:t>
      </w:r>
    </w:p>
    <w:p w:rsidR="00EB6FB2" w:rsidRDefault="00EB6FB2" w:rsidP="00EB6FB2">
      <w:pPr>
        <w:pStyle w:val="Normal1"/>
        <w:numPr>
          <w:ilvl w:val="0"/>
          <w:numId w:val="3"/>
        </w:numPr>
        <w:spacing w:after="0" w:line="240" w:lineRule="auto"/>
        <w:ind w:hanging="360"/>
        <w:jc w:val="both"/>
        <w:rPr>
          <w:sz w:val="24"/>
          <w:szCs w:val="24"/>
        </w:rPr>
      </w:pPr>
      <w:r>
        <w:rPr>
          <w:rFonts w:ascii="Times New Roman" w:eastAsia="Times New Roman" w:hAnsi="Times New Roman" w:cs="Times New Roman"/>
          <w:sz w:val="24"/>
          <w:szCs w:val="24"/>
        </w:rPr>
        <w:t xml:space="preserve">Puente Aba, L.M. (2007) </w:t>
      </w:r>
      <w:r>
        <w:rPr>
          <w:rFonts w:ascii="Times New Roman" w:eastAsia="Times New Roman" w:hAnsi="Times New Roman" w:cs="Times New Roman"/>
          <w:i/>
          <w:sz w:val="24"/>
          <w:szCs w:val="24"/>
        </w:rPr>
        <w:t xml:space="preserve">Delitos contra la intimidad y nuevas tecnologías. </w:t>
      </w:r>
      <w:r>
        <w:rPr>
          <w:rFonts w:ascii="Times New Roman" w:eastAsia="Times New Roman" w:hAnsi="Times New Roman" w:cs="Times New Roman"/>
          <w:sz w:val="24"/>
          <w:szCs w:val="24"/>
        </w:rPr>
        <w:t xml:space="preserve">Eguzkilore: Cuaderno del Instituto Vasco de Criminología, Nº 21. </w:t>
      </w:r>
    </w:p>
    <w:p w:rsidR="00EB6FB2" w:rsidRDefault="00EB6FB2" w:rsidP="00EB6FB2">
      <w:pPr>
        <w:pStyle w:val="Normal1"/>
        <w:spacing w:after="0" w:line="240" w:lineRule="auto"/>
        <w:jc w:val="both"/>
        <w:rPr>
          <w:rFonts w:ascii="Times New Roman" w:eastAsia="Times New Roman" w:hAnsi="Times New Roman" w:cs="Times New Roman"/>
          <w:sz w:val="24"/>
          <w:szCs w:val="24"/>
        </w:rPr>
      </w:pPr>
    </w:p>
    <w:p w:rsidR="00EB6FB2" w:rsidRDefault="00EB6FB2" w:rsidP="00EB6FB2">
      <w:pPr>
        <w:pStyle w:val="Normal1"/>
        <w:numPr>
          <w:ilvl w:val="0"/>
          <w:numId w:val="3"/>
        </w:numPr>
        <w:spacing w:after="0" w:line="240" w:lineRule="auto"/>
        <w:ind w:hanging="360"/>
        <w:jc w:val="both"/>
        <w:rPr>
          <w:sz w:val="24"/>
          <w:szCs w:val="24"/>
        </w:rPr>
      </w:pPr>
      <w:r>
        <w:rPr>
          <w:rFonts w:ascii="Times New Roman" w:eastAsia="Times New Roman" w:hAnsi="Times New Roman" w:cs="Times New Roman"/>
          <w:sz w:val="24"/>
          <w:szCs w:val="24"/>
        </w:rPr>
        <w:t xml:space="preserve">Revenga Sánchez, M. (2001). </w:t>
      </w:r>
      <w:r>
        <w:rPr>
          <w:rFonts w:ascii="Times New Roman" w:eastAsia="Times New Roman" w:hAnsi="Times New Roman" w:cs="Times New Roman"/>
          <w:i/>
          <w:sz w:val="24"/>
          <w:szCs w:val="24"/>
        </w:rPr>
        <w:t xml:space="preserve">Servicios de Inteligencia y derecho a la intimidad. </w:t>
      </w:r>
      <w:r>
        <w:rPr>
          <w:rFonts w:ascii="Times New Roman" w:eastAsia="Times New Roman" w:hAnsi="Times New Roman" w:cs="Times New Roman"/>
          <w:sz w:val="24"/>
          <w:szCs w:val="24"/>
        </w:rPr>
        <w:t xml:space="preserve">Revista Española de derecho constitucional, Nº 21, Nº 61, 2001. </w:t>
      </w:r>
    </w:p>
    <w:p w:rsidR="00EB6FB2" w:rsidRDefault="00EB6FB2" w:rsidP="00EB6FB2">
      <w:pPr>
        <w:pStyle w:val="Normal1"/>
        <w:spacing w:after="0" w:line="240" w:lineRule="auto"/>
        <w:jc w:val="both"/>
        <w:rPr>
          <w:rFonts w:ascii="Times New Roman" w:eastAsia="Times New Roman" w:hAnsi="Times New Roman" w:cs="Times New Roman"/>
          <w:sz w:val="24"/>
          <w:szCs w:val="24"/>
        </w:rPr>
      </w:pPr>
    </w:p>
    <w:p w:rsidR="00EB6FB2" w:rsidRDefault="00EB6FB2" w:rsidP="00EB6FB2">
      <w:pPr>
        <w:pStyle w:val="Normal1"/>
        <w:numPr>
          <w:ilvl w:val="0"/>
          <w:numId w:val="3"/>
        </w:numPr>
        <w:spacing w:line="240" w:lineRule="auto"/>
        <w:ind w:hanging="360"/>
        <w:jc w:val="both"/>
        <w:rPr>
          <w:sz w:val="24"/>
          <w:szCs w:val="24"/>
        </w:rPr>
      </w:pPr>
      <w:r>
        <w:rPr>
          <w:rFonts w:ascii="Times New Roman" w:eastAsia="Times New Roman" w:hAnsi="Times New Roman" w:cs="Times New Roman"/>
          <w:sz w:val="24"/>
          <w:szCs w:val="24"/>
        </w:rPr>
        <w:t xml:space="preserve">Rodríguez Mesa, M.J. (2000) </w:t>
      </w:r>
      <w:r>
        <w:rPr>
          <w:rFonts w:ascii="Times New Roman" w:eastAsia="Times New Roman" w:hAnsi="Times New Roman" w:cs="Times New Roman"/>
          <w:i/>
          <w:sz w:val="24"/>
          <w:szCs w:val="24"/>
        </w:rPr>
        <w:t>Torturas y otros delitos contra la integridad moral cometidos por los funcionarios públicos.</w:t>
      </w:r>
      <w:r>
        <w:rPr>
          <w:rFonts w:ascii="Times New Roman" w:eastAsia="Times New Roman" w:hAnsi="Times New Roman" w:cs="Times New Roman"/>
          <w:sz w:val="24"/>
          <w:szCs w:val="24"/>
        </w:rPr>
        <w:t xml:space="preserve"> Comares, Granada. </w:t>
      </w:r>
    </w:p>
    <w:p w:rsidR="00EB6FB2" w:rsidRDefault="00EB6FB2" w:rsidP="00EB6FB2">
      <w:pPr>
        <w:pStyle w:val="Normal1"/>
        <w:numPr>
          <w:ilvl w:val="0"/>
          <w:numId w:val="3"/>
        </w:numPr>
        <w:spacing w:line="240" w:lineRule="auto"/>
        <w:ind w:hanging="360"/>
        <w:jc w:val="both"/>
        <w:rPr>
          <w:sz w:val="24"/>
          <w:szCs w:val="24"/>
        </w:rPr>
      </w:pPr>
      <w:r>
        <w:rPr>
          <w:rFonts w:ascii="Times New Roman" w:eastAsia="Times New Roman" w:hAnsi="Times New Roman" w:cs="Times New Roman"/>
          <w:sz w:val="24"/>
          <w:szCs w:val="24"/>
        </w:rPr>
        <w:t xml:space="preserve">Serrano Gómez, A. Serrano Maíllo, A. (2016) </w:t>
      </w:r>
      <w:r>
        <w:rPr>
          <w:rFonts w:ascii="Times New Roman" w:eastAsia="Times New Roman" w:hAnsi="Times New Roman" w:cs="Times New Roman"/>
          <w:i/>
          <w:sz w:val="24"/>
          <w:szCs w:val="24"/>
        </w:rPr>
        <w:t xml:space="preserve">Curso de Derecho Penal parte especial, </w:t>
      </w:r>
      <w:proofErr w:type="spellStart"/>
      <w:r>
        <w:rPr>
          <w:rFonts w:ascii="Times New Roman" w:eastAsia="Times New Roman" w:hAnsi="Times New Roman" w:cs="Times New Roman"/>
          <w:sz w:val="24"/>
          <w:szCs w:val="24"/>
        </w:rPr>
        <w:t>Dykinson</w:t>
      </w:r>
      <w:proofErr w:type="spellEnd"/>
      <w:r>
        <w:rPr>
          <w:rFonts w:ascii="Times New Roman" w:eastAsia="Times New Roman" w:hAnsi="Times New Roman" w:cs="Times New Roman"/>
          <w:sz w:val="24"/>
          <w:szCs w:val="24"/>
        </w:rPr>
        <w:t xml:space="preserve"> S.L, Madrid.</w:t>
      </w:r>
    </w:p>
    <w:p w:rsidR="00EB6FB2" w:rsidRDefault="00EB6FB2" w:rsidP="00EB6FB2">
      <w:pPr>
        <w:pStyle w:val="Normal1"/>
        <w:numPr>
          <w:ilvl w:val="0"/>
          <w:numId w:val="3"/>
        </w:numPr>
        <w:spacing w:after="0" w:line="240" w:lineRule="auto"/>
        <w:ind w:hanging="360"/>
        <w:jc w:val="both"/>
        <w:rPr>
          <w:sz w:val="24"/>
          <w:szCs w:val="24"/>
        </w:rPr>
      </w:pPr>
      <w:r w:rsidRPr="00EA1B05">
        <w:rPr>
          <w:rFonts w:ascii="Times New Roman" w:eastAsia="Times New Roman" w:hAnsi="Times New Roman" w:cs="Times New Roman"/>
          <w:sz w:val="24"/>
          <w:szCs w:val="24"/>
          <w:lang w:val="en-US"/>
        </w:rPr>
        <w:t xml:space="preserve">Singh, A. (2013). </w:t>
      </w:r>
      <w:r w:rsidRPr="00EA1B05">
        <w:rPr>
          <w:rFonts w:ascii="Times New Roman" w:eastAsia="Times New Roman" w:hAnsi="Times New Roman" w:cs="Times New Roman"/>
          <w:i/>
          <w:sz w:val="24"/>
          <w:szCs w:val="24"/>
          <w:lang w:val="en-US"/>
        </w:rPr>
        <w:t>Globalizing Torture: CIA Secret Detention and Extraordinary Rendition.</w:t>
      </w:r>
      <w:r w:rsidRPr="00EA1B05">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 xml:space="preserve">Open </w:t>
      </w:r>
      <w:proofErr w:type="spellStart"/>
      <w:r>
        <w:rPr>
          <w:rFonts w:ascii="Times New Roman" w:eastAsia="Times New Roman" w:hAnsi="Times New Roman" w:cs="Times New Roman"/>
          <w:sz w:val="24"/>
          <w:szCs w:val="24"/>
        </w:rPr>
        <w:t>Society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Foundations</w:t>
      </w:r>
      <w:proofErr w:type="spellEnd"/>
      <w:r>
        <w:rPr>
          <w:rFonts w:ascii="Times New Roman" w:eastAsia="Times New Roman" w:hAnsi="Times New Roman" w:cs="Times New Roman"/>
          <w:sz w:val="24"/>
          <w:szCs w:val="24"/>
        </w:rPr>
        <w:t xml:space="preserve">. </w:t>
      </w:r>
    </w:p>
    <w:p w:rsidR="004A0361" w:rsidRDefault="004A0361"/>
    <w:sectPr w:rsidR="004A0361" w:rsidSect="00CE43C0">
      <w:footerReference w:type="default" r:id="rId8"/>
      <w:pgSz w:w="11906" w:h="16838"/>
      <w:pgMar w:top="1417" w:right="1701" w:bottom="1417" w:left="1701" w:header="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9320D" w:rsidRDefault="0039320D" w:rsidP="00EB6FB2">
      <w:pPr>
        <w:spacing w:after="0" w:line="240" w:lineRule="auto"/>
      </w:pPr>
      <w:r>
        <w:separator/>
      </w:r>
    </w:p>
  </w:endnote>
  <w:endnote w:type="continuationSeparator" w:id="0">
    <w:p w:rsidR="0039320D" w:rsidRDefault="0039320D" w:rsidP="00EB6FB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ewBskvll BT">
    <w:altName w:val="Times New Roman"/>
    <w:charset w:val="00"/>
    <w:family w:val="roman"/>
    <w:pitch w:val="variable"/>
    <w:sig w:usb0="00000007" w:usb1="00000000" w:usb2="00000000" w:usb3="00000000" w:csb0="00000011" w:csb1="00000000"/>
  </w:font>
  <w:font w:name="Arial Narrow">
    <w:panose1 w:val="020B0606020202030204"/>
    <w:charset w:val="00"/>
    <w:family w:val="swiss"/>
    <w:pitch w:val="variable"/>
    <w:sig w:usb0="00000287" w:usb1="00000800" w:usb2="00000000" w:usb3="00000000" w:csb0="0000009F" w:csb1="00000000"/>
  </w:font>
  <w:font w:name="Rambla">
    <w:altName w:val="Times New Roman"/>
    <w:charset w:val="00"/>
    <w:family w:val="auto"/>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3C0" w:rsidRDefault="00CE43C0">
    <w:pPr>
      <w:pStyle w:val="Normal1"/>
      <w:tabs>
        <w:tab w:val="center" w:pos="4252"/>
        <w:tab w:val="right" w:pos="8504"/>
      </w:tabs>
      <w:spacing w:after="0" w:line="240" w:lineRule="auto"/>
      <w:jc w:val="center"/>
    </w:pPr>
    <w:fldSimple w:instr="PAGE">
      <w:r w:rsidR="00E95E47">
        <w:rPr>
          <w:noProof/>
        </w:rPr>
        <w:t>63</w:t>
      </w:r>
    </w:fldSimple>
  </w:p>
  <w:p w:rsidR="00CE43C0" w:rsidRDefault="00CE43C0">
    <w:pPr>
      <w:pStyle w:val="Normal1"/>
      <w:tabs>
        <w:tab w:val="center" w:pos="4252"/>
        <w:tab w:val="right" w:pos="8504"/>
      </w:tabs>
      <w:spacing w:after="1428" w:line="240" w:lineRule="auto"/>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9320D" w:rsidRDefault="0039320D" w:rsidP="00EB6FB2">
      <w:pPr>
        <w:spacing w:after="0" w:line="240" w:lineRule="auto"/>
      </w:pPr>
      <w:r>
        <w:separator/>
      </w:r>
    </w:p>
  </w:footnote>
  <w:footnote w:type="continuationSeparator" w:id="0">
    <w:p w:rsidR="0039320D" w:rsidRDefault="0039320D" w:rsidP="00EB6FB2">
      <w:pPr>
        <w:spacing w:after="0" w:line="240" w:lineRule="auto"/>
      </w:pPr>
      <w:r>
        <w:continuationSeparator/>
      </w:r>
    </w:p>
  </w:footnote>
  <w:footnote w:id="1">
    <w:p w:rsidR="00CE43C0" w:rsidRDefault="00CE43C0" w:rsidP="00EB6FB2">
      <w:pPr>
        <w:pStyle w:val="Normal1"/>
        <w:spacing w:after="0"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Ley 11/2002, de 6 de mayo,  reguladora del Centro Nacional de Inteligencia. [Internet] Boletín Oficial del Estado, núm. 109, del 7 de mayo de 2002. Disponible en: </w:t>
      </w:r>
      <w:hyperlink r:id="rId1">
        <w:r>
          <w:rPr>
            <w:rFonts w:ascii="Times New Roman" w:eastAsia="Times New Roman" w:hAnsi="Times New Roman" w:cs="Times New Roman"/>
            <w:color w:val="0000FF"/>
            <w:sz w:val="20"/>
            <w:szCs w:val="20"/>
            <w:u w:val="single"/>
          </w:rPr>
          <w:t>https://www.boe.es/buscar/act.php?id=BOE-A-2002-8628</w:t>
        </w:r>
      </w:hyperlink>
    </w:p>
  </w:footnote>
  <w:footnote w:id="2">
    <w:p w:rsidR="00CE43C0" w:rsidRDefault="00CE43C0" w:rsidP="00EB6FB2">
      <w:pPr>
        <w:pStyle w:val="Textonotapie"/>
        <w:jc w:val="both"/>
      </w:pPr>
      <w:r>
        <w:rPr>
          <w:rStyle w:val="Refdenotaalpie"/>
        </w:rPr>
        <w:footnoteRef/>
      </w:r>
      <w:r>
        <w:t xml:space="preserve"> </w:t>
      </w:r>
      <w:r>
        <w:rPr>
          <w:rFonts w:ascii="Times New Roman" w:eastAsia="Times New Roman" w:hAnsi="Times New Roman" w:cs="Times New Roman"/>
        </w:rPr>
        <w:t xml:space="preserve">Pérez Villalobos, M.C (2002). </w:t>
      </w:r>
      <w:r>
        <w:rPr>
          <w:rFonts w:ascii="Times New Roman" w:eastAsia="Times New Roman" w:hAnsi="Times New Roman" w:cs="Times New Roman"/>
          <w:i/>
        </w:rPr>
        <w:t>Derechos Fundamentales y Servicios de Inteligencia,</w:t>
      </w:r>
      <w:r>
        <w:rPr>
          <w:rFonts w:ascii="Times New Roman" w:eastAsia="Times New Roman" w:hAnsi="Times New Roman" w:cs="Times New Roman"/>
        </w:rPr>
        <w:t xml:space="preserve"> Grupo Editorial Universitario, Granada, p. 33.</w:t>
      </w:r>
    </w:p>
  </w:footnote>
  <w:footnote w:id="3">
    <w:p w:rsidR="00CE43C0" w:rsidRDefault="00CE43C0" w:rsidP="00EB6FB2">
      <w:pPr>
        <w:pStyle w:val="Normal1"/>
        <w:spacing w:after="0" w:line="240" w:lineRule="auto"/>
        <w:jc w:val="both"/>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El Orden Mundial en el S.XXI (2014):</w:t>
      </w:r>
    </w:p>
    <w:p w:rsidR="00CE43C0" w:rsidRDefault="00CE43C0" w:rsidP="00EB6FB2">
      <w:pPr>
        <w:pStyle w:val="Normal1"/>
        <w:spacing w:after="0" w:line="240" w:lineRule="auto"/>
        <w:jc w:val="both"/>
        <w:rPr>
          <w:rFonts w:ascii="Times New Roman" w:eastAsia="Times New Roman" w:hAnsi="Times New Roman" w:cs="Times New Roman"/>
          <w:sz w:val="20"/>
          <w:szCs w:val="20"/>
          <w:u w:val="single"/>
        </w:rPr>
      </w:pPr>
      <w:r>
        <w:rPr>
          <w:rFonts w:ascii="Times New Roman" w:eastAsia="Times New Roman" w:hAnsi="Times New Roman" w:cs="Times New Roman"/>
          <w:sz w:val="20"/>
          <w:szCs w:val="20"/>
          <w:u w:val="single"/>
        </w:rPr>
        <w:t xml:space="preserve"> </w:t>
      </w:r>
      <w:hyperlink r:id="rId2">
        <w:r>
          <w:rPr>
            <w:rFonts w:ascii="Times New Roman" w:eastAsia="Times New Roman" w:hAnsi="Times New Roman" w:cs="Times New Roman"/>
            <w:color w:val="0000FF"/>
            <w:sz w:val="20"/>
            <w:szCs w:val="20"/>
            <w:u w:val="single"/>
          </w:rPr>
          <w:t>http://elordenmundial.com/2014/03/27/los-servicios-de-inteligencia-en-el-s-xxi/</w:t>
        </w:r>
      </w:hyperlink>
    </w:p>
  </w:footnote>
  <w:footnote w:id="4">
    <w:p w:rsidR="00CE43C0" w:rsidRDefault="00CE43C0" w:rsidP="00EB6FB2">
      <w:pPr>
        <w:pStyle w:val="Normal1"/>
        <w:spacing w:after="0" w:line="240" w:lineRule="auto"/>
        <w:jc w:val="both"/>
        <w:rPr>
          <w:sz w:val="20"/>
          <w:szCs w:val="20"/>
        </w:rPr>
      </w:pPr>
      <w:r>
        <w:rPr>
          <w:vertAlign w:val="superscript"/>
        </w:rPr>
        <w:footnoteRef/>
      </w:r>
      <w:r>
        <w:rPr>
          <w:rFonts w:ascii="Times New Roman" w:eastAsia="Times New Roman" w:hAnsi="Times New Roman" w:cs="Times New Roman"/>
          <w:sz w:val="20"/>
          <w:szCs w:val="20"/>
        </w:rPr>
        <w:t xml:space="preserve">González Cussac, J.L. (2016) </w:t>
      </w:r>
      <w:r>
        <w:rPr>
          <w:rFonts w:ascii="Times New Roman" w:eastAsia="Times New Roman" w:hAnsi="Times New Roman" w:cs="Times New Roman"/>
          <w:i/>
          <w:sz w:val="20"/>
          <w:szCs w:val="20"/>
        </w:rPr>
        <w:t>Servicios de Inteligencia y Contraterrorismo</w:t>
      </w:r>
      <w:r>
        <w:rPr>
          <w:rFonts w:ascii="Times New Roman" w:eastAsia="Times New Roman" w:hAnsi="Times New Roman" w:cs="Times New Roman"/>
          <w:sz w:val="20"/>
          <w:szCs w:val="20"/>
        </w:rPr>
        <w:t>, Terrorismo y contraterrorismo en el siglo XXI, Universidad de Valencia, pp. 6-7.</w:t>
      </w:r>
    </w:p>
  </w:footnote>
  <w:footnote w:id="5">
    <w:p w:rsidR="00CE43C0" w:rsidRDefault="00CE43C0" w:rsidP="00EB6FB2">
      <w:pPr>
        <w:pStyle w:val="Normal1"/>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 Martin Morales, R. (1999) </w:t>
      </w:r>
      <w:r>
        <w:rPr>
          <w:rFonts w:ascii="Times New Roman" w:eastAsia="Times New Roman" w:hAnsi="Times New Roman" w:cs="Times New Roman"/>
          <w:i/>
          <w:sz w:val="20"/>
          <w:szCs w:val="20"/>
        </w:rPr>
        <w:t xml:space="preserve">El principio constitucional de intervención indiciaria, </w:t>
      </w:r>
      <w:r>
        <w:rPr>
          <w:rFonts w:ascii="Times New Roman" w:eastAsia="Times New Roman" w:hAnsi="Times New Roman" w:cs="Times New Roman"/>
          <w:sz w:val="20"/>
          <w:szCs w:val="20"/>
        </w:rPr>
        <w:t xml:space="preserve">Revista de la Facultad de Derecho de la Universidad de Granada, Granada, </w:t>
      </w:r>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 xml:space="preserve">Nº 2, pp. 341-506. Disponible en: </w:t>
      </w:r>
      <w:hyperlink r:id="rId3">
        <w:r>
          <w:rPr>
            <w:rFonts w:ascii="Times New Roman" w:eastAsia="Times New Roman" w:hAnsi="Times New Roman" w:cs="Times New Roman"/>
            <w:color w:val="0000FF"/>
            <w:sz w:val="20"/>
            <w:szCs w:val="20"/>
            <w:u w:val="single"/>
          </w:rPr>
          <w:t>https://dialnet.unirioja.es/servlet/articulo?codigo=250494</w:t>
        </w:r>
      </w:hyperlink>
    </w:p>
  </w:footnote>
  <w:footnote w:id="6">
    <w:p w:rsidR="00CE43C0" w:rsidRPr="00EA1B05" w:rsidRDefault="00CE43C0" w:rsidP="00EB6FB2">
      <w:pPr>
        <w:pStyle w:val="Normal1"/>
        <w:spacing w:after="0" w:line="240" w:lineRule="auto"/>
        <w:jc w:val="both"/>
        <w:rPr>
          <w:rFonts w:ascii="Times New Roman" w:eastAsia="Times New Roman" w:hAnsi="Times New Roman" w:cs="Times New Roman"/>
          <w:sz w:val="20"/>
          <w:szCs w:val="20"/>
          <w:lang w:val="en-US"/>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Cox, James (diciembre de 2012). </w:t>
      </w:r>
      <w:r w:rsidRPr="00EA1B05">
        <w:rPr>
          <w:rFonts w:ascii="Times New Roman" w:eastAsia="Times New Roman" w:hAnsi="Times New Roman" w:cs="Times New Roman"/>
          <w:i/>
          <w:sz w:val="20"/>
          <w:szCs w:val="20"/>
          <w:lang w:val="en-US"/>
        </w:rPr>
        <w:t>Canada and the Five Eyes Intelligence Community</w:t>
      </w:r>
      <w:r w:rsidRPr="00EA1B05">
        <w:rPr>
          <w:rFonts w:ascii="Times New Roman" w:eastAsia="Times New Roman" w:hAnsi="Times New Roman" w:cs="Times New Roman"/>
          <w:sz w:val="20"/>
          <w:szCs w:val="20"/>
          <w:lang w:val="en-US"/>
        </w:rPr>
        <w:t xml:space="preserve">, Canadian </w:t>
      </w:r>
      <w:proofErr w:type="spellStart"/>
      <w:r w:rsidRPr="00EA1B05">
        <w:rPr>
          <w:rFonts w:ascii="Times New Roman" w:eastAsia="Times New Roman" w:hAnsi="Times New Roman" w:cs="Times New Roman"/>
          <w:sz w:val="20"/>
          <w:szCs w:val="20"/>
          <w:lang w:val="en-US"/>
        </w:rPr>
        <w:t>Defence</w:t>
      </w:r>
      <w:proofErr w:type="spellEnd"/>
      <w:r w:rsidRPr="00EA1B05">
        <w:rPr>
          <w:rFonts w:ascii="Times New Roman" w:eastAsia="Times New Roman" w:hAnsi="Times New Roman" w:cs="Times New Roman"/>
          <w:sz w:val="20"/>
          <w:szCs w:val="20"/>
          <w:lang w:val="en-US"/>
        </w:rPr>
        <w:t xml:space="preserve"> and Foreign Affairs Institute, pg. 4. </w:t>
      </w:r>
    </w:p>
  </w:footnote>
  <w:footnote w:id="7">
    <w:p w:rsidR="00CE43C0" w:rsidRPr="00EA1B05" w:rsidRDefault="00CE43C0" w:rsidP="00EB6FB2">
      <w:pPr>
        <w:pStyle w:val="Normal1"/>
        <w:spacing w:after="0" w:line="240" w:lineRule="auto"/>
        <w:jc w:val="both"/>
        <w:rPr>
          <w:sz w:val="20"/>
          <w:szCs w:val="20"/>
          <w:lang w:val="en-US"/>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ECHELON: es una de las redes con mayor potencial en el mundo de la inteligencia. Su principal función es el espionaje y la intercepción de comunicaciones electrónicas. </w:t>
      </w:r>
      <w:proofErr w:type="spellStart"/>
      <w:r w:rsidRPr="00EA1B05">
        <w:rPr>
          <w:rFonts w:ascii="Times New Roman" w:eastAsia="Times New Roman" w:hAnsi="Times New Roman" w:cs="Times New Roman"/>
          <w:sz w:val="20"/>
          <w:szCs w:val="20"/>
          <w:lang w:val="en-US"/>
        </w:rPr>
        <w:t>Disponible</w:t>
      </w:r>
      <w:proofErr w:type="spellEnd"/>
      <w:r w:rsidRPr="00EA1B05">
        <w:rPr>
          <w:rFonts w:ascii="Times New Roman" w:eastAsia="Times New Roman" w:hAnsi="Times New Roman" w:cs="Times New Roman"/>
          <w:sz w:val="20"/>
          <w:szCs w:val="20"/>
          <w:lang w:val="en-US"/>
        </w:rPr>
        <w:t xml:space="preserve"> en: </w:t>
      </w:r>
      <w:hyperlink r:id="rId4">
        <w:r w:rsidRPr="00EA1B05">
          <w:rPr>
            <w:rFonts w:ascii="Times New Roman" w:eastAsia="Times New Roman" w:hAnsi="Times New Roman" w:cs="Times New Roman"/>
            <w:color w:val="0000FF"/>
            <w:sz w:val="20"/>
            <w:szCs w:val="20"/>
            <w:u w:val="single"/>
            <w:lang w:val="en-US"/>
          </w:rPr>
          <w:t>http://internacional.elpais.com/internacional/2013/07/05/actualidad/1373038892_139217.html</w:t>
        </w:r>
      </w:hyperlink>
    </w:p>
  </w:footnote>
  <w:footnote w:id="8">
    <w:p w:rsidR="00CE43C0" w:rsidRDefault="00CE43C0" w:rsidP="00EB6FB2">
      <w:pPr>
        <w:pStyle w:val="Normal1"/>
        <w:spacing w:after="0" w:line="240" w:lineRule="auto"/>
        <w:jc w:val="both"/>
        <w:rPr>
          <w:sz w:val="20"/>
          <w:szCs w:val="20"/>
        </w:rPr>
      </w:pPr>
      <w:r>
        <w:rPr>
          <w:vertAlign w:val="superscript"/>
        </w:rPr>
        <w:footnoteRef/>
      </w:r>
      <w:r w:rsidRPr="00EA1B05">
        <w:rPr>
          <w:sz w:val="20"/>
          <w:szCs w:val="20"/>
          <w:lang w:val="en-US"/>
        </w:rPr>
        <w:t xml:space="preserve"> </w:t>
      </w:r>
      <w:r w:rsidRPr="00EA1B05">
        <w:rPr>
          <w:rFonts w:ascii="Times New Roman" w:eastAsia="Times New Roman" w:hAnsi="Times New Roman" w:cs="Times New Roman"/>
          <w:sz w:val="20"/>
          <w:szCs w:val="20"/>
          <w:lang w:val="en-US"/>
        </w:rPr>
        <w:t xml:space="preserve">The Security Service Act, 10th November 1989, No. 2093 (C.64). </w:t>
      </w:r>
      <w:r>
        <w:rPr>
          <w:rFonts w:ascii="Times New Roman" w:eastAsia="Times New Roman" w:hAnsi="Times New Roman" w:cs="Times New Roman"/>
          <w:sz w:val="20"/>
          <w:szCs w:val="20"/>
        </w:rPr>
        <w:t xml:space="preserve">Disponible en: </w:t>
      </w:r>
      <w:hyperlink r:id="rId5">
        <w:r>
          <w:rPr>
            <w:rFonts w:ascii="Times New Roman" w:eastAsia="Times New Roman" w:hAnsi="Times New Roman" w:cs="Times New Roman"/>
            <w:color w:val="0000FF"/>
            <w:sz w:val="20"/>
            <w:szCs w:val="20"/>
            <w:u w:val="single"/>
          </w:rPr>
          <w:t>http://www.legislation.gov.uk/uksi/1989/2093/made</w:t>
        </w:r>
      </w:hyperlink>
    </w:p>
  </w:footnote>
  <w:footnote w:id="9">
    <w:p w:rsidR="00CE43C0" w:rsidRPr="00EA1B05" w:rsidRDefault="00CE43C0" w:rsidP="00EB6FB2">
      <w:pPr>
        <w:pStyle w:val="Normal1"/>
        <w:spacing w:after="0" w:line="240" w:lineRule="auto"/>
        <w:jc w:val="both"/>
        <w:rPr>
          <w:sz w:val="20"/>
          <w:szCs w:val="20"/>
          <w:lang w:val="en-US"/>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The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Intelligence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Services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Act</w:t>
      </w:r>
      <w:proofErr w:type="spellEnd"/>
      <w:r>
        <w:rPr>
          <w:rFonts w:ascii="Times New Roman" w:eastAsia="Times New Roman" w:hAnsi="Times New Roman" w:cs="Times New Roman"/>
          <w:sz w:val="20"/>
          <w:szCs w:val="20"/>
        </w:rPr>
        <w:t xml:space="preserve">, 2 </w:t>
      </w:r>
      <w:proofErr w:type="spellStart"/>
      <w:r>
        <w:rPr>
          <w:rFonts w:ascii="Times New Roman" w:eastAsia="Times New Roman" w:hAnsi="Times New Roman" w:cs="Times New Roman"/>
          <w:sz w:val="20"/>
          <w:szCs w:val="20"/>
        </w:rPr>
        <w:t>November</w:t>
      </w:r>
      <w:proofErr w:type="spellEnd"/>
      <w:r>
        <w:rPr>
          <w:rFonts w:ascii="Times New Roman" w:eastAsia="Times New Roman" w:hAnsi="Times New Roman" w:cs="Times New Roman"/>
          <w:sz w:val="20"/>
          <w:szCs w:val="20"/>
        </w:rPr>
        <w:t xml:space="preserve">, No. 2734, c. 60. Revisada el 19 de octubre de 2015. </w:t>
      </w:r>
      <w:proofErr w:type="spellStart"/>
      <w:r w:rsidRPr="00EA1B05">
        <w:rPr>
          <w:rFonts w:ascii="Times New Roman" w:eastAsia="Times New Roman" w:hAnsi="Times New Roman" w:cs="Times New Roman"/>
          <w:sz w:val="20"/>
          <w:szCs w:val="20"/>
          <w:lang w:val="en-US"/>
        </w:rPr>
        <w:t>Disponible</w:t>
      </w:r>
      <w:proofErr w:type="spellEnd"/>
      <w:r w:rsidRPr="00EA1B05">
        <w:rPr>
          <w:rFonts w:ascii="Times New Roman" w:eastAsia="Times New Roman" w:hAnsi="Times New Roman" w:cs="Times New Roman"/>
          <w:sz w:val="20"/>
          <w:szCs w:val="20"/>
          <w:lang w:val="en-US"/>
        </w:rPr>
        <w:t xml:space="preserve"> en:  </w:t>
      </w:r>
      <w:hyperlink r:id="rId6">
        <w:r w:rsidRPr="00EA1B05">
          <w:rPr>
            <w:rFonts w:ascii="Times New Roman" w:eastAsia="Times New Roman" w:hAnsi="Times New Roman" w:cs="Times New Roman"/>
            <w:color w:val="0000FF"/>
            <w:sz w:val="20"/>
            <w:szCs w:val="20"/>
            <w:u w:val="single"/>
            <w:lang w:val="en-US"/>
          </w:rPr>
          <w:t>http://www.legislation.gov.uk/ukpga/1994/13</w:t>
        </w:r>
      </w:hyperlink>
    </w:p>
  </w:footnote>
  <w:footnote w:id="10">
    <w:p w:rsidR="00CE43C0" w:rsidRDefault="00CE43C0" w:rsidP="00EB6FB2">
      <w:pPr>
        <w:pStyle w:val="Normal1"/>
        <w:spacing w:after="0" w:line="240" w:lineRule="auto"/>
        <w:jc w:val="both"/>
        <w:rPr>
          <w:sz w:val="18"/>
          <w:szCs w:val="18"/>
        </w:rPr>
      </w:pPr>
      <w:r>
        <w:rPr>
          <w:vertAlign w:val="superscript"/>
        </w:rPr>
        <w:footnoteRef/>
      </w:r>
      <w:r w:rsidRPr="00EA1B05">
        <w:rPr>
          <w:rFonts w:ascii="Arial" w:eastAsia="Arial" w:hAnsi="Arial" w:cs="Arial"/>
          <w:color w:val="555555"/>
          <w:sz w:val="20"/>
          <w:szCs w:val="20"/>
          <w:lang w:val="en-US"/>
        </w:rPr>
        <w:t xml:space="preserve"> </w:t>
      </w:r>
      <w:r w:rsidRPr="00EA1B05">
        <w:rPr>
          <w:rFonts w:ascii="Times New Roman" w:eastAsia="Times New Roman" w:hAnsi="Times New Roman" w:cs="Times New Roman"/>
          <w:sz w:val="20"/>
          <w:szCs w:val="20"/>
          <w:lang w:val="en-US"/>
        </w:rPr>
        <w:t xml:space="preserve">Executive Order 12333 of Dec. 4, 1981, United States intelligence activities. </w:t>
      </w:r>
      <w:r>
        <w:rPr>
          <w:rFonts w:ascii="Times New Roman" w:eastAsia="Times New Roman" w:hAnsi="Times New Roman" w:cs="Times New Roman"/>
          <w:sz w:val="20"/>
          <w:szCs w:val="20"/>
        </w:rPr>
        <w:t xml:space="preserve">Disponible en: </w:t>
      </w:r>
      <w:hyperlink r:id="rId7">
        <w:r>
          <w:rPr>
            <w:rFonts w:ascii="Times New Roman" w:eastAsia="Times New Roman" w:hAnsi="Times New Roman" w:cs="Times New Roman"/>
            <w:color w:val="0000FF"/>
            <w:sz w:val="20"/>
            <w:szCs w:val="20"/>
            <w:u w:val="single"/>
          </w:rPr>
          <w:t>https://www.archives.gov/federal-register/codification/executive-order/12333.html#1.13</w:t>
        </w:r>
      </w:hyperlink>
      <w:r>
        <w:rPr>
          <w:rFonts w:ascii="Times New Roman" w:eastAsia="Times New Roman" w:hAnsi="Times New Roman" w:cs="Times New Roman"/>
          <w:sz w:val="20"/>
          <w:szCs w:val="20"/>
        </w:rPr>
        <w:t>.</w:t>
      </w:r>
    </w:p>
  </w:footnote>
  <w:footnote w:id="11">
    <w:p w:rsidR="00CE43C0" w:rsidRDefault="00CE43C0" w:rsidP="00EB6FB2">
      <w:pPr>
        <w:pStyle w:val="Normal1"/>
        <w:spacing w:after="0" w:line="240" w:lineRule="auto"/>
        <w:jc w:val="both"/>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Contrainteligencia: son las actividades que llevan a cabo los servicios de inteligencia que tiene como objetivo eludir que otros servicios de inteligencia o enemigos obtenga información considerada como secreta para utilizarla en su contra. </w:t>
      </w:r>
    </w:p>
  </w:footnote>
  <w:footnote w:id="12">
    <w:p w:rsidR="00CE43C0" w:rsidRDefault="00CE43C0" w:rsidP="00EB6FB2">
      <w:pPr>
        <w:pStyle w:val="Normal1"/>
        <w:spacing w:after="0" w:line="240" w:lineRule="auto"/>
        <w:jc w:val="both"/>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Circulo 30: es considerado como el primer servicio de inteligencia español, ya que es la primera noticia que se tiene de actividades de inteligencia en España. Pérez Villalobos, M.C (2002). </w:t>
      </w:r>
      <w:r>
        <w:rPr>
          <w:rFonts w:ascii="Times New Roman" w:eastAsia="Times New Roman" w:hAnsi="Times New Roman" w:cs="Times New Roman"/>
          <w:i/>
          <w:sz w:val="20"/>
          <w:szCs w:val="20"/>
        </w:rPr>
        <w:t>Derechos Fundamentales y Servicios de Inteligencia,</w:t>
      </w:r>
      <w:r>
        <w:rPr>
          <w:rFonts w:ascii="Times New Roman" w:eastAsia="Times New Roman" w:hAnsi="Times New Roman" w:cs="Times New Roman"/>
          <w:sz w:val="20"/>
          <w:szCs w:val="20"/>
        </w:rPr>
        <w:t xml:space="preserve"> Grupo Editorial Universitario, Granada, p. 33.</w:t>
      </w:r>
    </w:p>
  </w:footnote>
  <w:footnote w:id="13">
    <w:p w:rsidR="00CE43C0" w:rsidRDefault="00CE43C0" w:rsidP="00EB6FB2">
      <w:pPr>
        <w:pStyle w:val="Normal1"/>
        <w:spacing w:after="0" w:line="240" w:lineRule="auto"/>
        <w:jc w:val="both"/>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Benito, C. (2014) Periódico Hoy. Disponible en: </w:t>
      </w:r>
      <w:hyperlink r:id="rId8">
        <w:r>
          <w:rPr>
            <w:rFonts w:ascii="Times New Roman" w:eastAsia="Times New Roman" w:hAnsi="Times New Roman" w:cs="Times New Roman"/>
            <w:color w:val="0000FF"/>
            <w:sz w:val="20"/>
            <w:szCs w:val="20"/>
            <w:u w:val="single"/>
          </w:rPr>
          <w:t>http://www.hoy.es/sociedad/201409/14/rastro-lobo-20140914002755-v.html</w:t>
        </w:r>
      </w:hyperlink>
      <w:r>
        <w:rPr>
          <w:rFonts w:ascii="Times New Roman" w:eastAsia="Times New Roman" w:hAnsi="Times New Roman" w:cs="Times New Roman"/>
          <w:sz w:val="20"/>
          <w:szCs w:val="20"/>
        </w:rPr>
        <w:t>.</w:t>
      </w:r>
    </w:p>
  </w:footnote>
  <w:footnote w:id="14">
    <w:p w:rsidR="00CE43C0" w:rsidRDefault="00CE43C0" w:rsidP="00EB6FB2">
      <w:pPr>
        <w:pStyle w:val="Normal1"/>
        <w:spacing w:after="0"/>
        <w:jc w:val="both"/>
        <w:rPr>
          <w:rFonts w:ascii="Times New Roman" w:eastAsia="Times New Roman" w:hAnsi="Times New Roman" w:cs="Times New Roman"/>
          <w:i/>
          <w:sz w:val="20"/>
          <w:szCs w:val="20"/>
        </w:rPr>
      </w:pPr>
      <w:r>
        <w:rPr>
          <w:vertAlign w:val="superscript"/>
        </w:rPr>
        <w:footnoteRef/>
      </w:r>
      <w:r>
        <w:t xml:space="preserve"> </w:t>
      </w:r>
      <w:r>
        <w:rPr>
          <w:rFonts w:ascii="Times New Roman" w:eastAsia="Times New Roman" w:hAnsi="Times New Roman" w:cs="Times New Roman"/>
          <w:sz w:val="20"/>
          <w:szCs w:val="20"/>
        </w:rPr>
        <w:t xml:space="preserve">Artículo 12 de la Ley 11/2002, de 6 de mayo  que regula el Centro Nacional de Inteligencia: </w:t>
      </w:r>
      <w:r>
        <w:rPr>
          <w:rFonts w:ascii="Times New Roman" w:eastAsia="Times New Roman" w:hAnsi="Times New Roman" w:cs="Times New Roman"/>
          <w:i/>
          <w:sz w:val="20"/>
          <w:szCs w:val="20"/>
        </w:rPr>
        <w:t>"El control judicial previo del Centro Nacional de Inteligencia se llevará a cabo en la forma prevista en la Ley Orgánica reguladora del control judicial previo del Centro Nacional de Inteligencia, complementaria de la presente Ley".</w:t>
      </w:r>
    </w:p>
  </w:footnote>
  <w:footnote w:id="15">
    <w:p w:rsidR="00CE43C0" w:rsidRDefault="00CE43C0" w:rsidP="00EB6FB2">
      <w:pPr>
        <w:pStyle w:val="Normal1"/>
        <w:tabs>
          <w:tab w:val="center" w:pos="4252"/>
        </w:tabs>
        <w:spacing w:after="0"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Constitución Española, de 29 de diciembre de 1978. [Internet] Boletín Oficial del Estado, Nº 311, de 29 de diciembre de 1978, páginas 29313 a 29313. Disponible en: </w:t>
      </w:r>
      <w:hyperlink r:id="rId9">
        <w:r>
          <w:rPr>
            <w:rFonts w:ascii="Times New Roman" w:eastAsia="Times New Roman" w:hAnsi="Times New Roman" w:cs="Times New Roman"/>
            <w:color w:val="0000FF"/>
            <w:sz w:val="20"/>
            <w:szCs w:val="20"/>
            <w:u w:val="single"/>
          </w:rPr>
          <w:t>https://www.boe.es/diario_boe/txt.php?id=BOE-A-1978-31229</w:t>
        </w:r>
      </w:hyperlink>
      <w:r>
        <w:rPr>
          <w:rFonts w:ascii="Times New Roman" w:eastAsia="Times New Roman" w:hAnsi="Times New Roman" w:cs="Times New Roman"/>
          <w:sz w:val="20"/>
          <w:szCs w:val="20"/>
        </w:rPr>
        <w:tab/>
      </w:r>
    </w:p>
  </w:footnote>
  <w:footnote w:id="16">
    <w:p w:rsidR="00CE43C0" w:rsidRDefault="00CE43C0" w:rsidP="00EB6FB2">
      <w:pPr>
        <w:pStyle w:val="Normal1"/>
        <w:spacing w:after="0"/>
        <w:jc w:val="both"/>
        <w:rPr>
          <w:sz w:val="20"/>
          <w:szCs w:val="20"/>
        </w:rPr>
      </w:pPr>
      <w:r>
        <w:rPr>
          <w:vertAlign w:val="superscript"/>
        </w:rPr>
        <w:footnoteRef/>
      </w:r>
      <w:r>
        <w:rPr>
          <w:rFonts w:ascii="Times New Roman" w:eastAsia="Times New Roman" w:hAnsi="Times New Roman" w:cs="Times New Roman"/>
          <w:sz w:val="20"/>
          <w:szCs w:val="20"/>
        </w:rPr>
        <w:t>Ley Orgánica 2/2002, de 6 de mayo, reguladora del control judicial previo del Centro Nacional de Inteligencia. Boletín Oficial del Estado, núm.</w:t>
      </w:r>
      <w:r>
        <w:rPr>
          <w:rFonts w:ascii="Times New Roman" w:eastAsia="Times New Roman" w:hAnsi="Times New Roman" w:cs="Times New Roman"/>
          <w:sz w:val="20"/>
          <w:szCs w:val="20"/>
          <w:highlight w:val="white"/>
        </w:rPr>
        <w:t xml:space="preserve"> 109, de 7 de mayo de 2002, páginas 16439 a 16440. Disponible en: </w:t>
      </w:r>
      <w:hyperlink r:id="rId10">
        <w:r>
          <w:rPr>
            <w:rFonts w:ascii="Times New Roman" w:eastAsia="Times New Roman" w:hAnsi="Times New Roman" w:cs="Times New Roman"/>
            <w:sz w:val="20"/>
            <w:szCs w:val="20"/>
            <w:highlight w:val="white"/>
            <w:u w:val="single"/>
          </w:rPr>
          <w:t>https://www.boe.es/buscar/doc.php?id=BOE-A-2002-8627</w:t>
        </w:r>
      </w:hyperlink>
    </w:p>
  </w:footnote>
  <w:footnote w:id="17">
    <w:p w:rsidR="00CE43C0" w:rsidRDefault="00CE43C0" w:rsidP="00EB6FB2">
      <w:pPr>
        <w:pStyle w:val="Normal1"/>
        <w:spacing w:after="0"/>
        <w:jc w:val="both"/>
        <w:rPr>
          <w:i/>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Artículo Único, punto cuatro, de la Ley Orgánica 2/2002, de 6 de mayo, reguladora del control judicial previo del Centro Nacional de Inteligencia: </w:t>
      </w:r>
      <w:r>
        <w:rPr>
          <w:rFonts w:ascii="Times New Roman" w:eastAsia="Times New Roman" w:hAnsi="Times New Roman" w:cs="Times New Roman"/>
          <w:i/>
          <w:sz w:val="20"/>
          <w:szCs w:val="20"/>
        </w:rPr>
        <w:t>"El Secretario de Estado Director del Centro Nacional de Inteligencia ordenará la inmediata destrucción del material relativo a todas aquellas informaciones que, obtenidas mediante la autorización prevista en este artículo, no guarden relación con el objeto o fines de la misma".</w:t>
      </w:r>
    </w:p>
  </w:footnote>
  <w:footnote w:id="18">
    <w:p w:rsidR="00CE43C0" w:rsidRDefault="00CE43C0" w:rsidP="00EB6FB2">
      <w:pPr>
        <w:pStyle w:val="Normal1"/>
        <w:spacing w:after="0" w:line="240" w:lineRule="auto"/>
        <w:jc w:val="both"/>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Navarro Bonilla, D. </w:t>
      </w:r>
      <w:r>
        <w:rPr>
          <w:rFonts w:ascii="Times New Roman" w:eastAsia="Times New Roman" w:hAnsi="Times New Roman" w:cs="Times New Roman"/>
          <w:i/>
          <w:sz w:val="20"/>
          <w:szCs w:val="20"/>
        </w:rPr>
        <w:t xml:space="preserve">Espionaje, seguridad nacional y relaciones internacionales, </w:t>
      </w:r>
      <w:r>
        <w:rPr>
          <w:rFonts w:ascii="Times New Roman" w:eastAsia="Times New Roman" w:hAnsi="Times New Roman" w:cs="Times New Roman"/>
          <w:sz w:val="20"/>
          <w:szCs w:val="20"/>
        </w:rPr>
        <w:t>Universidad del País Vasco, p. 9.</w:t>
      </w:r>
    </w:p>
  </w:footnote>
  <w:footnote w:id="19">
    <w:p w:rsidR="00CE43C0" w:rsidRDefault="00CE43C0" w:rsidP="00EB6FB2">
      <w:pPr>
        <w:pStyle w:val="Normal1"/>
        <w:spacing w:after="0" w:line="240" w:lineRule="auto"/>
        <w:jc w:val="both"/>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Córdoba Roda, J. García Arán, M. (2004) </w:t>
      </w:r>
      <w:r>
        <w:rPr>
          <w:rFonts w:ascii="Times New Roman" w:eastAsia="Times New Roman" w:hAnsi="Times New Roman" w:cs="Times New Roman"/>
          <w:i/>
          <w:sz w:val="20"/>
          <w:szCs w:val="20"/>
        </w:rPr>
        <w:t xml:space="preserve">Comentarios al Código Penal, parte especial, </w:t>
      </w:r>
      <w:r>
        <w:rPr>
          <w:rFonts w:ascii="Times New Roman" w:eastAsia="Times New Roman" w:hAnsi="Times New Roman" w:cs="Times New Roman"/>
          <w:sz w:val="20"/>
          <w:szCs w:val="20"/>
        </w:rPr>
        <w:t>Marcial Pons, Madrid, pp. 2644-2645.</w:t>
      </w:r>
    </w:p>
  </w:footnote>
  <w:footnote w:id="20">
    <w:p w:rsidR="00CE43C0" w:rsidRDefault="00CE43C0" w:rsidP="00EB6FB2">
      <w:pPr>
        <w:pStyle w:val="Normal1"/>
        <w:spacing w:after="0"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highlight w:val="white"/>
        </w:rPr>
        <w:t>Borger, Julian (9 de junio de 2013). </w:t>
      </w:r>
      <w:r w:rsidRPr="00EA1B05">
        <w:rPr>
          <w:rFonts w:ascii="Times New Roman" w:eastAsia="Times New Roman" w:hAnsi="Times New Roman" w:cs="Times New Roman"/>
          <w:i/>
          <w:sz w:val="20"/>
          <w:szCs w:val="20"/>
          <w:lang w:val="en-US"/>
        </w:rPr>
        <w:t>Booz Allen Hamilton: Edward Snowden's US contracting firm</w:t>
      </w:r>
      <w:r w:rsidRPr="00EA1B05">
        <w:rPr>
          <w:rFonts w:ascii="Times New Roman" w:eastAsia="Times New Roman" w:hAnsi="Times New Roman" w:cs="Times New Roman"/>
          <w:sz w:val="20"/>
          <w:szCs w:val="20"/>
          <w:highlight w:val="white"/>
          <w:lang w:val="en-US"/>
        </w:rPr>
        <w:t xml:space="preserve"> (en </w:t>
      </w:r>
      <w:proofErr w:type="spellStart"/>
      <w:r w:rsidRPr="00EA1B05">
        <w:rPr>
          <w:rFonts w:ascii="Times New Roman" w:eastAsia="Times New Roman" w:hAnsi="Times New Roman" w:cs="Times New Roman"/>
          <w:sz w:val="20"/>
          <w:szCs w:val="20"/>
          <w:highlight w:val="white"/>
          <w:lang w:val="en-US"/>
        </w:rPr>
        <w:t>inglés</w:t>
      </w:r>
      <w:proofErr w:type="spellEnd"/>
      <w:r w:rsidRPr="00EA1B05">
        <w:rPr>
          <w:rFonts w:ascii="Times New Roman" w:eastAsia="Times New Roman" w:hAnsi="Times New Roman" w:cs="Times New Roman"/>
          <w:sz w:val="20"/>
          <w:szCs w:val="20"/>
          <w:highlight w:val="white"/>
          <w:lang w:val="en-US"/>
        </w:rPr>
        <w:t xml:space="preserve">). </w:t>
      </w:r>
      <w:r>
        <w:rPr>
          <w:rFonts w:ascii="Times New Roman" w:eastAsia="Times New Roman" w:hAnsi="Times New Roman" w:cs="Times New Roman"/>
          <w:sz w:val="20"/>
          <w:szCs w:val="20"/>
          <w:highlight w:val="white"/>
        </w:rPr>
        <w:t xml:space="preserve">London, </w:t>
      </w:r>
      <w:proofErr w:type="spellStart"/>
      <w:r>
        <w:rPr>
          <w:rFonts w:ascii="Times New Roman" w:eastAsia="Times New Roman" w:hAnsi="Times New Roman" w:cs="Times New Roman"/>
          <w:sz w:val="20"/>
          <w:szCs w:val="20"/>
          <w:highlight w:val="white"/>
        </w:rPr>
        <w:t>The</w:t>
      </w:r>
      <w:proofErr w:type="spellEnd"/>
      <w:r>
        <w:rPr>
          <w:rFonts w:ascii="Times New Roman" w:eastAsia="Times New Roman" w:hAnsi="Times New Roman" w:cs="Times New Roman"/>
          <w:sz w:val="20"/>
          <w:szCs w:val="20"/>
          <w:highlight w:val="white"/>
        </w:rPr>
        <w:t xml:space="preserve"> </w:t>
      </w:r>
      <w:proofErr w:type="spellStart"/>
      <w:r>
        <w:rPr>
          <w:rFonts w:ascii="Times New Roman" w:eastAsia="Times New Roman" w:hAnsi="Times New Roman" w:cs="Times New Roman"/>
          <w:sz w:val="20"/>
          <w:szCs w:val="20"/>
          <w:highlight w:val="white"/>
        </w:rPr>
        <w:t>Guardian</w:t>
      </w:r>
      <w:proofErr w:type="spellEnd"/>
      <w:r>
        <w:rPr>
          <w:rFonts w:ascii="Times New Roman" w:eastAsia="Times New Roman" w:hAnsi="Times New Roman" w:cs="Times New Roman"/>
          <w:sz w:val="20"/>
          <w:szCs w:val="20"/>
          <w:highlight w:val="white"/>
        </w:rPr>
        <w:t xml:space="preserve">. Disponible en: </w:t>
      </w:r>
      <w:hyperlink r:id="rId11">
        <w:r>
          <w:rPr>
            <w:rFonts w:ascii="Times New Roman" w:eastAsia="Times New Roman" w:hAnsi="Times New Roman" w:cs="Times New Roman"/>
            <w:sz w:val="20"/>
            <w:szCs w:val="20"/>
            <w:highlight w:val="white"/>
            <w:u w:val="single"/>
          </w:rPr>
          <w:t>https://www.theguardian.com/world/2013/jun/11/edward-snowden-what-we-know-nsa</w:t>
        </w:r>
      </w:hyperlink>
    </w:p>
  </w:footnote>
  <w:footnote w:id="21">
    <w:p w:rsidR="00CE43C0" w:rsidRDefault="00CE43C0" w:rsidP="00EB6FB2">
      <w:pPr>
        <w:pStyle w:val="Normal1"/>
        <w:spacing w:after="0" w:line="240" w:lineRule="auto"/>
        <w:jc w:val="both"/>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Lefébure, A. (2014) </w:t>
      </w:r>
      <w:r>
        <w:rPr>
          <w:rFonts w:ascii="Times New Roman" w:eastAsia="Times New Roman" w:hAnsi="Times New Roman" w:cs="Times New Roman"/>
          <w:i/>
          <w:sz w:val="20"/>
          <w:szCs w:val="20"/>
        </w:rPr>
        <w:t xml:space="preserve">el caso Snowden, así espía Estados Unidos al mundo, </w:t>
      </w:r>
      <w:r>
        <w:rPr>
          <w:rFonts w:ascii="Times New Roman" w:eastAsia="Times New Roman" w:hAnsi="Times New Roman" w:cs="Times New Roman"/>
          <w:sz w:val="20"/>
          <w:szCs w:val="20"/>
        </w:rPr>
        <w:t>Clave Intelectual, Madrid, pp. 167-169.</w:t>
      </w:r>
    </w:p>
  </w:footnote>
  <w:footnote w:id="22">
    <w:p w:rsidR="00CE43C0" w:rsidRDefault="00CE43C0" w:rsidP="00EB6FB2">
      <w:pPr>
        <w:pStyle w:val="Normal1"/>
        <w:spacing w:after="0" w:line="240" w:lineRule="auto"/>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Ley Orgánica 10/1995, de 23 de noviembre, del Código Penal. Boletín Oficial del Estado, núm. 281, de 24/11/1995. Disponible en: </w:t>
      </w:r>
      <w:hyperlink r:id="rId12">
        <w:r>
          <w:rPr>
            <w:rFonts w:ascii="Times New Roman" w:eastAsia="Times New Roman" w:hAnsi="Times New Roman" w:cs="Times New Roman"/>
            <w:color w:val="0000FF"/>
            <w:sz w:val="20"/>
            <w:szCs w:val="20"/>
            <w:u w:val="single"/>
          </w:rPr>
          <w:t>https://www.boe.es/buscar/act.php?id=BOE-A-1995-25444</w:t>
        </w:r>
      </w:hyperlink>
    </w:p>
  </w:footnote>
  <w:footnote w:id="23">
    <w:p w:rsidR="00CE43C0" w:rsidRPr="00A44557" w:rsidRDefault="00CE43C0" w:rsidP="00EB6FB2">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Portilla Contreras, G. (2011) "Torturas y otros delitos contra la integridad moral" en </w:t>
      </w:r>
      <w:r w:rsidRPr="00A44557">
        <w:rPr>
          <w:rFonts w:ascii="Times New Roman" w:hAnsi="Times New Roman" w:cs="Times New Roman"/>
          <w:i/>
        </w:rPr>
        <w:t xml:space="preserve">Derecho penal. Parte Especial. Un estudio a través del </w:t>
      </w:r>
      <w:r>
        <w:rPr>
          <w:rFonts w:ascii="Times New Roman" w:hAnsi="Times New Roman" w:cs="Times New Roman"/>
          <w:i/>
        </w:rPr>
        <w:t xml:space="preserve">sistema de casos resueltos, </w:t>
      </w:r>
      <w:r>
        <w:rPr>
          <w:rFonts w:ascii="Times New Roman" w:hAnsi="Times New Roman" w:cs="Times New Roman"/>
        </w:rPr>
        <w:t>Tirant Lo Blanch, Valencia, pp. 345-350</w:t>
      </w:r>
    </w:p>
  </w:footnote>
  <w:footnote w:id="24">
    <w:p w:rsidR="00CE43C0" w:rsidRDefault="00CE43C0" w:rsidP="00EB6FB2">
      <w:pPr>
        <w:pStyle w:val="Normal1"/>
        <w:spacing w:after="0" w:line="240" w:lineRule="auto"/>
        <w:jc w:val="both"/>
        <w:rPr>
          <w:sz w:val="20"/>
          <w:szCs w:val="20"/>
        </w:rPr>
      </w:pPr>
      <w:r>
        <w:rPr>
          <w:vertAlign w:val="superscript"/>
        </w:rPr>
        <w:footnoteRef/>
      </w:r>
      <w:r>
        <w:rPr>
          <w:rFonts w:ascii="Times New Roman" w:eastAsia="Times New Roman" w:hAnsi="Times New Roman" w:cs="Times New Roman"/>
          <w:sz w:val="20"/>
          <w:szCs w:val="20"/>
        </w:rPr>
        <w:t xml:space="preserve">Convención contra la tortura y otros tratos o penas crueles, inhumanos o degradantes, hecha en Nueva York el 10 de diciembre de 1984. Boletín Oficial del Estado, núm. 268, de 9 de noviembre de 1987, páginas 33430 a 33436. Disponible en: </w:t>
      </w:r>
      <w:hyperlink r:id="rId13">
        <w:r>
          <w:rPr>
            <w:rFonts w:ascii="Times New Roman" w:eastAsia="Times New Roman" w:hAnsi="Times New Roman" w:cs="Times New Roman"/>
            <w:color w:val="0000FF"/>
            <w:sz w:val="20"/>
            <w:szCs w:val="20"/>
            <w:u w:val="single"/>
          </w:rPr>
          <w:t>http://www.boe.es/buscar/doc.php?id=BOE-A-1987-25053</w:t>
        </w:r>
      </w:hyperlink>
      <w:r>
        <w:rPr>
          <w:rFonts w:ascii="Times New Roman" w:eastAsia="Times New Roman" w:hAnsi="Times New Roman" w:cs="Times New Roman"/>
          <w:sz w:val="20"/>
          <w:szCs w:val="20"/>
        </w:rPr>
        <w:t>.</w:t>
      </w:r>
    </w:p>
  </w:footnote>
  <w:footnote w:id="25">
    <w:p w:rsidR="00CE43C0" w:rsidRDefault="00CE43C0" w:rsidP="00EB6FB2">
      <w:pPr>
        <w:pStyle w:val="Normal1"/>
        <w:spacing w:after="0" w:line="240" w:lineRule="auto"/>
        <w:jc w:val="both"/>
        <w:rPr>
          <w:sz w:val="20"/>
          <w:szCs w:val="20"/>
        </w:rPr>
      </w:pPr>
      <w:r>
        <w:rPr>
          <w:vertAlign w:val="superscript"/>
        </w:rPr>
        <w:footnoteRef/>
      </w:r>
      <w:r>
        <w:rPr>
          <w:rFonts w:ascii="Times New Roman" w:eastAsia="Times New Roman" w:hAnsi="Times New Roman" w:cs="Times New Roman"/>
          <w:sz w:val="20"/>
          <w:szCs w:val="20"/>
        </w:rPr>
        <w:t xml:space="preserve">Sentencia de 25 de febrero de 1982 del Tribunal Europeo de los Derechos Humanos, en el Asunto </w:t>
      </w:r>
      <w:r>
        <w:rPr>
          <w:rFonts w:ascii="Times New Roman" w:eastAsia="Times New Roman" w:hAnsi="Times New Roman" w:cs="Times New Roman"/>
          <w:i/>
          <w:sz w:val="20"/>
          <w:szCs w:val="20"/>
        </w:rPr>
        <w:t xml:space="preserve">Campbell y Cosans, </w:t>
      </w:r>
      <w:r>
        <w:rPr>
          <w:rFonts w:ascii="Times New Roman" w:eastAsia="Times New Roman" w:hAnsi="Times New Roman" w:cs="Times New Roman"/>
          <w:sz w:val="20"/>
          <w:szCs w:val="20"/>
        </w:rPr>
        <w:t xml:space="preserve">esta sentencia introduce como sujeto activo a un profesor de colegio que había infligido tratos inhumanos a sus alumnos, esto confirma la posibilidad de que las legislaciones internas puedan introducir sujetos activos al delito de torturas en relación a la Convención de las Naciones Unidas. </w:t>
      </w:r>
    </w:p>
  </w:footnote>
  <w:footnote w:id="26">
    <w:p w:rsidR="00CE43C0" w:rsidRPr="00465857" w:rsidRDefault="00CE43C0" w:rsidP="00EB6FB2">
      <w:pPr>
        <w:pStyle w:val="Textonotapie"/>
        <w:jc w:val="both"/>
        <w:rPr>
          <w:rFonts w:ascii="Times New Roman" w:hAnsi="Times New Roman" w:cs="Times New Roman"/>
        </w:rPr>
      </w:pPr>
      <w:r>
        <w:rPr>
          <w:rStyle w:val="Refdenotaalpie"/>
        </w:rPr>
        <w:footnoteRef/>
      </w:r>
      <w:r>
        <w:t xml:space="preserve"> </w:t>
      </w:r>
      <w:r w:rsidRPr="00B561F5">
        <w:rPr>
          <w:rFonts w:ascii="Times New Roman" w:hAnsi="Times New Roman" w:cs="Times New Roman"/>
        </w:rPr>
        <w:t>Portilla Contreras</w:t>
      </w:r>
      <w:r>
        <w:rPr>
          <w:rFonts w:ascii="Times New Roman" w:hAnsi="Times New Roman" w:cs="Times New Roman"/>
        </w:rPr>
        <w:t>, G. (2012) " P</w:t>
      </w:r>
      <w:r w:rsidRPr="00465857">
        <w:rPr>
          <w:rFonts w:ascii="Times New Roman" w:hAnsi="Times New Roman" w:cs="Times New Roman"/>
        </w:rPr>
        <w:t>rohibición de la tortura y de las penas o los</w:t>
      </w:r>
      <w:r>
        <w:rPr>
          <w:rFonts w:ascii="Times New Roman" w:hAnsi="Times New Roman" w:cs="Times New Roman"/>
        </w:rPr>
        <w:t xml:space="preserve"> Tratos inhumanos o degradantes" en </w:t>
      </w:r>
      <w:r>
        <w:rPr>
          <w:rFonts w:ascii="Times New Roman" w:hAnsi="Times New Roman" w:cs="Times New Roman"/>
          <w:i/>
        </w:rPr>
        <w:t xml:space="preserve">La Europa de los Derechos. Cristina </w:t>
      </w:r>
      <w:proofErr w:type="spellStart"/>
      <w:r>
        <w:rPr>
          <w:rFonts w:ascii="Times New Roman" w:hAnsi="Times New Roman" w:cs="Times New Roman"/>
          <w:i/>
        </w:rPr>
        <w:t>Monereo</w:t>
      </w:r>
      <w:proofErr w:type="spellEnd"/>
      <w:r>
        <w:rPr>
          <w:rFonts w:ascii="Times New Roman" w:hAnsi="Times New Roman" w:cs="Times New Roman"/>
          <w:i/>
        </w:rPr>
        <w:t xml:space="preserve"> </w:t>
      </w:r>
      <w:proofErr w:type="spellStart"/>
      <w:r>
        <w:rPr>
          <w:rFonts w:ascii="Times New Roman" w:hAnsi="Times New Roman" w:cs="Times New Roman"/>
          <w:i/>
        </w:rPr>
        <w:t>Atienza</w:t>
      </w:r>
      <w:proofErr w:type="spellEnd"/>
      <w:r>
        <w:rPr>
          <w:rFonts w:ascii="Times New Roman" w:hAnsi="Times New Roman" w:cs="Times New Roman"/>
          <w:i/>
        </w:rPr>
        <w:t xml:space="preserve">, José </w:t>
      </w:r>
      <w:proofErr w:type="spellStart"/>
      <w:r>
        <w:rPr>
          <w:rFonts w:ascii="Times New Roman" w:hAnsi="Times New Roman" w:cs="Times New Roman"/>
          <w:i/>
        </w:rPr>
        <w:t>luis</w:t>
      </w:r>
      <w:proofErr w:type="spellEnd"/>
      <w:r>
        <w:rPr>
          <w:rFonts w:ascii="Times New Roman" w:hAnsi="Times New Roman" w:cs="Times New Roman"/>
          <w:i/>
        </w:rPr>
        <w:t xml:space="preserve"> </w:t>
      </w:r>
      <w:proofErr w:type="spellStart"/>
      <w:r>
        <w:rPr>
          <w:rFonts w:ascii="Times New Roman" w:hAnsi="Times New Roman" w:cs="Times New Roman"/>
          <w:i/>
        </w:rPr>
        <w:t>Monereo</w:t>
      </w:r>
      <w:proofErr w:type="spellEnd"/>
      <w:r>
        <w:rPr>
          <w:rFonts w:ascii="Times New Roman" w:hAnsi="Times New Roman" w:cs="Times New Roman"/>
          <w:i/>
        </w:rPr>
        <w:t xml:space="preserve"> Pérez (Coordinadores), </w:t>
      </w:r>
      <w:r>
        <w:rPr>
          <w:rFonts w:ascii="Times New Roman" w:hAnsi="Times New Roman" w:cs="Times New Roman"/>
        </w:rPr>
        <w:t xml:space="preserve">Comares, Granada, pp. 55-60. </w:t>
      </w:r>
    </w:p>
  </w:footnote>
  <w:footnote w:id="27">
    <w:p w:rsidR="00CE43C0" w:rsidRDefault="00CE43C0" w:rsidP="00EB6FB2">
      <w:pPr>
        <w:pStyle w:val="Normal1"/>
        <w:spacing w:after="0" w:line="240" w:lineRule="auto"/>
        <w:jc w:val="both"/>
        <w:rPr>
          <w:sz w:val="20"/>
          <w:szCs w:val="20"/>
        </w:rPr>
      </w:pPr>
      <w:r>
        <w:rPr>
          <w:vertAlign w:val="superscript"/>
        </w:rPr>
        <w:footnoteRef/>
      </w:r>
      <w:r>
        <w:rPr>
          <w:rFonts w:ascii="Times New Roman" w:eastAsia="Times New Roman" w:hAnsi="Times New Roman" w:cs="Times New Roman"/>
          <w:sz w:val="20"/>
          <w:szCs w:val="20"/>
        </w:rPr>
        <w:t xml:space="preserve">Alonso de Escamilla, A. (2016) </w:t>
      </w:r>
      <w:r>
        <w:rPr>
          <w:rFonts w:ascii="Times New Roman" w:eastAsia="Times New Roman" w:hAnsi="Times New Roman" w:cs="Times New Roman"/>
          <w:i/>
          <w:sz w:val="20"/>
          <w:szCs w:val="20"/>
        </w:rPr>
        <w:t xml:space="preserve">Delitos. La parte especial del Derecho Penal, </w:t>
      </w:r>
      <w:proofErr w:type="spellStart"/>
      <w:r>
        <w:rPr>
          <w:rFonts w:ascii="Times New Roman" w:eastAsia="Times New Roman" w:hAnsi="Times New Roman" w:cs="Times New Roman"/>
          <w:sz w:val="20"/>
          <w:szCs w:val="20"/>
        </w:rPr>
        <w:t>Dykinson</w:t>
      </w:r>
      <w:proofErr w:type="spellEnd"/>
      <w:r>
        <w:rPr>
          <w:rFonts w:ascii="Times New Roman" w:eastAsia="Times New Roman" w:hAnsi="Times New Roman" w:cs="Times New Roman"/>
          <w:sz w:val="20"/>
          <w:szCs w:val="20"/>
        </w:rPr>
        <w:t xml:space="preserve"> S.L, Madrid, pp. 157-158.</w:t>
      </w:r>
    </w:p>
  </w:footnote>
  <w:footnote w:id="28">
    <w:p w:rsidR="00CE43C0" w:rsidRDefault="00CE43C0" w:rsidP="00EB6FB2">
      <w:pPr>
        <w:pStyle w:val="Normal1"/>
        <w:spacing w:after="0" w:line="240" w:lineRule="auto"/>
        <w:jc w:val="both"/>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Carta de los Derechos Fundamentales de la Unión europea, del 7 de diciembre del 2000. [Internet] Boletín Oficial del Estado, núm. 83, de 30 de marzo de 2010, páginas 389 a 403. Disponible en:</w:t>
      </w:r>
    </w:p>
    <w:p w:rsidR="00CE43C0" w:rsidRDefault="00CE43C0" w:rsidP="00EB6FB2">
      <w:pPr>
        <w:pStyle w:val="Normal1"/>
        <w:spacing w:after="0" w:line="240" w:lineRule="auto"/>
        <w:jc w:val="both"/>
        <w:rPr>
          <w:rFonts w:ascii="Times New Roman" w:eastAsia="Times New Roman" w:hAnsi="Times New Roman" w:cs="Times New Roman"/>
          <w:sz w:val="20"/>
          <w:szCs w:val="20"/>
        </w:rPr>
      </w:pPr>
      <w:hyperlink r:id="rId14">
        <w:r>
          <w:rPr>
            <w:rFonts w:ascii="Times New Roman" w:eastAsia="Times New Roman" w:hAnsi="Times New Roman" w:cs="Times New Roman"/>
            <w:color w:val="0000FF"/>
            <w:sz w:val="20"/>
            <w:szCs w:val="20"/>
            <w:u w:val="single"/>
          </w:rPr>
          <w:t>http://www.boe.es/buscar/doc.php?id=DOUE-Z-2010-70003</w:t>
        </w:r>
      </w:hyperlink>
    </w:p>
  </w:footnote>
  <w:footnote w:id="29">
    <w:p w:rsidR="00CE43C0" w:rsidRDefault="00CE43C0" w:rsidP="00EB6FB2">
      <w:pPr>
        <w:pStyle w:val="Normal1"/>
        <w:spacing w:after="0" w:line="240" w:lineRule="auto"/>
        <w:jc w:val="both"/>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Convenio para la Protección de los Derechos Humanos y de las Libertades Fundamentales, hecho en Roma el 4 de noviembre de 1950. [Internet] Boletín Oficial del Estado núm. 243, de 10 de octubre de 1979, páginas 23564 a 23570. Disponible en: </w:t>
      </w:r>
    </w:p>
    <w:p w:rsidR="00CE43C0" w:rsidRDefault="00CE43C0" w:rsidP="00EB6FB2">
      <w:pPr>
        <w:pStyle w:val="Normal1"/>
        <w:spacing w:after="0" w:line="240" w:lineRule="auto"/>
        <w:jc w:val="both"/>
        <w:rPr>
          <w:sz w:val="20"/>
          <w:szCs w:val="20"/>
        </w:rPr>
      </w:pPr>
      <w:hyperlink r:id="rId15">
        <w:r>
          <w:rPr>
            <w:rFonts w:ascii="Times New Roman" w:eastAsia="Times New Roman" w:hAnsi="Times New Roman" w:cs="Times New Roman"/>
            <w:color w:val="0000FF"/>
            <w:sz w:val="20"/>
            <w:szCs w:val="20"/>
            <w:u w:val="single"/>
          </w:rPr>
          <w:t>https://www.boe.es/diario_boe/txt.php?id=BOE-A-1979-24010</w:t>
        </w:r>
      </w:hyperlink>
    </w:p>
  </w:footnote>
  <w:footnote w:id="30">
    <w:p w:rsidR="00CE43C0" w:rsidRDefault="00CE43C0" w:rsidP="00EB6FB2">
      <w:pPr>
        <w:pStyle w:val="Normal1"/>
        <w:spacing w:after="0" w:line="240" w:lineRule="auto"/>
        <w:jc w:val="both"/>
        <w:rPr>
          <w:i/>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Artículo 3 de la Declaración sobre la Protección de Todas las Personas contra la Tortura y Otros Tratos o Penas Crueles, Inhumanos o Degradantes: </w:t>
      </w:r>
      <w:r>
        <w:rPr>
          <w:rFonts w:ascii="Times New Roman" w:eastAsia="Times New Roman" w:hAnsi="Times New Roman" w:cs="Times New Roman"/>
          <w:i/>
          <w:sz w:val="20"/>
          <w:szCs w:val="20"/>
        </w:rPr>
        <w:t>"Ningún Estado permitirá o tolerará tortura u otros tratos o penas crueles, inhumanos o degradantes. No podrán invocarse circunstancias excepcionales tales como estado de guerra o amenaza de guerra, inestabilidad política interna o cualquier otra emergencia pública como justificación de la tortura u otros tratos o penas crueles, inhumanos o degradantes."</w:t>
      </w:r>
    </w:p>
  </w:footnote>
  <w:footnote w:id="31">
    <w:p w:rsidR="00CE43C0" w:rsidRDefault="00CE43C0" w:rsidP="00EB6FB2">
      <w:pPr>
        <w:pStyle w:val="Normal1"/>
        <w:spacing w:after="0" w:line="240" w:lineRule="auto"/>
        <w:jc w:val="both"/>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Artículo 20.7 del Código Penal de 1995: "</w:t>
      </w:r>
      <w:r>
        <w:rPr>
          <w:rFonts w:ascii="Times New Roman" w:eastAsia="Times New Roman" w:hAnsi="Times New Roman" w:cs="Times New Roman"/>
          <w:i/>
          <w:sz w:val="20"/>
          <w:szCs w:val="20"/>
        </w:rPr>
        <w:t>El que obre en cumplimiento de un deber o en el ejercicio legítimo de un derecho, oficio o cargo".</w:t>
      </w:r>
    </w:p>
  </w:footnote>
  <w:footnote w:id="32">
    <w:p w:rsidR="00CE43C0" w:rsidRDefault="00CE43C0" w:rsidP="00EB6FB2">
      <w:pPr>
        <w:pStyle w:val="Normal1"/>
        <w:spacing w:after="0" w:line="240" w:lineRule="auto"/>
        <w:jc w:val="both"/>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Rodríguez Mesa, M.J. (2000) </w:t>
      </w:r>
      <w:r>
        <w:rPr>
          <w:rFonts w:ascii="Times New Roman" w:eastAsia="Times New Roman" w:hAnsi="Times New Roman" w:cs="Times New Roman"/>
          <w:i/>
          <w:sz w:val="20"/>
          <w:szCs w:val="20"/>
        </w:rPr>
        <w:t>Torturas y otros delitos contra la integridad moral cometidos por los funcionarios públicos.</w:t>
      </w:r>
      <w:r>
        <w:rPr>
          <w:rFonts w:ascii="Times New Roman" w:eastAsia="Times New Roman" w:hAnsi="Times New Roman" w:cs="Times New Roman"/>
          <w:sz w:val="20"/>
          <w:szCs w:val="20"/>
        </w:rPr>
        <w:t xml:space="preserve"> Comares, Granada, pp. 282-284.</w:t>
      </w:r>
      <w:r>
        <w:rPr>
          <w:sz w:val="20"/>
          <w:szCs w:val="20"/>
        </w:rPr>
        <w:t xml:space="preserve"> </w:t>
      </w:r>
    </w:p>
  </w:footnote>
  <w:footnote w:id="33">
    <w:p w:rsidR="00CE43C0" w:rsidRDefault="00CE43C0" w:rsidP="00EB6FB2">
      <w:pPr>
        <w:pStyle w:val="Normal1"/>
        <w:spacing w:after="0" w:line="240" w:lineRule="auto"/>
        <w:jc w:val="both"/>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Artículo 174 del Código Penal de 1995: "</w:t>
      </w:r>
      <w:r>
        <w:rPr>
          <w:rFonts w:ascii="Times New Roman" w:eastAsia="Times New Roman" w:hAnsi="Times New Roman" w:cs="Times New Roman"/>
          <w:i/>
          <w:sz w:val="20"/>
          <w:szCs w:val="20"/>
        </w:rPr>
        <w:t>Comete tortura la autoridad o funcionario público que, abusando de su cargo, y con el fin de obtener una confesión o información de cualquier persona o de castigarla por cualquier hecho que haya cometido o se sospeche que ha cometido, o por cualquier razón basada en algún tipo de discriminación, la sometiere a condiciones o procedimientos que por su naturaleza, duración u otras circunstancias, le supongan sufrimientos físicos o mentales, la supresión o disminución de sus facultades de conocimiento, discernimiento o decisión o que, de cualquier otro modo, atenten contra su integridad moral[..]".</w:t>
      </w:r>
    </w:p>
  </w:footnote>
  <w:footnote w:id="34">
    <w:p w:rsidR="00CE43C0" w:rsidRDefault="00CE43C0" w:rsidP="00EB6FB2">
      <w:pPr>
        <w:pStyle w:val="Normal1"/>
        <w:spacing w:after="0" w:line="240" w:lineRule="auto"/>
        <w:rPr>
          <w:i/>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De la Cuesta Arzamendi, J.L. (1998) </w:t>
      </w:r>
      <w:r>
        <w:rPr>
          <w:rFonts w:ascii="Times New Roman" w:eastAsia="Times New Roman" w:hAnsi="Times New Roman" w:cs="Times New Roman"/>
          <w:i/>
          <w:sz w:val="20"/>
          <w:szCs w:val="20"/>
        </w:rPr>
        <w:t xml:space="preserve">Torturas y otros delitos contra la integridad moral, </w:t>
      </w:r>
      <w:r>
        <w:rPr>
          <w:rFonts w:ascii="Times New Roman" w:eastAsia="Times New Roman" w:hAnsi="Times New Roman" w:cs="Times New Roman"/>
          <w:sz w:val="20"/>
          <w:szCs w:val="20"/>
        </w:rPr>
        <w:t xml:space="preserve"> Estudios penales y criminológicos, Universidad de Santiago de Compostela, Nº 21, p.92. Disponible en: </w:t>
      </w:r>
      <w:hyperlink r:id="rId16">
        <w:r>
          <w:rPr>
            <w:rFonts w:ascii="Times New Roman" w:eastAsia="Times New Roman" w:hAnsi="Times New Roman" w:cs="Times New Roman"/>
            <w:color w:val="0000FF"/>
            <w:sz w:val="20"/>
            <w:szCs w:val="20"/>
            <w:u w:val="single"/>
          </w:rPr>
          <w:t>https://dialnet.unirioja.es/servlet/articulo?codigo=2359840</w:t>
        </w:r>
      </w:hyperlink>
    </w:p>
  </w:footnote>
  <w:footnote w:id="35">
    <w:p w:rsidR="00CE43C0" w:rsidRDefault="00CE43C0" w:rsidP="00EB6FB2">
      <w:pPr>
        <w:pStyle w:val="Normal1"/>
        <w:spacing w:after="0" w:line="240" w:lineRule="auto"/>
        <w:jc w:val="both"/>
        <w:rPr>
          <w:i/>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Cuerda Arnau, M.L. (2015) </w:t>
      </w:r>
      <w:r>
        <w:rPr>
          <w:rFonts w:ascii="Times New Roman" w:eastAsia="Times New Roman" w:hAnsi="Times New Roman" w:cs="Times New Roman"/>
          <w:i/>
          <w:sz w:val="20"/>
          <w:szCs w:val="20"/>
        </w:rPr>
        <w:t xml:space="preserve">Derecho Penal parte especial, </w:t>
      </w:r>
      <w:r>
        <w:rPr>
          <w:rFonts w:ascii="Times New Roman" w:eastAsia="Times New Roman" w:hAnsi="Times New Roman" w:cs="Times New Roman"/>
          <w:sz w:val="20"/>
          <w:szCs w:val="20"/>
        </w:rPr>
        <w:t>Tirant lo Blanch, Valencia, pp. 193-194.</w:t>
      </w:r>
      <w:r>
        <w:rPr>
          <w:sz w:val="20"/>
          <w:szCs w:val="20"/>
        </w:rPr>
        <w:t xml:space="preserve"> </w:t>
      </w:r>
      <w:r>
        <w:rPr>
          <w:i/>
          <w:sz w:val="20"/>
          <w:szCs w:val="20"/>
        </w:rPr>
        <w:t xml:space="preserve"> </w:t>
      </w:r>
    </w:p>
  </w:footnote>
  <w:footnote w:id="36">
    <w:p w:rsidR="00CE43C0" w:rsidRDefault="00CE43C0" w:rsidP="00EB6FB2">
      <w:pPr>
        <w:pStyle w:val="Normal1"/>
        <w:spacing w:after="0" w:line="240" w:lineRule="auto"/>
        <w:jc w:val="both"/>
        <w:rPr>
          <w:sz w:val="20"/>
          <w:szCs w:val="20"/>
        </w:rPr>
      </w:pPr>
      <w:r>
        <w:rPr>
          <w:vertAlign w:val="superscript"/>
        </w:rPr>
        <w:footnoteRef/>
      </w:r>
      <w:r>
        <w:rPr>
          <w:rFonts w:ascii="Times New Roman" w:eastAsia="Times New Roman" w:hAnsi="Times New Roman" w:cs="Times New Roman"/>
          <w:sz w:val="20"/>
          <w:szCs w:val="20"/>
        </w:rPr>
        <w:t xml:space="preserve">Serrano Gómez, A. Serrano Maíllo, A. (2016) </w:t>
      </w:r>
      <w:r>
        <w:rPr>
          <w:rFonts w:ascii="Times New Roman" w:eastAsia="Times New Roman" w:hAnsi="Times New Roman" w:cs="Times New Roman"/>
          <w:i/>
          <w:sz w:val="20"/>
          <w:szCs w:val="20"/>
        </w:rPr>
        <w:t xml:space="preserve">Curso de Derecho Penal parte especial, </w:t>
      </w:r>
      <w:proofErr w:type="spellStart"/>
      <w:r>
        <w:rPr>
          <w:rFonts w:ascii="Times New Roman" w:eastAsia="Times New Roman" w:hAnsi="Times New Roman" w:cs="Times New Roman"/>
          <w:sz w:val="20"/>
          <w:szCs w:val="20"/>
        </w:rPr>
        <w:t>Dykinson</w:t>
      </w:r>
      <w:proofErr w:type="spellEnd"/>
      <w:r>
        <w:rPr>
          <w:rFonts w:ascii="Times New Roman" w:eastAsia="Times New Roman" w:hAnsi="Times New Roman" w:cs="Times New Roman"/>
          <w:sz w:val="20"/>
          <w:szCs w:val="20"/>
        </w:rPr>
        <w:t xml:space="preserve"> S.L, Madrid, pp. 136-137.</w:t>
      </w:r>
    </w:p>
  </w:footnote>
  <w:footnote w:id="37">
    <w:p w:rsidR="00CE43C0" w:rsidRDefault="00CE43C0" w:rsidP="00EB6FB2">
      <w:pPr>
        <w:pStyle w:val="Normal1"/>
        <w:spacing w:after="0" w:line="240" w:lineRule="auto"/>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Artículo 11 del Código Penal: </w:t>
      </w:r>
      <w:r>
        <w:rPr>
          <w:rFonts w:ascii="Times New Roman" w:eastAsia="Times New Roman" w:hAnsi="Times New Roman" w:cs="Times New Roman"/>
          <w:i/>
          <w:sz w:val="20"/>
          <w:szCs w:val="20"/>
        </w:rPr>
        <w:t>"Los delitos que consistan en la producción de un resultado sólo se entenderán cometidos por omisión cuando la no evitación del mismo, al infringir un especial deber jurídico del autor, equivalga, según el sentido del texto de la ley, a su causación".</w:t>
      </w:r>
      <w:r>
        <w:rPr>
          <w:rFonts w:ascii="Times New Roman" w:eastAsia="Times New Roman" w:hAnsi="Times New Roman" w:cs="Times New Roman"/>
          <w:sz w:val="20"/>
          <w:szCs w:val="20"/>
        </w:rPr>
        <w:t xml:space="preserve"> </w:t>
      </w:r>
    </w:p>
  </w:footnote>
  <w:footnote w:id="38">
    <w:p w:rsidR="00CE43C0" w:rsidRDefault="00CE43C0" w:rsidP="00EB6FB2">
      <w:pPr>
        <w:pStyle w:val="Normal1"/>
        <w:spacing w:after="0" w:line="240" w:lineRule="auto"/>
        <w:jc w:val="both"/>
        <w:rPr>
          <w:sz w:val="20"/>
          <w:szCs w:val="20"/>
        </w:rPr>
      </w:pPr>
      <w:r>
        <w:rPr>
          <w:vertAlign w:val="superscript"/>
        </w:rPr>
        <w:footnoteRef/>
      </w:r>
      <w:r>
        <w:rPr>
          <w:rFonts w:ascii="Times New Roman" w:eastAsia="Times New Roman" w:hAnsi="Times New Roman" w:cs="Times New Roman"/>
          <w:sz w:val="20"/>
          <w:szCs w:val="20"/>
        </w:rPr>
        <w:t xml:space="preserve">Portilla Contreras, G. (1996) </w:t>
      </w:r>
      <w:r>
        <w:rPr>
          <w:rFonts w:ascii="Times New Roman" w:eastAsia="Times New Roman" w:hAnsi="Times New Roman" w:cs="Times New Roman"/>
          <w:i/>
          <w:sz w:val="20"/>
          <w:szCs w:val="20"/>
        </w:rPr>
        <w:t xml:space="preserve">Curso de Derecho Penal español, </w:t>
      </w:r>
      <w:r>
        <w:rPr>
          <w:rFonts w:ascii="Times New Roman" w:eastAsia="Times New Roman" w:hAnsi="Times New Roman" w:cs="Times New Roman"/>
          <w:sz w:val="20"/>
          <w:szCs w:val="20"/>
        </w:rPr>
        <w:t>Marcial Pons, Madrid, pp. 294-295.</w:t>
      </w:r>
    </w:p>
  </w:footnote>
  <w:footnote w:id="39">
    <w:p w:rsidR="00CE43C0" w:rsidRPr="005C03A0" w:rsidRDefault="00CE43C0" w:rsidP="00EB6FB2">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Portilla Contreras, G. (2015) "Vulneración de garantías en la detención" en </w:t>
      </w:r>
      <w:r>
        <w:rPr>
          <w:rFonts w:ascii="Times New Roman" w:hAnsi="Times New Roman" w:cs="Times New Roman"/>
          <w:i/>
        </w:rPr>
        <w:t xml:space="preserve">Tratado de Derecho Penal Español, </w:t>
      </w:r>
      <w:r>
        <w:rPr>
          <w:rFonts w:ascii="Times New Roman" w:hAnsi="Times New Roman" w:cs="Times New Roman"/>
        </w:rPr>
        <w:t>Tirant Lo Blanch, Valencia, pp. 570-572.</w:t>
      </w:r>
    </w:p>
  </w:footnote>
  <w:footnote w:id="40">
    <w:p w:rsidR="00CE43C0" w:rsidRDefault="00CE43C0" w:rsidP="00EB6FB2">
      <w:pPr>
        <w:pStyle w:val="Normal1"/>
        <w:spacing w:after="0" w:line="240" w:lineRule="auto"/>
        <w:jc w:val="both"/>
        <w:rPr>
          <w:i/>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Sentencia 2011/29, de 8 de marzo de 2011, del Tribunal Europeo de los Derechos Humanos: </w:t>
      </w:r>
      <w:r>
        <w:rPr>
          <w:rFonts w:ascii="Times New Roman" w:eastAsia="Times New Roman" w:hAnsi="Times New Roman" w:cs="Times New Roman"/>
          <w:i/>
          <w:sz w:val="20"/>
          <w:szCs w:val="20"/>
        </w:rPr>
        <w:t>"[...]el demandante manifiesta haber recibido malos tratos de los que dice haber sido víctima durante su detención. En particular, los malos tratos denunciados habrían consistido en golpes en la cabeza, en sesiones de asfixia poniendo una bolsa de plástico alrededor de la cabeza del demandante, en humillaciones y vejaciones sexuales y en amenazas de muerte y violación"</w:t>
      </w:r>
    </w:p>
  </w:footnote>
  <w:footnote w:id="41">
    <w:p w:rsidR="00CE43C0" w:rsidRDefault="00CE43C0" w:rsidP="00EB6FB2">
      <w:pPr>
        <w:pStyle w:val="Normal1"/>
        <w:spacing w:after="0" w:line="240" w:lineRule="auto"/>
        <w:jc w:val="both"/>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Tercer Convenio de Ginebra de 12 de agosto de 1949, relativo al trato debido a los prisioneros de guerra.</w:t>
      </w:r>
    </w:p>
  </w:footnote>
  <w:footnote w:id="42">
    <w:p w:rsidR="00CE43C0" w:rsidRDefault="00CE43C0" w:rsidP="00EB6FB2">
      <w:pPr>
        <w:pStyle w:val="Normal1"/>
        <w:spacing w:after="0" w:line="240" w:lineRule="auto"/>
        <w:jc w:val="both"/>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Cuarto Convenio de Ginebra de 12 de agosto de 1949, relativo a la protección de personas civiles en tiempo de guerra.</w:t>
      </w:r>
      <w:r>
        <w:rPr>
          <w:sz w:val="20"/>
          <w:szCs w:val="20"/>
        </w:rPr>
        <w:t xml:space="preserve"> </w:t>
      </w:r>
    </w:p>
  </w:footnote>
  <w:footnote w:id="43">
    <w:p w:rsidR="00CE43C0" w:rsidRDefault="00CE43C0" w:rsidP="00EB6FB2">
      <w:pPr>
        <w:pStyle w:val="Normal1"/>
        <w:spacing w:after="0" w:line="240" w:lineRule="auto"/>
        <w:jc w:val="both"/>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Artículo 5 del tercer Convenio de Ginebra: "</w:t>
      </w:r>
      <w:r>
        <w:rPr>
          <w:rFonts w:ascii="Times New Roman" w:eastAsia="Times New Roman" w:hAnsi="Times New Roman" w:cs="Times New Roman"/>
          <w:i/>
          <w:sz w:val="20"/>
          <w:szCs w:val="20"/>
        </w:rPr>
        <w:t>Si hay duda por lo que respecta a la pertenencia a una de las categorías enumeradas en el artículo 4 de las personas que hayan cometido un acto de beligerancia y que hayan caído en poder del enemigo, dichas personas se benefician de la protección del presente Convenio, en espera de que un tribunal competente haya determinado su estatuto".</w:t>
      </w:r>
    </w:p>
  </w:footnote>
  <w:footnote w:id="44">
    <w:p w:rsidR="00CE43C0" w:rsidRDefault="00CE43C0" w:rsidP="00EB6FB2">
      <w:pPr>
        <w:pStyle w:val="Normal1"/>
        <w:spacing w:after="0" w:line="240" w:lineRule="auto"/>
        <w:jc w:val="both"/>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Artículo 5 del cuarto Convenio de Ginebra: </w:t>
      </w:r>
      <w:r>
        <w:rPr>
          <w:rFonts w:ascii="Times New Roman" w:eastAsia="Times New Roman" w:hAnsi="Times New Roman" w:cs="Times New Roman"/>
          <w:i/>
          <w:sz w:val="20"/>
          <w:szCs w:val="20"/>
        </w:rPr>
        <w:t>"Si, en el territorio de una Parte en conflicto, ésta tiene serias razones para considerar que una persona protegida por el presente Convenio resulta fundadamente sospechosa de dedicarse a actividades perjudiciales para la seguridad del Estado, o si se demuestra que se dedica, de hecho, a dichas actividades, tal persona no podrá ampararse en los derechos y privilegios conferidos por el presente Convenio que, de aplicarse en su favor, podrían causar perjuicio a la seguridad del Estado".</w:t>
      </w:r>
    </w:p>
  </w:footnote>
  <w:footnote w:id="45">
    <w:p w:rsidR="00CE43C0" w:rsidRPr="00701FFE" w:rsidRDefault="00CE43C0" w:rsidP="00EB6FB2">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Portilla Contreras, G. (2007) </w:t>
      </w:r>
      <w:r w:rsidRPr="00701FFE">
        <w:rPr>
          <w:rFonts w:ascii="Times New Roman" w:hAnsi="Times New Roman" w:cs="Times New Roman"/>
          <w:i/>
        </w:rPr>
        <w:t xml:space="preserve">El Derecho Penal entre el cosmopolitismo universalista y el relativismo </w:t>
      </w:r>
      <w:proofErr w:type="spellStart"/>
      <w:r w:rsidRPr="00701FFE">
        <w:rPr>
          <w:rFonts w:ascii="Times New Roman" w:hAnsi="Times New Roman" w:cs="Times New Roman"/>
          <w:i/>
        </w:rPr>
        <w:t>portmodernista</w:t>
      </w:r>
      <w:proofErr w:type="spellEnd"/>
      <w:r>
        <w:rPr>
          <w:rFonts w:ascii="Times New Roman" w:hAnsi="Times New Roman" w:cs="Times New Roman"/>
          <w:i/>
        </w:rPr>
        <w:t xml:space="preserve">, </w:t>
      </w:r>
      <w:r>
        <w:rPr>
          <w:rFonts w:ascii="Times New Roman" w:hAnsi="Times New Roman" w:cs="Times New Roman"/>
        </w:rPr>
        <w:t>Tirant Lo Blanch, Valencia, pp. 244-247.</w:t>
      </w:r>
    </w:p>
  </w:footnote>
  <w:footnote w:id="46">
    <w:p w:rsidR="00CE43C0" w:rsidRDefault="00CE43C0" w:rsidP="00EB6FB2">
      <w:pPr>
        <w:pStyle w:val="Normal1"/>
        <w:spacing w:after="0" w:line="240" w:lineRule="auto"/>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Pacto Internacional de Derechos Civiles y Políticos, de Nueva York del 19 de diciembre de 1966. [Internet] Boletín Oficial del Estado, núm. 103, de 30 de abril de 1977, páginas 9337 a 9343. Disponible en:  </w:t>
      </w:r>
      <w:hyperlink r:id="rId17">
        <w:r>
          <w:rPr>
            <w:rFonts w:ascii="Times New Roman" w:eastAsia="Times New Roman" w:hAnsi="Times New Roman" w:cs="Times New Roman"/>
            <w:color w:val="0000FF"/>
            <w:sz w:val="20"/>
            <w:szCs w:val="20"/>
            <w:u w:val="single"/>
          </w:rPr>
          <w:t>https://www.boe.es/buscar/doc.php?id=BOE-A-1977-10733</w:t>
        </w:r>
      </w:hyperlink>
    </w:p>
  </w:footnote>
  <w:footnote w:id="47">
    <w:p w:rsidR="00CE43C0" w:rsidRDefault="00CE43C0" w:rsidP="00EB6FB2">
      <w:pPr>
        <w:pStyle w:val="Normal1"/>
        <w:spacing w:after="0" w:line="240" w:lineRule="auto"/>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hAnsi="Times New Roman" w:cs="Times New Roman"/>
          <w:sz w:val="20"/>
          <w:szCs w:val="20"/>
        </w:rPr>
        <w:t xml:space="preserve">Portilla Contreras, G. (2014) </w:t>
      </w:r>
      <w:r>
        <w:rPr>
          <w:rFonts w:ascii="Times New Roman" w:hAnsi="Times New Roman" w:cs="Times New Roman"/>
          <w:i/>
          <w:sz w:val="20"/>
          <w:szCs w:val="20"/>
        </w:rPr>
        <w:t xml:space="preserve">Terroristas como no-personas del Derecho. ¿Es delito la tortura de presuntos terroristas?, </w:t>
      </w:r>
      <w:r>
        <w:rPr>
          <w:rFonts w:ascii="Times New Roman" w:hAnsi="Times New Roman" w:cs="Times New Roman"/>
          <w:sz w:val="20"/>
          <w:szCs w:val="20"/>
        </w:rPr>
        <w:t xml:space="preserve">Revista Mientras Tanto, nº130, Barcelona, pp. 1-2.  </w:t>
      </w:r>
    </w:p>
  </w:footnote>
  <w:footnote w:id="48">
    <w:p w:rsidR="00CE43C0" w:rsidRDefault="00CE43C0" w:rsidP="00EB6FB2">
      <w:pPr>
        <w:pStyle w:val="Normal1"/>
        <w:spacing w:after="0" w:line="240" w:lineRule="auto"/>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Jakobs, G. (2006), </w:t>
      </w:r>
      <w:r>
        <w:rPr>
          <w:rFonts w:ascii="Times New Roman" w:eastAsia="Times New Roman" w:hAnsi="Times New Roman" w:cs="Times New Roman"/>
          <w:i/>
          <w:sz w:val="20"/>
          <w:szCs w:val="20"/>
        </w:rPr>
        <w:t xml:space="preserve">¿Derecho penal del enemigo? Un estudio acerca de los presupuestos de la juridicidad, </w:t>
      </w:r>
      <w:r>
        <w:rPr>
          <w:rFonts w:ascii="Times New Roman" w:eastAsia="Times New Roman" w:hAnsi="Times New Roman" w:cs="Times New Roman"/>
          <w:sz w:val="20"/>
          <w:szCs w:val="20"/>
        </w:rPr>
        <w:t xml:space="preserve">Derecho penal del enemigo: el discurso penal de la exclusión, Vol. 2, p. 212. </w:t>
      </w:r>
    </w:p>
  </w:footnote>
  <w:footnote w:id="49">
    <w:p w:rsidR="00CE43C0" w:rsidRDefault="00CE43C0" w:rsidP="00EB6FB2">
      <w:pPr>
        <w:pStyle w:val="Normal1"/>
        <w:spacing w:after="0"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Revenga Sánchez, M. (2001). </w:t>
      </w:r>
      <w:r>
        <w:rPr>
          <w:rFonts w:ascii="Times New Roman" w:eastAsia="Times New Roman" w:hAnsi="Times New Roman" w:cs="Times New Roman"/>
          <w:i/>
          <w:sz w:val="20"/>
          <w:szCs w:val="20"/>
        </w:rPr>
        <w:t xml:space="preserve">Servicios de Inteligencia y derecho a la intimidad, </w:t>
      </w:r>
      <w:r>
        <w:rPr>
          <w:rFonts w:ascii="Times New Roman" w:eastAsia="Times New Roman" w:hAnsi="Times New Roman" w:cs="Times New Roman"/>
          <w:sz w:val="20"/>
          <w:szCs w:val="20"/>
        </w:rPr>
        <w:t xml:space="preserve">Revista Española de derecho constitucional, Nº 21, Nº 61, 2001, pp. 59-80. Disponible en: </w:t>
      </w:r>
      <w:hyperlink r:id="rId18">
        <w:r>
          <w:rPr>
            <w:rFonts w:ascii="Times New Roman" w:eastAsia="Times New Roman" w:hAnsi="Times New Roman" w:cs="Times New Roman"/>
            <w:color w:val="0000FF"/>
            <w:sz w:val="20"/>
            <w:szCs w:val="20"/>
            <w:u w:val="single"/>
          </w:rPr>
          <w:t>https://dialnet.unirioja.es/servlet/articulo?codigo=79698</w:t>
        </w:r>
      </w:hyperlink>
    </w:p>
  </w:footnote>
  <w:footnote w:id="50">
    <w:p w:rsidR="00CE43C0" w:rsidRDefault="00CE43C0" w:rsidP="00EB6FB2">
      <w:pPr>
        <w:pStyle w:val="Normal1"/>
        <w:spacing w:after="0"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Constitución Española, de 29 de diciembre de 1978. [Internet] Boletín Oficial del Estado, Nº 311, de 29 de diciembre de 1978, páginas 29313 a 29313. Disponible en: </w:t>
      </w:r>
      <w:hyperlink r:id="rId19">
        <w:r>
          <w:rPr>
            <w:rFonts w:ascii="Times New Roman" w:eastAsia="Times New Roman" w:hAnsi="Times New Roman" w:cs="Times New Roman"/>
            <w:color w:val="0000FF"/>
            <w:sz w:val="20"/>
            <w:szCs w:val="20"/>
            <w:u w:val="single"/>
          </w:rPr>
          <w:t>https://www.boe.es/diario_boe/txt.php?id=BOE-A-1978-31229</w:t>
        </w:r>
      </w:hyperlink>
      <w:r>
        <w:rPr>
          <w:rFonts w:ascii="Times New Roman" w:eastAsia="Times New Roman" w:hAnsi="Times New Roman" w:cs="Times New Roman"/>
          <w:sz w:val="20"/>
          <w:szCs w:val="20"/>
        </w:rPr>
        <w:tab/>
      </w:r>
    </w:p>
  </w:footnote>
  <w:footnote w:id="51">
    <w:p w:rsidR="00CE43C0" w:rsidRDefault="00CE43C0" w:rsidP="00EB6FB2">
      <w:pPr>
        <w:pStyle w:val="Normal1"/>
        <w:spacing w:after="0"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Pérez Villalobos, M.C (2002). </w:t>
      </w:r>
      <w:r>
        <w:rPr>
          <w:rFonts w:ascii="Times New Roman" w:eastAsia="Times New Roman" w:hAnsi="Times New Roman" w:cs="Times New Roman"/>
          <w:i/>
          <w:sz w:val="20"/>
          <w:szCs w:val="20"/>
        </w:rPr>
        <w:t>Derechos Fundamentales y Servicios de Inteligencia</w:t>
      </w:r>
      <w:r>
        <w:rPr>
          <w:rFonts w:ascii="Times New Roman" w:eastAsia="Times New Roman" w:hAnsi="Times New Roman" w:cs="Times New Roman"/>
          <w:sz w:val="20"/>
          <w:szCs w:val="20"/>
        </w:rPr>
        <w:t>,</w:t>
      </w:r>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Grupo Editorial Universitario, Granada,  p. 107.</w:t>
      </w:r>
    </w:p>
  </w:footnote>
  <w:footnote w:id="52">
    <w:p w:rsidR="00CE43C0" w:rsidRDefault="00CE43C0" w:rsidP="00EB6FB2">
      <w:pPr>
        <w:pStyle w:val="Normal1"/>
        <w:spacing w:after="0"/>
        <w:jc w:val="both"/>
        <w:rPr>
          <w:rFonts w:ascii="Times New Roman" w:eastAsia="Times New Roman" w:hAnsi="Times New Roman" w:cs="Times New Roman"/>
          <w:i/>
          <w:sz w:val="20"/>
          <w:szCs w:val="20"/>
        </w:rPr>
      </w:pPr>
      <w:r>
        <w:rPr>
          <w:vertAlign w:val="superscript"/>
        </w:rPr>
        <w:footnoteRef/>
      </w:r>
      <w:r>
        <w:t xml:space="preserve"> </w:t>
      </w:r>
      <w:r>
        <w:rPr>
          <w:rFonts w:ascii="Times New Roman" w:eastAsia="Times New Roman" w:hAnsi="Times New Roman" w:cs="Times New Roman"/>
          <w:sz w:val="20"/>
          <w:szCs w:val="20"/>
        </w:rPr>
        <w:t xml:space="preserve">Artículo 197.1 del Código Penal de 1995: </w:t>
      </w:r>
      <w:r>
        <w:rPr>
          <w:rFonts w:ascii="Times New Roman" w:eastAsia="Times New Roman" w:hAnsi="Times New Roman" w:cs="Times New Roman"/>
          <w:i/>
          <w:sz w:val="20"/>
          <w:szCs w:val="20"/>
        </w:rPr>
        <w:t>“El que, para descubrir los secretos o vulnerar la intimidad de otro, sin su consentimiento, se apodere de sus papeles, cartas, mensajes de correo electrónico o cualesquiera otros documentos o efectos personales, intercepte sus telecomunicaciones o utilice artificios técnicos de escucha, transmisión, grabación o reproducción del sonido o de la imagen, o de cualquier otra señal de comunicación, será castigado con las penas de prisión de uno a cuatro años y multa de doce a veinticuatro meses”.</w:t>
      </w:r>
    </w:p>
  </w:footnote>
  <w:footnote w:id="53">
    <w:p w:rsidR="00CE43C0" w:rsidRDefault="00CE43C0" w:rsidP="00EB6FB2">
      <w:pPr>
        <w:pStyle w:val="Normal1"/>
        <w:spacing w:after="0" w:line="240" w:lineRule="auto"/>
        <w:jc w:val="both"/>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Libano Beristain, A. (2011) </w:t>
      </w:r>
      <w:r>
        <w:rPr>
          <w:rFonts w:ascii="Times New Roman" w:eastAsia="Times New Roman" w:hAnsi="Times New Roman" w:cs="Times New Roman"/>
          <w:i/>
          <w:sz w:val="20"/>
          <w:szCs w:val="20"/>
        </w:rPr>
        <w:t xml:space="preserve">Los delitos semipúblicos y privados: aspectos sustantivos y procesales. Adaptado a la reforma del Código Penal, “Los delitos de descubrimiento y revelación de secretos”. </w:t>
      </w:r>
      <w:r>
        <w:rPr>
          <w:rFonts w:ascii="Times New Roman" w:eastAsia="Times New Roman" w:hAnsi="Times New Roman" w:cs="Times New Roman"/>
          <w:sz w:val="20"/>
          <w:szCs w:val="20"/>
        </w:rPr>
        <w:t>J.M. Bosch Editor, Barcelona, p. 120.</w:t>
      </w:r>
    </w:p>
  </w:footnote>
  <w:footnote w:id="54">
    <w:p w:rsidR="00CE43C0" w:rsidRDefault="00CE43C0" w:rsidP="00EB6FB2">
      <w:pPr>
        <w:pStyle w:val="Normal1"/>
        <w:spacing w:after="0" w:line="240" w:lineRule="auto"/>
        <w:jc w:val="both"/>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Puente Aba, L.M. (2007) </w:t>
      </w:r>
      <w:r>
        <w:rPr>
          <w:rFonts w:ascii="Times New Roman" w:eastAsia="Times New Roman" w:hAnsi="Times New Roman" w:cs="Times New Roman"/>
          <w:i/>
          <w:sz w:val="20"/>
          <w:szCs w:val="20"/>
        </w:rPr>
        <w:t xml:space="preserve">Delitos contra la intimidad y nuevas tecnologías. </w:t>
      </w:r>
      <w:r>
        <w:rPr>
          <w:rFonts w:ascii="Times New Roman" w:eastAsia="Times New Roman" w:hAnsi="Times New Roman" w:cs="Times New Roman"/>
          <w:sz w:val="20"/>
          <w:szCs w:val="20"/>
        </w:rPr>
        <w:t>Eguzkilore: Cuaderno del Instituto Vasco de Criminología, Nº 21, pp. 164-165.</w:t>
      </w:r>
    </w:p>
  </w:footnote>
  <w:footnote w:id="55">
    <w:p w:rsidR="00CE43C0" w:rsidRDefault="00CE43C0" w:rsidP="00EB6FB2">
      <w:pPr>
        <w:pStyle w:val="Normal1"/>
        <w:spacing w:after="0" w:line="240" w:lineRule="auto"/>
        <w:jc w:val="both"/>
        <w:rPr>
          <w:i/>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Artículo 198 del Código Penal de 1995: “</w:t>
      </w:r>
      <w:r>
        <w:rPr>
          <w:rFonts w:ascii="Times New Roman" w:eastAsia="Times New Roman" w:hAnsi="Times New Roman" w:cs="Times New Roman"/>
          <w:i/>
          <w:sz w:val="20"/>
          <w:szCs w:val="20"/>
        </w:rPr>
        <w:t>La autoridad o funcionario público que, fuera de los casos permitidos por la Ley, sin mediar causa legal por delito, y prevaliéndose de su cargo, realizare cualquiera de las conductas descritas en el artículo anterior, será castigado con las penas respectivamente previstas en el mismo, en su mitad superior y, además, con la de inhabilitación absoluta por tiempo de seis a doce años”.</w:t>
      </w:r>
      <w:r>
        <w:rPr>
          <w:i/>
          <w:sz w:val="20"/>
          <w:szCs w:val="20"/>
        </w:rPr>
        <w:t xml:space="preserve"> </w:t>
      </w:r>
    </w:p>
  </w:footnote>
  <w:footnote w:id="56">
    <w:p w:rsidR="00CE43C0" w:rsidRDefault="00CE43C0" w:rsidP="00EB6FB2">
      <w:pPr>
        <w:pStyle w:val="Normal1"/>
        <w:spacing w:after="0" w:line="240" w:lineRule="auto"/>
        <w:jc w:val="both"/>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Gómez Navas, J. (2005) </w:t>
      </w:r>
      <w:r>
        <w:rPr>
          <w:rFonts w:ascii="Times New Roman" w:eastAsia="Times New Roman" w:hAnsi="Times New Roman" w:cs="Times New Roman"/>
          <w:i/>
          <w:sz w:val="20"/>
          <w:szCs w:val="20"/>
        </w:rPr>
        <w:t xml:space="preserve">La protección de los datos personales. </w:t>
      </w:r>
      <w:r>
        <w:rPr>
          <w:rFonts w:ascii="Times New Roman" w:eastAsia="Times New Roman" w:hAnsi="Times New Roman" w:cs="Times New Roman"/>
          <w:sz w:val="20"/>
          <w:szCs w:val="20"/>
        </w:rPr>
        <w:t>Editorial Aranzadi, p. 396.</w:t>
      </w:r>
      <w:r>
        <w:rPr>
          <w:sz w:val="20"/>
          <w:szCs w:val="20"/>
        </w:rPr>
        <w:t xml:space="preserve">  </w:t>
      </w:r>
    </w:p>
  </w:footnote>
  <w:footnote w:id="57">
    <w:p w:rsidR="00CE43C0" w:rsidRDefault="00CE43C0" w:rsidP="00EB6FB2">
      <w:pPr>
        <w:pStyle w:val="Normal1"/>
        <w:spacing w:after="0" w:line="240" w:lineRule="auto"/>
        <w:jc w:val="both"/>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Esquinas Valverde, P. (2010) </w:t>
      </w:r>
      <w:r>
        <w:rPr>
          <w:rFonts w:ascii="Times New Roman" w:eastAsia="Times New Roman" w:hAnsi="Times New Roman" w:cs="Times New Roman"/>
          <w:i/>
          <w:sz w:val="20"/>
          <w:szCs w:val="20"/>
        </w:rPr>
        <w:t xml:space="preserve">Protección de datos personales en la Policía Europea, </w:t>
      </w:r>
      <w:r>
        <w:rPr>
          <w:rFonts w:ascii="Times New Roman" w:eastAsia="Times New Roman" w:hAnsi="Times New Roman" w:cs="Times New Roman"/>
          <w:sz w:val="20"/>
          <w:szCs w:val="20"/>
        </w:rPr>
        <w:t>Tirant lo Blanch, Valencia, pp. 130-131.</w:t>
      </w:r>
      <w:r>
        <w:rPr>
          <w:sz w:val="20"/>
          <w:szCs w:val="20"/>
        </w:rPr>
        <w:t xml:space="preserve"> </w:t>
      </w:r>
    </w:p>
  </w:footnote>
  <w:footnote w:id="58">
    <w:p w:rsidR="00CE43C0" w:rsidRDefault="00CE43C0" w:rsidP="00EB6FB2">
      <w:pPr>
        <w:pStyle w:val="Normal1"/>
        <w:spacing w:after="0" w:line="240" w:lineRule="auto"/>
        <w:jc w:val="both"/>
        <w:rPr>
          <w:i/>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Artículo 413 del Código Penal de 1995: "</w:t>
      </w:r>
      <w:r>
        <w:rPr>
          <w:rFonts w:ascii="Times New Roman" w:eastAsia="Times New Roman" w:hAnsi="Times New Roman" w:cs="Times New Roman"/>
          <w:i/>
          <w:sz w:val="20"/>
          <w:szCs w:val="20"/>
        </w:rPr>
        <w:t>La autoridad o funcionario público que, a sabiendas, sustrajere, destruyere, inutilizare u ocultare, total o parcialmente, documentos cuya custodia le esté encomendada por razón de su cargo, incurrirá en las penas de prisión de uno a cuatro años, multa de siete a veinticuatro meses, e inhabilitación especial para empleo o cargo público por tiempo de tres a seis años".</w:t>
      </w:r>
    </w:p>
  </w:footnote>
  <w:footnote w:id="59">
    <w:p w:rsidR="00CE43C0" w:rsidRDefault="00CE43C0" w:rsidP="00EB6FB2">
      <w:pPr>
        <w:pStyle w:val="Normal1"/>
        <w:spacing w:after="0" w:line="240" w:lineRule="auto"/>
        <w:jc w:val="both"/>
        <w:rPr>
          <w:i/>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Artículo 536 del Código Penal de 1995: "</w:t>
      </w:r>
      <w:r>
        <w:rPr>
          <w:rFonts w:ascii="Times New Roman" w:eastAsia="Times New Roman" w:hAnsi="Times New Roman" w:cs="Times New Roman"/>
          <w:i/>
          <w:sz w:val="20"/>
          <w:szCs w:val="20"/>
        </w:rPr>
        <w:t>La autoridad, funcionario público o agente de éstos que, mediando causa por delito, interceptare las telecomunicaciones o utilizare artificios técnicos de escuchas, transmisión, grabación o reproducción del sonido, de la imagen o de cualquier otra señal de comunicación, con violación de las garantías constitucionales o legales, incurrirá en la pena de inhabilitación especial para empleo o cargo público de dos a seis años".</w:t>
      </w:r>
    </w:p>
  </w:footnote>
  <w:footnote w:id="60">
    <w:p w:rsidR="00CE43C0" w:rsidRPr="00EA1B05" w:rsidRDefault="00CE43C0" w:rsidP="00EB6FB2">
      <w:pPr>
        <w:pStyle w:val="Normal1"/>
        <w:spacing w:after="0" w:line="240" w:lineRule="auto"/>
        <w:rPr>
          <w:rFonts w:ascii="Times New Roman" w:eastAsia="Times New Roman" w:hAnsi="Times New Roman" w:cs="Times New Roman"/>
          <w:sz w:val="20"/>
          <w:szCs w:val="20"/>
          <w:lang w:val="en-US"/>
        </w:rPr>
      </w:pPr>
      <w:r>
        <w:rPr>
          <w:vertAlign w:val="superscript"/>
        </w:rPr>
        <w:footnoteRef/>
      </w:r>
      <w:r w:rsidRPr="00EA1B05">
        <w:rPr>
          <w:rFonts w:ascii="Times New Roman" w:eastAsia="Times New Roman" w:hAnsi="Times New Roman" w:cs="Times New Roman"/>
          <w:sz w:val="20"/>
          <w:szCs w:val="20"/>
          <w:lang w:val="en-US"/>
        </w:rPr>
        <w:t xml:space="preserve"> Michael Scheuer, &lt;&lt;A fine rendition&gt;&gt;, </w:t>
      </w:r>
      <w:r w:rsidRPr="00EA1B05">
        <w:rPr>
          <w:rFonts w:ascii="Times New Roman" w:eastAsia="Times New Roman" w:hAnsi="Times New Roman" w:cs="Times New Roman"/>
          <w:i/>
          <w:sz w:val="20"/>
          <w:szCs w:val="20"/>
          <w:lang w:val="en-US"/>
        </w:rPr>
        <w:t>New York Time</w:t>
      </w:r>
      <w:r w:rsidRPr="00EA1B05">
        <w:rPr>
          <w:rFonts w:ascii="Times New Roman" w:eastAsia="Times New Roman" w:hAnsi="Times New Roman" w:cs="Times New Roman"/>
          <w:sz w:val="20"/>
          <w:szCs w:val="20"/>
          <w:lang w:val="en-US"/>
        </w:rPr>
        <w:t xml:space="preserve">, 11 de </w:t>
      </w:r>
      <w:proofErr w:type="spellStart"/>
      <w:r w:rsidRPr="00EA1B05">
        <w:rPr>
          <w:rFonts w:ascii="Times New Roman" w:eastAsia="Times New Roman" w:hAnsi="Times New Roman" w:cs="Times New Roman"/>
          <w:sz w:val="20"/>
          <w:szCs w:val="20"/>
          <w:lang w:val="en-US"/>
        </w:rPr>
        <w:t>marzo</w:t>
      </w:r>
      <w:proofErr w:type="spellEnd"/>
      <w:r w:rsidRPr="00EA1B05">
        <w:rPr>
          <w:rFonts w:ascii="Times New Roman" w:eastAsia="Times New Roman" w:hAnsi="Times New Roman" w:cs="Times New Roman"/>
          <w:sz w:val="20"/>
          <w:szCs w:val="20"/>
          <w:lang w:val="en-US"/>
        </w:rPr>
        <w:t xml:space="preserve"> de 2005.</w:t>
      </w:r>
    </w:p>
  </w:footnote>
  <w:footnote w:id="61">
    <w:p w:rsidR="00CE43C0" w:rsidRPr="00EA1B05" w:rsidRDefault="00CE43C0" w:rsidP="00EB6FB2">
      <w:pPr>
        <w:pStyle w:val="Normal1"/>
        <w:spacing w:after="0" w:line="240" w:lineRule="auto"/>
        <w:rPr>
          <w:sz w:val="20"/>
          <w:szCs w:val="20"/>
          <w:lang w:val="en-US"/>
        </w:rPr>
      </w:pPr>
      <w:r>
        <w:rPr>
          <w:vertAlign w:val="superscript"/>
        </w:rPr>
        <w:footnoteRef/>
      </w:r>
      <w:r w:rsidRPr="00EA1B05">
        <w:rPr>
          <w:rFonts w:ascii="Times New Roman" w:eastAsia="Times New Roman" w:hAnsi="Times New Roman" w:cs="Times New Roman"/>
          <w:sz w:val="20"/>
          <w:szCs w:val="20"/>
          <w:lang w:val="en-US"/>
        </w:rPr>
        <w:t xml:space="preserve"> Central Intelligence Agency (2017): </w:t>
      </w:r>
      <w:hyperlink r:id="rId20">
        <w:r w:rsidRPr="00EA1B05">
          <w:rPr>
            <w:rFonts w:ascii="Times New Roman" w:eastAsia="Times New Roman" w:hAnsi="Times New Roman" w:cs="Times New Roman"/>
            <w:color w:val="0000FF"/>
            <w:sz w:val="20"/>
            <w:szCs w:val="20"/>
            <w:u w:val="single"/>
            <w:lang w:val="en-US"/>
          </w:rPr>
          <w:t>http://www.odci.gov/cia/public_affairs/speeches/2004/tenet_testimony_04142004.html.</w:t>
        </w:r>
      </w:hyperlink>
    </w:p>
  </w:footnote>
  <w:footnote w:id="62">
    <w:p w:rsidR="00CE43C0" w:rsidRPr="00EA1B05" w:rsidRDefault="00CE43C0" w:rsidP="00EB6FB2">
      <w:pPr>
        <w:pStyle w:val="Normal1"/>
        <w:spacing w:after="0" w:line="240" w:lineRule="auto"/>
        <w:jc w:val="both"/>
        <w:rPr>
          <w:rFonts w:ascii="Times New Roman" w:eastAsia="Times New Roman" w:hAnsi="Times New Roman" w:cs="Times New Roman"/>
          <w:sz w:val="20"/>
          <w:szCs w:val="20"/>
          <w:lang w:val="en-US"/>
        </w:rPr>
      </w:pPr>
      <w:r>
        <w:rPr>
          <w:vertAlign w:val="superscript"/>
        </w:rPr>
        <w:footnoteRef/>
      </w:r>
      <w:r w:rsidRPr="00EA1B05">
        <w:rPr>
          <w:rFonts w:ascii="Times New Roman" w:eastAsia="Times New Roman" w:hAnsi="Times New Roman" w:cs="Times New Roman"/>
          <w:sz w:val="20"/>
          <w:szCs w:val="20"/>
          <w:lang w:val="en-US"/>
        </w:rPr>
        <w:t xml:space="preserve"> </w:t>
      </w:r>
      <w:r w:rsidRPr="00EA1B05">
        <w:rPr>
          <w:rFonts w:ascii="Times New Roman" w:eastAsia="Times New Roman" w:hAnsi="Times New Roman" w:cs="Times New Roman"/>
          <w:i/>
          <w:sz w:val="20"/>
          <w:szCs w:val="20"/>
          <w:lang w:val="en-US"/>
        </w:rPr>
        <w:t xml:space="preserve">Written Statement for the Record of the Director of Central Intelligence Before the National Commission on Terrorist Attacks Upon the United States, </w:t>
      </w:r>
      <w:r w:rsidRPr="00EA1B05">
        <w:rPr>
          <w:rFonts w:ascii="Times New Roman" w:eastAsia="Times New Roman" w:hAnsi="Times New Roman" w:cs="Times New Roman"/>
          <w:sz w:val="20"/>
          <w:szCs w:val="20"/>
          <w:lang w:val="en-US"/>
        </w:rPr>
        <w:t xml:space="preserve">24 de </w:t>
      </w:r>
      <w:proofErr w:type="spellStart"/>
      <w:r w:rsidRPr="00EA1B05">
        <w:rPr>
          <w:rFonts w:ascii="Times New Roman" w:eastAsia="Times New Roman" w:hAnsi="Times New Roman" w:cs="Times New Roman"/>
          <w:sz w:val="20"/>
          <w:szCs w:val="20"/>
          <w:lang w:val="en-US"/>
        </w:rPr>
        <w:t>marzo</w:t>
      </w:r>
      <w:proofErr w:type="spellEnd"/>
      <w:r w:rsidRPr="00EA1B05">
        <w:rPr>
          <w:rFonts w:ascii="Times New Roman" w:eastAsia="Times New Roman" w:hAnsi="Times New Roman" w:cs="Times New Roman"/>
          <w:sz w:val="20"/>
          <w:szCs w:val="20"/>
          <w:lang w:val="en-US"/>
        </w:rPr>
        <w:t xml:space="preserve"> de 2004. </w:t>
      </w:r>
    </w:p>
  </w:footnote>
  <w:footnote w:id="63">
    <w:p w:rsidR="00CE43C0" w:rsidRDefault="00CE43C0" w:rsidP="00EB6FB2">
      <w:pPr>
        <w:pStyle w:val="Normal1"/>
        <w:spacing w:after="0" w:line="240" w:lineRule="auto"/>
        <w:jc w:val="both"/>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Parlamento Europeo (2006):</w:t>
      </w:r>
    </w:p>
    <w:p w:rsidR="00CE43C0" w:rsidRDefault="00CE43C0" w:rsidP="00EB6FB2">
      <w:pPr>
        <w:pStyle w:val="Normal1"/>
        <w:spacing w:after="0" w:line="240" w:lineRule="auto"/>
        <w:jc w:val="both"/>
        <w:rPr>
          <w:rFonts w:ascii="Times New Roman" w:eastAsia="Times New Roman" w:hAnsi="Times New Roman" w:cs="Times New Roman"/>
          <w:sz w:val="20"/>
          <w:szCs w:val="20"/>
          <w:u w:val="single"/>
        </w:rPr>
      </w:pPr>
      <w:hyperlink r:id="rId21">
        <w:r>
          <w:rPr>
            <w:rFonts w:ascii="Times New Roman" w:eastAsia="Times New Roman" w:hAnsi="Times New Roman" w:cs="Times New Roman"/>
            <w:color w:val="0000FF"/>
            <w:sz w:val="20"/>
            <w:szCs w:val="20"/>
            <w:u w:val="single"/>
          </w:rPr>
          <w:t>http://www.europarl.europa.eu/sides/getDoc.do?type=IMPRESS&amp;reference=20060628IPR09341&amp;language=ES</w:t>
        </w:r>
      </w:hyperlink>
    </w:p>
  </w:footnote>
  <w:footnote w:id="64">
    <w:p w:rsidR="00CE43C0" w:rsidRDefault="00CE43C0" w:rsidP="00EB6FB2">
      <w:pPr>
        <w:pStyle w:val="Normal1"/>
        <w:spacing w:after="0" w:line="240" w:lineRule="auto"/>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Guardans</w:t>
      </w:r>
      <w:proofErr w:type="spellEnd"/>
      <w:r>
        <w:rPr>
          <w:rFonts w:ascii="Times New Roman" w:eastAsia="Times New Roman" w:hAnsi="Times New Roman" w:cs="Times New Roman"/>
          <w:sz w:val="20"/>
          <w:szCs w:val="20"/>
        </w:rPr>
        <w:t xml:space="preserve"> Cambó, I. (2009). "Entregas Extraordinarias, Torturas y Vuelos de la CIA" en </w:t>
      </w:r>
      <w:r>
        <w:rPr>
          <w:rFonts w:ascii="Times New Roman" w:eastAsia="Times New Roman" w:hAnsi="Times New Roman" w:cs="Times New Roman"/>
          <w:i/>
          <w:sz w:val="20"/>
          <w:szCs w:val="20"/>
        </w:rPr>
        <w:t>Nuevos desafíos del derecho penal internacional</w:t>
      </w: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Tecnos</w:t>
      </w:r>
      <w:proofErr w:type="spellEnd"/>
      <w:r>
        <w:rPr>
          <w:rFonts w:ascii="Times New Roman" w:eastAsia="Times New Roman" w:hAnsi="Times New Roman" w:cs="Times New Roman"/>
          <w:sz w:val="20"/>
          <w:szCs w:val="20"/>
        </w:rPr>
        <w:t xml:space="preserve">, Madrid, pp. 52-53. </w:t>
      </w:r>
    </w:p>
  </w:footnote>
  <w:footnote w:id="65">
    <w:p w:rsidR="00CE43C0" w:rsidRDefault="00CE43C0" w:rsidP="00EB6FB2">
      <w:pPr>
        <w:pStyle w:val="Normal1"/>
        <w:spacing w:after="0"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El País (1995): </w:t>
      </w:r>
    </w:p>
    <w:p w:rsidR="00CE43C0" w:rsidRDefault="00CE43C0" w:rsidP="00EB6FB2">
      <w:pPr>
        <w:pStyle w:val="Normal1"/>
        <w:spacing w:after="0" w:line="240" w:lineRule="auto"/>
        <w:rPr>
          <w:sz w:val="20"/>
          <w:szCs w:val="20"/>
          <w:u w:val="single"/>
        </w:rPr>
      </w:pPr>
      <w:hyperlink r:id="rId22">
        <w:r>
          <w:rPr>
            <w:rFonts w:ascii="Times New Roman" w:eastAsia="Times New Roman" w:hAnsi="Times New Roman" w:cs="Times New Roman"/>
            <w:color w:val="0000FF"/>
            <w:sz w:val="20"/>
            <w:szCs w:val="20"/>
            <w:u w:val="single"/>
          </w:rPr>
          <w:t>http://elpais.com/diario/1995/03/13/espana/795049215_850215.html</w:t>
        </w:r>
      </w:hyperlink>
    </w:p>
  </w:footnote>
  <w:footnote w:id="66">
    <w:p w:rsidR="00CE43C0" w:rsidRDefault="00CE43C0" w:rsidP="00EB6FB2">
      <w:pPr>
        <w:pStyle w:val="Normal1"/>
        <w:spacing w:after="0" w:line="240" w:lineRule="auto"/>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Consejo de Europa (2014):  </w:t>
      </w:r>
    </w:p>
    <w:p w:rsidR="00CE43C0" w:rsidRDefault="00CE43C0" w:rsidP="00EB6FB2">
      <w:pPr>
        <w:pStyle w:val="Normal1"/>
        <w:spacing w:after="0" w:line="240" w:lineRule="auto"/>
        <w:jc w:val="both"/>
        <w:rPr>
          <w:sz w:val="20"/>
          <w:szCs w:val="20"/>
        </w:rPr>
      </w:pPr>
      <w:hyperlink r:id="rId23">
        <w:r>
          <w:rPr>
            <w:rFonts w:ascii="Times New Roman" w:eastAsia="Times New Roman" w:hAnsi="Times New Roman" w:cs="Times New Roman"/>
            <w:color w:val="0000FF"/>
            <w:sz w:val="20"/>
            <w:szCs w:val="20"/>
            <w:u w:val="single"/>
          </w:rPr>
          <w:t>http://assembly.coe.int/nw/xml/News/News-View-en.asp?newsid=5722&amp;lang=2</w:t>
        </w:r>
      </w:hyperlink>
    </w:p>
  </w:footnote>
  <w:footnote w:id="67">
    <w:p w:rsidR="00CE43C0" w:rsidRDefault="00CE43C0" w:rsidP="00EB6FB2">
      <w:pPr>
        <w:pStyle w:val="Normal1"/>
        <w:spacing w:after="0"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Informe provisional de 15 de junio de 2006, sobre la supuesta utilización de países europeos por la CIA para el transporte y la detención ilegal de presos. Disponible en:</w:t>
      </w:r>
      <w:r>
        <w:rPr>
          <w:sz w:val="20"/>
          <w:szCs w:val="20"/>
        </w:rPr>
        <w:t xml:space="preserve"> </w:t>
      </w:r>
      <w:hyperlink r:id="rId24">
        <w:r>
          <w:rPr>
            <w:rFonts w:ascii="Times New Roman" w:eastAsia="Times New Roman" w:hAnsi="Times New Roman" w:cs="Times New Roman"/>
            <w:color w:val="0000FF"/>
            <w:sz w:val="20"/>
            <w:szCs w:val="20"/>
            <w:u w:val="single"/>
          </w:rPr>
          <w:t>http://www.europarl.europa.eu/sides/getDoc.do?pubRef=-//EP//TEXT+REPORT+A6-2006-0213+0+DOC+XML+V0//ES</w:t>
        </w:r>
      </w:hyperlink>
    </w:p>
  </w:footnote>
  <w:footnote w:id="68">
    <w:p w:rsidR="00CE43C0" w:rsidRDefault="00CE43C0" w:rsidP="00EB6FB2">
      <w:pPr>
        <w:pStyle w:val="Normal1"/>
        <w:spacing w:after="0" w:line="240" w:lineRule="auto"/>
        <w:jc w:val="both"/>
        <w:rPr>
          <w:sz w:val="20"/>
          <w:szCs w:val="20"/>
        </w:rPr>
      </w:pPr>
      <w:r>
        <w:rPr>
          <w:vertAlign w:val="superscript"/>
        </w:rPr>
        <w:footnoteRef/>
      </w:r>
      <w:r>
        <w:rPr>
          <w:rFonts w:ascii="Times New Roman" w:eastAsia="Times New Roman" w:hAnsi="Times New Roman" w:cs="Times New Roman"/>
          <w:sz w:val="20"/>
          <w:szCs w:val="20"/>
        </w:rPr>
        <w:t>Resolución de 14 de febrero de 2007 del Parlamento Europeo, relativa a la supuesta utilización de países europeos por la CIA para el transporte y la detención ilegal de presos. [Internet] Disponible en:</w:t>
      </w:r>
      <w:r>
        <w:rPr>
          <w:sz w:val="20"/>
          <w:szCs w:val="20"/>
        </w:rPr>
        <w:t xml:space="preserve"> </w:t>
      </w:r>
      <w:hyperlink r:id="rId25">
        <w:r>
          <w:rPr>
            <w:color w:val="0000FF"/>
            <w:sz w:val="20"/>
            <w:szCs w:val="20"/>
            <w:u w:val="single"/>
          </w:rPr>
          <w:t>http://www.europarl.europa.eu/sides/getDoc.do?pubRef=-//EP//TEXT+TA+P6-TA-2007-0032+0+DOC+XML+V0//ES</w:t>
        </w:r>
      </w:hyperlink>
    </w:p>
  </w:footnote>
  <w:footnote w:id="69">
    <w:p w:rsidR="00CE43C0" w:rsidRDefault="00CE43C0" w:rsidP="00EB6FB2">
      <w:pPr>
        <w:pStyle w:val="Normal1"/>
        <w:spacing w:after="0" w:line="240" w:lineRule="auto"/>
        <w:jc w:val="both"/>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Artículo 3 de la Convención sobre Aviación Civil Internacional, de 1994: "[...]</w:t>
      </w:r>
      <w:r>
        <w:rPr>
          <w:rFonts w:ascii="Times New Roman" w:eastAsia="Times New Roman" w:hAnsi="Times New Roman" w:cs="Times New Roman"/>
          <w:i/>
          <w:sz w:val="20"/>
          <w:szCs w:val="20"/>
        </w:rPr>
        <w:t>Ninguna aeronave de Estado de un Estado Contratante podrá volar sobre el territorio de otro Estado o aterrizar en el mismo sin haber obtenido autorización para ello, por acuerdo especial o de otro modo, y de conformidad con las condiciones de la autorización".</w:t>
      </w:r>
    </w:p>
  </w:footnote>
  <w:footnote w:id="70">
    <w:p w:rsidR="00CE43C0" w:rsidRDefault="00CE43C0" w:rsidP="00EB6FB2">
      <w:pPr>
        <w:pStyle w:val="Normal1"/>
        <w:spacing w:after="0"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Parlamento Europeo (2007):</w:t>
      </w:r>
    </w:p>
    <w:p w:rsidR="00CE43C0" w:rsidRDefault="00CE43C0" w:rsidP="00EB6FB2">
      <w:pPr>
        <w:pStyle w:val="Normal1"/>
        <w:spacing w:after="0" w:line="240" w:lineRule="auto"/>
        <w:rPr>
          <w:sz w:val="20"/>
          <w:szCs w:val="20"/>
          <w:u w:val="single"/>
        </w:rPr>
      </w:pPr>
      <w:hyperlink r:id="rId26">
        <w:r>
          <w:rPr>
            <w:rFonts w:ascii="Times New Roman" w:eastAsia="Times New Roman" w:hAnsi="Times New Roman" w:cs="Times New Roman"/>
            <w:color w:val="0000FF"/>
            <w:sz w:val="20"/>
            <w:szCs w:val="20"/>
            <w:u w:val="single"/>
          </w:rPr>
          <w:t>http://www.europarl.europa.eu/sides/getDoc.do?pubRef=-//EP//TEXT+TA+P6-TA-2007-0032+0+DOC+XML+V0//ES</w:t>
        </w:r>
      </w:hyperlink>
    </w:p>
  </w:footnote>
  <w:footnote w:id="71">
    <w:p w:rsidR="00CE43C0" w:rsidRDefault="00CE43C0" w:rsidP="00EB6FB2">
      <w:pPr>
        <w:pStyle w:val="Normal1"/>
        <w:spacing w:after="0" w:line="240" w:lineRule="auto"/>
        <w:jc w:val="both"/>
        <w:rPr>
          <w:sz w:val="20"/>
          <w:szCs w:val="20"/>
        </w:rPr>
      </w:pPr>
      <w:r>
        <w:rPr>
          <w:vertAlign w:val="superscript"/>
        </w:rPr>
        <w:footnoteRef/>
      </w:r>
      <w:r>
        <w:rPr>
          <w:rFonts w:ascii="Times New Roman" w:eastAsia="Times New Roman" w:hAnsi="Times New Roman" w:cs="Times New Roman"/>
          <w:sz w:val="20"/>
          <w:szCs w:val="20"/>
        </w:rPr>
        <w:t xml:space="preserve">Amnistía Internacional: </w:t>
      </w:r>
      <w:r>
        <w:rPr>
          <w:rFonts w:ascii="Times New Roman" w:eastAsia="Times New Roman" w:hAnsi="Times New Roman" w:cs="Times New Roman"/>
          <w:sz w:val="20"/>
          <w:szCs w:val="20"/>
          <w:highlight w:val="white"/>
        </w:rPr>
        <w:t>Es una organización que extiende su actividad en más de 150 países y que lucha por la defensa de los derechos fundamentales, reconocidos en la </w:t>
      </w:r>
      <w:hyperlink r:id="rId27">
        <w:r>
          <w:rPr>
            <w:rFonts w:ascii="Times New Roman" w:eastAsia="Times New Roman" w:hAnsi="Times New Roman" w:cs="Times New Roman"/>
            <w:sz w:val="20"/>
            <w:szCs w:val="20"/>
            <w:highlight w:val="white"/>
          </w:rPr>
          <w:t>Declaración Universal de los Derechos Humanos</w:t>
        </w:r>
      </w:hyperlink>
      <w:r>
        <w:rPr>
          <w:rFonts w:ascii="Times New Roman" w:eastAsia="Times New Roman" w:hAnsi="Times New Roman" w:cs="Times New Roman"/>
          <w:sz w:val="20"/>
          <w:szCs w:val="20"/>
          <w:highlight w:val="white"/>
        </w:rPr>
        <w:t> aprobada en 1948 y en otros </w:t>
      </w:r>
      <w:hyperlink r:id="rId28">
        <w:r>
          <w:rPr>
            <w:rFonts w:ascii="Times New Roman" w:eastAsia="Times New Roman" w:hAnsi="Times New Roman" w:cs="Times New Roman"/>
            <w:sz w:val="20"/>
            <w:szCs w:val="20"/>
            <w:highlight w:val="white"/>
          </w:rPr>
          <w:t>tratados internacionales</w:t>
        </w:r>
      </w:hyperlink>
      <w:r>
        <w:rPr>
          <w:rFonts w:ascii="Times New Roman" w:eastAsia="Times New Roman" w:hAnsi="Times New Roman" w:cs="Times New Roman"/>
          <w:sz w:val="20"/>
          <w:szCs w:val="20"/>
          <w:highlight w:val="white"/>
        </w:rPr>
        <w:t> como los </w:t>
      </w:r>
      <w:hyperlink r:id="rId29">
        <w:r>
          <w:rPr>
            <w:rFonts w:ascii="Times New Roman" w:eastAsia="Times New Roman" w:hAnsi="Times New Roman" w:cs="Times New Roman"/>
            <w:sz w:val="20"/>
            <w:szCs w:val="20"/>
            <w:highlight w:val="white"/>
          </w:rPr>
          <w:t>Pactos Internacionales de Derechos Humanos</w:t>
        </w:r>
      </w:hyperlink>
      <w:r>
        <w:rPr>
          <w:rFonts w:ascii="Times New Roman" w:eastAsia="Times New Roman" w:hAnsi="Times New Roman" w:cs="Times New Roman"/>
          <w:sz w:val="20"/>
          <w:szCs w:val="20"/>
          <w:highlight w:val="white"/>
        </w:rPr>
        <w:t>. Amnistía cuenta con más de 7 millones de miembros y simpatizantes en todo el mundo.</w:t>
      </w:r>
      <w:r>
        <w:rPr>
          <w:rFonts w:ascii="Times New Roman" w:eastAsia="Times New Roman" w:hAnsi="Times New Roman" w:cs="Times New Roman"/>
          <w:sz w:val="21"/>
          <w:szCs w:val="21"/>
          <w:highlight w:val="white"/>
        </w:rPr>
        <w:t xml:space="preserve"> </w:t>
      </w:r>
    </w:p>
  </w:footnote>
  <w:footnote w:id="72">
    <w:p w:rsidR="00CE43C0" w:rsidRPr="00EA1B05" w:rsidRDefault="00CE43C0" w:rsidP="00EB6FB2">
      <w:pPr>
        <w:pStyle w:val="Normal1"/>
        <w:spacing w:after="0" w:line="240" w:lineRule="auto"/>
        <w:rPr>
          <w:sz w:val="20"/>
          <w:szCs w:val="20"/>
          <w:lang w:val="en-US"/>
        </w:rPr>
      </w:pPr>
      <w:r>
        <w:rPr>
          <w:vertAlign w:val="superscript"/>
        </w:rPr>
        <w:footnoteRef/>
      </w:r>
      <w:r w:rsidRPr="00EA1B05">
        <w:rPr>
          <w:sz w:val="20"/>
          <w:szCs w:val="20"/>
          <w:lang w:val="en-US"/>
        </w:rPr>
        <w:t xml:space="preserve"> </w:t>
      </w:r>
      <w:r w:rsidRPr="00EA1B05">
        <w:rPr>
          <w:rFonts w:ascii="Times New Roman" w:eastAsia="Times New Roman" w:hAnsi="Times New Roman" w:cs="Times New Roman"/>
          <w:sz w:val="20"/>
          <w:szCs w:val="20"/>
          <w:lang w:val="en-US"/>
        </w:rPr>
        <w:t xml:space="preserve">Singh, A. (2013). </w:t>
      </w:r>
      <w:r w:rsidRPr="00EA1B05">
        <w:rPr>
          <w:rFonts w:ascii="Times New Roman" w:eastAsia="Times New Roman" w:hAnsi="Times New Roman" w:cs="Times New Roman"/>
          <w:i/>
          <w:sz w:val="20"/>
          <w:szCs w:val="20"/>
          <w:lang w:val="en-US"/>
        </w:rPr>
        <w:t>Globalizing Torture: CIA Secret Detention and Extraordinary Rendition.</w:t>
      </w:r>
      <w:r w:rsidRPr="00EA1B05">
        <w:rPr>
          <w:rFonts w:ascii="Times New Roman" w:eastAsia="Times New Roman" w:hAnsi="Times New Roman" w:cs="Times New Roman"/>
          <w:sz w:val="20"/>
          <w:szCs w:val="20"/>
          <w:lang w:val="en-US"/>
        </w:rPr>
        <w:t xml:space="preserve"> Open Society Foundations. pp. 23-25. </w:t>
      </w:r>
      <w:proofErr w:type="spellStart"/>
      <w:r w:rsidRPr="00EA1B05">
        <w:rPr>
          <w:rFonts w:ascii="Times New Roman" w:eastAsia="Times New Roman" w:hAnsi="Times New Roman" w:cs="Times New Roman"/>
          <w:sz w:val="20"/>
          <w:szCs w:val="20"/>
          <w:lang w:val="en-US"/>
        </w:rPr>
        <w:t>Disponible</w:t>
      </w:r>
      <w:proofErr w:type="spellEnd"/>
      <w:r w:rsidRPr="00EA1B05">
        <w:rPr>
          <w:rFonts w:ascii="Times New Roman" w:eastAsia="Times New Roman" w:hAnsi="Times New Roman" w:cs="Times New Roman"/>
          <w:sz w:val="20"/>
          <w:szCs w:val="20"/>
          <w:lang w:val="en-US"/>
        </w:rPr>
        <w:t xml:space="preserve"> en: </w:t>
      </w:r>
      <w:hyperlink r:id="rId30">
        <w:r w:rsidRPr="00EA1B05">
          <w:rPr>
            <w:rFonts w:ascii="Times New Roman" w:eastAsia="Times New Roman" w:hAnsi="Times New Roman" w:cs="Times New Roman"/>
            <w:color w:val="0000FF"/>
            <w:sz w:val="20"/>
            <w:szCs w:val="20"/>
            <w:u w:val="single"/>
            <w:lang w:val="en-US"/>
          </w:rPr>
          <w:t>https://www.opensocietyfoundations.org/sites/default/files/globalizing-torture-20120205.pdf</w:t>
        </w:r>
      </w:hyperlink>
      <w:r w:rsidRPr="00EA1B05">
        <w:rPr>
          <w:rFonts w:ascii="Times New Roman" w:eastAsia="Times New Roman" w:hAnsi="Times New Roman" w:cs="Times New Roman"/>
          <w:sz w:val="20"/>
          <w:szCs w:val="20"/>
          <w:lang w:val="en-US"/>
        </w:rPr>
        <w:t>.</w:t>
      </w:r>
    </w:p>
  </w:footnote>
  <w:footnote w:id="73">
    <w:p w:rsidR="00CE43C0" w:rsidRPr="00EA1B05" w:rsidRDefault="00CE43C0" w:rsidP="00EB6FB2">
      <w:pPr>
        <w:pStyle w:val="Normal1"/>
        <w:spacing w:after="0" w:line="240" w:lineRule="auto"/>
        <w:rPr>
          <w:sz w:val="20"/>
          <w:szCs w:val="20"/>
          <w:lang w:val="en-US"/>
        </w:rPr>
      </w:pPr>
      <w:r>
        <w:rPr>
          <w:vertAlign w:val="superscript"/>
        </w:rPr>
        <w:footnoteRef/>
      </w:r>
      <w:r>
        <w:rPr>
          <w:sz w:val="20"/>
          <w:szCs w:val="20"/>
        </w:rPr>
        <w:t xml:space="preserve"> </w:t>
      </w:r>
      <w:r>
        <w:rPr>
          <w:rFonts w:ascii="Times New Roman" w:eastAsia="Times New Roman" w:hAnsi="Times New Roman" w:cs="Times New Roman"/>
          <w:sz w:val="20"/>
          <w:szCs w:val="20"/>
          <w:highlight w:val="white"/>
        </w:rPr>
        <w:t>Dana Priest (1 de noviembre de 2005).</w:t>
      </w:r>
      <w:r>
        <w:rPr>
          <w:sz w:val="20"/>
          <w:szCs w:val="20"/>
          <w:highlight w:val="white"/>
        </w:rPr>
        <w:t> </w:t>
      </w:r>
      <w:r w:rsidRPr="00EA1B05">
        <w:rPr>
          <w:rFonts w:ascii="Times New Roman" w:eastAsia="Times New Roman" w:hAnsi="Times New Roman" w:cs="Times New Roman"/>
          <w:sz w:val="20"/>
          <w:szCs w:val="20"/>
          <w:lang w:val="en-US"/>
        </w:rPr>
        <w:t>«CIA Holds Terror Suspects in Secret Prisons»</w:t>
      </w:r>
      <w:r w:rsidRPr="00EA1B05">
        <w:rPr>
          <w:rFonts w:ascii="Times New Roman" w:eastAsia="Times New Roman" w:hAnsi="Times New Roman" w:cs="Times New Roman"/>
          <w:sz w:val="20"/>
          <w:szCs w:val="20"/>
          <w:highlight w:val="white"/>
          <w:lang w:val="en-US"/>
        </w:rPr>
        <w:t>.</w:t>
      </w:r>
      <w:r w:rsidRPr="00EA1B05">
        <w:rPr>
          <w:sz w:val="20"/>
          <w:szCs w:val="20"/>
          <w:highlight w:val="white"/>
          <w:lang w:val="en-US"/>
        </w:rPr>
        <w:t> </w:t>
      </w:r>
      <w:r w:rsidRPr="00EA1B05">
        <w:rPr>
          <w:rFonts w:ascii="Times New Roman" w:eastAsia="Times New Roman" w:hAnsi="Times New Roman" w:cs="Times New Roman"/>
          <w:i/>
          <w:sz w:val="20"/>
          <w:szCs w:val="20"/>
          <w:highlight w:val="white"/>
          <w:lang w:val="en-US"/>
        </w:rPr>
        <w:t>The Washington Post</w:t>
      </w:r>
      <w:r w:rsidRPr="00EA1B05">
        <w:rPr>
          <w:rFonts w:ascii="Times New Roman" w:eastAsia="Times New Roman" w:hAnsi="Times New Roman" w:cs="Times New Roman"/>
          <w:sz w:val="20"/>
          <w:szCs w:val="20"/>
          <w:highlight w:val="white"/>
          <w:lang w:val="en-US"/>
        </w:rPr>
        <w:t>.</w:t>
      </w:r>
    </w:p>
  </w:footnote>
  <w:footnote w:id="74">
    <w:p w:rsidR="00CE43C0" w:rsidRDefault="00CE43C0" w:rsidP="00EB6FB2">
      <w:pPr>
        <w:pStyle w:val="Normal1"/>
        <w:spacing w:after="0" w:line="240" w:lineRule="auto"/>
        <w:rPr>
          <w:sz w:val="20"/>
          <w:szCs w:val="20"/>
        </w:rPr>
      </w:pPr>
      <w:r>
        <w:rPr>
          <w:vertAlign w:val="superscript"/>
        </w:rPr>
        <w:footnoteRef/>
      </w:r>
      <w:r w:rsidRPr="00EA1B05">
        <w:rPr>
          <w:sz w:val="20"/>
          <w:szCs w:val="20"/>
          <w:lang w:val="en-US"/>
        </w:rPr>
        <w:t xml:space="preserve"> </w:t>
      </w:r>
      <w:proofErr w:type="spellStart"/>
      <w:r w:rsidRPr="00EA1B05">
        <w:rPr>
          <w:rFonts w:ascii="Times New Roman" w:eastAsia="Times New Roman" w:hAnsi="Times New Roman" w:cs="Times New Roman"/>
          <w:sz w:val="20"/>
          <w:szCs w:val="20"/>
          <w:highlight w:val="white"/>
          <w:lang w:val="en-US"/>
        </w:rPr>
        <w:t>Wojciech</w:t>
      </w:r>
      <w:proofErr w:type="spellEnd"/>
      <w:r w:rsidRPr="00EA1B05">
        <w:rPr>
          <w:rFonts w:ascii="Times New Roman" w:eastAsia="Times New Roman" w:hAnsi="Times New Roman" w:cs="Times New Roman"/>
          <w:sz w:val="20"/>
          <w:szCs w:val="20"/>
          <w:highlight w:val="white"/>
          <w:lang w:val="en-US"/>
        </w:rPr>
        <w:t xml:space="preserve"> </w:t>
      </w:r>
      <w:proofErr w:type="spellStart"/>
      <w:r w:rsidRPr="00EA1B05">
        <w:rPr>
          <w:rFonts w:ascii="Times New Roman" w:eastAsia="Times New Roman" w:hAnsi="Times New Roman" w:cs="Times New Roman"/>
          <w:sz w:val="20"/>
          <w:szCs w:val="20"/>
          <w:highlight w:val="white"/>
          <w:lang w:val="en-US"/>
        </w:rPr>
        <w:t>Czuchnowski</w:t>
      </w:r>
      <w:proofErr w:type="spellEnd"/>
      <w:r w:rsidRPr="00EA1B05">
        <w:rPr>
          <w:rFonts w:ascii="Times New Roman" w:eastAsia="Times New Roman" w:hAnsi="Times New Roman" w:cs="Times New Roman"/>
          <w:sz w:val="20"/>
          <w:szCs w:val="20"/>
          <w:highlight w:val="white"/>
          <w:lang w:val="en-US"/>
        </w:rPr>
        <w:t>,</w:t>
      </w:r>
      <w:r w:rsidRPr="00EA1B05">
        <w:rPr>
          <w:sz w:val="20"/>
          <w:szCs w:val="20"/>
          <w:highlight w:val="white"/>
          <w:lang w:val="en-US"/>
        </w:rPr>
        <w:t> </w:t>
      </w:r>
      <w:proofErr w:type="spellStart"/>
      <w:r w:rsidRPr="00EA1B05">
        <w:rPr>
          <w:rFonts w:ascii="Times New Roman" w:eastAsia="Times New Roman" w:hAnsi="Times New Roman" w:cs="Times New Roman"/>
          <w:i/>
          <w:sz w:val="20"/>
          <w:szCs w:val="20"/>
          <w:highlight w:val="white"/>
          <w:lang w:val="en-US"/>
        </w:rPr>
        <w:t>Więzienia</w:t>
      </w:r>
      <w:proofErr w:type="spellEnd"/>
      <w:r w:rsidRPr="00EA1B05">
        <w:rPr>
          <w:rFonts w:ascii="Times New Roman" w:eastAsia="Times New Roman" w:hAnsi="Times New Roman" w:cs="Times New Roman"/>
          <w:i/>
          <w:sz w:val="20"/>
          <w:szCs w:val="20"/>
          <w:highlight w:val="white"/>
          <w:lang w:val="en-US"/>
        </w:rPr>
        <w:t xml:space="preserve"> CIA w </w:t>
      </w:r>
      <w:proofErr w:type="spellStart"/>
      <w:r w:rsidRPr="00EA1B05">
        <w:rPr>
          <w:rFonts w:ascii="Times New Roman" w:eastAsia="Times New Roman" w:hAnsi="Times New Roman" w:cs="Times New Roman"/>
          <w:i/>
          <w:sz w:val="20"/>
          <w:szCs w:val="20"/>
          <w:highlight w:val="white"/>
          <w:lang w:val="en-US"/>
        </w:rPr>
        <w:t>Polsce</w:t>
      </w:r>
      <w:proofErr w:type="spellEnd"/>
      <w:r w:rsidRPr="00EA1B05">
        <w:rPr>
          <w:rFonts w:ascii="Times New Roman" w:eastAsia="Times New Roman" w:hAnsi="Times New Roman" w:cs="Times New Roman"/>
          <w:i/>
          <w:sz w:val="20"/>
          <w:szCs w:val="20"/>
          <w:highlight w:val="white"/>
          <w:lang w:val="en-US"/>
        </w:rPr>
        <w:t xml:space="preserve">. </w:t>
      </w:r>
      <w:proofErr w:type="spellStart"/>
      <w:r w:rsidRPr="00EA1B05">
        <w:rPr>
          <w:rFonts w:ascii="Times New Roman" w:eastAsia="Times New Roman" w:hAnsi="Times New Roman" w:cs="Times New Roman"/>
          <w:i/>
          <w:sz w:val="20"/>
          <w:szCs w:val="20"/>
          <w:highlight w:val="white"/>
          <w:lang w:val="en-US"/>
        </w:rPr>
        <w:t>Siedem</w:t>
      </w:r>
      <w:proofErr w:type="spellEnd"/>
      <w:r w:rsidRPr="00EA1B05">
        <w:rPr>
          <w:rFonts w:ascii="Times New Roman" w:eastAsia="Times New Roman" w:hAnsi="Times New Roman" w:cs="Times New Roman"/>
          <w:i/>
          <w:sz w:val="20"/>
          <w:szCs w:val="20"/>
          <w:highlight w:val="white"/>
          <w:lang w:val="en-US"/>
        </w:rPr>
        <w:t xml:space="preserve"> </w:t>
      </w:r>
      <w:proofErr w:type="spellStart"/>
      <w:r w:rsidRPr="00EA1B05">
        <w:rPr>
          <w:rFonts w:ascii="Times New Roman" w:eastAsia="Times New Roman" w:hAnsi="Times New Roman" w:cs="Times New Roman"/>
          <w:i/>
          <w:sz w:val="20"/>
          <w:szCs w:val="20"/>
          <w:highlight w:val="white"/>
          <w:lang w:val="en-US"/>
        </w:rPr>
        <w:t>pytań</w:t>
      </w:r>
      <w:proofErr w:type="spellEnd"/>
      <w:r w:rsidRPr="00EA1B05">
        <w:rPr>
          <w:sz w:val="20"/>
          <w:szCs w:val="20"/>
          <w:highlight w:val="white"/>
          <w:lang w:val="en-US"/>
        </w:rPr>
        <w:t> </w:t>
      </w:r>
      <w:r w:rsidRPr="00EA1B05">
        <w:rPr>
          <w:rFonts w:ascii="Times New Roman" w:eastAsia="Times New Roman" w:hAnsi="Times New Roman" w:cs="Times New Roman"/>
          <w:sz w:val="20"/>
          <w:szCs w:val="20"/>
          <w:highlight w:val="white"/>
          <w:lang w:val="en-US"/>
        </w:rPr>
        <w:t xml:space="preserve">(CIA prisons in Poland. </w:t>
      </w:r>
      <w:proofErr w:type="spellStart"/>
      <w:r>
        <w:rPr>
          <w:rFonts w:ascii="Times New Roman" w:eastAsia="Times New Roman" w:hAnsi="Times New Roman" w:cs="Times New Roman"/>
          <w:sz w:val="20"/>
          <w:szCs w:val="20"/>
          <w:highlight w:val="white"/>
        </w:rPr>
        <w:t>The</w:t>
      </w:r>
      <w:proofErr w:type="spellEnd"/>
      <w:r>
        <w:rPr>
          <w:rFonts w:ascii="Times New Roman" w:eastAsia="Times New Roman" w:hAnsi="Times New Roman" w:cs="Times New Roman"/>
          <w:sz w:val="20"/>
          <w:szCs w:val="20"/>
          <w:highlight w:val="white"/>
        </w:rPr>
        <w:t xml:space="preserve"> </w:t>
      </w:r>
      <w:proofErr w:type="spellStart"/>
      <w:r>
        <w:rPr>
          <w:rFonts w:ascii="Times New Roman" w:eastAsia="Times New Roman" w:hAnsi="Times New Roman" w:cs="Times New Roman"/>
          <w:sz w:val="20"/>
          <w:szCs w:val="20"/>
          <w:highlight w:val="white"/>
        </w:rPr>
        <w:t>seven</w:t>
      </w:r>
      <w:proofErr w:type="spellEnd"/>
      <w:r>
        <w:rPr>
          <w:rFonts w:ascii="Times New Roman" w:eastAsia="Times New Roman" w:hAnsi="Times New Roman" w:cs="Times New Roman"/>
          <w:sz w:val="20"/>
          <w:szCs w:val="20"/>
          <w:highlight w:val="white"/>
        </w:rPr>
        <w:t xml:space="preserve"> </w:t>
      </w:r>
      <w:proofErr w:type="spellStart"/>
      <w:r>
        <w:rPr>
          <w:rFonts w:ascii="Times New Roman" w:eastAsia="Times New Roman" w:hAnsi="Times New Roman" w:cs="Times New Roman"/>
          <w:sz w:val="20"/>
          <w:szCs w:val="20"/>
          <w:highlight w:val="white"/>
        </w:rPr>
        <w:t>questions</w:t>
      </w:r>
      <w:proofErr w:type="spellEnd"/>
      <w:r>
        <w:rPr>
          <w:rFonts w:ascii="Times New Roman" w:eastAsia="Times New Roman" w:hAnsi="Times New Roman" w:cs="Times New Roman"/>
          <w:sz w:val="20"/>
          <w:szCs w:val="20"/>
          <w:highlight w:val="white"/>
        </w:rPr>
        <w:t xml:space="preserve">), </w:t>
      </w:r>
      <w:proofErr w:type="spellStart"/>
      <w:r>
        <w:rPr>
          <w:rFonts w:ascii="Times New Roman" w:eastAsia="Times New Roman" w:hAnsi="Times New Roman" w:cs="Times New Roman"/>
          <w:sz w:val="20"/>
          <w:szCs w:val="20"/>
          <w:highlight w:val="white"/>
        </w:rPr>
        <w:t>Gazeta</w:t>
      </w:r>
      <w:proofErr w:type="spellEnd"/>
      <w:r>
        <w:rPr>
          <w:rFonts w:ascii="Times New Roman" w:eastAsia="Times New Roman" w:hAnsi="Times New Roman" w:cs="Times New Roman"/>
          <w:sz w:val="20"/>
          <w:szCs w:val="20"/>
          <w:highlight w:val="white"/>
        </w:rPr>
        <w:t xml:space="preserve"> </w:t>
      </w:r>
      <w:proofErr w:type="spellStart"/>
      <w:r>
        <w:rPr>
          <w:rFonts w:ascii="Times New Roman" w:eastAsia="Times New Roman" w:hAnsi="Times New Roman" w:cs="Times New Roman"/>
          <w:sz w:val="20"/>
          <w:szCs w:val="20"/>
          <w:highlight w:val="white"/>
        </w:rPr>
        <w:t>Wyborcza</w:t>
      </w:r>
      <w:proofErr w:type="spellEnd"/>
      <w:r>
        <w:rPr>
          <w:rFonts w:ascii="Times New Roman" w:eastAsia="Times New Roman" w:hAnsi="Times New Roman" w:cs="Times New Roman"/>
          <w:sz w:val="20"/>
          <w:szCs w:val="20"/>
          <w:highlight w:val="white"/>
        </w:rPr>
        <w:t xml:space="preserve"> 2012-04-02.</w:t>
      </w:r>
    </w:p>
  </w:footnote>
  <w:footnote w:id="75">
    <w:p w:rsidR="00CE43C0" w:rsidRPr="00B561F5" w:rsidRDefault="00CE43C0" w:rsidP="00EB6FB2">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Portilla Contreras, G. (2016) "La permanente suspensión del Derecho: la habilitación judicial de la tortura y el auto de la Audiencia Nacional 336/2014, 17 de noviembre de 2014, sobre vuelos irregulares de la CIA en España" en </w:t>
      </w:r>
      <w:r>
        <w:rPr>
          <w:rFonts w:ascii="Times New Roman" w:hAnsi="Times New Roman" w:cs="Times New Roman"/>
          <w:i/>
        </w:rPr>
        <w:t xml:space="preserve">Terrorismo y Contraterrorismo en el siglo XXI. Un análisis penal y político criminal, </w:t>
      </w:r>
      <w:r>
        <w:rPr>
          <w:rFonts w:ascii="Times New Roman" w:hAnsi="Times New Roman" w:cs="Times New Roman"/>
        </w:rPr>
        <w:t xml:space="preserve">Ratio </w:t>
      </w:r>
      <w:proofErr w:type="spellStart"/>
      <w:r>
        <w:rPr>
          <w:rFonts w:ascii="Times New Roman" w:hAnsi="Times New Roman" w:cs="Times New Roman"/>
        </w:rPr>
        <w:t>Legis</w:t>
      </w:r>
      <w:proofErr w:type="spellEnd"/>
      <w:r>
        <w:rPr>
          <w:rFonts w:ascii="Times New Roman" w:hAnsi="Times New Roman" w:cs="Times New Roman"/>
        </w:rPr>
        <w:t xml:space="preserve">, Salamanca, pp. 161-163. </w:t>
      </w:r>
    </w:p>
  </w:footnote>
  <w:footnote w:id="76">
    <w:p w:rsidR="00CE43C0" w:rsidRDefault="00CE43C0" w:rsidP="00EB6FB2">
      <w:pPr>
        <w:pStyle w:val="Normal1"/>
        <w:spacing w:after="0"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El País (2015):</w:t>
      </w:r>
    </w:p>
    <w:p w:rsidR="00CE43C0" w:rsidRDefault="00CE43C0" w:rsidP="00EB6FB2">
      <w:pPr>
        <w:pStyle w:val="Normal1"/>
        <w:spacing w:after="0" w:line="240" w:lineRule="auto"/>
        <w:rPr>
          <w:sz w:val="20"/>
          <w:szCs w:val="20"/>
          <w:u w:val="single"/>
        </w:rPr>
      </w:pPr>
      <w:hyperlink r:id="rId31">
        <w:r>
          <w:rPr>
            <w:rFonts w:ascii="Times New Roman" w:eastAsia="Times New Roman" w:hAnsi="Times New Roman" w:cs="Times New Roman"/>
            <w:color w:val="0000FF"/>
            <w:sz w:val="20"/>
            <w:szCs w:val="20"/>
            <w:u w:val="single"/>
          </w:rPr>
          <w:t>http://politica.elpais.com/politica/2015/01/12/actualidad/1421074069_148757.html</w:t>
        </w:r>
      </w:hyperlink>
    </w:p>
  </w:footnote>
  <w:footnote w:id="77">
    <w:p w:rsidR="00CE43C0" w:rsidRDefault="00CE43C0" w:rsidP="00EB6FB2">
      <w:pPr>
        <w:pStyle w:val="Normal1"/>
        <w:spacing w:after="0" w:line="240" w:lineRule="auto"/>
        <w:jc w:val="both"/>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Portilla Contreras, G. (2012) </w:t>
      </w:r>
      <w:r>
        <w:rPr>
          <w:rFonts w:ascii="Times New Roman" w:eastAsia="Times New Roman" w:hAnsi="Times New Roman" w:cs="Times New Roman"/>
          <w:i/>
          <w:sz w:val="20"/>
          <w:szCs w:val="20"/>
        </w:rPr>
        <w:t xml:space="preserve">El Derecho Penal de la libertad y seguridad (de los derechos), </w:t>
      </w:r>
      <w:r>
        <w:rPr>
          <w:rFonts w:ascii="Times New Roman" w:eastAsia="Times New Roman" w:hAnsi="Times New Roman" w:cs="Times New Roman"/>
          <w:sz w:val="20"/>
          <w:szCs w:val="20"/>
        </w:rPr>
        <w:t>Iustel, Madrid, pp. 154-164.</w:t>
      </w:r>
      <w:r>
        <w:rPr>
          <w:sz w:val="20"/>
          <w:szCs w:val="20"/>
        </w:rPr>
        <w:t xml:space="preserve"> </w:t>
      </w:r>
    </w:p>
  </w:footnote>
  <w:footnote w:id="78">
    <w:p w:rsidR="00CE43C0" w:rsidRDefault="00CE43C0" w:rsidP="00EB6FB2">
      <w:pPr>
        <w:pStyle w:val="Normal1"/>
        <w:spacing w:after="0"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El País (2009):</w:t>
      </w:r>
    </w:p>
    <w:p w:rsidR="00CE43C0" w:rsidRDefault="00CE43C0" w:rsidP="00EB6FB2">
      <w:pPr>
        <w:pStyle w:val="Normal1"/>
        <w:spacing w:after="0" w:line="240" w:lineRule="auto"/>
        <w:rPr>
          <w:sz w:val="20"/>
          <w:szCs w:val="20"/>
          <w:u w:val="single"/>
        </w:rPr>
      </w:pPr>
      <w:hyperlink r:id="rId32">
        <w:r>
          <w:rPr>
            <w:rFonts w:ascii="Times New Roman" w:eastAsia="Times New Roman" w:hAnsi="Times New Roman" w:cs="Times New Roman"/>
            <w:color w:val="0000FF"/>
            <w:sz w:val="20"/>
            <w:szCs w:val="20"/>
            <w:u w:val="single"/>
          </w:rPr>
          <w:t>http://internacional.elpais.com/internacional/2009/11/04/actualidad/1257289215_850215.html</w:t>
        </w:r>
      </w:hyperlink>
    </w:p>
  </w:footnote>
  <w:footnote w:id="79">
    <w:p w:rsidR="00CE43C0" w:rsidRDefault="00CE43C0" w:rsidP="00EB6FB2">
      <w:pPr>
        <w:pStyle w:val="Normal1"/>
        <w:spacing w:after="0" w:line="240" w:lineRule="auto"/>
        <w:rPr>
          <w:sz w:val="20"/>
          <w:szCs w:val="20"/>
        </w:rPr>
      </w:pPr>
      <w:bookmarkStart w:id="35" w:name="_32hioqz" w:colFirst="0" w:colLast="0"/>
      <w:bookmarkEnd w:id="35"/>
      <w:r>
        <w:rPr>
          <w:vertAlign w:val="superscript"/>
        </w:rPr>
        <w:footnoteRef/>
      </w:r>
      <w:r>
        <w:rPr>
          <w:sz w:val="20"/>
          <w:szCs w:val="20"/>
        </w:rPr>
        <w:t xml:space="preserve"> </w:t>
      </w:r>
      <w:r>
        <w:rPr>
          <w:rFonts w:ascii="Times New Roman" w:eastAsia="Times New Roman" w:hAnsi="Times New Roman" w:cs="Times New Roman"/>
          <w:sz w:val="20"/>
          <w:szCs w:val="20"/>
        </w:rPr>
        <w:t xml:space="preserve">Fue trasladado de </w:t>
      </w:r>
      <w:proofErr w:type="spellStart"/>
      <w:r>
        <w:rPr>
          <w:rFonts w:ascii="Times New Roman" w:eastAsia="Times New Roman" w:hAnsi="Times New Roman" w:cs="Times New Roman"/>
          <w:sz w:val="20"/>
          <w:szCs w:val="20"/>
        </w:rPr>
        <w:t>Skopje</w:t>
      </w:r>
      <w:proofErr w:type="spellEnd"/>
      <w:r>
        <w:rPr>
          <w:rFonts w:ascii="Times New Roman" w:eastAsia="Times New Roman" w:hAnsi="Times New Roman" w:cs="Times New Roman"/>
          <w:sz w:val="20"/>
          <w:szCs w:val="20"/>
        </w:rPr>
        <w:t xml:space="preserve"> a Afganistán en un Boeing 737 con matrícula N313P.</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BF272C"/>
    <w:multiLevelType w:val="multilevel"/>
    <w:tmpl w:val="495A57DE"/>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1">
    <w:nsid w:val="1A630077"/>
    <w:multiLevelType w:val="multilevel"/>
    <w:tmpl w:val="08A2AC80"/>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2">
    <w:nsid w:val="29C6452D"/>
    <w:multiLevelType w:val="multilevel"/>
    <w:tmpl w:val="1B3AE4DC"/>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3">
    <w:nsid w:val="2A984E76"/>
    <w:multiLevelType w:val="multilevel"/>
    <w:tmpl w:val="838AED7C"/>
    <w:lvl w:ilvl="0">
      <w:start w:val="1"/>
      <w:numFmt w:val="lowerLetter"/>
      <w:lvlText w:val="%1)"/>
      <w:lvlJc w:val="left"/>
      <w:pPr>
        <w:ind w:left="720" w:firstLine="1080"/>
      </w:pPr>
    </w:lvl>
    <w:lvl w:ilvl="1">
      <w:start w:val="1"/>
      <w:numFmt w:val="lowerLetter"/>
      <w:lvlText w:val="%2."/>
      <w:lvlJc w:val="left"/>
      <w:pPr>
        <w:ind w:left="1440" w:firstLine="2520"/>
      </w:pPr>
    </w:lvl>
    <w:lvl w:ilvl="2">
      <w:start w:val="1"/>
      <w:numFmt w:val="lowerRoman"/>
      <w:lvlText w:val="%3."/>
      <w:lvlJc w:val="right"/>
      <w:pPr>
        <w:ind w:left="2160" w:firstLine="4140"/>
      </w:pPr>
    </w:lvl>
    <w:lvl w:ilvl="3">
      <w:start w:val="1"/>
      <w:numFmt w:val="decimal"/>
      <w:lvlText w:val="%4."/>
      <w:lvlJc w:val="left"/>
      <w:pPr>
        <w:ind w:left="2880" w:firstLine="5400"/>
      </w:pPr>
    </w:lvl>
    <w:lvl w:ilvl="4">
      <w:start w:val="1"/>
      <w:numFmt w:val="lowerLetter"/>
      <w:lvlText w:val="%5."/>
      <w:lvlJc w:val="left"/>
      <w:pPr>
        <w:ind w:left="3600" w:firstLine="6840"/>
      </w:pPr>
    </w:lvl>
    <w:lvl w:ilvl="5">
      <w:start w:val="1"/>
      <w:numFmt w:val="lowerRoman"/>
      <w:lvlText w:val="%6."/>
      <w:lvlJc w:val="right"/>
      <w:pPr>
        <w:ind w:left="4320" w:firstLine="8460"/>
      </w:pPr>
    </w:lvl>
    <w:lvl w:ilvl="6">
      <w:start w:val="1"/>
      <w:numFmt w:val="decimal"/>
      <w:lvlText w:val="%7."/>
      <w:lvlJc w:val="left"/>
      <w:pPr>
        <w:ind w:left="5040" w:firstLine="9720"/>
      </w:pPr>
    </w:lvl>
    <w:lvl w:ilvl="7">
      <w:start w:val="1"/>
      <w:numFmt w:val="lowerLetter"/>
      <w:lvlText w:val="%8."/>
      <w:lvlJc w:val="left"/>
      <w:pPr>
        <w:ind w:left="5760" w:firstLine="11160"/>
      </w:pPr>
    </w:lvl>
    <w:lvl w:ilvl="8">
      <w:start w:val="1"/>
      <w:numFmt w:val="lowerRoman"/>
      <w:lvlText w:val="%9."/>
      <w:lvlJc w:val="right"/>
      <w:pPr>
        <w:ind w:left="6480" w:firstLine="12780"/>
      </w:pPr>
    </w:lvl>
  </w:abstractNum>
  <w:abstractNum w:abstractNumId="4">
    <w:nsid w:val="2E313F01"/>
    <w:multiLevelType w:val="multilevel"/>
    <w:tmpl w:val="AC70EE0E"/>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num w:numId="1">
    <w:abstractNumId w:val="0"/>
  </w:num>
  <w:num w:numId="2">
    <w:abstractNumId w:val="3"/>
  </w:num>
  <w:num w:numId="3">
    <w:abstractNumId w:val="4"/>
  </w:num>
  <w:num w:numId="4">
    <w:abstractNumId w:val="1"/>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EB6FB2"/>
    <w:rsid w:val="000A5EE5"/>
    <w:rsid w:val="003705BA"/>
    <w:rsid w:val="00377EEA"/>
    <w:rsid w:val="0039320D"/>
    <w:rsid w:val="00410071"/>
    <w:rsid w:val="004A0361"/>
    <w:rsid w:val="005C6F8B"/>
    <w:rsid w:val="007917BD"/>
    <w:rsid w:val="00902907"/>
    <w:rsid w:val="009C2F57"/>
    <w:rsid w:val="009E53A4"/>
    <w:rsid w:val="00BD19DF"/>
    <w:rsid w:val="00C1365A"/>
    <w:rsid w:val="00CE43C0"/>
    <w:rsid w:val="00E95E47"/>
    <w:rsid w:val="00EB6FB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color w:val="000000"/>
        <w:sz w:val="22"/>
        <w:szCs w:val="22"/>
        <w:lang w:val="es-ES" w:eastAsia="es-ES"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lsdException w:name="Default Paragraph Font" w:uiPriority="1"/>
    <w:lsdException w:name="Body Text" w:uiPriority="0"/>
    <w:lsdException w:name="Subtitle" w:semiHidden="0" w:uiPriority="0"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6FB2"/>
  </w:style>
  <w:style w:type="paragraph" w:styleId="Ttulo1">
    <w:name w:val="heading 1"/>
    <w:basedOn w:val="Normal1"/>
    <w:next w:val="Normal1"/>
    <w:link w:val="Ttulo1Car"/>
    <w:qFormat/>
    <w:rsid w:val="00EB6FB2"/>
    <w:pPr>
      <w:keepNext/>
      <w:keepLines/>
      <w:spacing w:before="480" w:after="240"/>
      <w:outlineLvl w:val="0"/>
    </w:pPr>
    <w:rPr>
      <w:rFonts w:ascii="Times New Roman" w:eastAsia="Times New Roman" w:hAnsi="Times New Roman" w:cs="Times New Roman"/>
      <w:b/>
      <w:sz w:val="24"/>
      <w:szCs w:val="24"/>
    </w:rPr>
  </w:style>
  <w:style w:type="paragraph" w:styleId="Ttulo2">
    <w:name w:val="heading 2"/>
    <w:basedOn w:val="Normal1"/>
    <w:next w:val="Normal1"/>
    <w:link w:val="Ttulo2Car"/>
    <w:qFormat/>
    <w:rsid w:val="00EB6FB2"/>
    <w:pPr>
      <w:keepNext/>
      <w:keepLines/>
      <w:spacing w:before="200" w:after="0"/>
      <w:outlineLvl w:val="1"/>
    </w:pPr>
    <w:rPr>
      <w:rFonts w:ascii="Cambria" w:eastAsia="Cambria" w:hAnsi="Cambria" w:cs="Cambria"/>
      <w:b/>
      <w:color w:val="4F81BD"/>
      <w:sz w:val="26"/>
      <w:szCs w:val="26"/>
    </w:rPr>
  </w:style>
  <w:style w:type="paragraph" w:styleId="Ttulo3">
    <w:name w:val="heading 3"/>
    <w:basedOn w:val="Normal1"/>
    <w:next w:val="Normal1"/>
    <w:link w:val="Ttulo3Car"/>
    <w:qFormat/>
    <w:rsid w:val="00EB6FB2"/>
    <w:pPr>
      <w:keepNext/>
      <w:keepLines/>
      <w:spacing w:before="200" w:after="0"/>
      <w:outlineLvl w:val="2"/>
    </w:pPr>
    <w:rPr>
      <w:rFonts w:ascii="Cambria" w:eastAsia="Cambria" w:hAnsi="Cambria" w:cs="Cambria"/>
      <w:b/>
      <w:color w:val="4F81BD"/>
    </w:rPr>
  </w:style>
  <w:style w:type="paragraph" w:styleId="Ttulo4">
    <w:name w:val="heading 4"/>
    <w:basedOn w:val="Normal1"/>
    <w:next w:val="Normal1"/>
    <w:link w:val="Ttulo4Car"/>
    <w:qFormat/>
    <w:rsid w:val="00EB6FB2"/>
    <w:pPr>
      <w:keepNext/>
      <w:keepLines/>
      <w:spacing w:before="200" w:after="0"/>
      <w:outlineLvl w:val="3"/>
    </w:pPr>
    <w:rPr>
      <w:rFonts w:ascii="Cambria" w:eastAsia="Cambria" w:hAnsi="Cambria" w:cs="Cambria"/>
      <w:b/>
      <w:i/>
      <w:color w:val="4F81BD"/>
    </w:rPr>
  </w:style>
  <w:style w:type="paragraph" w:styleId="Ttulo5">
    <w:name w:val="heading 5"/>
    <w:basedOn w:val="Normal1"/>
    <w:next w:val="Normal1"/>
    <w:link w:val="Ttulo5Car"/>
    <w:qFormat/>
    <w:rsid w:val="00EB6FB2"/>
    <w:pPr>
      <w:keepNext/>
      <w:keepLines/>
      <w:spacing w:before="200" w:after="0"/>
      <w:outlineLvl w:val="4"/>
    </w:pPr>
    <w:rPr>
      <w:rFonts w:ascii="Cambria" w:eastAsia="Cambria" w:hAnsi="Cambria" w:cs="Cambria"/>
      <w:color w:val="243F61"/>
    </w:rPr>
  </w:style>
  <w:style w:type="paragraph" w:styleId="Ttulo6">
    <w:name w:val="heading 6"/>
    <w:basedOn w:val="Normal1"/>
    <w:next w:val="Normal1"/>
    <w:link w:val="Ttulo6Car"/>
    <w:qFormat/>
    <w:rsid w:val="00EB6FB2"/>
    <w:pPr>
      <w:keepNext/>
      <w:keepLines/>
      <w:spacing w:before="200" w:after="0"/>
      <w:outlineLvl w:val="5"/>
    </w:pPr>
    <w:rPr>
      <w:rFonts w:ascii="Cambria" w:eastAsia="Cambria" w:hAnsi="Cambria" w:cs="Cambria"/>
      <w:i/>
      <w:color w:val="243F6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EB6FB2"/>
    <w:rPr>
      <w:rFonts w:ascii="Times New Roman" w:eastAsia="Times New Roman" w:hAnsi="Times New Roman" w:cs="Times New Roman"/>
      <w:b/>
      <w:sz w:val="24"/>
      <w:szCs w:val="24"/>
    </w:rPr>
  </w:style>
  <w:style w:type="character" w:customStyle="1" w:styleId="Ttulo2Car">
    <w:name w:val="Título 2 Car"/>
    <w:basedOn w:val="Fuentedeprrafopredeter"/>
    <w:link w:val="Ttulo2"/>
    <w:rsid w:val="00EB6FB2"/>
    <w:rPr>
      <w:rFonts w:ascii="Cambria" w:eastAsia="Cambria" w:hAnsi="Cambria" w:cs="Cambria"/>
      <w:b/>
      <w:color w:val="4F81BD"/>
      <w:sz w:val="26"/>
      <w:szCs w:val="26"/>
    </w:rPr>
  </w:style>
  <w:style w:type="character" w:customStyle="1" w:styleId="Ttulo3Car">
    <w:name w:val="Título 3 Car"/>
    <w:basedOn w:val="Fuentedeprrafopredeter"/>
    <w:link w:val="Ttulo3"/>
    <w:rsid w:val="00EB6FB2"/>
    <w:rPr>
      <w:rFonts w:ascii="Cambria" w:eastAsia="Cambria" w:hAnsi="Cambria" w:cs="Cambria"/>
      <w:b/>
      <w:color w:val="4F81BD"/>
    </w:rPr>
  </w:style>
  <w:style w:type="character" w:customStyle="1" w:styleId="Ttulo4Car">
    <w:name w:val="Título 4 Car"/>
    <w:basedOn w:val="Fuentedeprrafopredeter"/>
    <w:link w:val="Ttulo4"/>
    <w:rsid w:val="00EB6FB2"/>
    <w:rPr>
      <w:rFonts w:ascii="Cambria" w:eastAsia="Cambria" w:hAnsi="Cambria" w:cs="Cambria"/>
      <w:b/>
      <w:i/>
      <w:color w:val="4F81BD"/>
    </w:rPr>
  </w:style>
  <w:style w:type="character" w:customStyle="1" w:styleId="Ttulo5Car">
    <w:name w:val="Título 5 Car"/>
    <w:basedOn w:val="Fuentedeprrafopredeter"/>
    <w:link w:val="Ttulo5"/>
    <w:rsid w:val="00EB6FB2"/>
    <w:rPr>
      <w:rFonts w:ascii="Cambria" w:eastAsia="Cambria" w:hAnsi="Cambria" w:cs="Cambria"/>
      <w:color w:val="243F61"/>
    </w:rPr>
  </w:style>
  <w:style w:type="character" w:customStyle="1" w:styleId="Ttulo6Car">
    <w:name w:val="Título 6 Car"/>
    <w:basedOn w:val="Fuentedeprrafopredeter"/>
    <w:link w:val="Ttulo6"/>
    <w:rsid w:val="00EB6FB2"/>
    <w:rPr>
      <w:rFonts w:ascii="Cambria" w:eastAsia="Cambria" w:hAnsi="Cambria" w:cs="Cambria"/>
      <w:i/>
      <w:color w:val="243F61"/>
    </w:rPr>
  </w:style>
  <w:style w:type="paragraph" w:customStyle="1" w:styleId="Normal1">
    <w:name w:val="Normal1"/>
    <w:rsid w:val="00EB6FB2"/>
  </w:style>
  <w:style w:type="table" w:customStyle="1" w:styleId="TableNormal">
    <w:name w:val="Table Normal"/>
    <w:rsid w:val="00EB6FB2"/>
    <w:tblPr>
      <w:tblCellMar>
        <w:top w:w="0" w:type="dxa"/>
        <w:left w:w="0" w:type="dxa"/>
        <w:bottom w:w="0" w:type="dxa"/>
        <w:right w:w="0" w:type="dxa"/>
      </w:tblCellMar>
    </w:tblPr>
  </w:style>
  <w:style w:type="paragraph" w:styleId="Ttulo">
    <w:name w:val="Title"/>
    <w:basedOn w:val="Normal1"/>
    <w:next w:val="Normal1"/>
    <w:link w:val="TtuloCar"/>
    <w:rsid w:val="00EB6FB2"/>
    <w:pPr>
      <w:pBdr>
        <w:bottom w:val="single" w:sz="8" w:space="4" w:color="4F81BD"/>
      </w:pBdr>
      <w:spacing w:after="300" w:line="240" w:lineRule="auto"/>
    </w:pPr>
    <w:rPr>
      <w:rFonts w:ascii="Cambria" w:eastAsia="Cambria" w:hAnsi="Cambria" w:cs="Cambria"/>
      <w:color w:val="17365D"/>
      <w:sz w:val="52"/>
      <w:szCs w:val="52"/>
    </w:rPr>
  </w:style>
  <w:style w:type="character" w:customStyle="1" w:styleId="TtuloCar">
    <w:name w:val="Título Car"/>
    <w:basedOn w:val="Fuentedeprrafopredeter"/>
    <w:link w:val="Ttulo"/>
    <w:rsid w:val="00EB6FB2"/>
    <w:rPr>
      <w:rFonts w:ascii="Cambria" w:eastAsia="Cambria" w:hAnsi="Cambria" w:cs="Cambria"/>
      <w:color w:val="17365D"/>
      <w:sz w:val="52"/>
      <w:szCs w:val="52"/>
    </w:rPr>
  </w:style>
  <w:style w:type="paragraph" w:styleId="Subttulo">
    <w:name w:val="Subtitle"/>
    <w:basedOn w:val="Normal1"/>
    <w:next w:val="Normal1"/>
    <w:link w:val="SubttuloCar"/>
    <w:rsid w:val="00EB6FB2"/>
    <w:rPr>
      <w:rFonts w:ascii="Cambria" w:eastAsia="Cambria" w:hAnsi="Cambria" w:cs="Cambria"/>
      <w:i/>
      <w:color w:val="4F81BD"/>
      <w:sz w:val="24"/>
      <w:szCs w:val="24"/>
    </w:rPr>
  </w:style>
  <w:style w:type="character" w:customStyle="1" w:styleId="SubttuloCar">
    <w:name w:val="Subtítulo Car"/>
    <w:basedOn w:val="Fuentedeprrafopredeter"/>
    <w:link w:val="Subttulo"/>
    <w:rsid w:val="00EB6FB2"/>
    <w:rPr>
      <w:rFonts w:ascii="Cambria" w:eastAsia="Cambria" w:hAnsi="Cambria" w:cs="Cambria"/>
      <w:i/>
      <w:color w:val="4F81BD"/>
      <w:sz w:val="24"/>
      <w:szCs w:val="24"/>
    </w:rPr>
  </w:style>
  <w:style w:type="paragraph" w:styleId="Textodeglobo">
    <w:name w:val="Balloon Text"/>
    <w:basedOn w:val="Normal"/>
    <w:link w:val="TextodegloboCar"/>
    <w:uiPriority w:val="99"/>
    <w:semiHidden/>
    <w:unhideWhenUsed/>
    <w:rsid w:val="00EB6FB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B6FB2"/>
    <w:rPr>
      <w:rFonts w:ascii="Tahoma" w:hAnsi="Tahoma" w:cs="Tahoma"/>
      <w:sz w:val="16"/>
      <w:szCs w:val="16"/>
    </w:rPr>
  </w:style>
  <w:style w:type="character" w:styleId="Refdecomentario">
    <w:name w:val="annotation reference"/>
    <w:basedOn w:val="Fuentedeprrafopredeter"/>
    <w:uiPriority w:val="99"/>
    <w:semiHidden/>
    <w:unhideWhenUsed/>
    <w:rsid w:val="00EB6FB2"/>
    <w:rPr>
      <w:sz w:val="16"/>
      <w:szCs w:val="16"/>
    </w:rPr>
  </w:style>
  <w:style w:type="paragraph" w:styleId="Textocomentario">
    <w:name w:val="annotation text"/>
    <w:basedOn w:val="Normal"/>
    <w:link w:val="TextocomentarioCar"/>
    <w:uiPriority w:val="99"/>
    <w:semiHidden/>
    <w:unhideWhenUsed/>
    <w:rsid w:val="00EB6FB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B6FB2"/>
    <w:rPr>
      <w:sz w:val="20"/>
      <w:szCs w:val="20"/>
    </w:rPr>
  </w:style>
  <w:style w:type="paragraph" w:styleId="Asuntodelcomentario">
    <w:name w:val="annotation subject"/>
    <w:basedOn w:val="Textocomentario"/>
    <w:next w:val="Textocomentario"/>
    <w:link w:val="AsuntodelcomentarioCar"/>
    <w:uiPriority w:val="99"/>
    <w:semiHidden/>
    <w:unhideWhenUsed/>
    <w:rsid w:val="00EB6FB2"/>
    <w:rPr>
      <w:b/>
      <w:bCs/>
    </w:rPr>
  </w:style>
  <w:style w:type="character" w:customStyle="1" w:styleId="AsuntodelcomentarioCar">
    <w:name w:val="Asunto del comentario Car"/>
    <w:basedOn w:val="TextocomentarioCar"/>
    <w:link w:val="Asuntodelcomentario"/>
    <w:uiPriority w:val="99"/>
    <w:semiHidden/>
    <w:rsid w:val="00EB6FB2"/>
    <w:rPr>
      <w:b/>
      <w:bCs/>
    </w:rPr>
  </w:style>
  <w:style w:type="paragraph" w:styleId="Textonotapie">
    <w:name w:val="footnote text"/>
    <w:basedOn w:val="Normal"/>
    <w:link w:val="TextonotapieCar"/>
    <w:uiPriority w:val="99"/>
    <w:semiHidden/>
    <w:unhideWhenUsed/>
    <w:rsid w:val="00EB6FB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B6FB2"/>
    <w:rPr>
      <w:sz w:val="20"/>
      <w:szCs w:val="20"/>
    </w:rPr>
  </w:style>
  <w:style w:type="character" w:styleId="Refdenotaalpie">
    <w:name w:val="footnote reference"/>
    <w:basedOn w:val="Fuentedeprrafopredeter"/>
    <w:uiPriority w:val="99"/>
    <w:semiHidden/>
    <w:unhideWhenUsed/>
    <w:rsid w:val="00EB6FB2"/>
    <w:rPr>
      <w:vertAlign w:val="superscript"/>
    </w:rPr>
  </w:style>
  <w:style w:type="paragraph" w:styleId="Textoindependiente">
    <w:name w:val="Body Text"/>
    <w:basedOn w:val="Normal"/>
    <w:link w:val="TextoindependienteCar"/>
    <w:rsid w:val="00EB6FB2"/>
    <w:pPr>
      <w:widowControl/>
      <w:spacing w:after="0" w:line="240" w:lineRule="auto"/>
      <w:jc w:val="center"/>
    </w:pPr>
    <w:rPr>
      <w:rFonts w:ascii="Times New Roman" w:eastAsia="Times New Roman" w:hAnsi="Times New Roman" w:cs="Times New Roman"/>
      <w:color w:val="auto"/>
      <w:sz w:val="48"/>
      <w:szCs w:val="20"/>
    </w:rPr>
  </w:style>
  <w:style w:type="character" w:customStyle="1" w:styleId="TextoindependienteCar">
    <w:name w:val="Texto independiente Car"/>
    <w:basedOn w:val="Fuentedeprrafopredeter"/>
    <w:link w:val="Textoindependiente"/>
    <w:rsid w:val="00EB6FB2"/>
    <w:rPr>
      <w:rFonts w:ascii="Times New Roman" w:eastAsia="Times New Roman" w:hAnsi="Times New Roman" w:cs="Times New Roman"/>
      <w:color w:val="auto"/>
      <w:sz w:val="48"/>
      <w:szCs w:val="20"/>
    </w:rPr>
  </w:style>
  <w:style w:type="paragraph" w:customStyle="1" w:styleId="normal0">
    <w:name w:val="normal"/>
    <w:rsid w:val="00EB6FB2"/>
  </w:style>
  <w:style w:type="paragraph" w:styleId="TDC6">
    <w:name w:val="toc 6"/>
    <w:basedOn w:val="Normal"/>
    <w:next w:val="Normal"/>
    <w:autoRedefine/>
    <w:uiPriority w:val="39"/>
    <w:unhideWhenUsed/>
    <w:rsid w:val="00EB6FB2"/>
    <w:pPr>
      <w:spacing w:after="100"/>
      <w:ind w:left="1100"/>
    </w:pPr>
  </w:style>
  <w:style w:type="paragraph" w:styleId="TDC3">
    <w:name w:val="toc 3"/>
    <w:basedOn w:val="Normal"/>
    <w:next w:val="Normal"/>
    <w:autoRedefine/>
    <w:uiPriority w:val="39"/>
    <w:unhideWhenUsed/>
    <w:rsid w:val="00EB6FB2"/>
    <w:pPr>
      <w:spacing w:after="100"/>
      <w:ind w:left="440"/>
    </w:pPr>
  </w:style>
  <w:style w:type="paragraph" w:styleId="TDC2">
    <w:name w:val="toc 2"/>
    <w:basedOn w:val="Normal"/>
    <w:next w:val="Normal"/>
    <w:autoRedefine/>
    <w:uiPriority w:val="39"/>
    <w:unhideWhenUsed/>
    <w:rsid w:val="00EB6FB2"/>
    <w:pPr>
      <w:spacing w:after="100"/>
      <w:ind w:left="220"/>
    </w:pPr>
  </w:style>
  <w:style w:type="paragraph" w:styleId="TDC1">
    <w:name w:val="toc 1"/>
    <w:basedOn w:val="Normal"/>
    <w:next w:val="Normal"/>
    <w:autoRedefine/>
    <w:uiPriority w:val="39"/>
    <w:unhideWhenUsed/>
    <w:rsid w:val="00EB6FB2"/>
    <w:pPr>
      <w:spacing w:after="100"/>
    </w:pPr>
  </w:style>
  <w:style w:type="paragraph" w:styleId="TDC5">
    <w:name w:val="toc 5"/>
    <w:basedOn w:val="Normal"/>
    <w:next w:val="Normal"/>
    <w:autoRedefine/>
    <w:uiPriority w:val="39"/>
    <w:unhideWhenUsed/>
    <w:rsid w:val="00EB6FB2"/>
    <w:pPr>
      <w:spacing w:after="100"/>
      <w:ind w:left="880"/>
    </w:pPr>
  </w:style>
  <w:style w:type="paragraph" w:styleId="TDC4">
    <w:name w:val="toc 4"/>
    <w:basedOn w:val="Normal"/>
    <w:next w:val="Normal"/>
    <w:autoRedefine/>
    <w:uiPriority w:val="39"/>
    <w:unhideWhenUsed/>
    <w:rsid w:val="00EB6FB2"/>
    <w:pPr>
      <w:spacing w:after="100"/>
      <w:ind w:left="660"/>
    </w:pPr>
  </w:style>
  <w:style w:type="character" w:styleId="Hipervnculo">
    <w:name w:val="Hyperlink"/>
    <w:basedOn w:val="Fuentedeprrafopredeter"/>
    <w:uiPriority w:val="99"/>
    <w:unhideWhenUsed/>
    <w:rsid w:val="00EB6FB2"/>
    <w:rPr>
      <w:color w:val="0000FF" w:themeColor="hyperlink"/>
      <w:u w:val="single"/>
    </w:rPr>
  </w:style>
  <w:style w:type="paragraph" w:styleId="TtulodeTDC">
    <w:name w:val="TOC Heading"/>
    <w:basedOn w:val="Ttulo1"/>
    <w:next w:val="Normal"/>
    <w:uiPriority w:val="39"/>
    <w:unhideWhenUsed/>
    <w:qFormat/>
    <w:rsid w:val="00EB6FB2"/>
    <w:pPr>
      <w:widowControl/>
      <w:spacing w:after="0"/>
      <w:outlineLvl w:val="9"/>
    </w:pPr>
    <w:rPr>
      <w:rFonts w:asciiTheme="majorHAnsi" w:eastAsiaTheme="majorEastAsia" w:hAnsiTheme="majorHAnsi" w:cstheme="majorBidi"/>
      <w:bCs/>
      <w:color w:val="365F91" w:themeColor="accent1" w:themeShade="BF"/>
      <w:sz w:val="28"/>
      <w:szCs w:val="28"/>
      <w:lang w:eastAsia="en-US"/>
    </w:rPr>
  </w:style>
  <w:style w:type="paragraph" w:styleId="Encabezado">
    <w:name w:val="header"/>
    <w:basedOn w:val="Normal"/>
    <w:link w:val="EncabezadoCar"/>
    <w:uiPriority w:val="99"/>
    <w:semiHidden/>
    <w:unhideWhenUsed/>
    <w:rsid w:val="00EB6FB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EB6FB2"/>
  </w:style>
  <w:style w:type="paragraph" w:styleId="Piedepgina">
    <w:name w:val="footer"/>
    <w:basedOn w:val="Normal"/>
    <w:link w:val="PiedepginaCar"/>
    <w:uiPriority w:val="99"/>
    <w:semiHidden/>
    <w:unhideWhenUsed/>
    <w:rsid w:val="00EB6FB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EB6FB2"/>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www.hoy.es/sociedad/201409/14/rastro-lobo-20140914002755-v.html" TargetMode="External"/><Relationship Id="rId13" Type="http://schemas.openxmlformats.org/officeDocument/2006/relationships/hyperlink" Target="http://www.boe.es/buscar/doc.php?id=BOE-A-1987-25053" TargetMode="External"/><Relationship Id="rId18" Type="http://schemas.openxmlformats.org/officeDocument/2006/relationships/hyperlink" Target="https://dialnet.unirioja.es/servlet/articulo?codigo=79698" TargetMode="External"/><Relationship Id="rId26" Type="http://schemas.openxmlformats.org/officeDocument/2006/relationships/hyperlink" Target="http://www.europarl.europa.eu/sides/getDoc.do?pubRef=-//EP//TEXT+TA+P6-TA-2007-0032+0+DOC+XML+V0//ES" TargetMode="External"/><Relationship Id="rId3" Type="http://schemas.openxmlformats.org/officeDocument/2006/relationships/hyperlink" Target="https://dialnet.unirioja.es/servlet/articulo?codigo=250494" TargetMode="External"/><Relationship Id="rId21" Type="http://schemas.openxmlformats.org/officeDocument/2006/relationships/hyperlink" Target="http://www.europarl.europa.eu/sides/getDoc.do?type=IMPRESS&amp;reference=20060628IPR09341&amp;language=ES" TargetMode="External"/><Relationship Id="rId7" Type="http://schemas.openxmlformats.org/officeDocument/2006/relationships/hyperlink" Target="https://www.archives.gov/federal-register/codification/executive-order/12333.html%231.13" TargetMode="External"/><Relationship Id="rId12" Type="http://schemas.openxmlformats.org/officeDocument/2006/relationships/hyperlink" Target="https://www.boe.es/buscar/act.php?id=BOE-A-1995-25444" TargetMode="External"/><Relationship Id="rId17" Type="http://schemas.openxmlformats.org/officeDocument/2006/relationships/hyperlink" Target="https://www.boe.es/buscar/doc.php?id=BOE-A-1977-10733" TargetMode="External"/><Relationship Id="rId25" Type="http://schemas.openxmlformats.org/officeDocument/2006/relationships/hyperlink" Target="http://www.europarl.europa.eu/sides/getDoc.do?pubRef=-//EP//TEXT+TA+P6-TA-2007-0032+0+DOC+XML+V0//ES" TargetMode="External"/><Relationship Id="rId2" Type="http://schemas.openxmlformats.org/officeDocument/2006/relationships/hyperlink" Target="http://elordenmundial.com/2014/03/27/los-servicios-de-inteligencia-en-el-s-xxi/" TargetMode="External"/><Relationship Id="rId16" Type="http://schemas.openxmlformats.org/officeDocument/2006/relationships/hyperlink" Target="https://dialnet.unirioja.es/servlet/articulo?codigo=2359840" TargetMode="External"/><Relationship Id="rId20" Type="http://schemas.openxmlformats.org/officeDocument/2006/relationships/hyperlink" Target="http://www.odci.gov/cia/public_affairs/speeches/2004/tenet_testimony_04142004.html." TargetMode="External"/><Relationship Id="rId29" Type="http://schemas.openxmlformats.org/officeDocument/2006/relationships/hyperlink" Target="https://es.wikipedia.org/wiki/Pactos_Internacionales_de_Derechos_Humanos" TargetMode="External"/><Relationship Id="rId1" Type="http://schemas.openxmlformats.org/officeDocument/2006/relationships/hyperlink" Target="https://www.boe.es/buscar/act.php?id=BOE-A-2002-8628" TargetMode="External"/><Relationship Id="rId6" Type="http://schemas.openxmlformats.org/officeDocument/2006/relationships/hyperlink" Target="http://www.legislation.gov.uk/ukpga/1994/13" TargetMode="External"/><Relationship Id="rId11" Type="http://schemas.openxmlformats.org/officeDocument/2006/relationships/hyperlink" Target="https://www.theguardian.com/world/2013/jun/11/edward-snowden-what-we-know-nsa" TargetMode="External"/><Relationship Id="rId24" Type="http://schemas.openxmlformats.org/officeDocument/2006/relationships/hyperlink" Target="http://www.europarl.europa.eu/sides/getDoc.do?pubRef=-//EP//TEXT+REPORT+A6-2006-0213+0+DOC+XML+V0//ES" TargetMode="External"/><Relationship Id="rId32" Type="http://schemas.openxmlformats.org/officeDocument/2006/relationships/hyperlink" Target="http://internacional.elpais.com/internacional/2009/11/04/actualidad/1257289215_850215.html" TargetMode="External"/><Relationship Id="rId5" Type="http://schemas.openxmlformats.org/officeDocument/2006/relationships/hyperlink" Target="http://www.legislation.gov.uk/uksi/1989/2093/made" TargetMode="External"/><Relationship Id="rId15" Type="http://schemas.openxmlformats.org/officeDocument/2006/relationships/hyperlink" Target="https://www.boe.es/diario_boe/txt.php?id=BOE-A-1979-24010" TargetMode="External"/><Relationship Id="rId23" Type="http://schemas.openxmlformats.org/officeDocument/2006/relationships/hyperlink" Target="http://assembly.coe.int/nw/xml/News/News-View-en.asp?newsid=5722&amp;lang=2" TargetMode="External"/><Relationship Id="rId28" Type="http://schemas.openxmlformats.org/officeDocument/2006/relationships/hyperlink" Target="https://es.wikipedia.org/wiki/Derecho_internacional_de_los_derechos_humanos" TargetMode="External"/><Relationship Id="rId10" Type="http://schemas.openxmlformats.org/officeDocument/2006/relationships/hyperlink" Target="https://www.boe.es/buscar/doc.php?id=BOE-A-2002-8627" TargetMode="External"/><Relationship Id="rId19" Type="http://schemas.openxmlformats.org/officeDocument/2006/relationships/hyperlink" Target="https://www.boe.es/diario_boe/txt.php?id=BOE-A-1978-31229" TargetMode="External"/><Relationship Id="rId31" Type="http://schemas.openxmlformats.org/officeDocument/2006/relationships/hyperlink" Target="http://politica.elpais.com/politica/2015/01/12/actualidad/1421074069_148757.html" TargetMode="External"/><Relationship Id="rId4" Type="http://schemas.openxmlformats.org/officeDocument/2006/relationships/hyperlink" Target="http://internacional.elpais.com/internacional/2013/07/05/actualidad/1373038892_139217.html" TargetMode="External"/><Relationship Id="rId9" Type="http://schemas.openxmlformats.org/officeDocument/2006/relationships/hyperlink" Target="https://www.boe.es/diario_boe/txt.php?id=BOE-A-1978-31229" TargetMode="External"/><Relationship Id="rId14" Type="http://schemas.openxmlformats.org/officeDocument/2006/relationships/hyperlink" Target="http://www.boe.es/buscar/doc.php?id=DOUE-Z-2010-70003" TargetMode="External"/><Relationship Id="rId22" Type="http://schemas.openxmlformats.org/officeDocument/2006/relationships/hyperlink" Target="http://elpais.com/diario/1995/03/13/espana/795049215_850215.html" TargetMode="External"/><Relationship Id="rId27" Type="http://schemas.openxmlformats.org/officeDocument/2006/relationships/hyperlink" Target="https://es.wikipedia.org/wiki/Declaraci%C3%B3n_Universal_de_los_Derechos_Humanos" TargetMode="External"/><Relationship Id="rId30" Type="http://schemas.openxmlformats.org/officeDocument/2006/relationships/hyperlink" Target="https://www.opensocietyfoundations.org/sites/default/files/globalizing-torture-20120205.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220</TotalTime>
  <Pages>63</Pages>
  <Words>18107</Words>
  <Characters>99593</Characters>
  <Application>Microsoft Office Word</Application>
  <DocSecurity>0</DocSecurity>
  <Lines>829</Lines>
  <Paragraphs>234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117466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Cipriana</dc:creator>
  <cp:lastModifiedBy>Cipriana</cp:lastModifiedBy>
  <cp:revision>8</cp:revision>
  <dcterms:created xsi:type="dcterms:W3CDTF">2017-06-27T21:58:00Z</dcterms:created>
  <dcterms:modified xsi:type="dcterms:W3CDTF">2017-06-28T19:35:00Z</dcterms:modified>
</cp:coreProperties>
</file>