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0B1A" w:rsidRDefault="00A002E9" w:rsidP="00CA0B1A">
      <w:pPr>
        <w:jc w:val="right"/>
      </w:pPr>
      <w:r>
        <w:rPr>
          <w:noProof/>
          <w:lang w:eastAsia="es-ES"/>
        </w:rPr>
        <mc:AlternateContent>
          <mc:Choice Requires="wps">
            <w:drawing>
              <wp:anchor distT="0" distB="0" distL="114300" distR="114300" simplePos="0" relativeHeight="251663360" behindDoc="0" locked="0" layoutInCell="0" allowOverlap="1">
                <wp:simplePos x="0" y="0"/>
                <wp:positionH relativeFrom="page">
                  <wp:posOffset>9525</wp:posOffset>
                </wp:positionH>
                <wp:positionV relativeFrom="paragraph">
                  <wp:posOffset>-899795</wp:posOffset>
                </wp:positionV>
                <wp:extent cx="2314575" cy="10963275"/>
                <wp:effectExtent l="0" t="0" r="0" b="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4575" cy="10963275"/>
                        </a:xfrm>
                        <a:prstGeom prst="rect">
                          <a:avLst/>
                        </a:prstGeom>
                        <a:solidFill>
                          <a:srgbClr val="EA0000"/>
                        </a:solidFill>
                        <a:ln>
                          <a:noFill/>
                        </a:ln>
                        <a:extLst/>
                      </wps:spPr>
                      <wps:txbx>
                        <w:txbxContent>
                          <w:p w:rsidR="00CF0C33" w:rsidRPr="00B9129F" w:rsidRDefault="00CF0C33" w:rsidP="00CA0B1A">
                            <w:pPr>
                              <w:pStyle w:val="Ttulo2"/>
                              <w:rPr>
                                <w:color w:val="70AD47" w:themeColor="accent6"/>
                                <w:sz w:val="72"/>
                              </w:rPr>
                            </w:pPr>
                            <w:r w:rsidRPr="00B9129F">
                              <w:rPr>
                                <w:color w:val="70AD47" w:themeColor="accent6"/>
                                <w:sz w:val="72"/>
                              </w:rPr>
                              <w:t>Facultad de Ciencias Sociales y Jurídicas</w:t>
                            </w:r>
                          </w:p>
                          <w:p w:rsidR="00CF0C33" w:rsidRPr="00D406A5" w:rsidRDefault="00CF0C33" w:rsidP="00CA0B1A">
                            <w:pPr>
                              <w:pStyle w:val="Ttulo1"/>
                              <w:rPr>
                                <w:rFonts w:ascii="Arial Narrow" w:hAnsi="Arial Narrow"/>
                              </w:rPr>
                            </w:pPr>
                            <w:r w:rsidRPr="00D406A5">
                              <w:rPr>
                                <w:rFonts w:ascii="Arial Narrow" w:hAnsi="Arial Narrow"/>
                              </w:rPr>
                              <w:t>Grado en Derecho</w:t>
                            </w:r>
                          </w:p>
                          <w:p w:rsidR="00CF0C33" w:rsidRDefault="00CF0C33" w:rsidP="00CA0B1A"/>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1" o:spid="_x0000_s1026" type="#_x0000_t202" style="position:absolute;left:0;text-align:left;margin-left:.75pt;margin-top:-70.85pt;width:182.25pt;height:863.2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" o:allowincell="f" fillcolor="#ea0000" stroked="f">
                <v:textbox style="layout-flow:vertical;mso-layout-flow-alt:bottom-to-top">
                  <w:txbxContent>
                    <w:p w:rsidR="00CF0C33" w:rsidRPr="00B9129F" w:rsidRDefault="00CF0C33" w:rsidP="00CA0B1A">
                      <w:pPr>
                        <w:pStyle w:val="Ttulo2"/>
                        <w:rPr>
                          <w:color w:val="70AD47" w:themeColor="accent6"/>
                          <w:sz w:val="72"/>
                        </w:rPr>
                      </w:pPr>
                      <w:r w:rsidRPr="00B9129F">
                        <w:rPr>
                          <w:color w:val="70AD47" w:themeColor="accent6"/>
                          <w:sz w:val="72"/>
                        </w:rPr>
                        <w:t>Facultad de Ciencias Sociales y Jurídicas</w:t>
                      </w:r>
                    </w:p>
                    <w:p w:rsidR="00CF0C33" w:rsidRPr="00D406A5" w:rsidRDefault="00CF0C33" w:rsidP="00CA0B1A">
                      <w:pPr>
                        <w:pStyle w:val="Ttulo1"/>
                        <w:rPr>
                          <w:rFonts w:ascii="Arial Narrow" w:hAnsi="Arial Narrow"/>
                        </w:rPr>
                      </w:pPr>
                      <w:r w:rsidRPr="00D406A5">
                        <w:rPr>
                          <w:rFonts w:ascii="Arial Narrow" w:hAnsi="Arial Narrow"/>
                        </w:rPr>
                        <w:t>Grado en Derecho</w:t>
                      </w:r>
                    </w:p>
                    <w:p w:rsidR="00CF0C33" w:rsidRDefault="00CF0C33" w:rsidP="00CA0B1A"/>
                  </w:txbxContent>
                </v:textbox>
                <w10:wrap anchorx="page"/>
              </v:shape>
            </w:pict>
          </mc:Fallback>
        </mc:AlternateContent>
      </w:r>
      <w:r w:rsidR="00881F12">
        <w:rPr>
          <w:noProof/>
          <w:lang w:eastAsia="es-ES"/>
        </w:rPr>
        <w:drawing>
          <wp:anchor distT="0" distB="0" distL="114300" distR="114300" simplePos="0" relativeHeight="251660288" behindDoc="0" locked="0" layoutInCell="1" allowOverlap="1">
            <wp:simplePos x="0" y="0"/>
            <wp:positionH relativeFrom="column">
              <wp:posOffset>2740660</wp:posOffset>
            </wp:positionH>
            <wp:positionV relativeFrom="paragraph">
              <wp:posOffset>9525</wp:posOffset>
            </wp:positionV>
            <wp:extent cx="2233295" cy="2184400"/>
            <wp:effectExtent l="19050" t="0" r="0" b="0"/>
            <wp:wrapNone/>
            <wp:docPr id="9" name="Imagen 9"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3295" cy="2184400"/>
                    </a:xfrm>
                    <a:prstGeom prst="rect">
                      <a:avLst/>
                    </a:prstGeom>
                    <a:noFill/>
                    <a:ln>
                      <a:noFill/>
                    </a:ln>
                  </pic:spPr>
                </pic:pic>
              </a:graphicData>
            </a:graphic>
          </wp:anchor>
        </w:drawing>
      </w:r>
    </w:p>
    <w:p w:rsidR="00CA0B1A" w:rsidRDefault="00CA0B1A" w:rsidP="00CA0B1A"/>
    <w:p w:rsidR="00CA0B1A" w:rsidRPr="00B9129F" w:rsidRDefault="00CA0B1A" w:rsidP="00CA0B1A"/>
    <w:p w:rsidR="00CA0B1A" w:rsidRPr="00B9129F" w:rsidRDefault="00CA0B1A" w:rsidP="00CA0B1A"/>
    <w:p w:rsidR="00CA0B1A" w:rsidRPr="00B9129F" w:rsidRDefault="00CA0B1A" w:rsidP="00CA0B1A"/>
    <w:p w:rsidR="00CA0B1A" w:rsidRPr="00B9129F" w:rsidRDefault="00CA0B1A" w:rsidP="00CA0B1A"/>
    <w:p w:rsidR="00881F12" w:rsidRDefault="00881F12" w:rsidP="00CA0B1A">
      <w:pPr>
        <w:tabs>
          <w:tab w:val="left" w:pos="6015"/>
        </w:tabs>
      </w:pPr>
    </w:p>
    <w:p w:rsidR="00881F12" w:rsidRDefault="00881F12" w:rsidP="00CA0B1A">
      <w:pPr>
        <w:tabs>
          <w:tab w:val="left" w:pos="6015"/>
        </w:tabs>
      </w:pPr>
    </w:p>
    <w:p w:rsidR="00881F12" w:rsidRDefault="00881F12" w:rsidP="00CA0B1A">
      <w:pPr>
        <w:tabs>
          <w:tab w:val="left" w:pos="6015"/>
        </w:tabs>
      </w:pPr>
    </w:p>
    <w:p w:rsidR="00CA0B1A" w:rsidRDefault="00A002E9" w:rsidP="00CA0B1A">
      <w:pPr>
        <w:tabs>
          <w:tab w:val="left" w:pos="6015"/>
        </w:tabs>
      </w:pPr>
      <w:r>
        <w:rPr>
          <w:noProof/>
          <w:lang w:eastAsia="es-ES"/>
        </w:rPr>
        <mc:AlternateContent>
          <mc:Choice Requires="wps">
            <w:drawing>
              <wp:anchor distT="0" distB="0" distL="114300" distR="114300" simplePos="0" relativeHeight="251661312" behindDoc="0" locked="0" layoutInCell="0" allowOverlap="1">
                <wp:simplePos x="0" y="0"/>
                <wp:positionH relativeFrom="column">
                  <wp:posOffset>1215390</wp:posOffset>
                </wp:positionH>
                <wp:positionV relativeFrom="paragraph">
                  <wp:posOffset>3175</wp:posOffset>
                </wp:positionV>
                <wp:extent cx="5113020" cy="1645920"/>
                <wp:effectExtent l="0" t="0" r="0" b="0"/>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0C33" w:rsidRDefault="00CF0C33" w:rsidP="00CA0B1A">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2" o:spid="_x0000_s1027" type="#_x0000_t202" style="position:absolute;left:0;text-align:left;margin-left:95.7pt;margin-top:.25pt;width:402.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" o:allowincell="f" stroked="f">
                <v:textbox>
                  <w:txbxContent>
                    <w:p w:rsidR="00CF0C33" w:rsidRDefault="00CF0C33" w:rsidP="00CA0B1A">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CA0B1A" w:rsidRPr="00B9129F" w:rsidRDefault="00CA0B1A" w:rsidP="00CA0B1A">
      <w:pPr>
        <w:tabs>
          <w:tab w:val="left" w:pos="7215"/>
        </w:tabs>
      </w:pPr>
      <w:r>
        <w:tab/>
      </w:r>
    </w:p>
    <w:p w:rsidR="00CA0B1A" w:rsidRDefault="00CA0B1A" w:rsidP="00CA0B1A">
      <w:pPr>
        <w:jc w:val="right"/>
      </w:pPr>
    </w:p>
    <w:p w:rsidR="00CA0B1A" w:rsidRDefault="00A002E9" w:rsidP="00CA0B1A">
      <w:pPr>
        <w:jc w:val="right"/>
      </w:pPr>
      <w:r>
        <w:rPr>
          <w:noProof/>
          <w:lang w:eastAsia="es-ES"/>
        </w:rPr>
        <mc:AlternateContent>
          <mc:Choice Requires="wps">
            <w:drawing>
              <wp:anchor distT="0" distB="0" distL="114300" distR="114300" simplePos="0" relativeHeight="251662336" behindDoc="0" locked="0" layoutInCell="0" allowOverlap="1">
                <wp:simplePos x="0" y="0"/>
                <wp:positionH relativeFrom="column">
                  <wp:posOffset>1409700</wp:posOffset>
                </wp:positionH>
                <wp:positionV relativeFrom="paragraph">
                  <wp:posOffset>8255</wp:posOffset>
                </wp:positionV>
                <wp:extent cx="4785995" cy="2198370"/>
                <wp:effectExtent l="0" t="0" r="0" b="0"/>
                <wp:wrapNone/>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5995" cy="2198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0C33" w:rsidRDefault="00CF0C33" w:rsidP="00CA0B1A">
                            <w:pPr>
                              <w:pStyle w:val="Textoindependiente2"/>
                              <w:rPr>
                                <w:rFonts w:cs="Arial"/>
                                <w:b/>
                                <w:sz w:val="56"/>
                                <w:szCs w:val="56"/>
                                <w:lang w:val="es-ES_tradnl"/>
                              </w:rPr>
                            </w:pPr>
                            <w:r>
                              <w:rPr>
                                <w:rFonts w:cs="Arial"/>
                                <w:b/>
                                <w:sz w:val="56"/>
                                <w:szCs w:val="56"/>
                                <w:lang w:val="es-ES_tradnl"/>
                              </w:rPr>
                              <w:t xml:space="preserve">PROBLEMÁTICA ACTUAL QUE PLANTEA LA VIOLENCIA DE GÉNERO EN ESPAÑA PARTIENDO DE LA IGUALDAD </w:t>
                            </w:r>
                          </w:p>
                          <w:p w:rsidR="00CF0C33" w:rsidRDefault="00CF0C33" w:rsidP="00CA0B1A">
                            <w:pPr>
                              <w:pStyle w:val="Textoindependiente2"/>
                              <w:rPr>
                                <w:rFonts w:cs="Arial"/>
                                <w:b/>
                                <w:sz w:val="56"/>
                                <w:szCs w:val="56"/>
                                <w:lang w:val="es-ES_tradnl"/>
                              </w:rPr>
                            </w:pPr>
                          </w:p>
                          <w:p w:rsidR="00CF0C33" w:rsidRPr="00881F12" w:rsidRDefault="00CF0C33" w:rsidP="00CA0B1A">
                            <w:pPr>
                              <w:pStyle w:val="Textoindependiente2"/>
                              <w:rPr>
                                <w:rFonts w:cs="Arial"/>
                                <w:b/>
                                <w:sz w:val="56"/>
                                <w:szCs w:val="56"/>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3" o:spid="_x0000_s1028" type="#_x0000_t202" style="position:absolute;left:0;text-align:left;margin-left:111pt;margin-top:.65pt;width:376.85pt;height:173.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" o:allowincell="f" stroked="f">
                <v:textbox>
                  <w:txbxContent>
                    <w:p w:rsidR="00CF0C33" w:rsidRDefault="00CF0C33" w:rsidP="00CA0B1A">
                      <w:pPr>
                        <w:pStyle w:val="Textoindependiente2"/>
                        <w:rPr>
                          <w:rFonts w:cs="Arial"/>
                          <w:b/>
                          <w:sz w:val="56"/>
                          <w:szCs w:val="56"/>
                          <w:lang w:val="es-ES_tradnl"/>
                        </w:rPr>
                      </w:pPr>
                      <w:r>
                        <w:rPr>
                          <w:rFonts w:cs="Arial"/>
                          <w:b/>
                          <w:sz w:val="56"/>
                          <w:szCs w:val="56"/>
                          <w:lang w:val="es-ES_tradnl"/>
                        </w:rPr>
                        <w:t xml:space="preserve">PROBLEMÁTICA ACTUAL QUE PLANTEA LA VIOLENCIA DE GÉNERO EN ESPAÑA PARTIENDO DE LA IGUALDAD </w:t>
                      </w:r>
                    </w:p>
                    <w:p w:rsidR="00CF0C33" w:rsidRDefault="00CF0C33" w:rsidP="00CA0B1A">
                      <w:pPr>
                        <w:pStyle w:val="Textoindependiente2"/>
                        <w:rPr>
                          <w:rFonts w:cs="Arial"/>
                          <w:b/>
                          <w:sz w:val="56"/>
                          <w:szCs w:val="56"/>
                          <w:lang w:val="es-ES_tradnl"/>
                        </w:rPr>
                      </w:pPr>
                    </w:p>
                    <w:p w:rsidR="00CF0C33" w:rsidRPr="00881F12" w:rsidRDefault="00CF0C33" w:rsidP="00CA0B1A">
                      <w:pPr>
                        <w:pStyle w:val="Textoindependiente2"/>
                        <w:rPr>
                          <w:rFonts w:cs="Arial"/>
                          <w:b/>
                          <w:sz w:val="56"/>
                          <w:szCs w:val="56"/>
                          <w:lang w:val="es-ES_tradnl"/>
                        </w:rPr>
                      </w:pPr>
                    </w:p>
                  </w:txbxContent>
                </v:textbox>
              </v:shape>
            </w:pict>
          </mc:Fallback>
        </mc:AlternateContent>
      </w:r>
    </w:p>
    <w:p w:rsidR="00CA0B1A" w:rsidRDefault="00CA0B1A" w:rsidP="00CA0B1A">
      <w:pPr>
        <w:jc w:val="right"/>
      </w:pPr>
    </w:p>
    <w:p w:rsidR="00CA0B1A" w:rsidRDefault="00CA0B1A" w:rsidP="00CA0B1A">
      <w:pPr>
        <w:jc w:val="right"/>
      </w:pPr>
    </w:p>
    <w:p w:rsidR="00CA0B1A" w:rsidRDefault="00CA0B1A" w:rsidP="00CA0B1A">
      <w:pPr>
        <w:jc w:val="right"/>
      </w:pPr>
    </w:p>
    <w:p w:rsidR="00CA0B1A" w:rsidRDefault="00CA0B1A" w:rsidP="00CA0B1A">
      <w:pPr>
        <w:jc w:val="right"/>
      </w:pPr>
    </w:p>
    <w:p w:rsidR="00CA0B1A" w:rsidRDefault="00CA0B1A" w:rsidP="00CA0B1A">
      <w:pPr>
        <w:jc w:val="right"/>
      </w:pPr>
    </w:p>
    <w:p w:rsidR="009A3323" w:rsidRDefault="009A3323" w:rsidP="00CA0B1A">
      <w:pPr>
        <w:jc w:val="right"/>
      </w:pPr>
    </w:p>
    <w:p w:rsidR="00CA0B1A" w:rsidRDefault="00881F12" w:rsidP="00881F12">
      <w:pPr>
        <w:tabs>
          <w:tab w:val="left" w:pos="5685"/>
        </w:tabs>
        <w:jc w:val="both"/>
      </w:pPr>
      <w:r>
        <w:tab/>
      </w:r>
      <w:r w:rsidR="00A002E9">
        <w:rPr>
          <w:noProof/>
          <w:lang w:eastAsia="es-ES"/>
        </w:rPr>
        <mc:AlternateContent>
          <mc:Choice Requires="wps">
            <w:drawing>
              <wp:anchor distT="0" distB="0" distL="114300" distR="114300" simplePos="0" relativeHeight="251664384" behindDoc="0" locked="0" layoutInCell="0" allowOverlap="1">
                <wp:simplePos x="0" y="0"/>
                <wp:positionH relativeFrom="column">
                  <wp:posOffset>1440180</wp:posOffset>
                </wp:positionH>
                <wp:positionV relativeFrom="paragraph">
                  <wp:posOffset>10795</wp:posOffset>
                </wp:positionV>
                <wp:extent cx="4528185" cy="2834640"/>
                <wp:effectExtent l="0" t="0" r="0" b="0"/>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0C33" w:rsidRDefault="00CF0C33" w:rsidP="00CA0B1A">
                            <w:pPr>
                              <w:pStyle w:val="Ttulo5"/>
                              <w:rPr>
                                <w:u w:val="none"/>
                              </w:rPr>
                            </w:pPr>
                            <w:r>
                              <w:rPr>
                                <w:u w:val="none"/>
                              </w:rPr>
                              <w:t>Alumno:</w:t>
                            </w:r>
                            <w:r>
                              <w:rPr>
                                <w:u w:val="none"/>
                              </w:rPr>
                              <w:tab/>
                              <w:t>Morales Morillas, Víctor</w:t>
                            </w:r>
                          </w:p>
                          <w:p w:rsidR="00CF0C33" w:rsidRDefault="00CF0C33" w:rsidP="00CA0B1A">
                            <w:pPr>
                              <w:rPr>
                                <w:rFonts w:ascii="Arial" w:hAnsi="Arial"/>
                                <w:sz w:val="32"/>
                              </w:rPr>
                            </w:pPr>
                          </w:p>
                          <w:p w:rsidR="00CF0C33" w:rsidRDefault="00CF0C33" w:rsidP="00CA0B1A">
                            <w:pPr>
                              <w:rPr>
                                <w:rFonts w:ascii="Arial" w:hAnsi="Arial"/>
                                <w:sz w:val="32"/>
                              </w:rPr>
                            </w:pPr>
                          </w:p>
                          <w:p w:rsidR="00CF0C33" w:rsidRDefault="00CF0C33" w:rsidP="00CA0B1A">
                            <w:pPr>
                              <w:rPr>
                                <w:rFonts w:ascii="Arial" w:hAnsi="Arial"/>
                                <w:sz w:val="32"/>
                              </w:rPr>
                            </w:pPr>
                          </w:p>
                          <w:p w:rsidR="00CF0C33" w:rsidRDefault="008B2B80" w:rsidP="00CA0B1A">
                            <w:pPr>
                              <w:pStyle w:val="Ttulo4"/>
                              <w:rPr>
                                <w:b/>
                                <w:sz w:val="36"/>
                              </w:rPr>
                            </w:pPr>
                            <w:r>
                              <w:rPr>
                                <w:b/>
                                <w:sz w:val="36"/>
                              </w:rPr>
                              <w:t>Julio</w:t>
                            </w:r>
                            <w:r w:rsidR="00CF0C33">
                              <w:rPr>
                                <w:b/>
                                <w:sz w:val="36"/>
                              </w:rPr>
                              <w:t>, 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4" o:spid="_x0000_s1029" type="#_x0000_t202" style="position:absolute;left:0;text-align:left;margin-left:113.4pt;margin-top:.85pt;width:356.55pt;height:223.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" o:allowincell="f" stroked="f">
                <v:textbox>
                  <w:txbxContent>
                    <w:p w:rsidR="00CF0C33" w:rsidRDefault="00CF0C33" w:rsidP="00CA0B1A">
                      <w:pPr>
                        <w:pStyle w:val="Ttulo5"/>
                        <w:rPr>
                          <w:u w:val="none"/>
                        </w:rPr>
                      </w:pPr>
                      <w:r>
                        <w:rPr>
                          <w:u w:val="none"/>
                        </w:rPr>
                        <w:t>Alumno:</w:t>
                      </w:r>
                      <w:r>
                        <w:rPr>
                          <w:u w:val="none"/>
                        </w:rPr>
                        <w:tab/>
                        <w:t>Morales Morillas, Víctor</w:t>
                      </w:r>
                    </w:p>
                    <w:p w:rsidR="00CF0C33" w:rsidRDefault="00CF0C33" w:rsidP="00CA0B1A">
                      <w:pPr>
                        <w:rPr>
                          <w:rFonts w:ascii="Arial" w:hAnsi="Arial"/>
                          <w:sz w:val="32"/>
                        </w:rPr>
                      </w:pPr>
                    </w:p>
                    <w:p w:rsidR="00CF0C33" w:rsidRDefault="00CF0C33" w:rsidP="00CA0B1A">
                      <w:pPr>
                        <w:rPr>
                          <w:rFonts w:ascii="Arial" w:hAnsi="Arial"/>
                          <w:sz w:val="32"/>
                        </w:rPr>
                      </w:pPr>
                    </w:p>
                    <w:p w:rsidR="00CF0C33" w:rsidRDefault="00CF0C33" w:rsidP="00CA0B1A">
                      <w:pPr>
                        <w:rPr>
                          <w:rFonts w:ascii="Arial" w:hAnsi="Arial"/>
                          <w:sz w:val="32"/>
                        </w:rPr>
                      </w:pPr>
                    </w:p>
                    <w:p w:rsidR="00CF0C33" w:rsidRDefault="008B2B80" w:rsidP="00CA0B1A">
                      <w:pPr>
                        <w:pStyle w:val="Ttulo4"/>
                        <w:rPr>
                          <w:b/>
                          <w:sz w:val="36"/>
                        </w:rPr>
                      </w:pPr>
                      <w:r>
                        <w:rPr>
                          <w:b/>
                          <w:sz w:val="36"/>
                        </w:rPr>
                        <w:t>Julio</w:t>
                      </w:r>
                      <w:r w:rsidR="00CF0C33">
                        <w:rPr>
                          <w:b/>
                          <w:sz w:val="36"/>
                        </w:rPr>
                        <w:t>, 2018</w:t>
                      </w:r>
                    </w:p>
                  </w:txbxContent>
                </v:textbox>
              </v:shape>
            </w:pict>
          </mc:Fallback>
        </mc:AlternateContent>
      </w:r>
    </w:p>
    <w:p w:rsidR="00CA0B1A" w:rsidRDefault="00CA0B1A" w:rsidP="00CA0B1A">
      <w:pPr>
        <w:jc w:val="right"/>
      </w:pPr>
    </w:p>
    <w:p w:rsidR="00CA0B1A" w:rsidRDefault="00CA0B1A" w:rsidP="00CA0B1A">
      <w:pPr>
        <w:jc w:val="right"/>
      </w:pPr>
    </w:p>
    <w:p w:rsidR="00CA0B1A" w:rsidRDefault="00CA0B1A" w:rsidP="00CA0B1A">
      <w:pPr>
        <w:jc w:val="right"/>
      </w:pPr>
    </w:p>
    <w:p w:rsidR="00F7344C" w:rsidRDefault="00F7344C" w:rsidP="00CA0B1A">
      <w:pPr>
        <w:jc w:val="right"/>
      </w:pPr>
    </w:p>
    <w:p w:rsidR="00CA0B1A" w:rsidRDefault="00D5438E" w:rsidP="005F33D9">
      <w:pPr>
        <w:spacing w:after="0"/>
      </w:pPr>
      <w:r>
        <w:lastRenderedPageBreak/>
        <w:t>ÍNDICE</w:t>
      </w:r>
    </w:p>
    <w:p w:rsidR="00506C1D" w:rsidRDefault="008527A0" w:rsidP="005F33D9">
      <w:pPr>
        <w:pStyle w:val="Prrafodelista"/>
        <w:numPr>
          <w:ilvl w:val="0"/>
          <w:numId w:val="3"/>
        </w:numPr>
        <w:spacing w:after="0"/>
        <w:jc w:val="both"/>
      </w:pPr>
      <w:r>
        <w:t>Resumen</w:t>
      </w:r>
      <w:r w:rsidR="00506C1D">
        <w:t xml:space="preserve"> sobre la elaboración del trabajo </w:t>
      </w:r>
    </w:p>
    <w:p w:rsidR="00FA5DF5" w:rsidRDefault="00FA5DF5" w:rsidP="005F33D9">
      <w:pPr>
        <w:pStyle w:val="Prrafodelista"/>
        <w:spacing w:after="0"/>
        <w:jc w:val="both"/>
      </w:pPr>
      <w:r>
        <w:t>1.</w:t>
      </w:r>
      <w:r w:rsidR="000727B8">
        <w:t xml:space="preserve">1 Resumen </w:t>
      </w:r>
      <w:r w:rsidR="005906F4">
        <w:t>del trabajo, lengua inglesa</w:t>
      </w:r>
    </w:p>
    <w:p w:rsidR="004622FF" w:rsidRDefault="004622FF" w:rsidP="004622FF">
      <w:pPr>
        <w:pStyle w:val="Prrafodelista"/>
        <w:numPr>
          <w:ilvl w:val="0"/>
          <w:numId w:val="3"/>
        </w:numPr>
        <w:spacing w:after="0"/>
        <w:jc w:val="both"/>
      </w:pPr>
      <w:r>
        <w:t>La igualdad de género</w:t>
      </w:r>
    </w:p>
    <w:p w:rsidR="00201C0E" w:rsidRDefault="004622FF" w:rsidP="005F33D9">
      <w:pPr>
        <w:pStyle w:val="Prrafodelista"/>
        <w:numPr>
          <w:ilvl w:val="1"/>
          <w:numId w:val="3"/>
        </w:numPr>
        <w:spacing w:after="0"/>
        <w:jc w:val="both"/>
      </w:pPr>
      <w:r>
        <w:t>Concepto de género</w:t>
      </w:r>
    </w:p>
    <w:p w:rsidR="008A2315" w:rsidRDefault="004622FF" w:rsidP="005F33D9">
      <w:pPr>
        <w:pStyle w:val="Prrafodelista"/>
        <w:numPr>
          <w:ilvl w:val="1"/>
          <w:numId w:val="3"/>
        </w:numPr>
        <w:spacing w:after="0"/>
        <w:jc w:val="both"/>
      </w:pPr>
      <w:r>
        <w:t>Roles de género</w:t>
      </w:r>
    </w:p>
    <w:p w:rsidR="001C3E8B" w:rsidRDefault="004622FF" w:rsidP="005F33D9">
      <w:pPr>
        <w:pStyle w:val="Prrafodelista"/>
        <w:numPr>
          <w:ilvl w:val="1"/>
          <w:numId w:val="3"/>
        </w:numPr>
        <w:spacing w:after="0"/>
        <w:jc w:val="both"/>
      </w:pPr>
      <w:r>
        <w:t>Los estereotipos de género</w:t>
      </w:r>
    </w:p>
    <w:p w:rsidR="00611F62" w:rsidRDefault="00611F62" w:rsidP="004622FF">
      <w:pPr>
        <w:pStyle w:val="Prrafodelista"/>
        <w:numPr>
          <w:ilvl w:val="1"/>
          <w:numId w:val="3"/>
        </w:numPr>
        <w:spacing w:after="0"/>
        <w:jc w:val="both"/>
      </w:pPr>
      <w:r>
        <w:t>La i</w:t>
      </w:r>
      <w:r w:rsidR="004622FF">
        <w:t>gualdad entre mujeres y hombres en el Derecho Español</w:t>
      </w:r>
    </w:p>
    <w:p w:rsidR="004622FF" w:rsidRDefault="004622FF" w:rsidP="004622FF">
      <w:pPr>
        <w:pStyle w:val="Prrafodelista"/>
        <w:numPr>
          <w:ilvl w:val="2"/>
          <w:numId w:val="3"/>
        </w:numPr>
        <w:spacing w:after="0"/>
        <w:jc w:val="both"/>
      </w:pPr>
      <w:r>
        <w:t>La igualdad en la C.E. de 27 de diciembre de 1978: La igualdad como valor, principio y derecho fundamental</w:t>
      </w:r>
    </w:p>
    <w:p w:rsidR="004622FF" w:rsidRDefault="004622FF" w:rsidP="004622FF">
      <w:pPr>
        <w:pStyle w:val="Prrafodelista"/>
        <w:numPr>
          <w:ilvl w:val="2"/>
          <w:numId w:val="3"/>
        </w:numPr>
        <w:spacing w:after="0"/>
        <w:jc w:val="both"/>
      </w:pPr>
      <w:r>
        <w:t>Desarrollo normativo: Normativa estatal y normativa de la C.A. de Andalucía</w:t>
      </w:r>
    </w:p>
    <w:p w:rsidR="00506C1D" w:rsidRDefault="004622FF" w:rsidP="004622FF">
      <w:pPr>
        <w:pStyle w:val="Prrafodelista"/>
        <w:numPr>
          <w:ilvl w:val="3"/>
          <w:numId w:val="3"/>
        </w:numPr>
        <w:spacing w:after="0"/>
        <w:jc w:val="both"/>
      </w:pPr>
      <w:r>
        <w:t>Normativa estatal</w:t>
      </w:r>
    </w:p>
    <w:p w:rsidR="004622FF" w:rsidRDefault="004622FF" w:rsidP="004622FF">
      <w:pPr>
        <w:pStyle w:val="Prrafodelista"/>
        <w:numPr>
          <w:ilvl w:val="3"/>
          <w:numId w:val="3"/>
        </w:numPr>
        <w:spacing w:after="0"/>
        <w:jc w:val="both"/>
      </w:pPr>
      <w:r>
        <w:t>Los planes de igualdad</w:t>
      </w:r>
    </w:p>
    <w:p w:rsidR="004622FF" w:rsidRDefault="004622FF" w:rsidP="004622FF">
      <w:pPr>
        <w:pStyle w:val="Prrafodelista"/>
        <w:numPr>
          <w:ilvl w:val="3"/>
          <w:numId w:val="3"/>
        </w:numPr>
        <w:spacing w:after="0"/>
        <w:jc w:val="both"/>
      </w:pPr>
      <w:r>
        <w:t>Normativa de la C.A. de Andalucía: Estatuto de Autonomía y otras normas autonómicas</w:t>
      </w:r>
    </w:p>
    <w:p w:rsidR="004622FF" w:rsidRDefault="004622FF" w:rsidP="004622FF">
      <w:pPr>
        <w:pStyle w:val="Prrafodelista"/>
        <w:numPr>
          <w:ilvl w:val="0"/>
          <w:numId w:val="3"/>
        </w:numPr>
        <w:spacing w:after="0"/>
        <w:jc w:val="both"/>
      </w:pPr>
      <w:r>
        <w:t>Modalidades discriminatorias y medidas correctoras en la Ley de igualdad</w:t>
      </w:r>
    </w:p>
    <w:p w:rsidR="00611F62" w:rsidRDefault="004622FF" w:rsidP="005F33D9">
      <w:pPr>
        <w:pStyle w:val="Prrafodelista"/>
        <w:numPr>
          <w:ilvl w:val="1"/>
          <w:numId w:val="3"/>
        </w:numPr>
        <w:spacing w:after="0"/>
        <w:jc w:val="both"/>
      </w:pPr>
      <w:r>
        <w:t>Discriminación salarial</w:t>
      </w:r>
    </w:p>
    <w:p w:rsidR="004622FF" w:rsidRDefault="004622FF" w:rsidP="005F33D9">
      <w:pPr>
        <w:pStyle w:val="Prrafodelista"/>
        <w:numPr>
          <w:ilvl w:val="1"/>
          <w:numId w:val="3"/>
        </w:numPr>
        <w:spacing w:after="0"/>
        <w:jc w:val="both"/>
      </w:pPr>
      <w:r>
        <w:t xml:space="preserve">Discriminación en la publicidad </w:t>
      </w:r>
    </w:p>
    <w:p w:rsidR="004622FF" w:rsidRDefault="004622FF" w:rsidP="005F33D9">
      <w:pPr>
        <w:pStyle w:val="Prrafodelista"/>
        <w:numPr>
          <w:ilvl w:val="1"/>
          <w:numId w:val="3"/>
        </w:numPr>
        <w:spacing w:after="0"/>
        <w:jc w:val="both"/>
      </w:pPr>
      <w:r>
        <w:t>Acción positiva</w:t>
      </w:r>
    </w:p>
    <w:p w:rsidR="00F11969" w:rsidRDefault="004622FF" w:rsidP="00F11969">
      <w:pPr>
        <w:pStyle w:val="Prrafodelista"/>
        <w:numPr>
          <w:ilvl w:val="1"/>
          <w:numId w:val="3"/>
        </w:numPr>
        <w:spacing w:after="0"/>
        <w:jc w:val="both"/>
      </w:pPr>
      <w:r>
        <w:t>Acoso por razón de sexo</w:t>
      </w:r>
    </w:p>
    <w:p w:rsidR="00506C1D" w:rsidRDefault="00611F62" w:rsidP="00F11969">
      <w:pPr>
        <w:pStyle w:val="Prrafodelista"/>
        <w:numPr>
          <w:ilvl w:val="0"/>
          <w:numId w:val="3"/>
        </w:numPr>
        <w:spacing w:after="0"/>
        <w:jc w:val="both"/>
      </w:pPr>
      <w:r>
        <w:t>Violencia de género</w:t>
      </w:r>
    </w:p>
    <w:p w:rsidR="00506C1D" w:rsidRDefault="004C6089" w:rsidP="005F33D9">
      <w:pPr>
        <w:pStyle w:val="Prrafodelista"/>
        <w:numPr>
          <w:ilvl w:val="1"/>
          <w:numId w:val="3"/>
        </w:numPr>
        <w:spacing w:after="0"/>
        <w:jc w:val="both"/>
      </w:pPr>
      <w:r>
        <w:t xml:space="preserve">Concepto </w:t>
      </w:r>
      <w:r w:rsidR="00611F62">
        <w:t xml:space="preserve">y tipos </w:t>
      </w:r>
    </w:p>
    <w:p w:rsidR="00AA33FF" w:rsidRDefault="00AA33FF" w:rsidP="005F33D9">
      <w:pPr>
        <w:pStyle w:val="Prrafodelista"/>
        <w:numPr>
          <w:ilvl w:val="1"/>
          <w:numId w:val="3"/>
        </w:numPr>
        <w:spacing w:after="0"/>
        <w:jc w:val="both"/>
      </w:pPr>
      <w:r>
        <w:t>Tipificación penal del delito de violencia de género</w:t>
      </w:r>
    </w:p>
    <w:p w:rsidR="00611F62" w:rsidRDefault="00611F62" w:rsidP="005F33D9">
      <w:pPr>
        <w:pStyle w:val="Prrafodelista"/>
        <w:numPr>
          <w:ilvl w:val="1"/>
          <w:numId w:val="3"/>
        </w:numPr>
        <w:spacing w:after="0"/>
        <w:jc w:val="both"/>
      </w:pPr>
      <w:r>
        <w:t>Violencia de género psíquica o física, con referencia a la ley de medidas de protección integral contra la violencia de género</w:t>
      </w:r>
    </w:p>
    <w:p w:rsidR="005F33D9" w:rsidRDefault="00611F62" w:rsidP="005F33D9">
      <w:pPr>
        <w:pStyle w:val="Prrafodelista"/>
        <w:numPr>
          <w:ilvl w:val="1"/>
          <w:numId w:val="3"/>
        </w:numPr>
        <w:spacing w:after="0"/>
        <w:jc w:val="both"/>
      </w:pPr>
      <w:r>
        <w:t>Violencia de género en el ámbito internacional</w:t>
      </w:r>
    </w:p>
    <w:p w:rsidR="00611F62" w:rsidRDefault="00611F62" w:rsidP="005F33D9">
      <w:pPr>
        <w:pStyle w:val="Prrafodelista"/>
        <w:numPr>
          <w:ilvl w:val="1"/>
          <w:numId w:val="3"/>
        </w:numPr>
        <w:spacing w:after="0"/>
        <w:jc w:val="both"/>
      </w:pPr>
      <w:r>
        <w:t>Evolución estadística de las mujeres víctimas de violencia de género con resultado muerte en España</w:t>
      </w:r>
    </w:p>
    <w:p w:rsidR="00F11969" w:rsidRDefault="00F11969" w:rsidP="005F33D9">
      <w:pPr>
        <w:pStyle w:val="Prrafodelista"/>
        <w:numPr>
          <w:ilvl w:val="0"/>
          <w:numId w:val="3"/>
        </w:numPr>
        <w:spacing w:after="0"/>
        <w:contextualSpacing w:val="0"/>
        <w:jc w:val="both"/>
      </w:pPr>
      <w:r>
        <w:t>Análisis de Protocolos de violencia de género</w:t>
      </w:r>
    </w:p>
    <w:p w:rsidR="00D63381" w:rsidRDefault="00D63381" w:rsidP="00F11969">
      <w:pPr>
        <w:pStyle w:val="Prrafodelista"/>
        <w:numPr>
          <w:ilvl w:val="1"/>
          <w:numId w:val="3"/>
        </w:numPr>
        <w:spacing w:after="0"/>
        <w:contextualSpacing w:val="0"/>
        <w:jc w:val="both"/>
      </w:pPr>
      <w:r>
        <w:t>Protocolo de actuación de las fuerzas y cuerpos de seguridad y de coordinación con los órganos judiciales para la protección de las víctimas de violencia doméstica y de género</w:t>
      </w:r>
    </w:p>
    <w:p w:rsidR="00D63381" w:rsidRDefault="00D63381" w:rsidP="00F11969">
      <w:pPr>
        <w:pStyle w:val="Prrafodelista"/>
        <w:numPr>
          <w:ilvl w:val="2"/>
          <w:numId w:val="3"/>
        </w:numPr>
        <w:spacing w:after="0"/>
        <w:contextualSpacing w:val="0"/>
        <w:jc w:val="both"/>
      </w:pPr>
      <w:r>
        <w:t>Introducción</w:t>
      </w:r>
    </w:p>
    <w:p w:rsidR="00D63381" w:rsidRDefault="00D63381" w:rsidP="00F11969">
      <w:pPr>
        <w:pStyle w:val="Prrafodelista"/>
        <w:numPr>
          <w:ilvl w:val="2"/>
          <w:numId w:val="3"/>
        </w:numPr>
        <w:spacing w:after="0"/>
        <w:contextualSpacing w:val="0"/>
        <w:jc w:val="both"/>
      </w:pPr>
      <w:r>
        <w:lastRenderedPageBreak/>
        <w:t>Actuación de las fuerzas y cuerpos de seguridad para la protección de las víctimas de violencia doméstica y de género</w:t>
      </w:r>
    </w:p>
    <w:p w:rsidR="00D63381" w:rsidRDefault="00D63381" w:rsidP="00F11969">
      <w:pPr>
        <w:pStyle w:val="Prrafodelista"/>
        <w:numPr>
          <w:ilvl w:val="3"/>
          <w:numId w:val="3"/>
        </w:numPr>
        <w:spacing w:after="0"/>
        <w:contextualSpacing w:val="0"/>
        <w:jc w:val="both"/>
      </w:pPr>
      <w:r>
        <w:t>Actuación en la fase de investigación policial</w:t>
      </w:r>
    </w:p>
    <w:p w:rsidR="00D63381" w:rsidRDefault="00D63381" w:rsidP="00F11969">
      <w:pPr>
        <w:pStyle w:val="Prrafodelista"/>
        <w:numPr>
          <w:ilvl w:val="3"/>
          <w:numId w:val="3"/>
        </w:numPr>
        <w:spacing w:after="0"/>
        <w:contextualSpacing w:val="0"/>
        <w:jc w:val="both"/>
      </w:pPr>
      <w:r>
        <w:t>Recogida de la denuncia y elaboración del atestado</w:t>
      </w:r>
    </w:p>
    <w:p w:rsidR="00D63381" w:rsidRPr="00D63381" w:rsidRDefault="00D63381" w:rsidP="00F11969">
      <w:pPr>
        <w:pStyle w:val="Prrafodelista"/>
        <w:numPr>
          <w:ilvl w:val="3"/>
          <w:numId w:val="3"/>
        </w:numPr>
        <w:spacing w:after="0"/>
        <w:contextualSpacing w:val="0"/>
        <w:jc w:val="both"/>
      </w:pPr>
      <w:r w:rsidRPr="00D63381">
        <w:t>Actuación en el control y seguimi</w:t>
      </w:r>
      <w:r>
        <w:t xml:space="preserve">ento de las medidas judicial de </w:t>
      </w:r>
      <w:r w:rsidRPr="00D63381">
        <w:t>protección o aseguramiento</w:t>
      </w:r>
      <w:r w:rsidRPr="00D63381">
        <w:rPr>
          <w:b/>
        </w:rPr>
        <w:t xml:space="preserve"> </w:t>
      </w:r>
    </w:p>
    <w:p w:rsidR="005F33D9" w:rsidRDefault="00D63381" w:rsidP="00F11969">
      <w:pPr>
        <w:pStyle w:val="Prrafodelista"/>
        <w:numPr>
          <w:ilvl w:val="3"/>
          <w:numId w:val="3"/>
        </w:numPr>
        <w:spacing w:after="0"/>
        <w:contextualSpacing w:val="0"/>
        <w:jc w:val="both"/>
      </w:pPr>
      <w:r w:rsidRPr="00D63381">
        <w:t>Posible adopción de la medida de prisión provisional o de otras medidas de protección de la víctima</w:t>
      </w:r>
    </w:p>
    <w:p w:rsidR="00D63381" w:rsidRDefault="00D63381" w:rsidP="00F11969">
      <w:pPr>
        <w:pStyle w:val="Prrafodelista"/>
        <w:numPr>
          <w:ilvl w:val="2"/>
          <w:numId w:val="3"/>
        </w:numPr>
        <w:spacing w:after="0"/>
        <w:contextualSpacing w:val="0"/>
        <w:jc w:val="both"/>
      </w:pPr>
      <w:r>
        <w:t>Comunicaciones entre los órganos judiciales y las fuerzas y cuerpos de seguridad</w:t>
      </w:r>
    </w:p>
    <w:p w:rsidR="005F33D9" w:rsidRDefault="005F33D9" w:rsidP="00F11969">
      <w:pPr>
        <w:pStyle w:val="Prrafodelista"/>
        <w:numPr>
          <w:ilvl w:val="3"/>
          <w:numId w:val="3"/>
        </w:numPr>
        <w:spacing w:after="0"/>
        <w:contextualSpacing w:val="0"/>
        <w:jc w:val="both"/>
      </w:pPr>
      <w:r>
        <w:t>Optimización del funcionamiento del Registro Central para la protección de las víctimas de violencia doméstica</w:t>
      </w:r>
    </w:p>
    <w:p w:rsidR="005F33D9" w:rsidRDefault="005F33D9" w:rsidP="00F11969">
      <w:pPr>
        <w:pStyle w:val="Prrafodelista"/>
        <w:numPr>
          <w:ilvl w:val="3"/>
          <w:numId w:val="3"/>
        </w:numPr>
        <w:spacing w:after="0"/>
        <w:contextualSpacing w:val="0"/>
        <w:jc w:val="both"/>
      </w:pPr>
      <w:r>
        <w:t>Comunicaciones de las fuerzas y cuerpos de seguridad a los órganos judiciales</w:t>
      </w:r>
    </w:p>
    <w:p w:rsidR="005F33D9" w:rsidRDefault="005F33D9" w:rsidP="00F11969">
      <w:pPr>
        <w:pStyle w:val="Prrafodelista"/>
        <w:numPr>
          <w:ilvl w:val="2"/>
          <w:numId w:val="3"/>
        </w:numPr>
        <w:spacing w:after="0"/>
        <w:contextualSpacing w:val="0"/>
        <w:jc w:val="both"/>
      </w:pPr>
      <w:r>
        <w:t>Anexo I del protocolo de actuación de las fuerzas y cuerpos de seguridad y de coordinación con los órganos judiciales</w:t>
      </w:r>
    </w:p>
    <w:p w:rsidR="0083125B" w:rsidRDefault="0083125B" w:rsidP="0083125B">
      <w:pPr>
        <w:pStyle w:val="Prrafodelista"/>
        <w:numPr>
          <w:ilvl w:val="1"/>
          <w:numId w:val="3"/>
        </w:numPr>
        <w:spacing w:after="0"/>
        <w:contextualSpacing w:val="0"/>
        <w:jc w:val="both"/>
      </w:pPr>
      <w:r>
        <w:t>Protocolo de actuación ante casos de violencia de género en el ámbito educativo</w:t>
      </w:r>
    </w:p>
    <w:p w:rsidR="0083125B" w:rsidRDefault="00C55AC1" w:rsidP="0083125B">
      <w:pPr>
        <w:pStyle w:val="Prrafodelista"/>
        <w:numPr>
          <w:ilvl w:val="2"/>
          <w:numId w:val="3"/>
        </w:numPr>
        <w:spacing w:after="0"/>
        <w:contextualSpacing w:val="0"/>
        <w:jc w:val="both"/>
      </w:pPr>
      <w:r>
        <w:t>Identificación y comunicación de la situación</w:t>
      </w:r>
    </w:p>
    <w:p w:rsidR="00C55AC1" w:rsidRDefault="00C55AC1" w:rsidP="0083125B">
      <w:pPr>
        <w:pStyle w:val="Prrafodelista"/>
        <w:numPr>
          <w:ilvl w:val="2"/>
          <w:numId w:val="3"/>
        </w:numPr>
        <w:spacing w:after="0"/>
        <w:contextualSpacing w:val="0"/>
        <w:jc w:val="both"/>
      </w:pPr>
      <w:r>
        <w:t>Actuaciones inmediatas</w:t>
      </w:r>
    </w:p>
    <w:p w:rsidR="00C55AC1" w:rsidRDefault="00C55AC1" w:rsidP="0083125B">
      <w:pPr>
        <w:pStyle w:val="Prrafodelista"/>
        <w:numPr>
          <w:ilvl w:val="2"/>
          <w:numId w:val="3"/>
        </w:numPr>
        <w:spacing w:after="0"/>
        <w:contextualSpacing w:val="0"/>
        <w:jc w:val="both"/>
      </w:pPr>
      <w:r>
        <w:t>Medidas de urgencia</w:t>
      </w:r>
    </w:p>
    <w:p w:rsidR="00C55AC1" w:rsidRDefault="00C55AC1" w:rsidP="0083125B">
      <w:pPr>
        <w:pStyle w:val="Prrafodelista"/>
        <w:numPr>
          <w:ilvl w:val="2"/>
          <w:numId w:val="3"/>
        </w:numPr>
        <w:spacing w:after="0"/>
        <w:contextualSpacing w:val="0"/>
        <w:jc w:val="both"/>
      </w:pPr>
      <w:r>
        <w:t>Traslado a las familias o responsables legales del alumnado y al resto de profesionales que atienden a la alumna víctima de violencia de género</w:t>
      </w:r>
    </w:p>
    <w:p w:rsidR="00C55AC1" w:rsidRDefault="00C55AC1" w:rsidP="0083125B">
      <w:pPr>
        <w:pStyle w:val="Prrafodelista"/>
        <w:numPr>
          <w:ilvl w:val="2"/>
          <w:numId w:val="3"/>
        </w:numPr>
        <w:spacing w:after="0"/>
        <w:contextualSpacing w:val="0"/>
        <w:jc w:val="both"/>
      </w:pPr>
      <w:r>
        <w:t>Recogida de información de distintas fuentes</w:t>
      </w:r>
    </w:p>
    <w:p w:rsidR="00C55AC1" w:rsidRDefault="00C55AC1" w:rsidP="0083125B">
      <w:pPr>
        <w:pStyle w:val="Prrafodelista"/>
        <w:numPr>
          <w:ilvl w:val="2"/>
          <w:numId w:val="3"/>
        </w:numPr>
        <w:spacing w:after="0"/>
        <w:contextualSpacing w:val="0"/>
        <w:jc w:val="both"/>
      </w:pPr>
      <w:r>
        <w:t>Aplicación de correcciones y medidas disciplinarias</w:t>
      </w:r>
    </w:p>
    <w:p w:rsidR="00C55AC1" w:rsidRDefault="00C55AC1" w:rsidP="0083125B">
      <w:pPr>
        <w:pStyle w:val="Prrafodelista"/>
        <w:numPr>
          <w:ilvl w:val="2"/>
          <w:numId w:val="3"/>
        </w:numPr>
        <w:spacing w:after="0"/>
        <w:contextualSpacing w:val="0"/>
        <w:jc w:val="both"/>
      </w:pPr>
      <w:r>
        <w:t>Comunicación a la comisión de convivencia y a la inspección educativa</w:t>
      </w:r>
    </w:p>
    <w:p w:rsidR="00C55AC1" w:rsidRDefault="00C55AC1" w:rsidP="0083125B">
      <w:pPr>
        <w:pStyle w:val="Prrafodelista"/>
        <w:numPr>
          <w:ilvl w:val="2"/>
          <w:numId w:val="3"/>
        </w:numPr>
        <w:spacing w:after="0"/>
        <w:contextualSpacing w:val="0"/>
        <w:jc w:val="both"/>
      </w:pPr>
      <w:r>
        <w:t>Medidas y actuaciones a definir</w:t>
      </w:r>
    </w:p>
    <w:p w:rsidR="00C55AC1" w:rsidRDefault="00C55AC1" w:rsidP="0083125B">
      <w:pPr>
        <w:pStyle w:val="Prrafodelista"/>
        <w:numPr>
          <w:ilvl w:val="2"/>
          <w:numId w:val="3"/>
        </w:numPr>
        <w:spacing w:after="0"/>
        <w:contextualSpacing w:val="0"/>
        <w:jc w:val="both"/>
      </w:pPr>
      <w:r>
        <w:t>Comunicación a las familias o responsables legales del alumnado y seguimiento del caso por parte de la inspección educativa</w:t>
      </w:r>
    </w:p>
    <w:p w:rsidR="00C60F29" w:rsidRDefault="00C60F29" w:rsidP="00C60F29">
      <w:pPr>
        <w:pStyle w:val="Prrafodelista"/>
        <w:numPr>
          <w:ilvl w:val="1"/>
          <w:numId w:val="3"/>
        </w:numPr>
        <w:spacing w:after="0"/>
        <w:contextualSpacing w:val="0"/>
        <w:jc w:val="both"/>
      </w:pPr>
      <w:r>
        <w:t>Protocolo de actuación frente a la violencia en el trabajo en la Administración General del Estado</w:t>
      </w:r>
      <w:r w:rsidR="00A7615E">
        <w:t xml:space="preserve"> y los organismos públicos vinculados o dependientes de ella</w:t>
      </w:r>
    </w:p>
    <w:p w:rsidR="00C60F29" w:rsidRDefault="00C60F29" w:rsidP="00C60F29">
      <w:pPr>
        <w:pStyle w:val="Prrafodelista"/>
        <w:numPr>
          <w:ilvl w:val="2"/>
          <w:numId w:val="3"/>
        </w:numPr>
        <w:spacing w:after="0"/>
        <w:contextualSpacing w:val="0"/>
        <w:jc w:val="both"/>
      </w:pPr>
      <w:r>
        <w:lastRenderedPageBreak/>
        <w:t>Introducción</w:t>
      </w:r>
    </w:p>
    <w:p w:rsidR="00C60F29" w:rsidRDefault="00C60F29" w:rsidP="00C60F29">
      <w:pPr>
        <w:pStyle w:val="Prrafodelista"/>
        <w:numPr>
          <w:ilvl w:val="2"/>
          <w:numId w:val="3"/>
        </w:numPr>
        <w:spacing w:after="0"/>
        <w:contextualSpacing w:val="0"/>
        <w:jc w:val="both"/>
      </w:pPr>
      <w:r>
        <w:t xml:space="preserve">Definición, objeto y ámbito de aplicación </w:t>
      </w:r>
    </w:p>
    <w:p w:rsidR="00C60F29" w:rsidRDefault="00C60F29" w:rsidP="00C60F29">
      <w:pPr>
        <w:pStyle w:val="Prrafodelista"/>
        <w:numPr>
          <w:ilvl w:val="2"/>
          <w:numId w:val="3"/>
        </w:numPr>
        <w:spacing w:after="0"/>
        <w:contextualSpacing w:val="0"/>
        <w:jc w:val="both"/>
      </w:pPr>
      <w:r>
        <w:t>Procedimiento de actuación</w:t>
      </w:r>
    </w:p>
    <w:p w:rsidR="00C60F29" w:rsidRDefault="00C60F29" w:rsidP="00C60F29">
      <w:pPr>
        <w:pStyle w:val="Prrafodelista"/>
        <w:numPr>
          <w:ilvl w:val="3"/>
          <w:numId w:val="3"/>
        </w:numPr>
        <w:spacing w:after="0"/>
        <w:contextualSpacing w:val="0"/>
        <w:jc w:val="both"/>
      </w:pPr>
      <w:r>
        <w:t>Análisis y diagnóstico de la situación</w:t>
      </w:r>
    </w:p>
    <w:p w:rsidR="00C60F29" w:rsidRDefault="00C60F29" w:rsidP="00C60F29">
      <w:pPr>
        <w:pStyle w:val="Prrafodelista"/>
        <w:numPr>
          <w:ilvl w:val="3"/>
          <w:numId w:val="3"/>
        </w:numPr>
        <w:spacing w:after="0"/>
        <w:contextualSpacing w:val="0"/>
        <w:jc w:val="both"/>
      </w:pPr>
      <w:r>
        <w:t xml:space="preserve">Estrategia preventiva y de actuación </w:t>
      </w:r>
    </w:p>
    <w:p w:rsidR="00D63381" w:rsidRDefault="005F33D9" w:rsidP="005F33D9">
      <w:pPr>
        <w:pStyle w:val="Prrafodelista"/>
        <w:numPr>
          <w:ilvl w:val="0"/>
          <w:numId w:val="3"/>
        </w:numPr>
        <w:spacing w:after="0"/>
        <w:contextualSpacing w:val="0"/>
        <w:jc w:val="both"/>
      </w:pPr>
      <w:r>
        <w:t>Atención psicológica a víctimas de violencia de género</w:t>
      </w:r>
    </w:p>
    <w:p w:rsidR="000613DD" w:rsidRDefault="000613DD" w:rsidP="005F33D9">
      <w:pPr>
        <w:pStyle w:val="Prrafodelista"/>
        <w:numPr>
          <w:ilvl w:val="0"/>
          <w:numId w:val="3"/>
        </w:numPr>
        <w:spacing w:after="0"/>
        <w:jc w:val="both"/>
      </w:pPr>
      <w:r>
        <w:t>Conclusiones</w:t>
      </w:r>
    </w:p>
    <w:p w:rsidR="000613DD" w:rsidRDefault="000613DD" w:rsidP="005F33D9">
      <w:pPr>
        <w:pStyle w:val="Prrafodelista"/>
        <w:numPr>
          <w:ilvl w:val="0"/>
          <w:numId w:val="3"/>
        </w:numPr>
        <w:spacing w:after="0"/>
        <w:jc w:val="both"/>
      </w:pPr>
      <w:r>
        <w:t>Bibliografía</w:t>
      </w: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F33D9" w:rsidRDefault="005F33D9" w:rsidP="005F33D9">
      <w:pPr>
        <w:spacing w:after="0"/>
        <w:jc w:val="both"/>
      </w:pPr>
    </w:p>
    <w:p w:rsidR="00506C1D" w:rsidRDefault="00506C1D" w:rsidP="00506C1D">
      <w:pPr>
        <w:ind w:left="360"/>
        <w:jc w:val="both"/>
      </w:pPr>
    </w:p>
    <w:p w:rsidR="001C3E8B" w:rsidRDefault="001C3E8B"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A7615E" w:rsidRDefault="00A7615E" w:rsidP="00153AAF">
      <w:pPr>
        <w:tabs>
          <w:tab w:val="left" w:pos="6555"/>
        </w:tabs>
        <w:jc w:val="both"/>
      </w:pPr>
    </w:p>
    <w:p w:rsidR="000613DD" w:rsidRPr="00131B33" w:rsidRDefault="003C1749" w:rsidP="003C1749">
      <w:pPr>
        <w:pStyle w:val="Prrafodelista"/>
        <w:numPr>
          <w:ilvl w:val="0"/>
          <w:numId w:val="7"/>
        </w:numPr>
        <w:jc w:val="both"/>
        <w:rPr>
          <w:b/>
        </w:rPr>
      </w:pPr>
      <w:r w:rsidRPr="00131B33">
        <w:rPr>
          <w:b/>
        </w:rPr>
        <w:lastRenderedPageBreak/>
        <w:t>RESUMEN SOBRE LA ELABORACIÓN DEL TRABAJO</w:t>
      </w:r>
    </w:p>
    <w:p w:rsidR="00A437AE" w:rsidRDefault="00A437AE" w:rsidP="00A437AE">
      <w:pPr>
        <w:ind w:left="360" w:firstLine="348"/>
        <w:jc w:val="both"/>
      </w:pPr>
      <w:r>
        <w:t>El trabajo que voy a desarrollar, tal y cómo su título indica, plasmaré la actual problemática que plantea la violencia de género en nuestro país. Partimos de la igualdad de género en el que no solo definiré el término, sino que también haré mención a los conceptos de roles y estereotipos de género. Seguido a ello, tendré en cuenta la igualdad de género en el Derecho Español donde resaltaré la igualdad como valor, principio y derecho fundamental, además, refiriéndome al desarrollo normativo del concepto.</w:t>
      </w:r>
    </w:p>
    <w:p w:rsidR="00A437AE" w:rsidRDefault="00A437AE" w:rsidP="00A437AE">
      <w:pPr>
        <w:ind w:left="360" w:firstLine="348"/>
        <w:jc w:val="both"/>
      </w:pPr>
      <w:r>
        <w:t>Antes de entrar en la materia específica de violencia de género, he destacado una serie de modalidades discriminatorias y medidas correctoras en la Ley de igualdad, mencionando modalidades tales como la discriminación salarial, en la publ</w:t>
      </w:r>
      <w:r w:rsidR="00786FD3">
        <w:t>icidad, acción positiva y acoso</w:t>
      </w:r>
      <w:r>
        <w:t xml:space="preserve"> por razón de sexo.</w:t>
      </w:r>
    </w:p>
    <w:p w:rsidR="00A437AE" w:rsidRDefault="00A437AE" w:rsidP="00A437AE">
      <w:pPr>
        <w:ind w:left="360" w:firstLine="348"/>
        <w:jc w:val="both"/>
      </w:pPr>
      <w:r>
        <w:t>Centrando el tema en la violencia de género, es necesario, además del conocimiento del concepto en sí, los tipos que pueden existir, su tipificación el Código penal, la violencia física o psíquica, la violencia desde el ámbito internacional y una estadística sobre la evolución de las mujeres víctimas de violencia de género.</w:t>
      </w:r>
    </w:p>
    <w:p w:rsidR="00A437AE" w:rsidRDefault="00A437AE" w:rsidP="00A437AE">
      <w:pPr>
        <w:ind w:left="360" w:firstLine="348"/>
        <w:jc w:val="both"/>
      </w:pPr>
      <w:r>
        <w:t>Por último, he querido añadir tres protocolos de violencia de género para conocer su organización y forma de actuación ante este tipo de sucesos. Éstos son el protocolo de actuación de las fuerzas y cuerpos de seguridad y de coordinación con los órganos judiciales para la protección de las víctimas de violencia doméstica y de género, el protocolo de actuación ante casos de violencia de género en el ámbito educativo y el protocolo de actuación frente a la violencia en el trabajo en la Administración General del Estado y los organismos vinculados o dependientes de ella.</w:t>
      </w:r>
    </w:p>
    <w:p w:rsidR="00A437AE" w:rsidRDefault="00A437AE" w:rsidP="00A437AE">
      <w:pPr>
        <w:ind w:left="360" w:firstLine="348"/>
        <w:jc w:val="both"/>
      </w:pPr>
    </w:p>
    <w:p w:rsidR="00A437AE" w:rsidRPr="00CF0C33" w:rsidRDefault="00A437AE" w:rsidP="00A437AE">
      <w:pPr>
        <w:pStyle w:val="Prrafodelista"/>
        <w:numPr>
          <w:ilvl w:val="1"/>
          <w:numId w:val="7"/>
        </w:numPr>
        <w:jc w:val="both"/>
      </w:pPr>
      <w:r>
        <w:rPr>
          <w:b/>
        </w:rPr>
        <w:t>Resumen del trabajo en inglés</w:t>
      </w:r>
    </w:p>
    <w:p w:rsidR="00CF0C33" w:rsidRDefault="00CF0C33" w:rsidP="00786FD3">
      <w:pPr>
        <w:ind w:firstLine="360"/>
        <w:jc w:val="both"/>
      </w:pPr>
      <w:proofErr w:type="spellStart"/>
      <w:r>
        <w:t>The</w:t>
      </w:r>
      <w:proofErr w:type="spellEnd"/>
      <w:r>
        <w:t xml:space="preserve"> </w:t>
      </w:r>
      <w:proofErr w:type="spellStart"/>
      <w:r>
        <w:t>work</w:t>
      </w:r>
      <w:proofErr w:type="spellEnd"/>
      <w:r>
        <w:t xml:space="preserve"> </w:t>
      </w:r>
      <w:proofErr w:type="spellStart"/>
      <w:r>
        <w:t>that</w:t>
      </w:r>
      <w:proofErr w:type="spellEnd"/>
      <w:r>
        <w:t xml:space="preserve"> I am </w:t>
      </w:r>
      <w:proofErr w:type="spellStart"/>
      <w:r>
        <w:t>going</w:t>
      </w:r>
      <w:proofErr w:type="spellEnd"/>
      <w:r>
        <w:t xml:space="preserve"> to </w:t>
      </w:r>
      <w:proofErr w:type="spellStart"/>
      <w:r>
        <w:t>develop</w:t>
      </w:r>
      <w:proofErr w:type="spellEnd"/>
      <w:r>
        <w:t xml:space="preserve">, </w:t>
      </w:r>
      <w:proofErr w:type="spellStart"/>
      <w:r>
        <w:t>such</w:t>
      </w:r>
      <w:proofErr w:type="spellEnd"/>
      <w:r>
        <w:t xml:space="preserve"> and </w:t>
      </w:r>
      <w:proofErr w:type="spellStart"/>
      <w:r>
        <w:t>how</w:t>
      </w:r>
      <w:proofErr w:type="spellEnd"/>
      <w:r>
        <w:t xml:space="preserve"> </w:t>
      </w:r>
      <w:proofErr w:type="spellStart"/>
      <w:r>
        <w:t>his</w:t>
      </w:r>
      <w:proofErr w:type="spellEnd"/>
      <w:r>
        <w:t xml:space="preserve"> </w:t>
      </w:r>
      <w:proofErr w:type="spellStart"/>
      <w:r>
        <w:t>title</w:t>
      </w:r>
      <w:proofErr w:type="spellEnd"/>
      <w:r>
        <w:t xml:space="preserve"> </w:t>
      </w:r>
      <w:proofErr w:type="spellStart"/>
      <w:r>
        <w:t>indicates</w:t>
      </w:r>
      <w:proofErr w:type="spellEnd"/>
      <w:r>
        <w:t xml:space="preserve">, I </w:t>
      </w:r>
      <w:proofErr w:type="spellStart"/>
      <w:r>
        <w:t>will</w:t>
      </w:r>
      <w:proofErr w:type="spellEnd"/>
      <w:r>
        <w:t xml:space="preserve"> </w:t>
      </w:r>
      <w:proofErr w:type="spellStart"/>
      <w:r>
        <w:t>form</w:t>
      </w:r>
      <w:proofErr w:type="spellEnd"/>
      <w:r>
        <w:t xml:space="preserve"> </w:t>
      </w:r>
      <w:proofErr w:type="spellStart"/>
      <w:r>
        <w:t>the</w:t>
      </w:r>
      <w:proofErr w:type="spellEnd"/>
      <w:r>
        <w:t xml:space="preserve"> </w:t>
      </w:r>
      <w:proofErr w:type="spellStart"/>
      <w:r>
        <w:t>current</w:t>
      </w:r>
      <w:proofErr w:type="spellEnd"/>
      <w:r>
        <w:t xml:space="preserve"> </w:t>
      </w:r>
      <w:proofErr w:type="spellStart"/>
      <w:r>
        <w:t>problematics</w:t>
      </w:r>
      <w:proofErr w:type="spellEnd"/>
      <w:r>
        <w:t xml:space="preserve"> </w:t>
      </w:r>
      <w:proofErr w:type="spellStart"/>
      <w:r>
        <w:t>that</w:t>
      </w:r>
      <w:proofErr w:type="spellEnd"/>
      <w:r>
        <w:t xml:space="preserve"> </w:t>
      </w:r>
      <w:proofErr w:type="spellStart"/>
      <w:r>
        <w:t>raises</w:t>
      </w:r>
      <w:proofErr w:type="spellEnd"/>
      <w:r>
        <w:t xml:space="preserve"> </w:t>
      </w:r>
      <w:proofErr w:type="spellStart"/>
      <w:r>
        <w:t>the</w:t>
      </w:r>
      <w:proofErr w:type="spellEnd"/>
      <w:r>
        <w:t xml:space="preserve"> </w:t>
      </w:r>
      <w:proofErr w:type="spellStart"/>
      <w:r>
        <w:t>violence</w:t>
      </w:r>
      <w:proofErr w:type="spellEnd"/>
      <w:r>
        <w:t xml:space="preserve"> of </w:t>
      </w:r>
      <w:proofErr w:type="spellStart"/>
      <w:r>
        <w:t>genre</w:t>
      </w:r>
      <w:proofErr w:type="spellEnd"/>
      <w:r>
        <w:t xml:space="preserve"> in </w:t>
      </w:r>
      <w:proofErr w:type="spellStart"/>
      <w:r>
        <w:t>our</w:t>
      </w:r>
      <w:proofErr w:type="spellEnd"/>
      <w:r>
        <w:t xml:space="preserve"> country. </w:t>
      </w:r>
      <w:proofErr w:type="spellStart"/>
      <w:r>
        <w:t>We</w:t>
      </w:r>
      <w:proofErr w:type="spellEnd"/>
      <w:r>
        <w:t xml:space="preserve"> </w:t>
      </w:r>
      <w:proofErr w:type="spellStart"/>
      <w:r>
        <w:t>depart</w:t>
      </w:r>
      <w:proofErr w:type="spellEnd"/>
      <w:r>
        <w:t xml:space="preserve"> </w:t>
      </w:r>
      <w:proofErr w:type="spellStart"/>
      <w:r>
        <w:t>from</w:t>
      </w:r>
      <w:proofErr w:type="spellEnd"/>
      <w:r>
        <w:t xml:space="preserve"> </w:t>
      </w:r>
      <w:proofErr w:type="spellStart"/>
      <w:r>
        <w:t>the</w:t>
      </w:r>
      <w:proofErr w:type="spellEnd"/>
      <w:r>
        <w:t xml:space="preserve"> </w:t>
      </w:r>
      <w:proofErr w:type="spellStart"/>
      <w:r>
        <w:t>equality</w:t>
      </w:r>
      <w:proofErr w:type="spellEnd"/>
      <w:r>
        <w:t xml:space="preserve"> of </w:t>
      </w:r>
      <w:proofErr w:type="spellStart"/>
      <w:r>
        <w:t>genre</w:t>
      </w:r>
      <w:proofErr w:type="spellEnd"/>
      <w:r>
        <w:t xml:space="preserve"> in </w:t>
      </w:r>
      <w:proofErr w:type="spellStart"/>
      <w:r>
        <w:t>wich</w:t>
      </w:r>
      <w:proofErr w:type="spellEnd"/>
      <w:r>
        <w:t xml:space="preserve"> </w:t>
      </w:r>
      <w:proofErr w:type="spellStart"/>
      <w:r>
        <w:t>not</w:t>
      </w:r>
      <w:proofErr w:type="spellEnd"/>
      <w:r>
        <w:t xml:space="preserve"> </w:t>
      </w:r>
      <w:proofErr w:type="spellStart"/>
      <w:r>
        <w:t>only</w:t>
      </w:r>
      <w:proofErr w:type="spellEnd"/>
      <w:r>
        <w:t xml:space="preserve"> I </w:t>
      </w:r>
      <w:proofErr w:type="spellStart"/>
      <w:r>
        <w:t>will</w:t>
      </w:r>
      <w:proofErr w:type="spellEnd"/>
      <w:r>
        <w:t xml:space="preserve"> define </w:t>
      </w:r>
      <w:proofErr w:type="spellStart"/>
      <w:r>
        <w:t>the</w:t>
      </w:r>
      <w:proofErr w:type="spellEnd"/>
      <w:r>
        <w:t xml:space="preserve"> </w:t>
      </w:r>
      <w:proofErr w:type="spellStart"/>
      <w:r>
        <w:t>term</w:t>
      </w:r>
      <w:proofErr w:type="spellEnd"/>
      <w:r>
        <w:t xml:space="preserve">, </w:t>
      </w:r>
      <w:proofErr w:type="spellStart"/>
      <w:r>
        <w:t>but</w:t>
      </w:r>
      <w:proofErr w:type="spellEnd"/>
      <w:r>
        <w:t xml:space="preserve"> </w:t>
      </w:r>
      <w:proofErr w:type="spellStart"/>
      <w:r>
        <w:t>also</w:t>
      </w:r>
      <w:proofErr w:type="spellEnd"/>
      <w:r>
        <w:t xml:space="preserve"> I </w:t>
      </w:r>
      <w:proofErr w:type="spellStart"/>
      <w:r>
        <w:t>will</w:t>
      </w:r>
      <w:proofErr w:type="spellEnd"/>
      <w:r>
        <w:t xml:space="preserve"> </w:t>
      </w:r>
      <w:proofErr w:type="spellStart"/>
      <w:r>
        <w:t>mention</w:t>
      </w:r>
      <w:proofErr w:type="spellEnd"/>
      <w:r>
        <w:t xml:space="preserve"> to </w:t>
      </w:r>
      <w:proofErr w:type="spellStart"/>
      <w:r>
        <w:t>the</w:t>
      </w:r>
      <w:proofErr w:type="spellEnd"/>
      <w:r>
        <w:t xml:space="preserve"> </w:t>
      </w:r>
      <w:proofErr w:type="spellStart"/>
      <w:r>
        <w:t>concepts</w:t>
      </w:r>
      <w:proofErr w:type="spellEnd"/>
      <w:r>
        <w:t xml:space="preserve"> of roles and </w:t>
      </w:r>
      <w:proofErr w:type="spellStart"/>
      <w:r>
        <w:t>stereotypes</w:t>
      </w:r>
      <w:proofErr w:type="spellEnd"/>
      <w:r>
        <w:t xml:space="preserve"> of </w:t>
      </w:r>
      <w:proofErr w:type="spellStart"/>
      <w:r>
        <w:t>genre</w:t>
      </w:r>
      <w:proofErr w:type="spellEnd"/>
      <w:r>
        <w:t xml:space="preserve">. </w:t>
      </w:r>
      <w:proofErr w:type="spellStart"/>
      <w:r>
        <w:t>Followed</w:t>
      </w:r>
      <w:proofErr w:type="spellEnd"/>
      <w:r>
        <w:t xml:space="preserve"> to </w:t>
      </w:r>
      <w:proofErr w:type="spellStart"/>
      <w:r>
        <w:t>it</w:t>
      </w:r>
      <w:proofErr w:type="spellEnd"/>
      <w:r>
        <w:t xml:space="preserve">, I </w:t>
      </w:r>
      <w:proofErr w:type="spellStart"/>
      <w:r>
        <w:t>will</w:t>
      </w:r>
      <w:proofErr w:type="spellEnd"/>
      <w:r>
        <w:t xml:space="preserve"> </w:t>
      </w:r>
      <w:proofErr w:type="spellStart"/>
      <w:r>
        <w:t>bear</w:t>
      </w:r>
      <w:proofErr w:type="spellEnd"/>
      <w:r>
        <w:t xml:space="preserve"> </w:t>
      </w:r>
      <w:proofErr w:type="spellStart"/>
      <w:r>
        <w:t>the</w:t>
      </w:r>
      <w:proofErr w:type="spellEnd"/>
      <w:r>
        <w:t xml:space="preserve"> </w:t>
      </w:r>
      <w:proofErr w:type="spellStart"/>
      <w:r>
        <w:t>equality</w:t>
      </w:r>
      <w:proofErr w:type="spellEnd"/>
      <w:r>
        <w:t xml:space="preserve"> of </w:t>
      </w:r>
      <w:proofErr w:type="spellStart"/>
      <w:r>
        <w:t>genre</w:t>
      </w:r>
      <w:proofErr w:type="spellEnd"/>
      <w:r>
        <w:t xml:space="preserve"> in </w:t>
      </w:r>
      <w:proofErr w:type="spellStart"/>
      <w:r>
        <w:t>mind</w:t>
      </w:r>
      <w:proofErr w:type="spellEnd"/>
      <w:r>
        <w:t xml:space="preserve"> in </w:t>
      </w:r>
      <w:proofErr w:type="spellStart"/>
      <w:r>
        <w:t>the</w:t>
      </w:r>
      <w:proofErr w:type="spellEnd"/>
      <w:r>
        <w:t xml:space="preserve"> </w:t>
      </w:r>
      <w:proofErr w:type="spellStart"/>
      <w:r>
        <w:t>Spanish</w:t>
      </w:r>
      <w:proofErr w:type="spellEnd"/>
      <w:r>
        <w:t xml:space="preserve"> </w:t>
      </w:r>
      <w:proofErr w:type="spellStart"/>
      <w:r>
        <w:t>Law</w:t>
      </w:r>
      <w:proofErr w:type="spellEnd"/>
      <w:r>
        <w:t xml:space="preserve"> </w:t>
      </w:r>
      <w:proofErr w:type="spellStart"/>
      <w:r>
        <w:t>where</w:t>
      </w:r>
      <w:proofErr w:type="spellEnd"/>
      <w:r>
        <w:t xml:space="preserve"> I </w:t>
      </w:r>
      <w:proofErr w:type="spellStart"/>
      <w:r>
        <w:t>will</w:t>
      </w:r>
      <w:proofErr w:type="spellEnd"/>
      <w:r>
        <w:t xml:space="preserve"> </w:t>
      </w:r>
      <w:proofErr w:type="spellStart"/>
      <w:r>
        <w:t>highlight</w:t>
      </w:r>
      <w:proofErr w:type="spellEnd"/>
      <w:r>
        <w:t xml:space="preserve"> </w:t>
      </w:r>
      <w:proofErr w:type="spellStart"/>
      <w:r>
        <w:t>the</w:t>
      </w:r>
      <w:proofErr w:type="spellEnd"/>
      <w:r>
        <w:t xml:space="preserve"> </w:t>
      </w:r>
      <w:proofErr w:type="spellStart"/>
      <w:r>
        <w:t>equality</w:t>
      </w:r>
      <w:proofErr w:type="spellEnd"/>
      <w:r>
        <w:t xml:space="preserve"> as value, </w:t>
      </w:r>
      <w:proofErr w:type="spellStart"/>
      <w:r>
        <w:t>beginning</w:t>
      </w:r>
      <w:proofErr w:type="spellEnd"/>
      <w:r>
        <w:t xml:space="preserve"> and fundamental </w:t>
      </w:r>
      <w:proofErr w:type="spellStart"/>
      <w:r>
        <w:t>right</w:t>
      </w:r>
      <w:proofErr w:type="spellEnd"/>
      <w:r>
        <w:t xml:space="preserve">, in </w:t>
      </w:r>
      <w:proofErr w:type="spellStart"/>
      <w:r>
        <w:t>addition</w:t>
      </w:r>
      <w:proofErr w:type="spellEnd"/>
      <w:r>
        <w:t xml:space="preserve">, </w:t>
      </w:r>
      <w:r w:rsidR="00786FD3">
        <w:t xml:space="preserve">to </w:t>
      </w:r>
      <w:proofErr w:type="spellStart"/>
      <w:r w:rsidR="00786FD3">
        <w:t>the</w:t>
      </w:r>
      <w:proofErr w:type="spellEnd"/>
      <w:r w:rsidR="00786FD3">
        <w:t xml:space="preserve"> </w:t>
      </w:r>
      <w:proofErr w:type="spellStart"/>
      <w:r w:rsidR="00786FD3">
        <w:t>normative</w:t>
      </w:r>
      <w:proofErr w:type="spellEnd"/>
      <w:r w:rsidR="00786FD3">
        <w:t xml:space="preserve"> </w:t>
      </w:r>
      <w:proofErr w:type="spellStart"/>
      <w:r w:rsidR="00786FD3">
        <w:t>development</w:t>
      </w:r>
      <w:proofErr w:type="spellEnd"/>
      <w:r w:rsidR="00786FD3">
        <w:t xml:space="preserve"> of </w:t>
      </w:r>
      <w:proofErr w:type="spellStart"/>
      <w:r w:rsidR="00786FD3">
        <w:t>the</w:t>
      </w:r>
      <w:proofErr w:type="spellEnd"/>
      <w:r w:rsidR="00786FD3">
        <w:t xml:space="preserve"> concept.</w:t>
      </w:r>
    </w:p>
    <w:p w:rsidR="00786FD3" w:rsidRDefault="00786FD3" w:rsidP="00786FD3">
      <w:pPr>
        <w:ind w:firstLine="360"/>
        <w:jc w:val="both"/>
      </w:pPr>
      <w:proofErr w:type="spellStart"/>
      <w:r>
        <w:lastRenderedPageBreak/>
        <w:t>Before</w:t>
      </w:r>
      <w:proofErr w:type="spellEnd"/>
      <w:r>
        <w:t xml:space="preserve"> </w:t>
      </w:r>
      <w:proofErr w:type="spellStart"/>
      <w:r>
        <w:t>entering</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matter</w:t>
      </w:r>
      <w:proofErr w:type="spellEnd"/>
      <w:r>
        <w:t xml:space="preserve"> of </w:t>
      </w:r>
      <w:proofErr w:type="spellStart"/>
      <w:r>
        <w:t>violence</w:t>
      </w:r>
      <w:proofErr w:type="spellEnd"/>
      <w:r>
        <w:t xml:space="preserve"> of </w:t>
      </w:r>
      <w:proofErr w:type="spellStart"/>
      <w:r>
        <w:t>genre</w:t>
      </w:r>
      <w:proofErr w:type="spellEnd"/>
      <w:r>
        <w:t xml:space="preserve">, I </w:t>
      </w:r>
      <w:proofErr w:type="spellStart"/>
      <w:r>
        <w:t>have</w:t>
      </w:r>
      <w:proofErr w:type="spellEnd"/>
      <w:r>
        <w:t xml:space="preserve"> </w:t>
      </w:r>
      <w:proofErr w:type="spellStart"/>
      <w:r>
        <w:t>emphasized</w:t>
      </w:r>
      <w:proofErr w:type="spellEnd"/>
      <w:r>
        <w:t xml:space="preserve"> a series of </w:t>
      </w:r>
      <w:proofErr w:type="spellStart"/>
      <w:r>
        <w:t>discriminatory</w:t>
      </w:r>
      <w:proofErr w:type="spellEnd"/>
      <w:r>
        <w:t xml:space="preserve"> </w:t>
      </w:r>
      <w:proofErr w:type="spellStart"/>
      <w:r>
        <w:t>modalities</w:t>
      </w:r>
      <w:proofErr w:type="spellEnd"/>
      <w:r>
        <w:t xml:space="preserve"> and </w:t>
      </w:r>
      <w:proofErr w:type="spellStart"/>
      <w:r>
        <w:t>modested</w:t>
      </w:r>
      <w:proofErr w:type="spellEnd"/>
      <w:r>
        <w:t xml:space="preserve"> in </w:t>
      </w:r>
      <w:proofErr w:type="spellStart"/>
      <w:r>
        <w:t>the</w:t>
      </w:r>
      <w:proofErr w:type="spellEnd"/>
      <w:r>
        <w:t xml:space="preserve"> </w:t>
      </w:r>
      <w:proofErr w:type="spellStart"/>
      <w:r>
        <w:t>Law</w:t>
      </w:r>
      <w:proofErr w:type="spellEnd"/>
      <w:r>
        <w:t xml:space="preserve"> of </w:t>
      </w:r>
      <w:proofErr w:type="spellStart"/>
      <w:r>
        <w:t>equality</w:t>
      </w:r>
      <w:proofErr w:type="spellEnd"/>
      <w:r>
        <w:t xml:space="preserve">, </w:t>
      </w:r>
      <w:proofErr w:type="spellStart"/>
      <w:r>
        <w:t>mentioning</w:t>
      </w:r>
      <w:proofErr w:type="spellEnd"/>
      <w:r>
        <w:t xml:space="preserve"> </w:t>
      </w:r>
      <w:proofErr w:type="spellStart"/>
      <w:r>
        <w:t>such</w:t>
      </w:r>
      <w:proofErr w:type="spellEnd"/>
      <w:r>
        <w:t xml:space="preserve"> </w:t>
      </w:r>
      <w:proofErr w:type="spellStart"/>
      <w:r>
        <w:t>modalities</w:t>
      </w:r>
      <w:proofErr w:type="spellEnd"/>
      <w:r>
        <w:t xml:space="preserve"> as </w:t>
      </w:r>
      <w:proofErr w:type="spellStart"/>
      <w:r>
        <w:t>the</w:t>
      </w:r>
      <w:proofErr w:type="spellEnd"/>
      <w:r>
        <w:t xml:space="preserve"> </w:t>
      </w:r>
      <w:proofErr w:type="spellStart"/>
      <w:r>
        <w:t>wage</w:t>
      </w:r>
      <w:proofErr w:type="spellEnd"/>
      <w:r>
        <w:t xml:space="preserve"> </w:t>
      </w:r>
      <w:proofErr w:type="spellStart"/>
      <w:r>
        <w:t>discrimination</w:t>
      </w:r>
      <w:proofErr w:type="spellEnd"/>
      <w:r>
        <w:t xml:space="preserve">, in </w:t>
      </w:r>
      <w:proofErr w:type="spellStart"/>
      <w:r>
        <w:t>the</w:t>
      </w:r>
      <w:proofErr w:type="spellEnd"/>
      <w:r>
        <w:t xml:space="preserve"> </w:t>
      </w:r>
      <w:proofErr w:type="spellStart"/>
      <w:r>
        <w:t>advertising</w:t>
      </w:r>
      <w:proofErr w:type="spellEnd"/>
      <w:r>
        <w:t xml:space="preserve">, positive </w:t>
      </w:r>
      <w:proofErr w:type="spellStart"/>
      <w:r>
        <w:t>action</w:t>
      </w:r>
      <w:proofErr w:type="spellEnd"/>
      <w:r>
        <w:t xml:space="preserve"> and </w:t>
      </w:r>
      <w:proofErr w:type="spellStart"/>
      <w:r>
        <w:t>hasrassments</w:t>
      </w:r>
      <w:proofErr w:type="spellEnd"/>
      <w:r>
        <w:t xml:space="preserve"> </w:t>
      </w:r>
      <w:proofErr w:type="spellStart"/>
      <w:r>
        <w:t>becasue</w:t>
      </w:r>
      <w:proofErr w:type="spellEnd"/>
      <w:r>
        <w:t xml:space="preserve"> of sex.</w:t>
      </w:r>
    </w:p>
    <w:p w:rsidR="00786FD3" w:rsidRDefault="00786FD3" w:rsidP="00786FD3">
      <w:pPr>
        <w:ind w:firstLine="360"/>
        <w:jc w:val="both"/>
      </w:pPr>
      <w:proofErr w:type="spellStart"/>
      <w:r>
        <w:t>Centring</w:t>
      </w:r>
      <w:proofErr w:type="spellEnd"/>
      <w:r>
        <w:t xml:space="preserve"> </w:t>
      </w:r>
      <w:proofErr w:type="spellStart"/>
      <w:r>
        <w:t>the</w:t>
      </w:r>
      <w:proofErr w:type="spellEnd"/>
      <w:r>
        <w:t xml:space="preserve"> topi con </w:t>
      </w:r>
      <w:proofErr w:type="spellStart"/>
      <w:r>
        <w:t>the</w:t>
      </w:r>
      <w:proofErr w:type="spellEnd"/>
      <w:r>
        <w:t xml:space="preserve"> </w:t>
      </w:r>
      <w:proofErr w:type="spellStart"/>
      <w:r>
        <w:t>violence</w:t>
      </w:r>
      <w:proofErr w:type="spellEnd"/>
      <w:r>
        <w:t xml:space="preserve"> of </w:t>
      </w:r>
      <w:proofErr w:type="spellStart"/>
      <w:r>
        <w:t>genre</w:t>
      </w:r>
      <w:proofErr w:type="spellEnd"/>
      <w:r>
        <w:t xml:space="preserve">, </w:t>
      </w:r>
      <w:proofErr w:type="spellStart"/>
      <w:r>
        <w:t>it</w:t>
      </w:r>
      <w:proofErr w:type="spellEnd"/>
      <w:r>
        <w:t xml:space="preserve"> </w:t>
      </w:r>
      <w:proofErr w:type="spellStart"/>
      <w:r>
        <w:t>is</w:t>
      </w:r>
      <w:proofErr w:type="spellEnd"/>
      <w:r>
        <w:t xml:space="preserve"> </w:t>
      </w:r>
      <w:proofErr w:type="spellStart"/>
      <w:r>
        <w:t>necessary</w:t>
      </w:r>
      <w:proofErr w:type="spellEnd"/>
      <w:r>
        <w:t xml:space="preserve">, </w:t>
      </w:r>
      <w:proofErr w:type="spellStart"/>
      <w:r>
        <w:t>besides</w:t>
      </w:r>
      <w:proofErr w:type="spellEnd"/>
      <w:r>
        <w:t xml:space="preserve"> </w:t>
      </w:r>
      <w:proofErr w:type="spellStart"/>
      <w:r>
        <w:t>the</w:t>
      </w:r>
      <w:proofErr w:type="spellEnd"/>
      <w:r>
        <w:t xml:space="preserve"> </w:t>
      </w:r>
      <w:proofErr w:type="spellStart"/>
      <w:r>
        <w:t>knowledge</w:t>
      </w:r>
      <w:proofErr w:type="spellEnd"/>
      <w:r>
        <w:t xml:space="preserve"> of </w:t>
      </w:r>
      <w:proofErr w:type="spellStart"/>
      <w:r>
        <w:t>the</w:t>
      </w:r>
      <w:proofErr w:type="spellEnd"/>
      <w:r>
        <w:t xml:space="preserve"> concept in yes, </w:t>
      </w:r>
      <w:proofErr w:type="spellStart"/>
      <w:r>
        <w:t>the</w:t>
      </w:r>
      <w:proofErr w:type="spellEnd"/>
      <w:r>
        <w:t xml:space="preserve"> </w:t>
      </w:r>
      <w:proofErr w:type="spellStart"/>
      <w:r>
        <w:t>types</w:t>
      </w:r>
      <w:proofErr w:type="spellEnd"/>
      <w:r>
        <w:t xml:space="preserve"> </w:t>
      </w:r>
      <w:proofErr w:type="spellStart"/>
      <w:r>
        <w:t>that</w:t>
      </w:r>
      <w:proofErr w:type="spellEnd"/>
      <w:r>
        <w:t xml:space="preserve"> can </w:t>
      </w:r>
      <w:proofErr w:type="spellStart"/>
      <w:r>
        <w:t>exist</w:t>
      </w:r>
      <w:proofErr w:type="spellEnd"/>
      <w:r>
        <w:t xml:space="preserve">, </w:t>
      </w:r>
      <w:proofErr w:type="spellStart"/>
      <w:r>
        <w:t>his</w:t>
      </w:r>
      <w:proofErr w:type="spellEnd"/>
      <w:r>
        <w:t xml:space="preserve"> </w:t>
      </w:r>
      <w:proofErr w:type="spellStart"/>
      <w:r>
        <w:t>classification</w:t>
      </w:r>
      <w:proofErr w:type="spellEnd"/>
      <w:r>
        <w:t xml:space="preserve"> </w:t>
      </w:r>
      <w:proofErr w:type="spellStart"/>
      <w:r>
        <w:t>the</w:t>
      </w:r>
      <w:proofErr w:type="spellEnd"/>
      <w:r>
        <w:t xml:space="preserve"> penal </w:t>
      </w:r>
      <w:proofErr w:type="spellStart"/>
      <w:r>
        <w:t>Code</w:t>
      </w:r>
      <w:proofErr w:type="spellEnd"/>
      <w:r>
        <w:t xml:space="preserve">, </w:t>
      </w:r>
      <w:proofErr w:type="spellStart"/>
      <w:r>
        <w:t>the</w:t>
      </w:r>
      <w:proofErr w:type="spellEnd"/>
      <w:r>
        <w:t xml:space="preserve"> </w:t>
      </w:r>
      <w:proofErr w:type="spellStart"/>
      <w:r>
        <w:t>physical</w:t>
      </w:r>
      <w:proofErr w:type="spellEnd"/>
      <w:r>
        <w:t xml:space="preserve"> </w:t>
      </w:r>
      <w:proofErr w:type="spellStart"/>
      <w:r>
        <w:t>or</w:t>
      </w:r>
      <w:proofErr w:type="spellEnd"/>
      <w:r>
        <w:t xml:space="preserve"> </w:t>
      </w:r>
      <w:proofErr w:type="spellStart"/>
      <w:r>
        <w:t>psychic</w:t>
      </w:r>
      <w:proofErr w:type="spellEnd"/>
      <w:r>
        <w:t xml:space="preserve"> </w:t>
      </w:r>
      <w:proofErr w:type="spellStart"/>
      <w:r>
        <w:t>violence</w:t>
      </w:r>
      <w:proofErr w:type="spellEnd"/>
      <w:r>
        <w:t xml:space="preserve">, </w:t>
      </w:r>
      <w:proofErr w:type="spellStart"/>
      <w:r>
        <w:t>the</w:t>
      </w:r>
      <w:proofErr w:type="spellEnd"/>
      <w:r>
        <w:t xml:space="preserve"> violen </w:t>
      </w:r>
      <w:proofErr w:type="spellStart"/>
      <w:r>
        <w:t>from</w:t>
      </w:r>
      <w:proofErr w:type="spellEnd"/>
      <w:r>
        <w:t xml:space="preserve"> </w:t>
      </w:r>
      <w:proofErr w:type="spellStart"/>
      <w:r>
        <w:t>the</w:t>
      </w:r>
      <w:proofErr w:type="spellEnd"/>
      <w:r>
        <w:t xml:space="preserve"> </w:t>
      </w:r>
      <w:proofErr w:type="spellStart"/>
      <w:r>
        <w:t>international</w:t>
      </w:r>
      <w:proofErr w:type="spellEnd"/>
      <w:r>
        <w:t xml:space="preserve"> </w:t>
      </w:r>
      <w:proofErr w:type="spellStart"/>
      <w:r>
        <w:t>area</w:t>
      </w:r>
      <w:proofErr w:type="spellEnd"/>
      <w:r>
        <w:t xml:space="preserve"> and </w:t>
      </w:r>
      <w:proofErr w:type="spellStart"/>
      <w:r>
        <w:t>statistics</w:t>
      </w:r>
      <w:proofErr w:type="spellEnd"/>
      <w:r>
        <w:t xml:space="preserve"> </w:t>
      </w:r>
      <w:proofErr w:type="spellStart"/>
      <w:r>
        <w:t>on</w:t>
      </w:r>
      <w:proofErr w:type="spellEnd"/>
      <w:r>
        <w:t xml:space="preserve"> </w:t>
      </w:r>
      <w:proofErr w:type="spellStart"/>
      <w:r>
        <w:t>the</w:t>
      </w:r>
      <w:proofErr w:type="spellEnd"/>
      <w:r>
        <w:t xml:space="preserve"> </w:t>
      </w:r>
      <w:proofErr w:type="spellStart"/>
      <w:r>
        <w:t>evolution</w:t>
      </w:r>
      <w:proofErr w:type="spellEnd"/>
      <w:r>
        <w:t xml:space="preserve"> of </w:t>
      </w:r>
      <w:proofErr w:type="spellStart"/>
      <w:r>
        <w:t>the</w:t>
      </w:r>
      <w:proofErr w:type="spellEnd"/>
      <w:r>
        <w:t xml:space="preserve"> </w:t>
      </w:r>
      <w:proofErr w:type="spellStart"/>
      <w:r>
        <w:t>women</w:t>
      </w:r>
      <w:proofErr w:type="spellEnd"/>
      <w:r>
        <w:t xml:space="preserve"> </w:t>
      </w:r>
      <w:proofErr w:type="spellStart"/>
      <w:r>
        <w:t>victims</w:t>
      </w:r>
      <w:proofErr w:type="spellEnd"/>
      <w:r>
        <w:t xml:space="preserve"> of </w:t>
      </w:r>
      <w:proofErr w:type="spellStart"/>
      <w:r>
        <w:t>violence</w:t>
      </w:r>
      <w:proofErr w:type="spellEnd"/>
      <w:r>
        <w:t xml:space="preserve"> of </w:t>
      </w:r>
      <w:proofErr w:type="spellStart"/>
      <w:r>
        <w:t>genre</w:t>
      </w:r>
      <w:proofErr w:type="spellEnd"/>
      <w:r>
        <w:t>.</w:t>
      </w:r>
    </w:p>
    <w:p w:rsidR="00786FD3" w:rsidRDefault="00786FD3" w:rsidP="00786FD3">
      <w:pPr>
        <w:ind w:firstLine="360"/>
        <w:jc w:val="both"/>
      </w:pPr>
      <w:proofErr w:type="spellStart"/>
      <w:r>
        <w:t>Finally</w:t>
      </w:r>
      <w:proofErr w:type="spellEnd"/>
      <w:r>
        <w:t xml:space="preserve">, I </w:t>
      </w:r>
      <w:proofErr w:type="spellStart"/>
      <w:r>
        <w:t>have</w:t>
      </w:r>
      <w:proofErr w:type="spellEnd"/>
      <w:r>
        <w:t xml:space="preserve"> </w:t>
      </w:r>
      <w:proofErr w:type="spellStart"/>
      <w:r>
        <w:t>wanted</w:t>
      </w:r>
      <w:proofErr w:type="spellEnd"/>
      <w:r>
        <w:t xml:space="preserve"> to </w:t>
      </w:r>
      <w:proofErr w:type="spellStart"/>
      <w:r>
        <w:t>add</w:t>
      </w:r>
      <w:proofErr w:type="spellEnd"/>
      <w:r>
        <w:t xml:space="preserve"> </w:t>
      </w:r>
      <w:proofErr w:type="spellStart"/>
      <w:r>
        <w:t>three</w:t>
      </w:r>
      <w:proofErr w:type="spellEnd"/>
      <w:r>
        <w:t xml:space="preserve"> </w:t>
      </w:r>
      <w:proofErr w:type="spellStart"/>
      <w:r>
        <w:t>protocols</w:t>
      </w:r>
      <w:proofErr w:type="spellEnd"/>
      <w:r>
        <w:t xml:space="preserve"> of </w:t>
      </w:r>
      <w:proofErr w:type="spellStart"/>
      <w:r>
        <w:t>violence</w:t>
      </w:r>
      <w:proofErr w:type="spellEnd"/>
      <w:r>
        <w:t xml:space="preserve"> of </w:t>
      </w:r>
      <w:proofErr w:type="spellStart"/>
      <w:r>
        <w:t>genre</w:t>
      </w:r>
      <w:proofErr w:type="spellEnd"/>
      <w:r>
        <w:t xml:space="preserve"> to </w:t>
      </w:r>
      <w:proofErr w:type="spellStart"/>
      <w:r>
        <w:t>know</w:t>
      </w:r>
      <w:proofErr w:type="spellEnd"/>
      <w:r>
        <w:t xml:space="preserve"> </w:t>
      </w:r>
      <w:proofErr w:type="spellStart"/>
      <w:r>
        <w:t>his</w:t>
      </w:r>
      <w:proofErr w:type="spellEnd"/>
      <w:r>
        <w:t xml:space="preserve"> </w:t>
      </w:r>
      <w:proofErr w:type="spellStart"/>
      <w:r>
        <w:t>organization</w:t>
      </w:r>
      <w:proofErr w:type="spellEnd"/>
      <w:r>
        <w:t xml:space="preserve"> and </w:t>
      </w:r>
      <w:proofErr w:type="spellStart"/>
      <w:r>
        <w:t>form</w:t>
      </w:r>
      <w:proofErr w:type="spellEnd"/>
      <w:r>
        <w:t xml:space="preserve"> of </w:t>
      </w:r>
      <w:proofErr w:type="spellStart"/>
      <w:r>
        <w:t>action</w:t>
      </w:r>
      <w:proofErr w:type="spellEnd"/>
      <w:r>
        <w:t xml:space="preserve"> </w:t>
      </w:r>
      <w:proofErr w:type="spellStart"/>
      <w:r>
        <w:t>before</w:t>
      </w:r>
      <w:proofErr w:type="spellEnd"/>
      <w:r>
        <w:t xml:space="preserve"> </w:t>
      </w:r>
      <w:proofErr w:type="spellStart"/>
      <w:r>
        <w:t>this</w:t>
      </w:r>
      <w:proofErr w:type="spellEnd"/>
      <w:r>
        <w:t xml:space="preserve"> </w:t>
      </w:r>
      <w:proofErr w:type="spellStart"/>
      <w:r>
        <w:t>types</w:t>
      </w:r>
      <w:proofErr w:type="spellEnd"/>
      <w:r>
        <w:t xml:space="preserve"> of </w:t>
      </w:r>
      <w:proofErr w:type="spellStart"/>
      <w:r>
        <w:t>events</w:t>
      </w:r>
      <w:proofErr w:type="spellEnd"/>
      <w:r>
        <w:t xml:space="preserve">. </w:t>
      </w:r>
      <w:proofErr w:type="spellStart"/>
      <w:r>
        <w:t>These</w:t>
      </w:r>
      <w:proofErr w:type="spellEnd"/>
      <w:r>
        <w:t xml:space="preserve"> are </w:t>
      </w:r>
      <w:proofErr w:type="spellStart"/>
      <w:r>
        <w:t>the</w:t>
      </w:r>
      <w:proofErr w:type="spellEnd"/>
      <w:r>
        <w:t xml:space="preserve"> </w:t>
      </w:r>
      <w:proofErr w:type="spellStart"/>
      <w:r>
        <w:t>protocol</w:t>
      </w:r>
      <w:proofErr w:type="spellEnd"/>
      <w:r>
        <w:t xml:space="preserve"> of </w:t>
      </w:r>
      <w:proofErr w:type="spellStart"/>
      <w:r>
        <w:t>action</w:t>
      </w:r>
      <w:proofErr w:type="spellEnd"/>
      <w:r>
        <w:t xml:space="preserve"> of </w:t>
      </w:r>
      <w:proofErr w:type="spellStart"/>
      <w:r>
        <w:t>the</w:t>
      </w:r>
      <w:proofErr w:type="spellEnd"/>
      <w:r>
        <w:t xml:space="preserve"> </w:t>
      </w:r>
      <w:proofErr w:type="spellStart"/>
      <w:r>
        <w:t>forces</w:t>
      </w:r>
      <w:proofErr w:type="spellEnd"/>
      <w:r>
        <w:t xml:space="preserve"> and </w:t>
      </w:r>
      <w:proofErr w:type="spellStart"/>
      <w:r>
        <w:t>bodies</w:t>
      </w:r>
      <w:proofErr w:type="spellEnd"/>
      <w:r>
        <w:t xml:space="preserve"> of </w:t>
      </w:r>
      <w:proofErr w:type="spellStart"/>
      <w:r>
        <w:t>security</w:t>
      </w:r>
      <w:proofErr w:type="spellEnd"/>
      <w:r>
        <w:t xml:space="preserve"> and of </w:t>
      </w:r>
      <w:proofErr w:type="spellStart"/>
      <w:r>
        <w:t>coordination</w:t>
      </w:r>
      <w:proofErr w:type="spellEnd"/>
      <w:r>
        <w:t xml:space="preserve"> </w:t>
      </w:r>
      <w:proofErr w:type="spellStart"/>
      <w:r>
        <w:t>with</w:t>
      </w:r>
      <w:proofErr w:type="spellEnd"/>
      <w:r>
        <w:t xml:space="preserve"> </w:t>
      </w:r>
      <w:proofErr w:type="spellStart"/>
      <w:r>
        <w:t>the</w:t>
      </w:r>
      <w:proofErr w:type="spellEnd"/>
      <w:r>
        <w:t xml:space="preserve"> judicial </w:t>
      </w:r>
      <w:proofErr w:type="spellStart"/>
      <w:r>
        <w:t>organs</w:t>
      </w:r>
      <w:proofErr w:type="spellEnd"/>
      <w:r>
        <w:t xml:space="preserve"> </w:t>
      </w:r>
      <w:proofErr w:type="spellStart"/>
      <w:r>
        <w:t>for</w:t>
      </w:r>
      <w:proofErr w:type="spellEnd"/>
      <w:r>
        <w:t xml:space="preserve"> </w:t>
      </w:r>
      <w:proofErr w:type="spellStart"/>
      <w:r>
        <w:t>the</w:t>
      </w:r>
      <w:proofErr w:type="spellEnd"/>
      <w:r>
        <w:t xml:space="preserve"> </w:t>
      </w:r>
      <w:proofErr w:type="spellStart"/>
      <w:r>
        <w:t>prtoection</w:t>
      </w:r>
      <w:proofErr w:type="spellEnd"/>
      <w:r>
        <w:t xml:space="preserve"> of </w:t>
      </w:r>
      <w:proofErr w:type="spellStart"/>
      <w:r>
        <w:t>the</w:t>
      </w:r>
      <w:proofErr w:type="spellEnd"/>
      <w:r>
        <w:t xml:space="preserve"> </w:t>
      </w:r>
      <w:proofErr w:type="spellStart"/>
      <w:r>
        <w:t>victims</w:t>
      </w:r>
      <w:proofErr w:type="spellEnd"/>
      <w:r>
        <w:t xml:space="preserve"> of </w:t>
      </w:r>
      <w:proofErr w:type="spellStart"/>
      <w:r>
        <w:t>domestics</w:t>
      </w:r>
      <w:proofErr w:type="spellEnd"/>
      <w:r>
        <w:t xml:space="preserve"> </w:t>
      </w:r>
      <w:proofErr w:type="spellStart"/>
      <w:r>
        <w:t>violence</w:t>
      </w:r>
      <w:proofErr w:type="spellEnd"/>
      <w:r>
        <w:t xml:space="preserve"> and </w:t>
      </w:r>
      <w:proofErr w:type="spellStart"/>
      <w:r>
        <w:t>genre</w:t>
      </w:r>
      <w:proofErr w:type="spellEnd"/>
      <w:r>
        <w:t xml:space="preserve">, </w:t>
      </w:r>
      <w:proofErr w:type="spellStart"/>
      <w:r>
        <w:t>the</w:t>
      </w:r>
      <w:proofErr w:type="spellEnd"/>
      <w:r>
        <w:t xml:space="preserve"> </w:t>
      </w:r>
      <w:proofErr w:type="spellStart"/>
      <w:r>
        <w:t>protocol</w:t>
      </w:r>
      <w:proofErr w:type="spellEnd"/>
      <w:r>
        <w:t xml:space="preserve"> of </w:t>
      </w:r>
      <w:proofErr w:type="spellStart"/>
      <w:r>
        <w:t>action</w:t>
      </w:r>
      <w:proofErr w:type="spellEnd"/>
      <w:r>
        <w:t xml:space="preserve"> </w:t>
      </w:r>
      <w:proofErr w:type="spellStart"/>
      <w:r>
        <w:t>before</w:t>
      </w:r>
      <w:proofErr w:type="spellEnd"/>
      <w:r>
        <w:t xml:space="preserve"> cases of </w:t>
      </w:r>
      <w:proofErr w:type="spellStart"/>
      <w:r>
        <w:t>violence</w:t>
      </w:r>
      <w:proofErr w:type="spellEnd"/>
      <w:r>
        <w:t xml:space="preserve"> of </w:t>
      </w:r>
      <w:proofErr w:type="spellStart"/>
      <w:r>
        <w:t>genre</w:t>
      </w:r>
      <w:proofErr w:type="spellEnd"/>
      <w:r>
        <w:t xml:space="preserve"> in </w:t>
      </w:r>
      <w:proofErr w:type="spellStart"/>
      <w:r>
        <w:t>the</w:t>
      </w:r>
      <w:proofErr w:type="spellEnd"/>
      <w:r>
        <w:t xml:space="preserve"> </w:t>
      </w:r>
      <w:proofErr w:type="spellStart"/>
      <w:r>
        <w:t>educational</w:t>
      </w:r>
      <w:proofErr w:type="spellEnd"/>
      <w:r>
        <w:t xml:space="preserve"> </w:t>
      </w:r>
      <w:proofErr w:type="spellStart"/>
      <w:r>
        <w:t>area</w:t>
      </w:r>
      <w:proofErr w:type="spellEnd"/>
      <w:r>
        <w:t xml:space="preserve"> </w:t>
      </w:r>
      <w:r w:rsidR="004C0EA2">
        <w:t xml:space="preserve">and </w:t>
      </w:r>
      <w:proofErr w:type="spellStart"/>
      <w:r w:rsidR="004C0EA2">
        <w:t>the</w:t>
      </w:r>
      <w:proofErr w:type="spellEnd"/>
      <w:r w:rsidR="004C0EA2">
        <w:t xml:space="preserve"> </w:t>
      </w:r>
      <w:proofErr w:type="spellStart"/>
      <w:r w:rsidR="004C0EA2">
        <w:t>protocol</w:t>
      </w:r>
      <w:proofErr w:type="spellEnd"/>
      <w:r w:rsidR="004C0EA2">
        <w:t xml:space="preserve"> of </w:t>
      </w:r>
      <w:proofErr w:type="spellStart"/>
      <w:r w:rsidR="004C0EA2">
        <w:t>action</w:t>
      </w:r>
      <w:proofErr w:type="spellEnd"/>
      <w:r w:rsidR="004C0EA2">
        <w:t xml:space="preserve"> </w:t>
      </w:r>
      <w:proofErr w:type="spellStart"/>
      <w:r w:rsidR="004C0EA2">
        <w:t>opposite</w:t>
      </w:r>
      <w:proofErr w:type="spellEnd"/>
      <w:r w:rsidR="004C0EA2">
        <w:t xml:space="preserve"> to </w:t>
      </w:r>
      <w:proofErr w:type="spellStart"/>
      <w:r w:rsidR="004C0EA2">
        <w:t>the</w:t>
      </w:r>
      <w:proofErr w:type="spellEnd"/>
      <w:r w:rsidR="004C0EA2">
        <w:t xml:space="preserve"> </w:t>
      </w:r>
      <w:proofErr w:type="spellStart"/>
      <w:r w:rsidR="004C0EA2">
        <w:t>violence</w:t>
      </w:r>
      <w:proofErr w:type="spellEnd"/>
      <w:r w:rsidR="004C0EA2">
        <w:t xml:space="preserve"> in </w:t>
      </w:r>
      <w:proofErr w:type="spellStart"/>
      <w:r w:rsidR="004C0EA2">
        <w:t>the</w:t>
      </w:r>
      <w:proofErr w:type="spellEnd"/>
      <w:r w:rsidR="004C0EA2">
        <w:t xml:space="preserve"> </w:t>
      </w:r>
      <w:proofErr w:type="spellStart"/>
      <w:r w:rsidR="004C0EA2">
        <w:t>work</w:t>
      </w:r>
      <w:proofErr w:type="spellEnd"/>
      <w:r w:rsidR="004C0EA2">
        <w:t xml:space="preserve"> in </w:t>
      </w:r>
      <w:proofErr w:type="spellStart"/>
      <w:r w:rsidR="004C0EA2">
        <w:t>the</w:t>
      </w:r>
      <w:proofErr w:type="spellEnd"/>
      <w:r w:rsidR="004C0EA2">
        <w:t xml:space="preserve"> General </w:t>
      </w:r>
      <w:proofErr w:type="spellStart"/>
      <w:r w:rsidR="004C0EA2">
        <w:t>Administrations</w:t>
      </w:r>
      <w:proofErr w:type="spellEnd"/>
      <w:r w:rsidR="004C0EA2">
        <w:t xml:space="preserve"> of </w:t>
      </w:r>
      <w:proofErr w:type="spellStart"/>
      <w:r w:rsidR="004C0EA2">
        <w:t>the</w:t>
      </w:r>
      <w:proofErr w:type="spellEnd"/>
      <w:r w:rsidR="004C0EA2">
        <w:t xml:space="preserve"> </w:t>
      </w:r>
      <w:proofErr w:type="spellStart"/>
      <w:r w:rsidR="004C0EA2">
        <w:t>State</w:t>
      </w:r>
      <w:proofErr w:type="spellEnd"/>
      <w:r w:rsidR="004C0EA2">
        <w:t xml:space="preserve"> ante </w:t>
      </w:r>
      <w:proofErr w:type="spellStart"/>
      <w:r w:rsidR="004C0EA2">
        <w:t>organisms</w:t>
      </w:r>
      <w:proofErr w:type="spellEnd"/>
      <w:r w:rsidR="004C0EA2">
        <w:t xml:space="preserve"> </w:t>
      </w:r>
      <w:proofErr w:type="spellStart"/>
      <w:r w:rsidR="004C0EA2">
        <w:t>linked</w:t>
      </w:r>
      <w:proofErr w:type="spellEnd"/>
      <w:r w:rsidR="004C0EA2">
        <w:t xml:space="preserve"> </w:t>
      </w:r>
      <w:proofErr w:type="spellStart"/>
      <w:r w:rsidR="004C0EA2">
        <w:t>or</w:t>
      </w:r>
      <w:proofErr w:type="spellEnd"/>
      <w:r w:rsidR="004C0EA2">
        <w:t xml:space="preserve"> </w:t>
      </w:r>
      <w:proofErr w:type="spellStart"/>
      <w:r w:rsidR="004C0EA2">
        <w:t>dependent</w:t>
      </w:r>
      <w:proofErr w:type="spellEnd"/>
      <w:r w:rsidR="004C0EA2">
        <w:t xml:space="preserve"> </w:t>
      </w:r>
      <w:proofErr w:type="spellStart"/>
      <w:r w:rsidR="004C0EA2">
        <w:t>on</w:t>
      </w:r>
      <w:proofErr w:type="spellEnd"/>
      <w:r w:rsidR="004C0EA2">
        <w:t xml:space="preserve"> </w:t>
      </w:r>
      <w:proofErr w:type="spellStart"/>
      <w:r w:rsidR="004C0EA2">
        <w:t>she</w:t>
      </w:r>
      <w:proofErr w:type="spellEnd"/>
      <w:r w:rsidR="004C0EA2">
        <w:t>.</w:t>
      </w:r>
    </w:p>
    <w:p w:rsidR="009E08FD" w:rsidRPr="00B569A1" w:rsidRDefault="009E08FD" w:rsidP="009E08FD">
      <w:pPr>
        <w:jc w:val="both"/>
        <w:rPr>
          <w:b/>
          <w:lang w:val="en-US"/>
        </w:rPr>
      </w:pPr>
    </w:p>
    <w:p w:rsidR="000727B8" w:rsidRPr="00131B33" w:rsidRDefault="009811E6" w:rsidP="000727B8">
      <w:pPr>
        <w:pStyle w:val="Prrafodelista"/>
        <w:numPr>
          <w:ilvl w:val="0"/>
          <w:numId w:val="7"/>
        </w:numPr>
        <w:jc w:val="both"/>
        <w:rPr>
          <w:b/>
        </w:rPr>
      </w:pPr>
      <w:r>
        <w:rPr>
          <w:b/>
        </w:rPr>
        <w:t>LA IGUALDAD DE GÉNERO</w:t>
      </w:r>
    </w:p>
    <w:p w:rsidR="00DE47CB" w:rsidRPr="00131B33" w:rsidRDefault="00DE47CB" w:rsidP="00267425">
      <w:pPr>
        <w:ind w:firstLine="360"/>
        <w:jc w:val="both"/>
      </w:pPr>
      <w:r w:rsidRPr="00131B33">
        <w:t>Centrando la evolución histórica del término igualdad en concepto de igualdad ante la ley, desde finales del siglo XVIII, se ha constituido como una parte fundamental y básica en el constitucionalismo. El principio de igualdad ante la ley afirma que las personas han de ser tratadas de igual modo. Este principio además limita su actividad sólo en el marco jurídico por lo que respecto a la igualdad social y económica son distintas a este principio de igualdad ante la ley</w:t>
      </w:r>
      <w:r w:rsidR="00207AD0" w:rsidRPr="00131B33">
        <w:t>.</w:t>
      </w:r>
    </w:p>
    <w:p w:rsidR="00267425" w:rsidRDefault="00DE47CB" w:rsidP="00267425">
      <w:pPr>
        <w:ind w:firstLine="360"/>
        <w:jc w:val="both"/>
      </w:pPr>
      <w:r w:rsidRPr="00131B33">
        <w:t>En el principio de igualdad ante la ley, el bien jurídico protegido se trata de la idéntica dignidad de la totalidad de miembros del cuerpo político, el cual, se centra principalmente en la prudencia política</w:t>
      </w:r>
      <w:r w:rsidR="00207AD0" w:rsidRPr="00131B33">
        <w:t xml:space="preserve"> debido a que la alternativa podría tratarse de una división de la sociedad en categorías que dificultaría la obediencia al derecho. </w:t>
      </w:r>
    </w:p>
    <w:p w:rsidR="00DE47CB" w:rsidRPr="001512A8" w:rsidRDefault="00207AD0" w:rsidP="00267425">
      <w:pPr>
        <w:ind w:firstLine="360"/>
        <w:jc w:val="both"/>
      </w:pPr>
      <w:r w:rsidRPr="00131B33">
        <w:t>No obstante, el principio de igualdad ha sufrido una mutación ya que en el marco de una sociedad liberal, al contrario de una sociedad estamental en la que cada grupo social poseía su propio estatuto jurídico, todos están sometidos a la misma ley, así lo afirma el artículo 6 de la Declaraci</w:t>
      </w:r>
      <w:r w:rsidR="00F26689" w:rsidRPr="00131B33">
        <w:t>ón Universal de los Derechos del Hombre y del C</w:t>
      </w:r>
      <w:r w:rsidRPr="00131B33">
        <w:t xml:space="preserve">iudadano de </w:t>
      </w:r>
      <w:r w:rsidRPr="00131B33">
        <w:lastRenderedPageBreak/>
        <w:t>1789</w:t>
      </w:r>
      <w:r w:rsidRPr="00131B33">
        <w:rPr>
          <w:rStyle w:val="Refdenotaalpie"/>
        </w:rPr>
        <w:footnoteReference w:id="1"/>
      </w:r>
      <w:r w:rsidR="00267425">
        <w:t xml:space="preserve">, que dice </w:t>
      </w:r>
      <w:r w:rsidR="00267425" w:rsidRPr="001512A8">
        <w:t xml:space="preserve">“La Ley es la expresión de la voluntad general. </w:t>
      </w:r>
      <w:r w:rsidR="00267425" w:rsidRPr="001512A8">
        <w:rPr>
          <w:shd w:val="clear" w:color="auto" w:fill="FFFFFF"/>
        </w:rPr>
        <w:t>Todos los ciudadanos tienen derecho a colaborar en su formación, sea personalmente, sea por medio de sus representantes. Debe ser igual para todos, sea para proteger o para castigar. Siendo todos los ciudadanos iguales ante ella, todos son igualmente elegibles para todos los honores, colocaciones y empleos, conforme a sus distintas capacidades, sin ninguna otra distinción que la creada por sus virtudes y conocimientos”.</w:t>
      </w:r>
    </w:p>
    <w:p w:rsidR="00F26689" w:rsidRPr="00131B33" w:rsidRDefault="00F26689" w:rsidP="00267425">
      <w:pPr>
        <w:ind w:firstLine="360"/>
        <w:jc w:val="both"/>
      </w:pPr>
      <w:r w:rsidRPr="00131B33">
        <w:t xml:space="preserve">Haciendo mención a un ejemplo significativo como es el estadista francés, en el que </w:t>
      </w:r>
      <w:r w:rsidRPr="00267425">
        <w:rPr>
          <w:b/>
        </w:rPr>
        <w:t xml:space="preserve">François </w:t>
      </w:r>
      <w:proofErr w:type="spellStart"/>
      <w:r w:rsidRPr="00267425">
        <w:rPr>
          <w:b/>
        </w:rPr>
        <w:t>Guizot</w:t>
      </w:r>
      <w:proofErr w:type="spellEnd"/>
      <w:r w:rsidRPr="00131B33">
        <w:t xml:space="preserve">, bajo la Constitución de 1830 hizo a los franceses con ese </w:t>
      </w:r>
      <w:r w:rsidRPr="00267425">
        <w:rPr>
          <w:i/>
        </w:rPr>
        <w:t>“Enriqueceos”,</w:t>
      </w:r>
      <w:r w:rsidRPr="00131B33">
        <w:t xml:space="preserve"> he de añadir </w:t>
      </w:r>
      <w:r w:rsidR="00477D7A" w:rsidRPr="00131B33">
        <w:t>que se trataba del principio de igualdad ante la ley. Por ello, nada más consagrar el principio de igualda</w:t>
      </w:r>
      <w:r w:rsidR="00267425">
        <w:t>d ante la ley.</w:t>
      </w:r>
      <w:r w:rsidR="001512A8">
        <w:t xml:space="preserve"> </w:t>
      </w:r>
      <w:r w:rsidR="006E63D9" w:rsidRPr="00131B33">
        <w:t>Dando entrada a</w:t>
      </w:r>
      <w:r w:rsidR="00477D7A" w:rsidRPr="00131B33">
        <w:t>l siglo XX, en Europa no existían mecanismos de control de constitucionalidad de la ley, de manera que la igualdad se predicase en virtud de su eficacia normativa cuyo fin era la vinculación incondicional de todos.</w:t>
      </w:r>
    </w:p>
    <w:p w:rsidR="00477D7A" w:rsidRPr="00131B33" w:rsidRDefault="00477D7A" w:rsidP="00267425">
      <w:pPr>
        <w:ind w:firstLine="360"/>
        <w:jc w:val="both"/>
      </w:pPr>
      <w:r w:rsidRPr="00131B33">
        <w:t>Visto el ej</w:t>
      </w:r>
      <w:r w:rsidR="006E63D9" w:rsidRPr="00131B33">
        <w:t>emplo, como consecuencia de ello, la STC 68/1991</w:t>
      </w:r>
      <w:r w:rsidR="00267425">
        <w:rPr>
          <w:rStyle w:val="Refdenotaalpie"/>
        </w:rPr>
        <w:footnoteReference w:id="2"/>
      </w:r>
      <w:r w:rsidR="006E63D9" w:rsidRPr="00131B33">
        <w:t xml:space="preserve"> se aplicó para todos los operadores jurídicos y sobre todo para el juez en la que se establece que el principio de igualdad ante la ley debía ser aplicada sin hacer distinción alguna. Ya en el siglo XX, el principio de igualdad ante la ley ha adquirido otro sentido donde el contenido de la ley sea igualitario, este sentido se debe a la transformación del constitucionalismo cuyos fenómenos son los siguientes:</w:t>
      </w:r>
    </w:p>
    <w:p w:rsidR="006E63D9" w:rsidRPr="00131B33" w:rsidRDefault="006E63D9" w:rsidP="006E63D9">
      <w:pPr>
        <w:pStyle w:val="Prrafodelista"/>
        <w:numPr>
          <w:ilvl w:val="0"/>
          <w:numId w:val="9"/>
        </w:numPr>
        <w:jc w:val="both"/>
      </w:pPr>
      <w:r w:rsidRPr="00131B33">
        <w:t>Democratización de los regímenes liberales y la aparición de la democracia de los partidos</w:t>
      </w:r>
    </w:p>
    <w:p w:rsidR="006E63D9" w:rsidRPr="00131B33" w:rsidRDefault="006E63D9" w:rsidP="006E63D9">
      <w:pPr>
        <w:pStyle w:val="Prrafodelista"/>
        <w:numPr>
          <w:ilvl w:val="0"/>
          <w:numId w:val="9"/>
        </w:numPr>
        <w:jc w:val="both"/>
      </w:pPr>
      <w:r w:rsidRPr="00131B33">
        <w:t xml:space="preserve">Conciencia del pluralismo de valores y la pérdida de confianza en la racionalidad del libre debate </w:t>
      </w:r>
    </w:p>
    <w:p w:rsidR="002511D2" w:rsidRDefault="006E63D9" w:rsidP="00267425">
      <w:pPr>
        <w:ind w:firstLine="360"/>
        <w:jc w:val="both"/>
      </w:pPr>
      <w:r w:rsidRPr="00131B33">
        <w:t>Por último</w:t>
      </w:r>
      <w:r w:rsidR="00153AAF" w:rsidRPr="00131B33">
        <w:t>,</w:t>
      </w:r>
      <w:r w:rsidRPr="00131B33">
        <w:t xml:space="preserve"> es necesario añadir </w:t>
      </w:r>
      <w:r w:rsidR="00153AAF" w:rsidRPr="00131B33">
        <w:t>que,</w:t>
      </w:r>
      <w:r w:rsidRPr="00131B33">
        <w:t xml:space="preserve"> en el constitucionalismo contempor</w:t>
      </w:r>
      <w:r w:rsidR="00153AAF" w:rsidRPr="00131B33">
        <w:t>áneo, los diferentes sentidos del principio de igualdad ante la ley coexisten y se complementan entre ellos.</w:t>
      </w:r>
    </w:p>
    <w:p w:rsidR="000F5F6C" w:rsidRDefault="006D2591" w:rsidP="006D2591">
      <w:pPr>
        <w:pStyle w:val="Prrafodelista"/>
        <w:numPr>
          <w:ilvl w:val="1"/>
          <w:numId w:val="7"/>
        </w:numPr>
        <w:jc w:val="both"/>
        <w:rPr>
          <w:b/>
        </w:rPr>
      </w:pPr>
      <w:r w:rsidRPr="006D2591">
        <w:rPr>
          <w:b/>
        </w:rPr>
        <w:t>Concepto de género</w:t>
      </w:r>
    </w:p>
    <w:p w:rsidR="006D2591" w:rsidRPr="00707D8F" w:rsidRDefault="006D2591" w:rsidP="006D2591">
      <w:pPr>
        <w:ind w:firstLine="360"/>
        <w:jc w:val="both"/>
      </w:pPr>
      <w:r w:rsidRPr="00707D8F">
        <w:t xml:space="preserve">Antes de entrar en materia, he extraído dicha información sobre el concepto de género, al igual para los roles y estereotipos de género, del libro para el estudio de auxiliares de </w:t>
      </w:r>
      <w:r w:rsidRPr="00707D8F">
        <w:lastRenderedPageBreak/>
        <w:t>clínica, ofrecido por la Diputación de Jaén</w:t>
      </w:r>
      <w:r w:rsidRPr="00707D8F">
        <w:rPr>
          <w:rStyle w:val="Refdenotaalpie"/>
        </w:rPr>
        <w:footnoteReference w:id="3"/>
      </w:r>
      <w:r w:rsidRPr="00707D8F">
        <w:t>. Este libro goza de numerosa información tratada por personales docentes cualificados.</w:t>
      </w:r>
      <w:r>
        <w:t xml:space="preserve"> </w:t>
      </w:r>
      <w:r w:rsidRPr="00707D8F">
        <w:t>Dicho esto, el concepto de género es preciso relacionarlo con el concepto de sexo, para establecer las relaciones y las diferencias entre ambos.</w:t>
      </w:r>
    </w:p>
    <w:p w:rsidR="006D2591" w:rsidRPr="00707D8F" w:rsidRDefault="006D2591" w:rsidP="006D2591">
      <w:pPr>
        <w:ind w:firstLine="360"/>
        <w:jc w:val="both"/>
      </w:pPr>
      <w:r w:rsidRPr="00707D8F">
        <w:t xml:space="preserve">De acuerdo con lo dispuesto en el análisis de Hernández </w:t>
      </w:r>
      <w:proofErr w:type="spellStart"/>
      <w:r w:rsidRPr="00707D8F">
        <w:t>Yuliuva</w:t>
      </w:r>
      <w:proofErr w:type="spellEnd"/>
      <w:r w:rsidRPr="00707D8F">
        <w:rPr>
          <w:rStyle w:val="Refdenotaalpie"/>
        </w:rPr>
        <w:footnoteReference w:id="4"/>
      </w:r>
      <w:r w:rsidRPr="00707D8F">
        <w:t>, establece que el género constituye “la categoría explicativa de la construcción social y simbólica histórico-cultural de los hombres y las mujeres sobre la base de la diferencia sexual”.</w:t>
      </w:r>
    </w:p>
    <w:p w:rsidR="006D2591" w:rsidRPr="00707D8F" w:rsidRDefault="006D2591" w:rsidP="006D2591">
      <w:pPr>
        <w:ind w:firstLine="360"/>
        <w:jc w:val="both"/>
      </w:pPr>
      <w:r w:rsidRPr="00707D8F">
        <w:t>Otros autores tales como Joan Scott, según la “Revista Crítica de las Ciencias Sociales y Jurídicas” propone que “el género es un elemento constitutivo de las relaciones sociales basadas en las diferencias que distinguen los sexos y el género es una forma primaria de poder”. Distinguiendo entre sus elementos:</w:t>
      </w:r>
    </w:p>
    <w:p w:rsidR="006D2591" w:rsidRPr="00707D8F" w:rsidRDefault="006D2591" w:rsidP="006D2591">
      <w:pPr>
        <w:pStyle w:val="Prrafodelista"/>
        <w:numPr>
          <w:ilvl w:val="0"/>
          <w:numId w:val="33"/>
        </w:numPr>
        <w:jc w:val="both"/>
      </w:pPr>
      <w:r w:rsidRPr="00707D8F">
        <w:t>Símbolos y mitos culturalmente disponibles.</w:t>
      </w:r>
    </w:p>
    <w:p w:rsidR="006D2591" w:rsidRPr="00707D8F" w:rsidRDefault="006D2591" w:rsidP="006D2591">
      <w:pPr>
        <w:pStyle w:val="Prrafodelista"/>
        <w:ind w:left="1068"/>
        <w:jc w:val="both"/>
      </w:pPr>
    </w:p>
    <w:p w:rsidR="006D2591" w:rsidRPr="00707D8F" w:rsidRDefault="006D2591" w:rsidP="006D2591">
      <w:pPr>
        <w:pStyle w:val="Prrafodelista"/>
        <w:numPr>
          <w:ilvl w:val="0"/>
          <w:numId w:val="33"/>
        </w:numPr>
        <w:jc w:val="both"/>
      </w:pPr>
      <w:r w:rsidRPr="00707D8F">
        <w:t>Conceptos normativos surgidos de los símbolos.</w:t>
      </w:r>
    </w:p>
    <w:p w:rsidR="006D2591" w:rsidRPr="00707D8F" w:rsidRDefault="006D2591" w:rsidP="006D2591">
      <w:pPr>
        <w:pStyle w:val="Prrafodelista"/>
      </w:pPr>
    </w:p>
    <w:p w:rsidR="006D2591" w:rsidRPr="00707D8F" w:rsidRDefault="006D2591" w:rsidP="006D2591">
      <w:pPr>
        <w:pStyle w:val="Prrafodelista"/>
        <w:numPr>
          <w:ilvl w:val="0"/>
          <w:numId w:val="33"/>
        </w:numPr>
        <w:jc w:val="both"/>
      </w:pPr>
      <w:r w:rsidRPr="00707D8F">
        <w:t>Instituciones y organizaciones sociales de las relaciones de género.</w:t>
      </w:r>
    </w:p>
    <w:p w:rsidR="006D2591" w:rsidRPr="00707D8F" w:rsidRDefault="006D2591" w:rsidP="006D2591">
      <w:pPr>
        <w:pStyle w:val="Prrafodelista"/>
      </w:pPr>
    </w:p>
    <w:p w:rsidR="006D2591" w:rsidRPr="00707D8F" w:rsidRDefault="006D2591" w:rsidP="006D2591">
      <w:pPr>
        <w:pStyle w:val="Prrafodelista"/>
        <w:numPr>
          <w:ilvl w:val="0"/>
          <w:numId w:val="33"/>
        </w:numPr>
        <w:jc w:val="both"/>
      </w:pPr>
      <w:r w:rsidRPr="00707D8F">
        <w:t>Identidad.</w:t>
      </w:r>
    </w:p>
    <w:p w:rsidR="006D2591" w:rsidRPr="00707D8F" w:rsidRDefault="006D2591" w:rsidP="006D2591">
      <w:pPr>
        <w:ind w:firstLine="708"/>
        <w:jc w:val="both"/>
      </w:pPr>
      <w:r w:rsidRPr="00707D8F">
        <w:t>En la teoría de géneros, distinguen un concepto de conceptos principales que integran fuentes de su problematización, siendo estos:</w:t>
      </w:r>
    </w:p>
    <w:p w:rsidR="006D2591" w:rsidRPr="00707D8F" w:rsidRDefault="006D2591" w:rsidP="006D2591">
      <w:pPr>
        <w:pStyle w:val="Prrafodelista"/>
        <w:numPr>
          <w:ilvl w:val="0"/>
          <w:numId w:val="33"/>
        </w:numPr>
        <w:jc w:val="both"/>
      </w:pPr>
      <w:r w:rsidRPr="00707D8F">
        <w:t>La dist</w:t>
      </w:r>
      <w:r>
        <w:t>inción entre biológico y género y e</w:t>
      </w:r>
      <w:r w:rsidRPr="00707D8F">
        <w:t>l género como principio básico de organización soc</w:t>
      </w:r>
      <w:r>
        <w:t>ial en las sociedades conocidas</w:t>
      </w:r>
      <w:r w:rsidRPr="00707D8F">
        <w:t>.</w:t>
      </w:r>
    </w:p>
    <w:p w:rsidR="006D2591" w:rsidRPr="00707D8F" w:rsidRDefault="006D2591" w:rsidP="006D2591">
      <w:pPr>
        <w:pStyle w:val="Prrafodelista"/>
      </w:pPr>
    </w:p>
    <w:p w:rsidR="006D2591" w:rsidRPr="00707D8F" w:rsidRDefault="006D2591" w:rsidP="006D2591">
      <w:pPr>
        <w:pStyle w:val="Prrafodelista"/>
        <w:numPr>
          <w:ilvl w:val="0"/>
          <w:numId w:val="33"/>
        </w:numPr>
        <w:jc w:val="both"/>
      </w:pPr>
      <w:r w:rsidRPr="00707D8F">
        <w:t>El género como principio de jerarq</w:t>
      </w:r>
      <w:r>
        <w:t>uía y como asignación al nacer</w:t>
      </w:r>
      <w:r w:rsidRPr="00707D8F">
        <w:t>.</w:t>
      </w:r>
    </w:p>
    <w:p w:rsidR="006D2591" w:rsidRDefault="006D2591" w:rsidP="006D2591">
      <w:pPr>
        <w:pStyle w:val="Prrafodelista"/>
        <w:ind w:left="1068"/>
        <w:jc w:val="both"/>
      </w:pPr>
    </w:p>
    <w:p w:rsidR="006D2591" w:rsidRPr="00707D8F" w:rsidRDefault="006D2591" w:rsidP="006D2591">
      <w:pPr>
        <w:pStyle w:val="Prrafodelista"/>
        <w:numPr>
          <w:ilvl w:val="0"/>
          <w:numId w:val="33"/>
        </w:numPr>
        <w:jc w:val="both"/>
      </w:pPr>
      <w:r w:rsidRPr="00707D8F">
        <w:t>L</w:t>
      </w:r>
      <w:r>
        <w:t>a identidad, como se instituye, la variabilidad de género y el modelo general y femenino/masculino</w:t>
      </w:r>
      <w:r w:rsidRPr="00707D8F">
        <w:t>.</w:t>
      </w:r>
    </w:p>
    <w:p w:rsidR="006D2591" w:rsidRPr="00707D8F" w:rsidRDefault="006D2591" w:rsidP="006D2591">
      <w:pPr>
        <w:ind w:firstLine="708"/>
        <w:jc w:val="both"/>
      </w:pPr>
      <w:r w:rsidRPr="00707D8F">
        <w:lastRenderedPageBreak/>
        <w:t>La palabra género, no significa en si misma hombre o mujer</w:t>
      </w:r>
      <w:r w:rsidRPr="00707D8F">
        <w:rPr>
          <w:b/>
        </w:rPr>
        <w:t xml:space="preserve">. </w:t>
      </w:r>
      <w:r w:rsidRPr="00707D8F">
        <w:t>El concepto género, “se utiliza para comprender las relaciones sociales y personales entre hombres y mujeres y la forma en que se construyen los conceptos de feminidad y masculinidad”.</w:t>
      </w:r>
    </w:p>
    <w:p w:rsidR="006D2591" w:rsidRPr="00707D8F" w:rsidRDefault="006D2591" w:rsidP="006D2591">
      <w:pPr>
        <w:ind w:firstLine="708"/>
        <w:jc w:val="both"/>
      </w:pPr>
      <w:r w:rsidRPr="00707D8F">
        <w:t>Muchas veces, los atributos asociados al género se justifican basándose en las diferencias sexuales o biológicas. Así, por ejemplo, se considera que las mujeres son maternales por naturaleza, característica que se asocia a su capacidad reproductiva de engendrar.</w:t>
      </w:r>
    </w:p>
    <w:p w:rsidR="006D2591" w:rsidRPr="00707D8F" w:rsidRDefault="006D2591" w:rsidP="006D2591">
      <w:pPr>
        <w:ind w:firstLine="708"/>
        <w:jc w:val="both"/>
      </w:pPr>
      <w:r w:rsidRPr="00707D8F">
        <w:t>Al igual que los conceptos raza, etnia, edad o religión, el género es una herramienta de análisis para comprender los procesos sociales y propiciar políticas que reconozcan e interpreten la diversidad.</w:t>
      </w:r>
    </w:p>
    <w:p w:rsidR="006D2591" w:rsidRPr="006D2591" w:rsidRDefault="006D2591" w:rsidP="006D2591">
      <w:pPr>
        <w:jc w:val="both"/>
        <w:rPr>
          <w:b/>
        </w:rPr>
      </w:pPr>
    </w:p>
    <w:p w:rsidR="006D2591" w:rsidRDefault="006D2591" w:rsidP="006D2591">
      <w:pPr>
        <w:pStyle w:val="Prrafodelista"/>
        <w:numPr>
          <w:ilvl w:val="1"/>
          <w:numId w:val="7"/>
        </w:numPr>
        <w:jc w:val="both"/>
        <w:rPr>
          <w:b/>
        </w:rPr>
      </w:pPr>
      <w:r>
        <w:rPr>
          <w:b/>
        </w:rPr>
        <w:t>Los roles de género</w:t>
      </w:r>
    </w:p>
    <w:p w:rsidR="006D2591" w:rsidRPr="00707D8F" w:rsidRDefault="006D2591" w:rsidP="006D2591">
      <w:pPr>
        <w:ind w:firstLine="360"/>
        <w:jc w:val="both"/>
      </w:pPr>
      <w:r w:rsidRPr="00707D8F">
        <w:t xml:space="preserve">En función del capítulo de las oposiciones correspondientes a auxiliar de enfermería anteriormente mencionado, establece que “los roles de género son los papeles, funciones, actividades y responsabilidades que se atribuyen socialmente a hombres y mujeres”. </w:t>
      </w:r>
    </w:p>
    <w:p w:rsidR="006D2591" w:rsidRPr="00707D8F" w:rsidRDefault="006D2591" w:rsidP="006D2591">
      <w:pPr>
        <w:ind w:firstLine="360"/>
        <w:jc w:val="both"/>
      </w:pPr>
      <w:r w:rsidRPr="00707D8F">
        <w:t>Tradicionalmente el rol femenino está asociado a la maternidad, la crianza y cuidado de los hijos, a la afectividad, mientras que el rol masculino se identifica con el espacio público, el ámbito productivo, el sustento económico de la familia y la representatividad en la vida política, científica, cultural y social. Es por ello que podemos apreciar diferentes categorías de Roles de género:</w:t>
      </w:r>
    </w:p>
    <w:p w:rsidR="006D2591" w:rsidRPr="00707D8F" w:rsidRDefault="006D2591" w:rsidP="006D2591">
      <w:pPr>
        <w:pStyle w:val="Prrafodelista"/>
        <w:numPr>
          <w:ilvl w:val="0"/>
          <w:numId w:val="13"/>
        </w:numPr>
        <w:jc w:val="both"/>
      </w:pPr>
      <w:r w:rsidRPr="00707D8F">
        <w:rPr>
          <w:b/>
        </w:rPr>
        <w:t>Roles Reproductivos:</w:t>
      </w:r>
      <w:r w:rsidRPr="00707D8F">
        <w:t xml:space="preserve"> “Desempeñados por las mujeres y que abarcan como hemos dicho anteriormente la maternidad, la responsabilidad de la crianza de los hijos y todos los denominados roles domésticos”.</w:t>
      </w:r>
    </w:p>
    <w:p w:rsidR="006D2591" w:rsidRPr="00707D8F" w:rsidRDefault="006D2591" w:rsidP="006D2591">
      <w:pPr>
        <w:pStyle w:val="Prrafodelista"/>
        <w:jc w:val="both"/>
      </w:pPr>
    </w:p>
    <w:p w:rsidR="006D2591" w:rsidRPr="00707D8F" w:rsidRDefault="006D2591" w:rsidP="006D2591">
      <w:pPr>
        <w:pStyle w:val="Prrafodelista"/>
        <w:numPr>
          <w:ilvl w:val="0"/>
          <w:numId w:val="13"/>
        </w:numPr>
        <w:jc w:val="both"/>
      </w:pPr>
      <w:r w:rsidRPr="00707D8F">
        <w:rPr>
          <w:b/>
        </w:rPr>
        <w:t>Roles Productivos:</w:t>
      </w:r>
      <w:r w:rsidRPr="00707D8F">
        <w:t xml:space="preserve"> “Abarcan el trabajo que realizan tanto mujeres como hombres generadores de ingresos y que por tanto poseen un valor económico o de cambio”.</w:t>
      </w:r>
    </w:p>
    <w:p w:rsidR="006D2591" w:rsidRPr="00707D8F" w:rsidRDefault="006D2591" w:rsidP="006D2591">
      <w:pPr>
        <w:pStyle w:val="Prrafodelista"/>
        <w:jc w:val="both"/>
      </w:pPr>
    </w:p>
    <w:p w:rsidR="006D2591" w:rsidRPr="00C50C67" w:rsidRDefault="006D2591" w:rsidP="00003192">
      <w:pPr>
        <w:pStyle w:val="Prrafodelista"/>
        <w:numPr>
          <w:ilvl w:val="0"/>
          <w:numId w:val="13"/>
        </w:numPr>
        <w:jc w:val="both"/>
      </w:pPr>
      <w:r w:rsidRPr="00C20173">
        <w:rPr>
          <w:b/>
        </w:rPr>
        <w:t>Roles Comunitarios:</w:t>
      </w:r>
      <w:r w:rsidRPr="00707D8F">
        <w:t xml:space="preserve"> “Desempeñados principalmente por las mujeres dentro de la comunidad y que se conciben como una extensión de su rol reproductivo, para mantener los escasos recursos de consumo colectivo como el agua, la salud, la educación y otros”.</w:t>
      </w:r>
      <w:bookmarkStart w:id="0" w:name="_GoBack"/>
      <w:bookmarkEnd w:id="0"/>
    </w:p>
    <w:p w:rsidR="006D2591" w:rsidRDefault="006D2591" w:rsidP="006D2591">
      <w:pPr>
        <w:pStyle w:val="Prrafodelista"/>
        <w:numPr>
          <w:ilvl w:val="1"/>
          <w:numId w:val="7"/>
        </w:numPr>
        <w:jc w:val="both"/>
        <w:rPr>
          <w:b/>
        </w:rPr>
      </w:pPr>
      <w:r>
        <w:rPr>
          <w:b/>
        </w:rPr>
        <w:lastRenderedPageBreak/>
        <w:t>Los estereotipos de género</w:t>
      </w:r>
    </w:p>
    <w:p w:rsidR="006D2591" w:rsidRPr="00707D8F" w:rsidRDefault="006D2591" w:rsidP="006D2591">
      <w:pPr>
        <w:ind w:firstLine="708"/>
        <w:jc w:val="both"/>
      </w:pPr>
      <w:r w:rsidRPr="00707D8F">
        <w:t>Los estereotipos de género son “un mecanismo de transmisión y perpetuación de los roles de género”. Al igual que para los roles de género, el manual, hace mención al término estereotipo que designa “un conjunto de creencias profundamente enraizado en el subconsciente individual y colectivo a través de las cuales se emiten juicios y se manifiesta la visión que se tiene de la realidad”.</w:t>
      </w:r>
    </w:p>
    <w:p w:rsidR="006D2591" w:rsidRPr="00707D8F" w:rsidRDefault="006D2591" w:rsidP="006D2591">
      <w:pPr>
        <w:ind w:firstLine="708"/>
        <w:jc w:val="both"/>
      </w:pPr>
      <w:r w:rsidRPr="00707D8F">
        <w:t>Además, enuncian que los estereotipos “son las ideas y creencias aceptadas por la sociedad sobre cómo han de ser y comportarse los hombres y las mujeres”.</w:t>
      </w:r>
    </w:p>
    <w:p w:rsidR="006D2591" w:rsidRPr="00707D8F" w:rsidRDefault="006D2591" w:rsidP="006D2591">
      <w:pPr>
        <w:ind w:firstLine="708"/>
        <w:jc w:val="both"/>
        <w:rPr>
          <w:b/>
        </w:rPr>
      </w:pPr>
      <w:r w:rsidRPr="00707D8F">
        <w:t>Según Correa y Guzmán</w:t>
      </w:r>
      <w:r w:rsidRPr="00707D8F">
        <w:rPr>
          <w:rStyle w:val="Refdenotaalpie"/>
        </w:rPr>
        <w:footnoteReference w:id="5"/>
      </w:r>
      <w:r w:rsidRPr="00707D8F">
        <w:t xml:space="preserve">, categorizan el estereotipo como un “código invisible y latente”, que sólo se puede desvelar con una mirada crítica. Los estereotipos sobre las mujeres enmascaran la defensa de los valores patriarcales de nuestras sociedades y el miedo de la pérdida de liderazgo masculino. Por último, añaden que los estereotipos sexuales permanecen hoy en la sociedad y se perpetúan por medio de los agentes de socialización como la familia, la escuela, los medios de comunicación etc. </w:t>
      </w:r>
    </w:p>
    <w:p w:rsidR="00114F36" w:rsidRPr="00114F36" w:rsidRDefault="00114F36" w:rsidP="006D2591">
      <w:pPr>
        <w:jc w:val="both"/>
        <w:rPr>
          <w:b/>
        </w:rPr>
      </w:pPr>
    </w:p>
    <w:p w:rsidR="006B79DC" w:rsidRDefault="006B79DC" w:rsidP="006D2591">
      <w:pPr>
        <w:pStyle w:val="Prrafodelista"/>
        <w:numPr>
          <w:ilvl w:val="1"/>
          <w:numId w:val="7"/>
        </w:numPr>
        <w:jc w:val="both"/>
        <w:rPr>
          <w:b/>
        </w:rPr>
      </w:pPr>
      <w:r w:rsidRPr="00114F36">
        <w:rPr>
          <w:b/>
        </w:rPr>
        <w:t>L</w:t>
      </w:r>
      <w:r w:rsidR="006D2591" w:rsidRPr="00114F36">
        <w:rPr>
          <w:b/>
        </w:rPr>
        <w:t>a igualdad entre mujeres y hombres en el derecho español</w:t>
      </w:r>
    </w:p>
    <w:p w:rsidR="006B79DC" w:rsidRPr="00114F36" w:rsidRDefault="006B79DC" w:rsidP="006D2591">
      <w:pPr>
        <w:pStyle w:val="Prrafodelista"/>
        <w:numPr>
          <w:ilvl w:val="2"/>
          <w:numId w:val="7"/>
        </w:numPr>
        <w:jc w:val="both"/>
        <w:rPr>
          <w:b/>
        </w:rPr>
      </w:pPr>
      <w:r w:rsidRPr="00114F36">
        <w:rPr>
          <w:b/>
        </w:rPr>
        <w:t>La igualdad en la C.E. de 27 de diciembre de 1978: la igualdad como valor, principio y derecho fundamental</w:t>
      </w:r>
    </w:p>
    <w:p w:rsidR="006B79DC" w:rsidRPr="00131B33" w:rsidRDefault="006B79DC" w:rsidP="006B79DC">
      <w:pPr>
        <w:ind w:firstLine="360"/>
        <w:jc w:val="both"/>
      </w:pPr>
      <w:r w:rsidRPr="00131B33">
        <w:t>Actualmente, la igualdad es considerado uno de los más importantes en los sistemas políticos modernos junto al derecho de libertad. Se funda principalmente en el reconocimiento de la igual dignidad de todos los seres humanos simplemente por el hecho de serlo. La igualdad como objetivo del mismo posee un sentido fundante del sistema jurídico-político y un carácter teleológico.</w:t>
      </w:r>
    </w:p>
    <w:p w:rsidR="006B79DC" w:rsidRPr="00131B33" w:rsidRDefault="006B79DC" w:rsidP="006B79DC">
      <w:pPr>
        <w:ind w:firstLine="360"/>
        <w:jc w:val="both"/>
      </w:pPr>
      <w:r w:rsidRPr="00131B33">
        <w:t xml:space="preserve">Desde un punto de vista subjetivo, la igualdad aparece como garantía general de un trato igual y no discriminatorio sobre las personas por parte de los poderes públicos y como derecho el cual debe de ser protegido, ésta puede distinguirse desde una vertiente formal o jurídica y otra material o real, ambos captados por la Constitución en los </w:t>
      </w:r>
      <w:r w:rsidRPr="00131B33">
        <w:lastRenderedPageBreak/>
        <w:t>artículos 1 CE</w:t>
      </w:r>
      <w:r w:rsidRPr="00131B33">
        <w:rPr>
          <w:rStyle w:val="Refdenotaalpie"/>
        </w:rPr>
        <w:footnoteReference w:id="6"/>
      </w:r>
      <w:r w:rsidRPr="00131B33">
        <w:t>, haciendo mención a la igualdad como valor general, artículo 9.2 CE</w:t>
      </w:r>
      <w:r w:rsidRPr="00131B33">
        <w:rPr>
          <w:rStyle w:val="Refdenotaalpie"/>
        </w:rPr>
        <w:footnoteReference w:id="7"/>
      </w:r>
      <w:r w:rsidRPr="00131B33">
        <w:t>, sobre igualdad real y efectiva y el artículo 14 CE</w:t>
      </w:r>
      <w:r w:rsidRPr="00131B33">
        <w:rPr>
          <w:rStyle w:val="Refdenotaalpie"/>
        </w:rPr>
        <w:footnoteReference w:id="8"/>
      </w:r>
      <w:r w:rsidRPr="00131B33">
        <w:t>, que menciona el principio de igualdad y derecho de igualdad de trato.</w:t>
      </w:r>
    </w:p>
    <w:p w:rsidR="006B79DC" w:rsidRPr="00131B33" w:rsidRDefault="006B79DC" w:rsidP="006B79DC">
      <w:pPr>
        <w:ind w:firstLine="360"/>
        <w:jc w:val="both"/>
      </w:pPr>
      <w:r w:rsidRPr="00131B33">
        <w:t>Al tratarse la igualdad como valor superior del ordenamiento jurídico plasma el principio de igualdad, tal y como he anunciado con anterioridad. Por ello, el artículo 14 CE proclama la igualdad ante la ley y la prohibición de toda discriminación atendiendo a cualquier circunstancia de carácter personal o social. Expone el Tribunal Constitucional la garantía de igualdad en dos niveles: La igualdad ante la ley y la igualdad en la aplicación de la ley, dimensión objetiva que debe ser complementada con otra dimensión subjetiva pues así supone el reconocimiento de cada persona a la igualdad de trato y no discriminación</w:t>
      </w:r>
    </w:p>
    <w:p w:rsidR="006B79DC" w:rsidRPr="00707D8F" w:rsidRDefault="006B79DC" w:rsidP="006B79DC">
      <w:pPr>
        <w:ind w:firstLine="360"/>
        <w:jc w:val="both"/>
      </w:pPr>
      <w:r w:rsidRPr="00707D8F">
        <w:t>Tal derecho, conforme lo dispuesto en el artículo 53.2 CE</w:t>
      </w:r>
      <w:r w:rsidRPr="00707D8F">
        <w:rPr>
          <w:rStyle w:val="Refdenotaalpie"/>
        </w:rPr>
        <w:footnoteReference w:id="9"/>
      </w:r>
      <w:r w:rsidRPr="00707D8F">
        <w:t xml:space="preserve"> que dice “</w:t>
      </w:r>
      <w:r w:rsidRPr="00707D8F">
        <w:rPr>
          <w:color w:val="000000"/>
          <w:shd w:val="clear" w:color="auto" w:fill="FFFFFF"/>
        </w:rPr>
        <w:t>Cualquier ciudadano podrá recabar la tutela de las libertades y derechos reconocidos en el artículo 14 y la Sección primera del Capítulo segundo ante los Tribunales ordinarios</w:t>
      </w:r>
      <w:r w:rsidR="001512A8" w:rsidRPr="00707D8F">
        <w:rPr>
          <w:color w:val="000000"/>
          <w:shd w:val="clear" w:color="auto" w:fill="FFFFFF"/>
        </w:rPr>
        <w:t xml:space="preserve"> </w:t>
      </w:r>
      <w:r w:rsidRPr="00707D8F">
        <w:rPr>
          <w:color w:val="000000"/>
          <w:shd w:val="clear" w:color="auto" w:fill="FFFFFF"/>
        </w:rPr>
        <w:t>por un procedimiento basado en los principios de preferencia y, en su caso, a través del recurso de amparo ante el Tribunal Constitucional. Este último recurso será aplicable a la objeción de conciencia reconocida en el artículo 30”</w:t>
      </w:r>
      <w:r w:rsidR="00C50C67">
        <w:t>. E</w:t>
      </w:r>
      <w:r w:rsidRPr="00707D8F">
        <w:t>l derecho de igualdad ante la ley queda protegido a través de un recurso judicial, preferente y sumario de protección de los derechos fundamentales, artículos 114 y siguientes de la LJCA</w:t>
      </w:r>
      <w:r w:rsidRPr="00707D8F">
        <w:rPr>
          <w:rStyle w:val="Refdenotaalpie"/>
        </w:rPr>
        <w:footnoteReference w:id="10"/>
      </w:r>
      <w:r w:rsidRPr="00707D8F">
        <w:t xml:space="preserve"> y del recurso de amparo del Tribunal Constitucional. </w:t>
      </w:r>
    </w:p>
    <w:p w:rsidR="006B79DC" w:rsidRPr="00131B33" w:rsidRDefault="006B79DC" w:rsidP="006B79DC">
      <w:pPr>
        <w:ind w:firstLine="360"/>
        <w:jc w:val="both"/>
      </w:pPr>
      <w:r w:rsidRPr="00131B33">
        <w:t xml:space="preserve">La garantía de la igualdad de trato ante la ley presenta un carácter formal considerado insuficiente para el progreso sobre personas y grupos desfavorecidos por lo que los poderes públicos, deben prestar atención para la mejora de las condiciones de vida de </w:t>
      </w:r>
      <w:r w:rsidRPr="00131B33">
        <w:lastRenderedPageBreak/>
        <w:t xml:space="preserve">todos, pero haciendo especial hincapié sobre aquellos situados en desventaja social, económica, política o cultural. </w:t>
      </w:r>
    </w:p>
    <w:p w:rsidR="006B79DC" w:rsidRPr="00C50C67" w:rsidRDefault="006B79DC" w:rsidP="006B79DC">
      <w:pPr>
        <w:ind w:firstLine="360"/>
        <w:jc w:val="both"/>
      </w:pPr>
      <w:r w:rsidRPr="00C50C67">
        <w:t>Por ello, el citado artículo 9.2 CE encomienda a los poderes públicos “promover las condiciones para que la libertad y la igualdad del individuo y grupos en que se integran sea reales y efectivas” así como “remover los obstáculos que impidan o dificulten su plenitud”</w:t>
      </w:r>
    </w:p>
    <w:p w:rsidR="006B79DC" w:rsidRDefault="006B79DC" w:rsidP="006B79DC">
      <w:pPr>
        <w:ind w:firstLine="360"/>
        <w:jc w:val="both"/>
      </w:pPr>
      <w:r w:rsidRPr="00131B33">
        <w:t>Haciendo mención a su contenido, la igualdad no equivale a igualitarismo. Ha indicado numerosas veces el TC, de acuerdo a la STC 212/1993</w:t>
      </w:r>
      <w:r>
        <w:rPr>
          <w:rStyle w:val="Refdenotaalpie"/>
        </w:rPr>
        <w:footnoteReference w:id="11"/>
      </w:r>
      <w:r w:rsidRPr="00131B33">
        <w:t xml:space="preserve">, de 28 de junio, </w:t>
      </w:r>
      <w:r>
        <w:t xml:space="preserve">establece que </w:t>
      </w:r>
      <w:r w:rsidRPr="004D38B5">
        <w:rPr>
          <w:i/>
        </w:rPr>
        <w:t xml:space="preserve">“la igualdad comporta el trato igual a los iguales de manera que no puede indicarse ese valor constitucional cuando se trata de manera desigual a los desiguales”. </w:t>
      </w:r>
    </w:p>
    <w:p w:rsidR="006D2591" w:rsidRDefault="006B79DC" w:rsidP="006D2591">
      <w:pPr>
        <w:ind w:firstLine="708"/>
        <w:jc w:val="both"/>
      </w:pPr>
      <w:r w:rsidRPr="00131B33">
        <w:t>Dicho esto, el igualitarismo sin matices es una degradación de la igualdad, de manera que, ante la igual dignidad de todos los seres humanos, se deberá someter cada caso a un juicio de igualdad que según la jurisprudencia constitucional posee carácter racional por lo que, en primer lugar, se procede a la identificación de trato entre dos personas o grupos y, en segundo lugar, comprobar que esas personas se encuentren ante una situación homogénea. Por último, se requiere una justificación, objetiva y razonable</w:t>
      </w:r>
      <w:r>
        <w:t>.</w:t>
      </w:r>
      <w:r>
        <w:tab/>
      </w:r>
    </w:p>
    <w:p w:rsidR="006B79DC" w:rsidRDefault="006B79DC" w:rsidP="006D2591">
      <w:pPr>
        <w:ind w:firstLine="708"/>
        <w:jc w:val="both"/>
      </w:pPr>
      <w:r w:rsidRPr="00131B33">
        <w:t>En relación con el género, la igualdad entre hombres y mujeres no ha de confundirse con la identidad de sexos pues, por el contrario, la aspiración a la igualdad debe pasar por el reconocimiento de ambos.</w:t>
      </w:r>
    </w:p>
    <w:p w:rsidR="00114F36" w:rsidRDefault="00114F36" w:rsidP="00114F36">
      <w:pPr>
        <w:jc w:val="both"/>
        <w:rPr>
          <w:b/>
        </w:rPr>
      </w:pPr>
    </w:p>
    <w:p w:rsidR="006B79DC" w:rsidRPr="00114F36" w:rsidRDefault="006B79DC" w:rsidP="006D2591">
      <w:pPr>
        <w:pStyle w:val="Prrafodelista"/>
        <w:numPr>
          <w:ilvl w:val="2"/>
          <w:numId w:val="7"/>
        </w:numPr>
        <w:jc w:val="both"/>
        <w:rPr>
          <w:b/>
        </w:rPr>
      </w:pPr>
      <w:r w:rsidRPr="00114F36">
        <w:rPr>
          <w:b/>
        </w:rPr>
        <w:t>Desarrollo normativo: Normativa estatal y normativa de la C.A. de Andalucía</w:t>
      </w:r>
    </w:p>
    <w:p w:rsidR="00E35ED7" w:rsidRPr="00707D8F" w:rsidRDefault="00E35ED7" w:rsidP="00E35ED7">
      <w:pPr>
        <w:ind w:firstLine="708"/>
        <w:jc w:val="both"/>
      </w:pPr>
      <w:r w:rsidRPr="00707D8F">
        <w:t>La igualdad de género en la Constitución Española de 1978</w:t>
      </w:r>
      <w:r w:rsidRPr="00707D8F">
        <w:rPr>
          <w:rStyle w:val="Refdenotaalpie"/>
        </w:rPr>
        <w:footnoteReference w:id="12"/>
      </w:r>
      <w:r w:rsidRPr="00707D8F">
        <w:t>, como anteriormente he hecho mención, hay que tener en cuenta el artículo 1.1 que determina “Son valores superiores del ordenamiento jurídico, la libertad, la justicia y el pluralismo político”</w:t>
      </w:r>
    </w:p>
    <w:p w:rsidR="00E35ED7" w:rsidRPr="00707D8F" w:rsidRDefault="00E35ED7" w:rsidP="00E35ED7">
      <w:pPr>
        <w:ind w:firstLine="708"/>
        <w:jc w:val="both"/>
      </w:pPr>
      <w:r w:rsidRPr="00707D8F">
        <w:t xml:space="preserve">Por lo que refiere el artículo 9.2 de la Constitución Española señala que “Corresponde a los poderes públicos promover las condiciones para que la igualdad y la </w:t>
      </w:r>
      <w:r w:rsidRPr="00707D8F">
        <w:lastRenderedPageBreak/>
        <w:t>libertad del individuo y de los grupos en que se integra sean reales y efectivas, remover los obstáculos que impidan o dificulten su plenitud y facilitar la participación de todos los ciudadanos en la vida política, económica, cultural y social”.</w:t>
      </w:r>
    </w:p>
    <w:p w:rsidR="00E35ED7" w:rsidRPr="00707D8F" w:rsidRDefault="00E35ED7" w:rsidP="00E35ED7">
      <w:pPr>
        <w:ind w:firstLine="708"/>
        <w:jc w:val="both"/>
      </w:pPr>
      <w:r w:rsidRPr="00707D8F">
        <w:t>El artículo 14 constitucionaliza con carácter general, el valor superior de la igualdad, elevándolo a rango de derecho constitucional especialmente protegido por la propia Constitución, al determinar “Los españoles son iguales ante la ley, sin que pueda prevalecer discriminación alguna por razón de nacimiento, raza, sexo, religión, opinión o cualquier otra condición o circunstancia personal o social”</w:t>
      </w:r>
    </w:p>
    <w:p w:rsidR="00E35ED7" w:rsidRPr="00707D8F" w:rsidRDefault="00E35ED7" w:rsidP="00E35ED7">
      <w:pPr>
        <w:ind w:firstLine="708"/>
        <w:jc w:val="both"/>
      </w:pPr>
      <w:r w:rsidRPr="00707D8F">
        <w:t>El artículo 23 recoge “el derecho a participar en los asuntos públicos directamente o por medio de representantes y tienen derecho a acceder en condiciones de igualdad a las funciones y cargos públicos”.</w:t>
      </w:r>
    </w:p>
    <w:p w:rsidR="00E35ED7" w:rsidRPr="00707D8F" w:rsidRDefault="00E35ED7" w:rsidP="00E35ED7">
      <w:pPr>
        <w:ind w:firstLine="708"/>
        <w:jc w:val="both"/>
      </w:pPr>
      <w:r w:rsidRPr="00707D8F">
        <w:t>El artículo 32 determina que “El hombre y la mujer tienen derecho a contraer matrimonio con plena igualdad jurídica y la ley regulará las formas de matrimonio, edad y capacidad para contraerlo, derechos y deberes de los cónyuges, causas de separación y disolución y sus efectos.”</w:t>
      </w:r>
    </w:p>
    <w:p w:rsidR="00E35ED7" w:rsidRPr="00707D8F" w:rsidRDefault="00E35ED7" w:rsidP="00E35ED7">
      <w:pPr>
        <w:ind w:firstLine="708"/>
        <w:jc w:val="both"/>
      </w:pPr>
      <w:r w:rsidRPr="00707D8F">
        <w:t>El artículo 35.1 recoge “el deber y el derecho de los españoles al trabajo, a la libre elección de profesión u oficio, a la promoción a través del trabajo y a una remuneración suficiente para satisfacer sus necesidades y las de su familia “sin que en ningún caso puede hacerse discriminación por razón de sexo”.</w:t>
      </w:r>
    </w:p>
    <w:p w:rsidR="00E35ED7" w:rsidRPr="00707D8F" w:rsidRDefault="00E35ED7" w:rsidP="00E35ED7">
      <w:pPr>
        <w:ind w:firstLine="708"/>
        <w:jc w:val="both"/>
      </w:pPr>
      <w:r w:rsidRPr="00707D8F">
        <w:t>El artículo 103.3, la ley “regulará el estatuto de los funcionarios públicos, el acceso a la función pública de acuerdo con los principios de mérito y capacidad, las peculiaridades del ejercicio de su derecho a sindicación, el sistema de incompatibilidades y las garantías para la imparcialidad en el ejercicio de sus funciones”.</w:t>
      </w:r>
    </w:p>
    <w:p w:rsidR="00A76D3F" w:rsidRPr="00707D8F" w:rsidRDefault="00A76D3F" w:rsidP="00E35ED7">
      <w:pPr>
        <w:ind w:firstLine="708"/>
        <w:jc w:val="both"/>
      </w:pPr>
    </w:p>
    <w:p w:rsidR="006B79DC" w:rsidRPr="00707D8F" w:rsidRDefault="006B79DC" w:rsidP="006D2591">
      <w:pPr>
        <w:pStyle w:val="Prrafodelista"/>
        <w:numPr>
          <w:ilvl w:val="3"/>
          <w:numId w:val="7"/>
        </w:numPr>
        <w:jc w:val="both"/>
        <w:rPr>
          <w:b/>
        </w:rPr>
      </w:pPr>
      <w:r w:rsidRPr="00707D8F">
        <w:rPr>
          <w:b/>
        </w:rPr>
        <w:t>Normativa estatal</w:t>
      </w:r>
    </w:p>
    <w:p w:rsidR="00E35ED7" w:rsidRPr="00707D8F" w:rsidRDefault="00E35ED7" w:rsidP="00E35ED7">
      <w:pPr>
        <w:ind w:firstLine="708"/>
        <w:jc w:val="both"/>
        <w:rPr>
          <w:b/>
        </w:rPr>
      </w:pPr>
      <w:r w:rsidRPr="00707D8F">
        <w:t>El Estado Español, siguiendo el espíritu de la legislación de la Unión Europea sobre igualdad, ha desarrollado una normativa adaptada a la citada legislación y a la Constitución Española de 1978. Así a nivel estatal nos encontramos con las siguientes normas:</w:t>
      </w:r>
    </w:p>
    <w:p w:rsidR="00E35ED7" w:rsidRPr="00707D8F" w:rsidRDefault="00E35ED7" w:rsidP="00E35ED7">
      <w:pPr>
        <w:ind w:firstLine="708"/>
        <w:jc w:val="both"/>
      </w:pPr>
      <w:r w:rsidRPr="00707D8F">
        <w:lastRenderedPageBreak/>
        <w:t>La Ley 16/1983</w:t>
      </w:r>
      <w:r w:rsidRPr="00707D8F">
        <w:rPr>
          <w:rStyle w:val="Refdenotaalpie"/>
        </w:rPr>
        <w:footnoteReference w:id="13"/>
      </w:r>
      <w:r w:rsidRPr="00707D8F">
        <w:t>, crea el Instituto de la Mujer como “un Organismo Autónomo de carácter administrativo dependiente de entonces Ministerio de Trabajo y Asuntos Sociales, como responsable de promover la efectiva igualdad entre personas de ambos sexos”.</w:t>
      </w:r>
    </w:p>
    <w:p w:rsidR="00E35ED7" w:rsidRPr="00707D8F" w:rsidRDefault="00E35ED7" w:rsidP="00E35ED7">
      <w:pPr>
        <w:ind w:firstLine="708"/>
        <w:jc w:val="both"/>
      </w:pPr>
      <w:r w:rsidRPr="00707D8F">
        <w:t>La Ley 39/1999</w:t>
      </w:r>
      <w:r w:rsidRPr="00707D8F">
        <w:rPr>
          <w:rStyle w:val="Refdenotaalpie"/>
        </w:rPr>
        <w:footnoteReference w:id="14"/>
      </w:r>
      <w:r w:rsidRPr="00707D8F">
        <w:t>, para promover “la conciliación de la vida laboral y familiar de las personas trabajadoras”.</w:t>
      </w:r>
    </w:p>
    <w:p w:rsidR="00E35ED7" w:rsidRPr="00707D8F" w:rsidRDefault="00E35ED7" w:rsidP="00E35ED7">
      <w:pPr>
        <w:ind w:firstLine="708"/>
        <w:jc w:val="both"/>
      </w:pPr>
      <w:r w:rsidRPr="00707D8F">
        <w:t>Por Real Decreto 1686/2000</w:t>
      </w:r>
      <w:r w:rsidRPr="00707D8F">
        <w:rPr>
          <w:rStyle w:val="Refdenotaalpie"/>
        </w:rPr>
        <w:footnoteReference w:id="15"/>
      </w:r>
      <w:r w:rsidRPr="00707D8F">
        <w:t>, se crea el Observatorio de la Igualdad de Oportunidades entre mujeres y hombres como órgano adscrito al entonces Ministerio de Trabajo y Asuntos Sociales, con el objetivo de “construir un sistema de información con capacidad para conocer la situación de las mujeres, respecto a los hombres, y el efecto de las políticas institucionales puestas en marcha, para promover la participación de las mujeres, en todos los ámbitos, en un plano de igualdad”.</w:t>
      </w:r>
    </w:p>
    <w:p w:rsidR="00E35ED7" w:rsidRPr="00707D8F" w:rsidRDefault="00E35ED7" w:rsidP="00E35ED7">
      <w:pPr>
        <w:ind w:firstLine="708"/>
        <w:jc w:val="both"/>
      </w:pPr>
      <w:r w:rsidRPr="00707D8F">
        <w:t>La Ley 27/2003</w:t>
      </w:r>
      <w:r w:rsidRPr="00707D8F">
        <w:rPr>
          <w:rStyle w:val="Refdenotaalpie"/>
        </w:rPr>
        <w:footnoteReference w:id="16"/>
      </w:r>
      <w:r w:rsidRPr="00707D8F">
        <w:t>, reguladora de la “Orden de protección de las víctimas de la violencia de doméstica”.</w:t>
      </w:r>
    </w:p>
    <w:p w:rsidR="00E35ED7" w:rsidRPr="00707D8F" w:rsidRDefault="00E35ED7" w:rsidP="00E35ED7">
      <w:pPr>
        <w:ind w:firstLine="708"/>
        <w:jc w:val="both"/>
      </w:pPr>
      <w:r w:rsidRPr="00707D8F">
        <w:t>La Ley 30/2003</w:t>
      </w:r>
      <w:r w:rsidRPr="00707D8F">
        <w:rPr>
          <w:rStyle w:val="Refdenotaalpie"/>
        </w:rPr>
        <w:footnoteReference w:id="17"/>
      </w:r>
      <w:r w:rsidRPr="00707D8F">
        <w:t>, sobre medidas para incorporar la valoración del impacto de género en las disposiciones normativas que elabore el Gobierno. En la que Gobierno del Estado asume “la responsabilidad de aportar información sobre la incorporación de la perspectiva de género y la valoración de los efectos que las normas aprobadas van a tener, de forma separada, sobre los hombres y mujeres, considerando, especialmente, las desigualdades y discriminaciones por razón de sexo existentes”.</w:t>
      </w:r>
    </w:p>
    <w:p w:rsidR="00E35ED7" w:rsidRPr="00707D8F" w:rsidRDefault="00E35ED7" w:rsidP="00E35ED7">
      <w:pPr>
        <w:ind w:firstLine="708"/>
        <w:jc w:val="both"/>
      </w:pPr>
      <w:r w:rsidRPr="00707D8F">
        <w:t>El Real Decreto 562/2004</w:t>
      </w:r>
      <w:r w:rsidRPr="00707D8F">
        <w:rPr>
          <w:rStyle w:val="Refdenotaalpie"/>
        </w:rPr>
        <w:footnoteReference w:id="18"/>
      </w:r>
      <w:r w:rsidRPr="00707D8F">
        <w:t>, de 13 de abril, por el que se aprueba la estructura orgánica básica de los Departamentos Ministeriales creando, la Secretaría General de Políticas de Igualdad.</w:t>
      </w:r>
    </w:p>
    <w:p w:rsidR="00E35ED7" w:rsidRPr="00707D8F" w:rsidRDefault="00E35ED7" w:rsidP="00E35ED7">
      <w:pPr>
        <w:ind w:firstLine="708"/>
        <w:jc w:val="both"/>
      </w:pPr>
      <w:r w:rsidRPr="00707D8F">
        <w:lastRenderedPageBreak/>
        <w:t>La Ley Orgánica 1/2004</w:t>
      </w:r>
      <w:r w:rsidRPr="00707D8F">
        <w:rPr>
          <w:rStyle w:val="Refdenotaalpie"/>
        </w:rPr>
        <w:footnoteReference w:id="19"/>
      </w:r>
      <w:r w:rsidRPr="00707D8F">
        <w:t>, de medidas de protección integral contra la violencia de género.</w:t>
      </w:r>
    </w:p>
    <w:p w:rsidR="00E35ED7" w:rsidRDefault="00E35ED7" w:rsidP="00E35ED7">
      <w:pPr>
        <w:ind w:firstLine="708"/>
        <w:jc w:val="both"/>
      </w:pPr>
      <w:r>
        <w:t>Orden PRE/525/2005</w:t>
      </w:r>
      <w:r>
        <w:rPr>
          <w:rStyle w:val="Refdenotaalpie"/>
        </w:rPr>
        <w:footnoteReference w:id="20"/>
      </w:r>
      <w:r>
        <w:t xml:space="preserve">, por la que se da publicidad al Acuerdo del Consejo de Ministros por el que se adoptan medidas para </w:t>
      </w:r>
      <w:r w:rsidRPr="00717E53">
        <w:rPr>
          <w:i/>
        </w:rPr>
        <w:t>“favorecer la igualdad entre mujeres y hombres</w:t>
      </w:r>
      <w:r>
        <w:rPr>
          <w:i/>
        </w:rPr>
        <w:t>”</w:t>
      </w:r>
      <w:r>
        <w:t>.</w:t>
      </w:r>
    </w:p>
    <w:p w:rsidR="00E35ED7" w:rsidRDefault="00E35ED7" w:rsidP="00E35ED7">
      <w:pPr>
        <w:ind w:firstLine="708"/>
        <w:jc w:val="both"/>
      </w:pPr>
      <w:r>
        <w:t>La Ley 39/2006</w:t>
      </w:r>
      <w:r>
        <w:rPr>
          <w:rStyle w:val="Refdenotaalpie"/>
        </w:rPr>
        <w:footnoteReference w:id="21"/>
      </w:r>
      <w:r>
        <w:t>, de Promoción de la Autonomía Personal y Atención a las Personas en situación de Dependencia.</w:t>
      </w:r>
    </w:p>
    <w:p w:rsidR="00E35ED7" w:rsidRDefault="00E35ED7" w:rsidP="00E35ED7">
      <w:pPr>
        <w:ind w:firstLine="708"/>
        <w:jc w:val="both"/>
      </w:pPr>
      <w:r>
        <w:t>Con el fin de combatir las manifestaciones de discriminación, directa o indirecta, por razón de sexo y promover la igualdad real entre mujeres y hombres, como hemos hecho mención con anterioridad, se ha aprobó la mencionada</w:t>
      </w:r>
      <w:r w:rsidRPr="00717E53">
        <w:t xml:space="preserve"> Ley Orgánica 3/2007</w:t>
      </w:r>
      <w:r w:rsidRPr="00717E53">
        <w:rPr>
          <w:rStyle w:val="Refdenotaalpie"/>
        </w:rPr>
        <w:footnoteReference w:id="22"/>
      </w:r>
      <w:r>
        <w:t>.</w:t>
      </w:r>
    </w:p>
    <w:p w:rsidR="00E35ED7" w:rsidRPr="00FD7851" w:rsidRDefault="00E35ED7" w:rsidP="00E35ED7">
      <w:pPr>
        <w:ind w:firstLine="360"/>
        <w:jc w:val="both"/>
      </w:pPr>
      <w:r>
        <w:t>Introduce la transversalidad del principio de igualdad de trato entre hombres y mujeres y establece unos criterios generales de actuación</w:t>
      </w:r>
      <w:r w:rsidR="00C50C67">
        <w:t xml:space="preserve"> de los poderes públicos, recogidos en</w:t>
      </w:r>
      <w:r w:rsidRPr="00FD7851">
        <w:t xml:space="preserve"> el artículo 14</w:t>
      </w:r>
      <w:r w:rsidR="00C50C67">
        <w:rPr>
          <w:rStyle w:val="Refdenotaalpie"/>
        </w:rPr>
        <w:footnoteReference w:id="23"/>
      </w:r>
      <w:r w:rsidRPr="00FD7851">
        <w:t xml:space="preserve"> de la Ley 3/2007</w:t>
      </w:r>
      <w:r w:rsidR="00C50C67">
        <w:t xml:space="preserve">. </w:t>
      </w:r>
      <w:r w:rsidRPr="00FD7851">
        <w:t>Por lo que, los instrumentos básicos para lograr los objetivos propuestos en la ley 3/2007 serán en el ámbito de la Administración General del Estado de:</w:t>
      </w:r>
    </w:p>
    <w:p w:rsidR="00E35ED7" w:rsidRPr="00FD7851" w:rsidRDefault="00E35ED7" w:rsidP="00E35ED7">
      <w:pPr>
        <w:pStyle w:val="Prrafodelista"/>
        <w:numPr>
          <w:ilvl w:val="0"/>
          <w:numId w:val="18"/>
        </w:numPr>
        <w:jc w:val="both"/>
      </w:pPr>
      <w:r w:rsidRPr="00FD7851">
        <w:t>Un plan Estratégico de Igualdad de Oportunidades.</w:t>
      </w:r>
    </w:p>
    <w:p w:rsidR="00E35ED7" w:rsidRPr="00FD7851" w:rsidRDefault="00E35ED7" w:rsidP="00E35ED7">
      <w:pPr>
        <w:pStyle w:val="Prrafodelista"/>
        <w:jc w:val="both"/>
      </w:pPr>
    </w:p>
    <w:p w:rsidR="00E35ED7" w:rsidRPr="00FD7851" w:rsidRDefault="00E35ED7" w:rsidP="00E35ED7">
      <w:pPr>
        <w:pStyle w:val="Prrafodelista"/>
        <w:numPr>
          <w:ilvl w:val="0"/>
          <w:numId w:val="18"/>
        </w:numPr>
        <w:jc w:val="both"/>
      </w:pPr>
      <w:r w:rsidRPr="00FD7851">
        <w:t>La creación de una Comisión Interministerial de Igualdad con responsabilidades de coordinación.</w:t>
      </w:r>
    </w:p>
    <w:p w:rsidR="00E35ED7" w:rsidRPr="00FD7851" w:rsidRDefault="00E35ED7" w:rsidP="00E35ED7">
      <w:pPr>
        <w:pStyle w:val="Prrafodelista"/>
      </w:pPr>
    </w:p>
    <w:p w:rsidR="00E35ED7" w:rsidRPr="00FD7851" w:rsidRDefault="00E35ED7" w:rsidP="00E35ED7">
      <w:pPr>
        <w:pStyle w:val="Prrafodelista"/>
        <w:numPr>
          <w:ilvl w:val="0"/>
          <w:numId w:val="18"/>
        </w:numPr>
        <w:jc w:val="both"/>
      </w:pPr>
      <w:r w:rsidRPr="00FD7851">
        <w:t>Los informes de impacto de género, cuya obligatoriedad se amplía desde las normas legales a los planes de especial relevancia económica y social.</w:t>
      </w:r>
    </w:p>
    <w:p w:rsidR="00E35ED7" w:rsidRPr="00FD7851" w:rsidRDefault="00E35ED7" w:rsidP="00E35ED7">
      <w:pPr>
        <w:pStyle w:val="Prrafodelista"/>
      </w:pPr>
    </w:p>
    <w:p w:rsidR="00E35ED7" w:rsidRDefault="00E35ED7" w:rsidP="009C0C10">
      <w:pPr>
        <w:pStyle w:val="Prrafodelista"/>
        <w:numPr>
          <w:ilvl w:val="0"/>
          <w:numId w:val="18"/>
        </w:numPr>
        <w:jc w:val="both"/>
      </w:pPr>
      <w:r w:rsidRPr="00FD7851">
        <w:t>Los informes o evaluaciones periódicos sobre la efectividad del principio de igualdad.</w:t>
      </w:r>
    </w:p>
    <w:p w:rsidR="004C0EA2" w:rsidRDefault="004C0EA2" w:rsidP="004C0EA2">
      <w:pPr>
        <w:pStyle w:val="Prrafodelista"/>
      </w:pPr>
    </w:p>
    <w:p w:rsidR="004C0EA2" w:rsidRPr="00FD7851" w:rsidRDefault="004C0EA2" w:rsidP="004C0EA2">
      <w:pPr>
        <w:pStyle w:val="Prrafodelista"/>
        <w:jc w:val="both"/>
      </w:pPr>
    </w:p>
    <w:p w:rsidR="00E35ED7" w:rsidRPr="00FD7851" w:rsidRDefault="00E35ED7" w:rsidP="00E35ED7">
      <w:pPr>
        <w:pStyle w:val="Prrafodelista"/>
        <w:jc w:val="both"/>
      </w:pPr>
    </w:p>
    <w:p w:rsidR="006B79DC" w:rsidRPr="00FD7851" w:rsidRDefault="006B79DC" w:rsidP="006D2591">
      <w:pPr>
        <w:pStyle w:val="Prrafodelista"/>
        <w:numPr>
          <w:ilvl w:val="3"/>
          <w:numId w:val="7"/>
        </w:numPr>
        <w:jc w:val="both"/>
        <w:rPr>
          <w:b/>
        </w:rPr>
      </w:pPr>
      <w:r w:rsidRPr="00FD7851">
        <w:rPr>
          <w:b/>
        </w:rPr>
        <w:lastRenderedPageBreak/>
        <w:t>Los planes de igualdad</w:t>
      </w:r>
    </w:p>
    <w:p w:rsidR="00E35ED7" w:rsidRPr="00FD7851" w:rsidRDefault="00E35ED7" w:rsidP="004A0023">
      <w:pPr>
        <w:ind w:firstLine="708"/>
        <w:jc w:val="both"/>
      </w:pPr>
      <w:r w:rsidRPr="00FD7851">
        <w:t>La Ley 3/2007</w:t>
      </w:r>
      <w:r w:rsidRPr="00FD7851">
        <w:rPr>
          <w:rStyle w:val="Refdenotaalpie"/>
        </w:rPr>
        <w:footnoteReference w:id="24"/>
      </w:r>
      <w:r w:rsidRPr="00FD7851">
        <w:t xml:space="preserve">, en cuanto a su Capítulo III, sobre los Planes de Igualdad de las empresas y otras medidas </w:t>
      </w:r>
      <w:r w:rsidR="004A0023">
        <w:t>de promoción de la Igualdad, recoge cinco apartados el artículo 45, los cuales, explican tales obligaciones.</w:t>
      </w:r>
    </w:p>
    <w:p w:rsidR="00E35ED7" w:rsidRPr="00FD7851" w:rsidRDefault="00E35ED7" w:rsidP="00E35ED7">
      <w:pPr>
        <w:ind w:firstLine="357"/>
        <w:jc w:val="both"/>
      </w:pPr>
      <w:r w:rsidRPr="00FD7851">
        <w:t>Para el desarrollo del principio de igualdad de mujeres y hombres, correspondiente al artículo 15 de ésta ley, se aprobó el IV plan de Igualdad de Oportunidades entre mujeres y hombres</w:t>
      </w:r>
      <w:r w:rsidRPr="00FD7851">
        <w:rPr>
          <w:rStyle w:val="Refdenotaalpie"/>
        </w:rPr>
        <w:footnoteReference w:id="25"/>
      </w:r>
      <w:r w:rsidRPr="00FD7851">
        <w:t xml:space="preserve">. Este Plan establece “una actuación del IAE durante los próximos 4 años, con el fin de introducir la igualdad de género, así como de impulsar el avance de las mujeres en ámbitos de la vida social que resultase insuficiente”. </w:t>
      </w:r>
    </w:p>
    <w:p w:rsidR="00E35ED7" w:rsidRPr="00FD7851" w:rsidRDefault="00E35ED7" w:rsidP="00E35ED7">
      <w:pPr>
        <w:ind w:firstLine="357"/>
        <w:jc w:val="both"/>
      </w:pPr>
      <w:r w:rsidRPr="00FD7851">
        <w:t>El citado Plan tiene en cuenta los compromisos adquiridos por el estado Español en la IV Conferencia Mundial sobre las Mujeres</w:t>
      </w:r>
      <w:r w:rsidRPr="00FD7851">
        <w:rPr>
          <w:rStyle w:val="Refdenotaalpie"/>
        </w:rPr>
        <w:footnoteReference w:id="26"/>
      </w:r>
      <w:r w:rsidRPr="00FD7851">
        <w:t>, celebrada en Pekín en 1995 y también está basado en las directrices marcadas por la Estrategia Marco Comunitaria sobre la Igualdad entre hombres y mujeres</w:t>
      </w:r>
      <w:r w:rsidRPr="00FD7851">
        <w:rPr>
          <w:rStyle w:val="Refdenotaalpie"/>
        </w:rPr>
        <w:footnoteReference w:id="27"/>
      </w:r>
      <w:r w:rsidRPr="00FD7851">
        <w:t xml:space="preserve"> (2001-2005) cuyo objetivo destaca en “establecer un marco de actuación que permita integra la cuestión de igualdad en todas las actividades comunitarias, de manera que éstas ayuden a alcanzar el objetivo de eliminar las desigualdades y promover la igualdad entre mujeres y hombres”.</w:t>
      </w:r>
    </w:p>
    <w:p w:rsidR="00E35ED7" w:rsidRPr="00FD7851" w:rsidRDefault="00E35ED7" w:rsidP="00E35ED7">
      <w:pPr>
        <w:ind w:firstLine="357"/>
        <w:jc w:val="both"/>
      </w:pPr>
      <w:r w:rsidRPr="00FD7851">
        <w:t>El Plan contempla un total de 168 medidas de acción, las cuales serán asumidas por los diferentes Ministerios por sus propios Presupuestos y dentro de los escenarios presupuestarios plurianuales. Las citadas medidas se articulan a través de 8 áreas prioritarias:</w:t>
      </w:r>
    </w:p>
    <w:p w:rsidR="00E35ED7" w:rsidRPr="00FD7851" w:rsidRDefault="00E35ED7" w:rsidP="00E35ED7">
      <w:pPr>
        <w:pStyle w:val="Prrafodelista"/>
        <w:numPr>
          <w:ilvl w:val="0"/>
          <w:numId w:val="20"/>
        </w:numPr>
        <w:spacing w:after="0"/>
        <w:jc w:val="both"/>
      </w:pPr>
      <w:r w:rsidRPr="00FD7851">
        <w:t>“Introducción de la perspectiva de género en las políticas públicas”.</w:t>
      </w:r>
    </w:p>
    <w:p w:rsidR="00E35ED7" w:rsidRPr="00FD7851" w:rsidRDefault="00E35ED7" w:rsidP="00E35ED7">
      <w:pPr>
        <w:pStyle w:val="Prrafodelista"/>
        <w:spacing w:after="0"/>
        <w:jc w:val="both"/>
      </w:pPr>
    </w:p>
    <w:p w:rsidR="00E35ED7" w:rsidRPr="00FD7851" w:rsidRDefault="00E35ED7" w:rsidP="00E35ED7">
      <w:pPr>
        <w:pStyle w:val="Prrafodelista"/>
        <w:numPr>
          <w:ilvl w:val="0"/>
          <w:numId w:val="20"/>
        </w:numPr>
        <w:spacing w:after="0"/>
        <w:jc w:val="both"/>
      </w:pPr>
      <w:r w:rsidRPr="00FD7851">
        <w:t>“Igualdad entre mujeres y hombres en la vida económica”.</w:t>
      </w:r>
    </w:p>
    <w:p w:rsidR="00E35ED7" w:rsidRPr="00FD7851" w:rsidRDefault="00E35ED7" w:rsidP="00E35ED7">
      <w:pPr>
        <w:pStyle w:val="Prrafodelista"/>
        <w:spacing w:after="0"/>
      </w:pPr>
    </w:p>
    <w:p w:rsidR="00E35ED7" w:rsidRPr="00FD7851" w:rsidRDefault="00E35ED7" w:rsidP="00E35ED7">
      <w:pPr>
        <w:pStyle w:val="Prrafodelista"/>
        <w:numPr>
          <w:ilvl w:val="0"/>
          <w:numId w:val="20"/>
        </w:numPr>
        <w:spacing w:after="0"/>
        <w:jc w:val="both"/>
      </w:pPr>
      <w:r w:rsidRPr="00FD7851">
        <w:t>“Participación de las mujeres en la toma de decisiones a todos los niveles”.</w:t>
      </w:r>
    </w:p>
    <w:p w:rsidR="00E35ED7" w:rsidRPr="00FD7851" w:rsidRDefault="00E35ED7" w:rsidP="00E35ED7">
      <w:pPr>
        <w:pStyle w:val="Prrafodelista"/>
        <w:spacing w:after="0"/>
      </w:pPr>
    </w:p>
    <w:p w:rsidR="00E35ED7" w:rsidRPr="00FD7851" w:rsidRDefault="00E35ED7" w:rsidP="00E35ED7">
      <w:pPr>
        <w:pStyle w:val="Prrafodelista"/>
        <w:numPr>
          <w:ilvl w:val="0"/>
          <w:numId w:val="20"/>
        </w:numPr>
        <w:spacing w:after="0"/>
        <w:jc w:val="both"/>
      </w:pPr>
      <w:r w:rsidRPr="00FD7851">
        <w:t>“Promoción de la calidad de vida de las mujeres”.</w:t>
      </w:r>
    </w:p>
    <w:p w:rsidR="00E35ED7" w:rsidRPr="00FD7851" w:rsidRDefault="00E35ED7" w:rsidP="00E35ED7">
      <w:pPr>
        <w:pStyle w:val="Prrafodelista"/>
        <w:spacing w:after="0"/>
      </w:pPr>
    </w:p>
    <w:p w:rsidR="00E35ED7" w:rsidRPr="00FD7851" w:rsidRDefault="00E35ED7" w:rsidP="00E35ED7">
      <w:pPr>
        <w:pStyle w:val="Prrafodelista"/>
        <w:numPr>
          <w:ilvl w:val="0"/>
          <w:numId w:val="20"/>
        </w:numPr>
        <w:spacing w:after="0"/>
        <w:jc w:val="both"/>
      </w:pPr>
      <w:r w:rsidRPr="00FD7851">
        <w:t>“Fomento de igualdad de las mujeres en la vida civil”.</w:t>
      </w:r>
    </w:p>
    <w:p w:rsidR="00E35ED7" w:rsidRPr="00FD7851" w:rsidRDefault="00E35ED7" w:rsidP="00E35ED7">
      <w:pPr>
        <w:pStyle w:val="Prrafodelista"/>
        <w:spacing w:after="0"/>
      </w:pPr>
    </w:p>
    <w:p w:rsidR="00E35ED7" w:rsidRPr="00FD7851" w:rsidRDefault="00E35ED7" w:rsidP="00E35ED7">
      <w:pPr>
        <w:pStyle w:val="Prrafodelista"/>
        <w:numPr>
          <w:ilvl w:val="0"/>
          <w:numId w:val="20"/>
        </w:numPr>
        <w:spacing w:after="0"/>
        <w:jc w:val="both"/>
      </w:pPr>
      <w:r w:rsidRPr="00FD7851">
        <w:t>“Transmisión de valores y actitudes igualitarias entre mujeres y hombres”.</w:t>
      </w:r>
    </w:p>
    <w:p w:rsidR="00E35ED7" w:rsidRPr="00FD7851" w:rsidRDefault="00E35ED7" w:rsidP="00E35ED7">
      <w:pPr>
        <w:pStyle w:val="Prrafodelista"/>
        <w:spacing w:after="0"/>
      </w:pPr>
    </w:p>
    <w:p w:rsidR="00E35ED7" w:rsidRPr="00FD7851" w:rsidRDefault="00E35ED7" w:rsidP="00E35ED7">
      <w:pPr>
        <w:pStyle w:val="Prrafodelista"/>
        <w:numPr>
          <w:ilvl w:val="0"/>
          <w:numId w:val="20"/>
        </w:numPr>
        <w:spacing w:after="0"/>
        <w:jc w:val="both"/>
      </w:pPr>
      <w:r w:rsidRPr="00FD7851">
        <w:t>“Conciliación de la vida familiar y laboral”.</w:t>
      </w:r>
    </w:p>
    <w:p w:rsidR="00E35ED7" w:rsidRPr="00FD7851" w:rsidRDefault="00E35ED7" w:rsidP="00E35ED7">
      <w:pPr>
        <w:pStyle w:val="Prrafodelista"/>
        <w:spacing w:after="0"/>
      </w:pPr>
    </w:p>
    <w:p w:rsidR="00E35ED7" w:rsidRPr="00FD7851" w:rsidRDefault="00E35ED7" w:rsidP="00E35ED7">
      <w:pPr>
        <w:pStyle w:val="Prrafodelista"/>
        <w:numPr>
          <w:ilvl w:val="0"/>
          <w:numId w:val="20"/>
        </w:numPr>
        <w:spacing w:after="0"/>
        <w:jc w:val="both"/>
      </w:pPr>
      <w:r w:rsidRPr="00FD7851">
        <w:t>“Cooperación entre las Administraciones Públicas, agentes sociales, ONG, y Organizaciones Internacionales”.</w:t>
      </w:r>
    </w:p>
    <w:p w:rsidR="00E35ED7" w:rsidRPr="00FD7851" w:rsidRDefault="00E35ED7" w:rsidP="00E35ED7">
      <w:pPr>
        <w:ind w:left="708"/>
        <w:jc w:val="both"/>
        <w:rPr>
          <w:b/>
        </w:rPr>
      </w:pPr>
    </w:p>
    <w:p w:rsidR="00356C91" w:rsidRPr="00FD7851" w:rsidRDefault="006B79DC" w:rsidP="00963FDB">
      <w:pPr>
        <w:pStyle w:val="Prrafodelista"/>
        <w:numPr>
          <w:ilvl w:val="3"/>
          <w:numId w:val="7"/>
        </w:numPr>
        <w:jc w:val="both"/>
        <w:rPr>
          <w:b/>
        </w:rPr>
      </w:pPr>
      <w:r w:rsidRPr="00FD7851">
        <w:rPr>
          <w:b/>
        </w:rPr>
        <w:t>Normativa de la C.A. de Andalucía: Estatuto de Autonomía y otras normas autonómicas</w:t>
      </w:r>
    </w:p>
    <w:p w:rsidR="0058505B" w:rsidRPr="00FD7851" w:rsidRDefault="0058505B" w:rsidP="004D2B67">
      <w:pPr>
        <w:ind w:firstLine="708"/>
        <w:jc w:val="both"/>
      </w:pPr>
      <w:r w:rsidRPr="00FD7851">
        <w:t>El Estatuto de Autonomía para Andalucía</w:t>
      </w:r>
      <w:r w:rsidR="00793C96" w:rsidRPr="00FD7851">
        <w:rPr>
          <w:rStyle w:val="Refdenotaalpie"/>
        </w:rPr>
        <w:footnoteReference w:id="28"/>
      </w:r>
      <w:r w:rsidRPr="00FD7851">
        <w:t xml:space="preserve"> recoge en su artículo 10.2 como uno de los objetivos básicos de la C.A. de Andalucía “la efectiva igualdad del hombre y de la mujer andaluces, promoviendo la democracia paritaria y la plena incorporación de aquella en la vida social, superando cualquier discriminación laboral, cultural, económica, política o social”.</w:t>
      </w:r>
    </w:p>
    <w:p w:rsidR="0058505B" w:rsidRPr="00FD7851" w:rsidRDefault="0058505B" w:rsidP="004D2B67">
      <w:pPr>
        <w:ind w:firstLine="708"/>
        <w:jc w:val="both"/>
      </w:pPr>
      <w:r w:rsidRPr="00FD7851">
        <w:t xml:space="preserve">El artículo 14 establece expresamente </w:t>
      </w:r>
      <w:r w:rsidR="00793C96" w:rsidRPr="00FD7851">
        <w:t>“</w:t>
      </w:r>
      <w:r w:rsidRPr="00FD7851">
        <w:t>la prohibición de discriminación, especialmente por razón de sexo, permitiendo las acciones positivas a favor de determinados colectivos desfavorecidos.</w:t>
      </w:r>
      <w:r w:rsidR="00793C96" w:rsidRPr="00FD7851">
        <w:t>”</w:t>
      </w:r>
    </w:p>
    <w:p w:rsidR="0058505B" w:rsidRPr="00FD7851" w:rsidRDefault="0058505B" w:rsidP="004D2B67">
      <w:pPr>
        <w:ind w:firstLine="708"/>
        <w:jc w:val="both"/>
      </w:pPr>
      <w:r w:rsidRPr="00FD7851">
        <w:t xml:space="preserve">El artículo 15 </w:t>
      </w:r>
      <w:r w:rsidR="00793C96" w:rsidRPr="00FD7851">
        <w:t>“</w:t>
      </w:r>
      <w:r w:rsidRPr="00FD7851">
        <w:t>garantiza el principio de igualdad de oportunidades entre hombres y mujeres en todos los ámbitos.</w:t>
      </w:r>
      <w:r w:rsidR="00793C96" w:rsidRPr="00FD7851">
        <w:t>”</w:t>
      </w:r>
    </w:p>
    <w:p w:rsidR="0058505B" w:rsidRPr="00FD7851" w:rsidRDefault="0058505B" w:rsidP="004D2B67">
      <w:pPr>
        <w:ind w:firstLine="708"/>
        <w:jc w:val="both"/>
      </w:pPr>
      <w:r w:rsidRPr="00FD7851">
        <w:t xml:space="preserve">El artículo 19 </w:t>
      </w:r>
      <w:r w:rsidR="00793C96" w:rsidRPr="00FD7851">
        <w:t>“</w:t>
      </w:r>
      <w:r w:rsidRPr="00FD7851">
        <w:t>establece la protección integral de las mujeres víctimas de la violencia de género.</w:t>
      </w:r>
      <w:r w:rsidR="00793C96" w:rsidRPr="00FD7851">
        <w:t>”</w:t>
      </w:r>
    </w:p>
    <w:p w:rsidR="0058505B" w:rsidRPr="00FD7851" w:rsidRDefault="0058505B" w:rsidP="004D2B67">
      <w:pPr>
        <w:ind w:firstLine="708"/>
        <w:jc w:val="both"/>
      </w:pPr>
      <w:r w:rsidRPr="00FD7851">
        <w:t xml:space="preserve">Por último, el artículo 38 establece que </w:t>
      </w:r>
      <w:r w:rsidR="004D2B67" w:rsidRPr="00FD7851">
        <w:t>“</w:t>
      </w:r>
      <w:r w:rsidRPr="00FD7851">
        <w:t>la prohibición de discriminación del artículo 14 y de los derechos reconocidos en el Capítulo II vinculan a todos los poderes públicos andaluces y, dependiendo de la naturaleza de cada derecho, a los particulares, debiendo ser interpretados en el sentido más favorable a su plena efectividad</w:t>
      </w:r>
      <w:r w:rsidR="004D2B67" w:rsidRPr="00FD7851">
        <w:t>”</w:t>
      </w:r>
      <w:r w:rsidRPr="00FD7851">
        <w:t>.</w:t>
      </w:r>
    </w:p>
    <w:p w:rsidR="00793C96" w:rsidRPr="00FD7851" w:rsidRDefault="00793C96" w:rsidP="009C0C10">
      <w:pPr>
        <w:ind w:firstLine="708"/>
        <w:jc w:val="both"/>
      </w:pPr>
      <w:r w:rsidRPr="00FD7851">
        <w:t>Otra normativa autonómica relativa al tema de la igualdad de género es:</w:t>
      </w:r>
    </w:p>
    <w:p w:rsidR="00793C96" w:rsidRPr="00FD7851" w:rsidRDefault="00793C96" w:rsidP="004D2B67">
      <w:pPr>
        <w:ind w:firstLine="708"/>
        <w:jc w:val="both"/>
      </w:pPr>
      <w:r w:rsidRPr="00FD7851">
        <w:lastRenderedPageBreak/>
        <w:t>La Ley 10/1988</w:t>
      </w:r>
      <w:r w:rsidR="003E1D2C" w:rsidRPr="00FD7851">
        <w:rPr>
          <w:rStyle w:val="Refdenotaalpie"/>
        </w:rPr>
        <w:footnoteReference w:id="29"/>
      </w:r>
      <w:r w:rsidRPr="00FD7851">
        <w:t>, como organismo autónomo de carácter administrativo dependiente de la Consej</w:t>
      </w:r>
      <w:r w:rsidR="004D2B67" w:rsidRPr="00FD7851">
        <w:t>ería de Gobernación,</w:t>
      </w:r>
      <w:r w:rsidRPr="00FD7851">
        <w:t xml:space="preserve"> adscrito </w:t>
      </w:r>
      <w:r w:rsidR="004D2B67" w:rsidRPr="00FD7851">
        <w:t xml:space="preserve">actualmente </w:t>
      </w:r>
      <w:r w:rsidRPr="00FD7851">
        <w:t>a la Consejería para la Igualdad y el Bienestar Social.</w:t>
      </w:r>
    </w:p>
    <w:p w:rsidR="00793C96" w:rsidRPr="00FD7851" w:rsidRDefault="00793C96" w:rsidP="004D2B67">
      <w:pPr>
        <w:ind w:firstLine="708"/>
        <w:jc w:val="both"/>
      </w:pPr>
      <w:r w:rsidRPr="00FD7851">
        <w:t>El Decreto 1/1989</w:t>
      </w:r>
      <w:r w:rsidR="003E1D2C" w:rsidRPr="00FD7851">
        <w:rPr>
          <w:rStyle w:val="Refdenotaalpie"/>
        </w:rPr>
        <w:footnoteReference w:id="30"/>
      </w:r>
      <w:r w:rsidRPr="00FD7851">
        <w:t>, de 10 de enero, por el qu</w:t>
      </w:r>
      <w:r w:rsidR="004D2B67" w:rsidRPr="00FD7851">
        <w:t xml:space="preserve">e se aprueba el Reglamento del Instituto </w:t>
      </w:r>
      <w:r w:rsidRPr="00FD7851">
        <w:t>A</w:t>
      </w:r>
      <w:r w:rsidR="004D2B67" w:rsidRPr="00FD7851">
        <w:t xml:space="preserve">ndaluz de la </w:t>
      </w:r>
      <w:r w:rsidRPr="00FD7851">
        <w:t>M</w:t>
      </w:r>
      <w:r w:rsidR="004D2B67" w:rsidRPr="00FD7851">
        <w:t>ujer</w:t>
      </w:r>
      <w:r w:rsidRPr="00FD7851">
        <w:t>, modificado por Decreto 120/1997</w:t>
      </w:r>
      <w:r w:rsidR="004D2B67" w:rsidRPr="00FD7851">
        <w:rPr>
          <w:rStyle w:val="Refdenotaalpie"/>
        </w:rPr>
        <w:footnoteReference w:id="31"/>
      </w:r>
      <w:r w:rsidRPr="00FD7851">
        <w:t>.El Decreto 11/1992</w:t>
      </w:r>
      <w:r w:rsidR="005B3B2C" w:rsidRPr="00FD7851">
        <w:rPr>
          <w:rStyle w:val="Refdenotaalpie"/>
        </w:rPr>
        <w:footnoteReference w:id="32"/>
      </w:r>
      <w:r w:rsidR="004D2B67" w:rsidRPr="00FD7851">
        <w:t>, e</w:t>
      </w:r>
      <w:r w:rsidRPr="00FD7851">
        <w:t>l Decreto 137/2002</w:t>
      </w:r>
      <w:r w:rsidR="005B3B2C" w:rsidRPr="00FD7851">
        <w:rPr>
          <w:rStyle w:val="Refdenotaalpie"/>
        </w:rPr>
        <w:footnoteReference w:id="33"/>
      </w:r>
      <w:r w:rsidR="004D2B67" w:rsidRPr="00FD7851">
        <w:t>entre otros.</w:t>
      </w:r>
    </w:p>
    <w:p w:rsidR="00793C96" w:rsidRPr="00FD7851" w:rsidRDefault="004D2B67" w:rsidP="004D2B67">
      <w:pPr>
        <w:ind w:firstLine="708"/>
        <w:jc w:val="both"/>
      </w:pPr>
      <w:r w:rsidRPr="00FD7851">
        <w:t>Se debe tener en cuenta, l</w:t>
      </w:r>
      <w:r w:rsidR="00793C96" w:rsidRPr="00FD7851">
        <w:t>a Ley 18/2003</w:t>
      </w:r>
      <w:r w:rsidR="005B3B2C" w:rsidRPr="00FD7851">
        <w:rPr>
          <w:rStyle w:val="Refdenotaalpie"/>
        </w:rPr>
        <w:footnoteReference w:id="34"/>
      </w:r>
      <w:r w:rsidR="00793C96" w:rsidRPr="00FD7851">
        <w:t xml:space="preserve">, </w:t>
      </w:r>
      <w:r w:rsidRPr="00FD7851">
        <w:t xml:space="preserve">que, </w:t>
      </w:r>
      <w:r w:rsidR="00793C96" w:rsidRPr="00FD7851">
        <w:t>pretende proporcionar instrumentos para el cumplimiento de los objetivos de la política económica de la Ley de Presupuestos de Andalucía, cuy Capítulo VIII hace referencia a las medidas en materia de género.</w:t>
      </w:r>
    </w:p>
    <w:p w:rsidR="005044C1" w:rsidRPr="00FD7851" w:rsidRDefault="00793C96" w:rsidP="003C3725">
      <w:pPr>
        <w:ind w:firstLine="708"/>
        <w:jc w:val="both"/>
      </w:pPr>
      <w:r w:rsidRPr="00FD7851">
        <w:t>La Ley 6/2006</w:t>
      </w:r>
      <w:r w:rsidR="003F781E" w:rsidRPr="00FD7851">
        <w:rPr>
          <w:rStyle w:val="Refdenotaalpie"/>
        </w:rPr>
        <w:footnoteReference w:id="35"/>
      </w:r>
      <w:r w:rsidRPr="00FD7851">
        <w:t xml:space="preserve">, </w:t>
      </w:r>
      <w:r w:rsidR="0025716B" w:rsidRPr="00FD7851">
        <w:t xml:space="preserve">en el que hemos de hacer mención a su </w:t>
      </w:r>
      <w:r w:rsidRPr="00FD7851">
        <w:t>artículo 18.3</w:t>
      </w:r>
      <w:r w:rsidR="0025716B" w:rsidRPr="00FD7851">
        <w:t>, el cual,</w:t>
      </w:r>
      <w:r w:rsidRPr="00FD7851">
        <w:t xml:space="preserve"> establece </w:t>
      </w:r>
      <w:r w:rsidR="0025716B" w:rsidRPr="00FD7851">
        <w:t>“Las designaciones de las personas integrantes del Consejo de Gobierno que realice el Presidente de Andalucía, cada sexo estará representado en, al menos, un cuarenta por ciento”.</w:t>
      </w:r>
    </w:p>
    <w:p w:rsidR="00793C96" w:rsidRPr="00FD7851" w:rsidRDefault="00793C96" w:rsidP="0025716B">
      <w:pPr>
        <w:ind w:firstLine="708"/>
        <w:jc w:val="both"/>
      </w:pPr>
      <w:r w:rsidRPr="00FD7851">
        <w:t>Má</w:t>
      </w:r>
      <w:r w:rsidR="0025716B" w:rsidRPr="00FD7851">
        <w:t>s recientemente se han aprobado, l</w:t>
      </w:r>
      <w:r w:rsidRPr="00FD7851">
        <w:t>a Ley 12/2007</w:t>
      </w:r>
      <w:r w:rsidR="0025716B" w:rsidRPr="00FD7851">
        <w:t xml:space="preserve"> y </w:t>
      </w:r>
      <w:r w:rsidR="005044C1" w:rsidRPr="00FD7851">
        <w:t>la Ley 13/2007</w:t>
      </w:r>
      <w:r w:rsidR="0025716B" w:rsidRPr="00FD7851">
        <w:t>. La Ley 12/2007, pre</w:t>
      </w:r>
      <w:r w:rsidR="0058239E" w:rsidRPr="00FD7851">
        <w:t xml:space="preserve">senta como objetivo </w:t>
      </w:r>
      <w:r w:rsidR="009C0C10" w:rsidRPr="00FD7851">
        <w:t>principal “La</w:t>
      </w:r>
      <w:r w:rsidR="0025716B" w:rsidRPr="00FD7851">
        <w:t xml:space="preserve"> consecución de la igualdad real y efectiva entre mujeres</w:t>
      </w:r>
      <w:r w:rsidR="0058239E" w:rsidRPr="00FD7851">
        <w:t xml:space="preserve"> y hombres”. Para ello, requiere la vinculación de los poderes públicos desde el cumplimiento de la transversalidad como instrumento para ejercer las competencias autonómicas.</w:t>
      </w:r>
    </w:p>
    <w:p w:rsidR="00323A07" w:rsidRPr="00FD7851" w:rsidRDefault="0058239E" w:rsidP="004A0023">
      <w:pPr>
        <w:ind w:firstLine="360"/>
        <w:jc w:val="both"/>
      </w:pPr>
      <w:r w:rsidRPr="00FD7851">
        <w:t>Empezando por el Título Preliminar establece, en su artículo 4</w:t>
      </w:r>
      <w:r w:rsidR="004A0023">
        <w:rPr>
          <w:rStyle w:val="Refdenotaalpie"/>
        </w:rPr>
        <w:footnoteReference w:id="36"/>
      </w:r>
      <w:r w:rsidRPr="00FD7851">
        <w:t>, los principios generales que han de presidir la actuación de los poderes públicos en relación con l</w:t>
      </w:r>
      <w:r w:rsidR="004A0023">
        <w:t xml:space="preserve">a igualdad de género. </w:t>
      </w:r>
    </w:p>
    <w:p w:rsidR="009421ED" w:rsidRPr="00FD7851" w:rsidRDefault="0058239E" w:rsidP="00D15324">
      <w:pPr>
        <w:ind w:firstLine="360"/>
        <w:jc w:val="both"/>
      </w:pPr>
      <w:r w:rsidRPr="00FD7851">
        <w:t>El Título I, habla sobre “las Políticas públicas para la promoción de la igualdad de género”. El Título II,</w:t>
      </w:r>
      <w:r w:rsidR="00323A07" w:rsidRPr="00FD7851">
        <w:t xml:space="preserve"> establece </w:t>
      </w:r>
      <w:r w:rsidRPr="00FD7851">
        <w:t>“</w:t>
      </w:r>
      <w:r w:rsidR="00323A07" w:rsidRPr="00FD7851">
        <w:t>las medidas para promover la igualdad de género en las políticas públicas de los distintos ámbitos de actuación</w:t>
      </w:r>
      <w:r w:rsidRPr="00FD7851">
        <w:t>”</w:t>
      </w:r>
      <w:r w:rsidR="00323A07" w:rsidRPr="00FD7851">
        <w:t xml:space="preserve">. El Título III se ocupa de </w:t>
      </w:r>
      <w:r w:rsidR="009421ED" w:rsidRPr="00FD7851">
        <w:t>“</w:t>
      </w:r>
      <w:r w:rsidR="00323A07" w:rsidRPr="00FD7851">
        <w:t xml:space="preserve">la </w:t>
      </w:r>
      <w:r w:rsidR="00323A07" w:rsidRPr="00FD7851">
        <w:lastRenderedPageBreak/>
        <w:t>organización institucional y coordinación</w:t>
      </w:r>
      <w:r w:rsidR="009421ED" w:rsidRPr="00FD7851">
        <w:t xml:space="preserve"> entre las distintas Administraciones públicas para la igualdad de género”</w:t>
      </w:r>
      <w:r w:rsidR="00D15324" w:rsidRPr="00FD7851">
        <w:t>.</w:t>
      </w:r>
    </w:p>
    <w:p w:rsidR="00323A07" w:rsidRPr="00FD7851" w:rsidRDefault="00E600E5" w:rsidP="0058239E">
      <w:pPr>
        <w:ind w:firstLine="360"/>
        <w:jc w:val="both"/>
      </w:pPr>
      <w:r w:rsidRPr="00FD7851">
        <w:t>La Ley</w:t>
      </w:r>
      <w:r w:rsidR="009421ED" w:rsidRPr="00FD7851">
        <w:t xml:space="preserve"> 12/2007</w:t>
      </w:r>
      <w:r w:rsidR="009421ED" w:rsidRPr="00FD7851">
        <w:rPr>
          <w:rStyle w:val="Refdenotaalpie"/>
        </w:rPr>
        <w:footnoteReference w:id="37"/>
      </w:r>
      <w:r w:rsidR="009421ED" w:rsidRPr="00FD7851">
        <w:t xml:space="preserve">, de acuerdo con los artículos 59, 60, 61, 62 y 63 </w:t>
      </w:r>
      <w:r w:rsidRPr="00FD7851">
        <w:t>crea los siguientes órganos:</w:t>
      </w:r>
    </w:p>
    <w:p w:rsidR="00E600E5" w:rsidRPr="00FD7851" w:rsidRDefault="009421ED" w:rsidP="00E600E5">
      <w:pPr>
        <w:pStyle w:val="Prrafodelista"/>
        <w:numPr>
          <w:ilvl w:val="0"/>
          <w:numId w:val="9"/>
        </w:numPr>
        <w:jc w:val="both"/>
      </w:pPr>
      <w:r w:rsidRPr="00FD7851">
        <w:t>“</w:t>
      </w:r>
      <w:r w:rsidR="00E600E5" w:rsidRPr="00FD7851">
        <w:t>La Comisión interdepartamental para la Igualdad de Mujeres y Hombres, representadas todas las Consejerías de la Junta de Andalucía</w:t>
      </w:r>
      <w:r w:rsidRPr="00FD7851">
        <w:t>”</w:t>
      </w:r>
      <w:r w:rsidR="00E600E5" w:rsidRPr="00FD7851">
        <w:t>.</w:t>
      </w:r>
    </w:p>
    <w:p w:rsidR="00E600E5" w:rsidRPr="00FD7851" w:rsidRDefault="00E600E5" w:rsidP="00E600E5">
      <w:pPr>
        <w:pStyle w:val="Prrafodelista"/>
        <w:jc w:val="both"/>
      </w:pPr>
    </w:p>
    <w:p w:rsidR="00E600E5" w:rsidRPr="00FD7851" w:rsidRDefault="009421ED" w:rsidP="00E600E5">
      <w:pPr>
        <w:pStyle w:val="Prrafodelista"/>
        <w:numPr>
          <w:ilvl w:val="0"/>
          <w:numId w:val="9"/>
        </w:numPr>
        <w:jc w:val="both"/>
      </w:pPr>
      <w:r w:rsidRPr="00FD7851">
        <w:t>“</w:t>
      </w:r>
      <w:r w:rsidR="00E600E5" w:rsidRPr="00FD7851">
        <w:t>Las Unidades de Igualdad de género en todas las Consejerías</w:t>
      </w:r>
      <w:r w:rsidRPr="00FD7851">
        <w:t>”</w:t>
      </w:r>
      <w:r w:rsidR="00E600E5" w:rsidRPr="00FD7851">
        <w:t>.</w:t>
      </w:r>
    </w:p>
    <w:p w:rsidR="00E600E5" w:rsidRPr="00FD7851" w:rsidRDefault="00E600E5" w:rsidP="00E600E5">
      <w:pPr>
        <w:pStyle w:val="Prrafodelista"/>
      </w:pPr>
    </w:p>
    <w:p w:rsidR="00E600E5" w:rsidRPr="00FD7851" w:rsidRDefault="009421ED" w:rsidP="00E600E5">
      <w:pPr>
        <w:pStyle w:val="Prrafodelista"/>
        <w:numPr>
          <w:ilvl w:val="0"/>
          <w:numId w:val="9"/>
        </w:numPr>
        <w:jc w:val="both"/>
      </w:pPr>
      <w:r w:rsidRPr="00FD7851">
        <w:t>“</w:t>
      </w:r>
      <w:r w:rsidR="00E600E5" w:rsidRPr="00FD7851">
        <w:t>El Observatorio de la Igualdad de género</w:t>
      </w:r>
      <w:r w:rsidRPr="00FD7851">
        <w:t>”</w:t>
      </w:r>
      <w:r w:rsidR="00E600E5" w:rsidRPr="00FD7851">
        <w:t>.</w:t>
      </w:r>
    </w:p>
    <w:p w:rsidR="00E600E5" w:rsidRPr="00FD7851" w:rsidRDefault="00E600E5" w:rsidP="00E600E5">
      <w:pPr>
        <w:pStyle w:val="Prrafodelista"/>
      </w:pPr>
    </w:p>
    <w:p w:rsidR="00E600E5" w:rsidRPr="00FD7851" w:rsidRDefault="009421ED" w:rsidP="00E600E5">
      <w:pPr>
        <w:pStyle w:val="Prrafodelista"/>
        <w:numPr>
          <w:ilvl w:val="0"/>
          <w:numId w:val="9"/>
        </w:numPr>
        <w:jc w:val="both"/>
      </w:pPr>
      <w:r w:rsidRPr="00FD7851">
        <w:t>“</w:t>
      </w:r>
      <w:r w:rsidR="00E600E5" w:rsidRPr="00FD7851">
        <w:t>El Consejo Andaluz de Participación de las Mujeres y la Comisión de coordinación de las políticas autonómicas y locales para la igualdad de género</w:t>
      </w:r>
      <w:r w:rsidRPr="00FD7851">
        <w:t>”.</w:t>
      </w:r>
    </w:p>
    <w:p w:rsidR="00E600E5" w:rsidRPr="00FD7851" w:rsidRDefault="00E600E5" w:rsidP="00E600E5">
      <w:pPr>
        <w:pStyle w:val="Prrafodelista"/>
      </w:pPr>
    </w:p>
    <w:p w:rsidR="00E600E5" w:rsidRPr="00FD7851" w:rsidRDefault="00E600E5" w:rsidP="009421ED">
      <w:pPr>
        <w:ind w:firstLine="360"/>
        <w:jc w:val="both"/>
      </w:pPr>
      <w:r w:rsidRPr="00FD7851">
        <w:t>Por último, el Título IV se refiere a las garantías para la igualdad de género.</w:t>
      </w:r>
    </w:p>
    <w:p w:rsidR="00B42D73" w:rsidRPr="00FD7851" w:rsidRDefault="00B42D73" w:rsidP="009421ED">
      <w:pPr>
        <w:ind w:firstLine="360"/>
        <w:jc w:val="both"/>
      </w:pPr>
      <w:r w:rsidRPr="00FD7851">
        <w:t>Respecto a la Ley 13/2007</w:t>
      </w:r>
      <w:r w:rsidR="009421ED" w:rsidRPr="00FD7851">
        <w:rPr>
          <w:rStyle w:val="Refdenotaalpie"/>
        </w:rPr>
        <w:footnoteReference w:id="38"/>
      </w:r>
      <w:r w:rsidRPr="00FD7851">
        <w:t xml:space="preserve"> mencionada con anterioridad, </w:t>
      </w:r>
      <w:r w:rsidR="00F756FF" w:rsidRPr="00FD7851">
        <w:t>haciendo un resumen de la misma, según el Título Preliminar, concretamente, en su artículo 1,</w:t>
      </w:r>
      <w:r w:rsidRPr="00FD7851">
        <w:t xml:space="preserve">tiene por objeto </w:t>
      </w:r>
      <w:r w:rsidR="00F756FF" w:rsidRPr="00FD7851">
        <w:t>“A</w:t>
      </w:r>
      <w:r w:rsidRPr="00FD7851">
        <w:t>ctuar contra la violencia que, como manifestación de la discriminación, la situación de desigualdad y las relaciones deponer de los hombres sobre las mujeres, se ejerce sobre éstas por el solo hecho de ser mujeres</w:t>
      </w:r>
      <w:r w:rsidR="00F756FF" w:rsidRPr="00FD7851">
        <w:t>”.</w:t>
      </w:r>
    </w:p>
    <w:p w:rsidR="00B42D73" w:rsidRPr="00FD7851" w:rsidRDefault="00B42D73" w:rsidP="00F756FF">
      <w:pPr>
        <w:ind w:firstLine="360"/>
        <w:jc w:val="both"/>
      </w:pPr>
      <w:r w:rsidRPr="00FD7851">
        <w:t xml:space="preserve">A efectos de lo dispuesto en </w:t>
      </w:r>
      <w:r w:rsidR="00F756FF" w:rsidRPr="00FD7851">
        <w:t>el artículo 3 de la Ley</w:t>
      </w:r>
      <w:r w:rsidRPr="00FD7851">
        <w:t>, se entiende por violencia de género “</w:t>
      </w:r>
      <w:r w:rsidR="00F756FF" w:rsidRPr="00FD7851">
        <w:t>A</w:t>
      </w:r>
      <w:r w:rsidRPr="00FD7851">
        <w:t xml:space="preserve">quella que, como manifestación de la discriminación, la situación de desigualdad y las relaciones de poder de los hombres sobre las mujeres, se ejerce sobre estas por el hecho de </w:t>
      </w:r>
      <w:r w:rsidR="009C0C10" w:rsidRPr="00FD7851">
        <w:t>serlo”. Además</w:t>
      </w:r>
      <w:r w:rsidR="00F756FF" w:rsidRPr="00FD7851">
        <w:t>, el artículo 4 recoge una serie de principios rectores que buscan “La erradicación de la violencia de género deberá inspirarse en dichos principios rectores”.</w:t>
      </w:r>
    </w:p>
    <w:p w:rsidR="005F7EE8" w:rsidRPr="00FD7851" w:rsidRDefault="00CE7A96" w:rsidP="005F7EE8">
      <w:pPr>
        <w:ind w:firstLine="360"/>
        <w:jc w:val="both"/>
      </w:pPr>
      <w:r w:rsidRPr="00FD7851">
        <w:t xml:space="preserve">El Título I establece las acciones de </w:t>
      </w:r>
      <w:r w:rsidR="00F756FF" w:rsidRPr="00FD7851">
        <w:t xml:space="preserve">“investigación, </w:t>
      </w:r>
      <w:r w:rsidRPr="00FD7851">
        <w:t xml:space="preserve">sensibilización y </w:t>
      </w:r>
      <w:r w:rsidR="009C0C10" w:rsidRPr="00FD7851">
        <w:t>prevención”. Por</w:t>
      </w:r>
      <w:r w:rsidR="00F756FF" w:rsidRPr="00FD7851">
        <w:t xml:space="preserve"> lo que respecta a su Título II</w:t>
      </w:r>
      <w:r w:rsidR="005F7EE8" w:rsidRPr="00FD7851">
        <w:t xml:space="preserve">, destaca “La protección y atención de las mujeres”, en </w:t>
      </w:r>
      <w:r w:rsidR="005F7EE8" w:rsidRPr="00FD7851">
        <w:lastRenderedPageBreak/>
        <w:t>el que refleja los derechos de las mujeres, ámbito de seguridad y de salud, actuación jurídica, social e integral y acogida respectivamente.</w:t>
      </w:r>
    </w:p>
    <w:p w:rsidR="00CE7A96" w:rsidRPr="00FD7851" w:rsidRDefault="005F7EE8" w:rsidP="005F7EE8">
      <w:pPr>
        <w:ind w:firstLine="360"/>
        <w:jc w:val="both"/>
      </w:pPr>
      <w:r w:rsidRPr="00FD7851">
        <w:t>El T</w:t>
      </w:r>
      <w:r w:rsidR="00CE7A96" w:rsidRPr="00FD7851">
        <w:t xml:space="preserve">ítulo III establece una </w:t>
      </w:r>
      <w:r w:rsidRPr="00FD7851">
        <w:t>serie de “medidas</w:t>
      </w:r>
      <w:r w:rsidR="00CE7A96" w:rsidRPr="00FD7851">
        <w:t xml:space="preserve"> para la recuperación integral</w:t>
      </w:r>
      <w:r w:rsidRPr="00FD7851">
        <w:t>”</w:t>
      </w:r>
      <w:r w:rsidR="00CE7A96" w:rsidRPr="00FD7851">
        <w:t xml:space="preserve"> de las mujeres tales como ayudas socioeconómicas, acceso a viviendas protegidas, formación y promoción del empleo y del trabajo autónomo de las mujeres etc.</w:t>
      </w:r>
    </w:p>
    <w:p w:rsidR="00CE7A96" w:rsidRPr="00FD7851" w:rsidRDefault="005F7EE8" w:rsidP="00DB0B16">
      <w:pPr>
        <w:ind w:firstLine="360"/>
        <w:jc w:val="both"/>
      </w:pPr>
      <w:r w:rsidRPr="00FD7851">
        <w:t xml:space="preserve">El Título IV, por último, </w:t>
      </w:r>
      <w:r w:rsidR="00CE7A96" w:rsidRPr="00FD7851">
        <w:t xml:space="preserve">promueve las acciones para la </w:t>
      </w:r>
      <w:r w:rsidRPr="00FD7851">
        <w:t>“</w:t>
      </w:r>
      <w:r w:rsidR="00CE7A96" w:rsidRPr="00FD7851">
        <w:t>coordinación y cooperación institucional</w:t>
      </w:r>
      <w:r w:rsidRPr="00FD7851">
        <w:t>”</w:t>
      </w:r>
      <w:r w:rsidR="00CE7A96" w:rsidRPr="00FD7851">
        <w:t>, como principio básico de una política pública de carácter integral, orientada a sumar los esfuerzos de las instituciones, asociaciones y colectivos que trabajan en la erradicación de la violencia de género.</w:t>
      </w:r>
    </w:p>
    <w:p w:rsidR="00D15324" w:rsidRDefault="00CE7A96" w:rsidP="00E35ED7">
      <w:pPr>
        <w:ind w:firstLine="360"/>
        <w:jc w:val="both"/>
      </w:pPr>
      <w:r w:rsidRPr="00FD7851">
        <w:t xml:space="preserve">En conclusión, la Ley </w:t>
      </w:r>
      <w:r w:rsidR="005F7EE8" w:rsidRPr="00FD7851">
        <w:t>13/2007</w:t>
      </w:r>
      <w:r w:rsidR="005F7EE8" w:rsidRPr="00FD7851">
        <w:rPr>
          <w:rStyle w:val="Refdenotaalpie"/>
        </w:rPr>
        <w:footnoteReference w:id="39"/>
      </w:r>
      <w:r w:rsidRPr="00FD7851">
        <w:t>responde al desarrollo específico de las estrategias contra la violencia de género, y constituye el reconocimiento de los derechos de las mujeres en or</w:t>
      </w:r>
      <w:r w:rsidR="00E35ED7" w:rsidRPr="00FD7851">
        <w:t>den a su protección y atención.</w:t>
      </w:r>
    </w:p>
    <w:p w:rsidR="004C0EA2" w:rsidRPr="00FD7851" w:rsidRDefault="004C0EA2" w:rsidP="00E35ED7">
      <w:pPr>
        <w:ind w:firstLine="360"/>
        <w:jc w:val="both"/>
      </w:pPr>
    </w:p>
    <w:p w:rsidR="00E35ED7" w:rsidRPr="00963FDB" w:rsidRDefault="00963FDB" w:rsidP="00963FDB">
      <w:pPr>
        <w:pStyle w:val="Prrafodelista"/>
        <w:numPr>
          <w:ilvl w:val="0"/>
          <w:numId w:val="7"/>
        </w:numPr>
        <w:jc w:val="both"/>
      </w:pPr>
      <w:r>
        <w:rPr>
          <w:b/>
        </w:rPr>
        <w:t>MODALIDADES DISCRIMINATORIAS Y MEDIDAS CORRECTORAS EN LA LEY DE IGUALDAD</w:t>
      </w:r>
    </w:p>
    <w:p w:rsidR="00963FDB" w:rsidRDefault="00963FDB" w:rsidP="00963FDB">
      <w:pPr>
        <w:ind w:firstLine="360"/>
        <w:jc w:val="both"/>
      </w:pPr>
      <w:r>
        <w:t>La discriminación, como concepto general, se trata de la situación producida cuando las personas son tratadas de una forma distinta y desfavorable a unas u otras, a causa de prejuicios sociales como puede ser el caso de la discriminación por razón de género, cuando uno de los géneros, normalmente el femenino es tratado de manera diferente y desfavorable al masculino. El principio de igualdad de trato entre mujeres y hombres supone la ausencia de toda discriminación directa o indirecta por razón de sexo.</w:t>
      </w:r>
    </w:p>
    <w:p w:rsidR="00963FDB" w:rsidRDefault="00963FDB" w:rsidP="00963FDB">
      <w:pPr>
        <w:ind w:firstLine="360"/>
        <w:jc w:val="both"/>
      </w:pPr>
      <w:r>
        <w:t>De acuerdo a la Ley Orgánica 3/2007</w:t>
      </w:r>
      <w:r>
        <w:rPr>
          <w:rStyle w:val="Refdenotaalpie"/>
        </w:rPr>
        <w:footnoteReference w:id="40"/>
      </w:r>
      <w:r>
        <w:t xml:space="preserve">, en su artículo 6, entiende el término de discriminación directa por razón de sexo como </w:t>
      </w:r>
      <w:r w:rsidRPr="0035028B">
        <w:rPr>
          <w:i/>
        </w:rPr>
        <w:t xml:space="preserve">“la situación en que se encuentra una persona que sea, o haya sido o pudiera ser tratada, en atención a su sexo, de manera menos favorable que en otra situación </w:t>
      </w:r>
      <w:r>
        <w:rPr>
          <w:i/>
        </w:rPr>
        <w:t>comparable.”</w:t>
      </w:r>
    </w:p>
    <w:p w:rsidR="00963FDB" w:rsidRDefault="00963FDB" w:rsidP="00963FDB">
      <w:pPr>
        <w:ind w:firstLine="360"/>
        <w:jc w:val="both"/>
        <w:rPr>
          <w:i/>
        </w:rPr>
      </w:pPr>
      <w:r>
        <w:t>Además, también hace mención en su apartado 2, a la discriminación indirecta por razón de sexo como</w:t>
      </w:r>
      <w:r w:rsidRPr="0035028B">
        <w:rPr>
          <w:i/>
        </w:rPr>
        <w:t xml:space="preserve"> </w:t>
      </w:r>
      <w:r w:rsidRPr="001512A8">
        <w:t xml:space="preserve">“La situación en que una disposición, criterio o práctica </w:t>
      </w:r>
      <w:r w:rsidRPr="001512A8">
        <w:lastRenderedPageBreak/>
        <w:t>aparentemente neutros pone a personas de un sexo en desventaja particular con respecto a personas del otro sexo, salvo que dicha disposición, criterio o práctica puedan justificarse objetivamente en atención a una finalidad legítima y que los medios para alcanzar dicha finalidad sean necesarios y adecuados”.</w:t>
      </w:r>
    </w:p>
    <w:p w:rsidR="00963FDB" w:rsidRPr="00131B33" w:rsidRDefault="00963FDB" w:rsidP="00963FDB">
      <w:pPr>
        <w:ind w:firstLine="360"/>
        <w:jc w:val="both"/>
      </w:pPr>
    </w:p>
    <w:p w:rsidR="00963FDB" w:rsidRDefault="00963FDB" w:rsidP="00963FDB">
      <w:pPr>
        <w:pStyle w:val="Prrafodelista"/>
        <w:numPr>
          <w:ilvl w:val="1"/>
          <w:numId w:val="7"/>
        </w:numPr>
        <w:jc w:val="both"/>
        <w:rPr>
          <w:b/>
        </w:rPr>
      </w:pPr>
      <w:r>
        <w:rPr>
          <w:b/>
        </w:rPr>
        <w:t>Discriminación salarial</w:t>
      </w:r>
    </w:p>
    <w:p w:rsidR="00963FDB" w:rsidRPr="008318D9" w:rsidRDefault="00963FDB" w:rsidP="00963FDB">
      <w:pPr>
        <w:ind w:firstLine="708"/>
        <w:jc w:val="both"/>
        <w:rPr>
          <w:b/>
        </w:rPr>
      </w:pPr>
      <w:r>
        <w:t>Según Martínez Abascal</w:t>
      </w:r>
      <w:r>
        <w:rPr>
          <w:rStyle w:val="Refdenotaalpie"/>
        </w:rPr>
        <w:footnoteReference w:id="41"/>
      </w:r>
      <w:r>
        <w:t>, entiende que la discriminación salarial constituye una de las manifestaciones más persistentes y agudas de la discriminación laboral de la mujer. Desde el marco de la discriminación laboral de la mujer, su situación de desigual trato respecto al hombre comenzaría a tener una respuesta jurídica concreta una vez concluida la segunda guerra mundial.</w:t>
      </w:r>
    </w:p>
    <w:p w:rsidR="00963FDB" w:rsidRPr="00427F4F" w:rsidRDefault="00963FDB" w:rsidP="00963FDB">
      <w:pPr>
        <w:ind w:firstLine="708"/>
        <w:jc w:val="both"/>
        <w:rPr>
          <w:b/>
        </w:rPr>
      </w:pPr>
      <w:r>
        <w:t>Uno de los factores más representativos en cuanto a la discriminación de género en el mercado laboral es el salario, que, desde la definitiva incorporación de la mujer al mercado de trabajo, ha sido siempre objeto de remuneraciones inferiores respecto al hombre.</w:t>
      </w:r>
    </w:p>
    <w:p w:rsidR="00963FDB" w:rsidRDefault="00963FDB" w:rsidP="00963FDB">
      <w:pPr>
        <w:pStyle w:val="Prrafodelista"/>
        <w:ind w:left="1068"/>
        <w:jc w:val="both"/>
        <w:rPr>
          <w:b/>
        </w:rPr>
      </w:pPr>
    </w:p>
    <w:p w:rsidR="00963FDB" w:rsidRDefault="00963FDB" w:rsidP="00963FDB">
      <w:pPr>
        <w:pStyle w:val="Prrafodelista"/>
        <w:numPr>
          <w:ilvl w:val="1"/>
          <w:numId w:val="7"/>
        </w:numPr>
        <w:jc w:val="both"/>
        <w:rPr>
          <w:b/>
        </w:rPr>
      </w:pPr>
      <w:r>
        <w:rPr>
          <w:b/>
        </w:rPr>
        <w:t>Discriminación en la publicidad</w:t>
      </w:r>
    </w:p>
    <w:p w:rsidR="00963FDB" w:rsidRDefault="00963FDB" w:rsidP="00963FDB">
      <w:pPr>
        <w:ind w:firstLine="708"/>
        <w:jc w:val="both"/>
      </w:pPr>
      <w:r>
        <w:t>Conforme a la revista llevada a cabo por Rodríguez González, A. La publicidad ilícita queda recogida en el artículo 3 de la Ley 34/ 1988</w:t>
      </w:r>
      <w:r>
        <w:rPr>
          <w:rStyle w:val="Refdenotaalpie"/>
        </w:rPr>
        <w:footnoteReference w:id="42"/>
      </w:r>
      <w:r>
        <w:t xml:space="preserve">, </w:t>
      </w:r>
      <w:r w:rsidRPr="00267425">
        <w:t>establece en su apartado a)</w:t>
      </w:r>
      <w:r w:rsidRPr="008401A1">
        <w:rPr>
          <w:i/>
        </w:rPr>
        <w:t xml:space="preserve"> </w:t>
      </w:r>
      <w:r w:rsidRPr="001512A8">
        <w:t>“</w:t>
      </w:r>
      <w:r w:rsidRPr="001512A8">
        <w:rPr>
          <w:shd w:val="clear" w:color="auto" w:fill="FFFFFF"/>
        </w:rPr>
        <w:t>La publicidad que atente contra la dignidad de la persona o vulnere los valores y derechos reconocidos en la Constitución, especialmente a los que se refieren sus artículos 14, 18 y 20, apartado 4”</w:t>
      </w:r>
      <w:r w:rsidRPr="008401A1">
        <w:rPr>
          <w:i/>
          <w:shd w:val="clear" w:color="auto" w:fill="FFFFFF"/>
        </w:rPr>
        <w:t>.</w:t>
      </w:r>
      <w:r w:rsidRPr="008318D9">
        <w:rPr>
          <w:color w:val="333333"/>
          <w:shd w:val="clear" w:color="auto" w:fill="FFFFFF"/>
        </w:rPr>
        <w:t>Q</w:t>
      </w:r>
      <w:r w:rsidRPr="008318D9">
        <w:t>ue es tal la que atente contra la dignidad de la persona o vulneren los valores y derechos reconocidos en la CE.</w:t>
      </w:r>
      <w:r>
        <w:t xml:space="preserve"> De este modo, </w:t>
      </w:r>
      <w:r w:rsidRPr="001512A8">
        <w:t>“Cualquier tipo de publicidad que atente o vaya en contra de los derechos proclamados por la CE será ilícita en tanto que anticonstitucional”</w:t>
      </w:r>
      <w:r w:rsidRPr="001512A8">
        <w:rPr>
          <w:rStyle w:val="Refdenotaalpie"/>
        </w:rPr>
        <w:footnoteReference w:id="43"/>
      </w:r>
      <w:r w:rsidRPr="001512A8">
        <w:t xml:space="preserve">. </w:t>
      </w:r>
    </w:p>
    <w:p w:rsidR="00963FDB" w:rsidRDefault="00963FDB" w:rsidP="00963FDB">
      <w:pPr>
        <w:ind w:firstLine="708"/>
        <w:jc w:val="both"/>
      </w:pPr>
      <w:r>
        <w:t xml:space="preserve">En el ámbito privado, la reputación se protege en la constitución a través de la garantía de la dignidad de la persona, artículo 10 y de su derecho al honor y a la propia </w:t>
      </w:r>
      <w:r>
        <w:lastRenderedPageBreak/>
        <w:t>imagen, artículo 18.1 respectivamente. El Código Penal lo regula en el título XI, correspondiente a los artículos 205 y siguientes.</w:t>
      </w:r>
    </w:p>
    <w:p w:rsidR="00963FDB" w:rsidRDefault="00963FDB" w:rsidP="00963FDB">
      <w:pPr>
        <w:ind w:firstLine="708"/>
        <w:jc w:val="both"/>
      </w:pPr>
      <w:r>
        <w:t>La discriminación en la publicidad, está demostrado que la mayoría de los anuncios de cuidados y bellezas son protagonizados por mujeres. Es por ello que la publicidad crea y reproduce un modelo de belleza que no es real, sino social y un modelo que se relaciona en muchas ocasiones con trastornos alimenticios como la anorexia o la bulimia.</w:t>
      </w:r>
    </w:p>
    <w:p w:rsidR="00963FDB" w:rsidRDefault="00963FDB" w:rsidP="00963FDB">
      <w:pPr>
        <w:ind w:firstLine="708"/>
        <w:jc w:val="both"/>
      </w:pPr>
      <w:r>
        <w:t xml:space="preserve">La publicidad y en particular los anuncios tienen una influencia determinante en la transmisión cultural de valores y actitudes, en la educación ética y estética de la ciudadanía y en la globalización de los estilos de vida y de las formas de percibir el mundo en nuestras sociedades. </w:t>
      </w:r>
    </w:p>
    <w:p w:rsidR="00963FDB" w:rsidRDefault="00963FDB" w:rsidP="00963FDB">
      <w:pPr>
        <w:ind w:firstLine="708"/>
        <w:jc w:val="both"/>
      </w:pPr>
      <w:r>
        <w:t>En los anuncios no solo se venden objetos, sino que también se construye la identidad sociocultural de los sujetos y se estimulan maneras concretas de entender y de hacer el mundo, se fomentan o se silencian ideologías, se persuade a las personas de la utilidad de ciertos hábitos y de ciertas conductas y se venden un país de ensueño, de euforia y de perfección en el que se proclama el placer que produce la adquisición y disfrute de los objetos y la ostentación de las marcas.</w:t>
      </w:r>
    </w:p>
    <w:p w:rsidR="00963FDB" w:rsidRDefault="00963FDB" w:rsidP="00963FDB">
      <w:pPr>
        <w:ind w:firstLine="360"/>
        <w:jc w:val="both"/>
      </w:pPr>
      <w:r>
        <w:t>Destacar que, en 1996, la Comisión Jurídica y Social de la Mujer de las Naciones Unidas</w:t>
      </w:r>
      <w:r>
        <w:rPr>
          <w:rStyle w:val="Refdenotaalpie"/>
        </w:rPr>
        <w:footnoteReference w:id="44"/>
      </w:r>
      <w:r>
        <w:t xml:space="preserve"> propuso a los Estados miembros, la adopción de medidas que incorporan una perspectiva de género en todas la políticas y programas para lograr sensibilizar sobre la función de los medios de comunicación en la promoción de imágenes no estereotipadas de la mujer. </w:t>
      </w:r>
    </w:p>
    <w:p w:rsidR="00963FDB" w:rsidRDefault="00963FDB" w:rsidP="00963FDB">
      <w:pPr>
        <w:pStyle w:val="Prrafodelista"/>
        <w:numPr>
          <w:ilvl w:val="0"/>
          <w:numId w:val="9"/>
        </w:numPr>
        <w:jc w:val="both"/>
      </w:pPr>
      <w:r>
        <w:t>Conseguir una mayor intervención de la mujer en la adopción de decisiones en las organizaciones de los medios de comunicación.</w:t>
      </w:r>
    </w:p>
    <w:p w:rsidR="00963FDB" w:rsidRDefault="00963FDB" w:rsidP="00963FDB">
      <w:pPr>
        <w:pStyle w:val="Prrafodelista"/>
        <w:jc w:val="both"/>
      </w:pPr>
    </w:p>
    <w:p w:rsidR="00963FDB" w:rsidRDefault="00963FDB" w:rsidP="00963FDB">
      <w:pPr>
        <w:pStyle w:val="Prrafodelista"/>
        <w:numPr>
          <w:ilvl w:val="0"/>
          <w:numId w:val="9"/>
        </w:numPr>
        <w:jc w:val="both"/>
      </w:pPr>
      <w:r>
        <w:t>Introducir espacios y programas dedicados a cuestiones que interesen a la mujer y que fomente su participación.</w:t>
      </w:r>
    </w:p>
    <w:p w:rsidR="00963FDB" w:rsidRDefault="00963FDB" w:rsidP="00963FDB">
      <w:pPr>
        <w:pStyle w:val="Prrafodelista"/>
      </w:pPr>
    </w:p>
    <w:p w:rsidR="00963FDB" w:rsidRDefault="00963FDB" w:rsidP="00963FDB">
      <w:pPr>
        <w:pStyle w:val="Prrafodelista"/>
        <w:numPr>
          <w:ilvl w:val="0"/>
          <w:numId w:val="9"/>
        </w:numPr>
        <w:jc w:val="both"/>
      </w:pPr>
      <w:r>
        <w:lastRenderedPageBreak/>
        <w:t>Lograr un mayor acceso por parte de las mujeres a las nuevas tecnologías de la información.</w:t>
      </w:r>
    </w:p>
    <w:p w:rsidR="00963FDB" w:rsidRDefault="00963FDB" w:rsidP="00963FDB">
      <w:pPr>
        <w:pStyle w:val="Prrafodelista"/>
      </w:pPr>
    </w:p>
    <w:p w:rsidR="00963FDB" w:rsidRDefault="00963FDB" w:rsidP="00963FDB">
      <w:pPr>
        <w:pStyle w:val="Prrafodelista"/>
        <w:numPr>
          <w:ilvl w:val="0"/>
          <w:numId w:val="9"/>
        </w:numPr>
        <w:jc w:val="both"/>
      </w:pPr>
      <w:r>
        <w:t>Tratar de eliminar las imágenes estereotipadas de la mujer, negativas y degradantes.</w:t>
      </w:r>
    </w:p>
    <w:p w:rsidR="00963FDB" w:rsidRDefault="00963FDB" w:rsidP="00963FDB">
      <w:pPr>
        <w:pStyle w:val="Prrafodelista"/>
      </w:pPr>
    </w:p>
    <w:p w:rsidR="00963FDB" w:rsidRPr="00963FDB" w:rsidRDefault="00963FDB" w:rsidP="00963FDB">
      <w:pPr>
        <w:pStyle w:val="Prrafodelista"/>
        <w:jc w:val="both"/>
      </w:pPr>
    </w:p>
    <w:p w:rsidR="00963FDB" w:rsidRDefault="00963FDB" w:rsidP="00963FDB">
      <w:pPr>
        <w:pStyle w:val="Prrafodelista"/>
        <w:numPr>
          <w:ilvl w:val="1"/>
          <w:numId w:val="7"/>
        </w:numPr>
        <w:jc w:val="both"/>
        <w:rPr>
          <w:b/>
        </w:rPr>
      </w:pPr>
      <w:r>
        <w:rPr>
          <w:b/>
        </w:rPr>
        <w:t>Acción positiva</w:t>
      </w:r>
    </w:p>
    <w:p w:rsidR="00963FDB" w:rsidRPr="00131B33" w:rsidRDefault="00963FDB" w:rsidP="00963FDB">
      <w:pPr>
        <w:ind w:firstLine="708"/>
        <w:jc w:val="both"/>
      </w:pPr>
      <w:r w:rsidRPr="00131B33">
        <w:t>La acción positiva es una medida que tiene por finalidad eliminar una situación de discriminación. La misma incide especialmente sobre el punto de salida intentando equilibrar las condiciones de hombres y mujeres, en definitiva, pretende un resultado compensatorio.</w:t>
      </w:r>
    </w:p>
    <w:p w:rsidR="00963FDB" w:rsidRPr="00131B33" w:rsidRDefault="00963FDB" w:rsidP="00963FDB">
      <w:pPr>
        <w:ind w:firstLine="708"/>
        <w:jc w:val="both"/>
      </w:pPr>
      <w:r>
        <w:t>La a</w:t>
      </w:r>
      <w:r w:rsidRPr="00131B33">
        <w:t xml:space="preserve">cción positiva aplicada al contexto de la igualdad de oportunidades, presenta dos estrategias para el alcance de este tipo de igualdad: Igualdad en el punto de partida, consistente en la igualación de concurrentes que haya sido inducida desde el exterior e igualdad en el acceso, que consiste en la negación del criterio por el cual, los beneficios escasos han de ser asignados según valía individual de los concurrentes. Es una medida con vocación de carácter temporal dirigida a conseguir una presencia equilibrada de hombres y mujeres en todos los sustratos o esferas de la sociedad. </w:t>
      </w:r>
    </w:p>
    <w:p w:rsidR="00963FDB" w:rsidRPr="00131B33" w:rsidRDefault="00963FDB" w:rsidP="00963FDB">
      <w:pPr>
        <w:ind w:firstLine="708"/>
        <w:jc w:val="both"/>
      </w:pPr>
      <w:r w:rsidRPr="00131B33">
        <w:t>Se trata de una actuación de impulso y de promoción, que tiene por objeto establecer la igualdad entre hombres y mujeres en materia de oportunidades, contratación y ocupación, sobre todo mediante la eliminación de las desigualdades de hecho.</w:t>
      </w:r>
    </w:p>
    <w:p w:rsidR="00963FDB" w:rsidRDefault="00963FDB" w:rsidP="00963FDB">
      <w:pPr>
        <w:ind w:firstLine="708"/>
        <w:jc w:val="both"/>
        <w:rPr>
          <w:i/>
        </w:rPr>
      </w:pPr>
      <w:r w:rsidRPr="00131B33">
        <w:t xml:space="preserve">Según el Comité para la Igualdad entre hombres y mujeres del Consejo de Europa, la acción positiva es </w:t>
      </w:r>
      <w:r w:rsidRPr="001512A8">
        <w:t>“una estrategia encaminada a establecer la igualdad de oportunidades entre hombres y mujeres estableciendo una serie de medidas que permitan contrastar o corregir aquellas discriminaciones que son el resultado de prácticas o de sistemas sociales”.</w:t>
      </w:r>
    </w:p>
    <w:p w:rsidR="00963FDB" w:rsidRPr="00131B33" w:rsidRDefault="00963FDB" w:rsidP="00963FDB">
      <w:pPr>
        <w:ind w:firstLine="708"/>
        <w:jc w:val="both"/>
      </w:pPr>
      <w:r w:rsidRPr="00131B33">
        <w:t>Se trata de medidas que van más allá del control de la aplicación de las leyes de igualdad, puesto que su finalidad es poner en marcha un conjunto de programas concretos para proporcionar a las mujeres ventajas concretas en diferentes sectores.</w:t>
      </w:r>
    </w:p>
    <w:p w:rsidR="00963FDB" w:rsidRDefault="00963FDB" w:rsidP="00963FDB">
      <w:pPr>
        <w:ind w:firstLine="708"/>
        <w:jc w:val="both"/>
      </w:pPr>
      <w:r w:rsidRPr="00131B33">
        <w:lastRenderedPageBreak/>
        <w:t>En definitiva, las medidas de acción positiva, van dirigidas a eliminar los obstáculos que se oponen a que las mujeres disfruten de los derechos de ciudadanía en condiciones de igualdad respecto a los hombres. Se trata de medidas concretas y temporales dirigidas a compensar situaciones de desigualdad o desventaja con las que parten las mujeres en la sociedad.</w:t>
      </w:r>
    </w:p>
    <w:p w:rsidR="00963FDB" w:rsidRDefault="00963FDB" w:rsidP="00963FDB">
      <w:pPr>
        <w:pStyle w:val="Prrafodelista"/>
        <w:ind w:left="1068"/>
        <w:jc w:val="both"/>
        <w:rPr>
          <w:b/>
        </w:rPr>
      </w:pPr>
    </w:p>
    <w:p w:rsidR="00963FDB" w:rsidRDefault="00963FDB" w:rsidP="00963FDB">
      <w:pPr>
        <w:pStyle w:val="Prrafodelista"/>
        <w:numPr>
          <w:ilvl w:val="1"/>
          <w:numId w:val="7"/>
        </w:numPr>
        <w:jc w:val="both"/>
        <w:rPr>
          <w:b/>
        </w:rPr>
      </w:pPr>
      <w:r>
        <w:rPr>
          <w:b/>
        </w:rPr>
        <w:t>Acoso por razón de sexo</w:t>
      </w:r>
    </w:p>
    <w:p w:rsidR="00963FDB" w:rsidRDefault="00963FDB" w:rsidP="00963FDB">
      <w:pPr>
        <w:ind w:firstLine="708"/>
        <w:jc w:val="both"/>
      </w:pPr>
      <w:r>
        <w:t>El acoso por razón de sexo, recogido en la Ley 3/2007</w:t>
      </w:r>
      <w:r>
        <w:rPr>
          <w:rStyle w:val="Refdenotaalpie"/>
        </w:rPr>
        <w:footnoteReference w:id="45"/>
      </w:r>
      <w:r>
        <w:t xml:space="preserve">, en el artículo 7, hemos de constar un concepto como que el acoso sexual consiste en </w:t>
      </w:r>
      <w:r w:rsidRPr="001512A8">
        <w:t>“la situación en que se produce cualquier comportamiento verbal, no verbal o físico de índole sexual, con el propósito o el efecto de atentar contra la dignidad de una persona, en particular, cuando se crea un entorno intimidatorio, hostil, degradante, humillante u ofensivo”.</w:t>
      </w:r>
    </w:p>
    <w:p w:rsidR="00963FDB" w:rsidRPr="001512A8" w:rsidRDefault="00963FDB" w:rsidP="00963FDB">
      <w:pPr>
        <w:ind w:firstLine="708"/>
        <w:jc w:val="both"/>
      </w:pPr>
      <w:r>
        <w:t xml:space="preserve">Así, su apartado número 4 indica también </w:t>
      </w:r>
      <w:r w:rsidRPr="001512A8">
        <w:t>“el condicionamiento de un derecho o de una expectativa de derecho a la aceptación de una situación constitutiva de acoso sexual o por razón de sexo se considerará un acto de discriminación por razón de sexo”.</w:t>
      </w:r>
    </w:p>
    <w:p w:rsidR="00963FDB" w:rsidRDefault="00963FDB" w:rsidP="00963FDB">
      <w:pPr>
        <w:ind w:firstLine="708"/>
        <w:jc w:val="both"/>
      </w:pPr>
      <w:r>
        <w:t>No obstante, en el análisis del autor</w:t>
      </w:r>
      <w:r>
        <w:rPr>
          <w:rStyle w:val="Refdenotaalpie"/>
        </w:rPr>
        <w:footnoteReference w:id="46"/>
      </w:r>
      <w:r>
        <w:t>, indica que se ve facilitado dicha materia si se examina y recuerda previamente la normativa legal anterior, así como las Directivas comunitarias, que, en gran medida trata de transponer la Ley de Igualdad.</w:t>
      </w:r>
    </w:p>
    <w:p w:rsidR="00963FDB" w:rsidRDefault="00963FDB" w:rsidP="00963FDB">
      <w:pPr>
        <w:jc w:val="both"/>
      </w:pPr>
    </w:p>
    <w:p w:rsidR="00D563F2" w:rsidRPr="00E35ED7" w:rsidRDefault="00D126E5" w:rsidP="00114F36">
      <w:pPr>
        <w:pStyle w:val="Prrafodelista"/>
        <w:numPr>
          <w:ilvl w:val="0"/>
          <w:numId w:val="7"/>
        </w:numPr>
        <w:jc w:val="both"/>
      </w:pPr>
      <w:r>
        <w:rPr>
          <w:b/>
        </w:rPr>
        <w:t>V</w:t>
      </w:r>
      <w:r w:rsidR="000152AF">
        <w:rPr>
          <w:b/>
        </w:rPr>
        <w:t>IOLENCIA DE GÉNERO</w:t>
      </w:r>
    </w:p>
    <w:p w:rsidR="00E35ED7" w:rsidRPr="00FD7851" w:rsidRDefault="00E35ED7" w:rsidP="00114F36">
      <w:pPr>
        <w:pStyle w:val="Prrafodelista"/>
        <w:numPr>
          <w:ilvl w:val="1"/>
          <w:numId w:val="7"/>
        </w:numPr>
        <w:jc w:val="both"/>
        <w:rPr>
          <w:b/>
        </w:rPr>
      </w:pPr>
      <w:r>
        <w:rPr>
          <w:b/>
        </w:rPr>
        <w:t>Concepto y tipos</w:t>
      </w:r>
    </w:p>
    <w:p w:rsidR="00A76D3F" w:rsidRPr="00FD7851" w:rsidRDefault="00A76D3F" w:rsidP="00A76D3F">
      <w:pPr>
        <w:ind w:firstLine="360"/>
        <w:jc w:val="both"/>
      </w:pPr>
      <w:r w:rsidRPr="00FD7851">
        <w:t>La violencia de género, conforme lo dispuesto en la Declaración Universal de los Derechos Humanos</w:t>
      </w:r>
      <w:r w:rsidRPr="00FD7851">
        <w:rPr>
          <w:rStyle w:val="Refdenotaalpie"/>
        </w:rPr>
        <w:footnoteReference w:id="47"/>
      </w:r>
      <w:r w:rsidRPr="00FD7851">
        <w:t xml:space="preserve">, conocido como ACNUDH, en la Declaración sobre la eliminación contra la mujer, constituye “una violación de los derechos humanos y libertades fundamentales e impide total o parcialmente a la mujer gozar de dichos derechos y libertades”. Además, reconoce que la violencia contra la mujer supone “una manifestación de relaciones de poder desiguales entre el hombre y la mujer” conduciendo </w:t>
      </w:r>
      <w:r w:rsidRPr="00FD7851">
        <w:lastRenderedPageBreak/>
        <w:t>a la dominación de la mujer y a la discriminación en su contra por parte del hombre e impedido el adelanto pleno de la mujer.</w:t>
      </w:r>
    </w:p>
    <w:p w:rsidR="00A76D3F" w:rsidRPr="00FD7851" w:rsidRDefault="00A76D3F" w:rsidP="00A76D3F">
      <w:pPr>
        <w:ind w:firstLine="360"/>
        <w:jc w:val="both"/>
      </w:pPr>
      <w:r w:rsidRPr="00FD7851">
        <w:t>La violencia de género abarcaría lo que se conoce comúnmente con el nombre de “malos tratos” (físicos, psicológicos, económicos y sexuales), pornografía, tráfico ilegal de mujeres, la prostitución y explotación sexual, las agresiones sexuales, el acoso sexual en el trabajo y cualquier otra situación que vulnere los derechos fundamentales en este terreno como son: La libertad, la integridad física y moral y la dignidad de las mujeres.</w:t>
      </w:r>
    </w:p>
    <w:p w:rsidR="00A76D3F" w:rsidRPr="00FD7851" w:rsidRDefault="00A76D3F" w:rsidP="00A76D3F">
      <w:pPr>
        <w:ind w:firstLine="360"/>
        <w:jc w:val="both"/>
      </w:pPr>
      <w:r w:rsidRPr="00FD7851">
        <w:t>Son muchos los esfuerzos que se están realizando para erradicar esta forma de violencia dirigida contra las mujeres por el mero hecho de ser mujeres. De forma específica podemos citar como ejemplos:</w:t>
      </w:r>
    </w:p>
    <w:p w:rsidR="00A76D3F" w:rsidRPr="00FD7851" w:rsidRDefault="00A76D3F" w:rsidP="00A76D3F">
      <w:pPr>
        <w:pStyle w:val="Prrafodelista"/>
        <w:numPr>
          <w:ilvl w:val="0"/>
          <w:numId w:val="9"/>
        </w:numPr>
        <w:spacing w:after="0"/>
        <w:jc w:val="both"/>
      </w:pPr>
      <w:r w:rsidRPr="00FD7851">
        <w:t>La adopción en 1979 de la Convención sobre la eliminación de todas las formas de discriminación contra la mujer también conocido como CEDAW</w:t>
      </w:r>
      <w:r w:rsidRPr="00FD7851">
        <w:rPr>
          <w:rStyle w:val="Refdenotaalpie"/>
        </w:rPr>
        <w:footnoteReference w:id="48"/>
      </w:r>
      <w:r w:rsidRPr="00FD7851">
        <w:t xml:space="preserve">. </w:t>
      </w:r>
    </w:p>
    <w:p w:rsidR="00A76D3F" w:rsidRPr="00FD7851" w:rsidRDefault="00A76D3F" w:rsidP="00A76D3F">
      <w:pPr>
        <w:pStyle w:val="Prrafodelista"/>
        <w:spacing w:after="0"/>
        <w:jc w:val="both"/>
      </w:pPr>
    </w:p>
    <w:p w:rsidR="00A76D3F" w:rsidRPr="00FD7851" w:rsidRDefault="00A76D3F" w:rsidP="00A76D3F">
      <w:pPr>
        <w:pStyle w:val="Prrafodelista"/>
        <w:numPr>
          <w:ilvl w:val="0"/>
          <w:numId w:val="9"/>
        </w:numPr>
        <w:spacing w:after="0"/>
        <w:jc w:val="both"/>
      </w:pPr>
      <w:r w:rsidRPr="00FD7851">
        <w:t>La IV Conferencia Mundial sobre las Mujeres celebrada en Beijing en 1995</w:t>
      </w:r>
      <w:r w:rsidRPr="00FD7851">
        <w:rPr>
          <w:rStyle w:val="Refdenotaalpie"/>
        </w:rPr>
        <w:footnoteReference w:id="49"/>
      </w:r>
      <w:r w:rsidRPr="00FD7851">
        <w:t xml:space="preserve"> , el cual, proclama que “la violencia contra las mujeres supone un obstáculo para la igualdad, el desarrollo y la paz de los pueblos, impidiendo que las mujeres disfruten de sus derechos humanos y de sus libertades fundamentales”.</w:t>
      </w:r>
    </w:p>
    <w:p w:rsidR="00A76D3F" w:rsidRPr="00FD7851" w:rsidRDefault="00A76D3F" w:rsidP="00A76D3F">
      <w:pPr>
        <w:jc w:val="both"/>
      </w:pPr>
    </w:p>
    <w:p w:rsidR="00A76D3F" w:rsidRPr="00FD7851" w:rsidRDefault="00A76D3F" w:rsidP="00A76D3F">
      <w:pPr>
        <w:pStyle w:val="Prrafodelista"/>
        <w:numPr>
          <w:ilvl w:val="0"/>
          <w:numId w:val="9"/>
        </w:numPr>
        <w:spacing w:after="0"/>
        <w:jc w:val="both"/>
      </w:pPr>
      <w:r w:rsidRPr="00FD7851">
        <w:t>En el ámbito regional, se ha llevado a cabo el Tratado Constitutivo de la Comunidad Europea</w:t>
      </w:r>
      <w:r w:rsidRPr="00FD7851">
        <w:rPr>
          <w:rStyle w:val="Refdenotaalpie"/>
        </w:rPr>
        <w:footnoteReference w:id="50"/>
      </w:r>
      <w:r w:rsidRPr="00FD7851">
        <w:t>consistente en el “reconocimiento del derecho de igualdad entre hombres y mujeres e insta a los Estados partes a que desarrollen políticas específicas para la prevención y punición de la violencia de género”. La Decisión Marco del Consejo de la Unión Europea de 15 de marzo de 2001, así como en la reciente Decisión UE 2017/865</w:t>
      </w:r>
      <w:r w:rsidRPr="00FD7851">
        <w:rPr>
          <w:rStyle w:val="Refdenotaalpie"/>
        </w:rPr>
        <w:footnoteReference w:id="51"/>
      </w:r>
      <w:r w:rsidRPr="00FD7851">
        <w:t xml:space="preserve"> del Consejo sobre “la prevención y lucha contra las mujeres y la violencia doméstica”.</w:t>
      </w:r>
    </w:p>
    <w:p w:rsidR="00A76D3F" w:rsidRPr="00FD7851" w:rsidRDefault="00A76D3F" w:rsidP="00A76D3F">
      <w:pPr>
        <w:jc w:val="both"/>
      </w:pPr>
    </w:p>
    <w:p w:rsidR="00A76D3F" w:rsidRPr="00FD7851" w:rsidRDefault="00A76D3F" w:rsidP="00A76D3F">
      <w:pPr>
        <w:pStyle w:val="Textonotapie"/>
        <w:numPr>
          <w:ilvl w:val="0"/>
          <w:numId w:val="9"/>
        </w:numPr>
        <w:spacing w:line="360" w:lineRule="auto"/>
        <w:jc w:val="both"/>
        <w:rPr>
          <w:sz w:val="24"/>
          <w:szCs w:val="24"/>
        </w:rPr>
      </w:pPr>
      <w:r w:rsidRPr="00FD7851">
        <w:rPr>
          <w:sz w:val="24"/>
          <w:szCs w:val="24"/>
        </w:rPr>
        <w:t xml:space="preserve">En el ámbito del Estado Español, aparte de la C.E. de 1978, nos encontramos con una serie de normas que van dando respuesta a la problemática de la violencia de </w:t>
      </w:r>
      <w:r w:rsidRPr="00FD7851">
        <w:rPr>
          <w:sz w:val="24"/>
          <w:szCs w:val="24"/>
        </w:rPr>
        <w:lastRenderedPageBreak/>
        <w:t>género: La Ley orgánica 11/2003</w:t>
      </w:r>
      <w:r w:rsidRPr="00FD7851">
        <w:rPr>
          <w:rStyle w:val="Refdenotaalpie"/>
          <w:sz w:val="24"/>
          <w:szCs w:val="24"/>
        </w:rPr>
        <w:footnoteReference w:id="52"/>
      </w:r>
      <w:r w:rsidRPr="00FD7851">
        <w:rPr>
          <w:sz w:val="24"/>
          <w:szCs w:val="24"/>
        </w:rPr>
        <w:t xml:space="preserve"> atendiendo a las “medidas concretas en materia de seguridad ciudadana, violencia doméstica e integración social de los extranjeros”. y la Ley 27/2003</w:t>
      </w:r>
      <w:r w:rsidRPr="00FD7851">
        <w:rPr>
          <w:rStyle w:val="Refdenotaalpie"/>
          <w:sz w:val="24"/>
          <w:szCs w:val="24"/>
        </w:rPr>
        <w:footnoteReference w:id="53"/>
      </w:r>
      <w:r w:rsidRPr="00FD7851">
        <w:rPr>
          <w:sz w:val="24"/>
          <w:szCs w:val="24"/>
        </w:rPr>
        <w:t xml:space="preserve"> que regula la “la Orden de Protección para las Víctimas de la Violencia Doméstica”.</w:t>
      </w:r>
    </w:p>
    <w:p w:rsidR="00A76D3F" w:rsidRPr="00FD7851" w:rsidRDefault="00A76D3F" w:rsidP="00A76D3F">
      <w:pPr>
        <w:jc w:val="both"/>
      </w:pPr>
    </w:p>
    <w:p w:rsidR="00A76D3F" w:rsidRPr="00FD7851" w:rsidRDefault="00A76D3F" w:rsidP="00A76D3F">
      <w:pPr>
        <w:ind w:firstLine="360"/>
        <w:jc w:val="both"/>
      </w:pPr>
      <w:r w:rsidRPr="00FD7851">
        <w:t>Dicho esto, el instrumento que cumple decididamente con las recomendaciones y directrices internacionales y de ámbito regional europeo es la Ley Orgánica 1/2004</w:t>
      </w:r>
      <w:r w:rsidRPr="00FD7851">
        <w:rPr>
          <w:rStyle w:val="Refdenotaalpie"/>
        </w:rPr>
        <w:footnoteReference w:id="54"/>
      </w:r>
      <w:r w:rsidRPr="00FD7851">
        <w:t>, cuyo objetivo consiste en “actuar contra una violencia que constituya una manifestación clara de la discriminación”.</w:t>
      </w:r>
    </w:p>
    <w:p w:rsidR="00A76D3F" w:rsidRPr="00FD7851" w:rsidRDefault="00A76D3F" w:rsidP="00A76D3F">
      <w:pPr>
        <w:pStyle w:val="Prrafodelista"/>
        <w:numPr>
          <w:ilvl w:val="0"/>
          <w:numId w:val="9"/>
        </w:numPr>
        <w:spacing w:after="0"/>
        <w:ind w:left="714" w:hanging="357"/>
        <w:jc w:val="both"/>
      </w:pPr>
      <w:r w:rsidRPr="00FD7851">
        <w:t>A nivel Autonómico, el Estatuto de Autonomía para Andalucía, regulado en la Ley Orgánica 2/2007</w:t>
      </w:r>
      <w:r w:rsidRPr="00FD7851">
        <w:rPr>
          <w:rStyle w:val="Refdenotaalpie"/>
        </w:rPr>
        <w:footnoteReference w:id="55"/>
      </w:r>
      <w:r w:rsidRPr="00FD7851">
        <w:t>, asume un importante compromiso en la erradicación de la violencia de género y en la protección integral de las mujeres, haciendo especial mención en su artículo 10, que dispone los “objetivos básicos de la Comunidad Autónoma”</w:t>
      </w:r>
    </w:p>
    <w:p w:rsidR="00A76D3F" w:rsidRPr="00FD7851" w:rsidRDefault="00A76D3F" w:rsidP="00A76D3F">
      <w:pPr>
        <w:jc w:val="both"/>
        <w:rPr>
          <w:b/>
        </w:rPr>
      </w:pPr>
    </w:p>
    <w:p w:rsidR="00A76D3F" w:rsidRPr="00FD7851" w:rsidRDefault="00A76D3F" w:rsidP="00A76D3F">
      <w:pPr>
        <w:ind w:firstLine="708"/>
        <w:jc w:val="both"/>
      </w:pPr>
      <w:r w:rsidRPr="00FD7851">
        <w:t>Según la Junta de Andalucía</w:t>
      </w:r>
      <w:r w:rsidRPr="00FD7851">
        <w:rPr>
          <w:rStyle w:val="Refdenotaalpie"/>
        </w:rPr>
        <w:footnoteReference w:id="56"/>
      </w:r>
      <w:r w:rsidRPr="00FD7851">
        <w:t>, en el documento referido a la violencia contra las mujeres define esta cómo “manifestación extrema de la desigualdad y el sometimiento en el que viven las mujeres del mundo, constituyéndose así, un atentado contra el derecho a la vida, a la seguridad, a la libertad, y la dignidad de las mujeres”</w:t>
      </w:r>
    </w:p>
    <w:p w:rsidR="00A76D3F" w:rsidRPr="00FD7851" w:rsidRDefault="00A76D3F" w:rsidP="00A76D3F">
      <w:pPr>
        <w:ind w:firstLine="708"/>
        <w:jc w:val="both"/>
      </w:pPr>
      <w:r w:rsidRPr="00FD7851">
        <w:t>Es por ello, que la Ley 13/2007</w:t>
      </w:r>
      <w:r w:rsidRPr="00FD7851">
        <w:rPr>
          <w:rStyle w:val="Refdenotaalpie"/>
        </w:rPr>
        <w:footnoteReference w:id="57"/>
      </w:r>
      <w:r w:rsidRPr="00FD7851">
        <w:t>, establece en su Título I: Capítulo II “medidas de sensibilización, art.8 y apoyo al movimiento asociativo, art.9”. En su Título II, Capítulo VI “Atención a colectivos especialmente vulnerables, art.45”.</w:t>
      </w:r>
    </w:p>
    <w:p w:rsidR="00A76D3F" w:rsidRPr="00FD7851" w:rsidRDefault="00A76D3F" w:rsidP="00A76D3F">
      <w:pPr>
        <w:ind w:firstLine="708"/>
        <w:jc w:val="both"/>
      </w:pPr>
      <w:r w:rsidRPr="00FD7851">
        <w:t>En cuanto se refiere a otros conceptos previos, hace especialmente mención a una serie de conceptos tales como:</w:t>
      </w:r>
    </w:p>
    <w:p w:rsidR="00A76D3F" w:rsidRPr="00FD7851" w:rsidRDefault="00A76D3F" w:rsidP="00A76D3F">
      <w:pPr>
        <w:pStyle w:val="Prrafodelista"/>
        <w:numPr>
          <w:ilvl w:val="0"/>
          <w:numId w:val="26"/>
        </w:numPr>
        <w:jc w:val="both"/>
      </w:pPr>
      <w:r w:rsidRPr="00FD7851">
        <w:rPr>
          <w:b/>
        </w:rPr>
        <w:lastRenderedPageBreak/>
        <w:t xml:space="preserve">Acoso </w:t>
      </w:r>
      <w:r w:rsidR="009C0C10" w:rsidRPr="00FD7851">
        <w:rPr>
          <w:b/>
        </w:rPr>
        <w:t>sexual,</w:t>
      </w:r>
      <w:r w:rsidR="009C0C10">
        <w:t xml:space="preserve"> “S</w:t>
      </w:r>
      <w:r w:rsidR="009C0C10" w:rsidRPr="00FD7851">
        <w:t>ituación</w:t>
      </w:r>
      <w:r w:rsidRPr="00FD7851">
        <w:t xml:space="preserve"> en que se produce cualquier comportamiento verbal, no verbal o físico de índole sexual, con el propósito o el efecto de atentar contra la dignidad de la persona, cuando se crea un entorno intimidatorio, hostil, degradante, humillante u ofensivo, art. 3.7 Ley 12/07”.</w:t>
      </w:r>
    </w:p>
    <w:p w:rsidR="00A76D3F" w:rsidRPr="00FD7851" w:rsidRDefault="00A76D3F" w:rsidP="00A76D3F">
      <w:pPr>
        <w:pStyle w:val="Prrafodelista"/>
        <w:ind w:left="1068"/>
        <w:jc w:val="both"/>
      </w:pPr>
    </w:p>
    <w:p w:rsidR="00A76D3F" w:rsidRPr="00FD7851" w:rsidRDefault="00A76D3F" w:rsidP="00A76D3F">
      <w:pPr>
        <w:pStyle w:val="Prrafodelista"/>
        <w:numPr>
          <w:ilvl w:val="0"/>
          <w:numId w:val="26"/>
        </w:numPr>
        <w:jc w:val="both"/>
      </w:pPr>
      <w:r w:rsidRPr="00FD7851">
        <w:rPr>
          <w:b/>
        </w:rPr>
        <w:t xml:space="preserve">Acoso por razón de </w:t>
      </w:r>
      <w:r w:rsidR="009C0C10" w:rsidRPr="00FD7851">
        <w:rPr>
          <w:b/>
        </w:rPr>
        <w:t>sexo,</w:t>
      </w:r>
      <w:r w:rsidR="009C0C10" w:rsidRPr="00FD7851">
        <w:t xml:space="preserve"> “Situación</w:t>
      </w:r>
      <w:r w:rsidRPr="00FD7851">
        <w:t xml:space="preserve"> en que se produce un comportamiento relacionado con el sexo de una persona con el mismo propósito o efecto dicho anteriormente, art. 3.6 Ley 12/07”.</w:t>
      </w:r>
    </w:p>
    <w:p w:rsidR="00A76D3F" w:rsidRPr="00FD7851" w:rsidRDefault="00A76D3F" w:rsidP="00A76D3F">
      <w:pPr>
        <w:pStyle w:val="Prrafodelista"/>
      </w:pPr>
    </w:p>
    <w:p w:rsidR="00A76D3F" w:rsidRPr="00FD7851" w:rsidRDefault="00A76D3F" w:rsidP="00A76D3F">
      <w:pPr>
        <w:pStyle w:val="Prrafodelista"/>
        <w:numPr>
          <w:ilvl w:val="0"/>
          <w:numId w:val="26"/>
        </w:numPr>
        <w:jc w:val="both"/>
      </w:pPr>
      <w:r w:rsidRPr="00FD7851">
        <w:rPr>
          <w:b/>
        </w:rPr>
        <w:t xml:space="preserve">Agresión sexual, </w:t>
      </w:r>
      <w:r w:rsidRPr="00FD7851">
        <w:t>“Atentado contra la libertad sexual de una persona, sin que se medie consentimiento, empleando violencia e intimidación”.</w:t>
      </w:r>
    </w:p>
    <w:p w:rsidR="00A76D3F" w:rsidRPr="00FD7851" w:rsidRDefault="00A76D3F" w:rsidP="00A76D3F">
      <w:pPr>
        <w:pStyle w:val="Prrafodelista"/>
      </w:pPr>
    </w:p>
    <w:p w:rsidR="00A76D3F" w:rsidRPr="00FD7851" w:rsidRDefault="00A76D3F" w:rsidP="00A76D3F">
      <w:pPr>
        <w:pStyle w:val="Prrafodelista"/>
        <w:numPr>
          <w:ilvl w:val="0"/>
          <w:numId w:val="26"/>
        </w:numPr>
        <w:jc w:val="both"/>
      </w:pPr>
      <w:r w:rsidRPr="00FD7851">
        <w:rPr>
          <w:b/>
        </w:rPr>
        <w:t xml:space="preserve">Autoestima, </w:t>
      </w:r>
      <w:r w:rsidRPr="00FD7851">
        <w:t>“Valoración interna que un ser humano realiza de sí mismo”.</w:t>
      </w:r>
    </w:p>
    <w:p w:rsidR="00A76D3F" w:rsidRPr="00FD7851" w:rsidRDefault="00A76D3F" w:rsidP="00A76D3F">
      <w:pPr>
        <w:jc w:val="both"/>
      </w:pPr>
    </w:p>
    <w:p w:rsidR="00A76D3F" w:rsidRPr="00FD7851" w:rsidRDefault="00A76D3F" w:rsidP="00A76D3F">
      <w:pPr>
        <w:ind w:firstLine="708"/>
        <w:jc w:val="both"/>
      </w:pPr>
      <w:r w:rsidRPr="00FD7851">
        <w:t>Anteriormente hemos hecho referencia a modelos o tipos como discriminación directa, indirecta y por razón sexo.</w:t>
      </w:r>
    </w:p>
    <w:p w:rsidR="00A76D3F" w:rsidRPr="00FD7851" w:rsidRDefault="00A76D3F" w:rsidP="00A76D3F">
      <w:pPr>
        <w:ind w:firstLine="708"/>
        <w:jc w:val="both"/>
      </w:pPr>
      <w:r w:rsidRPr="00FD7851">
        <w:t>Por lo que refiere a las características correspondientes a la violencia contra las mujeres, respecto a otro tipo de violencia, la Junta de Andalucía</w:t>
      </w:r>
      <w:r w:rsidRPr="00FD7851">
        <w:rPr>
          <w:rStyle w:val="Refdenotaalpie"/>
        </w:rPr>
        <w:footnoteReference w:id="58"/>
      </w:r>
      <w:r w:rsidRPr="00FD7851">
        <w:t xml:space="preserve">, en el documento, establece que son: </w:t>
      </w:r>
    </w:p>
    <w:p w:rsidR="00A76D3F" w:rsidRPr="00FD7851" w:rsidRDefault="00A76D3F" w:rsidP="00A76D3F">
      <w:pPr>
        <w:pStyle w:val="Prrafodelista"/>
        <w:numPr>
          <w:ilvl w:val="0"/>
          <w:numId w:val="28"/>
        </w:numPr>
        <w:jc w:val="both"/>
      </w:pPr>
      <w:r w:rsidRPr="00FD7851">
        <w:t>Es una violencia que parte de una ideología.</w:t>
      </w:r>
    </w:p>
    <w:p w:rsidR="00A76D3F" w:rsidRPr="00FD7851" w:rsidRDefault="00A76D3F" w:rsidP="00A76D3F">
      <w:pPr>
        <w:pStyle w:val="Prrafodelista"/>
        <w:jc w:val="both"/>
      </w:pPr>
    </w:p>
    <w:p w:rsidR="00A76D3F" w:rsidRPr="00FD7851" w:rsidRDefault="00A76D3F" w:rsidP="00A76D3F">
      <w:pPr>
        <w:pStyle w:val="Prrafodelista"/>
        <w:numPr>
          <w:ilvl w:val="0"/>
          <w:numId w:val="28"/>
        </w:numPr>
        <w:jc w:val="both"/>
      </w:pPr>
      <w:r w:rsidRPr="00FD7851">
        <w:t>Es una violencia instrumental.</w:t>
      </w:r>
    </w:p>
    <w:p w:rsidR="00A76D3F" w:rsidRPr="00FD7851" w:rsidRDefault="00A76D3F" w:rsidP="00A76D3F">
      <w:pPr>
        <w:pStyle w:val="Prrafodelista"/>
      </w:pPr>
    </w:p>
    <w:p w:rsidR="00A76D3F" w:rsidRPr="00FD7851" w:rsidRDefault="00A76D3F" w:rsidP="00A76D3F">
      <w:pPr>
        <w:pStyle w:val="Prrafodelista"/>
        <w:numPr>
          <w:ilvl w:val="0"/>
          <w:numId w:val="28"/>
        </w:numPr>
        <w:jc w:val="both"/>
      </w:pPr>
      <w:r w:rsidRPr="00FD7851">
        <w:t>La víctima sufre el abuso y la violencia por parte de una persona de la que espera recibir respeto, amor y apoyo.</w:t>
      </w:r>
    </w:p>
    <w:p w:rsidR="00A76D3F" w:rsidRPr="00FD7851" w:rsidRDefault="00A76D3F" w:rsidP="00A76D3F">
      <w:pPr>
        <w:pStyle w:val="Prrafodelista"/>
      </w:pPr>
    </w:p>
    <w:p w:rsidR="00A76D3F" w:rsidRPr="00FD7851" w:rsidRDefault="00A76D3F" w:rsidP="00A76D3F">
      <w:pPr>
        <w:pStyle w:val="Prrafodelista"/>
        <w:numPr>
          <w:ilvl w:val="0"/>
          <w:numId w:val="28"/>
        </w:numPr>
        <w:jc w:val="both"/>
      </w:pPr>
      <w:r w:rsidRPr="00FD7851">
        <w:t>Pude sufrirla cualquier mujer y se suele desarrollar en el ámbito privado.</w:t>
      </w:r>
    </w:p>
    <w:p w:rsidR="00A76D3F" w:rsidRPr="00FD7851" w:rsidRDefault="00A76D3F" w:rsidP="00A76D3F">
      <w:pPr>
        <w:pStyle w:val="Prrafodelista"/>
      </w:pPr>
    </w:p>
    <w:p w:rsidR="00A76D3F" w:rsidRPr="00FD7851" w:rsidRDefault="00A76D3F" w:rsidP="00A76D3F">
      <w:pPr>
        <w:pStyle w:val="Prrafodelista"/>
        <w:numPr>
          <w:ilvl w:val="0"/>
          <w:numId w:val="28"/>
        </w:numPr>
        <w:jc w:val="both"/>
      </w:pPr>
      <w:r w:rsidRPr="00FD7851">
        <w:t>Se ejerce de forma discontinua y con intensidad creciente.</w:t>
      </w:r>
    </w:p>
    <w:p w:rsidR="00A76D3F" w:rsidRPr="00FD7851" w:rsidRDefault="00A76D3F" w:rsidP="00A76D3F">
      <w:pPr>
        <w:pStyle w:val="Prrafodelista"/>
      </w:pPr>
    </w:p>
    <w:p w:rsidR="00A76D3F" w:rsidRPr="00FD7851" w:rsidRDefault="00A76D3F" w:rsidP="00A76D3F">
      <w:pPr>
        <w:pStyle w:val="Prrafodelista"/>
        <w:numPr>
          <w:ilvl w:val="0"/>
          <w:numId w:val="28"/>
        </w:numPr>
        <w:jc w:val="both"/>
      </w:pPr>
      <w:r w:rsidRPr="00FD7851">
        <w:t>Genera daños de distintas magnitudes, daños en la familia, entorno y sociedad.</w:t>
      </w:r>
    </w:p>
    <w:p w:rsidR="00A76D3F" w:rsidRPr="00FD7851" w:rsidRDefault="00A76D3F" w:rsidP="00A76D3F">
      <w:pPr>
        <w:pStyle w:val="Prrafodelista"/>
      </w:pPr>
    </w:p>
    <w:p w:rsidR="00A76D3F" w:rsidRPr="00FD7851" w:rsidRDefault="00A76D3F" w:rsidP="00A76D3F">
      <w:pPr>
        <w:pStyle w:val="Prrafodelista"/>
        <w:numPr>
          <w:ilvl w:val="0"/>
          <w:numId w:val="28"/>
        </w:numPr>
        <w:jc w:val="both"/>
      </w:pPr>
      <w:r w:rsidRPr="00FD7851">
        <w:t>Se aprende por intimidación y mantiene el rechazo social</w:t>
      </w:r>
    </w:p>
    <w:p w:rsidR="00A76D3F" w:rsidRPr="00FD7851" w:rsidRDefault="00A76D3F" w:rsidP="00A76D3F">
      <w:pPr>
        <w:jc w:val="both"/>
        <w:rPr>
          <w:b/>
        </w:rPr>
      </w:pPr>
    </w:p>
    <w:p w:rsidR="00A76D3F" w:rsidRPr="00FD7851" w:rsidRDefault="00A76D3F" w:rsidP="00A76D3F">
      <w:pPr>
        <w:ind w:firstLine="360"/>
        <w:jc w:val="both"/>
      </w:pPr>
      <w:r w:rsidRPr="00FD7851">
        <w:t>La Ley 13/2007</w:t>
      </w:r>
      <w:r w:rsidRPr="00FD7851">
        <w:rPr>
          <w:rStyle w:val="Refdenotaalpie"/>
        </w:rPr>
        <w:footnoteReference w:id="59"/>
      </w:r>
      <w:r w:rsidRPr="00FD7851">
        <w:t>, se centra en cuatro tipos generales de violencia:</w:t>
      </w:r>
    </w:p>
    <w:p w:rsidR="00A76D3F" w:rsidRPr="00FD7851" w:rsidRDefault="00A76D3F" w:rsidP="00A76D3F">
      <w:pPr>
        <w:pStyle w:val="Prrafodelista"/>
        <w:numPr>
          <w:ilvl w:val="0"/>
          <w:numId w:val="30"/>
        </w:numPr>
        <w:jc w:val="both"/>
      </w:pPr>
      <w:r w:rsidRPr="00FD7851">
        <w:rPr>
          <w:b/>
        </w:rPr>
        <w:t xml:space="preserve">Violencia </w:t>
      </w:r>
      <w:r w:rsidR="00FD7851" w:rsidRPr="00FD7851">
        <w:rPr>
          <w:b/>
        </w:rPr>
        <w:t>física,</w:t>
      </w:r>
      <w:r w:rsidR="00FD7851" w:rsidRPr="00FD7851">
        <w:t xml:space="preserve"> “Cualquier</w:t>
      </w:r>
      <w:r w:rsidRPr="00FD7851">
        <w:t xml:space="preserve"> acto de fuerza contra el cuerpo de la mujer, con resultado de producir lesión física o daño. Además, tendrán la consideración de actos de violencia física contra la mujer los ejercidos por hombres en su entorno familiar, social y/o laboral.</w:t>
      </w:r>
    </w:p>
    <w:p w:rsidR="00A76D3F" w:rsidRPr="00FD7851" w:rsidRDefault="00A76D3F" w:rsidP="00A76D3F">
      <w:pPr>
        <w:pStyle w:val="Prrafodelista"/>
        <w:jc w:val="both"/>
      </w:pPr>
    </w:p>
    <w:p w:rsidR="00A76D3F" w:rsidRPr="00FD7851" w:rsidRDefault="00A76D3F" w:rsidP="00A76D3F">
      <w:pPr>
        <w:pStyle w:val="Prrafodelista"/>
        <w:jc w:val="both"/>
      </w:pPr>
      <w:r w:rsidRPr="00FD7851">
        <w:t>Empujones, tirones de pelo, bofetadas, golpes, patadas…”</w:t>
      </w:r>
    </w:p>
    <w:p w:rsidR="00A76D3F" w:rsidRPr="00FD7851" w:rsidRDefault="00A76D3F" w:rsidP="00A76D3F">
      <w:pPr>
        <w:pStyle w:val="Prrafodelista"/>
        <w:jc w:val="both"/>
      </w:pPr>
    </w:p>
    <w:p w:rsidR="00A76D3F" w:rsidRPr="00FD7851" w:rsidRDefault="00A76D3F" w:rsidP="00A76D3F">
      <w:pPr>
        <w:pStyle w:val="Prrafodelista"/>
        <w:numPr>
          <w:ilvl w:val="0"/>
          <w:numId w:val="30"/>
        </w:numPr>
        <w:jc w:val="both"/>
      </w:pPr>
      <w:r w:rsidRPr="00FD7851">
        <w:rPr>
          <w:b/>
        </w:rPr>
        <w:t xml:space="preserve">Violencia </w:t>
      </w:r>
      <w:r w:rsidR="00FD7851" w:rsidRPr="00FD7851">
        <w:rPr>
          <w:b/>
        </w:rPr>
        <w:t>psicológica,</w:t>
      </w:r>
      <w:r w:rsidR="00FD7851" w:rsidRPr="00FD7851">
        <w:t xml:space="preserve"> “Toda</w:t>
      </w:r>
      <w:r w:rsidRPr="00FD7851">
        <w:t xml:space="preserve"> conducta, verbal o no verbal, que produzca en la mujer desvalorización, o sufrimiento, a través de amenazas, humillaciones o vejaciones, entre otros. Tendrán la consideración de actos de violencia psicológica contra la mujer los ejercidos por hombres en su entorno familiar, social y/o laboral.</w:t>
      </w:r>
    </w:p>
    <w:p w:rsidR="00A76D3F" w:rsidRPr="00FD7851" w:rsidRDefault="00A76D3F" w:rsidP="00A76D3F">
      <w:pPr>
        <w:pStyle w:val="Prrafodelista"/>
      </w:pPr>
    </w:p>
    <w:p w:rsidR="00A76D3F" w:rsidRPr="00FD7851" w:rsidRDefault="00A76D3F" w:rsidP="00A76D3F">
      <w:pPr>
        <w:pStyle w:val="Prrafodelista"/>
        <w:jc w:val="both"/>
      </w:pPr>
      <w:r w:rsidRPr="00FD7851">
        <w:t>Desprecio, bromas, chistes, comentarios, amenazas…”</w:t>
      </w:r>
    </w:p>
    <w:p w:rsidR="00A76D3F" w:rsidRPr="00FD7851" w:rsidRDefault="00A76D3F" w:rsidP="00A76D3F">
      <w:pPr>
        <w:pStyle w:val="Prrafodelista"/>
      </w:pPr>
    </w:p>
    <w:p w:rsidR="00A76D3F" w:rsidRPr="00FD7851" w:rsidRDefault="00A76D3F" w:rsidP="00A76D3F">
      <w:pPr>
        <w:pStyle w:val="Prrafodelista"/>
        <w:numPr>
          <w:ilvl w:val="0"/>
          <w:numId w:val="30"/>
        </w:numPr>
        <w:jc w:val="both"/>
      </w:pPr>
      <w:r w:rsidRPr="00FD7851">
        <w:rPr>
          <w:b/>
        </w:rPr>
        <w:t xml:space="preserve">Violencia </w:t>
      </w:r>
      <w:r w:rsidR="00FD7851" w:rsidRPr="00FD7851">
        <w:rPr>
          <w:b/>
        </w:rPr>
        <w:t>económica,</w:t>
      </w:r>
      <w:r w:rsidR="00FD7851" w:rsidRPr="00FD7851">
        <w:t xml:space="preserve"> “Privación</w:t>
      </w:r>
      <w:r w:rsidRPr="00FD7851">
        <w:t xml:space="preserve"> intencionada, y no justificada legalmente, de recursos para el bienestar físico o psicológico de la mujer y de sus hijas e hijos o la discriminación en la disposición de los recursos compartidos en el ámbito de la pareja.</w:t>
      </w:r>
    </w:p>
    <w:p w:rsidR="00A76D3F" w:rsidRPr="00FD7851" w:rsidRDefault="00A76D3F" w:rsidP="00A76D3F">
      <w:pPr>
        <w:pStyle w:val="Prrafodelista"/>
      </w:pPr>
    </w:p>
    <w:p w:rsidR="00A76D3F" w:rsidRPr="00FD7851" w:rsidRDefault="00A76D3F" w:rsidP="00A76D3F">
      <w:pPr>
        <w:pStyle w:val="Prrafodelista"/>
        <w:jc w:val="both"/>
      </w:pPr>
      <w:r w:rsidRPr="00FD7851">
        <w:t>Limitar el dinero, entrega de cantidades insuficientes para el mantenimiento de la familia, no saber administrar el dinero…”</w:t>
      </w:r>
    </w:p>
    <w:p w:rsidR="00A76D3F" w:rsidRPr="00FD7851" w:rsidRDefault="00A76D3F" w:rsidP="00A76D3F">
      <w:pPr>
        <w:pStyle w:val="Prrafodelista"/>
      </w:pPr>
    </w:p>
    <w:p w:rsidR="00A76D3F" w:rsidRPr="00FD7851" w:rsidRDefault="00A76D3F" w:rsidP="00A76D3F">
      <w:pPr>
        <w:pStyle w:val="Prrafodelista"/>
        <w:numPr>
          <w:ilvl w:val="0"/>
          <w:numId w:val="30"/>
        </w:numPr>
        <w:jc w:val="both"/>
      </w:pPr>
      <w:r w:rsidRPr="00FD7851">
        <w:rPr>
          <w:b/>
        </w:rPr>
        <w:t xml:space="preserve">Violencia sexual y abusos </w:t>
      </w:r>
      <w:r w:rsidR="00FD7851" w:rsidRPr="00FD7851">
        <w:rPr>
          <w:b/>
        </w:rPr>
        <w:t>sexuales,</w:t>
      </w:r>
      <w:r w:rsidR="00FD7851" w:rsidRPr="00FD7851">
        <w:t xml:space="preserve"> “Cualquier</w:t>
      </w:r>
      <w:r w:rsidRPr="00FD7851">
        <w:t xml:space="preserve"> acto de naturaleza sexual forzada por el agresor o no consentida por la mujer, abarcando la imposición mediante la fuerza o con intimidación de relaciones sexuales no consentida.</w:t>
      </w:r>
    </w:p>
    <w:p w:rsidR="00A76D3F" w:rsidRPr="00FD7851" w:rsidRDefault="00A76D3F" w:rsidP="00A76D3F">
      <w:pPr>
        <w:pStyle w:val="Prrafodelista"/>
      </w:pPr>
    </w:p>
    <w:p w:rsidR="00A76D3F" w:rsidRPr="00FD7851" w:rsidRDefault="00A76D3F" w:rsidP="00A76D3F">
      <w:pPr>
        <w:pStyle w:val="Prrafodelista"/>
        <w:jc w:val="both"/>
      </w:pPr>
      <w:r w:rsidRPr="00FD7851">
        <w:t>El abuso sexual, con independencia de que el agresor guarde o no relación conyugal, de pareja, afectiva o de parentesco con la víctima.</w:t>
      </w:r>
    </w:p>
    <w:p w:rsidR="00A76D3F" w:rsidRPr="00FD7851" w:rsidRDefault="00A76D3F" w:rsidP="00A76D3F">
      <w:pPr>
        <w:pStyle w:val="Prrafodelista"/>
        <w:jc w:val="both"/>
      </w:pPr>
    </w:p>
    <w:p w:rsidR="00A76D3F" w:rsidRPr="00FD7851" w:rsidRDefault="00A76D3F" w:rsidP="00A76D3F">
      <w:pPr>
        <w:pStyle w:val="Prrafodelista"/>
        <w:jc w:val="both"/>
      </w:pPr>
      <w:r w:rsidRPr="00FD7851">
        <w:t>Acoso, violación, penetración de objetos…”</w:t>
      </w:r>
    </w:p>
    <w:p w:rsidR="00E35ED7" w:rsidRPr="00FD7851" w:rsidRDefault="00E35ED7" w:rsidP="000152AF">
      <w:pPr>
        <w:jc w:val="both"/>
        <w:rPr>
          <w:b/>
        </w:rPr>
      </w:pPr>
    </w:p>
    <w:p w:rsidR="00963FDB" w:rsidRDefault="00963FDB" w:rsidP="00963FDB">
      <w:pPr>
        <w:pStyle w:val="Prrafodelista"/>
        <w:numPr>
          <w:ilvl w:val="1"/>
          <w:numId w:val="7"/>
        </w:numPr>
        <w:jc w:val="both"/>
        <w:rPr>
          <w:b/>
        </w:rPr>
      </w:pPr>
      <w:r>
        <w:rPr>
          <w:b/>
        </w:rPr>
        <w:t>Tipificación penal del delito de Violencia de género</w:t>
      </w:r>
    </w:p>
    <w:p w:rsidR="000E0704" w:rsidRDefault="000E0704" w:rsidP="000E0704">
      <w:pPr>
        <w:jc w:val="both"/>
      </w:pPr>
      <w:r>
        <w:t>Según el artículo de Sánchez Bermejo</w:t>
      </w:r>
      <w:r w:rsidR="00591F02">
        <w:rPr>
          <w:rStyle w:val="Refdenotaalpie"/>
        </w:rPr>
        <w:footnoteReference w:id="60"/>
      </w:r>
      <w:r w:rsidR="00C54F39">
        <w:t>, el delito de violencia de género se encuentra recogido en el Código Penal dentro del Título dedicado a las torturas y otros delitos contra la integridad moral. El delito se dará cuando habitualmente se ejerza violencia física o psíquica sobre algunos tipos de personas como:</w:t>
      </w:r>
    </w:p>
    <w:p w:rsidR="00C54F39" w:rsidRDefault="00C54F39" w:rsidP="00C54F39">
      <w:pPr>
        <w:pStyle w:val="Prrafodelista"/>
        <w:numPr>
          <w:ilvl w:val="0"/>
          <w:numId w:val="30"/>
        </w:numPr>
        <w:jc w:val="both"/>
      </w:pPr>
      <w:r>
        <w:t>Quien sea o haya sido cónyuge del maltratador o sobre persona que esté o haya estado ligada a él por una análoga relación de afectividad aun sin convivencia.</w:t>
      </w:r>
    </w:p>
    <w:p w:rsidR="00C54F39" w:rsidRDefault="00C54F39" w:rsidP="00C54F39">
      <w:pPr>
        <w:pStyle w:val="Prrafodelista"/>
        <w:jc w:val="both"/>
      </w:pPr>
    </w:p>
    <w:p w:rsidR="00C54F39" w:rsidRDefault="00C54F39" w:rsidP="00C54F39">
      <w:pPr>
        <w:pStyle w:val="Prrafodelista"/>
        <w:numPr>
          <w:ilvl w:val="0"/>
          <w:numId w:val="30"/>
        </w:numPr>
        <w:jc w:val="both"/>
      </w:pPr>
      <w:r>
        <w:t>Sobre descendientes, ascendientes o hermanos por naturaleza, adopción o afinidad propios o del cónyuge o conviviente del maltratador.</w:t>
      </w:r>
    </w:p>
    <w:p w:rsidR="00C54F39" w:rsidRDefault="00C54F39" w:rsidP="00C54F39">
      <w:pPr>
        <w:pStyle w:val="Prrafodelista"/>
      </w:pPr>
    </w:p>
    <w:p w:rsidR="00C54F39" w:rsidRDefault="00C54F39" w:rsidP="00C54F39">
      <w:pPr>
        <w:pStyle w:val="Prrafodelista"/>
        <w:numPr>
          <w:ilvl w:val="0"/>
          <w:numId w:val="30"/>
        </w:numPr>
        <w:jc w:val="both"/>
      </w:pPr>
      <w:r>
        <w:t>Sobre los menores o personas con discapacidad necesitadas de especial protección que convivan con el maltratador o que se hallen sujetos a la potestad, tutela, curatela, acogimiento o guarda de hecho del cónyuge o conviviente del maltratador.</w:t>
      </w:r>
    </w:p>
    <w:p w:rsidR="00C54F39" w:rsidRDefault="00C54F39" w:rsidP="00C54F39">
      <w:pPr>
        <w:pStyle w:val="Prrafodelista"/>
      </w:pPr>
    </w:p>
    <w:p w:rsidR="00C54F39" w:rsidRDefault="00C54F39" w:rsidP="00C54F39">
      <w:pPr>
        <w:pStyle w:val="Prrafodelista"/>
        <w:numPr>
          <w:ilvl w:val="0"/>
          <w:numId w:val="30"/>
        </w:numPr>
        <w:jc w:val="both"/>
      </w:pPr>
      <w:r>
        <w:t>Sobre persona amparada en cualquier otra relación por la que se encuentre integrada en el núcleo de la convivencia familiar del maltratador.</w:t>
      </w:r>
    </w:p>
    <w:p w:rsidR="00C54F39" w:rsidRDefault="00C54F39" w:rsidP="00C54F39">
      <w:pPr>
        <w:pStyle w:val="Prrafodelista"/>
      </w:pPr>
    </w:p>
    <w:p w:rsidR="00C54F39" w:rsidRDefault="00C54F39" w:rsidP="00C54F39">
      <w:pPr>
        <w:pStyle w:val="Prrafodelista"/>
        <w:numPr>
          <w:ilvl w:val="0"/>
          <w:numId w:val="30"/>
        </w:numPr>
        <w:jc w:val="both"/>
      </w:pPr>
      <w:r>
        <w:t>Sobre personas que por su especial vulnerabilidad se encuentran sometidas a custodia o guarda en centros públicos o privados.</w:t>
      </w:r>
    </w:p>
    <w:p w:rsidR="00CA0064" w:rsidRDefault="00CA0064" w:rsidP="00CA0064">
      <w:pPr>
        <w:pStyle w:val="Prrafodelista"/>
      </w:pPr>
    </w:p>
    <w:p w:rsidR="00CA0064" w:rsidRDefault="00CA0064" w:rsidP="00CA0064">
      <w:pPr>
        <w:ind w:firstLine="360"/>
        <w:jc w:val="both"/>
      </w:pPr>
      <w:r>
        <w:t xml:space="preserve">Los castigos que se reservan para el delito de violencia de género son de pena de prisión de 6 meses a 3 años, privación del derecho a la tenencia y porte de armas de 3 a 5 </w:t>
      </w:r>
      <w:r>
        <w:lastRenderedPageBreak/>
        <w:t>años, cuando el juez o tribunal lo estime adecuado al interés del menor o persona necesitada de especial protección, inhabilitación especial para el ejercicio de la patria potestad, tutela, curatela, guarda o acogimiento por tiempo de 1 a 5 años. Se podrá imponer además una medida de libertad vigilada.</w:t>
      </w:r>
    </w:p>
    <w:p w:rsidR="00CA0064" w:rsidRDefault="00CA0064" w:rsidP="00CA0064">
      <w:pPr>
        <w:ind w:firstLine="360"/>
        <w:jc w:val="both"/>
      </w:pPr>
      <w:r>
        <w:t>Las penas se impondrán en su mitad superior cuando alguno/os de los actos de violencia se perpetren:</w:t>
      </w:r>
    </w:p>
    <w:p w:rsidR="00CA0064" w:rsidRDefault="00CA0064" w:rsidP="00CA0064">
      <w:pPr>
        <w:pStyle w:val="Prrafodelista"/>
        <w:numPr>
          <w:ilvl w:val="0"/>
          <w:numId w:val="46"/>
        </w:numPr>
        <w:jc w:val="both"/>
      </w:pPr>
      <w:r>
        <w:t>Presencia de menores</w:t>
      </w:r>
    </w:p>
    <w:p w:rsidR="00CA0064" w:rsidRDefault="00CA0064" w:rsidP="00CA0064">
      <w:pPr>
        <w:pStyle w:val="Prrafodelista"/>
        <w:ind w:left="1080"/>
        <w:jc w:val="both"/>
      </w:pPr>
    </w:p>
    <w:p w:rsidR="00CA0064" w:rsidRDefault="00CA0064" w:rsidP="00CA0064">
      <w:pPr>
        <w:pStyle w:val="Prrafodelista"/>
        <w:numPr>
          <w:ilvl w:val="0"/>
          <w:numId w:val="46"/>
        </w:numPr>
        <w:jc w:val="both"/>
      </w:pPr>
      <w:r>
        <w:t>Utilización de armas</w:t>
      </w:r>
    </w:p>
    <w:p w:rsidR="00CA0064" w:rsidRDefault="00CA0064" w:rsidP="00CA0064">
      <w:pPr>
        <w:pStyle w:val="Prrafodelista"/>
      </w:pPr>
    </w:p>
    <w:p w:rsidR="00CA0064" w:rsidRDefault="00CA0064" w:rsidP="00CA0064">
      <w:pPr>
        <w:pStyle w:val="Prrafodelista"/>
        <w:numPr>
          <w:ilvl w:val="0"/>
          <w:numId w:val="46"/>
        </w:numPr>
        <w:jc w:val="both"/>
      </w:pPr>
      <w:r>
        <w:t>Si se producen en el domicilio común o en el de la víctima</w:t>
      </w:r>
    </w:p>
    <w:p w:rsidR="00CA0064" w:rsidRDefault="00CA0064" w:rsidP="00CA0064">
      <w:pPr>
        <w:pStyle w:val="Prrafodelista"/>
      </w:pPr>
    </w:p>
    <w:p w:rsidR="00CA0064" w:rsidRDefault="00CA0064" w:rsidP="00CA0064">
      <w:pPr>
        <w:pStyle w:val="Prrafodelista"/>
        <w:numPr>
          <w:ilvl w:val="0"/>
          <w:numId w:val="46"/>
        </w:numPr>
        <w:jc w:val="both"/>
      </w:pPr>
      <w:r>
        <w:t>Se realicen quebrantando una pena o una medida cautelar o de seguridad o prohibición de la misma naturaleza</w:t>
      </w:r>
    </w:p>
    <w:p w:rsidR="00CA0064" w:rsidRDefault="00CA0064" w:rsidP="00CA0064">
      <w:pPr>
        <w:pStyle w:val="Prrafodelista"/>
      </w:pPr>
    </w:p>
    <w:p w:rsidR="00EA3BE1" w:rsidRDefault="00EA3BE1" w:rsidP="00591F02">
      <w:pPr>
        <w:ind w:firstLine="708"/>
        <w:jc w:val="both"/>
      </w:pPr>
      <w:r>
        <w:t>Si la infracción que se comete es una injuria o vejación injusta de carácter leve, y es una de las personas a quien protege este precepto, se castigará con una pena de localización permanent</w:t>
      </w:r>
      <w:r w:rsidR="00591F02">
        <w:t>e d</w:t>
      </w:r>
      <w:r>
        <w:t>e 5 a 30 días</w:t>
      </w:r>
      <w:r w:rsidR="00591F02">
        <w:t xml:space="preserve"> siempre en domicilio diferente y alejado del de la víctima, trabajos en beneficio de la comunidad de 5 a 30 días o una multa de 1 a 4 meses, se da para ciertos casos. Además, las injurias solamente serán perseguibles mediante denuncia de la persona agraviada o de su representante legal.</w:t>
      </w:r>
    </w:p>
    <w:p w:rsidR="004C0EA2" w:rsidRDefault="004C0EA2" w:rsidP="00591F02">
      <w:pPr>
        <w:ind w:firstLine="708"/>
        <w:jc w:val="both"/>
      </w:pPr>
    </w:p>
    <w:p w:rsidR="00963FDB" w:rsidRPr="00FD7851" w:rsidRDefault="00963FDB" w:rsidP="00114F36">
      <w:pPr>
        <w:pStyle w:val="Prrafodelista"/>
        <w:numPr>
          <w:ilvl w:val="1"/>
          <w:numId w:val="7"/>
        </w:numPr>
        <w:jc w:val="both"/>
        <w:rPr>
          <w:b/>
        </w:rPr>
      </w:pPr>
      <w:r>
        <w:rPr>
          <w:b/>
        </w:rPr>
        <w:t>Violencia de género psíquica o física desde la óptica de la Ley de Medidas de Protección Integral de la Violencia de Género</w:t>
      </w:r>
    </w:p>
    <w:p w:rsidR="00A76D3F" w:rsidRPr="00FD7851" w:rsidRDefault="00A76D3F" w:rsidP="00A76D3F">
      <w:pPr>
        <w:ind w:firstLine="708"/>
        <w:jc w:val="both"/>
      </w:pPr>
      <w:r w:rsidRPr="00FD7851">
        <w:t>El autor, hace un estudio sobre las figuras de malos tratos, violencia doméstica, violencia intrafamiliar, objeto de reformas debido a la trascendencia social causadas por este tipo de conductas. Tras ello, se materializaron las Leyes Orgánicas 11/1999</w:t>
      </w:r>
      <w:r w:rsidRPr="00FD7851">
        <w:rPr>
          <w:rStyle w:val="Refdenotaalpie"/>
        </w:rPr>
        <w:footnoteReference w:id="61"/>
      </w:r>
      <w:r w:rsidRPr="00FD7851">
        <w:t xml:space="preserve"> y 14/1999</w:t>
      </w:r>
      <w:r w:rsidRPr="00FD7851">
        <w:rPr>
          <w:rStyle w:val="Refdenotaalpie"/>
        </w:rPr>
        <w:footnoteReference w:id="62"/>
      </w:r>
    </w:p>
    <w:p w:rsidR="00A76D3F" w:rsidRPr="00FD7851" w:rsidRDefault="00A76D3F" w:rsidP="00A76D3F">
      <w:pPr>
        <w:ind w:firstLine="708"/>
        <w:jc w:val="both"/>
      </w:pPr>
      <w:r w:rsidRPr="00FD7851">
        <w:lastRenderedPageBreak/>
        <w:t>En el último capítulo de este proceso reformador, lo constituye la Ley Orgánica 1/2004</w:t>
      </w:r>
      <w:r w:rsidRPr="00FD7851">
        <w:rPr>
          <w:rStyle w:val="Refdenotaalpie"/>
        </w:rPr>
        <w:footnoteReference w:id="63"/>
      </w:r>
      <w:r w:rsidRPr="00FD7851">
        <w:t xml:space="preserve">. Se modifica el Código Penal para reelaborar los tipos destinados a reprimir la violencia impropiamente denominada “de género”. Teniendo en cuenta el artículo 153 del CP, la Ley 1/2004 dio una nueva redacción que no ha estado exenta de polémica lo que motivó al pronunciamiento del TC, STC 59/2008 de 14 de mayo, en la que desestima la cuestión de inconstitucionalidad por el juzgado de lo Penal nº4 de Murcia contra unos preceptos del CP modificados por la Ley Integral contra la Violencia de Género. El artículo contiene dos tipos básicos tales como un subtipo agravado y un subtipo privilegiado. Frente a las dos modalidades que se presentan respecto del sujeto pasivo, en primer lugar, tiene que haber sido esposa, mujer que esté o haya estado ligada al sujeto activo por análoga relación de afectividad aun sin convivencia, o persona especialmente relevante que conviva con el autor. </w:t>
      </w:r>
    </w:p>
    <w:p w:rsidR="00A76D3F" w:rsidRPr="00FD7851" w:rsidRDefault="00A76D3F" w:rsidP="00A76D3F">
      <w:pPr>
        <w:ind w:firstLine="708"/>
        <w:jc w:val="both"/>
      </w:pPr>
      <w:r w:rsidRPr="00FD7851">
        <w:t>En segundo lugar, ha de ser una persona especialmente vulnerable y, a diferencia del caso anterior, que además ha de ser actual.</w:t>
      </w:r>
    </w:p>
    <w:p w:rsidR="000152AF" w:rsidRPr="00FD7851" w:rsidRDefault="000152AF" w:rsidP="00A76D3F">
      <w:pPr>
        <w:ind w:left="708"/>
        <w:jc w:val="both"/>
        <w:rPr>
          <w:b/>
        </w:rPr>
      </w:pPr>
    </w:p>
    <w:p w:rsidR="00A76D3F" w:rsidRPr="00FD7851" w:rsidRDefault="00A76D3F" w:rsidP="00114F36">
      <w:pPr>
        <w:pStyle w:val="Prrafodelista"/>
        <w:numPr>
          <w:ilvl w:val="1"/>
          <w:numId w:val="7"/>
        </w:numPr>
        <w:jc w:val="both"/>
        <w:rPr>
          <w:b/>
        </w:rPr>
      </w:pPr>
      <w:r w:rsidRPr="00FD7851">
        <w:rPr>
          <w:b/>
        </w:rPr>
        <w:t>Violencia de Género en el ámbito internacional</w:t>
      </w:r>
    </w:p>
    <w:p w:rsidR="000152AF" w:rsidRDefault="00A76D3F" w:rsidP="000152AF">
      <w:pPr>
        <w:ind w:firstLine="708"/>
        <w:jc w:val="both"/>
      </w:pPr>
      <w:r w:rsidRPr="00FD7851">
        <w:t>La violencia sobre la mujer, es una violencia que se da en los cinco continentes, en todas las culturas y con cierta trascendencia de la actividad normativa</w:t>
      </w:r>
      <w:r w:rsidRPr="00FD7851">
        <w:rPr>
          <w:rStyle w:val="Refdenotaalpie"/>
        </w:rPr>
        <w:footnoteReference w:id="64"/>
      </w:r>
      <w:r w:rsidRPr="00FD7851">
        <w:t xml:space="preserve">. Tras la aprobación de la Convención para la eliminación de todas las formas de discriminación contra la mujer, ratificado por España en 1983, enunciándose los principios aceptados sobre los derechos de la mujer, prohibiendo la </w:t>
      </w:r>
      <w:r w:rsidR="000152AF">
        <w:t xml:space="preserve">discriminación contra la misma. </w:t>
      </w:r>
    </w:p>
    <w:p w:rsidR="00A76D3F" w:rsidRPr="00FD7851" w:rsidRDefault="00A76D3F" w:rsidP="000152AF">
      <w:pPr>
        <w:ind w:firstLine="708"/>
        <w:jc w:val="both"/>
      </w:pPr>
      <w:r w:rsidRPr="00FD7851">
        <w:t xml:space="preserve">En la década de los 90, según </w:t>
      </w:r>
      <w:proofErr w:type="spellStart"/>
      <w:r w:rsidRPr="00FD7851">
        <w:t>Magariños</w:t>
      </w:r>
      <w:proofErr w:type="spellEnd"/>
      <w:r w:rsidR="00FD7851">
        <w:t xml:space="preserve">, </w:t>
      </w:r>
      <w:proofErr w:type="spellStart"/>
      <w:r w:rsidRPr="00FD7851">
        <w:t>Yañez</w:t>
      </w:r>
      <w:proofErr w:type="spellEnd"/>
      <w:r w:rsidRPr="00FD7851">
        <w:rPr>
          <w:rStyle w:val="Refdenotaalpie"/>
        </w:rPr>
        <w:footnoteReference w:id="65"/>
      </w:r>
      <w:r w:rsidRPr="00FD7851">
        <w:t>, se produjeron declaraciones y plataformas de acción internacional en el tema de la violencia contra la mujer entre las que se destacaron la Declaración sobre la eliminación de la violencia contra las mujeres de 1993</w:t>
      </w:r>
      <w:r w:rsidRPr="00FD7851">
        <w:rPr>
          <w:rStyle w:val="Refdenotaalpie"/>
        </w:rPr>
        <w:footnoteReference w:id="66"/>
      </w:r>
      <w:r w:rsidRPr="00FD7851">
        <w:t xml:space="preserve"> y la Convención Interamericana para prevenir, sancionar y erradicar la violencia contra la mujer de 1994.</w:t>
      </w:r>
    </w:p>
    <w:p w:rsidR="00A76D3F" w:rsidRPr="00FD7851" w:rsidRDefault="00A76D3F" w:rsidP="00A76D3F">
      <w:pPr>
        <w:ind w:firstLine="708"/>
        <w:jc w:val="both"/>
      </w:pPr>
      <w:r w:rsidRPr="00FD7851">
        <w:lastRenderedPageBreak/>
        <w:t>En el ámbito comunitario, en el seno de la Unión Europea, se dieron textos comunitarios en los que se deja constancia la necesidad de la erradicación de la violencia sobre la mujer y se recomienda a los Estados miembros que acomoden su legislación para la lucha contra la violencia machista. No obstante, la respuesta jurídica ante la violencia sobre la mujer, ha sido diversa en cada país, por lo que, sin perjuicio de la normativa supranacional, se expondrán situaciones de algunos países de nuestro entorno.</w:t>
      </w:r>
    </w:p>
    <w:p w:rsidR="00A76D3F" w:rsidRPr="00FD7851" w:rsidRDefault="00A76D3F" w:rsidP="00A76D3F">
      <w:pPr>
        <w:ind w:firstLine="708"/>
        <w:jc w:val="both"/>
      </w:pPr>
      <w:r w:rsidRPr="00FD7851">
        <w:t>Tal y como señala Machado Ruiz</w:t>
      </w:r>
      <w:r w:rsidRPr="00FD7851">
        <w:rPr>
          <w:rStyle w:val="Refdenotaalpie"/>
        </w:rPr>
        <w:footnoteReference w:id="67"/>
      </w:r>
      <w:r w:rsidRPr="00FD7851">
        <w:t>, la vía punitiva es la opción más seguida en Europa para solucionar la violencia machista. En ocasiones, la relación de afectividad existente entre el autor y víctima se tiene en cuenta en el marco de las infracciones comunes a través de agravantes genéricas o específicas.</w:t>
      </w:r>
    </w:p>
    <w:p w:rsidR="00A76D3F" w:rsidRPr="00FD7851" w:rsidRDefault="00A76D3F" w:rsidP="00A76D3F">
      <w:pPr>
        <w:ind w:firstLine="708"/>
        <w:jc w:val="both"/>
        <w:rPr>
          <w:color w:val="000000"/>
        </w:rPr>
      </w:pPr>
      <w:r w:rsidRPr="00FD7851">
        <w:t>Bélgica, cuya ley 24 de noviembre de 1997 relativa a la lucha contra la violencia entre los socios, establece como circunstancia agravante que “l</w:t>
      </w:r>
      <w:r w:rsidRPr="00FD7851">
        <w:rPr>
          <w:color w:val="000000"/>
        </w:rPr>
        <w:t>a víctima del delito o el autor de la infracción es o haya sido cónyuge o pareja conviviente y el delincuente haya tenido una larga relación sexual y emocional con ellos”.</w:t>
      </w:r>
    </w:p>
    <w:p w:rsidR="00A76D3F" w:rsidRPr="00FD7851" w:rsidRDefault="00A76D3F" w:rsidP="00A76D3F">
      <w:pPr>
        <w:ind w:firstLine="708"/>
        <w:jc w:val="both"/>
        <w:rPr>
          <w:color w:val="000000"/>
        </w:rPr>
      </w:pPr>
      <w:r w:rsidRPr="00FD7851">
        <w:rPr>
          <w:color w:val="000000"/>
        </w:rPr>
        <w:t>Francia estipula en su Código Penal, agravaciones por parentesco en los atentados contra la integridad o se establecen atenuaciones especiales para las víctimas que recurren a la fuerza para defenderse de sus agresores</w:t>
      </w:r>
      <w:r w:rsidRPr="00FD7851">
        <w:rPr>
          <w:rStyle w:val="Refdenotaalpie"/>
          <w:color w:val="000000"/>
        </w:rPr>
        <w:footnoteReference w:id="68"/>
      </w:r>
    </w:p>
    <w:p w:rsidR="00A76D3F" w:rsidRPr="00FD7851" w:rsidRDefault="00A76D3F" w:rsidP="00A76D3F">
      <w:pPr>
        <w:ind w:firstLine="708"/>
        <w:jc w:val="both"/>
        <w:rPr>
          <w:color w:val="000000"/>
        </w:rPr>
      </w:pPr>
      <w:r w:rsidRPr="00FD7851">
        <w:rPr>
          <w:color w:val="000000"/>
        </w:rPr>
        <w:t>El artículo 217 del Código Penal de Islandia posibilita disminuir la pena, si la persona que sufre los daños es la que inició la lucha por asalto o provocación. Legislaciones penales como Georgia, Eslovenia y Letonia establecen atenuantes similares.</w:t>
      </w:r>
    </w:p>
    <w:p w:rsidR="00A76D3F" w:rsidRPr="00FD7851" w:rsidRDefault="00A76D3F" w:rsidP="00A76D3F">
      <w:pPr>
        <w:ind w:firstLine="708"/>
        <w:jc w:val="both"/>
        <w:rPr>
          <w:color w:val="000000"/>
        </w:rPr>
      </w:pPr>
      <w:r w:rsidRPr="00FD7851">
        <w:rPr>
          <w:color w:val="000000"/>
        </w:rPr>
        <w:t>Frente a la utilización de la vía penal para luchar contra la lacra social, algunos países europeos y latinoamericanos otorgan también un papel relevante a la vía civil para afrontar la violencia machista y garantizar la seguridad de la mujer dado que la respuesta penal del problema ha sido objeto de no pocos reproches</w:t>
      </w:r>
      <w:r w:rsidRPr="00FD7851">
        <w:rPr>
          <w:rStyle w:val="Refdenotaalpie"/>
          <w:color w:val="000000"/>
        </w:rPr>
        <w:footnoteReference w:id="69"/>
      </w:r>
      <w:r w:rsidR="00FD7851">
        <w:rPr>
          <w:color w:val="000000"/>
        </w:rPr>
        <w:t xml:space="preserve">. </w:t>
      </w:r>
      <w:r w:rsidRPr="00FD7851">
        <w:rPr>
          <w:color w:val="000000"/>
        </w:rPr>
        <w:t>La existencia de ordenamientos tan dispares en el tratamiento jurídico de la violencia de género debería conducir, según Martínez García</w:t>
      </w:r>
      <w:r w:rsidRPr="00FD7851">
        <w:rPr>
          <w:rStyle w:val="Refdenotaalpie"/>
          <w:color w:val="000000"/>
        </w:rPr>
        <w:footnoteReference w:id="70"/>
      </w:r>
      <w:r w:rsidRPr="00FD7851">
        <w:rPr>
          <w:color w:val="000000"/>
        </w:rPr>
        <w:t>, a homogeneizar tal respuesta jurídica para la adopción de una posición institucional unánime.</w:t>
      </w:r>
    </w:p>
    <w:p w:rsidR="000152AF" w:rsidRDefault="00A76D3F" w:rsidP="000152AF">
      <w:pPr>
        <w:ind w:firstLine="708"/>
        <w:jc w:val="both"/>
        <w:rPr>
          <w:color w:val="000000"/>
        </w:rPr>
      </w:pPr>
      <w:r w:rsidRPr="00FD7851">
        <w:rPr>
          <w:color w:val="000000"/>
        </w:rPr>
        <w:lastRenderedPageBreak/>
        <w:t>Hace especial mención a países tales como Portugal, Italia, Francia, Inglaterra, Alemania y Austr</w:t>
      </w:r>
      <w:r w:rsidR="000152AF">
        <w:rPr>
          <w:color w:val="000000"/>
        </w:rPr>
        <w:t>ia.</w:t>
      </w:r>
    </w:p>
    <w:p w:rsidR="004C0EA2" w:rsidRPr="000152AF" w:rsidRDefault="004C0EA2" w:rsidP="000152AF">
      <w:pPr>
        <w:ind w:firstLine="708"/>
        <w:jc w:val="both"/>
        <w:rPr>
          <w:color w:val="000000"/>
        </w:rPr>
      </w:pPr>
    </w:p>
    <w:p w:rsidR="005A7667" w:rsidRDefault="00E35ED7" w:rsidP="00114F36">
      <w:pPr>
        <w:pStyle w:val="Prrafodelista"/>
        <w:numPr>
          <w:ilvl w:val="1"/>
          <w:numId w:val="7"/>
        </w:numPr>
        <w:jc w:val="both"/>
        <w:rPr>
          <w:b/>
        </w:rPr>
      </w:pPr>
      <w:r>
        <w:rPr>
          <w:b/>
        </w:rPr>
        <w:t>Evolución estadística de las mujeres víctimas de violencia de género con resultado muerte en España</w:t>
      </w:r>
    </w:p>
    <w:p w:rsidR="00A76D3F" w:rsidRDefault="00A76D3F" w:rsidP="00A76D3F">
      <w:pPr>
        <w:ind w:firstLine="708"/>
        <w:jc w:val="both"/>
      </w:pPr>
      <w:r>
        <w:t xml:space="preserve">Si atendemos al número de mujeres asesinadas en España por violencia de género o machista desde el 2010 hasta hoy son específicamente: </w:t>
      </w:r>
    </w:p>
    <w:p w:rsidR="00A76D3F" w:rsidRDefault="00A76D3F" w:rsidP="00A76D3F">
      <w:pPr>
        <w:jc w:val="both"/>
      </w:pPr>
    </w:p>
    <w:tbl>
      <w:tblPr>
        <w:tblStyle w:val="Tabladecuadrcula2-nfasis51"/>
        <w:tblW w:w="0" w:type="auto"/>
        <w:tblLook w:val="04A0" w:firstRow="1" w:lastRow="0" w:firstColumn="1" w:lastColumn="0" w:noHBand="0" w:noVBand="1"/>
      </w:tblPr>
      <w:tblGrid>
        <w:gridCol w:w="4247"/>
        <w:gridCol w:w="4247"/>
      </w:tblGrid>
      <w:tr w:rsidR="00A76D3F" w:rsidTr="00B569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2"/>
          </w:tcPr>
          <w:p w:rsidR="00A76D3F" w:rsidRDefault="00A76D3F" w:rsidP="00B569A1">
            <w:r>
              <w:t>MUJERES ASESINADAS EN ESPAÑA</w:t>
            </w:r>
          </w:p>
        </w:tc>
      </w:tr>
      <w:tr w:rsidR="00A76D3F" w:rsidTr="00B569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2010</w:t>
            </w:r>
          </w:p>
        </w:tc>
        <w:tc>
          <w:tcPr>
            <w:tcW w:w="4247" w:type="dxa"/>
          </w:tcPr>
          <w:p w:rsidR="00A76D3F" w:rsidRDefault="00A76D3F" w:rsidP="00B569A1">
            <w:pPr>
              <w:cnfStyle w:val="000000100000" w:firstRow="0" w:lastRow="0" w:firstColumn="0" w:lastColumn="0" w:oddVBand="0" w:evenVBand="0" w:oddHBand="1" w:evenHBand="0" w:firstRowFirstColumn="0" w:firstRowLastColumn="0" w:lastRowFirstColumn="0" w:lastRowLastColumn="0"/>
            </w:pPr>
            <w:r>
              <w:t>85</w:t>
            </w:r>
          </w:p>
        </w:tc>
      </w:tr>
      <w:tr w:rsidR="00A76D3F" w:rsidTr="00B569A1">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2011</w:t>
            </w:r>
          </w:p>
        </w:tc>
        <w:tc>
          <w:tcPr>
            <w:tcW w:w="4247" w:type="dxa"/>
          </w:tcPr>
          <w:p w:rsidR="00A76D3F" w:rsidRDefault="00A76D3F" w:rsidP="00B569A1">
            <w:pPr>
              <w:cnfStyle w:val="000000000000" w:firstRow="0" w:lastRow="0" w:firstColumn="0" w:lastColumn="0" w:oddVBand="0" w:evenVBand="0" w:oddHBand="0" w:evenHBand="0" w:firstRowFirstColumn="0" w:firstRowLastColumn="0" w:lastRowFirstColumn="0" w:lastRowLastColumn="0"/>
            </w:pPr>
            <w:r>
              <w:t>67</w:t>
            </w:r>
          </w:p>
        </w:tc>
      </w:tr>
      <w:tr w:rsidR="00A76D3F" w:rsidTr="00B569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2012</w:t>
            </w:r>
          </w:p>
        </w:tc>
        <w:tc>
          <w:tcPr>
            <w:tcW w:w="4247" w:type="dxa"/>
          </w:tcPr>
          <w:p w:rsidR="00A76D3F" w:rsidRDefault="00A76D3F" w:rsidP="00B569A1">
            <w:pPr>
              <w:cnfStyle w:val="000000100000" w:firstRow="0" w:lastRow="0" w:firstColumn="0" w:lastColumn="0" w:oddVBand="0" w:evenVBand="0" w:oddHBand="1" w:evenHBand="0" w:firstRowFirstColumn="0" w:firstRowLastColumn="0" w:lastRowFirstColumn="0" w:lastRowLastColumn="0"/>
            </w:pPr>
            <w:r>
              <w:t>57</w:t>
            </w:r>
          </w:p>
        </w:tc>
      </w:tr>
      <w:tr w:rsidR="00A76D3F" w:rsidTr="00B569A1">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2013</w:t>
            </w:r>
          </w:p>
        </w:tc>
        <w:tc>
          <w:tcPr>
            <w:tcW w:w="4247" w:type="dxa"/>
          </w:tcPr>
          <w:p w:rsidR="00A76D3F" w:rsidRDefault="00A76D3F" w:rsidP="00B569A1">
            <w:pPr>
              <w:cnfStyle w:val="000000000000" w:firstRow="0" w:lastRow="0" w:firstColumn="0" w:lastColumn="0" w:oddVBand="0" w:evenVBand="0" w:oddHBand="0" w:evenHBand="0" w:firstRowFirstColumn="0" w:firstRowLastColumn="0" w:lastRowFirstColumn="0" w:lastRowLastColumn="0"/>
            </w:pPr>
            <w:r>
              <w:t>57</w:t>
            </w:r>
          </w:p>
        </w:tc>
      </w:tr>
      <w:tr w:rsidR="00A76D3F" w:rsidTr="00B569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2014</w:t>
            </w:r>
          </w:p>
        </w:tc>
        <w:tc>
          <w:tcPr>
            <w:tcW w:w="4247" w:type="dxa"/>
          </w:tcPr>
          <w:p w:rsidR="00A76D3F" w:rsidRDefault="00A76D3F" w:rsidP="00B569A1">
            <w:pPr>
              <w:cnfStyle w:val="000000100000" w:firstRow="0" w:lastRow="0" w:firstColumn="0" w:lastColumn="0" w:oddVBand="0" w:evenVBand="0" w:oddHBand="1" w:evenHBand="0" w:firstRowFirstColumn="0" w:firstRowLastColumn="0" w:lastRowFirstColumn="0" w:lastRowLastColumn="0"/>
            </w:pPr>
            <w:r>
              <w:t>59</w:t>
            </w:r>
          </w:p>
        </w:tc>
      </w:tr>
      <w:tr w:rsidR="00A76D3F" w:rsidTr="00B569A1">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2015</w:t>
            </w:r>
          </w:p>
        </w:tc>
        <w:tc>
          <w:tcPr>
            <w:tcW w:w="4247" w:type="dxa"/>
          </w:tcPr>
          <w:p w:rsidR="00A76D3F" w:rsidRDefault="00A76D3F" w:rsidP="00B569A1">
            <w:pPr>
              <w:cnfStyle w:val="000000000000" w:firstRow="0" w:lastRow="0" w:firstColumn="0" w:lastColumn="0" w:oddVBand="0" w:evenVBand="0" w:oddHBand="0" w:evenHBand="0" w:firstRowFirstColumn="0" w:firstRowLastColumn="0" w:lastRowFirstColumn="0" w:lastRowLastColumn="0"/>
            </w:pPr>
            <w:r>
              <w:t>64</w:t>
            </w:r>
          </w:p>
        </w:tc>
      </w:tr>
      <w:tr w:rsidR="00A76D3F" w:rsidTr="00B569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2016</w:t>
            </w:r>
          </w:p>
        </w:tc>
        <w:tc>
          <w:tcPr>
            <w:tcW w:w="4247" w:type="dxa"/>
          </w:tcPr>
          <w:p w:rsidR="00A76D3F" w:rsidRDefault="00A76D3F" w:rsidP="00B569A1">
            <w:pPr>
              <w:cnfStyle w:val="000000100000" w:firstRow="0" w:lastRow="0" w:firstColumn="0" w:lastColumn="0" w:oddVBand="0" w:evenVBand="0" w:oddHBand="1" w:evenHBand="0" w:firstRowFirstColumn="0" w:firstRowLastColumn="0" w:lastRowFirstColumn="0" w:lastRowLastColumn="0"/>
            </w:pPr>
            <w:r>
              <w:t>53</w:t>
            </w:r>
          </w:p>
        </w:tc>
      </w:tr>
      <w:tr w:rsidR="00A76D3F" w:rsidTr="00B569A1">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2017</w:t>
            </w:r>
          </w:p>
        </w:tc>
        <w:tc>
          <w:tcPr>
            <w:tcW w:w="4247" w:type="dxa"/>
          </w:tcPr>
          <w:p w:rsidR="00A76D3F" w:rsidRDefault="00A76D3F" w:rsidP="00B569A1">
            <w:pPr>
              <w:cnfStyle w:val="000000000000" w:firstRow="0" w:lastRow="0" w:firstColumn="0" w:lastColumn="0" w:oddVBand="0" w:evenVBand="0" w:oddHBand="0" w:evenHBand="0" w:firstRowFirstColumn="0" w:firstRowLastColumn="0" w:lastRowFirstColumn="0" w:lastRowLastColumn="0"/>
            </w:pPr>
            <w:r>
              <w:t>55</w:t>
            </w:r>
          </w:p>
        </w:tc>
      </w:tr>
      <w:tr w:rsidR="00A76D3F" w:rsidTr="00B569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A76D3F" w:rsidRDefault="00A76D3F" w:rsidP="00B569A1">
            <w:r>
              <w:t>AÑO 2018</w:t>
            </w:r>
          </w:p>
        </w:tc>
        <w:tc>
          <w:tcPr>
            <w:tcW w:w="4247" w:type="dxa"/>
          </w:tcPr>
          <w:p w:rsidR="00A76D3F" w:rsidRDefault="00A76D3F" w:rsidP="00B569A1">
            <w:pPr>
              <w:cnfStyle w:val="000000100000" w:firstRow="0" w:lastRow="0" w:firstColumn="0" w:lastColumn="0" w:oddVBand="0" w:evenVBand="0" w:oddHBand="1" w:evenHBand="0" w:firstRowFirstColumn="0" w:firstRowLastColumn="0" w:lastRowFirstColumn="0" w:lastRowLastColumn="0"/>
            </w:pPr>
            <w:r>
              <w:t>13 (Hasta hoy)</w:t>
            </w:r>
          </w:p>
        </w:tc>
      </w:tr>
    </w:tbl>
    <w:p w:rsidR="00A76D3F" w:rsidRDefault="00A76D3F" w:rsidP="00A76D3F">
      <w:pPr>
        <w:jc w:val="both"/>
      </w:pPr>
    </w:p>
    <w:p w:rsidR="00A76D3F" w:rsidRDefault="00A76D3F" w:rsidP="00A76D3F">
      <w:pPr>
        <w:ind w:firstLine="708"/>
        <w:jc w:val="both"/>
      </w:pPr>
      <w:r>
        <w:t>Como vemos reflejado en la tabla, en este año 2018, son ya 13 mujeres asesinadas por violencia de género o machista, de las cuales tres de ellas, han sido asesinadas por hombres no parejas o exparejas.</w:t>
      </w:r>
    </w:p>
    <w:p w:rsidR="00A76D3F" w:rsidRDefault="00A76D3F" w:rsidP="00A76D3F">
      <w:pPr>
        <w:ind w:firstLine="708"/>
        <w:jc w:val="both"/>
      </w:pPr>
      <w:r>
        <w:t xml:space="preserve">Hacemos mención al caso de Diana </w:t>
      </w:r>
      <w:proofErr w:type="spellStart"/>
      <w:r>
        <w:t>Quer</w:t>
      </w:r>
      <w:proofErr w:type="spellEnd"/>
      <w:r>
        <w:t xml:space="preserve">, de 18 años, con fecha 1 de enero de 2018 en </w:t>
      </w:r>
      <w:proofErr w:type="spellStart"/>
      <w:r>
        <w:t>Rianxo</w:t>
      </w:r>
      <w:proofErr w:type="spellEnd"/>
      <w:r>
        <w:t xml:space="preserve">, desaparecida en agosto de 2016. José Enrique </w:t>
      </w:r>
      <w:proofErr w:type="spellStart"/>
      <w:r>
        <w:t>Abuín</w:t>
      </w:r>
      <w:proofErr w:type="spellEnd"/>
      <w:r>
        <w:t xml:space="preserve"> confesó su asesinato y el lugar donde dejó el cuerpo de la víctima y tras ser rescatado el cuerpo, se confirmó que era el de Diana </w:t>
      </w:r>
      <w:proofErr w:type="spellStart"/>
      <w:r>
        <w:t>Quer</w:t>
      </w:r>
      <w:proofErr w:type="spellEnd"/>
      <w:r>
        <w:t>. Éste sería el primer caso del año de violencia de género no cometido por parejas o exparejas.</w:t>
      </w:r>
    </w:p>
    <w:p w:rsidR="00A76D3F" w:rsidRDefault="00A76D3F" w:rsidP="00A76D3F">
      <w:pPr>
        <w:ind w:firstLine="708"/>
        <w:jc w:val="both"/>
      </w:pPr>
      <w:r>
        <w:t>Otro caso de este tipo, se trata de Laura Elisabeth Santacruz Mercado, tenía 27 años y fue arrojada por la ventana por Valentín, el hombre que se encontraba en ese momento con ella. Se considera no cometido por pareja o expareja pues ya que la joven podría ejercer la prostitución.</w:t>
      </w:r>
    </w:p>
    <w:p w:rsidR="004E1776" w:rsidRDefault="00A76D3F" w:rsidP="00597823">
      <w:pPr>
        <w:ind w:firstLine="708"/>
        <w:jc w:val="both"/>
      </w:pPr>
      <w:r>
        <w:t xml:space="preserve">Por último, en Castellón, un hombre de 70 años, fue asesinado por su ex yerno tratando de defender a su nieta de una agresión física y sexual por parte de la pareja de </w:t>
      </w:r>
      <w:r>
        <w:lastRenderedPageBreak/>
        <w:t>ella. Al no ser mujer, no se califica como violencia de género, pero según diversas opiniones tanto la agresión e intento de violación de la hija cómo el asesinato del padre son signos de violencia machista que asesina por venganza de la pareja.</w:t>
      </w:r>
    </w:p>
    <w:p w:rsidR="004C0EA2" w:rsidRDefault="004C0EA2" w:rsidP="00597823">
      <w:pPr>
        <w:ind w:firstLine="708"/>
        <w:jc w:val="both"/>
      </w:pPr>
    </w:p>
    <w:p w:rsidR="0010295D" w:rsidRPr="003E2FAC" w:rsidRDefault="00963FDB" w:rsidP="006F1729">
      <w:pPr>
        <w:pStyle w:val="Prrafodelista"/>
        <w:numPr>
          <w:ilvl w:val="0"/>
          <w:numId w:val="7"/>
        </w:numPr>
        <w:jc w:val="both"/>
      </w:pPr>
      <w:r w:rsidRPr="0010295D">
        <w:rPr>
          <w:b/>
        </w:rPr>
        <w:t xml:space="preserve">ANÁLISIS DE </w:t>
      </w:r>
      <w:r w:rsidR="003E2FAC" w:rsidRPr="0010295D">
        <w:rPr>
          <w:b/>
        </w:rPr>
        <w:t>PROTOCOLO</w:t>
      </w:r>
      <w:r w:rsidR="0010295D" w:rsidRPr="0010295D">
        <w:rPr>
          <w:b/>
        </w:rPr>
        <w:t xml:space="preserve">S DE VIOLENCIA DE GÉNERO </w:t>
      </w:r>
    </w:p>
    <w:p w:rsidR="003E2FAC" w:rsidRDefault="0010295D" w:rsidP="003E2FAC">
      <w:pPr>
        <w:pStyle w:val="Prrafodelista"/>
        <w:numPr>
          <w:ilvl w:val="1"/>
          <w:numId w:val="7"/>
        </w:numPr>
        <w:jc w:val="both"/>
        <w:rPr>
          <w:b/>
        </w:rPr>
      </w:pPr>
      <w:r>
        <w:rPr>
          <w:b/>
        </w:rPr>
        <w:t>Protocolo de actuación de las fuerzas y cuerpos de seguridad y de coordinación con los órganos judiciales para la protección de las víctimas de violencia doméstica y de género</w:t>
      </w:r>
    </w:p>
    <w:p w:rsidR="0010295D" w:rsidRDefault="0010295D" w:rsidP="0010295D">
      <w:pPr>
        <w:pStyle w:val="Prrafodelista"/>
        <w:numPr>
          <w:ilvl w:val="2"/>
          <w:numId w:val="7"/>
        </w:numPr>
        <w:jc w:val="both"/>
        <w:rPr>
          <w:b/>
        </w:rPr>
      </w:pPr>
      <w:r>
        <w:rPr>
          <w:b/>
        </w:rPr>
        <w:t xml:space="preserve">Introducción </w:t>
      </w:r>
    </w:p>
    <w:p w:rsidR="003E2FAC" w:rsidRDefault="003E2FAC" w:rsidP="003E2FAC">
      <w:pPr>
        <w:ind w:firstLine="360"/>
        <w:jc w:val="both"/>
      </w:pPr>
      <w:r>
        <w:t>La Ley Orgánica 1/2004, en su artículo 31, con referencia a las Fuerzas y Cuerpos de Seguridad prevé en su apartado 3, que su actuación se ha de tener en cuenta el protocolo</w:t>
      </w:r>
      <w:r>
        <w:rPr>
          <w:rStyle w:val="Refdenotaalpie"/>
        </w:rPr>
        <w:footnoteReference w:id="71"/>
      </w:r>
      <w:r>
        <w:t xml:space="preserve"> al respecto. </w:t>
      </w:r>
    </w:p>
    <w:p w:rsidR="003E2FAC" w:rsidRDefault="003E2FAC" w:rsidP="003E2FAC">
      <w:pPr>
        <w:ind w:firstLine="360"/>
        <w:jc w:val="both"/>
      </w:pPr>
      <w:r>
        <w:t>Este, fue aprobado por la Comisión de seguimiento para la implantación de la Orden de Protección, 10-6-04 y por la Comisión Nacional de Coordinación de la Policía Judicial. Por otro lado, la Comisión técnica creada por la Comisión Nacional para la Implantación de los Juzgados de Violencia sobre la Mujer</w:t>
      </w:r>
      <w:r>
        <w:rPr>
          <w:rStyle w:val="Refdenotaalpie"/>
        </w:rPr>
        <w:footnoteReference w:id="72"/>
      </w:r>
      <w:r>
        <w:rPr>
          <w:sz w:val="20"/>
        </w:rPr>
        <w:t xml:space="preserve">, </w:t>
      </w:r>
      <w:r w:rsidRPr="00A50A67">
        <w:t>la cual ha llevado a cabo una labor de adecuación de este protocolo</w:t>
      </w:r>
      <w:r>
        <w:t>.</w:t>
      </w:r>
    </w:p>
    <w:p w:rsidR="004C0EA2" w:rsidRPr="003E2FAC" w:rsidRDefault="004C0EA2" w:rsidP="003E2FAC">
      <w:pPr>
        <w:ind w:firstLine="360"/>
        <w:jc w:val="both"/>
        <w:rPr>
          <w:b/>
        </w:rPr>
      </w:pPr>
    </w:p>
    <w:p w:rsidR="003E2FAC" w:rsidRDefault="003E2FAC" w:rsidP="0010295D">
      <w:pPr>
        <w:pStyle w:val="Prrafodelista"/>
        <w:numPr>
          <w:ilvl w:val="2"/>
          <w:numId w:val="7"/>
        </w:numPr>
        <w:jc w:val="both"/>
        <w:rPr>
          <w:b/>
        </w:rPr>
      </w:pPr>
      <w:r>
        <w:rPr>
          <w:b/>
        </w:rPr>
        <w:t>Actuación de las fuerzas y cuerpos de seguridad para la protección de las víctimas de violencia doméstica y de género</w:t>
      </w:r>
    </w:p>
    <w:p w:rsidR="003E2FAC" w:rsidRPr="003E2FAC" w:rsidRDefault="003E2FAC" w:rsidP="003E2FAC">
      <w:pPr>
        <w:ind w:firstLine="360"/>
        <w:jc w:val="both"/>
        <w:rPr>
          <w:b/>
        </w:rPr>
      </w:pPr>
      <w:r>
        <w:t>Este apartado tiene especial finalidad en prestar una atención y protección sobre las mujeres que han sido objeto de comportamientos violentos en el ámbito familiar y atenuar los efectos de dicho maltrato. Por ello, es preciso tener en cuenta:</w:t>
      </w:r>
    </w:p>
    <w:p w:rsidR="003E2FAC" w:rsidRDefault="003E2FAC" w:rsidP="0010295D">
      <w:pPr>
        <w:pStyle w:val="Prrafodelista"/>
        <w:numPr>
          <w:ilvl w:val="3"/>
          <w:numId w:val="7"/>
        </w:numPr>
        <w:jc w:val="both"/>
        <w:rPr>
          <w:b/>
        </w:rPr>
      </w:pPr>
      <w:r>
        <w:rPr>
          <w:b/>
        </w:rPr>
        <w:lastRenderedPageBreak/>
        <w:t>Actuación en la fase de investigación policial</w:t>
      </w:r>
    </w:p>
    <w:p w:rsidR="00024EC2" w:rsidRDefault="00024EC2" w:rsidP="00024EC2">
      <w:pPr>
        <w:ind w:firstLine="708"/>
        <w:jc w:val="both"/>
      </w:pPr>
      <w:r>
        <w:t>Las Fuerzas y Cuerpos de Seguridad llevaran a cabo actuaciones tales como realizar acciones de averiguación para determinar la existencia y la intensidad de la situación de riesgo para las víctimas:</w:t>
      </w:r>
    </w:p>
    <w:p w:rsidR="00024EC2" w:rsidRDefault="00024EC2" w:rsidP="00024EC2">
      <w:pPr>
        <w:pStyle w:val="Prrafodelista"/>
        <w:numPr>
          <w:ilvl w:val="0"/>
          <w:numId w:val="41"/>
        </w:numPr>
        <w:jc w:val="both"/>
      </w:pPr>
      <w:r>
        <w:t>Informando a la víctima de su derecho a la asistencia jurídica en los términos que se detallan en el protocolo.</w:t>
      </w:r>
    </w:p>
    <w:p w:rsidR="00024EC2" w:rsidRDefault="00024EC2" w:rsidP="00024EC2">
      <w:pPr>
        <w:pStyle w:val="Prrafodelista"/>
        <w:ind w:left="1068"/>
        <w:jc w:val="both"/>
      </w:pPr>
    </w:p>
    <w:p w:rsidR="00024EC2" w:rsidRDefault="00024EC2" w:rsidP="00024EC2">
      <w:pPr>
        <w:pStyle w:val="Prrafodelista"/>
        <w:numPr>
          <w:ilvl w:val="0"/>
          <w:numId w:val="41"/>
        </w:numPr>
        <w:jc w:val="both"/>
      </w:pPr>
      <w:r>
        <w:t>Inmediata y exhaustiva toma de declaración de la víctima y testigos, si los hubiera.</w:t>
      </w:r>
    </w:p>
    <w:p w:rsidR="00024EC2" w:rsidRDefault="00024EC2" w:rsidP="00024EC2">
      <w:pPr>
        <w:pStyle w:val="Prrafodelista"/>
        <w:jc w:val="both"/>
      </w:pPr>
    </w:p>
    <w:p w:rsidR="00024EC2" w:rsidRDefault="00024EC2" w:rsidP="00024EC2">
      <w:pPr>
        <w:pStyle w:val="Prrafodelista"/>
        <w:numPr>
          <w:ilvl w:val="0"/>
          <w:numId w:val="41"/>
        </w:numPr>
        <w:jc w:val="both"/>
      </w:pPr>
      <w:r>
        <w:t>En caso de indicios de existencia de infracción penal, información de los vecinos y personas del entorno, acerca de malos tratos anteriores por parte del agresor, así como de su personalidad y posibles adicciones.</w:t>
      </w:r>
    </w:p>
    <w:p w:rsidR="00024EC2" w:rsidRDefault="00024EC2" w:rsidP="00024EC2">
      <w:pPr>
        <w:pStyle w:val="Prrafodelista"/>
      </w:pPr>
    </w:p>
    <w:p w:rsidR="00024EC2" w:rsidRDefault="00024EC2" w:rsidP="00024EC2">
      <w:pPr>
        <w:pStyle w:val="Prrafodelista"/>
        <w:numPr>
          <w:ilvl w:val="0"/>
          <w:numId w:val="41"/>
        </w:numPr>
        <w:jc w:val="both"/>
      </w:pPr>
      <w:r>
        <w:t>Verificación de la existencia de intervenciones policiales, así como los antecedentes del presunto agresor y posibles partes de lesiones de la víctima.</w:t>
      </w:r>
    </w:p>
    <w:p w:rsidR="00024EC2" w:rsidRDefault="00024EC2" w:rsidP="00024EC2">
      <w:pPr>
        <w:pStyle w:val="Prrafodelista"/>
      </w:pPr>
    </w:p>
    <w:p w:rsidR="00024EC2" w:rsidRDefault="00024EC2" w:rsidP="00024EC2">
      <w:pPr>
        <w:pStyle w:val="Prrafodelista"/>
        <w:numPr>
          <w:ilvl w:val="0"/>
          <w:numId w:val="41"/>
        </w:numPr>
        <w:jc w:val="both"/>
      </w:pPr>
      <w:r>
        <w:t>Comprobación de la existencia de medidas de protección establecidas por la Autoridad Judicial en relación con las personas implicadas.</w:t>
      </w:r>
    </w:p>
    <w:p w:rsidR="00024EC2" w:rsidRDefault="00024EC2" w:rsidP="00024EC2">
      <w:pPr>
        <w:pStyle w:val="Prrafodelista"/>
      </w:pPr>
    </w:p>
    <w:p w:rsidR="00024EC2" w:rsidRDefault="00024EC2" w:rsidP="00024EC2">
      <w:pPr>
        <w:pStyle w:val="Prrafodelista"/>
        <w:numPr>
          <w:ilvl w:val="0"/>
          <w:numId w:val="41"/>
        </w:numPr>
        <w:jc w:val="both"/>
      </w:pPr>
      <w:r>
        <w:t>Establecimiento de mecanismos de comunicación fluida y permanente entre víctima y el Cuerpo o Fuerza de Seguridad.</w:t>
      </w:r>
    </w:p>
    <w:p w:rsidR="00024EC2" w:rsidRDefault="00024EC2" w:rsidP="00024EC2">
      <w:pPr>
        <w:jc w:val="both"/>
      </w:pPr>
    </w:p>
    <w:p w:rsidR="00024EC2" w:rsidRDefault="00024EC2" w:rsidP="00024EC2">
      <w:pPr>
        <w:ind w:firstLine="708"/>
        <w:jc w:val="both"/>
      </w:pPr>
      <w:r>
        <w:t>Valorados los hechos y situación de riesgo, se llevará a cabo la adopción de medidas dirigidas a proteger la vida, integridad física y derechos e intereses legítimos de la víctima, añadimos:</w:t>
      </w:r>
    </w:p>
    <w:p w:rsidR="00024EC2" w:rsidRPr="00356EB9" w:rsidRDefault="00024EC2" w:rsidP="00024EC2">
      <w:pPr>
        <w:pStyle w:val="Prrafodelista"/>
        <w:numPr>
          <w:ilvl w:val="0"/>
          <w:numId w:val="41"/>
        </w:numPr>
        <w:jc w:val="both"/>
        <w:rPr>
          <w:b/>
        </w:rPr>
      </w:pPr>
      <w:r>
        <w:t>Protección personal que, según el riesgo, podrá comprender durante las 24 horas del día.</w:t>
      </w:r>
    </w:p>
    <w:p w:rsidR="00024EC2" w:rsidRPr="00356EB9" w:rsidRDefault="00024EC2" w:rsidP="00024EC2">
      <w:pPr>
        <w:pStyle w:val="Prrafodelista"/>
        <w:ind w:left="1068"/>
        <w:jc w:val="both"/>
        <w:rPr>
          <w:b/>
        </w:rPr>
      </w:pPr>
    </w:p>
    <w:p w:rsidR="00024EC2" w:rsidRPr="00356EB9" w:rsidRDefault="00024EC2" w:rsidP="00024EC2">
      <w:pPr>
        <w:pStyle w:val="Prrafodelista"/>
        <w:numPr>
          <w:ilvl w:val="0"/>
          <w:numId w:val="41"/>
        </w:numPr>
        <w:jc w:val="both"/>
        <w:rPr>
          <w:b/>
        </w:rPr>
      </w:pPr>
      <w:r>
        <w:t>Información y formación sobre las medidas de autoprotección, así como asegurar que la víctima sea informada claramente sobre la orden de protección y demás medidas previstas en la ley.</w:t>
      </w:r>
    </w:p>
    <w:p w:rsidR="00024EC2" w:rsidRPr="00356EB9" w:rsidRDefault="00024EC2" w:rsidP="00024EC2">
      <w:pPr>
        <w:pStyle w:val="Prrafodelista"/>
        <w:rPr>
          <w:b/>
        </w:rPr>
      </w:pPr>
    </w:p>
    <w:p w:rsidR="00024EC2" w:rsidRDefault="00024EC2" w:rsidP="00024EC2">
      <w:pPr>
        <w:pStyle w:val="Prrafodelista"/>
        <w:numPr>
          <w:ilvl w:val="0"/>
          <w:numId w:val="41"/>
        </w:numPr>
        <w:jc w:val="both"/>
      </w:pPr>
      <w:r w:rsidRPr="00356EB9">
        <w:t>Si se trata de una extranjera, se dispondrá de acuerdo con los artículos 45.4 a) y 46.3 del Reglamento de extranjería.</w:t>
      </w:r>
    </w:p>
    <w:p w:rsidR="00024EC2" w:rsidRDefault="00024EC2" w:rsidP="00024EC2">
      <w:pPr>
        <w:pStyle w:val="Prrafodelista"/>
      </w:pPr>
    </w:p>
    <w:p w:rsidR="00024EC2" w:rsidRDefault="00024EC2" w:rsidP="00024EC2">
      <w:pPr>
        <w:ind w:firstLine="708"/>
        <w:jc w:val="both"/>
      </w:pPr>
      <w:r>
        <w:t>Además de las actuaciones anteriores, destacar también, proceder a la incautación de las armas y/o instrumentos peligrosos que pudieran hallarse en el domicilio familiar o en poder del presunto agresor y, por último, si la situación de riesgo lo aconseje, se procederá a la detención y puesta a disposición judicial del presunto agresor.</w:t>
      </w:r>
    </w:p>
    <w:p w:rsidR="00024EC2" w:rsidRPr="00024EC2" w:rsidRDefault="00024EC2" w:rsidP="00024EC2">
      <w:pPr>
        <w:jc w:val="both"/>
        <w:rPr>
          <w:b/>
        </w:rPr>
      </w:pPr>
    </w:p>
    <w:p w:rsidR="003E2FAC" w:rsidRDefault="003E2FAC" w:rsidP="0010295D">
      <w:pPr>
        <w:pStyle w:val="Prrafodelista"/>
        <w:numPr>
          <w:ilvl w:val="3"/>
          <w:numId w:val="7"/>
        </w:numPr>
        <w:jc w:val="both"/>
        <w:rPr>
          <w:b/>
        </w:rPr>
      </w:pPr>
      <w:r>
        <w:rPr>
          <w:b/>
        </w:rPr>
        <w:t>Recogida de la denuncia y elaboración del atestado</w:t>
      </w:r>
    </w:p>
    <w:p w:rsidR="00024EC2" w:rsidRDefault="00024EC2" w:rsidP="00024EC2">
      <w:pPr>
        <w:ind w:firstLine="708"/>
        <w:jc w:val="both"/>
      </w:pPr>
      <w:r>
        <w:t>Todas las Fuerzas y Cuerpos de Seguridad, deberán recoger en el atestado, las diligencias y contenidos mínimos que será remitido para su aprobación al Comité Técnico de Coordinación de Policía Judicial. Tras su aprobación, se facilitará al Ministerio Fiscal y al resto de Organismo e Instituciones.</w:t>
      </w:r>
    </w:p>
    <w:p w:rsidR="00024EC2" w:rsidRDefault="00024EC2" w:rsidP="00024EC2">
      <w:pPr>
        <w:ind w:firstLine="708"/>
        <w:jc w:val="both"/>
      </w:pPr>
      <w:r>
        <w:t>Ha de constar datos existentes tales como antecedentes del presunto agresor, acompañadas de diligencias de inspección ocular y declaración de la víctima, a través de fotos u otros medios técnicos si fuera o fuese posible. La Unidad instructora del atestado adoptará medidas para asegurar la presencia de la víctima o su representante legal, del denunciado o presunto agresor y posibles testigos ante la Autoridad Judicial</w:t>
      </w:r>
    </w:p>
    <w:p w:rsidR="00024EC2" w:rsidRDefault="00024EC2" w:rsidP="00024EC2">
      <w:pPr>
        <w:ind w:firstLine="708"/>
        <w:jc w:val="both"/>
      </w:pPr>
      <w:r>
        <w:t>La Unidad Policial dispondrá lo necesario para evitar la concurrencia en el mismo espacio físico del agresor y la víctima, hijos y restantes miembros de la familia.</w:t>
      </w:r>
    </w:p>
    <w:p w:rsidR="00024EC2" w:rsidRPr="00024EC2" w:rsidRDefault="00024EC2" w:rsidP="00024EC2">
      <w:pPr>
        <w:jc w:val="both"/>
        <w:rPr>
          <w:b/>
        </w:rPr>
      </w:pPr>
    </w:p>
    <w:p w:rsidR="003E2FAC" w:rsidRDefault="003E2FAC" w:rsidP="0010295D">
      <w:pPr>
        <w:pStyle w:val="Prrafodelista"/>
        <w:numPr>
          <w:ilvl w:val="3"/>
          <w:numId w:val="7"/>
        </w:numPr>
        <w:jc w:val="both"/>
        <w:rPr>
          <w:b/>
        </w:rPr>
      </w:pPr>
      <w:r>
        <w:rPr>
          <w:b/>
        </w:rPr>
        <w:t>Actuación en el control y seguimiento de las medidas judicial de protección o aseguramiento</w:t>
      </w:r>
    </w:p>
    <w:p w:rsidR="00024EC2" w:rsidRDefault="00024EC2" w:rsidP="00024EC2">
      <w:pPr>
        <w:ind w:firstLine="708"/>
        <w:jc w:val="both"/>
      </w:pPr>
      <w:r>
        <w:t>Una vez realizado tales actuaciones, se atendrá a criterios como un examen individualizado del riesgo, para graduar las medidas aplicables a las distintas situaciones que puedan presentarse. Seguido, un análisis del contenido de la resolución judicial, para determinar qué elementos pueden contribuir a incrementar la seguridad de las víctimas. La adopción de medidas de protección adecuadas a la situación de riesgo que concurra en el supuesto (custodia policial 24h, vigilancia electrónica del imputado, etc.)</w:t>
      </w:r>
    </w:p>
    <w:p w:rsidR="00024EC2" w:rsidRDefault="00024EC2" w:rsidP="00024EC2">
      <w:pPr>
        <w:ind w:firstLine="708"/>
        <w:jc w:val="both"/>
      </w:pPr>
      <w:r>
        <w:lastRenderedPageBreak/>
        <w:t>Por último, tener en cuenta la elaboración de informes de seguimiento para su traslado a la Autoridad Judicial competente, siempre y cuando se solicite, y la reanudación de la convivencia, traslado de residencia o renuncia de la víctima al estatuto de protección.</w:t>
      </w:r>
    </w:p>
    <w:p w:rsidR="00024EC2" w:rsidRPr="00024EC2" w:rsidRDefault="00024EC2" w:rsidP="00024EC2">
      <w:pPr>
        <w:jc w:val="both"/>
        <w:rPr>
          <w:b/>
        </w:rPr>
      </w:pPr>
    </w:p>
    <w:p w:rsidR="003E2FAC" w:rsidRDefault="003E2FAC" w:rsidP="0010295D">
      <w:pPr>
        <w:pStyle w:val="Prrafodelista"/>
        <w:numPr>
          <w:ilvl w:val="3"/>
          <w:numId w:val="7"/>
        </w:numPr>
        <w:jc w:val="both"/>
        <w:rPr>
          <w:b/>
        </w:rPr>
      </w:pPr>
      <w:r>
        <w:rPr>
          <w:b/>
        </w:rPr>
        <w:t>Posible adopción de la medida de prisión provisional o de otras medidas de protección de la víctima</w:t>
      </w:r>
    </w:p>
    <w:p w:rsidR="00024EC2" w:rsidRDefault="00024EC2" w:rsidP="00024EC2">
      <w:pPr>
        <w:ind w:firstLine="708"/>
        <w:jc w:val="both"/>
      </w:pPr>
      <w:r>
        <w:t>Celebrada la comparecencia, el órgano judicial, si concurren los requisitos legales, podrá adoptar medidas tales como:</w:t>
      </w:r>
    </w:p>
    <w:p w:rsidR="00024EC2" w:rsidRDefault="00024EC2" w:rsidP="00024EC2">
      <w:pPr>
        <w:pStyle w:val="Prrafodelista"/>
        <w:numPr>
          <w:ilvl w:val="0"/>
          <w:numId w:val="41"/>
        </w:numPr>
        <w:jc w:val="both"/>
      </w:pPr>
      <w:r w:rsidRPr="004F143D">
        <w:rPr>
          <w:b/>
        </w:rPr>
        <w:t>Prisión provincial:</w:t>
      </w:r>
      <w:r>
        <w:t xml:space="preserve"> De acuerdo con el artículo 503.1, 3º c) LECR</w:t>
      </w:r>
      <w:r w:rsidR="002933F0">
        <w:rPr>
          <w:rStyle w:val="Refdenotaalpie"/>
        </w:rPr>
        <w:footnoteReference w:id="73"/>
      </w:r>
      <w:r>
        <w:t xml:space="preserve"> en relación con el último artículo 544 bis LECR, el incumplimiento de la medida de alejamiento podrá determinar, la adopción de la prisión provisional.</w:t>
      </w:r>
    </w:p>
    <w:p w:rsidR="00024EC2" w:rsidRPr="004F143D" w:rsidRDefault="00024EC2" w:rsidP="00024EC2">
      <w:pPr>
        <w:pStyle w:val="Prrafodelista"/>
        <w:ind w:left="1068"/>
        <w:jc w:val="both"/>
        <w:rPr>
          <w:b/>
        </w:rPr>
      </w:pPr>
    </w:p>
    <w:p w:rsidR="00024EC2" w:rsidRDefault="00024EC2" w:rsidP="00024EC2">
      <w:pPr>
        <w:pStyle w:val="Prrafodelista"/>
        <w:numPr>
          <w:ilvl w:val="0"/>
          <w:numId w:val="41"/>
        </w:numPr>
        <w:jc w:val="both"/>
      </w:pPr>
      <w:r w:rsidRPr="004F143D">
        <w:rPr>
          <w:b/>
        </w:rPr>
        <w:t>Otras medidas de protección de la víctima:</w:t>
      </w:r>
      <w:r>
        <w:t xml:space="preserve"> Contempladas por los artículos 48 CP</w:t>
      </w:r>
      <w:r w:rsidR="002933F0">
        <w:rPr>
          <w:rStyle w:val="Refdenotaalpie"/>
        </w:rPr>
        <w:footnoteReference w:id="74"/>
      </w:r>
      <w:r>
        <w:t xml:space="preserve"> y 544 bis LECR, seguido del artículo 64 de la LO 1/2004.</w:t>
      </w:r>
    </w:p>
    <w:p w:rsidR="00024EC2" w:rsidRPr="00024EC2" w:rsidRDefault="00024EC2" w:rsidP="00024EC2">
      <w:pPr>
        <w:jc w:val="both"/>
        <w:rPr>
          <w:b/>
        </w:rPr>
      </w:pPr>
    </w:p>
    <w:p w:rsidR="00024EC2" w:rsidRPr="00024EC2" w:rsidRDefault="00024EC2" w:rsidP="0010295D">
      <w:pPr>
        <w:pStyle w:val="Prrafodelista"/>
        <w:numPr>
          <w:ilvl w:val="2"/>
          <w:numId w:val="7"/>
        </w:numPr>
        <w:jc w:val="both"/>
        <w:rPr>
          <w:b/>
        </w:rPr>
      </w:pPr>
      <w:r>
        <w:rPr>
          <w:b/>
        </w:rPr>
        <w:t>Comunicaciones entre los órganos judiciales y las fuerzas y cuerpos de seguridad</w:t>
      </w:r>
    </w:p>
    <w:p w:rsidR="00024EC2" w:rsidRDefault="00024EC2" w:rsidP="0010295D">
      <w:pPr>
        <w:pStyle w:val="Prrafodelista"/>
        <w:numPr>
          <w:ilvl w:val="3"/>
          <w:numId w:val="7"/>
        </w:numPr>
        <w:jc w:val="both"/>
        <w:rPr>
          <w:b/>
        </w:rPr>
      </w:pPr>
      <w:r>
        <w:rPr>
          <w:b/>
        </w:rPr>
        <w:t>Optimización del funcionamiento del Registro Central para la protección de las víctimas de violencia doméstica</w:t>
      </w:r>
    </w:p>
    <w:p w:rsidR="00024EC2" w:rsidRDefault="00024EC2" w:rsidP="00024EC2">
      <w:pPr>
        <w:ind w:firstLine="708"/>
        <w:jc w:val="both"/>
      </w:pPr>
      <w:r w:rsidRPr="004F143D">
        <w:t>Se esta</w:t>
      </w:r>
      <w:r>
        <w:t xml:space="preserve">blecen los mecanismos necesarios para optimizar el funcionamiento, contemplado por la Ley 27/2003, de 31 de julio, relativa a la orden de protección, y regulado en el RD 355/2004 de 5 de marzo. </w:t>
      </w:r>
    </w:p>
    <w:p w:rsidR="00024EC2" w:rsidRDefault="00024EC2" w:rsidP="00024EC2">
      <w:pPr>
        <w:ind w:firstLine="708"/>
        <w:jc w:val="both"/>
      </w:pPr>
      <w:r>
        <w:t>Por ello, es preciso, remitir datos por parte de los órganos judiciales a través de procedimientos telemáticos y disposiciones administrativos que desarrollen la transmisión rápida y segura de aquella información que los órganos han de comunicar al Registro y agilidad tanto en relación con la inscripción en el Registro, como en el acceso a su contenido por la Policía Judicial de los términos previstos en el RD.</w:t>
      </w:r>
    </w:p>
    <w:p w:rsidR="00024EC2" w:rsidRPr="00024EC2" w:rsidRDefault="00024EC2" w:rsidP="00024EC2">
      <w:pPr>
        <w:jc w:val="both"/>
        <w:rPr>
          <w:b/>
        </w:rPr>
      </w:pPr>
    </w:p>
    <w:p w:rsidR="00024EC2" w:rsidRDefault="00024EC2" w:rsidP="0010295D">
      <w:pPr>
        <w:pStyle w:val="Prrafodelista"/>
        <w:numPr>
          <w:ilvl w:val="3"/>
          <w:numId w:val="7"/>
        </w:numPr>
        <w:jc w:val="both"/>
        <w:rPr>
          <w:b/>
        </w:rPr>
      </w:pPr>
      <w:r>
        <w:rPr>
          <w:b/>
        </w:rPr>
        <w:t>Conexión telemática entre órganos judiciales y fuerzas y cuerpos de seguridad</w:t>
      </w:r>
    </w:p>
    <w:p w:rsidR="00024EC2" w:rsidRDefault="00024EC2" w:rsidP="00024EC2">
      <w:pPr>
        <w:ind w:firstLine="708"/>
        <w:jc w:val="both"/>
      </w:pPr>
      <w:r>
        <w:t xml:space="preserve">En este apartado, se realizará en un entorno que garantice la confidencialidad de la comunicación. Dicha conexión, se llevará a cabo a través del denominado “Punto Neutro Judicial” establecido en el seno del Consejo General del Poder Judicial. En cuanto a conexiones en el ámbito territorial de la C.A., a través de puntos de conexión establecidos por cada Administración en sus redes de comunicaciones electrónicas. </w:t>
      </w:r>
    </w:p>
    <w:p w:rsidR="00024EC2" w:rsidRPr="00024EC2" w:rsidRDefault="00024EC2" w:rsidP="00024EC2">
      <w:pPr>
        <w:jc w:val="both"/>
        <w:rPr>
          <w:b/>
        </w:rPr>
      </w:pPr>
      <w:r>
        <w:t>Se procederá al desarrollo de aplicaciones informáticas que resulten necesarias, en el marco de actuación generales, en conformidad con lo dispuesto por el artículo 230.5, 2º LOPJ.</w:t>
      </w:r>
    </w:p>
    <w:p w:rsidR="00024EC2" w:rsidRDefault="00024EC2" w:rsidP="0010295D">
      <w:pPr>
        <w:pStyle w:val="Prrafodelista"/>
        <w:numPr>
          <w:ilvl w:val="3"/>
          <w:numId w:val="7"/>
        </w:numPr>
        <w:jc w:val="both"/>
        <w:rPr>
          <w:b/>
        </w:rPr>
      </w:pPr>
      <w:r>
        <w:rPr>
          <w:b/>
        </w:rPr>
        <w:t>Comunicaciones de las fuerzas y cuerpos de seguridad a los órganos judiciales</w:t>
      </w:r>
    </w:p>
    <w:p w:rsidR="006561F1" w:rsidRDefault="006561F1" w:rsidP="006561F1">
      <w:pPr>
        <w:ind w:firstLine="708"/>
        <w:jc w:val="both"/>
      </w:pPr>
      <w:r>
        <w:t>Digamos que toda denuncia penal en materia de violencia de género o doméstica o solicitud de una medida de protección o de seguridad presentada en las dependencias policiales, ha de ser cursada y remitida por cualquier contacto urgente y seguro que pueda establecerse a la Autoridad Judicial acompañada del atestado policía.</w:t>
      </w:r>
    </w:p>
    <w:p w:rsidR="006561F1" w:rsidRDefault="006561F1" w:rsidP="006561F1">
      <w:pPr>
        <w:ind w:firstLine="708"/>
        <w:jc w:val="both"/>
      </w:pPr>
      <w:r>
        <w:t>Cuando se trate de hechos relacionados con la violencia de género, la policía judicial, remitirá los atestados y las solicitudes de orden de protección u otras medidas cautelares de protección y seguridad al Juzgado de Violencia sobre la Mujer. No obstante, cuando no sea posible la presentación ante dicho Juzgado, el detenido, silo hubiere, habrá de ser puesto a disposición del Juzgado de instrucción de guardia del lugar de la detención.</w:t>
      </w:r>
    </w:p>
    <w:p w:rsidR="006561F1" w:rsidRDefault="006561F1" w:rsidP="006561F1">
      <w:pPr>
        <w:ind w:firstLine="708"/>
        <w:jc w:val="both"/>
      </w:pPr>
      <w:r>
        <w:t>Las solicitudes de orden de protección u otras medidas cautelares se remitirá al Juzgado de guardia del lugar de comisión de los hechos. Se citará a las partes ante el correspondiente Juzgado al objeto de la celebración de la audiencia prevista en el artículo 544 ter LECR. Las citaciones referidas en el artículo 796 LECR, tendrán en cuenta lo previsto en el nuevo artículo 47 del Reglamento de Aspectos Accesorios.</w:t>
      </w:r>
    </w:p>
    <w:p w:rsidR="006561F1" w:rsidRDefault="006561F1" w:rsidP="006561F1">
      <w:pPr>
        <w:ind w:firstLine="708"/>
        <w:jc w:val="both"/>
      </w:pPr>
      <w:r>
        <w:t xml:space="preserve">La policía, por su parte, mantendrá informada a la Autoridad Judicial, al Ministerio Fiscal y a las Oficinas de Atención a la Víctima, de las incidencias de que </w:t>
      </w:r>
      <w:r>
        <w:lastRenderedPageBreak/>
        <w:t>tenga conocimiento y que puedan afectar al contenido o alcance de las medidas de protección, en especial las mencionadas en el respectivo protocolo.</w:t>
      </w:r>
    </w:p>
    <w:p w:rsidR="006561F1" w:rsidRPr="006561F1" w:rsidRDefault="006561F1" w:rsidP="006561F1">
      <w:pPr>
        <w:jc w:val="both"/>
        <w:rPr>
          <w:b/>
        </w:rPr>
      </w:pPr>
    </w:p>
    <w:p w:rsidR="00024EC2" w:rsidRDefault="00024EC2" w:rsidP="0010295D">
      <w:pPr>
        <w:pStyle w:val="Prrafodelista"/>
        <w:numPr>
          <w:ilvl w:val="2"/>
          <w:numId w:val="7"/>
        </w:numPr>
        <w:jc w:val="both"/>
        <w:rPr>
          <w:b/>
        </w:rPr>
      </w:pPr>
      <w:r>
        <w:rPr>
          <w:b/>
        </w:rPr>
        <w:t>Anexo I. Protocolo de actuación de las fuerzas y cuerpos de seguridad y de coordinación con los órganos judiciales</w:t>
      </w:r>
    </w:p>
    <w:p w:rsidR="006561F1" w:rsidRDefault="006561F1" w:rsidP="006561F1">
      <w:pPr>
        <w:ind w:firstLine="708"/>
        <w:jc w:val="both"/>
      </w:pPr>
      <w:r>
        <w:t>Respecto al Anexo I del protocolo, cabe mencionar los contenidos mínimos del atestado, simplificados en el siguiente cuadro:</w:t>
      </w:r>
    </w:p>
    <w:tbl>
      <w:tblPr>
        <w:tblStyle w:val="Tabladecuadrcula1clara-nfasis5"/>
        <w:tblW w:w="0" w:type="auto"/>
        <w:tblLook w:val="04A0" w:firstRow="1" w:lastRow="0" w:firstColumn="1" w:lastColumn="0" w:noHBand="0" w:noVBand="1"/>
      </w:tblPr>
      <w:tblGrid>
        <w:gridCol w:w="8494"/>
      </w:tblGrid>
      <w:tr w:rsidR="006561F1" w:rsidTr="000623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center"/>
            </w:pPr>
            <w:r>
              <w:t>ANEXO I: CONTENIDOS MÍNIMOS DEL ATESTADO</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tabs>
                <w:tab w:val="left" w:pos="1350"/>
              </w:tabs>
              <w:jc w:val="both"/>
            </w:pPr>
            <w:r>
              <w:t>Manifestación de la víctima</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Datos de la víctima y su agresor</w:t>
            </w:r>
          </w:p>
          <w:p w:rsidR="006561F1" w:rsidRDefault="006561F1" w:rsidP="000623AC">
            <w:pPr>
              <w:jc w:val="both"/>
            </w:pPr>
            <w:r>
              <w:t>Datos del grupo familiar</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Datos de la vivienda y patrimoniales</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Hechos</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Solicitud de medidas de protección y seguridad</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Comparecencia y manifestación del denunciado</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Manifestación de los testigos</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Declaración de los agentes policiales que hayan intervenido en auxilio de la víctima</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Diligencias policiales de verificación y comprobación de la denuncia</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 de detención e información de derechos</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 de incautación de armas</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Diligencias de aportación de antecedentes referidos al presunto agresor</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 de remisión del informe médico</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 de medidas cautelares adoptadas de protección de la víctima</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Diligencia de evaluación de riesgo</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 xml:space="preserve">Diligencia de remisión del atestado </w:t>
            </w:r>
          </w:p>
        </w:tc>
      </w:tr>
      <w:tr w:rsidR="006561F1" w:rsidTr="000623AC">
        <w:tc>
          <w:tcPr>
            <w:cnfStyle w:val="001000000000" w:firstRow="0" w:lastRow="0" w:firstColumn="1" w:lastColumn="0" w:oddVBand="0" w:evenVBand="0" w:oddHBand="0" w:evenHBand="0" w:firstRowFirstColumn="0" w:firstRowLastColumn="0" w:lastRowFirstColumn="0" w:lastRowLastColumn="0"/>
            <w:tcW w:w="8494" w:type="dxa"/>
          </w:tcPr>
          <w:p w:rsidR="006561F1" w:rsidRDefault="006561F1" w:rsidP="000623AC">
            <w:pPr>
              <w:jc w:val="both"/>
            </w:pPr>
            <w:r>
              <w:t>Documentos que se adjuntan</w:t>
            </w:r>
          </w:p>
        </w:tc>
      </w:tr>
    </w:tbl>
    <w:p w:rsidR="006561F1" w:rsidRPr="006561F1" w:rsidRDefault="006561F1" w:rsidP="006561F1">
      <w:pPr>
        <w:jc w:val="both"/>
        <w:rPr>
          <w:b/>
        </w:rPr>
      </w:pPr>
    </w:p>
    <w:p w:rsidR="00EA0230" w:rsidRDefault="0010295D" w:rsidP="00EA0230">
      <w:pPr>
        <w:pStyle w:val="Prrafodelista"/>
        <w:numPr>
          <w:ilvl w:val="1"/>
          <w:numId w:val="7"/>
        </w:numPr>
        <w:jc w:val="both"/>
        <w:rPr>
          <w:b/>
        </w:rPr>
      </w:pPr>
      <w:r w:rsidRPr="0010295D">
        <w:rPr>
          <w:b/>
        </w:rPr>
        <w:t xml:space="preserve">Protocolo de actuación </w:t>
      </w:r>
      <w:r w:rsidR="006F1729">
        <w:rPr>
          <w:b/>
        </w:rPr>
        <w:t>ante casos de Violencia de Género en el ámbito educativo</w:t>
      </w:r>
    </w:p>
    <w:p w:rsidR="00EA0230" w:rsidRDefault="00EA0230" w:rsidP="00EA0230">
      <w:pPr>
        <w:pStyle w:val="Prrafodelista"/>
        <w:numPr>
          <w:ilvl w:val="2"/>
          <w:numId w:val="7"/>
        </w:numPr>
        <w:jc w:val="both"/>
        <w:rPr>
          <w:b/>
        </w:rPr>
      </w:pPr>
      <w:r>
        <w:rPr>
          <w:b/>
        </w:rPr>
        <w:t>Identificación y comunicación de la situación</w:t>
      </w:r>
    </w:p>
    <w:p w:rsidR="00EA0230" w:rsidRDefault="00EA0230" w:rsidP="00EA0230">
      <w:pPr>
        <w:ind w:firstLine="708"/>
        <w:jc w:val="both"/>
      </w:pPr>
      <w:r>
        <w:t>Cualquier miembro de la comunidad educativa que tenga conocimiento o sospechas de una situación de violencia de género, está obligado a ponerlo en conocimiento del director/a mediante las vías ordinarias que el centro tenga establecidas para tal participación</w:t>
      </w:r>
      <w:r w:rsidR="004C0EA2">
        <w:t>.</w:t>
      </w:r>
    </w:p>
    <w:p w:rsidR="004C0EA2" w:rsidRDefault="004C0EA2" w:rsidP="00EA0230">
      <w:pPr>
        <w:ind w:firstLine="708"/>
        <w:jc w:val="both"/>
      </w:pPr>
    </w:p>
    <w:p w:rsidR="004C0EA2" w:rsidRPr="00EA0230" w:rsidRDefault="004C0EA2" w:rsidP="00EA0230">
      <w:pPr>
        <w:ind w:firstLine="708"/>
        <w:jc w:val="both"/>
      </w:pPr>
    </w:p>
    <w:p w:rsidR="00EA0230" w:rsidRDefault="00EA0230" w:rsidP="00EA0230">
      <w:pPr>
        <w:pStyle w:val="Prrafodelista"/>
        <w:numPr>
          <w:ilvl w:val="2"/>
          <w:numId w:val="7"/>
        </w:numPr>
        <w:jc w:val="both"/>
        <w:rPr>
          <w:b/>
        </w:rPr>
      </w:pPr>
      <w:r>
        <w:rPr>
          <w:b/>
        </w:rPr>
        <w:lastRenderedPageBreak/>
        <w:t>Actuaciones inmediatas</w:t>
      </w:r>
    </w:p>
    <w:p w:rsidR="00EA0230" w:rsidRDefault="00EA0230" w:rsidP="00EA0230">
      <w:pPr>
        <w:ind w:firstLine="360"/>
        <w:jc w:val="both"/>
      </w:pPr>
      <w:r>
        <w:t>Reunión del equipo directivo con el tutor/a del alumnado afectado, la responsable de coeducación y la persona/as responsables de la orientación en el centro, registrándose por escrito, especificando la información recogida y actuaciones acordadas.</w:t>
      </w:r>
    </w:p>
    <w:p w:rsidR="00EA0230" w:rsidRDefault="00EA0230" w:rsidP="00EA0230">
      <w:pPr>
        <w:ind w:firstLine="360"/>
        <w:jc w:val="both"/>
      </w:pPr>
      <w:r>
        <w:t>Ante la existencia de una situación de violencia de género, se informará del inicio del protocolo al Servicio Provincial de Inspección de Educación</w:t>
      </w:r>
      <w:r w:rsidR="00EF3FA4">
        <w:t xml:space="preserve"> para asegurar la coordinación institucional y procurar una intervención integral.</w:t>
      </w:r>
    </w:p>
    <w:p w:rsidR="00760953" w:rsidRPr="00EA0230" w:rsidRDefault="00760953" w:rsidP="00EA0230">
      <w:pPr>
        <w:ind w:firstLine="360"/>
        <w:jc w:val="both"/>
      </w:pPr>
    </w:p>
    <w:p w:rsidR="00EA0230" w:rsidRDefault="00FC08B7" w:rsidP="00EA0230">
      <w:pPr>
        <w:pStyle w:val="Prrafodelista"/>
        <w:numPr>
          <w:ilvl w:val="2"/>
          <w:numId w:val="7"/>
        </w:numPr>
        <w:jc w:val="both"/>
        <w:rPr>
          <w:b/>
        </w:rPr>
      </w:pPr>
      <w:r>
        <w:rPr>
          <w:b/>
        </w:rPr>
        <w:t>Medidas de urgencia</w:t>
      </w:r>
    </w:p>
    <w:p w:rsidR="00FC08B7" w:rsidRDefault="00FC08B7" w:rsidP="00FC08B7">
      <w:pPr>
        <w:ind w:firstLine="708"/>
        <w:jc w:val="both"/>
      </w:pPr>
      <w:r>
        <w:t>Se llevarán a cabo medidas para garantizar la inmediata seguridad de la alumna, así como medidas de apoyo y ayuda y medid</w:t>
      </w:r>
      <w:r w:rsidR="00AB65FA">
        <w:t>as cautelares con el agresor/es.</w:t>
      </w:r>
    </w:p>
    <w:p w:rsidR="00760953" w:rsidRPr="00FC08B7" w:rsidRDefault="00760953" w:rsidP="00FC08B7">
      <w:pPr>
        <w:ind w:firstLine="708"/>
        <w:jc w:val="both"/>
      </w:pPr>
    </w:p>
    <w:p w:rsidR="00FC08B7" w:rsidRDefault="00FC08B7" w:rsidP="00FC08B7">
      <w:pPr>
        <w:pStyle w:val="Prrafodelista"/>
        <w:numPr>
          <w:ilvl w:val="2"/>
          <w:numId w:val="7"/>
        </w:numPr>
        <w:jc w:val="both"/>
        <w:rPr>
          <w:b/>
        </w:rPr>
      </w:pPr>
      <w:r>
        <w:rPr>
          <w:b/>
        </w:rPr>
        <w:t>Traslado a las familias o responsables legales del alumnado y al resto de profesionales que atienden a la alumna víctima de violencia de género</w:t>
      </w:r>
    </w:p>
    <w:p w:rsidR="00FC08B7" w:rsidRDefault="00FC08B7" w:rsidP="00AB65FA">
      <w:pPr>
        <w:ind w:firstLine="360"/>
        <w:jc w:val="both"/>
      </w:pPr>
      <w:r>
        <w:t>El tutor/a o personas responsables de la orientación en el centro</w:t>
      </w:r>
      <w:r w:rsidR="00AB65FA">
        <w:t>, pondrán el caso en conocimiento de las familias o responsables legales del alumnado implicado, aportándoles información sobra la situación y sobre medidas adoptadas.</w:t>
      </w:r>
    </w:p>
    <w:p w:rsidR="00AB65FA" w:rsidRDefault="00AB65FA" w:rsidP="00AB65FA">
      <w:pPr>
        <w:ind w:firstLine="360"/>
        <w:jc w:val="both"/>
      </w:pPr>
      <w:r>
        <w:t>Es más, el director/a podrá informar al equipo docente del alumnado implicado con reservas debidas de confidencialidad y si lo estima oportuno, podrá a otro personal del centro o a otras instancias externas tales como sociales, sanitarias, etc.</w:t>
      </w:r>
    </w:p>
    <w:p w:rsidR="00375C5B" w:rsidRDefault="00375C5B" w:rsidP="00AB65FA">
      <w:pPr>
        <w:ind w:firstLine="360"/>
        <w:jc w:val="both"/>
      </w:pPr>
    </w:p>
    <w:p w:rsidR="00FC08B7" w:rsidRDefault="00375C5B" w:rsidP="00EA0230">
      <w:pPr>
        <w:pStyle w:val="Prrafodelista"/>
        <w:numPr>
          <w:ilvl w:val="2"/>
          <w:numId w:val="7"/>
        </w:numPr>
        <w:jc w:val="both"/>
        <w:rPr>
          <w:b/>
        </w:rPr>
      </w:pPr>
      <w:r>
        <w:rPr>
          <w:b/>
        </w:rPr>
        <w:t>Recogida de información de distintas fuentes</w:t>
      </w:r>
    </w:p>
    <w:p w:rsidR="00375C5B" w:rsidRDefault="00A220D7" w:rsidP="00375C5B">
      <w:pPr>
        <w:jc w:val="both"/>
      </w:pPr>
      <w:r>
        <w:t>Adoptadas las medidas de urgencia, el director/a recabará la información necesaria al hecho de diversas fuentes</w:t>
      </w:r>
      <w:r>
        <w:rPr>
          <w:rStyle w:val="Refdenotaalpie"/>
        </w:rPr>
        <w:footnoteReference w:id="75"/>
      </w:r>
      <w:r>
        <w:t xml:space="preserve"> y en este proceso se deberán considerar aspectos como:</w:t>
      </w:r>
    </w:p>
    <w:p w:rsidR="00A220D7" w:rsidRDefault="00A220D7" w:rsidP="00A220D7">
      <w:pPr>
        <w:pStyle w:val="Prrafodelista"/>
        <w:numPr>
          <w:ilvl w:val="0"/>
          <w:numId w:val="44"/>
        </w:numPr>
        <w:jc w:val="both"/>
      </w:pPr>
      <w:r>
        <w:t>Garantizar la protección de los menores</w:t>
      </w:r>
    </w:p>
    <w:p w:rsidR="00A220D7" w:rsidRDefault="00A220D7" w:rsidP="00A220D7">
      <w:pPr>
        <w:pStyle w:val="Prrafodelista"/>
        <w:jc w:val="both"/>
      </w:pPr>
    </w:p>
    <w:p w:rsidR="00A220D7" w:rsidRDefault="00A220D7" w:rsidP="00A220D7">
      <w:pPr>
        <w:pStyle w:val="Prrafodelista"/>
        <w:numPr>
          <w:ilvl w:val="0"/>
          <w:numId w:val="44"/>
        </w:numPr>
        <w:jc w:val="both"/>
      </w:pPr>
      <w:r>
        <w:lastRenderedPageBreak/>
        <w:t>Preservar su intimidad y la de sus familias o responsables legales</w:t>
      </w:r>
    </w:p>
    <w:p w:rsidR="00A220D7" w:rsidRDefault="00A220D7" w:rsidP="00A220D7">
      <w:pPr>
        <w:pStyle w:val="Prrafodelista"/>
      </w:pPr>
    </w:p>
    <w:p w:rsidR="00A220D7" w:rsidRDefault="00A220D7" w:rsidP="00A220D7">
      <w:pPr>
        <w:pStyle w:val="Prrafodelista"/>
        <w:numPr>
          <w:ilvl w:val="0"/>
          <w:numId w:val="44"/>
        </w:numPr>
        <w:jc w:val="both"/>
      </w:pPr>
      <w:r>
        <w:t>Actuar de manera inmediata, generar un clima de confianza y recoger todo tipo de pruebas</w:t>
      </w:r>
    </w:p>
    <w:p w:rsidR="00A220D7" w:rsidRDefault="00A220D7" w:rsidP="00A220D7">
      <w:pPr>
        <w:pStyle w:val="Prrafodelista"/>
      </w:pPr>
    </w:p>
    <w:p w:rsidR="00A220D7" w:rsidRPr="00375C5B" w:rsidRDefault="00A220D7" w:rsidP="00A220D7">
      <w:pPr>
        <w:pStyle w:val="Prrafodelista"/>
        <w:jc w:val="both"/>
      </w:pPr>
    </w:p>
    <w:p w:rsidR="00A220D7" w:rsidRDefault="00375C5B" w:rsidP="00A220D7">
      <w:pPr>
        <w:pStyle w:val="Prrafodelista"/>
        <w:numPr>
          <w:ilvl w:val="2"/>
          <w:numId w:val="7"/>
        </w:numPr>
        <w:jc w:val="both"/>
        <w:rPr>
          <w:b/>
        </w:rPr>
      </w:pPr>
      <w:r>
        <w:rPr>
          <w:b/>
        </w:rPr>
        <w:t>Aplicación de correcciones y medidas disciplinarias</w:t>
      </w:r>
    </w:p>
    <w:p w:rsidR="0002748B" w:rsidRDefault="0002748B" w:rsidP="00760953">
      <w:pPr>
        <w:ind w:firstLine="708"/>
        <w:jc w:val="both"/>
      </w:pPr>
      <w:r>
        <w:t>Una vez recogida la información, se procederá por parte del director/a, a la adopción de tales correcciones en función del plan de convivencia del centro, de acuerdo con lo establecido en el Capítulo III del Título V de los Decretos 327/2010 y 328/2010 de 13 de julio</w:t>
      </w:r>
      <w:r>
        <w:rPr>
          <w:rStyle w:val="Refdenotaalpie"/>
        </w:rPr>
        <w:footnoteReference w:id="76"/>
      </w:r>
      <w:r>
        <w:t>.</w:t>
      </w:r>
    </w:p>
    <w:p w:rsidR="004C0EA2" w:rsidRPr="0002748B" w:rsidRDefault="004C0EA2" w:rsidP="00760953">
      <w:pPr>
        <w:ind w:firstLine="708"/>
        <w:jc w:val="both"/>
      </w:pPr>
    </w:p>
    <w:p w:rsidR="00A220D7" w:rsidRDefault="00A220D7" w:rsidP="00A220D7">
      <w:pPr>
        <w:pStyle w:val="Prrafodelista"/>
        <w:numPr>
          <w:ilvl w:val="2"/>
          <w:numId w:val="7"/>
        </w:numPr>
        <w:jc w:val="both"/>
        <w:rPr>
          <w:b/>
        </w:rPr>
      </w:pPr>
      <w:r>
        <w:rPr>
          <w:b/>
        </w:rPr>
        <w:t xml:space="preserve">Comunicación a la comisión a la convivencia </w:t>
      </w:r>
      <w:r w:rsidR="00760953">
        <w:rPr>
          <w:b/>
        </w:rPr>
        <w:t>y a la inspección educativa</w:t>
      </w:r>
    </w:p>
    <w:p w:rsidR="00760953" w:rsidRDefault="00760953" w:rsidP="00760953">
      <w:pPr>
        <w:ind w:firstLine="360"/>
        <w:jc w:val="both"/>
      </w:pPr>
      <w:r>
        <w:t>El director/a del centro trasladará el informe realizado tras la recogida de información, así como, las medidas disciplinarias aplicadas a tal comisión, sin perjuicio del principio de confidencialidad. No obstante, remitirá asimismo el informe al Servicio Provincial de Inspección, tal y como establece el citado Paso 2 del protocolo.</w:t>
      </w:r>
    </w:p>
    <w:p w:rsidR="00C857EC" w:rsidRPr="00760953" w:rsidRDefault="00C857EC" w:rsidP="00760953">
      <w:pPr>
        <w:ind w:firstLine="360"/>
        <w:jc w:val="both"/>
      </w:pPr>
    </w:p>
    <w:p w:rsidR="00760953" w:rsidRDefault="00F8771A" w:rsidP="00A220D7">
      <w:pPr>
        <w:pStyle w:val="Prrafodelista"/>
        <w:numPr>
          <w:ilvl w:val="2"/>
          <w:numId w:val="7"/>
        </w:numPr>
        <w:jc w:val="both"/>
        <w:rPr>
          <w:b/>
        </w:rPr>
      </w:pPr>
      <w:r>
        <w:rPr>
          <w:b/>
        </w:rPr>
        <w:t>Medidas y actuaciones a definir</w:t>
      </w:r>
    </w:p>
    <w:p w:rsidR="00F8771A" w:rsidRDefault="00F8771A" w:rsidP="00F8771A">
      <w:pPr>
        <w:ind w:firstLine="360"/>
        <w:jc w:val="both"/>
      </w:pPr>
      <w:r>
        <w:t>El equipo directivo y la persona/as responsables de tal orientación, definirá una serie de actuaciones para cada caso concreto de violencia de género en este ámbito. Además, podrá contar con el asesoramiento del Gabinete Provincial de Asesoramiento sobre la Convivencia Escolar y de la inspección educativa</w:t>
      </w:r>
      <w:r>
        <w:rPr>
          <w:rStyle w:val="Refdenotaalpie"/>
        </w:rPr>
        <w:footnoteReference w:id="77"/>
      </w:r>
    </w:p>
    <w:p w:rsidR="00C857EC" w:rsidRDefault="00C857EC" w:rsidP="00F8771A">
      <w:pPr>
        <w:ind w:firstLine="360"/>
        <w:jc w:val="both"/>
      </w:pPr>
    </w:p>
    <w:p w:rsidR="00C857EC" w:rsidRDefault="00C857EC" w:rsidP="00F8771A">
      <w:pPr>
        <w:ind w:firstLine="360"/>
        <w:jc w:val="both"/>
      </w:pPr>
    </w:p>
    <w:p w:rsidR="00C857EC" w:rsidRPr="00F8771A" w:rsidRDefault="00C857EC" w:rsidP="00F8771A">
      <w:pPr>
        <w:ind w:firstLine="360"/>
        <w:jc w:val="both"/>
      </w:pPr>
    </w:p>
    <w:p w:rsidR="00EA0230" w:rsidRDefault="00C857EC" w:rsidP="00C857EC">
      <w:pPr>
        <w:pStyle w:val="Prrafodelista"/>
        <w:numPr>
          <w:ilvl w:val="2"/>
          <w:numId w:val="7"/>
        </w:numPr>
        <w:jc w:val="both"/>
        <w:rPr>
          <w:b/>
        </w:rPr>
      </w:pPr>
      <w:r>
        <w:rPr>
          <w:b/>
        </w:rPr>
        <w:lastRenderedPageBreak/>
        <w:t>Comunicación a las familias o responsables legales del alumnado y seguimiento del caso por parte de la inspección educativa</w:t>
      </w:r>
    </w:p>
    <w:p w:rsidR="00BA1FF8" w:rsidRDefault="00BA1FF8" w:rsidP="00BA1FF8">
      <w:pPr>
        <w:ind w:firstLine="360"/>
        <w:jc w:val="both"/>
      </w:pPr>
      <w:r>
        <w:t>Para finalizar con la descripción del protocolo, en primer lugar, se informará a las familias del alumnado implicado de las medidas y actuaciones de carácter individual, organizativo y preventivo teniendo en todo momento confidencialidad sobre el caso.</w:t>
      </w:r>
    </w:p>
    <w:p w:rsidR="00BA1FF8" w:rsidRDefault="00BA1FF8" w:rsidP="00BA1FF8">
      <w:pPr>
        <w:ind w:firstLine="360"/>
        <w:jc w:val="both"/>
      </w:pPr>
      <w:r>
        <w:t>El inspector/a realizará un seguimiento de las medidas y actuaciones definidas y aplicadas y de la situación escolar del alumnado implicado.</w:t>
      </w:r>
    </w:p>
    <w:p w:rsidR="00BA1FF8" w:rsidRPr="00BA1FF8" w:rsidRDefault="00BA1FF8" w:rsidP="00BA1FF8">
      <w:pPr>
        <w:jc w:val="both"/>
        <w:rPr>
          <w:b/>
        </w:rPr>
      </w:pPr>
    </w:p>
    <w:p w:rsidR="00BA1FF8" w:rsidRDefault="00BA1FF8" w:rsidP="00BA1FF8">
      <w:pPr>
        <w:pStyle w:val="Prrafodelista"/>
        <w:numPr>
          <w:ilvl w:val="1"/>
          <w:numId w:val="7"/>
        </w:numPr>
        <w:jc w:val="both"/>
        <w:rPr>
          <w:b/>
        </w:rPr>
      </w:pPr>
      <w:r>
        <w:rPr>
          <w:b/>
        </w:rPr>
        <w:t>Protocolo de actuación frente a la violencia en el trabajo en la Administración General del Estado y los organismos públicos vinculados o dependientes de ella</w:t>
      </w:r>
    </w:p>
    <w:p w:rsidR="00BA1FF8" w:rsidRDefault="00BA1FF8" w:rsidP="00BA1FF8">
      <w:pPr>
        <w:pStyle w:val="Prrafodelista"/>
        <w:numPr>
          <w:ilvl w:val="2"/>
          <w:numId w:val="7"/>
        </w:numPr>
        <w:jc w:val="both"/>
        <w:rPr>
          <w:b/>
        </w:rPr>
      </w:pPr>
      <w:r>
        <w:rPr>
          <w:b/>
        </w:rPr>
        <w:t>Introducción</w:t>
      </w:r>
    </w:p>
    <w:p w:rsidR="00BA1FF8" w:rsidRDefault="00BA1FF8" w:rsidP="003870DF">
      <w:pPr>
        <w:ind w:firstLine="708"/>
        <w:jc w:val="both"/>
      </w:pPr>
      <w:r>
        <w:t xml:space="preserve">Respecto a los riesgos que pueden afectar a la salud de los empleados públicos, como consecuencia del trabajo que realizan, se tienden a pensar en accidentes laborales más comunes y conocidas. </w:t>
      </w:r>
      <w:r w:rsidR="003870DF">
        <w:t>Uno de los riesgos a los que se encuentran sometidos es a la interrelación con otras personas, en el que pueden producirse comportamientos violentos que suponen riesgos para la salud. Hablamos de la violencia en el trabajo en el ámbito de la Administración General del Estado, cuya parte de su actividad consiste en prestar atención al ciudadano o usuarios de determinados servicios.</w:t>
      </w:r>
    </w:p>
    <w:p w:rsidR="003870DF" w:rsidRDefault="003870DF" w:rsidP="003870DF">
      <w:pPr>
        <w:ind w:firstLine="708"/>
        <w:jc w:val="both"/>
      </w:pPr>
      <w:r>
        <w:t>En cuanto al marco normativo que sustenta la Prevención y Actuación frente a situaciones de violencia externa encontramos una amplia variedad</w:t>
      </w:r>
      <w:r>
        <w:rPr>
          <w:rStyle w:val="Refdenotaalpie"/>
        </w:rPr>
        <w:footnoteReference w:id="78"/>
      </w:r>
      <w:r w:rsidR="004C0EA2">
        <w:t>.</w:t>
      </w:r>
    </w:p>
    <w:p w:rsidR="004C0EA2" w:rsidRPr="00BA1FF8" w:rsidRDefault="004C0EA2" w:rsidP="003870DF">
      <w:pPr>
        <w:ind w:firstLine="708"/>
        <w:jc w:val="both"/>
      </w:pPr>
    </w:p>
    <w:p w:rsidR="003870DF" w:rsidRDefault="003870DF" w:rsidP="003870DF">
      <w:pPr>
        <w:pStyle w:val="Prrafodelista"/>
        <w:numPr>
          <w:ilvl w:val="2"/>
          <w:numId w:val="7"/>
        </w:numPr>
        <w:jc w:val="both"/>
        <w:rPr>
          <w:b/>
        </w:rPr>
      </w:pPr>
      <w:r>
        <w:rPr>
          <w:b/>
        </w:rPr>
        <w:t>Definición, objeto y ámbito de aplicación</w:t>
      </w:r>
    </w:p>
    <w:p w:rsidR="005D4707" w:rsidRDefault="005D4707" w:rsidP="005D4707">
      <w:pPr>
        <w:ind w:firstLine="708"/>
        <w:jc w:val="both"/>
      </w:pPr>
      <w:r>
        <w:t>Según el presente protocolo, la OMS adopta en su informe mundial de 2002 sobre violencia y salud, se define como “aquella que está constituida por incidentes en los cuales los trabajadores sufren abusos, amenazas o ataques en circunstancias relacionadas con su trabajo que coloquen en peligro su seguridad, bienestar o salud”.</w:t>
      </w:r>
    </w:p>
    <w:p w:rsidR="00FE701F" w:rsidRDefault="00200632" w:rsidP="004C0EA2">
      <w:pPr>
        <w:ind w:firstLine="708"/>
        <w:jc w:val="both"/>
      </w:pPr>
      <w:r>
        <w:lastRenderedPageBreak/>
        <w:t xml:space="preserve">Por lo que refiere al objeto, el protocolo se referirá a la violencia externa, ejercida a los empleados públicos durante o como consecuencia del ejercicio de sus funciones legítimamente atribuidas. Considerar la posible violencia externa, que, aunque no afecte directamente a la integridad de los empleados públicos si lo haga sobre cosas o patrimonio de la Administración, del propio empleado público, etc. Se considerarán </w:t>
      </w:r>
      <w:r w:rsidR="00FE701F">
        <w:t>los siguientes tipos de agresiones:</w:t>
      </w:r>
      <w:r w:rsidR="004C0EA2">
        <w:t xml:space="preserve"> </w:t>
      </w:r>
      <w:r w:rsidR="00FE701F">
        <w:t>Agresión física</w:t>
      </w:r>
      <w:r w:rsidR="004C0EA2">
        <w:t xml:space="preserve"> y </w:t>
      </w:r>
      <w:r w:rsidR="00FE701F">
        <w:t>Agresión verbal</w:t>
      </w:r>
      <w:r w:rsidR="004C0EA2">
        <w:t>.</w:t>
      </w:r>
    </w:p>
    <w:p w:rsidR="00FE701F" w:rsidRDefault="00FE701F" w:rsidP="00FE701F">
      <w:pPr>
        <w:ind w:firstLine="360"/>
        <w:jc w:val="both"/>
      </w:pPr>
      <w:r>
        <w:t>El ámbito de aplicación el protocolo se aplicará a todo el personal de la Administración General del Estado y de los Organismos públicos vinculados o dependientes de ella, bien como instrumento de aplicación directa a todo tipo de organismos en que se realicen actividades de atención y/o contacto con el público bien como referencia.</w:t>
      </w:r>
    </w:p>
    <w:p w:rsidR="00200632" w:rsidRPr="005D4707" w:rsidRDefault="00200632" w:rsidP="005D4707">
      <w:pPr>
        <w:ind w:firstLine="708"/>
        <w:jc w:val="both"/>
      </w:pPr>
    </w:p>
    <w:p w:rsidR="00BA1FF8" w:rsidRDefault="00643EAF" w:rsidP="00BA1FF8">
      <w:pPr>
        <w:pStyle w:val="Prrafodelista"/>
        <w:numPr>
          <w:ilvl w:val="2"/>
          <w:numId w:val="7"/>
        </w:numPr>
        <w:jc w:val="both"/>
        <w:rPr>
          <w:b/>
        </w:rPr>
      </w:pPr>
      <w:r>
        <w:rPr>
          <w:b/>
        </w:rPr>
        <w:t>Procedimiento de actuación</w:t>
      </w:r>
    </w:p>
    <w:p w:rsidR="00BA1FF8" w:rsidRDefault="00643EAF" w:rsidP="00643EAF">
      <w:pPr>
        <w:pStyle w:val="Prrafodelista"/>
        <w:numPr>
          <w:ilvl w:val="3"/>
          <w:numId w:val="7"/>
        </w:numPr>
        <w:jc w:val="both"/>
        <w:rPr>
          <w:b/>
        </w:rPr>
      </w:pPr>
      <w:r>
        <w:rPr>
          <w:b/>
        </w:rPr>
        <w:t>Análisis y diagnóstico de la situación: Metodología</w:t>
      </w:r>
    </w:p>
    <w:p w:rsidR="003E2BCB" w:rsidRDefault="00F0300A" w:rsidP="00F0300A">
      <w:pPr>
        <w:ind w:firstLine="708"/>
        <w:jc w:val="both"/>
      </w:pPr>
      <w:r>
        <w:t>Para afrontar el problema de las agresiones en el trabajo en la AGE, todos los Departamentos y Organismos que conforman, han de abordar este proceso a partir de una serie de actuaciones</w:t>
      </w:r>
      <w:r>
        <w:rPr>
          <w:rStyle w:val="Refdenotaalpie"/>
        </w:rPr>
        <w:footnoteReference w:id="79"/>
      </w:r>
      <w:r>
        <w:t>:</w:t>
      </w:r>
    </w:p>
    <w:p w:rsidR="00F0300A" w:rsidRDefault="00F0300A" w:rsidP="00F0300A">
      <w:pPr>
        <w:pStyle w:val="Prrafodelista"/>
        <w:numPr>
          <w:ilvl w:val="0"/>
          <w:numId w:val="44"/>
        </w:numPr>
        <w:jc w:val="both"/>
      </w:pPr>
      <w:r>
        <w:t>Análisis inicial de los riesgos existentes</w:t>
      </w:r>
    </w:p>
    <w:p w:rsidR="00F0300A" w:rsidRDefault="00F0300A" w:rsidP="00F0300A">
      <w:pPr>
        <w:pStyle w:val="Prrafodelista"/>
        <w:jc w:val="both"/>
      </w:pPr>
    </w:p>
    <w:p w:rsidR="00F0300A" w:rsidRDefault="00F0300A" w:rsidP="00F0300A">
      <w:pPr>
        <w:pStyle w:val="Prrafodelista"/>
        <w:numPr>
          <w:ilvl w:val="0"/>
          <w:numId w:val="44"/>
        </w:numPr>
        <w:jc w:val="both"/>
      </w:pPr>
      <w:r>
        <w:t>Diseño e implantación de una Metodología para el análisis, registro y seguimiento de la violencia en el trabajo</w:t>
      </w:r>
    </w:p>
    <w:p w:rsidR="00F0300A" w:rsidRDefault="00F0300A" w:rsidP="00F0300A">
      <w:pPr>
        <w:pStyle w:val="Prrafodelista"/>
      </w:pPr>
    </w:p>
    <w:p w:rsidR="00F0300A" w:rsidRDefault="00F0300A" w:rsidP="00F0300A">
      <w:pPr>
        <w:pStyle w:val="Prrafodelista"/>
        <w:numPr>
          <w:ilvl w:val="0"/>
          <w:numId w:val="44"/>
        </w:numPr>
        <w:jc w:val="both"/>
      </w:pPr>
      <w:r>
        <w:t>Diagnóstico de la situación</w:t>
      </w:r>
    </w:p>
    <w:p w:rsidR="00F0300A" w:rsidRDefault="00F0300A" w:rsidP="00F0300A">
      <w:pPr>
        <w:pStyle w:val="Prrafodelista"/>
      </w:pPr>
    </w:p>
    <w:p w:rsidR="00F0300A" w:rsidRPr="003E2BCB" w:rsidRDefault="00F0300A" w:rsidP="00F0300A">
      <w:pPr>
        <w:pStyle w:val="Prrafodelista"/>
        <w:jc w:val="both"/>
      </w:pPr>
    </w:p>
    <w:p w:rsidR="00F0300A" w:rsidRDefault="00643EAF" w:rsidP="00F0300A">
      <w:pPr>
        <w:pStyle w:val="Prrafodelista"/>
        <w:numPr>
          <w:ilvl w:val="3"/>
          <w:numId w:val="7"/>
        </w:numPr>
        <w:jc w:val="both"/>
        <w:rPr>
          <w:b/>
        </w:rPr>
      </w:pPr>
      <w:r>
        <w:rPr>
          <w:b/>
        </w:rPr>
        <w:t>Estrategia preventiva y de actuación</w:t>
      </w:r>
    </w:p>
    <w:p w:rsidR="00645385" w:rsidRDefault="00645385" w:rsidP="00645385">
      <w:pPr>
        <w:ind w:firstLine="360"/>
        <w:jc w:val="both"/>
      </w:pPr>
      <w:r>
        <w:t xml:space="preserve">Tras seguir con los planteamientos de la Ley de Prevención de Riesgos Laborales, es fundamental la disposición de un buen diagnóstico y, sobre todo, el establecimiento de </w:t>
      </w:r>
      <w:r>
        <w:lastRenderedPageBreak/>
        <w:t>una adecuada estrategia preventiva. Por ello, el conjunto de medidas a adoptar para prevenir y actuar frente a las agresiones en el trabajo pueden ser clasificadas</w:t>
      </w:r>
      <w:r>
        <w:rPr>
          <w:rStyle w:val="Refdenotaalpie"/>
        </w:rPr>
        <w:footnoteReference w:id="80"/>
      </w:r>
      <w:r>
        <w:t>:</w:t>
      </w:r>
    </w:p>
    <w:p w:rsidR="00645385" w:rsidRDefault="00645385" w:rsidP="00645385">
      <w:pPr>
        <w:pStyle w:val="Prrafodelista"/>
        <w:numPr>
          <w:ilvl w:val="0"/>
          <w:numId w:val="45"/>
        </w:numPr>
        <w:jc w:val="both"/>
      </w:pPr>
      <w:r>
        <w:t>Actuaciones previas a la situación de riesgo: Medidas proactivas</w:t>
      </w:r>
    </w:p>
    <w:p w:rsidR="00645385" w:rsidRDefault="00645385" w:rsidP="00645385">
      <w:pPr>
        <w:pStyle w:val="Prrafodelista"/>
        <w:jc w:val="both"/>
      </w:pPr>
    </w:p>
    <w:p w:rsidR="00645385" w:rsidRDefault="00645385" w:rsidP="00645385">
      <w:pPr>
        <w:pStyle w:val="Prrafodelista"/>
        <w:numPr>
          <w:ilvl w:val="0"/>
          <w:numId w:val="45"/>
        </w:numPr>
        <w:jc w:val="both"/>
      </w:pPr>
      <w:r>
        <w:t>Actuaciones durante la situación de riesgo: Medidas activas</w:t>
      </w:r>
    </w:p>
    <w:p w:rsidR="00645385" w:rsidRDefault="00645385" w:rsidP="00645385">
      <w:pPr>
        <w:pStyle w:val="Prrafodelista"/>
      </w:pPr>
    </w:p>
    <w:p w:rsidR="00645385" w:rsidRPr="00645385" w:rsidRDefault="00645385" w:rsidP="00645385">
      <w:pPr>
        <w:pStyle w:val="Prrafodelista"/>
        <w:numPr>
          <w:ilvl w:val="0"/>
          <w:numId w:val="45"/>
        </w:numPr>
        <w:jc w:val="both"/>
      </w:pPr>
      <w:r>
        <w:t>Actuaciones tras la situación de riesgo: Apoyo a las víctimas</w:t>
      </w:r>
    </w:p>
    <w:p w:rsidR="00BA1FF8" w:rsidRPr="0010295D" w:rsidRDefault="00BA1FF8" w:rsidP="00BA1FF8">
      <w:pPr>
        <w:jc w:val="both"/>
      </w:pPr>
    </w:p>
    <w:p w:rsidR="0010295D" w:rsidRPr="000152AF" w:rsidRDefault="0010295D" w:rsidP="0010295D">
      <w:pPr>
        <w:pStyle w:val="Prrafodelista"/>
        <w:numPr>
          <w:ilvl w:val="0"/>
          <w:numId w:val="7"/>
        </w:numPr>
        <w:jc w:val="both"/>
      </w:pPr>
      <w:r>
        <w:rPr>
          <w:b/>
        </w:rPr>
        <w:t>ATENCIÓN PSICOLÓGICA A VÍCTIMAS DE VIOLENCIA DE GÉNERO</w:t>
      </w:r>
    </w:p>
    <w:p w:rsidR="000152AF" w:rsidRPr="00DD5486" w:rsidRDefault="000152AF" w:rsidP="000152AF">
      <w:pPr>
        <w:ind w:firstLine="360"/>
        <w:jc w:val="both"/>
      </w:pPr>
      <w:r>
        <w:t>El Instituto Andaluz de la Mujer ofrece a las mujeres víctimas de violencia de género, así como a sus hijos/as, servicios especializados de asesoramiento y atención. La atención psicológica grupal para las víctimas de violencia de género, se constituye como uno de los modelos de intervención más eficaces para afrontar este problema según la fase en la que se encuentra ésta. La intervención se realiza a través de la participación de la mujer en grupos de terapia y talleres.</w:t>
      </w:r>
    </w:p>
    <w:p w:rsidR="000152AF" w:rsidRDefault="000152AF" w:rsidP="000152AF">
      <w:pPr>
        <w:ind w:firstLine="360"/>
        <w:jc w:val="both"/>
      </w:pPr>
      <w:r>
        <w:t>La intervención psicológica grupal tiene un doble objetivo. En primer lugar, detectar y valorar el riesgo posible de violencia de género en que la mujer se encuentre, y, en segundo lugar, facilitarles una serie de habilidades tales como:</w:t>
      </w:r>
    </w:p>
    <w:p w:rsidR="000152AF" w:rsidRDefault="000152AF" w:rsidP="000152AF">
      <w:pPr>
        <w:pStyle w:val="Prrafodelista"/>
        <w:numPr>
          <w:ilvl w:val="0"/>
          <w:numId w:val="41"/>
        </w:numPr>
        <w:jc w:val="both"/>
      </w:pPr>
      <w:r>
        <w:t>Conocer el proceso de la violencia y sus consecuencias, además de tener conocimiento de su situación actual de violencia.</w:t>
      </w:r>
    </w:p>
    <w:p w:rsidR="000152AF" w:rsidRDefault="000152AF" w:rsidP="000152AF">
      <w:pPr>
        <w:pStyle w:val="Prrafodelista"/>
        <w:ind w:left="1068"/>
        <w:jc w:val="both"/>
      </w:pPr>
    </w:p>
    <w:p w:rsidR="000152AF" w:rsidRDefault="000152AF" w:rsidP="000152AF">
      <w:pPr>
        <w:pStyle w:val="Prrafodelista"/>
        <w:numPr>
          <w:ilvl w:val="0"/>
          <w:numId w:val="41"/>
        </w:numPr>
        <w:jc w:val="both"/>
      </w:pPr>
      <w:r>
        <w:t>Poder conocerse y mejorar la imagen en sí misma, que recupere su autonomía e independencia emocional y que tratase de modificar el tipo de relación que ha construido y que ha generado la violencia.</w:t>
      </w:r>
    </w:p>
    <w:p w:rsidR="000152AF" w:rsidRDefault="000152AF" w:rsidP="000152AF">
      <w:pPr>
        <w:pStyle w:val="Prrafodelista"/>
      </w:pPr>
    </w:p>
    <w:p w:rsidR="000152AF" w:rsidRDefault="000152AF" w:rsidP="000152AF">
      <w:pPr>
        <w:ind w:firstLine="708"/>
        <w:jc w:val="both"/>
      </w:pPr>
      <w:r>
        <w:t xml:space="preserve">En cuanto al servicio de atención psicológica a hijas/os de mujeres víctimas de violencia de género, se lleva a cabo con el fin de mejorar el bienestar psicosocial y atender las necesidades socioeducativas de las hijas e hijos (6-17 años) de mujeres que han sufrido </w:t>
      </w:r>
      <w:r>
        <w:lastRenderedPageBreak/>
        <w:t xml:space="preserve">tal situación en Andalucía. También, tratan de atender a las madres en lo que respecta a la orientación y asesoramiento de estrategias para el abordaje de problemas que presenten las/os menores. Para acceder a este servicio, Centro Provincial del IAE, Centros Municipales de Información a la Mujer y teléfono de atención a la mujer (900 200 999). </w:t>
      </w:r>
    </w:p>
    <w:p w:rsidR="000152AF" w:rsidRDefault="000152AF" w:rsidP="000152AF">
      <w:pPr>
        <w:ind w:firstLine="708"/>
        <w:jc w:val="both"/>
      </w:pPr>
      <w:r>
        <w:t>La atención psicológica a las mujeres menores de edad víctimas de violencia de género en Andalucía, es preciso desarrollar una atención psicológica, individual y grupal a menores de edad (14-18 años) que sufren o han sufrido violencia de género por parte de sus parejas o exparejas. No obstante, la orientación a las madres, padres y/ tutores de las menores atendidas. Para recibir información, acceder a los centros anteriormente mencionados.</w:t>
      </w:r>
    </w:p>
    <w:p w:rsidR="000152AF" w:rsidRDefault="000152AF" w:rsidP="000152AF">
      <w:pPr>
        <w:ind w:firstLine="708"/>
        <w:jc w:val="both"/>
      </w:pPr>
      <w:r>
        <w:t>Por último, añade el servicio de apoyo psicológico en crisis para hijas/os de mujeres víctimas mortales de la violencia de género, cuyos objetivos principales son:</w:t>
      </w:r>
    </w:p>
    <w:p w:rsidR="000152AF" w:rsidRDefault="000152AF" w:rsidP="000152AF">
      <w:pPr>
        <w:pStyle w:val="Prrafodelista"/>
        <w:numPr>
          <w:ilvl w:val="0"/>
          <w:numId w:val="42"/>
        </w:numPr>
        <w:jc w:val="both"/>
      </w:pPr>
      <w:r>
        <w:t>Favorecer la recuperación emocional de hijas/hijos de mujeres víctima de violencia de género como recurso de intervención temprana e integral.</w:t>
      </w:r>
    </w:p>
    <w:p w:rsidR="000152AF" w:rsidRDefault="000152AF" w:rsidP="000152AF">
      <w:pPr>
        <w:pStyle w:val="Prrafodelista"/>
        <w:ind w:left="1068"/>
        <w:jc w:val="both"/>
      </w:pPr>
    </w:p>
    <w:p w:rsidR="000152AF" w:rsidRDefault="000152AF" w:rsidP="000152AF">
      <w:pPr>
        <w:pStyle w:val="Prrafodelista"/>
        <w:numPr>
          <w:ilvl w:val="0"/>
          <w:numId w:val="42"/>
        </w:numPr>
        <w:jc w:val="both"/>
      </w:pPr>
      <w:r>
        <w:t>Ofrecer el apoyo psicológico para intentar minimizar los efectos que produzcan en el/la menor la muerte de su madre por violencia de género.</w:t>
      </w:r>
    </w:p>
    <w:p w:rsidR="000152AF" w:rsidRDefault="000152AF" w:rsidP="000152AF">
      <w:pPr>
        <w:pStyle w:val="Prrafodelista"/>
      </w:pPr>
    </w:p>
    <w:p w:rsidR="000152AF" w:rsidRDefault="000152AF" w:rsidP="000152AF">
      <w:pPr>
        <w:pStyle w:val="Prrafodelista"/>
        <w:numPr>
          <w:ilvl w:val="0"/>
          <w:numId w:val="42"/>
        </w:numPr>
        <w:jc w:val="both"/>
      </w:pPr>
      <w:r>
        <w:t>Potenciar la resiliencia de los menores y minimizar las vulnerabilidades en el afrontamiento a este hecho traumático.</w:t>
      </w:r>
    </w:p>
    <w:p w:rsidR="000152AF" w:rsidRDefault="000152AF" w:rsidP="000152AF">
      <w:pPr>
        <w:pStyle w:val="Prrafodelista"/>
      </w:pPr>
    </w:p>
    <w:p w:rsidR="000152AF" w:rsidRDefault="000152AF" w:rsidP="000152AF">
      <w:pPr>
        <w:pStyle w:val="Prrafodelista"/>
        <w:numPr>
          <w:ilvl w:val="0"/>
          <w:numId w:val="42"/>
        </w:numPr>
        <w:jc w:val="both"/>
      </w:pPr>
      <w:r>
        <w:t>Dar respuesta especializada y ofrecer la atención en la localidad donde sucedan los hechos o se encuentren los menores.</w:t>
      </w:r>
    </w:p>
    <w:p w:rsidR="0002748B" w:rsidRDefault="0002748B" w:rsidP="0002748B">
      <w:pPr>
        <w:pStyle w:val="Prrafodelista"/>
      </w:pPr>
    </w:p>
    <w:p w:rsidR="0002748B" w:rsidRDefault="0002748B" w:rsidP="0002748B">
      <w:pPr>
        <w:pStyle w:val="Prrafodelista"/>
        <w:ind w:left="1068"/>
        <w:jc w:val="both"/>
      </w:pPr>
    </w:p>
    <w:p w:rsidR="00787441" w:rsidRDefault="00787441" w:rsidP="00B836DF">
      <w:pPr>
        <w:pStyle w:val="Prrafodelista"/>
        <w:ind w:left="1068"/>
        <w:jc w:val="both"/>
        <w:rPr>
          <w:b/>
        </w:rPr>
      </w:pPr>
    </w:p>
    <w:p w:rsidR="00787441" w:rsidRDefault="00787441" w:rsidP="0010295D">
      <w:pPr>
        <w:pStyle w:val="Prrafodelista"/>
        <w:numPr>
          <w:ilvl w:val="0"/>
          <w:numId w:val="7"/>
        </w:numPr>
        <w:jc w:val="both"/>
        <w:rPr>
          <w:b/>
        </w:rPr>
      </w:pPr>
      <w:r>
        <w:rPr>
          <w:b/>
        </w:rPr>
        <w:t>CONCLUSIONES</w:t>
      </w:r>
    </w:p>
    <w:p w:rsidR="00791771" w:rsidRDefault="00B569A1" w:rsidP="00791771">
      <w:pPr>
        <w:ind w:firstLine="360"/>
        <w:jc w:val="both"/>
      </w:pPr>
      <w:r>
        <w:t xml:space="preserve">Una vez desarrollado el presente trabajo sobre </w:t>
      </w:r>
      <w:r w:rsidRPr="00B569A1">
        <w:rPr>
          <w:i/>
        </w:rPr>
        <w:t>“</w:t>
      </w:r>
      <w:r w:rsidR="004C0EA2">
        <w:rPr>
          <w:i/>
        </w:rPr>
        <w:t xml:space="preserve">la problemática actual que plantea la violencia de género </w:t>
      </w:r>
      <w:r w:rsidR="008B2B80">
        <w:rPr>
          <w:i/>
        </w:rPr>
        <w:t xml:space="preserve">en España partiendo de la igualdad” </w:t>
      </w:r>
      <w:r w:rsidR="00B96F83">
        <w:t>he podido comprobar que</w:t>
      </w:r>
      <w:r w:rsidR="00F361C7">
        <w:t>,</w:t>
      </w:r>
      <w:r w:rsidR="00B96F83">
        <w:t xml:space="preserve"> en nuestra época reciente y a pesar de haber transcurrido ya casi cuarenta años desde la aprobación de la C.E. vigente, el  impulso</w:t>
      </w:r>
      <w:r w:rsidR="00F361C7">
        <w:t xml:space="preserve"> de las políticas de igualdad entre mujeres y hombres y el desarrollo</w:t>
      </w:r>
      <w:r w:rsidR="00B96F83">
        <w:t xml:space="preserve"> normativo de</w:t>
      </w:r>
      <w:r w:rsidR="00F361C7">
        <w:t xml:space="preserve"> las mismas</w:t>
      </w:r>
      <w:r w:rsidR="001A7935">
        <w:t>,</w:t>
      </w:r>
      <w:r w:rsidR="00F361C7">
        <w:t xml:space="preserve"> no se producen de</w:t>
      </w:r>
      <w:r w:rsidR="00B96F83">
        <w:t xml:space="preserve"> una manera decidida </w:t>
      </w:r>
      <w:r w:rsidR="00B96F83">
        <w:lastRenderedPageBreak/>
        <w:t xml:space="preserve">hasta la última década, </w:t>
      </w:r>
      <w:r w:rsidR="00F361C7">
        <w:t>cuando el legislador aborda la regulación de est</w:t>
      </w:r>
      <w:r w:rsidR="001A7935">
        <w:t>a</w:t>
      </w:r>
      <w:r w:rsidR="00F361C7">
        <w:t xml:space="preserve"> </w:t>
      </w:r>
      <w:r w:rsidR="001A7935">
        <w:t>materia de una forma decidida a través de</w:t>
      </w:r>
      <w:r w:rsidR="00F361C7">
        <w:t xml:space="preserve"> una Ley Orgánica</w:t>
      </w:r>
      <w:r w:rsidR="00C42DBE">
        <w:t>,</w:t>
      </w:r>
      <w:r w:rsidR="001A7935">
        <w:t xml:space="preserve"> con toda la relevancia jurídica que ello conlleva “La</w:t>
      </w:r>
      <w:r w:rsidR="00F361C7">
        <w:t xml:space="preserve"> ley orgánica 3/2007, de 22 de marzo</w:t>
      </w:r>
      <w:r w:rsidR="00C42DBE">
        <w:t>,</w:t>
      </w:r>
      <w:r w:rsidR="00F361C7">
        <w:t xml:space="preserve"> para la igualdad efectiva de </w:t>
      </w:r>
      <w:r w:rsidR="00C42DBE">
        <w:t>mujeres y hombres</w:t>
      </w:r>
      <w:r w:rsidR="001A7935">
        <w:t>”.</w:t>
      </w:r>
      <w:r w:rsidR="00F361C7">
        <w:t xml:space="preserve"> A la que podemos considerar como un punto de inflexión</w:t>
      </w:r>
      <w:r w:rsidR="001A7935">
        <w:t xml:space="preserve"> que permitió en España</w:t>
      </w:r>
      <w:r w:rsidR="00F361C7">
        <w:t xml:space="preserve"> pasar del plano de los val</w:t>
      </w:r>
      <w:r w:rsidR="001A7935">
        <w:t>ores y principios, al plano de la re</w:t>
      </w:r>
      <w:r w:rsidR="00C42DBE">
        <w:t>gulación jurídica.</w:t>
      </w:r>
    </w:p>
    <w:p w:rsidR="008A5F81" w:rsidRDefault="001A7935" w:rsidP="00791771">
      <w:pPr>
        <w:ind w:firstLine="360"/>
        <w:jc w:val="both"/>
      </w:pPr>
      <w:r>
        <w:t xml:space="preserve">No obstante, </w:t>
      </w:r>
      <w:r w:rsidR="00317313">
        <w:t xml:space="preserve">y </w:t>
      </w:r>
      <w:r>
        <w:t>a pesar del tiempo transcurrido desde la Convención de la</w:t>
      </w:r>
      <w:r w:rsidR="00C42DBE">
        <w:t xml:space="preserve"> ONU</w:t>
      </w:r>
      <w:r>
        <w:t xml:space="preserve">. de 1979, la Conferencia de Nairobi y Beijing en 1985 y 1995 respectivamente, el Tratado de </w:t>
      </w:r>
      <w:r w:rsidR="00791771">
        <w:t xml:space="preserve">Ámsterdam </w:t>
      </w:r>
      <w:r w:rsidR="00C42DBE">
        <w:t>de 1999</w:t>
      </w:r>
      <w:r w:rsidR="00317313">
        <w:t xml:space="preserve"> y la C.E. de 1978, seguimos preguntándonos si ya est</w:t>
      </w:r>
      <w:r w:rsidR="00C42DBE">
        <w:t>á</w:t>
      </w:r>
      <w:r w:rsidR="00317313">
        <w:t xml:space="preserve"> todo realizado en materia de igualdad y nos discriminación por razón de sexo y la respuesta no puede ser otra que la de ¡</w:t>
      </w:r>
      <w:r w:rsidR="00791771">
        <w:t>NO!</w:t>
      </w:r>
    </w:p>
    <w:p w:rsidR="001A7935" w:rsidRDefault="00317313" w:rsidP="008B2B80">
      <w:pPr>
        <w:ind w:firstLine="360"/>
        <w:jc w:val="both"/>
      </w:pPr>
      <w:r>
        <w:t>Es más, considero que el recorrido en materia de igualdad no puede tener una trayectoria delimitada a priori, sino que exige políticas y normas</w:t>
      </w:r>
      <w:r w:rsidR="00C42DBE">
        <w:t xml:space="preserve"> jurídicas</w:t>
      </w:r>
      <w:r>
        <w:t xml:space="preserve"> </w:t>
      </w:r>
      <w:r w:rsidR="00C42DBE">
        <w:t>continuadas</w:t>
      </w:r>
      <w:r>
        <w:t xml:space="preserve">, capaces de asimilar los cambios generacionales que se suceden </w:t>
      </w:r>
      <w:r w:rsidR="00C42DBE">
        <w:t>día tras día</w:t>
      </w:r>
      <w:r>
        <w:t>. Hemos puesto los cimientos</w:t>
      </w:r>
      <w:r w:rsidR="00C42DBE">
        <w:t>,</w:t>
      </w:r>
      <w:r>
        <w:t xml:space="preserve"> pero nuestra sociedad tiene todo un reto por delante para poder</w:t>
      </w:r>
      <w:r w:rsidR="00AA78B5">
        <w:t xml:space="preserve"> rubricar un día que </w:t>
      </w:r>
      <w:r>
        <w:t>¡hemos logrado erradicar de nuestr</w:t>
      </w:r>
      <w:r w:rsidR="00AA78B5">
        <w:t xml:space="preserve">o entorno social cualquier manifestación de discriminación por razón de sexo! o al menos contabilizar que, las victimas por violencia de género en este año han sido ¡NINGUNA!, lo que exige una labor de concienciación social desde los primeros años de vida de </w:t>
      </w:r>
      <w:r w:rsidR="008A5F81">
        <w:t>las personas (mujeres y hombres), tanto</w:t>
      </w:r>
      <w:r w:rsidR="00AA78B5">
        <w:t xml:space="preserve"> en el </w:t>
      </w:r>
      <w:r w:rsidR="008A5F81">
        <w:t xml:space="preserve">entorno familiar, como en el plano formativo, donde acabando de una vez por todas con los roles y estereotipos de género, el desarrollo psicosocial de aquellas se realice desde el plano de la ¡IGUALDAD!. </w:t>
      </w:r>
      <w:r w:rsidR="00C42DBE">
        <w:t>l</w:t>
      </w:r>
      <w:r w:rsidR="008A5F81">
        <w:t>o que</w:t>
      </w:r>
      <w:r w:rsidR="00C42DBE">
        <w:t xml:space="preserve"> sin duda</w:t>
      </w:r>
      <w:r w:rsidR="008A5F81">
        <w:t xml:space="preserve"> va a exigir a nuestros gobernantes políticas y acciones positivas concretas </w:t>
      </w:r>
      <w:r w:rsidR="00C42DBE">
        <w:t xml:space="preserve">y a nuestro legislador, la plasmación normativa de esas políticas, junto con la actuación de las Administraciones Públicas en </w:t>
      </w:r>
      <w:r w:rsidR="008B2B80">
        <w:t>la ejecución de unas y de otras.</w:t>
      </w:r>
    </w:p>
    <w:p w:rsidR="008B2B80" w:rsidRDefault="008B2B80" w:rsidP="008B2B80">
      <w:pPr>
        <w:ind w:firstLine="360"/>
        <w:jc w:val="both"/>
      </w:pPr>
    </w:p>
    <w:p w:rsidR="00E60A59" w:rsidRPr="00E60A59" w:rsidRDefault="00240A6C" w:rsidP="0010295D">
      <w:pPr>
        <w:pStyle w:val="Prrafodelista"/>
        <w:numPr>
          <w:ilvl w:val="0"/>
          <w:numId w:val="7"/>
        </w:numPr>
        <w:jc w:val="both"/>
      </w:pPr>
      <w:r w:rsidRPr="00240A6C">
        <w:rPr>
          <w:b/>
        </w:rPr>
        <w:t>BIBLIOGRAFÍA</w:t>
      </w:r>
    </w:p>
    <w:p w:rsidR="00FD7851" w:rsidRDefault="00B21EE4" w:rsidP="00FD7851">
      <w:pPr>
        <w:ind w:firstLine="360"/>
        <w:jc w:val="both"/>
        <w:rPr>
          <w:color w:val="000000"/>
        </w:rPr>
      </w:pPr>
      <w:r w:rsidRPr="00E60A59">
        <w:rPr>
          <w:color w:val="000000"/>
        </w:rPr>
        <w:t xml:space="preserve">Martínez, V. (1989). Profesor del Trabajo de la Universidad de Barcelona. </w:t>
      </w:r>
      <w:r w:rsidRPr="00E60A59">
        <w:rPr>
          <w:i/>
          <w:color w:val="000000"/>
        </w:rPr>
        <w:t xml:space="preserve">Relaciones laborales: </w:t>
      </w:r>
      <w:r w:rsidRPr="00E60A59">
        <w:rPr>
          <w:color w:val="000000"/>
        </w:rPr>
        <w:t>Editorial La Ley 849/2001</w:t>
      </w:r>
      <w:r w:rsidR="00E60A59">
        <w:rPr>
          <w:color w:val="000000"/>
        </w:rPr>
        <w:t>.</w:t>
      </w:r>
    </w:p>
    <w:p w:rsidR="00FD7851" w:rsidRDefault="00B21EE4" w:rsidP="00FD7851">
      <w:pPr>
        <w:ind w:firstLine="360"/>
        <w:jc w:val="both"/>
        <w:rPr>
          <w:color w:val="000000"/>
        </w:rPr>
      </w:pPr>
      <w:r>
        <w:rPr>
          <w:color w:val="000000"/>
        </w:rPr>
        <w:t xml:space="preserve">García, I. (2008). </w:t>
      </w:r>
      <w:r>
        <w:rPr>
          <w:i/>
          <w:color w:val="000000"/>
        </w:rPr>
        <w:t xml:space="preserve">Relaciones laborales. </w:t>
      </w:r>
      <w:r>
        <w:rPr>
          <w:color w:val="000000"/>
        </w:rPr>
        <w:t xml:space="preserve">Editorial </w:t>
      </w:r>
      <w:proofErr w:type="spellStart"/>
      <w:r>
        <w:rPr>
          <w:color w:val="000000"/>
        </w:rPr>
        <w:t>WoltersKluwer</w:t>
      </w:r>
      <w:proofErr w:type="spellEnd"/>
      <w:r>
        <w:rPr>
          <w:color w:val="000000"/>
        </w:rPr>
        <w:t xml:space="preserve"> La Ley 823/2008</w:t>
      </w:r>
      <w:r w:rsidR="00E60A59">
        <w:rPr>
          <w:color w:val="000000"/>
        </w:rPr>
        <w:t>.</w:t>
      </w:r>
    </w:p>
    <w:p w:rsidR="00FD7851" w:rsidRDefault="00B21EE4" w:rsidP="00FD7851">
      <w:pPr>
        <w:ind w:firstLine="360"/>
        <w:jc w:val="both"/>
        <w:rPr>
          <w:color w:val="000000"/>
        </w:rPr>
      </w:pPr>
      <w:r>
        <w:rPr>
          <w:color w:val="000000"/>
        </w:rPr>
        <w:lastRenderedPageBreak/>
        <w:t>R</w:t>
      </w:r>
      <w:r w:rsidR="00843B6D">
        <w:rPr>
          <w:color w:val="000000"/>
        </w:rPr>
        <w:t>odrí</w:t>
      </w:r>
      <w:r>
        <w:rPr>
          <w:color w:val="000000"/>
        </w:rPr>
        <w:t>guez, G.</w:t>
      </w:r>
      <w:r w:rsidR="00843B6D">
        <w:rPr>
          <w:color w:val="000000"/>
        </w:rPr>
        <w:t xml:space="preserve"> (2008). Profesora de Derecho Mercantil de la Universidad de Valladolid. </w:t>
      </w:r>
      <w:r w:rsidR="00843B6D">
        <w:rPr>
          <w:i/>
          <w:color w:val="000000"/>
        </w:rPr>
        <w:t>Revista de Derecho de la Competencia y la Distribución.</w:t>
      </w:r>
      <w:r w:rsidR="00843B6D">
        <w:rPr>
          <w:color w:val="000000"/>
        </w:rPr>
        <w:t xml:space="preserve"> Editorial </w:t>
      </w:r>
      <w:proofErr w:type="spellStart"/>
      <w:r w:rsidR="00843B6D">
        <w:rPr>
          <w:color w:val="000000"/>
        </w:rPr>
        <w:t>WoltersKluwer</w:t>
      </w:r>
      <w:proofErr w:type="spellEnd"/>
      <w:r w:rsidR="00843B6D">
        <w:rPr>
          <w:color w:val="000000"/>
        </w:rPr>
        <w:t xml:space="preserve"> La Ley 23136/2008</w:t>
      </w:r>
      <w:r w:rsidR="00FD7851">
        <w:rPr>
          <w:color w:val="000000"/>
        </w:rPr>
        <w:t>.</w:t>
      </w:r>
    </w:p>
    <w:p w:rsidR="00240A6C" w:rsidRPr="00FD7851" w:rsidRDefault="004E1776" w:rsidP="00FD7851">
      <w:pPr>
        <w:ind w:firstLine="360"/>
        <w:jc w:val="both"/>
      </w:pPr>
      <w:r>
        <w:rPr>
          <w:iCs/>
          <w:szCs w:val="18"/>
        </w:rPr>
        <w:t>V</w:t>
      </w:r>
      <w:r w:rsidR="00240A6C" w:rsidRPr="00843B6D">
        <w:rPr>
          <w:iCs/>
          <w:szCs w:val="18"/>
        </w:rPr>
        <w:t xml:space="preserve">id. Acosta </w:t>
      </w:r>
      <w:r w:rsidR="000D33F7" w:rsidRPr="00843B6D">
        <w:rPr>
          <w:iCs/>
          <w:szCs w:val="18"/>
        </w:rPr>
        <w:t>Estévez</w:t>
      </w:r>
      <w:r w:rsidR="00240A6C" w:rsidRPr="00843B6D">
        <w:rPr>
          <w:iCs/>
          <w:szCs w:val="18"/>
        </w:rPr>
        <w:t xml:space="preserve">, J.A. (1989). </w:t>
      </w:r>
      <w:r w:rsidR="00240A6C" w:rsidRPr="00843B6D">
        <w:rPr>
          <w:i/>
          <w:szCs w:val="18"/>
        </w:rPr>
        <w:t>Tratamiento jurídico de la publicidad ilícita en el nuevo Derecho de</w:t>
      </w:r>
      <w:r w:rsidR="00240A6C">
        <w:rPr>
          <w:i/>
          <w:szCs w:val="18"/>
        </w:rPr>
        <w:t xml:space="preserve"> la publicidad.</w:t>
      </w:r>
    </w:p>
    <w:p w:rsidR="00240A6C" w:rsidRDefault="00240A6C" w:rsidP="004E1776">
      <w:pPr>
        <w:pStyle w:val="parrafo"/>
        <w:shd w:val="clear" w:color="auto" w:fill="FFFFFF"/>
        <w:spacing w:before="180" w:beforeAutospacing="0" w:after="180" w:afterAutospacing="0" w:line="360" w:lineRule="auto"/>
        <w:ind w:firstLine="357"/>
        <w:jc w:val="both"/>
        <w:rPr>
          <w:rStyle w:val="Hipervnculo"/>
        </w:rPr>
      </w:pPr>
      <w:r>
        <w:rPr>
          <w:szCs w:val="18"/>
        </w:rPr>
        <w:t>Hernández, Y. (2006). Universidad de Oriente</w:t>
      </w:r>
      <w:r w:rsidRPr="00240A6C">
        <w:rPr>
          <w:i/>
          <w:szCs w:val="18"/>
        </w:rPr>
        <w:t>. Nómadas</w:t>
      </w:r>
      <w:r>
        <w:rPr>
          <w:szCs w:val="18"/>
        </w:rPr>
        <w:t xml:space="preserve">. Revista de Ciencias Sociales y Jurídicas. </w:t>
      </w:r>
      <w:hyperlink r:id="rId9" w:history="1">
        <w:r w:rsidRPr="00055186">
          <w:rPr>
            <w:rStyle w:val="Hipervnculo"/>
          </w:rPr>
          <w:t>https://webs.ucm.es/info/nomadas/13/yhgarcia.pdf</w:t>
        </w:r>
      </w:hyperlink>
      <w:r>
        <w:rPr>
          <w:rStyle w:val="Hipervnculo"/>
        </w:rPr>
        <w:t>.</w:t>
      </w:r>
    </w:p>
    <w:p w:rsidR="00E60A59" w:rsidRDefault="00240A6C" w:rsidP="004E1776">
      <w:pPr>
        <w:pStyle w:val="parrafo"/>
        <w:shd w:val="clear" w:color="auto" w:fill="FFFFFF"/>
        <w:spacing w:before="180" w:beforeAutospacing="0" w:after="180" w:afterAutospacing="0" w:line="360" w:lineRule="auto"/>
        <w:ind w:firstLine="357"/>
        <w:jc w:val="both"/>
        <w:rPr>
          <w:rStyle w:val="Hipervnculo"/>
          <w:color w:val="auto"/>
          <w:u w:val="none"/>
        </w:rPr>
      </w:pPr>
      <w:r>
        <w:rPr>
          <w:rStyle w:val="Hipervnculo"/>
          <w:color w:val="auto"/>
          <w:u w:val="none"/>
        </w:rPr>
        <w:t xml:space="preserve">Suárez-Mira, C y </w:t>
      </w:r>
      <w:proofErr w:type="spellStart"/>
      <w:r>
        <w:rPr>
          <w:rStyle w:val="Hipervnculo"/>
          <w:color w:val="auto"/>
          <w:u w:val="none"/>
        </w:rPr>
        <w:t>Judel</w:t>
      </w:r>
      <w:proofErr w:type="spellEnd"/>
      <w:r>
        <w:rPr>
          <w:rStyle w:val="Hipervnculo"/>
          <w:color w:val="auto"/>
          <w:u w:val="none"/>
        </w:rPr>
        <w:t xml:space="preserve">, A. y </w:t>
      </w:r>
      <w:proofErr w:type="spellStart"/>
      <w:r>
        <w:rPr>
          <w:rStyle w:val="Hipervnculo"/>
          <w:color w:val="auto"/>
          <w:u w:val="none"/>
        </w:rPr>
        <w:t>Piñol</w:t>
      </w:r>
      <w:proofErr w:type="spellEnd"/>
      <w:r>
        <w:rPr>
          <w:rStyle w:val="Hipervnculo"/>
          <w:color w:val="auto"/>
          <w:u w:val="none"/>
        </w:rPr>
        <w:t>, JR (2011). Tratados y Manuales (</w:t>
      </w:r>
      <w:proofErr w:type="spellStart"/>
      <w:r>
        <w:rPr>
          <w:rStyle w:val="Hipervnculo"/>
          <w:color w:val="auto"/>
          <w:u w:val="none"/>
        </w:rPr>
        <w:t>Civitas</w:t>
      </w:r>
      <w:proofErr w:type="spellEnd"/>
      <w:r>
        <w:rPr>
          <w:rStyle w:val="Hipervnculo"/>
          <w:color w:val="auto"/>
          <w:u w:val="none"/>
        </w:rPr>
        <w:t xml:space="preserve">). </w:t>
      </w:r>
      <w:r>
        <w:rPr>
          <w:rStyle w:val="Hipervnculo"/>
          <w:i/>
          <w:color w:val="auto"/>
          <w:u w:val="none"/>
        </w:rPr>
        <w:t xml:space="preserve">Manual de Derecho Penal. Tomo II. Parte Especial. </w:t>
      </w:r>
      <w:r>
        <w:rPr>
          <w:rStyle w:val="Hipervnculo"/>
          <w:color w:val="auto"/>
          <w:u w:val="none"/>
        </w:rPr>
        <w:t>Editorial Aranzadi BIB 2011/1578.</w:t>
      </w:r>
    </w:p>
    <w:p w:rsidR="00E06DD3" w:rsidRDefault="004E1776" w:rsidP="00E06DD3">
      <w:pPr>
        <w:pStyle w:val="parrafo"/>
        <w:shd w:val="clear" w:color="auto" w:fill="FFFFFF"/>
        <w:spacing w:before="180" w:beforeAutospacing="0" w:after="180" w:afterAutospacing="0" w:line="360" w:lineRule="auto"/>
        <w:ind w:firstLine="357"/>
        <w:jc w:val="both"/>
        <w:rPr>
          <w:rStyle w:val="Hipervnculo"/>
          <w:color w:val="auto"/>
          <w:u w:val="none"/>
        </w:rPr>
      </w:pPr>
      <w:proofErr w:type="spellStart"/>
      <w:r>
        <w:rPr>
          <w:rStyle w:val="Hipervnculo"/>
          <w:color w:val="auto"/>
          <w:u w:val="none"/>
        </w:rPr>
        <w:t>Marí</w:t>
      </w:r>
      <w:proofErr w:type="spellEnd"/>
      <w:r>
        <w:rPr>
          <w:rStyle w:val="Hipervnculo"/>
          <w:color w:val="auto"/>
          <w:u w:val="none"/>
        </w:rPr>
        <w:t xml:space="preserve">, F. (2018). Magistrado-Juez del juzgado de Instrucción número 1. Editorial </w:t>
      </w:r>
      <w:proofErr w:type="spellStart"/>
      <w:r>
        <w:rPr>
          <w:rStyle w:val="Hipervnculo"/>
          <w:color w:val="auto"/>
          <w:u w:val="none"/>
        </w:rPr>
        <w:t>WoltersKluwer</w:t>
      </w:r>
      <w:proofErr w:type="spellEnd"/>
      <w:r>
        <w:rPr>
          <w:rStyle w:val="Hipervnculo"/>
          <w:color w:val="auto"/>
          <w:u w:val="none"/>
        </w:rPr>
        <w:t xml:space="preserve"> La Ley403/2018</w:t>
      </w:r>
    </w:p>
    <w:p w:rsidR="00E06DD3" w:rsidRDefault="004E1776" w:rsidP="00E06DD3">
      <w:pPr>
        <w:pStyle w:val="parrafo"/>
        <w:shd w:val="clear" w:color="auto" w:fill="FFFFFF"/>
        <w:spacing w:before="180" w:beforeAutospacing="0" w:after="180" w:afterAutospacing="0" w:line="360" w:lineRule="auto"/>
        <w:ind w:firstLine="357"/>
        <w:jc w:val="both"/>
        <w:rPr>
          <w:color w:val="000000"/>
        </w:rPr>
      </w:pPr>
      <w:r w:rsidRPr="00E06DD3">
        <w:rPr>
          <w:iCs/>
          <w:color w:val="000000"/>
        </w:rPr>
        <w:t>Vid Chicano, E., Sánchez de Lara, C</w:t>
      </w:r>
      <w:r w:rsidRPr="00E06DD3">
        <w:rPr>
          <w:color w:val="000000"/>
        </w:rPr>
        <w:t xml:space="preserve">., y otros (2007). </w:t>
      </w:r>
      <w:r w:rsidRPr="00E06DD3">
        <w:rPr>
          <w:i/>
          <w:iCs/>
          <w:color w:val="000000"/>
        </w:rPr>
        <w:t>Legislación sobre violencia de género</w:t>
      </w:r>
      <w:r w:rsidRPr="00E06DD3">
        <w:rPr>
          <w:color w:val="000000"/>
        </w:rPr>
        <w:t>. Editorial Aranzadi.</w:t>
      </w:r>
    </w:p>
    <w:p w:rsidR="00E06DD3" w:rsidRDefault="00E06DD3" w:rsidP="00E06DD3">
      <w:pPr>
        <w:pStyle w:val="parrafo"/>
        <w:shd w:val="clear" w:color="auto" w:fill="FFFFFF"/>
        <w:spacing w:before="180" w:beforeAutospacing="0" w:after="180" w:afterAutospacing="0" w:line="360" w:lineRule="auto"/>
        <w:ind w:firstLine="357"/>
        <w:jc w:val="both"/>
        <w:rPr>
          <w:color w:val="000000"/>
        </w:rPr>
      </w:pPr>
      <w:proofErr w:type="spellStart"/>
      <w:r w:rsidRPr="00E06DD3">
        <w:rPr>
          <w:color w:val="000000"/>
        </w:rPr>
        <w:t>Magariños</w:t>
      </w:r>
      <w:proofErr w:type="spellEnd"/>
      <w:r w:rsidRPr="00E06DD3">
        <w:rPr>
          <w:color w:val="000000"/>
        </w:rPr>
        <w:t>,</w:t>
      </w:r>
      <w:r w:rsidR="004E1776" w:rsidRPr="00E06DD3">
        <w:rPr>
          <w:color w:val="000000"/>
          <w:szCs w:val="20"/>
        </w:rPr>
        <w:t xml:space="preserve"> J.A.</w:t>
      </w:r>
      <w:r w:rsidRPr="00E06DD3">
        <w:rPr>
          <w:color w:val="000000"/>
        </w:rPr>
        <w:t xml:space="preserve"> (2007)</w:t>
      </w:r>
      <w:r w:rsidR="004E1776" w:rsidRPr="00E06DD3">
        <w:rPr>
          <w:color w:val="000000"/>
          <w:szCs w:val="20"/>
        </w:rPr>
        <w:t>: </w:t>
      </w:r>
      <w:r w:rsidR="004E1776" w:rsidRPr="00E06DD3">
        <w:rPr>
          <w:i/>
          <w:iCs/>
          <w:color w:val="000000"/>
          <w:szCs w:val="20"/>
        </w:rPr>
        <w:t>El Derecho contra la violencia de género (Análisis de la respuesta del ordenamiento jurídico internacional, comunitario, comparado, español y autonómico. Enfoque multidisciplinar del problema)</w:t>
      </w:r>
      <w:r w:rsidRPr="00E06DD3">
        <w:rPr>
          <w:color w:val="000000"/>
        </w:rPr>
        <w:t>.</w:t>
      </w:r>
    </w:p>
    <w:p w:rsidR="00064D1C" w:rsidRDefault="00E06DD3" w:rsidP="00064D1C">
      <w:pPr>
        <w:pStyle w:val="parrafo"/>
        <w:shd w:val="clear" w:color="auto" w:fill="FFFFFF"/>
        <w:spacing w:before="180" w:beforeAutospacing="0" w:after="180" w:afterAutospacing="0" w:line="360" w:lineRule="auto"/>
        <w:ind w:firstLine="357"/>
        <w:jc w:val="both"/>
        <w:rPr>
          <w:color w:val="000000"/>
        </w:rPr>
      </w:pPr>
      <w:r w:rsidRPr="00E06DD3">
        <w:rPr>
          <w:color w:val="000000"/>
        </w:rPr>
        <w:t>Machado, M.D. (2010). La perspectiva de género en Derecho Comparado. “</w:t>
      </w:r>
      <w:r w:rsidRPr="00E06DD3">
        <w:rPr>
          <w:i/>
          <w:iCs/>
          <w:color w:val="000000"/>
        </w:rPr>
        <w:t xml:space="preserve">La Violencia de Género en la Ley. Reflexiones sobre veinte años de experiencia en España”. Editorial </w:t>
      </w:r>
      <w:proofErr w:type="spellStart"/>
      <w:r w:rsidRPr="00E06DD3">
        <w:rPr>
          <w:i/>
          <w:iCs/>
          <w:color w:val="000000"/>
        </w:rPr>
        <w:t>Dykinson</w:t>
      </w:r>
      <w:proofErr w:type="spellEnd"/>
      <w:r w:rsidRPr="00E06DD3">
        <w:rPr>
          <w:i/>
          <w:iCs/>
          <w:color w:val="000000"/>
        </w:rPr>
        <w:t>.</w:t>
      </w:r>
    </w:p>
    <w:p w:rsidR="004C6089" w:rsidRDefault="00E06DD3" w:rsidP="00466E9F">
      <w:pPr>
        <w:pStyle w:val="parrafo"/>
        <w:shd w:val="clear" w:color="auto" w:fill="FFFFFF"/>
        <w:spacing w:before="180" w:beforeAutospacing="0" w:after="180" w:afterAutospacing="0" w:line="360" w:lineRule="auto"/>
        <w:ind w:firstLine="357"/>
        <w:jc w:val="both"/>
        <w:rPr>
          <w:i/>
          <w:color w:val="000000"/>
        </w:rPr>
      </w:pPr>
      <w:proofErr w:type="spellStart"/>
      <w:r w:rsidRPr="00E06DD3">
        <w:rPr>
          <w:color w:val="000000"/>
        </w:rPr>
        <w:t>Martinez</w:t>
      </w:r>
      <w:proofErr w:type="spellEnd"/>
      <w:r w:rsidRPr="00E06DD3">
        <w:rPr>
          <w:color w:val="000000"/>
        </w:rPr>
        <w:t xml:space="preserve">, E. (2013) </w:t>
      </w:r>
      <w:r w:rsidRPr="00E06DD3">
        <w:rPr>
          <w:i/>
          <w:color w:val="000000"/>
        </w:rPr>
        <w:t>“La experiencia española en la prevención y erradicación de los delitos de violencia de género: perspectivas de futuro en un marco comparativo europeo”</w:t>
      </w:r>
    </w:p>
    <w:p w:rsidR="00591F02" w:rsidRPr="00591F02" w:rsidRDefault="00591F02" w:rsidP="00466E9F">
      <w:pPr>
        <w:pStyle w:val="parrafo"/>
        <w:shd w:val="clear" w:color="auto" w:fill="FFFFFF"/>
        <w:spacing w:before="180" w:beforeAutospacing="0" w:after="180" w:afterAutospacing="0" w:line="360" w:lineRule="auto"/>
        <w:ind w:firstLine="357"/>
        <w:jc w:val="both"/>
        <w:rPr>
          <w:color w:val="000000"/>
        </w:rPr>
      </w:pPr>
      <w:r>
        <w:rPr>
          <w:color w:val="000000"/>
        </w:rPr>
        <w:t xml:space="preserve">Sánchez Bermejo. (2016). Abogados Málaga. Materia Penal. </w:t>
      </w:r>
      <w:r w:rsidRPr="00591F02">
        <w:rPr>
          <w:i/>
          <w:color w:val="000000"/>
        </w:rPr>
        <w:t>“Delito de violencia de género”.</w:t>
      </w:r>
    </w:p>
    <w:p w:rsidR="00064D1C" w:rsidRDefault="00064D1C" w:rsidP="00E06DD3">
      <w:pPr>
        <w:pStyle w:val="Textonotapie"/>
        <w:spacing w:line="360" w:lineRule="auto"/>
        <w:ind w:firstLine="357"/>
        <w:jc w:val="both"/>
        <w:rPr>
          <w:color w:val="000000"/>
          <w:sz w:val="24"/>
          <w:szCs w:val="24"/>
        </w:rPr>
      </w:pPr>
      <w:r w:rsidRPr="00064D1C">
        <w:rPr>
          <w:color w:val="000000"/>
          <w:sz w:val="24"/>
          <w:szCs w:val="24"/>
        </w:rPr>
        <w:t>Páginas webs de interés:</w:t>
      </w:r>
    </w:p>
    <w:p w:rsidR="00064D1C" w:rsidRPr="00064D1C" w:rsidRDefault="00CF0C33" w:rsidP="00064D1C">
      <w:pPr>
        <w:pStyle w:val="Textonotapie"/>
        <w:numPr>
          <w:ilvl w:val="0"/>
          <w:numId w:val="33"/>
        </w:numPr>
        <w:spacing w:line="360" w:lineRule="auto"/>
        <w:jc w:val="both"/>
        <w:rPr>
          <w:rStyle w:val="Hipervnculo"/>
          <w:color w:val="000000"/>
          <w:sz w:val="32"/>
          <w:szCs w:val="24"/>
          <w:u w:val="none"/>
        </w:rPr>
      </w:pPr>
      <w:hyperlink r:id="rId10" w:history="1">
        <w:r w:rsidR="00E65341" w:rsidRPr="00064D1C">
          <w:rPr>
            <w:rStyle w:val="Hipervnculo"/>
            <w:sz w:val="24"/>
          </w:rPr>
          <w:t>www.boe.es</w:t>
        </w:r>
      </w:hyperlink>
    </w:p>
    <w:p w:rsidR="00064D1C" w:rsidRPr="00064D1C" w:rsidRDefault="00CF0C33" w:rsidP="00064D1C">
      <w:pPr>
        <w:pStyle w:val="Textonotapie"/>
        <w:numPr>
          <w:ilvl w:val="0"/>
          <w:numId w:val="33"/>
        </w:numPr>
        <w:spacing w:line="360" w:lineRule="auto"/>
        <w:jc w:val="both"/>
        <w:rPr>
          <w:rStyle w:val="Hipervnculo"/>
          <w:color w:val="000000"/>
          <w:sz w:val="40"/>
          <w:szCs w:val="24"/>
          <w:u w:val="none"/>
        </w:rPr>
      </w:pPr>
      <w:hyperlink r:id="rId11" w:history="1">
        <w:r w:rsidR="00E60A59" w:rsidRPr="00064D1C">
          <w:rPr>
            <w:rStyle w:val="Hipervnculo"/>
            <w:sz w:val="24"/>
          </w:rPr>
          <w:t>http://www.un.org/womenwatch/daw/beijing/pdf/Beijing</w:t>
        </w:r>
      </w:hyperlink>
    </w:p>
    <w:p w:rsidR="004E1776" w:rsidRDefault="00CF0C33" w:rsidP="00064D1C">
      <w:pPr>
        <w:pStyle w:val="parrafo"/>
        <w:numPr>
          <w:ilvl w:val="0"/>
          <w:numId w:val="33"/>
        </w:numPr>
        <w:shd w:val="clear" w:color="auto" w:fill="FFFFFF"/>
        <w:spacing w:before="180" w:beforeAutospacing="0" w:after="180" w:afterAutospacing="0" w:line="360" w:lineRule="auto"/>
        <w:jc w:val="both"/>
      </w:pPr>
      <w:hyperlink r:id="rId12" w:history="1">
        <w:r w:rsidR="00E60A59" w:rsidRPr="00E60A59">
          <w:rPr>
            <w:rStyle w:val="Hipervnculo"/>
          </w:rPr>
          <w:t>http://www.ohchr.org/SP/ProfessionalInterest/Pages/ViolenceAgainstWomen.aspx</w:t>
        </w:r>
      </w:hyperlink>
    </w:p>
    <w:p w:rsidR="004E1776" w:rsidRDefault="00CF0C33" w:rsidP="00064D1C">
      <w:pPr>
        <w:pStyle w:val="parrafo"/>
        <w:numPr>
          <w:ilvl w:val="0"/>
          <w:numId w:val="33"/>
        </w:numPr>
        <w:shd w:val="clear" w:color="auto" w:fill="FFFFFF"/>
        <w:spacing w:before="180" w:beforeAutospacing="0" w:after="180" w:afterAutospacing="0" w:line="360" w:lineRule="auto"/>
        <w:jc w:val="both"/>
        <w:rPr>
          <w:rStyle w:val="Hipervnculo"/>
        </w:rPr>
      </w:pPr>
      <w:hyperlink r:id="rId13" w:history="1">
        <w:r w:rsidR="004E1776" w:rsidRPr="00AA4FE0">
          <w:rPr>
            <w:rStyle w:val="Hipervnculo"/>
          </w:rPr>
          <w:t>http://www.juntadeandalucia.es/export/drupaljda/Violencia_Genero_Documentacion_Red_Ciudadana_folleto.pdf</w:t>
        </w:r>
      </w:hyperlink>
    </w:p>
    <w:p w:rsidR="00240A6C" w:rsidRPr="00787441" w:rsidRDefault="00CF0C33" w:rsidP="00064D1C">
      <w:pPr>
        <w:pStyle w:val="parrafo"/>
        <w:numPr>
          <w:ilvl w:val="0"/>
          <w:numId w:val="33"/>
        </w:numPr>
        <w:shd w:val="clear" w:color="auto" w:fill="FFFFFF"/>
        <w:spacing w:before="180" w:beforeAutospacing="0" w:after="180" w:afterAutospacing="0" w:line="360" w:lineRule="auto"/>
        <w:jc w:val="both"/>
        <w:rPr>
          <w:rStyle w:val="Hipervnculo"/>
          <w:color w:val="auto"/>
          <w:u w:val="none"/>
        </w:rPr>
      </w:pPr>
      <w:hyperlink r:id="rId14" w:history="1">
        <w:r w:rsidR="004E1776" w:rsidRPr="00233995">
          <w:rPr>
            <w:rStyle w:val="Hipervnculo"/>
          </w:rPr>
          <w:t>http://www.unwomen.org/es/csw</w:t>
        </w:r>
      </w:hyperlink>
    </w:p>
    <w:p w:rsidR="00787441" w:rsidRPr="00787441" w:rsidRDefault="00CF0C33" w:rsidP="00787441">
      <w:pPr>
        <w:pStyle w:val="parrafo"/>
        <w:numPr>
          <w:ilvl w:val="0"/>
          <w:numId w:val="33"/>
        </w:numPr>
        <w:shd w:val="clear" w:color="auto" w:fill="FFFFFF"/>
        <w:spacing w:before="180" w:beforeAutospacing="0" w:after="180" w:afterAutospacing="0" w:line="360" w:lineRule="auto"/>
        <w:jc w:val="both"/>
        <w:rPr>
          <w:rStyle w:val="Hipervnculo"/>
          <w:color w:val="auto"/>
          <w:u w:val="none"/>
        </w:rPr>
      </w:pPr>
      <w:hyperlink r:id="rId15" w:history="1">
        <w:r w:rsidR="00787441" w:rsidRPr="00055186">
          <w:rPr>
            <w:rStyle w:val="Hipervnculo"/>
          </w:rPr>
          <w:t>https://www.juntadeandalucia.es/institutodelamujer/ugen/node/262</w:t>
        </w:r>
      </w:hyperlink>
    </w:p>
    <w:p w:rsidR="00787441" w:rsidRPr="00B836DF" w:rsidRDefault="00CF0C33" w:rsidP="00787441">
      <w:pPr>
        <w:pStyle w:val="parrafo"/>
        <w:numPr>
          <w:ilvl w:val="0"/>
          <w:numId w:val="33"/>
        </w:numPr>
        <w:shd w:val="clear" w:color="auto" w:fill="FFFFFF"/>
        <w:spacing w:before="180" w:beforeAutospacing="0" w:after="180" w:afterAutospacing="0" w:line="360" w:lineRule="auto"/>
        <w:jc w:val="both"/>
        <w:rPr>
          <w:rStyle w:val="Hipervnculo"/>
          <w:color w:val="auto"/>
          <w:u w:val="none"/>
        </w:rPr>
      </w:pPr>
      <w:hyperlink r:id="rId16" w:history="1">
        <w:r w:rsidR="00787441" w:rsidRPr="00866862">
          <w:rPr>
            <w:rStyle w:val="Hipervnculo"/>
          </w:rPr>
          <w:t>www.juntadeandalucia.es</w:t>
        </w:r>
      </w:hyperlink>
    </w:p>
    <w:p w:rsidR="00B836DF" w:rsidRPr="00466E9F" w:rsidRDefault="00CF0C33" w:rsidP="00787441">
      <w:pPr>
        <w:pStyle w:val="parrafo"/>
        <w:numPr>
          <w:ilvl w:val="0"/>
          <w:numId w:val="33"/>
        </w:numPr>
        <w:shd w:val="clear" w:color="auto" w:fill="FFFFFF"/>
        <w:spacing w:before="180" w:beforeAutospacing="0" w:after="180" w:afterAutospacing="0" w:line="360" w:lineRule="auto"/>
        <w:jc w:val="both"/>
        <w:rPr>
          <w:rStyle w:val="Hipervnculo"/>
          <w:color w:val="auto"/>
          <w:u w:val="none"/>
        </w:rPr>
      </w:pPr>
      <w:hyperlink r:id="rId17" w:history="1">
        <w:r w:rsidR="00466E9F" w:rsidRPr="00424A10">
          <w:rPr>
            <w:rStyle w:val="Hipervnculo"/>
          </w:rPr>
          <w:t>www.reverso.net</w:t>
        </w:r>
      </w:hyperlink>
    </w:p>
    <w:p w:rsidR="00643EAF" w:rsidRPr="00643EAF" w:rsidRDefault="00CF0C33" w:rsidP="00643EAF">
      <w:pPr>
        <w:pStyle w:val="parrafo"/>
        <w:numPr>
          <w:ilvl w:val="0"/>
          <w:numId w:val="33"/>
        </w:numPr>
        <w:shd w:val="clear" w:color="auto" w:fill="FFFFFF"/>
        <w:spacing w:before="180" w:beforeAutospacing="0" w:after="180" w:afterAutospacing="0" w:line="360" w:lineRule="auto"/>
        <w:jc w:val="both"/>
      </w:pPr>
      <w:hyperlink r:id="rId18" w:history="1">
        <w:r w:rsidR="00643EAF" w:rsidRPr="00EA553D">
          <w:rPr>
            <w:rStyle w:val="Hipervnculo"/>
          </w:rPr>
          <w:t>http://hj.tribunalconstitucional.es/es/Resolucion/Show/1707</w:t>
        </w:r>
      </w:hyperlink>
      <w:r w:rsidR="00643EAF">
        <w:rPr>
          <w:u w:val="single"/>
        </w:rPr>
        <w:t xml:space="preserve">   </w:t>
      </w:r>
    </w:p>
    <w:p w:rsidR="00643EAF" w:rsidRPr="00643EAF" w:rsidRDefault="00CF0C33" w:rsidP="00643EAF">
      <w:pPr>
        <w:pStyle w:val="parrafo"/>
        <w:numPr>
          <w:ilvl w:val="0"/>
          <w:numId w:val="33"/>
        </w:numPr>
        <w:shd w:val="clear" w:color="auto" w:fill="FFFFFF"/>
        <w:spacing w:before="180" w:beforeAutospacing="0" w:after="180" w:afterAutospacing="0" w:line="360" w:lineRule="auto"/>
        <w:jc w:val="both"/>
      </w:pPr>
      <w:hyperlink r:id="rId19" w:history="1">
        <w:r w:rsidR="00643EAF" w:rsidRPr="00EA553D">
          <w:rPr>
            <w:rStyle w:val="Hipervnculo"/>
          </w:rPr>
          <w:t>https://www.boe.es/buscar/doc.php?id=BOE-A-2015-13388</w:t>
        </w:r>
      </w:hyperlink>
    </w:p>
    <w:p w:rsidR="00643EAF" w:rsidRDefault="00CF0C33" w:rsidP="00643EAF">
      <w:pPr>
        <w:pStyle w:val="parrafo"/>
        <w:numPr>
          <w:ilvl w:val="0"/>
          <w:numId w:val="33"/>
        </w:numPr>
        <w:shd w:val="clear" w:color="auto" w:fill="FFFFFF"/>
        <w:spacing w:before="180" w:beforeAutospacing="0" w:after="180" w:afterAutospacing="0" w:line="360" w:lineRule="auto"/>
        <w:jc w:val="both"/>
      </w:pPr>
      <w:hyperlink r:id="rId20" w:history="1">
        <w:r w:rsidR="00643EAF" w:rsidRPr="00EA553D">
          <w:rPr>
            <w:rStyle w:val="Hipervnculo"/>
          </w:rPr>
          <w:t>http://www.violenciagenero.msssi.gob.es/profesionalesInvestigacion/protocolosAmbitoAutonomico/educativo/docs/protocolo_andalucia_educacion.pdf</w:t>
        </w:r>
      </w:hyperlink>
    </w:p>
    <w:p w:rsidR="00643EAF" w:rsidRPr="00643EAF" w:rsidRDefault="00643EAF" w:rsidP="00643EAF">
      <w:pPr>
        <w:pStyle w:val="parrafo"/>
        <w:shd w:val="clear" w:color="auto" w:fill="FFFFFF"/>
        <w:spacing w:before="180" w:beforeAutospacing="0" w:after="180" w:afterAutospacing="0" w:line="360" w:lineRule="auto"/>
        <w:ind w:left="1068"/>
        <w:jc w:val="both"/>
      </w:pPr>
    </w:p>
    <w:p w:rsidR="00643EAF" w:rsidRPr="00643EAF" w:rsidRDefault="00643EAF" w:rsidP="00643EAF">
      <w:pPr>
        <w:pStyle w:val="parrafo"/>
        <w:shd w:val="clear" w:color="auto" w:fill="FFFFFF"/>
        <w:spacing w:before="180" w:beforeAutospacing="0" w:after="180" w:afterAutospacing="0" w:line="360" w:lineRule="auto"/>
        <w:ind w:left="1068"/>
        <w:jc w:val="both"/>
      </w:pPr>
    </w:p>
    <w:p w:rsidR="00466E9F" w:rsidRDefault="00466E9F" w:rsidP="00466E9F">
      <w:pPr>
        <w:pStyle w:val="parrafo"/>
        <w:shd w:val="clear" w:color="auto" w:fill="FFFFFF"/>
        <w:spacing w:before="180" w:beforeAutospacing="0" w:after="180" w:afterAutospacing="0" w:line="360" w:lineRule="auto"/>
        <w:ind w:left="1068"/>
        <w:jc w:val="both"/>
        <w:rPr>
          <w:rStyle w:val="Hipervnculo"/>
          <w:color w:val="auto"/>
          <w:u w:val="none"/>
        </w:rPr>
      </w:pPr>
    </w:p>
    <w:p w:rsidR="00EA7477" w:rsidRDefault="00EA7477" w:rsidP="006C2535">
      <w:pPr>
        <w:jc w:val="both"/>
      </w:pPr>
    </w:p>
    <w:sectPr w:rsidR="00EA7477" w:rsidSect="00D5438E">
      <w:footerReference w:type="default" r:id="rId21"/>
      <w:endnotePr>
        <w:numFmt w:val="decimal"/>
      </w:endnotePr>
      <w:pgSz w:w="11906" w:h="16838"/>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2087" w:rsidRDefault="00E62087" w:rsidP="00D5438E">
      <w:pPr>
        <w:spacing w:after="0" w:line="240" w:lineRule="auto"/>
      </w:pPr>
      <w:r>
        <w:separator/>
      </w:r>
    </w:p>
  </w:endnote>
  <w:endnote w:type="continuationSeparator" w:id="0">
    <w:p w:rsidR="00E62087" w:rsidRDefault="00E62087" w:rsidP="00D54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396351"/>
      <w:docPartObj>
        <w:docPartGallery w:val="Page Numbers (Bottom of Page)"/>
        <w:docPartUnique/>
      </w:docPartObj>
    </w:sdtPr>
    <w:sdtContent>
      <w:p w:rsidR="00CF0C33" w:rsidRDefault="00CF0C33">
        <w:pPr>
          <w:pStyle w:val="Piedepgina"/>
        </w:pPr>
        <w:r>
          <w:fldChar w:fldCharType="begin"/>
        </w:r>
        <w:r>
          <w:instrText>PAGE   \* MERGEFORMAT</w:instrText>
        </w:r>
        <w:r>
          <w:fldChar w:fldCharType="separate"/>
        </w:r>
        <w:r w:rsidR="00C20173">
          <w:rPr>
            <w:noProof/>
          </w:rPr>
          <w:t>32</w:t>
        </w:r>
        <w:r>
          <w:rPr>
            <w:noProof/>
          </w:rPr>
          <w:fldChar w:fldCharType="end"/>
        </w:r>
      </w:p>
    </w:sdtContent>
  </w:sdt>
  <w:p w:rsidR="00CF0C33" w:rsidRDefault="00CF0C3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2087" w:rsidRDefault="00E62087" w:rsidP="00D5438E">
      <w:pPr>
        <w:spacing w:after="0" w:line="240" w:lineRule="auto"/>
      </w:pPr>
      <w:r>
        <w:separator/>
      </w:r>
    </w:p>
  </w:footnote>
  <w:footnote w:type="continuationSeparator" w:id="0">
    <w:p w:rsidR="00E62087" w:rsidRDefault="00E62087" w:rsidP="00D5438E">
      <w:pPr>
        <w:spacing w:after="0" w:line="240" w:lineRule="auto"/>
      </w:pPr>
      <w:r>
        <w:continuationSeparator/>
      </w:r>
    </w:p>
  </w:footnote>
  <w:footnote w:id="1">
    <w:p w:rsidR="00CF0C33" w:rsidRPr="00207AD0" w:rsidRDefault="00CF0C33" w:rsidP="00F26689">
      <w:pPr>
        <w:pStyle w:val="Textonotapie"/>
        <w:jc w:val="both"/>
      </w:pPr>
      <w:r>
        <w:rPr>
          <w:rStyle w:val="Refdenotaalpie"/>
        </w:rPr>
        <w:footnoteRef/>
      </w:r>
      <w:r w:rsidRPr="00F26689">
        <w:t>Artículo 6 de la D</w:t>
      </w:r>
      <w:r>
        <w:t>eclaración de los Derechos del Hombre y del Ciudadano</w:t>
      </w:r>
      <w:r w:rsidRPr="00F26689">
        <w:t xml:space="preserve"> de 1789 </w:t>
      </w:r>
    </w:p>
  </w:footnote>
  <w:footnote w:id="2">
    <w:p w:rsidR="00CF0C33" w:rsidRDefault="00CF0C33" w:rsidP="00267425">
      <w:pPr>
        <w:pStyle w:val="Textonotapie"/>
        <w:jc w:val="both"/>
      </w:pPr>
      <w:r>
        <w:rPr>
          <w:rStyle w:val="Refdenotaalpie"/>
        </w:rPr>
        <w:footnoteRef/>
      </w:r>
      <w:r>
        <w:t xml:space="preserve"> Sentencia 68/1991, de 8 de abril. BOE número 115, de 14 de mayo de 1991, relativa a recurso de amparo número 1121/88</w:t>
      </w:r>
    </w:p>
  </w:footnote>
  <w:footnote w:id="3">
    <w:p w:rsidR="00CF0C33" w:rsidRDefault="00CF0C33" w:rsidP="006D2591">
      <w:pPr>
        <w:pStyle w:val="Textonotapie"/>
        <w:jc w:val="both"/>
      </w:pPr>
      <w:r>
        <w:rPr>
          <w:rStyle w:val="Refdenotaalpie"/>
        </w:rPr>
        <w:footnoteRef/>
      </w:r>
      <w:r>
        <w:t xml:space="preserve"> Auxiliares de enfermería-IPASS, Diputación Provincial de Jaén. Materias comunes. Tema IX</w:t>
      </w:r>
    </w:p>
  </w:footnote>
  <w:footnote w:id="4">
    <w:p w:rsidR="00CF0C33" w:rsidRDefault="00CF0C33" w:rsidP="006D2591">
      <w:pPr>
        <w:pStyle w:val="Textonotapie"/>
        <w:jc w:val="both"/>
      </w:pPr>
      <w:r>
        <w:rPr>
          <w:rStyle w:val="Refdenotaalpie"/>
        </w:rPr>
        <w:footnoteRef/>
      </w:r>
      <w:r>
        <w:t xml:space="preserve"> Hernández García, </w:t>
      </w:r>
      <w:proofErr w:type="spellStart"/>
      <w:r>
        <w:t>Yuliuva</w:t>
      </w:r>
      <w:proofErr w:type="spellEnd"/>
      <w:r>
        <w:t>. Género. Nómadas. Revista crítica de Ciencias Sociales y Jurídicas</w:t>
      </w:r>
    </w:p>
  </w:footnote>
  <w:footnote w:id="5">
    <w:p w:rsidR="00CF0C33" w:rsidRDefault="00CF0C33" w:rsidP="006D2591">
      <w:pPr>
        <w:pStyle w:val="Textonotapie"/>
        <w:jc w:val="both"/>
      </w:pPr>
      <w:r>
        <w:rPr>
          <w:rStyle w:val="Refdenotaalpie"/>
        </w:rPr>
        <w:footnoteRef/>
      </w:r>
      <w:r>
        <w:t xml:space="preserve"> Correa y Guzmán, autores docentes especializados intervinientes en el Manual de Auxiliar de Enfermería </w:t>
      </w:r>
    </w:p>
  </w:footnote>
  <w:footnote w:id="6">
    <w:p w:rsidR="00CF0C33" w:rsidRPr="00CE4AAE" w:rsidRDefault="00CF0C33" w:rsidP="006B79DC">
      <w:pPr>
        <w:pStyle w:val="Textonotapie"/>
        <w:jc w:val="both"/>
        <w:rPr>
          <w:color w:val="000000"/>
          <w:shd w:val="clear" w:color="auto" w:fill="FFFFFF"/>
        </w:rPr>
      </w:pPr>
      <w:r w:rsidRPr="00CE4AAE">
        <w:rPr>
          <w:rStyle w:val="Refdenotaalpie"/>
        </w:rPr>
        <w:footnoteRef/>
      </w:r>
      <w:r w:rsidRPr="00CE4AAE">
        <w:t xml:space="preserve"> Artículo 1.1 CE “</w:t>
      </w:r>
      <w:r w:rsidRPr="00CE4AAE">
        <w:rPr>
          <w:color w:val="000000"/>
          <w:shd w:val="clear" w:color="auto" w:fill="FFFFFF"/>
        </w:rPr>
        <w:t>España se constituye en un Estado social y democrático de Derecho, que propugna como valores superiores de su ordenamiento jurídico la libertad, la justicia, la igualdad y el pluralismo político.”</w:t>
      </w:r>
    </w:p>
  </w:footnote>
  <w:footnote w:id="7">
    <w:p w:rsidR="00CF0C33" w:rsidRPr="00CE4AAE" w:rsidRDefault="00CF0C33" w:rsidP="006B79DC">
      <w:pPr>
        <w:pStyle w:val="Textonotapie"/>
        <w:jc w:val="both"/>
      </w:pPr>
      <w:r w:rsidRPr="00CE4AAE">
        <w:rPr>
          <w:rStyle w:val="Refdenotaalpie"/>
        </w:rPr>
        <w:footnoteRef/>
      </w:r>
      <w:r w:rsidRPr="00CE4AAE">
        <w:t xml:space="preserve"> Artículo 9.2 CE “</w:t>
      </w:r>
      <w:r w:rsidRPr="00CE4AAE">
        <w:rPr>
          <w:color w:val="000000"/>
          <w:shd w:val="clear" w:color="auto" w:fill="FFFFFF"/>
        </w:rPr>
        <w:t>Corresponde a los poderes públicos promover las condiciones para que la libertad y la igualdad del individuo y de los grupos en que se integra sean reales y efectivas; remover los obstáculos que impidan o dificulten su plenitud y facilitar la participación de todos los ciudadanos en la vida política, económica, cultural y social.”</w:t>
      </w:r>
    </w:p>
  </w:footnote>
  <w:footnote w:id="8">
    <w:p w:rsidR="00CF0C33" w:rsidRPr="00CE4AAE" w:rsidRDefault="00CF0C33" w:rsidP="006B79DC">
      <w:pPr>
        <w:pStyle w:val="Textonotapie"/>
        <w:jc w:val="both"/>
      </w:pPr>
      <w:r w:rsidRPr="00CE4AAE">
        <w:rPr>
          <w:rStyle w:val="Refdenotaalpie"/>
        </w:rPr>
        <w:footnoteRef/>
      </w:r>
      <w:r w:rsidRPr="00CE4AAE">
        <w:t xml:space="preserve"> Artículo 14 CE “</w:t>
      </w:r>
      <w:r w:rsidRPr="00CE4AAE">
        <w:rPr>
          <w:color w:val="000000"/>
          <w:shd w:val="clear" w:color="auto" w:fill="FFFFFF"/>
        </w:rPr>
        <w:t>Los españoles son iguales ante la ley, sin que pueda prevalecer discriminación alguna por razón de nacimiento, raza, sexo, religión, opinión o cualquier otra condición o circunstancia personal o social.”</w:t>
      </w:r>
    </w:p>
  </w:footnote>
  <w:footnote w:id="9">
    <w:p w:rsidR="00CF0C33" w:rsidRDefault="00CF0C33" w:rsidP="006B79DC">
      <w:pPr>
        <w:pStyle w:val="Textonotapie"/>
        <w:jc w:val="both"/>
      </w:pPr>
      <w:r w:rsidRPr="00CE4AAE">
        <w:rPr>
          <w:rStyle w:val="Refdenotaalpie"/>
        </w:rPr>
        <w:footnoteRef/>
      </w:r>
      <w:r w:rsidRPr="00CE4AAE">
        <w:t xml:space="preserve"> Artículo 53.2 C</w:t>
      </w:r>
      <w:r>
        <w:t xml:space="preserve">onstitución </w:t>
      </w:r>
      <w:r w:rsidRPr="00CE4AAE">
        <w:t>E</w:t>
      </w:r>
      <w:r>
        <w:t>spañola de 1978</w:t>
      </w:r>
    </w:p>
  </w:footnote>
  <w:footnote w:id="10">
    <w:p w:rsidR="00CF0C33" w:rsidRDefault="00CF0C33" w:rsidP="006B79DC">
      <w:pPr>
        <w:pStyle w:val="Textonotapie"/>
        <w:jc w:val="both"/>
      </w:pPr>
      <w:r>
        <w:rPr>
          <w:rStyle w:val="Refdenotaalpie"/>
        </w:rPr>
        <w:footnoteRef/>
      </w:r>
      <w:r>
        <w:t xml:space="preserve"> Artículos 114 y siguientes de la Ley 29/1998, de 13 de julio, reguladora de la Jurisdicción Contencioso-administrativa.</w:t>
      </w:r>
    </w:p>
  </w:footnote>
  <w:footnote w:id="11">
    <w:p w:rsidR="00CF0C33" w:rsidRDefault="00CF0C33" w:rsidP="006B79DC">
      <w:pPr>
        <w:pStyle w:val="Textonotapie"/>
        <w:jc w:val="both"/>
      </w:pPr>
      <w:r>
        <w:rPr>
          <w:rStyle w:val="Refdenotaalpie"/>
        </w:rPr>
        <w:footnoteRef/>
      </w:r>
      <w:r w:rsidRPr="00131B33">
        <w:t>STC 212/1993</w:t>
      </w:r>
      <w:r>
        <w:t>, BOE número 183, de 2 de agosto de 1993. Recurso de amparo.</w:t>
      </w:r>
    </w:p>
  </w:footnote>
  <w:footnote w:id="12">
    <w:p w:rsidR="00CF0C33" w:rsidRDefault="00CF0C33" w:rsidP="00E35ED7">
      <w:pPr>
        <w:pStyle w:val="Textonotapie"/>
        <w:jc w:val="both"/>
      </w:pPr>
      <w:r>
        <w:rPr>
          <w:rStyle w:val="Refdenotaalpie"/>
        </w:rPr>
        <w:footnoteRef/>
      </w:r>
      <w:r>
        <w:t xml:space="preserve"> Constitución Española de 1978, entrada en vigor el 29 de diciembre.</w:t>
      </w:r>
    </w:p>
  </w:footnote>
  <w:footnote w:id="13">
    <w:p w:rsidR="00CF0C33" w:rsidRDefault="00CF0C33" w:rsidP="00E35ED7">
      <w:pPr>
        <w:pStyle w:val="Textonotapie"/>
        <w:jc w:val="both"/>
      </w:pPr>
      <w:r>
        <w:rPr>
          <w:rStyle w:val="Refdenotaalpie"/>
        </w:rPr>
        <w:footnoteRef/>
      </w:r>
      <w:r>
        <w:t xml:space="preserve"> Ley 16/1983, de 24 de octubre, cambiando su denominación por la del Instituto de la Mujer y para la Igualdad de Oportunidades, según lo establecido en el artículo 17 de la Ley 15/2014, de 16 de septiembre</w:t>
      </w:r>
    </w:p>
  </w:footnote>
  <w:footnote w:id="14">
    <w:p w:rsidR="00CF0C33" w:rsidRDefault="00CF0C33" w:rsidP="00E35ED7">
      <w:pPr>
        <w:pStyle w:val="Textonotapie"/>
        <w:jc w:val="both"/>
      </w:pPr>
      <w:r>
        <w:rPr>
          <w:rStyle w:val="Refdenotaalpie"/>
        </w:rPr>
        <w:footnoteRef/>
      </w:r>
      <w:r>
        <w:t xml:space="preserve"> Ley 39/1999, de 5 de noviembre, centrándose en materias tales como contratos de trabajo, cotización a la SS, despidos, excedencias, familia, etc.</w:t>
      </w:r>
    </w:p>
  </w:footnote>
  <w:footnote w:id="15">
    <w:p w:rsidR="00CF0C33" w:rsidRDefault="00CF0C33" w:rsidP="00E35ED7">
      <w:pPr>
        <w:pStyle w:val="Textonotapie"/>
        <w:jc w:val="both"/>
      </w:pPr>
      <w:r>
        <w:rPr>
          <w:rStyle w:val="Refdenotaalpie"/>
        </w:rPr>
        <w:footnoteRef/>
      </w:r>
      <w:r>
        <w:t xml:space="preserve"> Real Decreto 1686/2000, de 6 de octubre, que desarrolla la estructura organizativa y se encuentran la de estudiar la situación de la mujer en los campos legales, educativo, cultural, etc.</w:t>
      </w:r>
    </w:p>
  </w:footnote>
  <w:footnote w:id="16">
    <w:p w:rsidR="00CF0C33" w:rsidRDefault="00CF0C33" w:rsidP="00E35ED7">
      <w:pPr>
        <w:pStyle w:val="Textonotapie"/>
        <w:jc w:val="both"/>
      </w:pPr>
      <w:r>
        <w:rPr>
          <w:rStyle w:val="Refdenotaalpie"/>
        </w:rPr>
        <w:footnoteRef/>
      </w:r>
      <w:r>
        <w:t xml:space="preserve"> Ley 27/2003, de 31 de julio, que desarrolla materias relativas a la Administración de Justicia, Enjuiciamiento Criminal, malos tratos, medidas cautelares, etc.</w:t>
      </w:r>
    </w:p>
  </w:footnote>
  <w:footnote w:id="17">
    <w:p w:rsidR="00CF0C33" w:rsidRDefault="00CF0C33" w:rsidP="00E35ED7">
      <w:pPr>
        <w:pStyle w:val="Textonotapie"/>
        <w:jc w:val="both"/>
      </w:pPr>
      <w:r>
        <w:rPr>
          <w:rStyle w:val="Refdenotaalpie"/>
        </w:rPr>
        <w:footnoteRef/>
      </w:r>
      <w:r>
        <w:t xml:space="preserve"> Ley 30/2003, de 13 de octubre, materias tales como el gobierno, igualdad de oportunidades, mujer y procedimiento administrativo</w:t>
      </w:r>
    </w:p>
  </w:footnote>
  <w:footnote w:id="18">
    <w:p w:rsidR="00CF0C33" w:rsidRDefault="00CF0C33" w:rsidP="00E35ED7">
      <w:pPr>
        <w:pStyle w:val="Textonotapie"/>
        <w:jc w:val="both"/>
      </w:pPr>
      <w:r>
        <w:rPr>
          <w:rStyle w:val="Refdenotaalpie"/>
        </w:rPr>
        <w:footnoteRef/>
      </w:r>
      <w:r>
        <w:t xml:space="preserve"> Real Decreto 562/2004, de 13 abril</w:t>
      </w:r>
    </w:p>
  </w:footnote>
  <w:footnote w:id="19">
    <w:p w:rsidR="00CF0C33" w:rsidRDefault="00CF0C33" w:rsidP="00E35ED7">
      <w:pPr>
        <w:pStyle w:val="Textonotapie"/>
        <w:jc w:val="both"/>
      </w:pPr>
      <w:r>
        <w:rPr>
          <w:rStyle w:val="Refdenotaalpie"/>
        </w:rPr>
        <w:footnoteRef/>
      </w:r>
      <w:r>
        <w:t xml:space="preserve"> Ley Orgánica 1/2004, de 28 de diciembre</w:t>
      </w:r>
    </w:p>
  </w:footnote>
  <w:footnote w:id="20">
    <w:p w:rsidR="00CF0C33" w:rsidRDefault="00CF0C33" w:rsidP="00E35ED7">
      <w:pPr>
        <w:pStyle w:val="Textonotapie"/>
        <w:jc w:val="both"/>
      </w:pPr>
      <w:r>
        <w:rPr>
          <w:rStyle w:val="Refdenotaalpie"/>
        </w:rPr>
        <w:footnoteRef/>
      </w:r>
      <w:r>
        <w:t xml:space="preserve"> Orden PRE/525/2005, de 7 de marzo</w:t>
      </w:r>
    </w:p>
  </w:footnote>
  <w:footnote w:id="21">
    <w:p w:rsidR="00CF0C33" w:rsidRDefault="00CF0C33" w:rsidP="00E35ED7">
      <w:pPr>
        <w:pStyle w:val="Textonotapie"/>
        <w:jc w:val="both"/>
      </w:pPr>
      <w:r>
        <w:rPr>
          <w:rStyle w:val="Refdenotaalpie"/>
        </w:rPr>
        <w:footnoteRef/>
      </w:r>
      <w:r>
        <w:t xml:space="preserve"> Ley 39/2006, de 14 de diciembre</w:t>
      </w:r>
    </w:p>
  </w:footnote>
  <w:footnote w:id="22">
    <w:p w:rsidR="00CF0C33" w:rsidRDefault="00CF0C33" w:rsidP="00E35ED7">
      <w:pPr>
        <w:pStyle w:val="Textonotapie"/>
        <w:jc w:val="both"/>
      </w:pPr>
      <w:r>
        <w:rPr>
          <w:rStyle w:val="Refdenotaalpie"/>
        </w:rPr>
        <w:footnoteRef/>
      </w:r>
      <w:r>
        <w:t xml:space="preserve"> Ley Orgánica 3/2007, de 22 de marzo</w:t>
      </w:r>
    </w:p>
  </w:footnote>
  <w:footnote w:id="23">
    <w:p w:rsidR="00CF0C33" w:rsidRDefault="00CF0C33" w:rsidP="00C50C67">
      <w:pPr>
        <w:pStyle w:val="Textonotapie"/>
        <w:jc w:val="both"/>
      </w:pPr>
      <w:r>
        <w:rPr>
          <w:rStyle w:val="Refdenotaalpie"/>
        </w:rPr>
        <w:footnoteRef/>
      </w:r>
      <w:r>
        <w:t xml:space="preserve"> Artículo 14 de la LO 3/2007, </w:t>
      </w:r>
    </w:p>
  </w:footnote>
  <w:footnote w:id="24">
    <w:p w:rsidR="00CF0C33" w:rsidRDefault="00CF0C33" w:rsidP="00E35ED7">
      <w:pPr>
        <w:pStyle w:val="Textonotapie"/>
        <w:jc w:val="both"/>
      </w:pPr>
      <w:r>
        <w:rPr>
          <w:rStyle w:val="Refdenotaalpie"/>
        </w:rPr>
        <w:footnoteRef/>
      </w:r>
      <w:r>
        <w:t xml:space="preserve"> Artículo 45 de la Ley 3/2007, de 22 de marzo, Capítulo III relativo a medidas de igualdad en el empleo para la Administración General del Estado y para los organismos públicos vinculados o dependientes de ella.</w:t>
      </w:r>
    </w:p>
  </w:footnote>
  <w:footnote w:id="25">
    <w:p w:rsidR="00CF0C33" w:rsidRDefault="00CF0C33" w:rsidP="00E35ED7">
      <w:pPr>
        <w:pStyle w:val="Textonotapie"/>
        <w:jc w:val="both"/>
      </w:pPr>
      <w:r>
        <w:rPr>
          <w:rStyle w:val="Refdenotaalpie"/>
        </w:rPr>
        <w:footnoteRef/>
      </w:r>
      <w:r>
        <w:t xml:space="preserve"> IAE, Consejería de Igualdad y Políticas Sociales</w:t>
      </w:r>
    </w:p>
  </w:footnote>
  <w:footnote w:id="26">
    <w:p w:rsidR="00CF0C33" w:rsidRDefault="00CF0C33" w:rsidP="00E35ED7">
      <w:pPr>
        <w:pStyle w:val="Textonotapie"/>
        <w:jc w:val="both"/>
      </w:pPr>
      <w:r>
        <w:rPr>
          <w:rStyle w:val="Refdenotaalpie"/>
        </w:rPr>
        <w:footnoteRef/>
      </w:r>
      <w:r>
        <w:t xml:space="preserve"> Informe de la IV Conferencia Mundial sobre la Mujer</w:t>
      </w:r>
    </w:p>
  </w:footnote>
  <w:footnote w:id="27">
    <w:p w:rsidR="00CF0C33" w:rsidRDefault="00CF0C33" w:rsidP="00E35ED7">
      <w:pPr>
        <w:pStyle w:val="Textonotapie"/>
        <w:jc w:val="both"/>
      </w:pPr>
      <w:r>
        <w:rPr>
          <w:rStyle w:val="Refdenotaalpie"/>
        </w:rPr>
        <w:footnoteRef/>
      </w:r>
      <w:r>
        <w:t xml:space="preserve"> eur-lex.europa.eu</w:t>
      </w:r>
    </w:p>
  </w:footnote>
  <w:footnote w:id="28">
    <w:p w:rsidR="00CF0C33" w:rsidRDefault="00CF0C33" w:rsidP="00793C96">
      <w:pPr>
        <w:pStyle w:val="Textonotapie"/>
        <w:jc w:val="both"/>
      </w:pPr>
      <w:r>
        <w:rPr>
          <w:rStyle w:val="Refdenotaalpie"/>
        </w:rPr>
        <w:footnoteRef/>
      </w:r>
      <w:r>
        <w:t xml:space="preserve"> Ley Orgánica 2/2007, de 19 de marzo, de reforma del Estatuto de Autonomía para Andalucía</w:t>
      </w:r>
    </w:p>
  </w:footnote>
  <w:footnote w:id="29">
    <w:p w:rsidR="00CF0C33" w:rsidRDefault="00CF0C33" w:rsidP="003E1D2C">
      <w:pPr>
        <w:pStyle w:val="Textonotapie"/>
        <w:jc w:val="both"/>
      </w:pPr>
      <w:r>
        <w:rPr>
          <w:rStyle w:val="Refdenotaalpie"/>
        </w:rPr>
        <w:footnoteRef/>
      </w:r>
      <w:r>
        <w:t xml:space="preserve"> Ley 10/1988, 29 de diciembre, presupuesto para la C.A de Andalucía, para 1989 la creación del Instituto Andaluz de la Mujer</w:t>
      </w:r>
    </w:p>
  </w:footnote>
  <w:footnote w:id="30">
    <w:p w:rsidR="00CF0C33" w:rsidRDefault="00CF0C33" w:rsidP="003E1D2C">
      <w:pPr>
        <w:pStyle w:val="Textonotapie"/>
        <w:jc w:val="both"/>
      </w:pPr>
      <w:r>
        <w:rPr>
          <w:rStyle w:val="Refdenotaalpie"/>
        </w:rPr>
        <w:footnoteRef/>
      </w:r>
      <w:r>
        <w:t xml:space="preserve"> Decreto 1/1989, aprobación del Reglamento del Instituto Andaluz de la Mujer, modificado por el Decreto 120/1997</w:t>
      </w:r>
    </w:p>
  </w:footnote>
  <w:footnote w:id="31">
    <w:p w:rsidR="00CF0C33" w:rsidRDefault="00CF0C33" w:rsidP="004D2B67">
      <w:pPr>
        <w:pStyle w:val="Textonotapie"/>
        <w:jc w:val="both"/>
      </w:pPr>
      <w:r>
        <w:rPr>
          <w:rStyle w:val="Refdenotaalpie"/>
        </w:rPr>
        <w:footnoteRef/>
      </w:r>
      <w:r>
        <w:t xml:space="preserve"> Decreto 120/1997, 22 de abril, modificación del Reglamento del IAM</w:t>
      </w:r>
    </w:p>
  </w:footnote>
  <w:footnote w:id="32">
    <w:p w:rsidR="00CF0C33" w:rsidRDefault="00CF0C33" w:rsidP="005B3B2C">
      <w:pPr>
        <w:pStyle w:val="Textonotapie"/>
        <w:jc w:val="both"/>
      </w:pPr>
      <w:r>
        <w:rPr>
          <w:rStyle w:val="Refdenotaalpie"/>
        </w:rPr>
        <w:footnoteRef/>
      </w:r>
      <w:r>
        <w:t xml:space="preserve"> Decreto 11/1992, establecimiento de la naturaleza y prestaciones de los Servicios Sociales Comunitarios</w:t>
      </w:r>
    </w:p>
  </w:footnote>
  <w:footnote w:id="33">
    <w:p w:rsidR="00CF0C33" w:rsidRDefault="00CF0C33" w:rsidP="005B3B2C">
      <w:pPr>
        <w:pStyle w:val="Textonotapie"/>
        <w:jc w:val="both"/>
      </w:pPr>
      <w:r>
        <w:rPr>
          <w:rStyle w:val="Refdenotaalpie"/>
        </w:rPr>
        <w:footnoteRef/>
      </w:r>
      <w:r>
        <w:t xml:space="preserve"> Decreto 137/2002, conciliación de la vida familiar y laboral</w:t>
      </w:r>
    </w:p>
  </w:footnote>
  <w:footnote w:id="34">
    <w:p w:rsidR="00CF0C33" w:rsidRDefault="00CF0C33" w:rsidP="005B3B2C">
      <w:pPr>
        <w:pStyle w:val="Textonotapie"/>
        <w:jc w:val="both"/>
      </w:pPr>
      <w:r>
        <w:rPr>
          <w:rStyle w:val="Refdenotaalpie"/>
        </w:rPr>
        <w:footnoteRef/>
      </w:r>
      <w:r>
        <w:t xml:space="preserve"> Ley 18/2003, establecimiento de medidas fiscales y administrativas</w:t>
      </w:r>
    </w:p>
  </w:footnote>
  <w:footnote w:id="35">
    <w:p w:rsidR="00CF0C33" w:rsidRDefault="00CF0C33" w:rsidP="003F781E">
      <w:pPr>
        <w:pStyle w:val="Textonotapie"/>
        <w:jc w:val="both"/>
      </w:pPr>
      <w:r>
        <w:rPr>
          <w:rStyle w:val="Refdenotaalpie"/>
        </w:rPr>
        <w:footnoteRef/>
      </w:r>
      <w:r>
        <w:t xml:space="preserve"> Ley 6/2006, del gobierno de la Comunidad Autónoma de Andalucía.</w:t>
      </w:r>
    </w:p>
  </w:footnote>
  <w:footnote w:id="36">
    <w:p w:rsidR="00CF0C33" w:rsidRDefault="00CF0C33" w:rsidP="004A0023">
      <w:pPr>
        <w:pStyle w:val="Textonotapie"/>
        <w:jc w:val="both"/>
      </w:pPr>
      <w:r>
        <w:rPr>
          <w:rStyle w:val="Refdenotaalpie"/>
        </w:rPr>
        <w:footnoteRef/>
      </w:r>
      <w:r>
        <w:t xml:space="preserve"> Artículo 4 de la Ley 12/2007, Título preliminar, correspondiente a los principios generales (14).</w:t>
      </w:r>
    </w:p>
  </w:footnote>
  <w:footnote w:id="37">
    <w:p w:rsidR="00CF0C33" w:rsidRDefault="00CF0C33" w:rsidP="009421ED">
      <w:pPr>
        <w:pStyle w:val="Textonotapie"/>
        <w:jc w:val="both"/>
      </w:pPr>
      <w:r>
        <w:rPr>
          <w:rStyle w:val="Refdenotaalpie"/>
        </w:rPr>
        <w:footnoteRef/>
      </w:r>
      <w:r>
        <w:t xml:space="preserve"> Artículos 59 a 63 Ley 12/2007, de 26 de noviembre, para la promoción de la igualdad de género en Andalucía, correspondiente a la organización institucional y coordinación entre las distintas Administraciones públicas para la igualdad de género.</w:t>
      </w:r>
    </w:p>
  </w:footnote>
  <w:footnote w:id="38">
    <w:p w:rsidR="00CF0C33" w:rsidRDefault="00CF0C33" w:rsidP="009421ED">
      <w:pPr>
        <w:pStyle w:val="Textonotapie"/>
        <w:jc w:val="both"/>
      </w:pPr>
      <w:r>
        <w:rPr>
          <w:rStyle w:val="Refdenotaalpie"/>
        </w:rPr>
        <w:footnoteRef/>
      </w:r>
      <w:r>
        <w:t xml:space="preserve"> Ley 13/2007, de 16 de noviembre, de medidas de prevención y protección integral contra la violencia de género, Título preliminar, disposiciones generales. </w:t>
      </w:r>
    </w:p>
  </w:footnote>
  <w:footnote w:id="39">
    <w:p w:rsidR="00CF0C33" w:rsidRDefault="00CF0C33" w:rsidP="005F7EE8">
      <w:pPr>
        <w:pStyle w:val="Textonotapie"/>
        <w:jc w:val="both"/>
      </w:pPr>
      <w:r>
        <w:rPr>
          <w:rStyle w:val="Refdenotaalpie"/>
        </w:rPr>
        <w:footnoteRef/>
      </w:r>
      <w:r>
        <w:t xml:space="preserve"> Ley 13/2007, de 26 de noviembre, medidas de prevención y protección integral contra la violencia de género, referente a materias tales como Andalucía, asistencia social, organización de las C.A., violencia de género y viviendas.</w:t>
      </w:r>
    </w:p>
  </w:footnote>
  <w:footnote w:id="40">
    <w:p w:rsidR="00CF0C33" w:rsidRDefault="00CF0C33" w:rsidP="00963FDB">
      <w:pPr>
        <w:pStyle w:val="Textonotapie"/>
        <w:jc w:val="both"/>
      </w:pPr>
      <w:r>
        <w:rPr>
          <w:rStyle w:val="Refdenotaalpie"/>
        </w:rPr>
        <w:footnoteRef/>
      </w:r>
      <w:r>
        <w:t xml:space="preserve"> Ley Orgánica 3/2007, de 22 de marzo, para la igualdad efectiva de mujeres y hombres.</w:t>
      </w:r>
    </w:p>
  </w:footnote>
  <w:footnote w:id="41">
    <w:p w:rsidR="00CF0C33" w:rsidRDefault="00CF0C33" w:rsidP="00963FDB">
      <w:pPr>
        <w:pStyle w:val="Textonotapie"/>
        <w:jc w:val="both"/>
      </w:pPr>
      <w:r>
        <w:rPr>
          <w:rStyle w:val="Refdenotaalpie"/>
        </w:rPr>
        <w:footnoteRef/>
      </w:r>
      <w:r>
        <w:t xml:space="preserve"> Martínez Abascal, Vicente-Antonio, profesor titular de Derecho del Trabajo de la Universidad de Barcelona.</w:t>
      </w:r>
    </w:p>
  </w:footnote>
  <w:footnote w:id="42">
    <w:p w:rsidR="00CF0C33" w:rsidRDefault="00CF0C33" w:rsidP="00963FDB">
      <w:pPr>
        <w:pStyle w:val="Textonotapie"/>
        <w:jc w:val="both"/>
      </w:pPr>
      <w:r>
        <w:rPr>
          <w:rStyle w:val="Refdenotaalpie"/>
        </w:rPr>
        <w:footnoteRef/>
      </w:r>
      <w:r>
        <w:t xml:space="preserve"> Ley 34/ 1988, de 11 de noviembre, General de Publicidad. Artículo 3 “Publicidad ilícita”.</w:t>
      </w:r>
    </w:p>
  </w:footnote>
  <w:footnote w:id="43">
    <w:p w:rsidR="00CF0C33" w:rsidRPr="00E31628" w:rsidRDefault="00CF0C33" w:rsidP="00963FDB">
      <w:pPr>
        <w:pStyle w:val="Textonotapie"/>
        <w:jc w:val="both"/>
      </w:pPr>
      <w:r>
        <w:rPr>
          <w:rStyle w:val="Refdenotaalpie"/>
        </w:rPr>
        <w:footnoteRef/>
      </w:r>
      <w:r w:rsidRPr="00E31628">
        <w:rPr>
          <w:iCs/>
          <w:color w:val="000000"/>
        </w:rPr>
        <w:t>Vid. Acosta Estévez, J.A.,</w:t>
      </w:r>
      <w:r>
        <w:rPr>
          <w:color w:val="000000"/>
        </w:rPr>
        <w:t> “</w:t>
      </w:r>
      <w:r w:rsidRPr="00E31628">
        <w:rPr>
          <w:color w:val="000000"/>
        </w:rPr>
        <w:t>Tratamiento jurídico de la publicidad ilícita en el nuevo Derecho de la publicidad</w:t>
      </w:r>
      <w:r>
        <w:rPr>
          <w:color w:val="000000"/>
        </w:rPr>
        <w:t>”</w:t>
      </w:r>
    </w:p>
  </w:footnote>
  <w:footnote w:id="44">
    <w:p w:rsidR="00CF0C33" w:rsidRPr="000D33F7" w:rsidRDefault="00CF0C33" w:rsidP="00963FDB">
      <w:pPr>
        <w:pStyle w:val="Textonotapie"/>
        <w:jc w:val="both"/>
      </w:pPr>
      <w:r>
        <w:rPr>
          <w:rStyle w:val="Refdenotaalpie"/>
        </w:rPr>
        <w:footnoteRef/>
      </w:r>
      <w:hyperlink r:id="rId1" w:history="1"/>
      <w:r>
        <w:rPr>
          <w:rStyle w:val="Hipervnculo"/>
          <w:color w:val="auto"/>
          <w:u w:val="none"/>
        </w:rPr>
        <w:t xml:space="preserve"> Comisión de la Condición Jurídica de la Mujer, dedicado a la promoción de igualdad de género y el empoderamiento de la mujer.</w:t>
      </w:r>
    </w:p>
  </w:footnote>
  <w:footnote w:id="45">
    <w:p w:rsidR="00CF0C33" w:rsidRDefault="00CF0C33" w:rsidP="00963FDB">
      <w:pPr>
        <w:pStyle w:val="Textonotapie"/>
        <w:jc w:val="both"/>
      </w:pPr>
      <w:r>
        <w:rPr>
          <w:rStyle w:val="Refdenotaalpie"/>
        </w:rPr>
        <w:footnoteRef/>
      </w:r>
      <w:r>
        <w:t xml:space="preserve"> Ley Orgánica 3/2007, de 22 de marzo, para la igualdad efectiva de mujeres y hombres</w:t>
      </w:r>
    </w:p>
  </w:footnote>
  <w:footnote w:id="46">
    <w:p w:rsidR="00CF0C33" w:rsidRDefault="00CF0C33" w:rsidP="00963FDB">
      <w:pPr>
        <w:pStyle w:val="Textonotapie"/>
        <w:jc w:val="both"/>
      </w:pPr>
      <w:r>
        <w:rPr>
          <w:rStyle w:val="Refdenotaalpie"/>
        </w:rPr>
        <w:footnoteRef/>
      </w:r>
      <w:r>
        <w:t xml:space="preserve"> García-Perrote, Ignacio “Relaciones Laborales”</w:t>
      </w:r>
    </w:p>
  </w:footnote>
  <w:footnote w:id="47">
    <w:p w:rsidR="00CF0C33" w:rsidRDefault="00CF0C33" w:rsidP="00A76D3F">
      <w:pPr>
        <w:pStyle w:val="Textonotapie"/>
        <w:jc w:val="both"/>
      </w:pPr>
      <w:r>
        <w:rPr>
          <w:rStyle w:val="Refdenotaalpie"/>
        </w:rPr>
        <w:footnoteRef/>
      </w:r>
      <w:r>
        <w:t xml:space="preserve"> Declaración Universal de los Derechos Humanos, de 1948</w:t>
      </w:r>
    </w:p>
  </w:footnote>
  <w:footnote w:id="48">
    <w:p w:rsidR="00CF0C33" w:rsidRDefault="00CF0C33" w:rsidP="00A76D3F">
      <w:pPr>
        <w:pStyle w:val="Textonotapie"/>
        <w:jc w:val="both"/>
      </w:pPr>
      <w:r>
        <w:rPr>
          <w:rStyle w:val="Refdenotaalpie"/>
        </w:rPr>
        <w:footnoteRef/>
      </w:r>
      <w:r>
        <w:t xml:space="preserve"> CEDAW; Convención sobre la eliminación de todas las formas de discriminación contra la mujer.</w:t>
      </w:r>
    </w:p>
  </w:footnote>
  <w:footnote w:id="49">
    <w:p w:rsidR="00CF0C33" w:rsidRDefault="00CF0C33" w:rsidP="00A76D3F">
      <w:pPr>
        <w:pStyle w:val="Textonotapie"/>
        <w:jc w:val="both"/>
      </w:pPr>
      <w:r>
        <w:rPr>
          <w:rStyle w:val="Refdenotaalpie"/>
        </w:rPr>
        <w:footnoteRef/>
      </w:r>
      <w:hyperlink r:id="rId2" w:history="1">
        <w:r w:rsidRPr="00233995">
          <w:rPr>
            <w:rStyle w:val="Hipervnculo"/>
          </w:rPr>
          <w:t>www.un.org</w:t>
        </w:r>
      </w:hyperlink>
    </w:p>
  </w:footnote>
  <w:footnote w:id="50">
    <w:p w:rsidR="00CF0C33" w:rsidRDefault="00CF0C33" w:rsidP="00A76D3F">
      <w:pPr>
        <w:pStyle w:val="Textonotapie"/>
        <w:jc w:val="both"/>
      </w:pPr>
      <w:r>
        <w:rPr>
          <w:rStyle w:val="Refdenotaalpie"/>
        </w:rPr>
        <w:footnoteRef/>
      </w:r>
      <w:r>
        <w:t xml:space="preserve"> Tratado Constitutivo de la Comunidad Europea.</w:t>
      </w:r>
    </w:p>
  </w:footnote>
  <w:footnote w:id="51">
    <w:p w:rsidR="00CF0C33" w:rsidRDefault="00CF0C33" w:rsidP="00A76D3F">
      <w:pPr>
        <w:pStyle w:val="Textonotapie"/>
        <w:jc w:val="both"/>
      </w:pPr>
      <w:r>
        <w:rPr>
          <w:rStyle w:val="Refdenotaalpie"/>
        </w:rPr>
        <w:footnoteRef/>
      </w:r>
      <w:r>
        <w:t xml:space="preserve">  Decisión (UE) 2017/865 del Consejo, sobre prevención y lucha contra las mujeres y la violencia doméstica, en lo que respecta a asuntos relacionados con la cooperación judicial en materia penal.</w:t>
      </w:r>
    </w:p>
  </w:footnote>
  <w:footnote w:id="52">
    <w:p w:rsidR="00CF0C33" w:rsidRDefault="00CF0C33" w:rsidP="00A76D3F">
      <w:pPr>
        <w:pStyle w:val="Textonotapie"/>
        <w:jc w:val="both"/>
      </w:pPr>
      <w:r>
        <w:rPr>
          <w:rStyle w:val="Refdenotaalpie"/>
        </w:rPr>
        <w:footnoteRef/>
      </w:r>
      <w:r>
        <w:t xml:space="preserve"> Ley Orgánica 11/2003, de 29 de diciembre, de medidas concretas en materia de seguridad ciudadana, violencia doméstica e integración social de los extranjeros.</w:t>
      </w:r>
    </w:p>
  </w:footnote>
  <w:footnote w:id="53">
    <w:p w:rsidR="00CF0C33" w:rsidRDefault="00CF0C33" w:rsidP="00A76D3F">
      <w:pPr>
        <w:pStyle w:val="Textonotapie"/>
        <w:jc w:val="both"/>
      </w:pPr>
      <w:r>
        <w:rPr>
          <w:rStyle w:val="Refdenotaalpie"/>
        </w:rPr>
        <w:footnoteRef/>
      </w:r>
      <w:r>
        <w:t xml:space="preserve"> Ley Orgánica, 27/2003, de 31 de julio, reguladora de la orden de protección de las víctimas de la violencia doméstica.</w:t>
      </w:r>
    </w:p>
  </w:footnote>
  <w:footnote w:id="54">
    <w:p w:rsidR="00CF0C33" w:rsidRDefault="00CF0C33" w:rsidP="00A76D3F">
      <w:pPr>
        <w:pStyle w:val="Textonotapie"/>
        <w:jc w:val="both"/>
      </w:pPr>
      <w:r>
        <w:rPr>
          <w:rStyle w:val="Refdenotaalpie"/>
        </w:rPr>
        <w:footnoteRef/>
      </w:r>
      <w:r>
        <w:t xml:space="preserve"> Ley Orgánica 1/2004, de 28 de noviembre, de medidas de protección integral contra la violencia de género, entrando en vigor la misma el 28 de enero de 2005</w:t>
      </w:r>
    </w:p>
  </w:footnote>
  <w:footnote w:id="55">
    <w:p w:rsidR="00CF0C33" w:rsidRDefault="00CF0C33" w:rsidP="00A76D3F">
      <w:pPr>
        <w:pStyle w:val="Textonotapie"/>
        <w:jc w:val="both"/>
      </w:pPr>
      <w:r>
        <w:rPr>
          <w:rStyle w:val="Refdenotaalpie"/>
        </w:rPr>
        <w:footnoteRef/>
      </w:r>
      <w:r>
        <w:t xml:space="preserve"> LO 2/2007, de 19 de marzo, de reforma del Estatuto de Autonomía para Andalucía. Materias a las que hace mención: Andalucía, Comunidades Autónomas, Estatutos de Autonomía y organización de las C.A.</w:t>
      </w:r>
    </w:p>
  </w:footnote>
  <w:footnote w:id="56">
    <w:p w:rsidR="00CF0C33" w:rsidRDefault="00CF0C33" w:rsidP="00A76D3F">
      <w:pPr>
        <w:pStyle w:val="Textonotapie"/>
        <w:jc w:val="both"/>
      </w:pPr>
      <w:r>
        <w:rPr>
          <w:rStyle w:val="Refdenotaalpie"/>
        </w:rPr>
        <w:footnoteRef/>
      </w:r>
      <w:r w:rsidRPr="00651E90">
        <w:t>w</w:t>
      </w:r>
      <w:r>
        <w:t>ww.juntadeandalucia.es</w:t>
      </w:r>
    </w:p>
  </w:footnote>
  <w:footnote w:id="57">
    <w:p w:rsidR="00CF0C33" w:rsidRDefault="00CF0C33" w:rsidP="00A76D3F">
      <w:pPr>
        <w:pStyle w:val="Textonotapie"/>
        <w:jc w:val="both"/>
      </w:pPr>
      <w:r>
        <w:rPr>
          <w:rStyle w:val="Refdenotaalpie"/>
        </w:rPr>
        <w:footnoteRef/>
      </w:r>
      <w:r>
        <w:t xml:space="preserve"> Ley 13/2007, de medidas de prevención y protección integral contra la violencia de género</w:t>
      </w:r>
    </w:p>
  </w:footnote>
  <w:footnote w:id="58">
    <w:p w:rsidR="00CF0C33" w:rsidRDefault="00CF0C33" w:rsidP="00A76D3F">
      <w:pPr>
        <w:pStyle w:val="Textonotapie"/>
        <w:jc w:val="both"/>
      </w:pPr>
      <w:r>
        <w:rPr>
          <w:rStyle w:val="Refdenotaalpie"/>
        </w:rPr>
        <w:footnoteRef/>
      </w:r>
      <w:hyperlink r:id="rId3" w:history="1">
        <w:r w:rsidRPr="00866862">
          <w:rPr>
            <w:rStyle w:val="Hipervnculo"/>
          </w:rPr>
          <w:t>www.juntadeandalucia.es</w:t>
        </w:r>
      </w:hyperlink>
    </w:p>
  </w:footnote>
  <w:footnote w:id="59">
    <w:p w:rsidR="00CF0C33" w:rsidRDefault="00CF0C33" w:rsidP="00A76D3F">
      <w:pPr>
        <w:pStyle w:val="Textonotapie"/>
        <w:jc w:val="both"/>
      </w:pPr>
      <w:r>
        <w:rPr>
          <w:rStyle w:val="Refdenotaalpie"/>
        </w:rPr>
        <w:footnoteRef/>
      </w:r>
      <w:r>
        <w:t xml:space="preserve"> Ley 13/2007, de 26 de noviembre, de medidas de prevención y protección, referente a materias como Andalucía, asistencia social, organización de las Comunidades Autónomas, violencia de género y viviendas.</w:t>
      </w:r>
    </w:p>
  </w:footnote>
  <w:footnote w:id="60">
    <w:p w:rsidR="00CF0C33" w:rsidRDefault="00CF0C33" w:rsidP="00591F02">
      <w:pPr>
        <w:pStyle w:val="Textonotapie"/>
        <w:jc w:val="both"/>
      </w:pPr>
      <w:r>
        <w:rPr>
          <w:rStyle w:val="Refdenotaalpie"/>
        </w:rPr>
        <w:footnoteRef/>
      </w:r>
      <w:r>
        <w:t xml:space="preserve"> Sánchez Bermejo, Abogados. Delito de violencia de género</w:t>
      </w:r>
    </w:p>
  </w:footnote>
  <w:footnote w:id="61">
    <w:p w:rsidR="00CF0C33" w:rsidRDefault="00CF0C33" w:rsidP="00A76D3F">
      <w:pPr>
        <w:pStyle w:val="Textonotapie"/>
        <w:jc w:val="both"/>
      </w:pPr>
      <w:r>
        <w:rPr>
          <w:rStyle w:val="Refdenotaalpie"/>
        </w:rPr>
        <w:footnoteRef/>
      </w:r>
      <w:r>
        <w:t xml:space="preserve"> Ley 11/1999, de 30 de abril, de modificación del Título VIII del Libro II del Código Penal aprobado por la Ley Orgánica 10/1995, de 23 de noviembre.</w:t>
      </w:r>
    </w:p>
  </w:footnote>
  <w:footnote w:id="62">
    <w:p w:rsidR="00CF0C33" w:rsidRDefault="00CF0C33" w:rsidP="00A76D3F">
      <w:pPr>
        <w:pStyle w:val="Textonotapie"/>
        <w:jc w:val="both"/>
      </w:pPr>
      <w:r>
        <w:rPr>
          <w:rStyle w:val="Refdenotaalpie"/>
        </w:rPr>
        <w:footnoteRef/>
      </w:r>
      <w:r>
        <w:t xml:space="preserve"> Ley Orgánica 14/1999, de 9 de junio, modificación del Código Penal de 1995 en materia de, protección a las víctimas de malos tratos y de la Ley de Enjuiciamiento Criminal.</w:t>
      </w:r>
    </w:p>
  </w:footnote>
  <w:footnote w:id="63">
    <w:p w:rsidR="00CF0C33" w:rsidRDefault="00CF0C33" w:rsidP="00A76D3F">
      <w:pPr>
        <w:pStyle w:val="Textonotapie"/>
        <w:jc w:val="both"/>
      </w:pPr>
      <w:r>
        <w:rPr>
          <w:rStyle w:val="Refdenotaalpie"/>
        </w:rPr>
        <w:footnoteRef/>
      </w:r>
      <w:r>
        <w:t xml:space="preserve"> Ley Orgánica 1/2004, de 28 de noviembre, de medidas de protección integral contra la violencia de género.</w:t>
      </w:r>
    </w:p>
  </w:footnote>
  <w:footnote w:id="64">
    <w:p w:rsidR="00CF0C33" w:rsidRDefault="00CF0C33" w:rsidP="00A76D3F">
      <w:pPr>
        <w:pStyle w:val="Textonotapie"/>
        <w:jc w:val="both"/>
      </w:pPr>
      <w:r>
        <w:rPr>
          <w:rStyle w:val="Refdenotaalpie"/>
        </w:rPr>
        <w:footnoteRef/>
      </w:r>
      <w:r w:rsidRPr="00597823">
        <w:rPr>
          <w:color w:val="000000"/>
        </w:rPr>
        <w:t>Sobre los distintos textos legales dictados al efecto,</w:t>
      </w:r>
      <w:r>
        <w:rPr>
          <w:color w:val="000000"/>
        </w:rPr>
        <w:t xml:space="preserve"> Chicano </w:t>
      </w:r>
      <w:proofErr w:type="spellStart"/>
      <w:r>
        <w:rPr>
          <w:color w:val="000000"/>
        </w:rPr>
        <w:t>Jávega</w:t>
      </w:r>
      <w:proofErr w:type="spellEnd"/>
      <w:r>
        <w:rPr>
          <w:color w:val="000000"/>
        </w:rPr>
        <w:t xml:space="preserve">, E., Sánchez de </w:t>
      </w:r>
      <w:proofErr w:type="spellStart"/>
      <w:r>
        <w:rPr>
          <w:color w:val="000000"/>
        </w:rPr>
        <w:t>laraSorzano</w:t>
      </w:r>
      <w:proofErr w:type="spellEnd"/>
      <w:r w:rsidRPr="00597823">
        <w:rPr>
          <w:color w:val="000000"/>
        </w:rPr>
        <w:t>, C., y otros</w:t>
      </w:r>
      <w:r>
        <w:rPr>
          <w:color w:val="000000"/>
        </w:rPr>
        <w:t>.</w:t>
      </w:r>
    </w:p>
  </w:footnote>
  <w:footnote w:id="65">
    <w:p w:rsidR="00CF0C33" w:rsidRDefault="00CF0C33" w:rsidP="00A76D3F">
      <w:pPr>
        <w:pStyle w:val="Textonotapie"/>
        <w:jc w:val="both"/>
      </w:pPr>
      <w:r>
        <w:rPr>
          <w:rStyle w:val="Refdenotaalpie"/>
        </w:rPr>
        <w:footnoteRef/>
      </w:r>
      <w:proofErr w:type="spellStart"/>
      <w:r>
        <w:rPr>
          <w:color w:val="000000"/>
        </w:rPr>
        <w:t>MagariñosYañez</w:t>
      </w:r>
      <w:proofErr w:type="spellEnd"/>
      <w:r w:rsidRPr="003D4971">
        <w:rPr>
          <w:color w:val="000000"/>
        </w:rPr>
        <w:t>, J.A</w:t>
      </w:r>
      <w:r>
        <w:rPr>
          <w:color w:val="000000"/>
        </w:rPr>
        <w:t>. El derecho contra la violencia de género.</w:t>
      </w:r>
    </w:p>
  </w:footnote>
  <w:footnote w:id="66">
    <w:p w:rsidR="00CF0C33" w:rsidRDefault="00CF0C33" w:rsidP="00A76D3F">
      <w:pPr>
        <w:pStyle w:val="Textonotapie"/>
        <w:jc w:val="both"/>
      </w:pPr>
      <w:r>
        <w:rPr>
          <w:rStyle w:val="Refdenotaalpie"/>
        </w:rPr>
        <w:footnoteRef/>
      </w:r>
      <w:r>
        <w:t xml:space="preserve"> Resolución de la Asamblea General 48/104 de 20 de diciembre de 1993, Declaración sobre la eliminación de la violencia contra la mujer.</w:t>
      </w:r>
    </w:p>
  </w:footnote>
  <w:footnote w:id="67">
    <w:p w:rsidR="00CF0C33" w:rsidRPr="004E1776" w:rsidRDefault="00CF0C33" w:rsidP="00A76D3F">
      <w:pPr>
        <w:pStyle w:val="Textonotapie"/>
        <w:jc w:val="both"/>
      </w:pPr>
      <w:r>
        <w:rPr>
          <w:rStyle w:val="Refdenotaalpie"/>
        </w:rPr>
        <w:footnoteRef/>
      </w:r>
      <w:r>
        <w:rPr>
          <w:color w:val="000000"/>
        </w:rPr>
        <w:t>Machado Ruiz, MD. L a perspectiva de género en el marco de Derecho comparado.</w:t>
      </w:r>
    </w:p>
  </w:footnote>
  <w:footnote w:id="68">
    <w:p w:rsidR="00CF0C33" w:rsidRPr="004E1776" w:rsidRDefault="00CF0C33" w:rsidP="00A76D3F">
      <w:pPr>
        <w:pStyle w:val="Textonotapie"/>
        <w:jc w:val="both"/>
      </w:pPr>
      <w:r w:rsidRPr="004E1776">
        <w:rPr>
          <w:rStyle w:val="Refdenotaalpie"/>
        </w:rPr>
        <w:footnoteRef/>
      </w:r>
      <w:r w:rsidRPr="004E1776">
        <w:t xml:space="preserve"> Artículo 222 CP, La Ley 3996/1995</w:t>
      </w:r>
      <w:r>
        <w:t>, entrada en vigor el 24 de mayo de 1996.</w:t>
      </w:r>
    </w:p>
  </w:footnote>
  <w:footnote w:id="69">
    <w:p w:rsidR="00CF0C33" w:rsidRPr="004E1776" w:rsidRDefault="00CF0C33" w:rsidP="00A76D3F">
      <w:pPr>
        <w:pStyle w:val="Textonotapie"/>
        <w:jc w:val="both"/>
      </w:pPr>
      <w:r w:rsidRPr="004E1776">
        <w:rPr>
          <w:rStyle w:val="Refdenotaalpie"/>
        </w:rPr>
        <w:footnoteRef/>
      </w:r>
      <w:proofErr w:type="spellStart"/>
      <w:r w:rsidRPr="004E1776">
        <w:t>Magariños</w:t>
      </w:r>
      <w:proofErr w:type="spellEnd"/>
      <w:r>
        <w:t xml:space="preserve"> </w:t>
      </w:r>
      <w:proofErr w:type="spellStart"/>
      <w:r w:rsidRPr="004E1776">
        <w:t>Yañez</w:t>
      </w:r>
      <w:proofErr w:type="spellEnd"/>
      <w:r w:rsidRPr="004E1776">
        <w:t>, J.A</w:t>
      </w:r>
      <w:r>
        <w:t>, El derecho contra la violencia de género.</w:t>
      </w:r>
    </w:p>
  </w:footnote>
  <w:footnote w:id="70">
    <w:p w:rsidR="00CF0C33" w:rsidRDefault="00CF0C33" w:rsidP="00A76D3F">
      <w:pPr>
        <w:pStyle w:val="Textonotapie"/>
        <w:jc w:val="both"/>
      </w:pPr>
      <w:r w:rsidRPr="004E1776">
        <w:rPr>
          <w:rStyle w:val="Refdenotaalpie"/>
        </w:rPr>
        <w:footnoteRef/>
      </w:r>
      <w:r>
        <w:rPr>
          <w:color w:val="000000"/>
        </w:rPr>
        <w:t>Martínez García</w:t>
      </w:r>
      <w:r w:rsidRPr="004E1776">
        <w:rPr>
          <w:color w:val="000000"/>
        </w:rPr>
        <w:t>, E</w:t>
      </w:r>
      <w:r>
        <w:rPr>
          <w:color w:val="000000"/>
        </w:rPr>
        <w:t>. La perspectiva de género en Derecho comparado.</w:t>
      </w:r>
    </w:p>
  </w:footnote>
  <w:footnote w:id="71">
    <w:p w:rsidR="00CF0C33" w:rsidRPr="003E2FAC" w:rsidRDefault="00CF0C33" w:rsidP="003E2FAC">
      <w:pPr>
        <w:jc w:val="both"/>
      </w:pPr>
      <w:r>
        <w:rPr>
          <w:rStyle w:val="Refdenotaalpie"/>
        </w:rPr>
        <w:footnoteRef/>
      </w:r>
      <w:r>
        <w:rPr>
          <w:sz w:val="20"/>
        </w:rPr>
        <w:t xml:space="preserve"> Pr</w:t>
      </w:r>
      <w:r w:rsidRPr="003E2FAC">
        <w:rPr>
          <w:sz w:val="20"/>
        </w:rPr>
        <w:t>otocolo de actuación de las fuerzas y cuerpos de seguridad y de coordinación con los órganos judiciales para la protección de las víctimas de violencia doméstica y de género</w:t>
      </w:r>
    </w:p>
    <w:p w:rsidR="00CF0C33" w:rsidRDefault="00CF0C33" w:rsidP="003E2FAC">
      <w:pPr>
        <w:pStyle w:val="Textonotapie"/>
        <w:jc w:val="both"/>
      </w:pPr>
    </w:p>
  </w:footnote>
  <w:footnote w:id="72">
    <w:p w:rsidR="00CF0C33" w:rsidRDefault="00CF0C33" w:rsidP="003E2FAC">
      <w:pPr>
        <w:pStyle w:val="Textonotapie"/>
        <w:jc w:val="both"/>
      </w:pPr>
      <w:r>
        <w:rPr>
          <w:rStyle w:val="Refdenotaalpie"/>
        </w:rPr>
        <w:footnoteRef/>
      </w:r>
      <w:r>
        <w:t xml:space="preserve"> </w:t>
      </w:r>
      <w:r w:rsidRPr="00446F76">
        <w:t>La Comisión Nacional para la Implantación de los Juzgados de Violencia sob</w:t>
      </w:r>
      <w:r>
        <w:t>re la Mujer, está</w:t>
      </w:r>
      <w:r w:rsidRPr="00446F76">
        <w:t xml:space="preserve"> integrada por los siguientes organismos e instituciones: Ministerio de Justicia, Ministerio del Interior, Consejo General del Poder Judicial, Fiscalía General del Estado, las Consejerías competentes de la Xunta de Galicia, Gobierno Vasco, Junta de Andalucía, Generalitat de Catalunya, Generalitat Valenciana, Gobierno de Canarias, Gobierno de Navarra, Comunidad de Madrid, Consejo General de la Abogacía y Consejo General de Procuradores</w:t>
      </w:r>
      <w:r>
        <w:t>.</w:t>
      </w:r>
    </w:p>
  </w:footnote>
  <w:footnote w:id="73">
    <w:p w:rsidR="00CF0C33" w:rsidRDefault="00CF0C33" w:rsidP="002933F0">
      <w:pPr>
        <w:pStyle w:val="Textonotapie"/>
        <w:jc w:val="both"/>
      </w:pPr>
      <w:r>
        <w:rPr>
          <w:rStyle w:val="Refdenotaalpie"/>
        </w:rPr>
        <w:footnoteRef/>
      </w:r>
      <w:r>
        <w:t xml:space="preserve"> Real Decreto de 14 de septiembre de 1882 por el que se aprueba la Ley de Enjuiciamiento Criminal, correspondientes a artículos tales como 503.1 3º c), Capítulo III “prisión provisional” y 544 bis, Título VII sobre la libertad provisional del procesado.</w:t>
      </w:r>
    </w:p>
  </w:footnote>
  <w:footnote w:id="74">
    <w:p w:rsidR="00CF0C33" w:rsidRDefault="00CF0C33" w:rsidP="002933F0">
      <w:pPr>
        <w:pStyle w:val="Textonotapie"/>
        <w:jc w:val="both"/>
      </w:pPr>
      <w:r>
        <w:rPr>
          <w:rStyle w:val="Refdenotaalpie"/>
        </w:rPr>
        <w:footnoteRef/>
      </w:r>
      <w:r>
        <w:t xml:space="preserve"> Artículo 48 del Código Penal, Sección 3º de las penas privativas de derechos, compuesto por 4 apartados</w:t>
      </w:r>
    </w:p>
  </w:footnote>
  <w:footnote w:id="75">
    <w:p w:rsidR="00CF0C33" w:rsidRDefault="00CF0C33" w:rsidP="00A220D7">
      <w:pPr>
        <w:pStyle w:val="Textonotapie"/>
        <w:jc w:val="both"/>
      </w:pPr>
      <w:r>
        <w:rPr>
          <w:rStyle w:val="Refdenotaalpie"/>
        </w:rPr>
        <w:footnoteRef/>
      </w:r>
      <w:r>
        <w:t xml:space="preserve"> Protocolo de actuación ante casos de violencia de género. Orden de 20 de junio de 2011. Paso 6</w:t>
      </w:r>
    </w:p>
  </w:footnote>
  <w:footnote w:id="76">
    <w:p w:rsidR="00CF0C33" w:rsidRDefault="00CF0C33" w:rsidP="0002748B">
      <w:pPr>
        <w:pStyle w:val="Textonotapie"/>
        <w:jc w:val="both"/>
      </w:pPr>
      <w:r>
        <w:rPr>
          <w:rStyle w:val="Refdenotaalpie"/>
        </w:rPr>
        <w:footnoteRef/>
      </w:r>
      <w:r>
        <w:t xml:space="preserve"> Decretos 327/2010 y 328/2010, de 13 de julio</w:t>
      </w:r>
    </w:p>
  </w:footnote>
  <w:footnote w:id="77">
    <w:p w:rsidR="00CF0C33" w:rsidRDefault="00CF0C33" w:rsidP="00F8771A">
      <w:pPr>
        <w:pStyle w:val="Textonotapie"/>
        <w:jc w:val="both"/>
      </w:pPr>
      <w:r>
        <w:rPr>
          <w:rStyle w:val="Refdenotaalpie"/>
        </w:rPr>
        <w:footnoteRef/>
      </w:r>
      <w:r>
        <w:t xml:space="preserve"> Paso 10 sobre el Protocolo de actuación ante casos de violencia de género</w:t>
      </w:r>
    </w:p>
  </w:footnote>
  <w:footnote w:id="78">
    <w:p w:rsidR="00CF0C33" w:rsidRDefault="00CF0C33" w:rsidP="003870DF">
      <w:pPr>
        <w:pStyle w:val="Textonotapie"/>
        <w:jc w:val="both"/>
      </w:pPr>
      <w:r>
        <w:rPr>
          <w:rStyle w:val="Refdenotaalpie"/>
        </w:rPr>
        <w:footnoteRef/>
      </w:r>
      <w:r>
        <w:t xml:space="preserve"> Anexo I, sobre el protocolo de actuación frente a la violencia en el trabajo en la Administración General del Estado y los Organismos públicos vinculados o dependientes de ella. Introducción</w:t>
      </w:r>
    </w:p>
  </w:footnote>
  <w:footnote w:id="79">
    <w:p w:rsidR="00CF0C33" w:rsidRDefault="00CF0C33" w:rsidP="00F0300A">
      <w:pPr>
        <w:pStyle w:val="Textonotapie"/>
        <w:jc w:val="both"/>
      </w:pPr>
      <w:r>
        <w:rPr>
          <w:rStyle w:val="Refdenotaalpie"/>
        </w:rPr>
        <w:footnoteRef/>
      </w:r>
      <w:r>
        <w:t xml:space="preserve"> Actuaciones respecto al análisis y diagnóstico de la situación. BOE-A-2015-13388</w:t>
      </w:r>
    </w:p>
  </w:footnote>
  <w:footnote w:id="80">
    <w:p w:rsidR="00CF0C33" w:rsidRDefault="00CF0C33" w:rsidP="00645385">
      <w:pPr>
        <w:pStyle w:val="Textonotapie"/>
        <w:jc w:val="both"/>
      </w:pPr>
      <w:r>
        <w:rPr>
          <w:rStyle w:val="Refdenotaalpie"/>
        </w:rPr>
        <w:footnoteRef/>
      </w:r>
      <w:r>
        <w:t xml:space="preserve"> BOE-A-2015-13388. Estrategia preventiva y de actuación. Medidas proactivas y activas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A6334"/>
    <w:multiLevelType w:val="hybridMultilevel"/>
    <w:tmpl w:val="1D28DDB6"/>
    <w:lvl w:ilvl="0" w:tplc="9B4E90EC">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91D59F2"/>
    <w:multiLevelType w:val="multilevel"/>
    <w:tmpl w:val="CF0A290A"/>
    <w:lvl w:ilvl="0">
      <w:start w:val="3"/>
      <w:numFmt w:val="decimal"/>
      <w:lvlText w:val="%1"/>
      <w:lvlJc w:val="left"/>
      <w:pPr>
        <w:ind w:left="1440" w:hanging="360"/>
      </w:pPr>
      <w:rPr>
        <w:rFonts w:hint="default"/>
      </w:rPr>
    </w:lvl>
    <w:lvl w:ilvl="1">
      <w:start w:val="3"/>
      <w:numFmt w:val="decimal"/>
      <w:lvlText w:val="%1.%2"/>
      <w:lvlJc w:val="left"/>
      <w:pPr>
        <w:ind w:left="252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7560" w:hanging="108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080" w:hanging="1440"/>
      </w:pPr>
      <w:rPr>
        <w:rFonts w:hint="default"/>
      </w:rPr>
    </w:lvl>
    <w:lvl w:ilvl="8">
      <w:start w:val="1"/>
      <w:numFmt w:val="decimal"/>
      <w:lvlText w:val="%1.%2.%3.%4.%5.%6.%7.%8.%9"/>
      <w:lvlJc w:val="left"/>
      <w:pPr>
        <w:ind w:left="11520" w:hanging="1800"/>
      </w:pPr>
      <w:rPr>
        <w:rFonts w:hint="default"/>
      </w:rPr>
    </w:lvl>
  </w:abstractNum>
  <w:abstractNum w:abstractNumId="2" w15:restartNumberingAfterBreak="0">
    <w:nsid w:val="107B6CCB"/>
    <w:multiLevelType w:val="hybridMultilevel"/>
    <w:tmpl w:val="9320BAB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32D4762"/>
    <w:multiLevelType w:val="hybridMultilevel"/>
    <w:tmpl w:val="735879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4A24616"/>
    <w:multiLevelType w:val="multilevel"/>
    <w:tmpl w:val="C3F05D02"/>
    <w:lvl w:ilvl="0">
      <w:start w:val="1"/>
      <w:numFmt w:val="decimal"/>
      <w:lvlText w:val="%1."/>
      <w:lvlJc w:val="left"/>
      <w:pPr>
        <w:ind w:left="720" w:hanging="360"/>
      </w:pPr>
      <w:rPr>
        <w:rFonts w:hint="default"/>
        <w:b/>
      </w:rPr>
    </w:lvl>
    <w:lvl w:ilvl="1">
      <w:start w:val="2"/>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5" w15:restartNumberingAfterBreak="0">
    <w:nsid w:val="1BFD78EC"/>
    <w:multiLevelType w:val="hybridMultilevel"/>
    <w:tmpl w:val="99E44598"/>
    <w:lvl w:ilvl="0" w:tplc="0C0A000F">
      <w:start w:val="1"/>
      <w:numFmt w:val="decimal"/>
      <w:lvlText w:val="%1."/>
      <w:lvlJc w:val="left"/>
      <w:pPr>
        <w:ind w:left="1776" w:hanging="360"/>
      </w:p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6" w15:restartNumberingAfterBreak="0">
    <w:nsid w:val="1D684B81"/>
    <w:multiLevelType w:val="hybridMultilevel"/>
    <w:tmpl w:val="A306B55A"/>
    <w:lvl w:ilvl="0" w:tplc="6B2049CA">
      <w:numFmt w:val="bullet"/>
      <w:lvlText w:val="-"/>
      <w:lvlJc w:val="left"/>
      <w:pPr>
        <w:ind w:left="1776" w:hanging="360"/>
      </w:pPr>
      <w:rPr>
        <w:rFonts w:ascii="Times New Roman" w:eastAsiaTheme="minorHAnsi" w:hAnsi="Times New Roman" w:cs="Times New Roman"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 w15:restartNumberingAfterBreak="0">
    <w:nsid w:val="1F5E0ADE"/>
    <w:multiLevelType w:val="hybridMultilevel"/>
    <w:tmpl w:val="EEA247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39C4CBF"/>
    <w:multiLevelType w:val="multilevel"/>
    <w:tmpl w:val="146CC70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26C03BF1"/>
    <w:multiLevelType w:val="multilevel"/>
    <w:tmpl w:val="8C02C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2810AC"/>
    <w:multiLevelType w:val="hybridMultilevel"/>
    <w:tmpl w:val="A9E66194"/>
    <w:lvl w:ilvl="0" w:tplc="0C0A0005">
      <w:start w:val="1"/>
      <w:numFmt w:val="bullet"/>
      <w:lvlText w:val=""/>
      <w:lvlJc w:val="left"/>
      <w:pPr>
        <w:ind w:left="1068" w:hanging="360"/>
      </w:pPr>
      <w:rPr>
        <w:rFonts w:ascii="Wingdings" w:hAnsi="Wingdings" w:hint="default"/>
        <w:color w:val="auto"/>
        <w:sz w:val="24"/>
        <w:szCs w:val="24"/>
      </w:rPr>
    </w:lvl>
    <w:lvl w:ilvl="1" w:tplc="0C0A0003">
      <w:start w:val="1"/>
      <w:numFmt w:val="bullet"/>
      <w:lvlText w:val="o"/>
      <w:lvlJc w:val="left"/>
      <w:pPr>
        <w:ind w:left="1788" w:hanging="360"/>
      </w:pPr>
      <w:rPr>
        <w:rFonts w:ascii="Courier New" w:hAnsi="Courier New" w:cs="Courier New" w:hint="default"/>
      </w:rPr>
    </w:lvl>
    <w:lvl w:ilvl="2" w:tplc="0C0A0005">
      <w:start w:val="1"/>
      <w:numFmt w:val="bullet"/>
      <w:lvlText w:val=""/>
      <w:lvlJc w:val="left"/>
      <w:pPr>
        <w:ind w:left="2508" w:hanging="360"/>
      </w:pPr>
      <w:rPr>
        <w:rFonts w:ascii="Wingdings" w:hAnsi="Wingdings" w:hint="default"/>
      </w:rPr>
    </w:lvl>
    <w:lvl w:ilvl="3" w:tplc="0C0A000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1" w15:restartNumberingAfterBreak="0">
    <w:nsid w:val="29FD0EF4"/>
    <w:multiLevelType w:val="hybridMultilevel"/>
    <w:tmpl w:val="DAAEC6CC"/>
    <w:lvl w:ilvl="0" w:tplc="002E5E80">
      <w:start w:val="1"/>
      <w:numFmt w:val="decimal"/>
      <w:lvlText w:val="%1."/>
      <w:lvlJc w:val="left"/>
      <w:pPr>
        <w:ind w:left="1068" w:hanging="360"/>
      </w:pPr>
      <w:rPr>
        <w:rFonts w:hint="default"/>
        <w:b/>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2" w15:restartNumberingAfterBreak="0">
    <w:nsid w:val="2AE0047D"/>
    <w:multiLevelType w:val="hybridMultilevel"/>
    <w:tmpl w:val="072A1F96"/>
    <w:lvl w:ilvl="0" w:tplc="F044070E">
      <w:start w:val="14"/>
      <w:numFmt w:val="bullet"/>
      <w:lvlText w:val=""/>
      <w:lvlJc w:val="left"/>
      <w:pPr>
        <w:tabs>
          <w:tab w:val="num" w:pos="1065"/>
        </w:tabs>
        <w:ind w:left="1065" w:hanging="360"/>
      </w:pPr>
      <w:rPr>
        <w:rFonts w:ascii="Symbol" w:eastAsia="Times New Roman" w:hAnsi="Symbol" w:cs="Times New Roman" w:hint="default"/>
      </w:rPr>
    </w:lvl>
    <w:lvl w:ilvl="1" w:tplc="0C0A0003" w:tentative="1">
      <w:start w:val="1"/>
      <w:numFmt w:val="bullet"/>
      <w:lvlText w:val="o"/>
      <w:lvlJc w:val="left"/>
      <w:pPr>
        <w:tabs>
          <w:tab w:val="num" w:pos="1785"/>
        </w:tabs>
        <w:ind w:left="1785" w:hanging="360"/>
      </w:pPr>
      <w:rPr>
        <w:rFonts w:ascii="Courier New" w:hAnsi="Courier New" w:cs="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3" w15:restartNumberingAfterBreak="0">
    <w:nsid w:val="2D2C364F"/>
    <w:multiLevelType w:val="hybridMultilevel"/>
    <w:tmpl w:val="2294D64A"/>
    <w:lvl w:ilvl="0" w:tplc="02968F26">
      <w:numFmt w:val="bullet"/>
      <w:lvlText w:val="-"/>
      <w:lvlJc w:val="left"/>
      <w:pPr>
        <w:ind w:left="1068" w:hanging="360"/>
      </w:pPr>
      <w:rPr>
        <w:rFonts w:ascii="Times New Roman" w:eastAsiaTheme="minorHAnsi"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4" w15:restartNumberingAfterBreak="0">
    <w:nsid w:val="30AE2D21"/>
    <w:multiLevelType w:val="hybridMultilevel"/>
    <w:tmpl w:val="866C82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24007CD"/>
    <w:multiLevelType w:val="multilevel"/>
    <w:tmpl w:val="C6B8102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38294B9E"/>
    <w:multiLevelType w:val="hybridMultilevel"/>
    <w:tmpl w:val="7C8227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AF45EA9"/>
    <w:multiLevelType w:val="hybridMultilevel"/>
    <w:tmpl w:val="6E16A35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B9337FC"/>
    <w:multiLevelType w:val="multilevel"/>
    <w:tmpl w:val="DE74BE8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C402007"/>
    <w:multiLevelType w:val="multilevel"/>
    <w:tmpl w:val="41DAD6FE"/>
    <w:lvl w:ilvl="0">
      <w:start w:val="1"/>
      <w:numFmt w:val="decimal"/>
      <w:lvlText w:val="%1."/>
      <w:lvlJc w:val="left"/>
      <w:pPr>
        <w:ind w:left="720" w:hanging="360"/>
      </w:pPr>
      <w:rPr>
        <w:rFonts w:hint="default"/>
        <w:b/>
      </w:rPr>
    </w:lvl>
    <w:lvl w:ilvl="1">
      <w:start w:val="1"/>
      <w:numFmt w:val="decimal"/>
      <w:isLgl/>
      <w:lvlText w:val="%1.%2"/>
      <w:lvlJc w:val="left"/>
      <w:pPr>
        <w:ind w:left="1068" w:hanging="360"/>
      </w:pPr>
      <w:rPr>
        <w:rFonts w:hint="default"/>
        <w:b/>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0" w15:restartNumberingAfterBreak="0">
    <w:nsid w:val="3CCA3F4F"/>
    <w:multiLevelType w:val="hybridMultilevel"/>
    <w:tmpl w:val="EC2298B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E2437A0"/>
    <w:multiLevelType w:val="hybridMultilevel"/>
    <w:tmpl w:val="88E64964"/>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2" w15:restartNumberingAfterBreak="0">
    <w:nsid w:val="416B7963"/>
    <w:multiLevelType w:val="hybridMultilevel"/>
    <w:tmpl w:val="93827A8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38D4255"/>
    <w:multiLevelType w:val="hybridMultilevel"/>
    <w:tmpl w:val="EDB61D0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4F1520EE"/>
    <w:multiLevelType w:val="hybridMultilevel"/>
    <w:tmpl w:val="FEEA0A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3EE2427"/>
    <w:multiLevelType w:val="hybridMultilevel"/>
    <w:tmpl w:val="C7D48B9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5451178"/>
    <w:multiLevelType w:val="hybridMultilevel"/>
    <w:tmpl w:val="9744AE7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AFC3E6E"/>
    <w:multiLevelType w:val="hybridMultilevel"/>
    <w:tmpl w:val="903013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B505EB0"/>
    <w:multiLevelType w:val="multilevel"/>
    <w:tmpl w:val="C6B8102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5C3229E9"/>
    <w:multiLevelType w:val="hybridMultilevel"/>
    <w:tmpl w:val="53569218"/>
    <w:lvl w:ilvl="0" w:tplc="04708EB6">
      <w:start w:val="1"/>
      <w:numFmt w:val="decimal"/>
      <w:lvlText w:val="%1."/>
      <w:lvlJc w:val="left"/>
      <w:pPr>
        <w:ind w:left="1068" w:hanging="360"/>
      </w:pPr>
      <w:rPr>
        <w:rFonts w:hint="default"/>
      </w:r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start w:val="1"/>
      <w:numFmt w:val="decimal"/>
      <w:lvlText w:val="%7."/>
      <w:lvlJc w:val="left"/>
      <w:pPr>
        <w:ind w:left="5388" w:hanging="360"/>
      </w:pPr>
    </w:lvl>
    <w:lvl w:ilvl="7" w:tplc="0C0A0019">
      <w:start w:val="1"/>
      <w:numFmt w:val="lowerLetter"/>
      <w:lvlText w:val="%8."/>
      <w:lvlJc w:val="left"/>
      <w:pPr>
        <w:ind w:left="6108" w:hanging="360"/>
      </w:pPr>
    </w:lvl>
    <w:lvl w:ilvl="8" w:tplc="0C0A001B">
      <w:start w:val="1"/>
      <w:numFmt w:val="lowerRoman"/>
      <w:lvlText w:val="%9."/>
      <w:lvlJc w:val="right"/>
      <w:pPr>
        <w:ind w:left="6828" w:hanging="180"/>
      </w:pPr>
    </w:lvl>
  </w:abstractNum>
  <w:abstractNum w:abstractNumId="30" w15:restartNumberingAfterBreak="0">
    <w:nsid w:val="5CD341FF"/>
    <w:multiLevelType w:val="hybridMultilevel"/>
    <w:tmpl w:val="9968C88C"/>
    <w:lvl w:ilvl="0" w:tplc="6068F574">
      <w:start w:val="1"/>
      <w:numFmt w:val="decimal"/>
      <w:lvlText w:val="%1)"/>
      <w:lvlJc w:val="left"/>
      <w:pPr>
        <w:ind w:left="720" w:hanging="360"/>
      </w:pPr>
      <w:rPr>
        <w:rFonts w:hint="default"/>
        <w:b/>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E93725A"/>
    <w:multiLevelType w:val="hybridMultilevel"/>
    <w:tmpl w:val="62D61184"/>
    <w:lvl w:ilvl="0" w:tplc="9D0445F6">
      <w:start w:val="2"/>
      <w:numFmt w:val="bullet"/>
      <w:lvlText w:val="-"/>
      <w:lvlJc w:val="left"/>
      <w:pPr>
        <w:ind w:left="720" w:hanging="360"/>
      </w:pPr>
      <w:rPr>
        <w:rFonts w:ascii="Times New Roman" w:eastAsiaTheme="minorHAnsi" w:hAnsi="Times New Roman" w:cs="Times New Roman" w:hint="default"/>
        <w:color w:val="000000"/>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1281742"/>
    <w:multiLevelType w:val="hybridMultilevel"/>
    <w:tmpl w:val="94F046FE"/>
    <w:lvl w:ilvl="0" w:tplc="E9D2D39C">
      <w:start w:val="2"/>
      <w:numFmt w:val="bullet"/>
      <w:lvlText w:val="-"/>
      <w:lvlJc w:val="left"/>
      <w:pPr>
        <w:ind w:left="720" w:hanging="360"/>
      </w:pPr>
      <w:rPr>
        <w:rFonts w:ascii="Times New Roman" w:eastAsiaTheme="minorHAnsi" w:hAnsi="Times New Roman" w:cs="Times New Roman" w:hint="default"/>
        <w:color w:val="auto"/>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36143EA"/>
    <w:multiLevelType w:val="multilevel"/>
    <w:tmpl w:val="5A04E4AA"/>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4" w15:restartNumberingAfterBreak="0">
    <w:nsid w:val="64C23D9C"/>
    <w:multiLevelType w:val="hybridMultilevel"/>
    <w:tmpl w:val="6DE0AD32"/>
    <w:lvl w:ilvl="0" w:tplc="EBBE92D4">
      <w:numFmt w:val="bullet"/>
      <w:lvlText w:val=""/>
      <w:lvlJc w:val="left"/>
      <w:pPr>
        <w:tabs>
          <w:tab w:val="num" w:pos="1593"/>
        </w:tabs>
        <w:ind w:left="1593" w:hanging="885"/>
      </w:pPr>
      <w:rPr>
        <w:rFonts w:ascii="Symbol" w:eastAsia="Times New Roman" w:hAnsi="Symbol" w:cs="Times New Roman"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5" w15:restartNumberingAfterBreak="0">
    <w:nsid w:val="666F0E93"/>
    <w:multiLevelType w:val="hybridMultilevel"/>
    <w:tmpl w:val="8A323CD8"/>
    <w:lvl w:ilvl="0" w:tplc="061A7172">
      <w:start w:val="5"/>
      <w:numFmt w:val="bullet"/>
      <w:lvlText w:val="-"/>
      <w:lvlJc w:val="left"/>
      <w:pPr>
        <w:ind w:left="1068" w:hanging="360"/>
      </w:pPr>
      <w:rPr>
        <w:rFonts w:ascii="Times New Roman" w:eastAsiaTheme="minorHAnsi"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6" w15:restartNumberingAfterBreak="0">
    <w:nsid w:val="66AA47EC"/>
    <w:multiLevelType w:val="multilevel"/>
    <w:tmpl w:val="ECD0895A"/>
    <w:lvl w:ilvl="0">
      <w:start w:val="5"/>
      <w:numFmt w:val="decimal"/>
      <w:lvlText w:val="%1"/>
      <w:lvlJc w:val="left"/>
      <w:pPr>
        <w:ind w:left="360" w:hanging="360"/>
      </w:pPr>
      <w:rPr>
        <w:rFonts w:hint="default"/>
      </w:rPr>
    </w:lvl>
    <w:lvl w:ilvl="1">
      <w:start w:val="2"/>
      <w:numFmt w:val="decimal"/>
      <w:lvlText w:val="%1.%2"/>
      <w:lvlJc w:val="left"/>
      <w:pPr>
        <w:ind w:left="1416" w:hanging="360"/>
      </w:pPr>
      <w:rPr>
        <w:rFonts w:hint="default"/>
      </w:rPr>
    </w:lvl>
    <w:lvl w:ilvl="2">
      <w:start w:val="1"/>
      <w:numFmt w:val="decimal"/>
      <w:lvlText w:val="%1.%2.%3"/>
      <w:lvlJc w:val="left"/>
      <w:pPr>
        <w:ind w:left="2832" w:hanging="720"/>
      </w:pPr>
      <w:rPr>
        <w:rFonts w:hint="default"/>
      </w:rPr>
    </w:lvl>
    <w:lvl w:ilvl="3">
      <w:start w:val="1"/>
      <w:numFmt w:val="decimal"/>
      <w:lvlText w:val="%1.%2.%3.%4"/>
      <w:lvlJc w:val="left"/>
      <w:pPr>
        <w:ind w:left="3888" w:hanging="720"/>
      </w:pPr>
      <w:rPr>
        <w:rFonts w:hint="default"/>
      </w:rPr>
    </w:lvl>
    <w:lvl w:ilvl="4">
      <w:start w:val="1"/>
      <w:numFmt w:val="decimal"/>
      <w:lvlText w:val="%1.%2.%3.%4.%5"/>
      <w:lvlJc w:val="left"/>
      <w:pPr>
        <w:ind w:left="5304" w:hanging="1080"/>
      </w:pPr>
      <w:rPr>
        <w:rFonts w:hint="default"/>
      </w:rPr>
    </w:lvl>
    <w:lvl w:ilvl="5">
      <w:start w:val="1"/>
      <w:numFmt w:val="decimal"/>
      <w:lvlText w:val="%1.%2.%3.%4.%5.%6"/>
      <w:lvlJc w:val="left"/>
      <w:pPr>
        <w:ind w:left="6360" w:hanging="1080"/>
      </w:pPr>
      <w:rPr>
        <w:rFonts w:hint="default"/>
      </w:rPr>
    </w:lvl>
    <w:lvl w:ilvl="6">
      <w:start w:val="1"/>
      <w:numFmt w:val="decimal"/>
      <w:lvlText w:val="%1.%2.%3.%4.%5.%6.%7"/>
      <w:lvlJc w:val="left"/>
      <w:pPr>
        <w:ind w:left="7776" w:hanging="1440"/>
      </w:pPr>
      <w:rPr>
        <w:rFonts w:hint="default"/>
      </w:rPr>
    </w:lvl>
    <w:lvl w:ilvl="7">
      <w:start w:val="1"/>
      <w:numFmt w:val="decimal"/>
      <w:lvlText w:val="%1.%2.%3.%4.%5.%6.%7.%8"/>
      <w:lvlJc w:val="left"/>
      <w:pPr>
        <w:ind w:left="8832" w:hanging="1440"/>
      </w:pPr>
      <w:rPr>
        <w:rFonts w:hint="default"/>
      </w:rPr>
    </w:lvl>
    <w:lvl w:ilvl="8">
      <w:start w:val="1"/>
      <w:numFmt w:val="decimal"/>
      <w:lvlText w:val="%1.%2.%3.%4.%5.%6.%7.%8.%9"/>
      <w:lvlJc w:val="left"/>
      <w:pPr>
        <w:ind w:left="10248" w:hanging="1800"/>
      </w:pPr>
      <w:rPr>
        <w:rFonts w:hint="default"/>
      </w:rPr>
    </w:lvl>
  </w:abstractNum>
  <w:abstractNum w:abstractNumId="37" w15:restartNumberingAfterBreak="0">
    <w:nsid w:val="6B2B22AE"/>
    <w:multiLevelType w:val="hybridMultilevel"/>
    <w:tmpl w:val="46C0CA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6F0A10D9"/>
    <w:multiLevelType w:val="multilevel"/>
    <w:tmpl w:val="C61EE8FA"/>
    <w:lvl w:ilvl="0">
      <w:start w:val="1"/>
      <w:numFmt w:val="decimal"/>
      <w:lvlText w:val="%1."/>
      <w:lvlJc w:val="left"/>
      <w:pPr>
        <w:ind w:left="720" w:hanging="360"/>
      </w:pPr>
      <w:rPr>
        <w:rFonts w:hint="default"/>
        <w:b/>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39" w15:restartNumberingAfterBreak="0">
    <w:nsid w:val="712A1EC1"/>
    <w:multiLevelType w:val="hybridMultilevel"/>
    <w:tmpl w:val="B8A2B422"/>
    <w:lvl w:ilvl="0" w:tplc="CAE44782">
      <w:start w:val="1"/>
      <w:numFmt w:val="decimal"/>
      <w:lvlText w:val="%1."/>
      <w:lvlJc w:val="left"/>
      <w:pPr>
        <w:ind w:left="720" w:hanging="360"/>
      </w:pPr>
      <w:rPr>
        <w:rFonts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3D156FB"/>
    <w:multiLevelType w:val="hybridMultilevel"/>
    <w:tmpl w:val="0D70CD7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75AD3CBB"/>
    <w:multiLevelType w:val="hybridMultilevel"/>
    <w:tmpl w:val="28BC07A2"/>
    <w:lvl w:ilvl="0" w:tplc="0C0A0003">
      <w:start w:val="1"/>
      <w:numFmt w:val="bullet"/>
      <w:lvlText w:val="o"/>
      <w:lvlJc w:val="left"/>
      <w:pPr>
        <w:ind w:left="1068" w:hanging="360"/>
      </w:pPr>
      <w:rPr>
        <w:rFonts w:ascii="Courier New" w:hAnsi="Courier New" w:cs="Courier New"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42" w15:restartNumberingAfterBreak="0">
    <w:nsid w:val="7B72052B"/>
    <w:multiLevelType w:val="multilevel"/>
    <w:tmpl w:val="F2729A88"/>
    <w:lvl w:ilvl="0">
      <w:start w:val="5"/>
      <w:numFmt w:val="decimal"/>
      <w:lvlText w:val="%1"/>
      <w:lvlJc w:val="left"/>
      <w:pPr>
        <w:ind w:left="360" w:hanging="360"/>
      </w:pPr>
      <w:rPr>
        <w:rFonts w:hint="default"/>
      </w:rPr>
    </w:lvl>
    <w:lvl w:ilvl="1">
      <w:start w:val="1"/>
      <w:numFmt w:val="decimal"/>
      <w:lvlText w:val="%1.%2"/>
      <w:lvlJc w:val="left"/>
      <w:pPr>
        <w:ind w:left="1416" w:hanging="360"/>
      </w:pPr>
      <w:rPr>
        <w:rFonts w:hint="default"/>
      </w:rPr>
    </w:lvl>
    <w:lvl w:ilvl="2">
      <w:start w:val="1"/>
      <w:numFmt w:val="decimal"/>
      <w:lvlText w:val="%1.%2.%3"/>
      <w:lvlJc w:val="left"/>
      <w:pPr>
        <w:ind w:left="2832" w:hanging="720"/>
      </w:pPr>
      <w:rPr>
        <w:rFonts w:hint="default"/>
      </w:rPr>
    </w:lvl>
    <w:lvl w:ilvl="3">
      <w:start w:val="1"/>
      <w:numFmt w:val="decimal"/>
      <w:lvlText w:val="%1.%2.%3.%4"/>
      <w:lvlJc w:val="left"/>
      <w:pPr>
        <w:ind w:left="3888" w:hanging="720"/>
      </w:pPr>
      <w:rPr>
        <w:rFonts w:hint="default"/>
      </w:rPr>
    </w:lvl>
    <w:lvl w:ilvl="4">
      <w:start w:val="1"/>
      <w:numFmt w:val="decimal"/>
      <w:lvlText w:val="%1.%2.%3.%4.%5"/>
      <w:lvlJc w:val="left"/>
      <w:pPr>
        <w:ind w:left="5304" w:hanging="1080"/>
      </w:pPr>
      <w:rPr>
        <w:rFonts w:hint="default"/>
      </w:rPr>
    </w:lvl>
    <w:lvl w:ilvl="5">
      <w:start w:val="1"/>
      <w:numFmt w:val="decimal"/>
      <w:lvlText w:val="%1.%2.%3.%4.%5.%6"/>
      <w:lvlJc w:val="left"/>
      <w:pPr>
        <w:ind w:left="6360" w:hanging="1080"/>
      </w:pPr>
      <w:rPr>
        <w:rFonts w:hint="default"/>
      </w:rPr>
    </w:lvl>
    <w:lvl w:ilvl="6">
      <w:start w:val="1"/>
      <w:numFmt w:val="decimal"/>
      <w:lvlText w:val="%1.%2.%3.%4.%5.%6.%7"/>
      <w:lvlJc w:val="left"/>
      <w:pPr>
        <w:ind w:left="7776" w:hanging="1440"/>
      </w:pPr>
      <w:rPr>
        <w:rFonts w:hint="default"/>
      </w:rPr>
    </w:lvl>
    <w:lvl w:ilvl="7">
      <w:start w:val="1"/>
      <w:numFmt w:val="decimal"/>
      <w:lvlText w:val="%1.%2.%3.%4.%5.%6.%7.%8"/>
      <w:lvlJc w:val="left"/>
      <w:pPr>
        <w:ind w:left="8832" w:hanging="1440"/>
      </w:pPr>
      <w:rPr>
        <w:rFonts w:hint="default"/>
      </w:rPr>
    </w:lvl>
    <w:lvl w:ilvl="8">
      <w:start w:val="1"/>
      <w:numFmt w:val="decimal"/>
      <w:lvlText w:val="%1.%2.%3.%4.%5.%6.%7.%8.%9"/>
      <w:lvlJc w:val="left"/>
      <w:pPr>
        <w:ind w:left="10248" w:hanging="1800"/>
      </w:pPr>
      <w:rPr>
        <w:rFonts w:hint="default"/>
      </w:rPr>
    </w:lvl>
  </w:abstractNum>
  <w:abstractNum w:abstractNumId="43" w15:restartNumberingAfterBreak="0">
    <w:nsid w:val="7DC36A07"/>
    <w:multiLevelType w:val="hybridMultilevel"/>
    <w:tmpl w:val="2FF88E1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4" w15:restartNumberingAfterBreak="0">
    <w:nsid w:val="7E5856E1"/>
    <w:multiLevelType w:val="multilevel"/>
    <w:tmpl w:val="6376236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EBC3AE5"/>
    <w:multiLevelType w:val="hybridMultilevel"/>
    <w:tmpl w:val="9A3455F4"/>
    <w:lvl w:ilvl="0" w:tplc="C9D23302">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8"/>
  </w:num>
  <w:num w:numId="3">
    <w:abstractNumId w:val="33"/>
  </w:num>
  <w:num w:numId="4">
    <w:abstractNumId w:val="31"/>
  </w:num>
  <w:num w:numId="5">
    <w:abstractNumId w:val="32"/>
  </w:num>
  <w:num w:numId="6">
    <w:abstractNumId w:val="39"/>
  </w:num>
  <w:num w:numId="7">
    <w:abstractNumId w:val="19"/>
  </w:num>
  <w:num w:numId="8">
    <w:abstractNumId w:val="28"/>
  </w:num>
  <w:num w:numId="9">
    <w:abstractNumId w:val="16"/>
  </w:num>
  <w:num w:numId="10">
    <w:abstractNumId w:val="2"/>
  </w:num>
  <w:num w:numId="11">
    <w:abstractNumId w:val="26"/>
  </w:num>
  <w:num w:numId="12">
    <w:abstractNumId w:val="40"/>
  </w:num>
  <w:num w:numId="13">
    <w:abstractNumId w:val="45"/>
  </w:num>
  <w:num w:numId="14">
    <w:abstractNumId w:val="1"/>
  </w:num>
  <w:num w:numId="15">
    <w:abstractNumId w:val="5"/>
  </w:num>
  <w:num w:numId="16">
    <w:abstractNumId w:val="34"/>
  </w:num>
  <w:num w:numId="17">
    <w:abstractNumId w:val="14"/>
  </w:num>
  <w:num w:numId="18">
    <w:abstractNumId w:val="37"/>
  </w:num>
  <w:num w:numId="19">
    <w:abstractNumId w:val="24"/>
  </w:num>
  <w:num w:numId="20">
    <w:abstractNumId w:val="7"/>
  </w:num>
  <w:num w:numId="21">
    <w:abstractNumId w:val="27"/>
  </w:num>
  <w:num w:numId="22">
    <w:abstractNumId w:val="3"/>
  </w:num>
  <w:num w:numId="23">
    <w:abstractNumId w:val="30"/>
  </w:num>
  <w:num w:numId="24">
    <w:abstractNumId w:val="12"/>
  </w:num>
  <w:num w:numId="25">
    <w:abstractNumId w:val="25"/>
  </w:num>
  <w:num w:numId="26">
    <w:abstractNumId w:val="11"/>
  </w:num>
  <w:num w:numId="27">
    <w:abstractNumId w:val="6"/>
  </w:num>
  <w:num w:numId="28">
    <w:abstractNumId w:val="20"/>
  </w:num>
  <w:num w:numId="29">
    <w:abstractNumId w:val="21"/>
  </w:num>
  <w:num w:numId="30">
    <w:abstractNumId w:val="22"/>
  </w:num>
  <w:num w:numId="31">
    <w:abstractNumId w:val="29"/>
  </w:num>
  <w:num w:numId="32">
    <w:abstractNumId w:val="13"/>
  </w:num>
  <w:num w:numId="33">
    <w:abstractNumId w:val="10"/>
  </w:num>
  <w:num w:numId="34">
    <w:abstractNumId w:val="9"/>
  </w:num>
  <w:num w:numId="35">
    <w:abstractNumId w:val="15"/>
  </w:num>
  <w:num w:numId="36">
    <w:abstractNumId w:val="36"/>
  </w:num>
  <w:num w:numId="37">
    <w:abstractNumId w:val="18"/>
  </w:num>
  <w:num w:numId="38">
    <w:abstractNumId w:val="44"/>
  </w:num>
  <w:num w:numId="39">
    <w:abstractNumId w:val="42"/>
  </w:num>
  <w:num w:numId="40">
    <w:abstractNumId w:val="4"/>
  </w:num>
  <w:num w:numId="41">
    <w:abstractNumId w:val="41"/>
  </w:num>
  <w:num w:numId="42">
    <w:abstractNumId w:val="35"/>
  </w:num>
  <w:num w:numId="43">
    <w:abstractNumId w:val="38"/>
  </w:num>
  <w:num w:numId="44">
    <w:abstractNumId w:val="0"/>
  </w:num>
  <w:num w:numId="45">
    <w:abstractNumId w:val="17"/>
  </w:num>
  <w:num w:numId="46">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s-ES_tradnl"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909"/>
    <w:rsid w:val="00000E3A"/>
    <w:rsid w:val="00000EAB"/>
    <w:rsid w:val="00007DC9"/>
    <w:rsid w:val="000152AF"/>
    <w:rsid w:val="00017F6D"/>
    <w:rsid w:val="00024EC2"/>
    <w:rsid w:val="0002748B"/>
    <w:rsid w:val="00031F9A"/>
    <w:rsid w:val="00053DA2"/>
    <w:rsid w:val="00053F74"/>
    <w:rsid w:val="000559DB"/>
    <w:rsid w:val="000613DD"/>
    <w:rsid w:val="000623AC"/>
    <w:rsid w:val="00064D1C"/>
    <w:rsid w:val="00065D41"/>
    <w:rsid w:val="00066C3E"/>
    <w:rsid w:val="000727B8"/>
    <w:rsid w:val="00072C04"/>
    <w:rsid w:val="0008486D"/>
    <w:rsid w:val="00085D9A"/>
    <w:rsid w:val="000876F7"/>
    <w:rsid w:val="00092F00"/>
    <w:rsid w:val="00093A1A"/>
    <w:rsid w:val="000974DE"/>
    <w:rsid w:val="000A5305"/>
    <w:rsid w:val="000B5BB6"/>
    <w:rsid w:val="000B6AFA"/>
    <w:rsid w:val="000B7AAD"/>
    <w:rsid w:val="000C72D5"/>
    <w:rsid w:val="000D33F7"/>
    <w:rsid w:val="000E0704"/>
    <w:rsid w:val="000E0BAB"/>
    <w:rsid w:val="000E7589"/>
    <w:rsid w:val="000F2F17"/>
    <w:rsid w:val="000F5F6C"/>
    <w:rsid w:val="0010295D"/>
    <w:rsid w:val="00114F36"/>
    <w:rsid w:val="00131B33"/>
    <w:rsid w:val="001421CD"/>
    <w:rsid w:val="001423A7"/>
    <w:rsid w:val="0014792F"/>
    <w:rsid w:val="001512A8"/>
    <w:rsid w:val="00153AAF"/>
    <w:rsid w:val="00156A47"/>
    <w:rsid w:val="00174AE6"/>
    <w:rsid w:val="001952D9"/>
    <w:rsid w:val="001A310C"/>
    <w:rsid w:val="001A7935"/>
    <w:rsid w:val="001B497B"/>
    <w:rsid w:val="001B5A3C"/>
    <w:rsid w:val="001C3E8B"/>
    <w:rsid w:val="001F5096"/>
    <w:rsid w:val="00200632"/>
    <w:rsid w:val="00201C0E"/>
    <w:rsid w:val="00207AD0"/>
    <w:rsid w:val="00212E1A"/>
    <w:rsid w:val="00230D89"/>
    <w:rsid w:val="00232CC1"/>
    <w:rsid w:val="00234480"/>
    <w:rsid w:val="00240A6C"/>
    <w:rsid w:val="002511D2"/>
    <w:rsid w:val="002525A1"/>
    <w:rsid w:val="0025716B"/>
    <w:rsid w:val="0026442C"/>
    <w:rsid w:val="00267425"/>
    <w:rsid w:val="002778DF"/>
    <w:rsid w:val="002918E4"/>
    <w:rsid w:val="002933F0"/>
    <w:rsid w:val="002A14E7"/>
    <w:rsid w:val="002C51C5"/>
    <w:rsid w:val="002F711A"/>
    <w:rsid w:val="003013FF"/>
    <w:rsid w:val="003024FC"/>
    <w:rsid w:val="003149C3"/>
    <w:rsid w:val="00317313"/>
    <w:rsid w:val="00323A07"/>
    <w:rsid w:val="00325BA0"/>
    <w:rsid w:val="00336891"/>
    <w:rsid w:val="00340808"/>
    <w:rsid w:val="0035028B"/>
    <w:rsid w:val="00356C91"/>
    <w:rsid w:val="00356FE5"/>
    <w:rsid w:val="003579D7"/>
    <w:rsid w:val="00357E51"/>
    <w:rsid w:val="00361115"/>
    <w:rsid w:val="00362BDC"/>
    <w:rsid w:val="0036761F"/>
    <w:rsid w:val="00375C5B"/>
    <w:rsid w:val="0038527C"/>
    <w:rsid w:val="003870DF"/>
    <w:rsid w:val="0039006F"/>
    <w:rsid w:val="003A56E4"/>
    <w:rsid w:val="003B12C6"/>
    <w:rsid w:val="003B694D"/>
    <w:rsid w:val="003C1749"/>
    <w:rsid w:val="003C33B7"/>
    <w:rsid w:val="003C3725"/>
    <w:rsid w:val="003D0BD2"/>
    <w:rsid w:val="003D4971"/>
    <w:rsid w:val="003E1D2C"/>
    <w:rsid w:val="003E2BCB"/>
    <w:rsid w:val="003E2FAC"/>
    <w:rsid w:val="003F0747"/>
    <w:rsid w:val="003F4C1D"/>
    <w:rsid w:val="003F5272"/>
    <w:rsid w:val="003F55A7"/>
    <w:rsid w:val="003F781E"/>
    <w:rsid w:val="004143C0"/>
    <w:rsid w:val="00424138"/>
    <w:rsid w:val="00427F4F"/>
    <w:rsid w:val="00434C0F"/>
    <w:rsid w:val="0045085B"/>
    <w:rsid w:val="004536E9"/>
    <w:rsid w:val="004622FF"/>
    <w:rsid w:val="004625AF"/>
    <w:rsid w:val="00463F59"/>
    <w:rsid w:val="00464909"/>
    <w:rsid w:val="00466E9F"/>
    <w:rsid w:val="00472CEF"/>
    <w:rsid w:val="00477720"/>
    <w:rsid w:val="00477D7A"/>
    <w:rsid w:val="0048753E"/>
    <w:rsid w:val="00497445"/>
    <w:rsid w:val="004A0023"/>
    <w:rsid w:val="004B3596"/>
    <w:rsid w:val="004B4969"/>
    <w:rsid w:val="004C0EA2"/>
    <w:rsid w:val="004C6089"/>
    <w:rsid w:val="004C69A4"/>
    <w:rsid w:val="004C7383"/>
    <w:rsid w:val="004D2B67"/>
    <w:rsid w:val="004D38B5"/>
    <w:rsid w:val="004E1776"/>
    <w:rsid w:val="005044C1"/>
    <w:rsid w:val="00506C1D"/>
    <w:rsid w:val="00516BE9"/>
    <w:rsid w:val="00521C7F"/>
    <w:rsid w:val="00522D27"/>
    <w:rsid w:val="0055521A"/>
    <w:rsid w:val="00564DDD"/>
    <w:rsid w:val="0058239E"/>
    <w:rsid w:val="00583442"/>
    <w:rsid w:val="0058505B"/>
    <w:rsid w:val="005906F4"/>
    <w:rsid w:val="00591F02"/>
    <w:rsid w:val="00593DB2"/>
    <w:rsid w:val="00597823"/>
    <w:rsid w:val="005A7667"/>
    <w:rsid w:val="005A7843"/>
    <w:rsid w:val="005B076F"/>
    <w:rsid w:val="005B0D2B"/>
    <w:rsid w:val="005B3B2C"/>
    <w:rsid w:val="005D3DD8"/>
    <w:rsid w:val="005D4707"/>
    <w:rsid w:val="005E08C6"/>
    <w:rsid w:val="005E5AE5"/>
    <w:rsid w:val="005F1A0B"/>
    <w:rsid w:val="005F33D9"/>
    <w:rsid w:val="005F7EE8"/>
    <w:rsid w:val="00611F62"/>
    <w:rsid w:val="00623E21"/>
    <w:rsid w:val="00643EAF"/>
    <w:rsid w:val="00645385"/>
    <w:rsid w:val="006519E9"/>
    <w:rsid w:val="00651E90"/>
    <w:rsid w:val="006561F1"/>
    <w:rsid w:val="00673A9C"/>
    <w:rsid w:val="006748BD"/>
    <w:rsid w:val="00686315"/>
    <w:rsid w:val="006B79DC"/>
    <w:rsid w:val="006C06E3"/>
    <w:rsid w:val="006C2535"/>
    <w:rsid w:val="006D2591"/>
    <w:rsid w:val="006E338E"/>
    <w:rsid w:val="006E63D9"/>
    <w:rsid w:val="006F1729"/>
    <w:rsid w:val="00707D8F"/>
    <w:rsid w:val="00713E44"/>
    <w:rsid w:val="00715107"/>
    <w:rsid w:val="0071549E"/>
    <w:rsid w:val="007158BE"/>
    <w:rsid w:val="00717E53"/>
    <w:rsid w:val="007254B9"/>
    <w:rsid w:val="0074223A"/>
    <w:rsid w:val="00747760"/>
    <w:rsid w:val="00760953"/>
    <w:rsid w:val="00772F9F"/>
    <w:rsid w:val="00775392"/>
    <w:rsid w:val="007844A8"/>
    <w:rsid w:val="00786FD3"/>
    <w:rsid w:val="00787441"/>
    <w:rsid w:val="00791771"/>
    <w:rsid w:val="00793C96"/>
    <w:rsid w:val="00795919"/>
    <w:rsid w:val="00796854"/>
    <w:rsid w:val="007A326C"/>
    <w:rsid w:val="007C5036"/>
    <w:rsid w:val="007D1C61"/>
    <w:rsid w:val="007E740D"/>
    <w:rsid w:val="007F448E"/>
    <w:rsid w:val="007F4B6A"/>
    <w:rsid w:val="00824634"/>
    <w:rsid w:val="0083125B"/>
    <w:rsid w:val="008318D9"/>
    <w:rsid w:val="008401A1"/>
    <w:rsid w:val="00843B6D"/>
    <w:rsid w:val="00852740"/>
    <w:rsid w:val="008527A0"/>
    <w:rsid w:val="00860E13"/>
    <w:rsid w:val="00861A6E"/>
    <w:rsid w:val="00864C4E"/>
    <w:rsid w:val="008735A8"/>
    <w:rsid w:val="00881F12"/>
    <w:rsid w:val="0089281E"/>
    <w:rsid w:val="00894134"/>
    <w:rsid w:val="00894F70"/>
    <w:rsid w:val="008A0933"/>
    <w:rsid w:val="008A0C6A"/>
    <w:rsid w:val="008A2315"/>
    <w:rsid w:val="008A5F81"/>
    <w:rsid w:val="008B2B80"/>
    <w:rsid w:val="008B696A"/>
    <w:rsid w:val="008C07D5"/>
    <w:rsid w:val="008C5104"/>
    <w:rsid w:val="008D5AE6"/>
    <w:rsid w:val="008E3A5B"/>
    <w:rsid w:val="008F4D61"/>
    <w:rsid w:val="008F6C47"/>
    <w:rsid w:val="009026D5"/>
    <w:rsid w:val="00917F59"/>
    <w:rsid w:val="00920543"/>
    <w:rsid w:val="009421ED"/>
    <w:rsid w:val="00960731"/>
    <w:rsid w:val="00963239"/>
    <w:rsid w:val="00963FDB"/>
    <w:rsid w:val="009811E6"/>
    <w:rsid w:val="00981237"/>
    <w:rsid w:val="00981B8D"/>
    <w:rsid w:val="0098316D"/>
    <w:rsid w:val="00991508"/>
    <w:rsid w:val="009A1016"/>
    <w:rsid w:val="009A3323"/>
    <w:rsid w:val="009B2FBA"/>
    <w:rsid w:val="009B418F"/>
    <w:rsid w:val="009B6370"/>
    <w:rsid w:val="009B7BE9"/>
    <w:rsid w:val="009C0C10"/>
    <w:rsid w:val="009D0E24"/>
    <w:rsid w:val="009D37D0"/>
    <w:rsid w:val="009D6DEF"/>
    <w:rsid w:val="009E08FD"/>
    <w:rsid w:val="009E1BC3"/>
    <w:rsid w:val="009E4886"/>
    <w:rsid w:val="009F43E2"/>
    <w:rsid w:val="009F4FB4"/>
    <w:rsid w:val="009F7DCD"/>
    <w:rsid w:val="00A002E9"/>
    <w:rsid w:val="00A01D4A"/>
    <w:rsid w:val="00A06405"/>
    <w:rsid w:val="00A12963"/>
    <w:rsid w:val="00A16B58"/>
    <w:rsid w:val="00A17177"/>
    <w:rsid w:val="00A220D7"/>
    <w:rsid w:val="00A32B68"/>
    <w:rsid w:val="00A4142C"/>
    <w:rsid w:val="00A437AE"/>
    <w:rsid w:val="00A60EEB"/>
    <w:rsid w:val="00A70537"/>
    <w:rsid w:val="00A73DDD"/>
    <w:rsid w:val="00A74850"/>
    <w:rsid w:val="00A753CC"/>
    <w:rsid w:val="00A7615E"/>
    <w:rsid w:val="00A76D3F"/>
    <w:rsid w:val="00A81267"/>
    <w:rsid w:val="00A8392D"/>
    <w:rsid w:val="00A85EF9"/>
    <w:rsid w:val="00A96BFE"/>
    <w:rsid w:val="00AA33FF"/>
    <w:rsid w:val="00AA5982"/>
    <w:rsid w:val="00AA78B5"/>
    <w:rsid w:val="00AB65FA"/>
    <w:rsid w:val="00AC10FC"/>
    <w:rsid w:val="00AC206B"/>
    <w:rsid w:val="00AC2F7E"/>
    <w:rsid w:val="00AC3479"/>
    <w:rsid w:val="00AC374B"/>
    <w:rsid w:val="00AD173E"/>
    <w:rsid w:val="00AD6413"/>
    <w:rsid w:val="00AD7962"/>
    <w:rsid w:val="00AE0C92"/>
    <w:rsid w:val="00B01031"/>
    <w:rsid w:val="00B07DFA"/>
    <w:rsid w:val="00B131D6"/>
    <w:rsid w:val="00B21EE4"/>
    <w:rsid w:val="00B223AF"/>
    <w:rsid w:val="00B2514D"/>
    <w:rsid w:val="00B42D73"/>
    <w:rsid w:val="00B569A1"/>
    <w:rsid w:val="00B70168"/>
    <w:rsid w:val="00B80B80"/>
    <w:rsid w:val="00B8149B"/>
    <w:rsid w:val="00B836DF"/>
    <w:rsid w:val="00B96F83"/>
    <w:rsid w:val="00BA1FF8"/>
    <w:rsid w:val="00BA7C95"/>
    <w:rsid w:val="00BB496F"/>
    <w:rsid w:val="00BB5EEC"/>
    <w:rsid w:val="00BC7A60"/>
    <w:rsid w:val="00BE0E56"/>
    <w:rsid w:val="00BF1F44"/>
    <w:rsid w:val="00C17D7C"/>
    <w:rsid w:val="00C20173"/>
    <w:rsid w:val="00C25529"/>
    <w:rsid w:val="00C35061"/>
    <w:rsid w:val="00C358DC"/>
    <w:rsid w:val="00C36110"/>
    <w:rsid w:val="00C41965"/>
    <w:rsid w:val="00C42DBE"/>
    <w:rsid w:val="00C50C67"/>
    <w:rsid w:val="00C54F39"/>
    <w:rsid w:val="00C55AC1"/>
    <w:rsid w:val="00C57445"/>
    <w:rsid w:val="00C60F29"/>
    <w:rsid w:val="00C6528E"/>
    <w:rsid w:val="00C73826"/>
    <w:rsid w:val="00C857EC"/>
    <w:rsid w:val="00C95E8B"/>
    <w:rsid w:val="00CA0064"/>
    <w:rsid w:val="00CA0B1A"/>
    <w:rsid w:val="00CA71A6"/>
    <w:rsid w:val="00CC13BE"/>
    <w:rsid w:val="00CE2D05"/>
    <w:rsid w:val="00CE4AAE"/>
    <w:rsid w:val="00CE6811"/>
    <w:rsid w:val="00CE7A77"/>
    <w:rsid w:val="00CE7A96"/>
    <w:rsid w:val="00CF011D"/>
    <w:rsid w:val="00CF0C33"/>
    <w:rsid w:val="00D111EA"/>
    <w:rsid w:val="00D126E5"/>
    <w:rsid w:val="00D15324"/>
    <w:rsid w:val="00D24756"/>
    <w:rsid w:val="00D31258"/>
    <w:rsid w:val="00D313C5"/>
    <w:rsid w:val="00D32537"/>
    <w:rsid w:val="00D37F75"/>
    <w:rsid w:val="00D40968"/>
    <w:rsid w:val="00D44B11"/>
    <w:rsid w:val="00D50D2B"/>
    <w:rsid w:val="00D5438E"/>
    <w:rsid w:val="00D563F2"/>
    <w:rsid w:val="00D57D02"/>
    <w:rsid w:val="00D63381"/>
    <w:rsid w:val="00D664C1"/>
    <w:rsid w:val="00D714B1"/>
    <w:rsid w:val="00D76AF5"/>
    <w:rsid w:val="00D912CB"/>
    <w:rsid w:val="00D921D9"/>
    <w:rsid w:val="00D93282"/>
    <w:rsid w:val="00D96AA4"/>
    <w:rsid w:val="00DB0B16"/>
    <w:rsid w:val="00DC28B5"/>
    <w:rsid w:val="00DD071E"/>
    <w:rsid w:val="00DD0961"/>
    <w:rsid w:val="00DE23EF"/>
    <w:rsid w:val="00DE43E9"/>
    <w:rsid w:val="00DE47CB"/>
    <w:rsid w:val="00DE6BB1"/>
    <w:rsid w:val="00E06DD3"/>
    <w:rsid w:val="00E11159"/>
    <w:rsid w:val="00E11873"/>
    <w:rsid w:val="00E20B40"/>
    <w:rsid w:val="00E25197"/>
    <w:rsid w:val="00E31628"/>
    <w:rsid w:val="00E32030"/>
    <w:rsid w:val="00E3340F"/>
    <w:rsid w:val="00E35ED7"/>
    <w:rsid w:val="00E42BB2"/>
    <w:rsid w:val="00E45D35"/>
    <w:rsid w:val="00E50FB5"/>
    <w:rsid w:val="00E54016"/>
    <w:rsid w:val="00E600E5"/>
    <w:rsid w:val="00E60A59"/>
    <w:rsid w:val="00E62087"/>
    <w:rsid w:val="00E63ACE"/>
    <w:rsid w:val="00E65341"/>
    <w:rsid w:val="00EA0230"/>
    <w:rsid w:val="00EA35E8"/>
    <w:rsid w:val="00EA3BE1"/>
    <w:rsid w:val="00EA3C47"/>
    <w:rsid w:val="00EA7477"/>
    <w:rsid w:val="00EB2750"/>
    <w:rsid w:val="00EB7364"/>
    <w:rsid w:val="00EC5391"/>
    <w:rsid w:val="00EF15D7"/>
    <w:rsid w:val="00EF1B64"/>
    <w:rsid w:val="00EF3FA4"/>
    <w:rsid w:val="00EF582C"/>
    <w:rsid w:val="00EF695C"/>
    <w:rsid w:val="00EF7398"/>
    <w:rsid w:val="00F0300A"/>
    <w:rsid w:val="00F042B2"/>
    <w:rsid w:val="00F11969"/>
    <w:rsid w:val="00F26689"/>
    <w:rsid w:val="00F3386C"/>
    <w:rsid w:val="00F3529C"/>
    <w:rsid w:val="00F35B5F"/>
    <w:rsid w:val="00F361C7"/>
    <w:rsid w:val="00F3727A"/>
    <w:rsid w:val="00F4064A"/>
    <w:rsid w:val="00F6176E"/>
    <w:rsid w:val="00F64F71"/>
    <w:rsid w:val="00F7344C"/>
    <w:rsid w:val="00F756FF"/>
    <w:rsid w:val="00F811E3"/>
    <w:rsid w:val="00F8771A"/>
    <w:rsid w:val="00FA45AC"/>
    <w:rsid w:val="00FA5DF5"/>
    <w:rsid w:val="00FB60A0"/>
    <w:rsid w:val="00FB6D5B"/>
    <w:rsid w:val="00FB75FA"/>
    <w:rsid w:val="00FC08B7"/>
    <w:rsid w:val="00FC1B8B"/>
    <w:rsid w:val="00FD046E"/>
    <w:rsid w:val="00FD7851"/>
    <w:rsid w:val="00FE701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837C0"/>
  <w15:docId w15:val="{5BDDFBB4-E0D8-4115-BBD5-4646D7A19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s-ES" w:eastAsia="en-US" w:bidi="ar-SA"/>
      </w:rPr>
    </w:rPrDefault>
    <w:pPrDefault>
      <w:pPr>
        <w:spacing w:after="160" w:line="360" w:lineRule="auto"/>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0168"/>
  </w:style>
  <w:style w:type="paragraph" w:styleId="Ttulo1">
    <w:name w:val="heading 1"/>
    <w:basedOn w:val="Normal"/>
    <w:next w:val="Normal"/>
    <w:link w:val="Ttulo1Car"/>
    <w:uiPriority w:val="9"/>
    <w:qFormat/>
    <w:rsid w:val="00CA0B1A"/>
    <w:pPr>
      <w:keepNext/>
      <w:spacing w:after="0" w:line="240" w:lineRule="auto"/>
      <w:outlineLvl w:val="0"/>
    </w:pPr>
    <w:rPr>
      <w:rFonts w:ascii="Arial" w:eastAsia="Times New Roman" w:hAnsi="Arial"/>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CA0B1A"/>
    <w:pPr>
      <w:keepNext/>
      <w:spacing w:after="0" w:line="240" w:lineRule="auto"/>
      <w:outlineLvl w:val="1"/>
    </w:pPr>
    <w:rPr>
      <w:rFonts w:ascii="Arial" w:eastAsia="Times New Roman" w:hAnsi="Arial"/>
      <w:color w:val="C0C0C0"/>
      <w:sz w:val="56"/>
      <w:szCs w:val="20"/>
      <w:lang w:eastAsia="es-ES"/>
    </w:rPr>
  </w:style>
  <w:style w:type="paragraph" w:styleId="Ttulo3">
    <w:name w:val="heading 3"/>
    <w:basedOn w:val="Normal"/>
    <w:next w:val="Normal"/>
    <w:link w:val="Ttulo3Car"/>
    <w:uiPriority w:val="9"/>
    <w:semiHidden/>
    <w:unhideWhenUsed/>
    <w:qFormat/>
    <w:rsid w:val="00F64F71"/>
    <w:pPr>
      <w:keepNext/>
      <w:keepLines/>
      <w:spacing w:before="40" w:after="0"/>
      <w:outlineLvl w:val="2"/>
    </w:pPr>
    <w:rPr>
      <w:rFonts w:asciiTheme="majorHAnsi" w:eastAsiaTheme="majorEastAsia" w:hAnsiTheme="majorHAnsi" w:cstheme="majorBidi"/>
      <w:color w:val="1F4D78" w:themeColor="accent1" w:themeShade="7F"/>
    </w:rPr>
  </w:style>
  <w:style w:type="paragraph" w:styleId="Ttulo4">
    <w:name w:val="heading 4"/>
    <w:basedOn w:val="Normal"/>
    <w:next w:val="Normal"/>
    <w:link w:val="Ttulo4Car"/>
    <w:qFormat/>
    <w:rsid w:val="00CA0B1A"/>
    <w:pPr>
      <w:keepNext/>
      <w:spacing w:after="0" w:line="240" w:lineRule="auto"/>
      <w:outlineLvl w:val="3"/>
    </w:pPr>
    <w:rPr>
      <w:rFonts w:ascii="Arial" w:eastAsia="Times New Roman" w:hAnsi="Arial"/>
      <w:sz w:val="32"/>
      <w:szCs w:val="20"/>
      <w:lang w:eastAsia="es-ES"/>
    </w:rPr>
  </w:style>
  <w:style w:type="paragraph" w:styleId="Ttulo5">
    <w:name w:val="heading 5"/>
    <w:basedOn w:val="Normal"/>
    <w:next w:val="Normal"/>
    <w:link w:val="Ttulo5Car"/>
    <w:qFormat/>
    <w:rsid w:val="00CA0B1A"/>
    <w:pPr>
      <w:keepNext/>
      <w:spacing w:after="0" w:line="240" w:lineRule="auto"/>
      <w:outlineLvl w:val="4"/>
    </w:pPr>
    <w:rPr>
      <w:rFonts w:ascii="Arial" w:eastAsia="Times New Roman" w:hAnsi="Arial"/>
      <w:b/>
      <w:sz w:val="32"/>
      <w:szCs w:val="20"/>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A0B1A"/>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CA0B1A"/>
    <w:rPr>
      <w:rFonts w:ascii="Arial" w:eastAsia="Times New Roman" w:hAnsi="Arial" w:cs="Times New Roman"/>
      <w:color w:val="C0C0C0"/>
      <w:sz w:val="56"/>
      <w:szCs w:val="20"/>
      <w:lang w:eastAsia="es-ES"/>
    </w:rPr>
  </w:style>
  <w:style w:type="character" w:customStyle="1" w:styleId="Ttulo4Car">
    <w:name w:val="Título 4 Car"/>
    <w:basedOn w:val="Fuentedeprrafopredeter"/>
    <w:link w:val="Ttulo4"/>
    <w:rsid w:val="00CA0B1A"/>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CA0B1A"/>
    <w:rPr>
      <w:rFonts w:ascii="Arial" w:eastAsia="Times New Roman" w:hAnsi="Arial" w:cs="Times New Roman"/>
      <w:b/>
      <w:sz w:val="32"/>
      <w:szCs w:val="20"/>
      <w:u w:val="single"/>
      <w:lang w:eastAsia="es-ES"/>
    </w:rPr>
  </w:style>
  <w:style w:type="paragraph" w:styleId="Textoindependiente">
    <w:name w:val="Body Text"/>
    <w:basedOn w:val="Normal"/>
    <w:link w:val="TextoindependienteCar"/>
    <w:rsid w:val="00CA0B1A"/>
    <w:pPr>
      <w:spacing w:after="0" w:line="240" w:lineRule="auto"/>
    </w:pPr>
    <w:rPr>
      <w:rFonts w:eastAsia="Times New Roman"/>
      <w:sz w:val="48"/>
      <w:szCs w:val="20"/>
      <w:lang w:eastAsia="es-ES"/>
    </w:rPr>
  </w:style>
  <w:style w:type="character" w:customStyle="1" w:styleId="TextoindependienteCar">
    <w:name w:val="Texto independiente Car"/>
    <w:basedOn w:val="Fuentedeprrafopredeter"/>
    <w:link w:val="Textoindependiente"/>
    <w:rsid w:val="00CA0B1A"/>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CA0B1A"/>
    <w:pPr>
      <w:spacing w:after="0" w:line="240" w:lineRule="auto"/>
    </w:pPr>
    <w:rPr>
      <w:rFonts w:ascii="Arial" w:eastAsia="Times New Roman" w:hAnsi="Arial"/>
      <w:smallCaps/>
      <w:sz w:val="52"/>
      <w:szCs w:val="20"/>
      <w:lang w:eastAsia="es-ES"/>
    </w:rPr>
  </w:style>
  <w:style w:type="character" w:customStyle="1" w:styleId="Textoindependiente2Car">
    <w:name w:val="Texto independiente 2 Car"/>
    <w:basedOn w:val="Fuentedeprrafopredeter"/>
    <w:link w:val="Textoindependiente2"/>
    <w:rsid w:val="00CA0B1A"/>
    <w:rPr>
      <w:rFonts w:ascii="Arial" w:eastAsia="Times New Roman" w:hAnsi="Arial" w:cs="Times New Roman"/>
      <w:smallCaps/>
      <w:sz w:val="52"/>
      <w:szCs w:val="20"/>
      <w:lang w:eastAsia="es-ES"/>
    </w:rPr>
  </w:style>
  <w:style w:type="paragraph" w:styleId="Encabezado">
    <w:name w:val="header"/>
    <w:basedOn w:val="Normal"/>
    <w:link w:val="EncabezadoCar"/>
    <w:uiPriority w:val="99"/>
    <w:unhideWhenUsed/>
    <w:rsid w:val="00D5438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5438E"/>
  </w:style>
  <w:style w:type="paragraph" w:styleId="Piedepgina">
    <w:name w:val="footer"/>
    <w:basedOn w:val="Normal"/>
    <w:link w:val="PiedepginaCar"/>
    <w:uiPriority w:val="99"/>
    <w:unhideWhenUsed/>
    <w:rsid w:val="00D5438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5438E"/>
  </w:style>
  <w:style w:type="paragraph" w:styleId="Prrafodelista">
    <w:name w:val="List Paragraph"/>
    <w:basedOn w:val="Normal"/>
    <w:uiPriority w:val="34"/>
    <w:qFormat/>
    <w:rsid w:val="00D5438E"/>
    <w:pPr>
      <w:ind w:left="720"/>
      <w:contextualSpacing/>
    </w:pPr>
  </w:style>
  <w:style w:type="character" w:styleId="Hipervnculo">
    <w:name w:val="Hyperlink"/>
    <w:basedOn w:val="Fuentedeprrafopredeter"/>
    <w:uiPriority w:val="99"/>
    <w:unhideWhenUsed/>
    <w:rsid w:val="000E0BAB"/>
    <w:rPr>
      <w:color w:val="0563C1" w:themeColor="hyperlink"/>
      <w:u w:val="single"/>
    </w:rPr>
  </w:style>
  <w:style w:type="paragraph" w:styleId="Textonotaalfinal">
    <w:name w:val="endnote text"/>
    <w:basedOn w:val="Normal"/>
    <w:link w:val="TextonotaalfinalCar"/>
    <w:uiPriority w:val="99"/>
    <w:semiHidden/>
    <w:unhideWhenUsed/>
    <w:rsid w:val="00A8126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81267"/>
    <w:rPr>
      <w:sz w:val="20"/>
      <w:szCs w:val="20"/>
    </w:rPr>
  </w:style>
  <w:style w:type="character" w:styleId="Refdenotaalfinal">
    <w:name w:val="endnote reference"/>
    <w:basedOn w:val="Fuentedeprrafopredeter"/>
    <w:uiPriority w:val="99"/>
    <w:semiHidden/>
    <w:unhideWhenUsed/>
    <w:rsid w:val="00A81267"/>
    <w:rPr>
      <w:vertAlign w:val="superscript"/>
    </w:rPr>
  </w:style>
  <w:style w:type="paragraph" w:styleId="Textonotapie">
    <w:name w:val="footnote text"/>
    <w:basedOn w:val="Normal"/>
    <w:link w:val="TextonotapieCar"/>
    <w:uiPriority w:val="99"/>
    <w:unhideWhenUsed/>
    <w:rsid w:val="00A81267"/>
    <w:pPr>
      <w:spacing w:after="0" w:line="240" w:lineRule="auto"/>
    </w:pPr>
    <w:rPr>
      <w:sz w:val="20"/>
      <w:szCs w:val="20"/>
    </w:rPr>
  </w:style>
  <w:style w:type="character" w:customStyle="1" w:styleId="TextonotapieCar">
    <w:name w:val="Texto nota pie Car"/>
    <w:basedOn w:val="Fuentedeprrafopredeter"/>
    <w:link w:val="Textonotapie"/>
    <w:uiPriority w:val="99"/>
    <w:rsid w:val="00A81267"/>
    <w:rPr>
      <w:sz w:val="20"/>
      <w:szCs w:val="20"/>
    </w:rPr>
  </w:style>
  <w:style w:type="character" w:styleId="Refdenotaalpie">
    <w:name w:val="footnote reference"/>
    <w:basedOn w:val="Fuentedeprrafopredeter"/>
    <w:uiPriority w:val="99"/>
    <w:semiHidden/>
    <w:unhideWhenUsed/>
    <w:rsid w:val="00A81267"/>
    <w:rPr>
      <w:vertAlign w:val="superscript"/>
    </w:rPr>
  </w:style>
  <w:style w:type="character" w:customStyle="1" w:styleId="Ttulo3Car">
    <w:name w:val="Título 3 Car"/>
    <w:basedOn w:val="Fuentedeprrafopredeter"/>
    <w:link w:val="Ttulo3"/>
    <w:uiPriority w:val="9"/>
    <w:semiHidden/>
    <w:rsid w:val="00F64F71"/>
    <w:rPr>
      <w:rFonts w:asciiTheme="majorHAnsi" w:eastAsiaTheme="majorEastAsia" w:hAnsiTheme="majorHAnsi" w:cstheme="majorBidi"/>
      <w:color w:val="1F4D78" w:themeColor="accent1" w:themeShade="7F"/>
    </w:rPr>
  </w:style>
  <w:style w:type="paragraph" w:styleId="Textodeglobo">
    <w:name w:val="Balloon Text"/>
    <w:basedOn w:val="Normal"/>
    <w:link w:val="TextodegloboCar"/>
    <w:uiPriority w:val="99"/>
    <w:semiHidden/>
    <w:unhideWhenUsed/>
    <w:rsid w:val="00521C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21C7F"/>
    <w:rPr>
      <w:rFonts w:ascii="Segoe UI" w:hAnsi="Segoe UI" w:cs="Segoe UI"/>
      <w:sz w:val="18"/>
      <w:szCs w:val="18"/>
    </w:rPr>
  </w:style>
  <w:style w:type="table" w:styleId="Tablaconcuadrcula">
    <w:name w:val="Table Grid"/>
    <w:basedOn w:val="Tablanormal"/>
    <w:uiPriority w:val="39"/>
    <w:rsid w:val="007E74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2-nfasis51">
    <w:name w:val="Tabla de cuadrícula 2 - Énfasis 51"/>
    <w:basedOn w:val="Tablanormal"/>
    <w:uiPriority w:val="47"/>
    <w:rsid w:val="007E740D"/>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au">
    <w:name w:val="pau"/>
    <w:basedOn w:val="Normal"/>
    <w:rsid w:val="0035028B"/>
    <w:pPr>
      <w:spacing w:before="100" w:beforeAutospacing="1" w:after="100" w:afterAutospacing="1" w:line="240" w:lineRule="auto"/>
      <w:jc w:val="left"/>
    </w:pPr>
    <w:rPr>
      <w:rFonts w:eastAsia="Times New Roman"/>
      <w:lang w:eastAsia="es-ES"/>
    </w:rPr>
  </w:style>
  <w:style w:type="paragraph" w:customStyle="1" w:styleId="ppr">
    <w:name w:val="ppr"/>
    <w:basedOn w:val="Normal"/>
    <w:rsid w:val="0035028B"/>
    <w:pPr>
      <w:spacing w:before="100" w:beforeAutospacing="1" w:after="100" w:afterAutospacing="1" w:line="240" w:lineRule="auto"/>
      <w:jc w:val="left"/>
    </w:pPr>
    <w:rPr>
      <w:rFonts w:eastAsia="Times New Roman"/>
      <w:lang w:eastAsia="es-ES"/>
    </w:rPr>
  </w:style>
  <w:style w:type="paragraph" w:customStyle="1" w:styleId="pex">
    <w:name w:val="pex"/>
    <w:basedOn w:val="Normal"/>
    <w:rsid w:val="0035028B"/>
    <w:pPr>
      <w:spacing w:before="100" w:beforeAutospacing="1" w:after="100" w:afterAutospacing="1" w:line="240" w:lineRule="auto"/>
      <w:jc w:val="left"/>
    </w:pPr>
    <w:rPr>
      <w:rFonts w:eastAsia="Times New Roman"/>
      <w:lang w:eastAsia="es-ES"/>
    </w:rPr>
  </w:style>
  <w:style w:type="paragraph" w:styleId="NormalWeb">
    <w:name w:val="Normal (Web)"/>
    <w:basedOn w:val="Normal"/>
    <w:uiPriority w:val="99"/>
    <w:semiHidden/>
    <w:unhideWhenUsed/>
    <w:rsid w:val="0035028B"/>
    <w:pPr>
      <w:spacing w:before="100" w:beforeAutospacing="1" w:after="100" w:afterAutospacing="1" w:line="240" w:lineRule="auto"/>
      <w:jc w:val="left"/>
    </w:pPr>
    <w:rPr>
      <w:rFonts w:eastAsia="Times New Roman"/>
      <w:lang w:eastAsia="es-ES"/>
    </w:rPr>
  </w:style>
  <w:style w:type="character" w:styleId="nfasis">
    <w:name w:val="Emphasis"/>
    <w:basedOn w:val="Fuentedeprrafopredeter"/>
    <w:uiPriority w:val="20"/>
    <w:qFormat/>
    <w:rsid w:val="0035028B"/>
    <w:rPr>
      <w:i/>
      <w:iCs/>
    </w:rPr>
  </w:style>
  <w:style w:type="paragraph" w:customStyle="1" w:styleId="parrafo">
    <w:name w:val="parrafo"/>
    <w:basedOn w:val="Normal"/>
    <w:rsid w:val="00713E44"/>
    <w:pPr>
      <w:spacing w:before="100" w:beforeAutospacing="1" w:after="100" w:afterAutospacing="1" w:line="240" w:lineRule="auto"/>
      <w:jc w:val="left"/>
    </w:pPr>
    <w:rPr>
      <w:rFonts w:eastAsia="Times New Roman"/>
      <w:lang w:eastAsia="es-ES"/>
    </w:rPr>
  </w:style>
  <w:style w:type="paragraph" w:customStyle="1" w:styleId="autor">
    <w:name w:val="autor"/>
    <w:basedOn w:val="Normal"/>
    <w:rsid w:val="00D31258"/>
    <w:pPr>
      <w:spacing w:before="100" w:beforeAutospacing="1" w:after="100" w:afterAutospacing="1" w:line="240" w:lineRule="auto"/>
      <w:jc w:val="left"/>
    </w:pPr>
    <w:rPr>
      <w:rFonts w:eastAsia="Times New Roman"/>
      <w:lang w:eastAsia="es-ES"/>
    </w:rPr>
  </w:style>
  <w:style w:type="character" w:styleId="Textoennegrita">
    <w:name w:val="Strong"/>
    <w:basedOn w:val="Fuentedeprrafopredeter"/>
    <w:uiPriority w:val="22"/>
    <w:qFormat/>
    <w:rsid w:val="00D31258"/>
    <w:rPr>
      <w:b/>
      <w:bCs/>
    </w:rPr>
  </w:style>
  <w:style w:type="table" w:styleId="Tabladecuadrcula1clara-nfasis5">
    <w:name w:val="Grid Table 1 Light Accent 5"/>
    <w:basedOn w:val="Tablanormal"/>
    <w:uiPriority w:val="46"/>
    <w:rsid w:val="006561F1"/>
    <w:pPr>
      <w:spacing w:after="0" w:line="240" w:lineRule="auto"/>
      <w:jc w:val="left"/>
    </w:pPr>
    <w:rPr>
      <w:szCs w:val="22"/>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763250">
      <w:bodyDiv w:val="1"/>
      <w:marLeft w:val="0"/>
      <w:marRight w:val="0"/>
      <w:marTop w:val="0"/>
      <w:marBottom w:val="0"/>
      <w:divBdr>
        <w:top w:val="none" w:sz="0" w:space="0" w:color="auto"/>
        <w:left w:val="none" w:sz="0" w:space="0" w:color="auto"/>
        <w:bottom w:val="none" w:sz="0" w:space="0" w:color="auto"/>
        <w:right w:val="none" w:sz="0" w:space="0" w:color="auto"/>
      </w:divBdr>
    </w:div>
    <w:div w:id="210071474">
      <w:bodyDiv w:val="1"/>
      <w:marLeft w:val="0"/>
      <w:marRight w:val="0"/>
      <w:marTop w:val="0"/>
      <w:marBottom w:val="0"/>
      <w:divBdr>
        <w:top w:val="none" w:sz="0" w:space="0" w:color="auto"/>
        <w:left w:val="none" w:sz="0" w:space="0" w:color="auto"/>
        <w:bottom w:val="none" w:sz="0" w:space="0" w:color="auto"/>
        <w:right w:val="none" w:sz="0" w:space="0" w:color="auto"/>
      </w:divBdr>
      <w:divsChild>
        <w:div w:id="76026519">
          <w:marLeft w:val="0"/>
          <w:marRight w:val="0"/>
          <w:marTop w:val="0"/>
          <w:marBottom w:val="0"/>
          <w:divBdr>
            <w:top w:val="none" w:sz="0" w:space="0" w:color="auto"/>
            <w:left w:val="none" w:sz="0" w:space="0" w:color="auto"/>
            <w:bottom w:val="none" w:sz="0" w:space="0" w:color="auto"/>
            <w:right w:val="none" w:sz="0" w:space="0" w:color="auto"/>
          </w:divBdr>
        </w:div>
        <w:div w:id="1193300168">
          <w:marLeft w:val="0"/>
          <w:marRight w:val="0"/>
          <w:marTop w:val="0"/>
          <w:marBottom w:val="0"/>
          <w:divBdr>
            <w:top w:val="none" w:sz="0" w:space="0" w:color="auto"/>
            <w:left w:val="none" w:sz="0" w:space="0" w:color="auto"/>
            <w:bottom w:val="none" w:sz="0" w:space="0" w:color="auto"/>
            <w:right w:val="none" w:sz="0" w:space="0" w:color="auto"/>
          </w:divBdr>
        </w:div>
        <w:div w:id="810053611">
          <w:marLeft w:val="0"/>
          <w:marRight w:val="0"/>
          <w:marTop w:val="0"/>
          <w:marBottom w:val="0"/>
          <w:divBdr>
            <w:top w:val="none" w:sz="0" w:space="0" w:color="auto"/>
            <w:left w:val="none" w:sz="0" w:space="0" w:color="auto"/>
            <w:bottom w:val="none" w:sz="0" w:space="0" w:color="auto"/>
            <w:right w:val="none" w:sz="0" w:space="0" w:color="auto"/>
          </w:divBdr>
        </w:div>
        <w:div w:id="1147210909">
          <w:marLeft w:val="0"/>
          <w:marRight w:val="0"/>
          <w:marTop w:val="0"/>
          <w:marBottom w:val="0"/>
          <w:divBdr>
            <w:top w:val="none" w:sz="0" w:space="0" w:color="auto"/>
            <w:left w:val="none" w:sz="0" w:space="0" w:color="auto"/>
            <w:bottom w:val="none" w:sz="0" w:space="0" w:color="auto"/>
            <w:right w:val="none" w:sz="0" w:space="0" w:color="auto"/>
          </w:divBdr>
        </w:div>
        <w:div w:id="2032604025">
          <w:marLeft w:val="0"/>
          <w:marRight w:val="0"/>
          <w:marTop w:val="0"/>
          <w:marBottom w:val="0"/>
          <w:divBdr>
            <w:top w:val="none" w:sz="0" w:space="0" w:color="auto"/>
            <w:left w:val="none" w:sz="0" w:space="0" w:color="auto"/>
            <w:bottom w:val="none" w:sz="0" w:space="0" w:color="auto"/>
            <w:right w:val="none" w:sz="0" w:space="0" w:color="auto"/>
          </w:divBdr>
        </w:div>
        <w:div w:id="104663610">
          <w:marLeft w:val="0"/>
          <w:marRight w:val="0"/>
          <w:marTop w:val="0"/>
          <w:marBottom w:val="0"/>
          <w:divBdr>
            <w:top w:val="none" w:sz="0" w:space="0" w:color="auto"/>
            <w:left w:val="none" w:sz="0" w:space="0" w:color="auto"/>
            <w:bottom w:val="none" w:sz="0" w:space="0" w:color="auto"/>
            <w:right w:val="none" w:sz="0" w:space="0" w:color="auto"/>
          </w:divBdr>
        </w:div>
        <w:div w:id="1440637614">
          <w:marLeft w:val="0"/>
          <w:marRight w:val="0"/>
          <w:marTop w:val="0"/>
          <w:marBottom w:val="0"/>
          <w:divBdr>
            <w:top w:val="none" w:sz="0" w:space="0" w:color="auto"/>
            <w:left w:val="none" w:sz="0" w:space="0" w:color="auto"/>
            <w:bottom w:val="none" w:sz="0" w:space="0" w:color="auto"/>
            <w:right w:val="none" w:sz="0" w:space="0" w:color="auto"/>
          </w:divBdr>
        </w:div>
        <w:div w:id="1076515621">
          <w:marLeft w:val="0"/>
          <w:marRight w:val="0"/>
          <w:marTop w:val="0"/>
          <w:marBottom w:val="0"/>
          <w:divBdr>
            <w:top w:val="none" w:sz="0" w:space="0" w:color="auto"/>
            <w:left w:val="none" w:sz="0" w:space="0" w:color="auto"/>
            <w:bottom w:val="none" w:sz="0" w:space="0" w:color="auto"/>
            <w:right w:val="none" w:sz="0" w:space="0" w:color="auto"/>
          </w:divBdr>
        </w:div>
        <w:div w:id="1514956749">
          <w:marLeft w:val="0"/>
          <w:marRight w:val="0"/>
          <w:marTop w:val="0"/>
          <w:marBottom w:val="0"/>
          <w:divBdr>
            <w:top w:val="none" w:sz="0" w:space="0" w:color="auto"/>
            <w:left w:val="none" w:sz="0" w:space="0" w:color="auto"/>
            <w:bottom w:val="none" w:sz="0" w:space="0" w:color="auto"/>
            <w:right w:val="none" w:sz="0" w:space="0" w:color="auto"/>
          </w:divBdr>
        </w:div>
        <w:div w:id="932741064">
          <w:marLeft w:val="0"/>
          <w:marRight w:val="0"/>
          <w:marTop w:val="0"/>
          <w:marBottom w:val="0"/>
          <w:divBdr>
            <w:top w:val="none" w:sz="0" w:space="0" w:color="auto"/>
            <w:left w:val="none" w:sz="0" w:space="0" w:color="auto"/>
            <w:bottom w:val="none" w:sz="0" w:space="0" w:color="auto"/>
            <w:right w:val="none" w:sz="0" w:space="0" w:color="auto"/>
          </w:divBdr>
        </w:div>
        <w:div w:id="1063139292">
          <w:marLeft w:val="0"/>
          <w:marRight w:val="0"/>
          <w:marTop w:val="0"/>
          <w:marBottom w:val="0"/>
          <w:divBdr>
            <w:top w:val="none" w:sz="0" w:space="0" w:color="auto"/>
            <w:left w:val="none" w:sz="0" w:space="0" w:color="auto"/>
            <w:bottom w:val="none" w:sz="0" w:space="0" w:color="auto"/>
            <w:right w:val="none" w:sz="0" w:space="0" w:color="auto"/>
          </w:divBdr>
        </w:div>
        <w:div w:id="2045400810">
          <w:marLeft w:val="0"/>
          <w:marRight w:val="0"/>
          <w:marTop w:val="0"/>
          <w:marBottom w:val="0"/>
          <w:divBdr>
            <w:top w:val="none" w:sz="0" w:space="0" w:color="auto"/>
            <w:left w:val="none" w:sz="0" w:space="0" w:color="auto"/>
            <w:bottom w:val="none" w:sz="0" w:space="0" w:color="auto"/>
            <w:right w:val="none" w:sz="0" w:space="0" w:color="auto"/>
          </w:divBdr>
        </w:div>
      </w:divsChild>
    </w:div>
    <w:div w:id="352077897">
      <w:bodyDiv w:val="1"/>
      <w:marLeft w:val="0"/>
      <w:marRight w:val="0"/>
      <w:marTop w:val="0"/>
      <w:marBottom w:val="0"/>
      <w:divBdr>
        <w:top w:val="none" w:sz="0" w:space="0" w:color="auto"/>
        <w:left w:val="none" w:sz="0" w:space="0" w:color="auto"/>
        <w:bottom w:val="none" w:sz="0" w:space="0" w:color="auto"/>
        <w:right w:val="none" w:sz="0" w:space="0" w:color="auto"/>
      </w:divBdr>
      <w:divsChild>
        <w:div w:id="782580995">
          <w:marLeft w:val="0"/>
          <w:marRight w:val="0"/>
          <w:marTop w:val="0"/>
          <w:marBottom w:val="0"/>
          <w:divBdr>
            <w:top w:val="none" w:sz="0" w:space="0" w:color="auto"/>
            <w:left w:val="none" w:sz="0" w:space="0" w:color="auto"/>
            <w:bottom w:val="none" w:sz="0" w:space="0" w:color="auto"/>
            <w:right w:val="none" w:sz="0" w:space="0" w:color="auto"/>
          </w:divBdr>
        </w:div>
        <w:div w:id="985937324">
          <w:marLeft w:val="0"/>
          <w:marRight w:val="0"/>
          <w:marTop w:val="0"/>
          <w:marBottom w:val="0"/>
          <w:divBdr>
            <w:top w:val="none" w:sz="0" w:space="0" w:color="auto"/>
            <w:left w:val="none" w:sz="0" w:space="0" w:color="auto"/>
            <w:bottom w:val="none" w:sz="0" w:space="0" w:color="auto"/>
            <w:right w:val="none" w:sz="0" w:space="0" w:color="auto"/>
          </w:divBdr>
        </w:div>
        <w:div w:id="354691642">
          <w:marLeft w:val="0"/>
          <w:marRight w:val="0"/>
          <w:marTop w:val="0"/>
          <w:marBottom w:val="0"/>
          <w:divBdr>
            <w:top w:val="none" w:sz="0" w:space="0" w:color="auto"/>
            <w:left w:val="none" w:sz="0" w:space="0" w:color="auto"/>
            <w:bottom w:val="none" w:sz="0" w:space="0" w:color="auto"/>
            <w:right w:val="none" w:sz="0" w:space="0" w:color="auto"/>
          </w:divBdr>
        </w:div>
        <w:div w:id="247539308">
          <w:marLeft w:val="0"/>
          <w:marRight w:val="0"/>
          <w:marTop w:val="0"/>
          <w:marBottom w:val="0"/>
          <w:divBdr>
            <w:top w:val="none" w:sz="0" w:space="0" w:color="auto"/>
            <w:left w:val="none" w:sz="0" w:space="0" w:color="auto"/>
            <w:bottom w:val="none" w:sz="0" w:space="0" w:color="auto"/>
            <w:right w:val="none" w:sz="0" w:space="0" w:color="auto"/>
          </w:divBdr>
        </w:div>
        <w:div w:id="220871742">
          <w:marLeft w:val="0"/>
          <w:marRight w:val="0"/>
          <w:marTop w:val="0"/>
          <w:marBottom w:val="0"/>
          <w:divBdr>
            <w:top w:val="none" w:sz="0" w:space="0" w:color="auto"/>
            <w:left w:val="none" w:sz="0" w:space="0" w:color="auto"/>
            <w:bottom w:val="none" w:sz="0" w:space="0" w:color="auto"/>
            <w:right w:val="none" w:sz="0" w:space="0" w:color="auto"/>
          </w:divBdr>
        </w:div>
        <w:div w:id="892695486">
          <w:marLeft w:val="0"/>
          <w:marRight w:val="0"/>
          <w:marTop w:val="0"/>
          <w:marBottom w:val="0"/>
          <w:divBdr>
            <w:top w:val="none" w:sz="0" w:space="0" w:color="auto"/>
            <w:left w:val="none" w:sz="0" w:space="0" w:color="auto"/>
            <w:bottom w:val="none" w:sz="0" w:space="0" w:color="auto"/>
            <w:right w:val="none" w:sz="0" w:space="0" w:color="auto"/>
          </w:divBdr>
        </w:div>
        <w:div w:id="1742169166">
          <w:marLeft w:val="0"/>
          <w:marRight w:val="0"/>
          <w:marTop w:val="0"/>
          <w:marBottom w:val="0"/>
          <w:divBdr>
            <w:top w:val="none" w:sz="0" w:space="0" w:color="auto"/>
            <w:left w:val="none" w:sz="0" w:space="0" w:color="auto"/>
            <w:bottom w:val="none" w:sz="0" w:space="0" w:color="auto"/>
            <w:right w:val="none" w:sz="0" w:space="0" w:color="auto"/>
          </w:divBdr>
        </w:div>
        <w:div w:id="989135572">
          <w:marLeft w:val="0"/>
          <w:marRight w:val="0"/>
          <w:marTop w:val="0"/>
          <w:marBottom w:val="0"/>
          <w:divBdr>
            <w:top w:val="none" w:sz="0" w:space="0" w:color="auto"/>
            <w:left w:val="none" w:sz="0" w:space="0" w:color="auto"/>
            <w:bottom w:val="none" w:sz="0" w:space="0" w:color="auto"/>
            <w:right w:val="none" w:sz="0" w:space="0" w:color="auto"/>
          </w:divBdr>
        </w:div>
        <w:div w:id="2120372870">
          <w:marLeft w:val="0"/>
          <w:marRight w:val="0"/>
          <w:marTop w:val="0"/>
          <w:marBottom w:val="0"/>
          <w:divBdr>
            <w:top w:val="none" w:sz="0" w:space="0" w:color="auto"/>
            <w:left w:val="none" w:sz="0" w:space="0" w:color="auto"/>
            <w:bottom w:val="none" w:sz="0" w:space="0" w:color="auto"/>
            <w:right w:val="none" w:sz="0" w:space="0" w:color="auto"/>
          </w:divBdr>
        </w:div>
        <w:div w:id="1818961562">
          <w:marLeft w:val="0"/>
          <w:marRight w:val="0"/>
          <w:marTop w:val="0"/>
          <w:marBottom w:val="0"/>
          <w:divBdr>
            <w:top w:val="none" w:sz="0" w:space="0" w:color="auto"/>
            <w:left w:val="none" w:sz="0" w:space="0" w:color="auto"/>
            <w:bottom w:val="none" w:sz="0" w:space="0" w:color="auto"/>
            <w:right w:val="none" w:sz="0" w:space="0" w:color="auto"/>
          </w:divBdr>
        </w:div>
        <w:div w:id="2016570486">
          <w:marLeft w:val="0"/>
          <w:marRight w:val="0"/>
          <w:marTop w:val="0"/>
          <w:marBottom w:val="0"/>
          <w:divBdr>
            <w:top w:val="none" w:sz="0" w:space="0" w:color="auto"/>
            <w:left w:val="none" w:sz="0" w:space="0" w:color="auto"/>
            <w:bottom w:val="none" w:sz="0" w:space="0" w:color="auto"/>
            <w:right w:val="none" w:sz="0" w:space="0" w:color="auto"/>
          </w:divBdr>
        </w:div>
        <w:div w:id="225147116">
          <w:marLeft w:val="0"/>
          <w:marRight w:val="0"/>
          <w:marTop w:val="0"/>
          <w:marBottom w:val="0"/>
          <w:divBdr>
            <w:top w:val="none" w:sz="0" w:space="0" w:color="auto"/>
            <w:left w:val="none" w:sz="0" w:space="0" w:color="auto"/>
            <w:bottom w:val="none" w:sz="0" w:space="0" w:color="auto"/>
            <w:right w:val="none" w:sz="0" w:space="0" w:color="auto"/>
          </w:divBdr>
        </w:div>
        <w:div w:id="888033760">
          <w:marLeft w:val="0"/>
          <w:marRight w:val="0"/>
          <w:marTop w:val="0"/>
          <w:marBottom w:val="0"/>
          <w:divBdr>
            <w:top w:val="none" w:sz="0" w:space="0" w:color="auto"/>
            <w:left w:val="none" w:sz="0" w:space="0" w:color="auto"/>
            <w:bottom w:val="none" w:sz="0" w:space="0" w:color="auto"/>
            <w:right w:val="none" w:sz="0" w:space="0" w:color="auto"/>
          </w:divBdr>
        </w:div>
        <w:div w:id="290018838">
          <w:marLeft w:val="0"/>
          <w:marRight w:val="0"/>
          <w:marTop w:val="0"/>
          <w:marBottom w:val="0"/>
          <w:divBdr>
            <w:top w:val="none" w:sz="0" w:space="0" w:color="auto"/>
            <w:left w:val="none" w:sz="0" w:space="0" w:color="auto"/>
            <w:bottom w:val="none" w:sz="0" w:space="0" w:color="auto"/>
            <w:right w:val="none" w:sz="0" w:space="0" w:color="auto"/>
          </w:divBdr>
        </w:div>
      </w:divsChild>
    </w:div>
    <w:div w:id="416244521">
      <w:bodyDiv w:val="1"/>
      <w:marLeft w:val="0"/>
      <w:marRight w:val="0"/>
      <w:marTop w:val="0"/>
      <w:marBottom w:val="0"/>
      <w:divBdr>
        <w:top w:val="none" w:sz="0" w:space="0" w:color="auto"/>
        <w:left w:val="none" w:sz="0" w:space="0" w:color="auto"/>
        <w:bottom w:val="none" w:sz="0" w:space="0" w:color="auto"/>
        <w:right w:val="none" w:sz="0" w:space="0" w:color="auto"/>
      </w:divBdr>
      <w:divsChild>
        <w:div w:id="559024892">
          <w:marLeft w:val="0"/>
          <w:marRight w:val="0"/>
          <w:marTop w:val="0"/>
          <w:marBottom w:val="0"/>
          <w:divBdr>
            <w:top w:val="none" w:sz="0" w:space="0" w:color="auto"/>
            <w:left w:val="none" w:sz="0" w:space="0" w:color="auto"/>
            <w:bottom w:val="none" w:sz="0" w:space="0" w:color="auto"/>
            <w:right w:val="none" w:sz="0" w:space="0" w:color="auto"/>
          </w:divBdr>
          <w:divsChild>
            <w:div w:id="1600093997">
              <w:marLeft w:val="0"/>
              <w:marRight w:val="0"/>
              <w:marTop w:val="0"/>
              <w:marBottom w:val="0"/>
              <w:divBdr>
                <w:top w:val="none" w:sz="0" w:space="0" w:color="auto"/>
                <w:left w:val="none" w:sz="0" w:space="0" w:color="auto"/>
                <w:bottom w:val="none" w:sz="0" w:space="0" w:color="auto"/>
                <w:right w:val="none" w:sz="0" w:space="0" w:color="auto"/>
              </w:divBdr>
            </w:div>
          </w:divsChild>
        </w:div>
        <w:div w:id="1677804986">
          <w:marLeft w:val="450"/>
          <w:marRight w:val="0"/>
          <w:marTop w:val="0"/>
          <w:marBottom w:val="0"/>
          <w:divBdr>
            <w:top w:val="none" w:sz="0" w:space="0" w:color="auto"/>
            <w:left w:val="none" w:sz="0" w:space="0" w:color="auto"/>
            <w:bottom w:val="none" w:sz="0" w:space="0" w:color="auto"/>
            <w:right w:val="none" w:sz="0" w:space="0" w:color="auto"/>
          </w:divBdr>
          <w:divsChild>
            <w:div w:id="1604798959">
              <w:marLeft w:val="0"/>
              <w:marRight w:val="0"/>
              <w:marTop w:val="0"/>
              <w:marBottom w:val="0"/>
              <w:divBdr>
                <w:top w:val="none" w:sz="0" w:space="0" w:color="auto"/>
                <w:left w:val="none" w:sz="0" w:space="0" w:color="auto"/>
                <w:bottom w:val="none" w:sz="0" w:space="0" w:color="auto"/>
                <w:right w:val="none" w:sz="0" w:space="0" w:color="auto"/>
              </w:divBdr>
              <w:divsChild>
                <w:div w:id="1934976003">
                  <w:marLeft w:val="0"/>
                  <w:marRight w:val="0"/>
                  <w:marTop w:val="0"/>
                  <w:marBottom w:val="0"/>
                  <w:divBdr>
                    <w:top w:val="none" w:sz="0" w:space="0" w:color="auto"/>
                    <w:left w:val="none" w:sz="0" w:space="0" w:color="auto"/>
                    <w:bottom w:val="none" w:sz="0" w:space="0" w:color="auto"/>
                    <w:right w:val="none" w:sz="0" w:space="0" w:color="auto"/>
                  </w:divBdr>
                </w:div>
                <w:div w:id="156409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480335">
      <w:bodyDiv w:val="1"/>
      <w:marLeft w:val="0"/>
      <w:marRight w:val="0"/>
      <w:marTop w:val="0"/>
      <w:marBottom w:val="0"/>
      <w:divBdr>
        <w:top w:val="none" w:sz="0" w:space="0" w:color="auto"/>
        <w:left w:val="none" w:sz="0" w:space="0" w:color="auto"/>
        <w:bottom w:val="none" w:sz="0" w:space="0" w:color="auto"/>
        <w:right w:val="none" w:sz="0" w:space="0" w:color="auto"/>
      </w:divBdr>
    </w:div>
    <w:div w:id="661129154">
      <w:bodyDiv w:val="1"/>
      <w:marLeft w:val="0"/>
      <w:marRight w:val="0"/>
      <w:marTop w:val="0"/>
      <w:marBottom w:val="0"/>
      <w:divBdr>
        <w:top w:val="none" w:sz="0" w:space="0" w:color="auto"/>
        <w:left w:val="none" w:sz="0" w:space="0" w:color="auto"/>
        <w:bottom w:val="none" w:sz="0" w:space="0" w:color="auto"/>
        <w:right w:val="none" w:sz="0" w:space="0" w:color="auto"/>
      </w:divBdr>
      <w:divsChild>
        <w:div w:id="1852186857">
          <w:marLeft w:val="0"/>
          <w:marRight w:val="0"/>
          <w:marTop w:val="120"/>
          <w:marBottom w:val="240"/>
          <w:divBdr>
            <w:top w:val="none" w:sz="0" w:space="0" w:color="auto"/>
            <w:left w:val="none" w:sz="0" w:space="0" w:color="auto"/>
            <w:bottom w:val="none" w:sz="0" w:space="0" w:color="auto"/>
            <w:right w:val="none" w:sz="0" w:space="0" w:color="auto"/>
          </w:divBdr>
        </w:div>
      </w:divsChild>
    </w:div>
    <w:div w:id="692993333">
      <w:bodyDiv w:val="1"/>
      <w:marLeft w:val="0"/>
      <w:marRight w:val="0"/>
      <w:marTop w:val="0"/>
      <w:marBottom w:val="0"/>
      <w:divBdr>
        <w:top w:val="none" w:sz="0" w:space="0" w:color="auto"/>
        <w:left w:val="none" w:sz="0" w:space="0" w:color="auto"/>
        <w:bottom w:val="none" w:sz="0" w:space="0" w:color="auto"/>
        <w:right w:val="none" w:sz="0" w:space="0" w:color="auto"/>
      </w:divBdr>
      <w:divsChild>
        <w:div w:id="1757248178">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778184666">
      <w:bodyDiv w:val="1"/>
      <w:marLeft w:val="0"/>
      <w:marRight w:val="0"/>
      <w:marTop w:val="0"/>
      <w:marBottom w:val="0"/>
      <w:divBdr>
        <w:top w:val="none" w:sz="0" w:space="0" w:color="auto"/>
        <w:left w:val="none" w:sz="0" w:space="0" w:color="auto"/>
        <w:bottom w:val="none" w:sz="0" w:space="0" w:color="auto"/>
        <w:right w:val="none" w:sz="0" w:space="0" w:color="auto"/>
      </w:divBdr>
    </w:div>
    <w:div w:id="797449787">
      <w:bodyDiv w:val="1"/>
      <w:marLeft w:val="0"/>
      <w:marRight w:val="0"/>
      <w:marTop w:val="0"/>
      <w:marBottom w:val="0"/>
      <w:divBdr>
        <w:top w:val="none" w:sz="0" w:space="0" w:color="auto"/>
        <w:left w:val="none" w:sz="0" w:space="0" w:color="auto"/>
        <w:bottom w:val="none" w:sz="0" w:space="0" w:color="auto"/>
        <w:right w:val="none" w:sz="0" w:space="0" w:color="auto"/>
      </w:divBdr>
    </w:div>
    <w:div w:id="942151535">
      <w:bodyDiv w:val="1"/>
      <w:marLeft w:val="0"/>
      <w:marRight w:val="0"/>
      <w:marTop w:val="0"/>
      <w:marBottom w:val="0"/>
      <w:divBdr>
        <w:top w:val="none" w:sz="0" w:space="0" w:color="auto"/>
        <w:left w:val="none" w:sz="0" w:space="0" w:color="auto"/>
        <w:bottom w:val="none" w:sz="0" w:space="0" w:color="auto"/>
        <w:right w:val="none" w:sz="0" w:space="0" w:color="auto"/>
      </w:divBdr>
    </w:div>
    <w:div w:id="1026979762">
      <w:bodyDiv w:val="1"/>
      <w:marLeft w:val="0"/>
      <w:marRight w:val="0"/>
      <w:marTop w:val="0"/>
      <w:marBottom w:val="0"/>
      <w:divBdr>
        <w:top w:val="none" w:sz="0" w:space="0" w:color="auto"/>
        <w:left w:val="none" w:sz="0" w:space="0" w:color="auto"/>
        <w:bottom w:val="none" w:sz="0" w:space="0" w:color="auto"/>
        <w:right w:val="none" w:sz="0" w:space="0" w:color="auto"/>
      </w:divBdr>
    </w:div>
    <w:div w:id="1407145182">
      <w:bodyDiv w:val="1"/>
      <w:marLeft w:val="0"/>
      <w:marRight w:val="0"/>
      <w:marTop w:val="0"/>
      <w:marBottom w:val="0"/>
      <w:divBdr>
        <w:top w:val="none" w:sz="0" w:space="0" w:color="auto"/>
        <w:left w:val="none" w:sz="0" w:space="0" w:color="auto"/>
        <w:bottom w:val="none" w:sz="0" w:space="0" w:color="auto"/>
        <w:right w:val="none" w:sz="0" w:space="0" w:color="auto"/>
      </w:divBdr>
    </w:div>
    <w:div w:id="1559583345">
      <w:bodyDiv w:val="1"/>
      <w:marLeft w:val="0"/>
      <w:marRight w:val="0"/>
      <w:marTop w:val="0"/>
      <w:marBottom w:val="0"/>
      <w:divBdr>
        <w:top w:val="none" w:sz="0" w:space="0" w:color="auto"/>
        <w:left w:val="none" w:sz="0" w:space="0" w:color="auto"/>
        <w:bottom w:val="none" w:sz="0" w:space="0" w:color="auto"/>
        <w:right w:val="none" w:sz="0" w:space="0" w:color="auto"/>
      </w:divBdr>
      <w:divsChild>
        <w:div w:id="1424453611">
          <w:marLeft w:val="0"/>
          <w:marRight w:val="0"/>
          <w:marTop w:val="0"/>
          <w:marBottom w:val="0"/>
          <w:divBdr>
            <w:top w:val="none" w:sz="0" w:space="0" w:color="auto"/>
            <w:left w:val="none" w:sz="0" w:space="0" w:color="auto"/>
            <w:bottom w:val="none" w:sz="0" w:space="0" w:color="auto"/>
            <w:right w:val="none" w:sz="0" w:space="0" w:color="auto"/>
          </w:divBdr>
        </w:div>
      </w:divsChild>
    </w:div>
    <w:div w:id="2042778470">
      <w:bodyDiv w:val="1"/>
      <w:marLeft w:val="0"/>
      <w:marRight w:val="0"/>
      <w:marTop w:val="0"/>
      <w:marBottom w:val="0"/>
      <w:divBdr>
        <w:top w:val="none" w:sz="0" w:space="0" w:color="auto"/>
        <w:left w:val="none" w:sz="0" w:space="0" w:color="auto"/>
        <w:bottom w:val="none" w:sz="0" w:space="0" w:color="auto"/>
        <w:right w:val="none" w:sz="0" w:space="0" w:color="auto"/>
      </w:divBdr>
    </w:div>
    <w:div w:id="2144231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juntadeandalucia.es/export/drupaljda/Violencia_Genero_Documentacion_Red_Ciudadana_folleto.pdf" TargetMode="External"/><Relationship Id="rId18" Type="http://schemas.openxmlformats.org/officeDocument/2006/relationships/hyperlink" Target="http://hj.tribunalconstitucional.es/es/Resolucion/Show/1707"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ohchr.org/SP/ProfessionalInterest/Pages/ViolenceAgainstWomen.aspx" TargetMode="External"/><Relationship Id="rId17" Type="http://schemas.openxmlformats.org/officeDocument/2006/relationships/hyperlink" Target="http://www.reverso.net" TargetMode="External"/><Relationship Id="rId2" Type="http://schemas.openxmlformats.org/officeDocument/2006/relationships/numbering" Target="numbering.xml"/><Relationship Id="rId16" Type="http://schemas.openxmlformats.org/officeDocument/2006/relationships/hyperlink" Target="http://www.juntadeandalucia.es" TargetMode="External"/><Relationship Id="rId20" Type="http://schemas.openxmlformats.org/officeDocument/2006/relationships/hyperlink" Target="http://www.violenciagenero.msssi.gob.es/profesionalesInvestigacion/protocolosAmbitoAutonomico/educativo/docs/protocolo_andalucia_educacio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org/womenwatch/daw/beijing/pdf/Beijing" TargetMode="External"/><Relationship Id="rId5" Type="http://schemas.openxmlformats.org/officeDocument/2006/relationships/webSettings" Target="webSettings.xml"/><Relationship Id="rId15" Type="http://schemas.openxmlformats.org/officeDocument/2006/relationships/hyperlink" Target="https://www.juntadeandalucia.es/institutodelamujer/ugen/node/262" TargetMode="External"/><Relationship Id="rId23" Type="http://schemas.openxmlformats.org/officeDocument/2006/relationships/theme" Target="theme/theme1.xml"/><Relationship Id="rId10" Type="http://schemas.openxmlformats.org/officeDocument/2006/relationships/hyperlink" Target="http://www.boe.es" TargetMode="External"/><Relationship Id="rId19" Type="http://schemas.openxmlformats.org/officeDocument/2006/relationships/hyperlink" Target="https://www.boe.es/buscar/doc.php?id=BOE-A-2015-13388" TargetMode="External"/><Relationship Id="rId4" Type="http://schemas.openxmlformats.org/officeDocument/2006/relationships/settings" Target="settings.xml"/><Relationship Id="rId9" Type="http://schemas.openxmlformats.org/officeDocument/2006/relationships/hyperlink" Target="https://webs.ucm.es/info/nomadas/13/yhgarcia.pdf" TargetMode="External"/><Relationship Id="rId14" Type="http://schemas.openxmlformats.org/officeDocument/2006/relationships/hyperlink" Target="http://www.unwomen.org/es/csw"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juntadeandalucia.es" TargetMode="External"/><Relationship Id="rId2" Type="http://schemas.openxmlformats.org/officeDocument/2006/relationships/hyperlink" Target="http://www.un.org" TargetMode="External"/><Relationship Id="rId1" Type="http://schemas.openxmlformats.org/officeDocument/2006/relationships/hyperlink" Target="http://www.unwomen.org/es/csw"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8D1108-8C49-4D37-B5C4-DF360115F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657</TotalTime>
  <Pages>48</Pages>
  <Words>12343</Words>
  <Characters>67887</Characters>
  <Application>Microsoft Office Word</Application>
  <DocSecurity>0</DocSecurity>
  <Lines>565</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Morales</dc:creator>
  <cp:keywords/>
  <dc:description/>
  <cp:lastModifiedBy>Victor Morales</cp:lastModifiedBy>
  <cp:revision>27</cp:revision>
  <dcterms:created xsi:type="dcterms:W3CDTF">2018-06-04T08:10:00Z</dcterms:created>
  <dcterms:modified xsi:type="dcterms:W3CDTF">2018-06-27T09:18:00Z</dcterms:modified>
</cp:coreProperties>
</file>