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2372" w:rsidRDefault="001835B1" w:rsidP="00EE1576">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7" o:spid="_x0000_s1026" type="#_x0000_t202" style="position:absolute;left:0;text-align:left;margin-left:-78.75pt;margin-top:-70.9pt;width:205.9pt;height:795.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" fillcolor="#ea0000" strokecolor="#f2f2f2 [3041]" strokeweight="3pt">
            <v:shadow on="t" color="#622423 [1605]" opacity=".5" offset="1pt"/>
            <v:textbox style="layout-flow:vertical;mso-layout-flow-alt:bottom-to-top">
              <w:txbxContent>
                <w:p w:rsidR="00A331DB" w:rsidRPr="001257D6" w:rsidRDefault="00A331DB">
                  <w:pPr>
                    <w:rPr>
                      <w:rFonts w:ascii="Arial" w:hAnsi="Arial" w:cs="Arial"/>
                      <w:color w:val="F79646" w:themeColor="accent6"/>
                      <w:sz w:val="72"/>
                      <w:szCs w:val="72"/>
                    </w:rPr>
                  </w:pPr>
                  <w:r w:rsidRPr="001257D6">
                    <w:rPr>
                      <w:rFonts w:ascii="Arial" w:hAnsi="Arial" w:cs="Arial"/>
                      <w:color w:val="F79646" w:themeColor="accent6"/>
                      <w:sz w:val="72"/>
                      <w:szCs w:val="72"/>
                    </w:rPr>
                    <w:t>Facultad de Ciencias Sociales y Jurídicas</w:t>
                  </w:r>
                </w:p>
                <w:p w:rsidR="00A331DB" w:rsidRPr="006E2CDE" w:rsidRDefault="00A331DB">
                  <w:pPr>
                    <w:rPr>
                      <w:rFonts w:ascii="Arial" w:hAnsi="Arial" w:cs="Arial"/>
                      <w:outline/>
                      <w:color w:val="F79109"/>
                      <w:sz w:val="96"/>
                      <w:szCs w:val="96"/>
                    </w:rPr>
                  </w:pPr>
                  <w:r w:rsidRPr="006E2CDE">
                    <w:rPr>
                      <w:rFonts w:ascii="Arial Narrow" w:hAnsi="Arial Narrow"/>
                      <w:outline/>
                      <w:sz w:val="96"/>
                      <w:szCs w:val="96"/>
                    </w:rPr>
                    <w:t>Grado en Derecho</w:t>
                  </w:r>
                </w:p>
              </w:txbxContent>
            </v:textbox>
          </v:shape>
        </w:pict>
      </w:r>
      <w:r>
        <w:rPr>
          <w:rFonts w:ascii="Times New Roman" w:hAnsi="Times New Roman" w:cs="Times New Roman"/>
          <w:noProof/>
          <w:sz w:val="24"/>
          <w:szCs w:val="24"/>
        </w:rPr>
        <w:pict>
          <v:shape id="Text Box 2" o:spid="_x0000_s1027" type="#_x0000_t202" style="position:absolute;left:0;text-align:left;margin-left:162.1pt;margin-top:72.6pt;width:290.15pt;height:139.45pt;z-index:2516613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" strokecolor="white [3212]">
            <v:textbox style="mso-fit-shape-to-text:t">
              <w:txbxContent>
                <w:p w:rsidR="00A331DB" w:rsidRDefault="00A331DB" w:rsidP="000559BE">
                  <w:pPr>
                    <w:pStyle w:val="Ttulo6"/>
                    <w:rPr>
                      <w:b/>
                    </w:rPr>
                  </w:pPr>
                  <w:r>
                    <w:rPr>
                      <w:b/>
                    </w:rPr>
                    <w:t>Universidad de Jaén</w:t>
                  </w:r>
                </w:p>
                <w:p w:rsidR="00A331DB" w:rsidRDefault="00A331DB" w:rsidP="000559BE">
                  <w:pPr>
                    <w:pStyle w:val="Ttulo3"/>
                  </w:pPr>
                  <w:r>
                    <w:t>Facultad de Ciencias Sociales y Jurídicas</w:t>
                  </w:r>
                </w:p>
                <w:p w:rsidR="00A331DB" w:rsidRDefault="00A331DB"/>
                <w:p w:rsidR="00A331DB" w:rsidRDefault="00A331DB"/>
                <w:p w:rsidR="00A331DB" w:rsidRDefault="00A331DB" w:rsidP="000559BE">
                  <w:pPr>
                    <w:pStyle w:val="Textoindependiente"/>
                    <w:rPr>
                      <w:rFonts w:ascii="Arial" w:hAnsi="Arial"/>
                      <w:sz w:val="44"/>
                      <w:u w:val="single"/>
                    </w:rPr>
                  </w:pPr>
                  <w:r>
                    <w:rPr>
                      <w:rFonts w:ascii="Arial" w:hAnsi="Arial"/>
                      <w:sz w:val="44"/>
                      <w:u w:val="single"/>
                    </w:rPr>
                    <w:t>Trabajo Fin de Grado</w:t>
                  </w:r>
                </w:p>
                <w:p w:rsidR="00A331DB" w:rsidRDefault="00A331DB"/>
              </w:txbxContent>
            </v:textbox>
          </v:shape>
        </w:pict>
      </w:r>
      <w:r w:rsidR="009B7E4E">
        <w:rPr>
          <w:rFonts w:ascii="Times New Roman" w:hAnsi="Times New Roman" w:cs="Times New Roman"/>
          <w:sz w:val="24"/>
          <w:szCs w:val="24"/>
        </w:rPr>
        <w:t>-</w:t>
      </w:r>
    </w:p>
    <w:p w:rsidR="000559BE" w:rsidRDefault="000559BE" w:rsidP="00EE1576">
      <w:pPr>
        <w:widowControl w:val="0"/>
        <w:autoSpaceDE w:val="0"/>
        <w:autoSpaceDN w:val="0"/>
        <w:adjustRightInd w:val="0"/>
        <w:spacing w:line="360" w:lineRule="auto"/>
        <w:jc w:val="both"/>
        <w:rPr>
          <w:rFonts w:ascii="Times New Roman" w:hAnsi="Times New Roman" w:cs="Times New Roman"/>
          <w:sz w:val="24"/>
          <w:szCs w:val="24"/>
        </w:rPr>
      </w:pPr>
      <w:r w:rsidRPr="000559BE">
        <w:rPr>
          <w:rFonts w:ascii="Times New Roman" w:hAnsi="Times New Roman" w:cs="Times New Roman"/>
          <w:noProof/>
          <w:sz w:val="24"/>
          <w:szCs w:val="24"/>
        </w:rPr>
        <w:drawing>
          <wp:anchor distT="0" distB="0" distL="114300" distR="114300" simplePos="0" relativeHeight="251659264" behindDoc="0" locked="0" layoutInCell="0" allowOverlap="1">
            <wp:simplePos x="0" y="0"/>
            <wp:positionH relativeFrom="column">
              <wp:posOffset>3500120</wp:posOffset>
            </wp:positionH>
            <wp:positionV relativeFrom="paragraph">
              <wp:posOffset>-623570</wp:posOffset>
            </wp:positionV>
            <wp:extent cx="942975" cy="1028700"/>
            <wp:effectExtent l="0" t="0" r="9525" b="0"/>
            <wp:wrapTopAndBottom/>
            <wp:docPr id="1"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p>
    <w:p w:rsidR="000559BE" w:rsidRDefault="000559BE" w:rsidP="00EE1576">
      <w:pPr>
        <w:widowControl w:val="0"/>
        <w:autoSpaceDE w:val="0"/>
        <w:autoSpaceDN w:val="0"/>
        <w:adjustRightInd w:val="0"/>
        <w:spacing w:line="360" w:lineRule="auto"/>
        <w:jc w:val="both"/>
        <w:rPr>
          <w:rFonts w:ascii="Times New Roman" w:hAnsi="Times New Roman" w:cs="Times New Roman"/>
          <w:sz w:val="24"/>
          <w:szCs w:val="24"/>
        </w:rPr>
      </w:pPr>
    </w:p>
    <w:p w:rsidR="000559BE" w:rsidRDefault="000559BE" w:rsidP="00EE1576">
      <w:pPr>
        <w:widowControl w:val="0"/>
        <w:autoSpaceDE w:val="0"/>
        <w:autoSpaceDN w:val="0"/>
        <w:adjustRightInd w:val="0"/>
        <w:spacing w:line="360" w:lineRule="auto"/>
        <w:jc w:val="both"/>
        <w:rPr>
          <w:rFonts w:ascii="Times New Roman" w:hAnsi="Times New Roman" w:cs="Times New Roman"/>
          <w:sz w:val="24"/>
          <w:szCs w:val="24"/>
        </w:rPr>
      </w:pPr>
    </w:p>
    <w:p w:rsidR="000559BE" w:rsidRDefault="000559BE" w:rsidP="00EE1576">
      <w:pPr>
        <w:widowControl w:val="0"/>
        <w:autoSpaceDE w:val="0"/>
        <w:autoSpaceDN w:val="0"/>
        <w:adjustRightInd w:val="0"/>
        <w:spacing w:line="360" w:lineRule="auto"/>
        <w:jc w:val="both"/>
        <w:rPr>
          <w:rFonts w:ascii="Times New Roman" w:hAnsi="Times New Roman" w:cs="Times New Roman"/>
          <w:sz w:val="24"/>
          <w:szCs w:val="24"/>
        </w:rPr>
      </w:pPr>
    </w:p>
    <w:p w:rsidR="000559BE" w:rsidRDefault="001835B1" w:rsidP="00EE1576">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 o:spid="_x0000_s1028" type="#_x0000_t202" style="position:absolute;left:0;text-align:left;margin-left:126.75pt;margin-top:24.35pt;width:346.95pt;height:102.6pt;z-index:25166336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" strokecolor="white [3212]">
            <v:textbox style="mso-fit-shape-to-text:t">
              <w:txbxContent>
                <w:p w:rsidR="00A331DB" w:rsidRPr="000559BE" w:rsidRDefault="00A331DB" w:rsidP="000559BE">
                  <w:pPr>
                    <w:jc w:val="center"/>
                    <w:rPr>
                      <w:rFonts w:ascii="Arial" w:hAnsi="Arial" w:cs="Arial"/>
                      <w:b/>
                      <w:sz w:val="64"/>
                      <w:szCs w:val="64"/>
                    </w:rPr>
                  </w:pPr>
                  <w:r w:rsidRPr="000559BE">
                    <w:rPr>
                      <w:rFonts w:ascii="Arial" w:hAnsi="Arial" w:cs="Arial"/>
                      <w:b/>
                      <w:sz w:val="64"/>
                      <w:szCs w:val="64"/>
                    </w:rPr>
                    <w:t>DISCRECIONALIDAD JUDICIAL</w:t>
                  </w:r>
                </w:p>
              </w:txbxContent>
            </v:textbox>
          </v:shape>
        </w:pict>
      </w:r>
    </w:p>
    <w:p w:rsidR="000559BE" w:rsidRPr="00F21150" w:rsidRDefault="000559BE"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1835B1" w:rsidP="00EE1576">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 o:spid="_x0000_s1029" type="#_x0000_t202" style="position:absolute;left:0;text-align:left;margin-left:184.8pt;margin-top:.45pt;width:267.95pt;height:259.85pt;z-index:25166540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" strokecolor="white [3212]">
            <v:textbox style="mso-fit-shape-to-text:t">
              <w:txbxContent>
                <w:p w:rsidR="00A331DB" w:rsidRDefault="00A331DB">
                  <w:pPr>
                    <w:rPr>
                      <w:rFonts w:ascii="Arial" w:hAnsi="Arial" w:cs="Arial"/>
                      <w:b/>
                      <w:sz w:val="32"/>
                      <w:szCs w:val="32"/>
                    </w:rPr>
                  </w:pPr>
                </w:p>
                <w:p w:rsidR="00A331DB" w:rsidRDefault="00A331DB">
                  <w:pPr>
                    <w:rPr>
                      <w:rFonts w:ascii="Arial" w:hAnsi="Arial" w:cs="Arial"/>
                      <w:b/>
                      <w:sz w:val="32"/>
                      <w:szCs w:val="32"/>
                    </w:rPr>
                  </w:pPr>
                  <w:r>
                    <w:rPr>
                      <w:rFonts w:ascii="Arial" w:hAnsi="Arial" w:cs="Arial"/>
                      <w:b/>
                      <w:sz w:val="32"/>
                      <w:szCs w:val="32"/>
                    </w:rPr>
                    <w:t xml:space="preserve"> María José Alcántara Valderas</w:t>
                  </w:r>
                </w:p>
                <w:p w:rsidR="00A331DB" w:rsidRDefault="00A331DB">
                  <w:pPr>
                    <w:rPr>
                      <w:rFonts w:ascii="Arial" w:hAnsi="Arial" w:cs="Arial"/>
                      <w:b/>
                      <w:sz w:val="32"/>
                      <w:szCs w:val="32"/>
                    </w:rPr>
                  </w:pPr>
                </w:p>
                <w:p w:rsidR="00A331DB" w:rsidRDefault="00A331DB">
                  <w:pPr>
                    <w:rPr>
                      <w:rFonts w:ascii="Arial" w:hAnsi="Arial" w:cs="Arial"/>
                      <w:b/>
                      <w:sz w:val="32"/>
                      <w:szCs w:val="32"/>
                    </w:rPr>
                  </w:pPr>
                </w:p>
                <w:p w:rsidR="00A331DB" w:rsidRPr="000559BE" w:rsidRDefault="00A331DB">
                  <w:pPr>
                    <w:rPr>
                      <w:rFonts w:ascii="Arial" w:hAnsi="Arial" w:cs="Arial"/>
                      <w:b/>
                      <w:sz w:val="36"/>
                      <w:szCs w:val="36"/>
                    </w:rPr>
                  </w:pPr>
                  <w:r w:rsidRPr="000559BE">
                    <w:rPr>
                      <w:rFonts w:ascii="Arial" w:hAnsi="Arial" w:cs="Arial"/>
                      <w:b/>
                      <w:sz w:val="36"/>
                      <w:szCs w:val="36"/>
                    </w:rPr>
                    <w:t xml:space="preserve">          Junio, 2015</w:t>
                  </w:r>
                </w:p>
                <w:p w:rsidR="00A331DB" w:rsidRDefault="00A331DB">
                  <w:pPr>
                    <w:rPr>
                      <w:rFonts w:ascii="Arial" w:hAnsi="Arial" w:cs="Arial"/>
                      <w:b/>
                      <w:sz w:val="32"/>
                      <w:szCs w:val="32"/>
                    </w:rPr>
                  </w:pPr>
                </w:p>
                <w:p w:rsidR="00A331DB" w:rsidRDefault="00A331DB">
                  <w:pPr>
                    <w:rPr>
                      <w:rFonts w:ascii="Arial" w:hAnsi="Arial" w:cs="Arial"/>
                      <w:b/>
                      <w:sz w:val="32"/>
                      <w:szCs w:val="32"/>
                    </w:rPr>
                  </w:pPr>
                </w:p>
                <w:p w:rsidR="00A331DB" w:rsidRPr="000559BE" w:rsidRDefault="00A331DB">
                  <w:pPr>
                    <w:rPr>
                      <w:rFonts w:ascii="Arial" w:hAnsi="Arial" w:cs="Arial"/>
                      <w:b/>
                      <w:sz w:val="32"/>
                      <w:szCs w:val="32"/>
                    </w:rPr>
                  </w:pPr>
                </w:p>
              </w:txbxContent>
            </v:textbox>
          </v:shape>
        </w:pict>
      </w: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452372" w:rsidRPr="00F21150" w:rsidRDefault="00452372" w:rsidP="00EE1576">
      <w:pPr>
        <w:widowControl w:val="0"/>
        <w:autoSpaceDE w:val="0"/>
        <w:autoSpaceDN w:val="0"/>
        <w:adjustRightInd w:val="0"/>
        <w:spacing w:line="360" w:lineRule="auto"/>
        <w:jc w:val="both"/>
        <w:rPr>
          <w:rFonts w:ascii="Times New Roman" w:hAnsi="Times New Roman" w:cs="Times New Roman"/>
          <w:sz w:val="24"/>
          <w:szCs w:val="24"/>
        </w:rPr>
      </w:pPr>
    </w:p>
    <w:p w:rsidR="00E8518D" w:rsidRPr="00F21150" w:rsidRDefault="00E8518D" w:rsidP="00EE1576">
      <w:pPr>
        <w:widowControl w:val="0"/>
        <w:autoSpaceDE w:val="0"/>
        <w:autoSpaceDN w:val="0"/>
        <w:adjustRightInd w:val="0"/>
        <w:spacing w:line="360" w:lineRule="auto"/>
        <w:jc w:val="both"/>
        <w:rPr>
          <w:rFonts w:ascii="Times New Roman" w:hAnsi="Times New Roman" w:cs="Times New Roman"/>
          <w:sz w:val="24"/>
          <w:szCs w:val="24"/>
        </w:rPr>
      </w:pPr>
    </w:p>
    <w:p w:rsidR="007229E8" w:rsidRDefault="007229E8" w:rsidP="00EE1576">
      <w:pPr>
        <w:widowControl w:val="0"/>
        <w:autoSpaceDE w:val="0"/>
        <w:autoSpaceDN w:val="0"/>
        <w:adjustRightInd w:val="0"/>
        <w:spacing w:line="360" w:lineRule="auto"/>
        <w:jc w:val="both"/>
        <w:rPr>
          <w:rFonts w:ascii="Times New Roman" w:hAnsi="Times New Roman" w:cs="Times New Roman"/>
          <w:sz w:val="24"/>
          <w:szCs w:val="24"/>
        </w:rPr>
      </w:pPr>
    </w:p>
    <w:p w:rsidR="007229E8" w:rsidRDefault="007229E8" w:rsidP="00EE1576">
      <w:pPr>
        <w:widowControl w:val="0"/>
        <w:autoSpaceDE w:val="0"/>
        <w:autoSpaceDN w:val="0"/>
        <w:adjustRightInd w:val="0"/>
        <w:spacing w:line="360" w:lineRule="auto"/>
        <w:jc w:val="both"/>
        <w:rPr>
          <w:rFonts w:ascii="Times New Roman" w:hAnsi="Times New Roman" w:cs="Times New Roman"/>
          <w:sz w:val="24"/>
          <w:szCs w:val="24"/>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1257D6"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1257D6">
        <w:rPr>
          <w:rFonts w:ascii="Times New Roman" w:hAnsi="Times New Roman" w:cs="Times New Roman"/>
          <w:sz w:val="24"/>
          <w:szCs w:val="24"/>
          <w:u w:val="single"/>
        </w:rPr>
        <w:t xml:space="preserve">ÍNDICE </w:t>
      </w:r>
    </w:p>
    <w:p w:rsidR="001257D6" w:rsidRDefault="001257D6" w:rsidP="00096050">
      <w:pPr>
        <w:widowControl w:val="0"/>
        <w:autoSpaceDE w:val="0"/>
        <w:autoSpaceDN w:val="0"/>
        <w:adjustRightInd w:val="0"/>
        <w:spacing w:line="360" w:lineRule="auto"/>
        <w:jc w:val="both"/>
        <w:rPr>
          <w:rFonts w:ascii="Times New Roman" w:hAnsi="Times New Roman" w:cs="Times New Roman"/>
          <w:sz w:val="24"/>
          <w:szCs w:val="24"/>
        </w:rPr>
      </w:pPr>
    </w:p>
    <w:p w:rsidR="009B7E4E"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1.- OBJETIVOS Y </w:t>
      </w:r>
      <w:r w:rsidR="0095433C" w:rsidRPr="00012420">
        <w:rPr>
          <w:rFonts w:ascii="Times New Roman" w:hAnsi="Times New Roman" w:cs="Times New Roman"/>
          <w:sz w:val="24"/>
          <w:szCs w:val="24"/>
        </w:rPr>
        <w:t>METODOLOGÍA…</w:t>
      </w:r>
      <w:r w:rsidR="0095433C">
        <w:rPr>
          <w:rFonts w:ascii="Times New Roman" w:hAnsi="Times New Roman" w:cs="Times New Roman"/>
          <w:sz w:val="24"/>
          <w:szCs w:val="24"/>
        </w:rPr>
        <w:t>……………………………………</w:t>
      </w:r>
      <w:r w:rsidR="000F19A8">
        <w:rPr>
          <w:rFonts w:ascii="Times New Roman" w:hAnsi="Times New Roman" w:cs="Times New Roman"/>
          <w:sz w:val="24"/>
          <w:szCs w:val="24"/>
        </w:rPr>
        <w:t>..</w:t>
      </w:r>
      <w:r w:rsidR="0095433C">
        <w:rPr>
          <w:rFonts w:ascii="Times New Roman" w:hAnsi="Times New Roman" w:cs="Times New Roman"/>
          <w:sz w:val="24"/>
          <w:szCs w:val="24"/>
        </w:rPr>
        <w:t>……....</w:t>
      </w:r>
      <w:r w:rsidR="00F10386">
        <w:rPr>
          <w:rFonts w:ascii="Times New Roman" w:hAnsi="Times New Roman" w:cs="Times New Roman"/>
          <w:sz w:val="24"/>
          <w:szCs w:val="24"/>
        </w:rPr>
        <w:t>.</w:t>
      </w:r>
      <w:r w:rsidR="0095433C">
        <w:rPr>
          <w:rFonts w:ascii="Times New Roman" w:hAnsi="Times New Roman" w:cs="Times New Roman"/>
          <w:sz w:val="24"/>
          <w:szCs w:val="24"/>
        </w:rPr>
        <w:t>3</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2.- RESÚMENES</w:t>
      </w:r>
      <w:r w:rsidR="0095433C">
        <w:rPr>
          <w:rFonts w:ascii="Times New Roman" w:hAnsi="Times New Roman" w:cs="Times New Roman"/>
          <w:sz w:val="24"/>
          <w:szCs w:val="24"/>
        </w:rPr>
        <w:t>…………………………………………………………</w:t>
      </w:r>
      <w:r w:rsidR="000F19A8">
        <w:rPr>
          <w:rFonts w:ascii="Times New Roman" w:hAnsi="Times New Roman" w:cs="Times New Roman"/>
          <w:sz w:val="24"/>
          <w:szCs w:val="24"/>
        </w:rPr>
        <w:t>.</w:t>
      </w:r>
      <w:r w:rsidR="0095433C">
        <w:rPr>
          <w:rFonts w:ascii="Times New Roman" w:hAnsi="Times New Roman" w:cs="Times New Roman"/>
          <w:sz w:val="24"/>
          <w:szCs w:val="24"/>
        </w:rPr>
        <w:t>……….....</w:t>
      </w:r>
      <w:r w:rsidR="00F10386">
        <w:rPr>
          <w:rFonts w:ascii="Times New Roman" w:hAnsi="Times New Roman" w:cs="Times New Roman"/>
          <w:sz w:val="24"/>
          <w:szCs w:val="24"/>
        </w:rPr>
        <w:t>.</w:t>
      </w:r>
      <w:r w:rsidR="0095433C">
        <w:rPr>
          <w:rFonts w:ascii="Times New Roman" w:hAnsi="Times New Roman" w:cs="Times New Roman"/>
          <w:sz w:val="24"/>
          <w:szCs w:val="24"/>
        </w:rPr>
        <w:t>6</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3.-NOCIONES BÁSICAS</w:t>
      </w:r>
      <w:r w:rsidR="009B7E4E">
        <w:rPr>
          <w:rFonts w:ascii="Times New Roman" w:hAnsi="Times New Roman" w:cs="Times New Roman"/>
          <w:sz w:val="24"/>
          <w:szCs w:val="24"/>
        </w:rPr>
        <w:t>…………………………………………………</w:t>
      </w:r>
      <w:r w:rsidR="000F19A8">
        <w:rPr>
          <w:rFonts w:ascii="Times New Roman" w:hAnsi="Times New Roman" w:cs="Times New Roman"/>
          <w:sz w:val="24"/>
          <w:szCs w:val="24"/>
        </w:rPr>
        <w:t>.</w:t>
      </w:r>
      <w:r w:rsidR="009B7E4E">
        <w:rPr>
          <w:rFonts w:ascii="Times New Roman" w:hAnsi="Times New Roman" w:cs="Times New Roman"/>
          <w:sz w:val="24"/>
          <w:szCs w:val="24"/>
        </w:rPr>
        <w:t>………</w:t>
      </w:r>
      <w:r w:rsidR="0095433C">
        <w:rPr>
          <w:rFonts w:ascii="Times New Roman" w:hAnsi="Times New Roman" w:cs="Times New Roman"/>
          <w:sz w:val="24"/>
          <w:szCs w:val="24"/>
        </w:rPr>
        <w:t>…</w:t>
      </w:r>
      <w:r w:rsidR="000F19A8">
        <w:rPr>
          <w:rFonts w:ascii="Times New Roman" w:hAnsi="Times New Roman" w:cs="Times New Roman"/>
          <w:sz w:val="24"/>
          <w:szCs w:val="24"/>
        </w:rPr>
        <w:t>.</w:t>
      </w:r>
      <w:r w:rsidR="0095433C">
        <w:rPr>
          <w:rFonts w:ascii="Times New Roman" w:hAnsi="Times New Roman" w:cs="Times New Roman"/>
          <w:sz w:val="24"/>
          <w:szCs w:val="24"/>
        </w:rPr>
        <w:t>7</w:t>
      </w:r>
    </w:p>
    <w:p w:rsidR="00096050" w:rsidRPr="00012420" w:rsidRDefault="009B7E4E"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r w:rsidR="000F19A8">
        <w:rPr>
          <w:rFonts w:ascii="Times New Roman" w:hAnsi="Times New Roman" w:cs="Times New Roman"/>
          <w:sz w:val="24"/>
          <w:szCs w:val="24"/>
        </w:rPr>
        <w:t>.</w:t>
      </w:r>
      <w:r>
        <w:rPr>
          <w:rFonts w:ascii="Times New Roman" w:hAnsi="Times New Roman" w:cs="Times New Roman"/>
          <w:sz w:val="24"/>
          <w:szCs w:val="24"/>
        </w:rPr>
        <w:t>………</w:t>
      </w:r>
      <w:r w:rsidR="00C6542F">
        <w:rPr>
          <w:rFonts w:ascii="Times New Roman" w:hAnsi="Times New Roman" w:cs="Times New Roman"/>
          <w:sz w:val="24"/>
          <w:szCs w:val="24"/>
        </w:rPr>
        <w:t>....</w:t>
      </w:r>
      <w:r w:rsidR="0095433C">
        <w:rPr>
          <w:rFonts w:ascii="Times New Roman" w:hAnsi="Times New Roman" w:cs="Times New Roman"/>
          <w:sz w:val="24"/>
          <w:szCs w:val="24"/>
        </w:rPr>
        <w:t>...</w:t>
      </w:r>
      <w:r>
        <w:rPr>
          <w:rFonts w:ascii="Times New Roman" w:hAnsi="Times New Roman" w:cs="Times New Roman"/>
          <w:sz w:val="24"/>
          <w:szCs w:val="24"/>
        </w:rPr>
        <w:t>7</w:t>
      </w:r>
    </w:p>
    <w:p w:rsidR="00096050" w:rsidRPr="00012420" w:rsidRDefault="00096050"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Concepto y elementos básicos</w:t>
      </w:r>
      <w:r w:rsidR="009B7E4E">
        <w:rPr>
          <w:rFonts w:ascii="Times New Roman" w:hAnsi="Times New Roman" w:cs="Times New Roman"/>
          <w:sz w:val="24"/>
          <w:szCs w:val="24"/>
        </w:rPr>
        <w:t>……………………………………………</w:t>
      </w:r>
      <w:r w:rsidR="00C6542F">
        <w:rPr>
          <w:rFonts w:ascii="Times New Roman" w:hAnsi="Times New Roman" w:cs="Times New Roman"/>
          <w:sz w:val="24"/>
          <w:szCs w:val="24"/>
        </w:rPr>
        <w:t>.....</w:t>
      </w:r>
      <w:r w:rsidR="0095433C">
        <w:rPr>
          <w:rFonts w:ascii="Times New Roman" w:hAnsi="Times New Roman" w:cs="Times New Roman"/>
          <w:sz w:val="24"/>
          <w:szCs w:val="24"/>
        </w:rPr>
        <w:t>...</w:t>
      </w:r>
      <w:r w:rsidR="009B7E4E">
        <w:rPr>
          <w:rFonts w:ascii="Times New Roman" w:hAnsi="Times New Roman" w:cs="Times New Roman"/>
          <w:sz w:val="24"/>
          <w:szCs w:val="24"/>
        </w:rPr>
        <w:t>8</w:t>
      </w:r>
    </w:p>
    <w:p w:rsidR="00096050" w:rsidRPr="00012420" w:rsidRDefault="00096050"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Causas</w:t>
      </w:r>
      <w:r w:rsidR="009B7E4E">
        <w:rPr>
          <w:rFonts w:ascii="Times New Roman" w:hAnsi="Times New Roman" w:cs="Times New Roman"/>
          <w:sz w:val="24"/>
          <w:szCs w:val="24"/>
        </w:rPr>
        <w:t>……………………………………………………………………</w:t>
      </w:r>
      <w:r w:rsidR="00C6542F">
        <w:rPr>
          <w:rFonts w:ascii="Times New Roman" w:hAnsi="Times New Roman" w:cs="Times New Roman"/>
          <w:sz w:val="24"/>
          <w:szCs w:val="24"/>
        </w:rPr>
        <w:t>.....</w:t>
      </w:r>
      <w:r w:rsidR="0095433C">
        <w:rPr>
          <w:rFonts w:ascii="Times New Roman" w:hAnsi="Times New Roman" w:cs="Times New Roman"/>
          <w:sz w:val="24"/>
          <w:szCs w:val="24"/>
        </w:rPr>
        <w:t>....8</w:t>
      </w:r>
    </w:p>
    <w:p w:rsidR="00096050" w:rsidRDefault="00096050"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Elementos</w:t>
      </w:r>
      <w:r w:rsidR="009B7E4E">
        <w:rPr>
          <w:rFonts w:ascii="Times New Roman" w:hAnsi="Times New Roman" w:cs="Times New Roman"/>
          <w:sz w:val="24"/>
          <w:szCs w:val="24"/>
        </w:rPr>
        <w:t>…………………………………………………………………</w:t>
      </w:r>
      <w:r w:rsidR="00C6542F">
        <w:rPr>
          <w:rFonts w:ascii="Times New Roman" w:hAnsi="Times New Roman" w:cs="Times New Roman"/>
          <w:sz w:val="24"/>
          <w:szCs w:val="24"/>
        </w:rPr>
        <w:t>....</w:t>
      </w:r>
      <w:r w:rsidR="0095433C">
        <w:rPr>
          <w:rFonts w:ascii="Times New Roman" w:hAnsi="Times New Roman" w:cs="Times New Roman"/>
          <w:sz w:val="24"/>
          <w:szCs w:val="24"/>
        </w:rPr>
        <w:t>.. 11</w:t>
      </w:r>
    </w:p>
    <w:p w:rsidR="00096050" w:rsidRPr="00012420" w:rsidRDefault="00096050"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Diferencias y similitudes con la discrecionalidad administrativa</w:t>
      </w:r>
      <w:r w:rsidR="009B7E4E">
        <w:rPr>
          <w:rFonts w:ascii="Times New Roman" w:hAnsi="Times New Roman" w:cs="Times New Roman"/>
          <w:sz w:val="24"/>
          <w:szCs w:val="24"/>
        </w:rPr>
        <w:t>…………</w:t>
      </w:r>
      <w:r w:rsidR="00C6542F">
        <w:rPr>
          <w:rFonts w:ascii="Times New Roman" w:hAnsi="Times New Roman" w:cs="Times New Roman"/>
          <w:sz w:val="24"/>
          <w:szCs w:val="24"/>
        </w:rPr>
        <w:t>...</w:t>
      </w:r>
      <w:r w:rsidR="0095433C">
        <w:rPr>
          <w:rFonts w:ascii="Times New Roman" w:hAnsi="Times New Roman" w:cs="Times New Roman"/>
          <w:sz w:val="24"/>
          <w:szCs w:val="24"/>
        </w:rPr>
        <w:t>.. 16</w:t>
      </w:r>
    </w:p>
    <w:p w:rsidR="00096050" w:rsidRPr="00012420" w:rsidRDefault="00096050" w:rsidP="00096050">
      <w:pPr>
        <w:pStyle w:val="Prrafodelista"/>
        <w:widowControl w:val="0"/>
        <w:numPr>
          <w:ilvl w:val="1"/>
          <w:numId w:val="12"/>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Diferencias entre discrecionalidad y arbitrariedad</w:t>
      </w:r>
      <w:r w:rsidR="009B7E4E">
        <w:rPr>
          <w:rFonts w:ascii="Times New Roman" w:hAnsi="Times New Roman" w:cs="Times New Roman"/>
          <w:sz w:val="24"/>
          <w:szCs w:val="24"/>
        </w:rPr>
        <w:t>…………………………</w:t>
      </w:r>
      <w:r w:rsidR="0095433C">
        <w:rPr>
          <w:rFonts w:ascii="Times New Roman" w:hAnsi="Times New Roman" w:cs="Times New Roman"/>
          <w:sz w:val="24"/>
          <w:szCs w:val="24"/>
        </w:rPr>
        <w:t>….18</w:t>
      </w:r>
    </w:p>
    <w:p w:rsidR="00096050" w:rsidRPr="00012420" w:rsidRDefault="009B7E4E"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COMENTARIOS </w:t>
      </w:r>
      <w:r w:rsidR="0095433C">
        <w:rPr>
          <w:rFonts w:ascii="Times New Roman" w:hAnsi="Times New Roman" w:cs="Times New Roman"/>
          <w:sz w:val="24"/>
          <w:szCs w:val="24"/>
        </w:rPr>
        <w:t>DE AUTORES…………………………………………………19</w:t>
      </w:r>
    </w:p>
    <w:p w:rsidR="00096050" w:rsidRPr="00012420" w:rsidRDefault="009B7E4E"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 JURISPRUDENCIA……………………………………………………………</w:t>
      </w:r>
      <w:r w:rsidR="0095433C">
        <w:rPr>
          <w:rFonts w:ascii="Times New Roman" w:hAnsi="Times New Roman" w:cs="Times New Roman"/>
          <w:sz w:val="24"/>
          <w:szCs w:val="24"/>
        </w:rPr>
        <w:t>….29</w:t>
      </w:r>
    </w:p>
    <w:p w:rsidR="009B7E4E" w:rsidRPr="00012420" w:rsidRDefault="009B7E4E"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 CONCLUS</w:t>
      </w:r>
      <w:r w:rsidR="0095433C">
        <w:rPr>
          <w:rFonts w:ascii="Times New Roman" w:hAnsi="Times New Roman" w:cs="Times New Roman"/>
          <w:sz w:val="24"/>
          <w:szCs w:val="24"/>
        </w:rPr>
        <w:t>IONES………………………………………………………………….39</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 BIBLIOGRAFÍA</w:t>
      </w:r>
      <w:r w:rsidR="009B7E4E">
        <w:rPr>
          <w:rFonts w:ascii="Times New Roman" w:hAnsi="Times New Roman" w:cs="Times New Roman"/>
          <w:sz w:val="24"/>
          <w:szCs w:val="24"/>
        </w:rPr>
        <w:t>………………………………………………………………...</w:t>
      </w:r>
      <w:r w:rsidR="0095433C">
        <w:rPr>
          <w:rFonts w:ascii="Times New Roman" w:hAnsi="Times New Roman" w:cs="Times New Roman"/>
          <w:sz w:val="24"/>
          <w:szCs w:val="24"/>
        </w:rPr>
        <w:t>.....41</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942A8B" w:rsidRDefault="00942A8B"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012420">
        <w:rPr>
          <w:rFonts w:ascii="Times New Roman" w:hAnsi="Times New Roman" w:cs="Times New Roman"/>
          <w:sz w:val="24"/>
          <w:szCs w:val="24"/>
          <w:u w:val="single"/>
        </w:rPr>
        <w:t>1.- OBJETIVOS Y METODOLOGÍA</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He de decir que la elección de este tema viene acompañada del gran interés que me provoca las funciones que tienen los jueces, sobre todo, a la hora de juzgar y elegir entre, por ejemplo, la condena que debe tener un sujeto que ha cometido un delito. Creo que la actividad que realizan no es ni mucho menos fácil, además, tiene una gran relevancia ya que son ellos mismos los que eligen si una persona debe ser privada de libertad, o en cambio, condenarlos a trabajos para la comunidad (siempre y cuando no se extralimite de lo que las normas digan). Quería realizar este trabajo porque es una materia que creo importante y quería profundizar en el tema ya que, antes de realizar el trabajo, no sabía si existía solo una discrecionalidad o, en cambio, se podía diferenciar entra dos: discrecionalidad judicial y administrativa. También me ha llamado la atención, al estudiar el tema, que es una cu</w:t>
      </w:r>
      <w:r w:rsidR="00C6542F">
        <w:rPr>
          <w:rFonts w:ascii="Times New Roman" w:hAnsi="Times New Roman" w:cs="Times New Roman"/>
          <w:sz w:val="24"/>
          <w:szCs w:val="24"/>
        </w:rPr>
        <w:t>estión que suscita controversia</w:t>
      </w:r>
      <w:r w:rsidRPr="00012420">
        <w:rPr>
          <w:rFonts w:ascii="Times New Roman" w:hAnsi="Times New Roman" w:cs="Times New Roman"/>
          <w:sz w:val="24"/>
          <w:szCs w:val="24"/>
        </w:rPr>
        <w:t xml:space="preserve"> desde hace años. Yo realmente pensaba que se trata</w:t>
      </w:r>
      <w:r w:rsidR="00C6542F">
        <w:rPr>
          <w:rFonts w:ascii="Times New Roman" w:hAnsi="Times New Roman" w:cs="Times New Roman"/>
          <w:sz w:val="24"/>
          <w:szCs w:val="24"/>
        </w:rPr>
        <w:t>ba</w:t>
      </w:r>
      <w:r w:rsidRPr="00012420">
        <w:rPr>
          <w:rFonts w:ascii="Times New Roman" w:hAnsi="Times New Roman" w:cs="Times New Roman"/>
          <w:sz w:val="24"/>
          <w:szCs w:val="24"/>
        </w:rPr>
        <w:t xml:space="preserve"> de una cuestión meramente procesal y, sin embargo, al realizar el trabajo me he dado cuenta que es una cuestión filosófica; donde </w:t>
      </w:r>
      <w:r w:rsidR="00C6542F">
        <w:rPr>
          <w:rFonts w:ascii="Times New Roman" w:hAnsi="Times New Roman" w:cs="Times New Roman"/>
          <w:sz w:val="24"/>
          <w:szCs w:val="24"/>
        </w:rPr>
        <w:t>el protagonista es el juez y</w:t>
      </w:r>
      <w:r w:rsidRPr="00012420">
        <w:rPr>
          <w:rFonts w:ascii="Times New Roman" w:hAnsi="Times New Roman" w:cs="Times New Roman"/>
          <w:sz w:val="24"/>
          <w:szCs w:val="24"/>
        </w:rPr>
        <w:t xml:space="preserve"> es éste el que goza de la discrecionalidad, aunque con algunos límites.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A través de la realización de este trabajo, quería aclarar las dudas que tenía acerca del tema. Los puntos que más me interesaban plasmar</w:t>
      </w:r>
      <w:r w:rsidR="00C6542F">
        <w:rPr>
          <w:rFonts w:ascii="Times New Roman" w:hAnsi="Times New Roman" w:cs="Times New Roman"/>
          <w:sz w:val="24"/>
          <w:szCs w:val="24"/>
        </w:rPr>
        <w:t>,</w:t>
      </w:r>
      <w:r w:rsidRPr="00012420">
        <w:rPr>
          <w:rFonts w:ascii="Times New Roman" w:hAnsi="Times New Roman" w:cs="Times New Roman"/>
          <w:sz w:val="24"/>
          <w:szCs w:val="24"/>
        </w:rPr>
        <w:t xml:space="preserve"> ya que creo que son muy importantes porque realmente no se suele estudiar de forma general, si no como curiosidad, son: las distinciones y similitudes que existen entre la discrecionalidad judicial y la administrat</w:t>
      </w:r>
      <w:r w:rsidR="00C6542F">
        <w:rPr>
          <w:rFonts w:ascii="Times New Roman" w:hAnsi="Times New Roman" w:cs="Times New Roman"/>
          <w:sz w:val="24"/>
          <w:szCs w:val="24"/>
        </w:rPr>
        <w:t>iva, las diferencias</w:t>
      </w:r>
      <w:r w:rsidRPr="00012420">
        <w:rPr>
          <w:rFonts w:ascii="Times New Roman" w:hAnsi="Times New Roman" w:cs="Times New Roman"/>
          <w:sz w:val="24"/>
          <w:szCs w:val="24"/>
        </w:rPr>
        <w:t xml:space="preserve"> entre una sentencia discrecional (que a mi parecer ya son todas porque creo que en todas las decisiones que toma el juez a la hora de solucionar algún caso lleva atribuida un margen de libertad para elegir entre una norma u otra, seleccionar ,a su parecer, cuales son las pruebas relevantes que pueden conducirle a una solución del conflicto o también a la hora de interpretar una norma) y una arbitraria, los límites que tiene el uso de la discrecionalidad, saber si realimente estaba reconocida por la doctrina, o sin embargo, era un fenómeno ambiguo sin legalidad, la opinión de diferentes autores, cual es la postura mayoritaria en cuanto a la defensa de la discrecionalidad, etc.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Otra parte de gran relevancia que me plantee a la hora de estructurar el trabajo era la importancia que tenía los casos reales a la hora de demostrar la discrecionalid</w:t>
      </w:r>
      <w:r w:rsidR="00C6542F">
        <w:rPr>
          <w:rFonts w:ascii="Times New Roman" w:hAnsi="Times New Roman" w:cs="Times New Roman"/>
          <w:sz w:val="24"/>
          <w:szCs w:val="24"/>
        </w:rPr>
        <w:t xml:space="preserve">ad que puede existir en un tema </w:t>
      </w:r>
      <w:r w:rsidRPr="00012420">
        <w:rPr>
          <w:rFonts w:ascii="Times New Roman" w:hAnsi="Times New Roman" w:cs="Times New Roman"/>
          <w:sz w:val="24"/>
          <w:szCs w:val="24"/>
        </w:rPr>
        <w:t xml:space="preserve">cotidiano que puede pasar en el día a día. Estos casos que he explicado </w:t>
      </w:r>
      <w:r w:rsidR="00C6542F">
        <w:rPr>
          <w:rFonts w:ascii="Times New Roman" w:hAnsi="Times New Roman" w:cs="Times New Roman"/>
          <w:sz w:val="24"/>
          <w:szCs w:val="24"/>
        </w:rPr>
        <w:t>son reales y</w:t>
      </w:r>
      <w:r w:rsidRPr="00012420">
        <w:rPr>
          <w:rFonts w:ascii="Times New Roman" w:hAnsi="Times New Roman" w:cs="Times New Roman"/>
          <w:sz w:val="24"/>
          <w:szCs w:val="24"/>
        </w:rPr>
        <w:t xml:space="preserve"> me </w:t>
      </w:r>
      <w:r w:rsidR="00C6542F">
        <w:rPr>
          <w:rFonts w:ascii="Times New Roman" w:hAnsi="Times New Roman" w:cs="Times New Roman"/>
          <w:sz w:val="24"/>
          <w:szCs w:val="24"/>
        </w:rPr>
        <w:t xml:space="preserve">los </w:t>
      </w:r>
      <w:r w:rsidRPr="00012420">
        <w:rPr>
          <w:rFonts w:ascii="Times New Roman" w:hAnsi="Times New Roman" w:cs="Times New Roman"/>
          <w:sz w:val="24"/>
          <w:szCs w:val="24"/>
        </w:rPr>
        <w:t xml:space="preserve">ha </w:t>
      </w:r>
      <w:r w:rsidR="00C6542F">
        <w:rPr>
          <w:rFonts w:ascii="Times New Roman" w:hAnsi="Times New Roman" w:cs="Times New Roman"/>
          <w:sz w:val="24"/>
          <w:szCs w:val="24"/>
        </w:rPr>
        <w:lastRenderedPageBreak/>
        <w:t>proporcionado un abogado, en ellos,</w:t>
      </w:r>
      <w:r w:rsidRPr="00012420">
        <w:rPr>
          <w:rFonts w:ascii="Times New Roman" w:hAnsi="Times New Roman" w:cs="Times New Roman"/>
          <w:sz w:val="24"/>
          <w:szCs w:val="24"/>
        </w:rPr>
        <w:t xml:space="preserve"> he trabajado examinando al milímetro las palabras decisorias de los jueces y comprándolas con otros caminos que habría podido adoptar y, sin embargo, no lo ha hecho utilizado su libertad para hacerlo. Al principio creía importante plasmar un caso de cada ámbito, es decir, uno penal, otro civil, otro contencioso administrativo y por último uno social-laboral. Pero me di cuenta que era más importante mostrar la diferencia entre un caso que contenga discrecionalidad y otro que tenga arbitrariedad, es decir, que el fallo de la sentencia no sea motivado o lo haga de manera farragosa sin contestar a las cuestiones previas. Por tanto, además de proponer los dos casos reales, explico uno con contenido </w:t>
      </w:r>
      <w:r w:rsidR="003B540C">
        <w:rPr>
          <w:rFonts w:ascii="Times New Roman" w:hAnsi="Times New Roman" w:cs="Times New Roman"/>
          <w:sz w:val="24"/>
          <w:szCs w:val="24"/>
        </w:rPr>
        <w:t>arbitrario</w:t>
      </w:r>
      <w:r w:rsidR="00C6542F">
        <w:rPr>
          <w:rFonts w:ascii="Times New Roman" w:hAnsi="Times New Roman" w:cs="Times New Roman"/>
          <w:sz w:val="24"/>
          <w:szCs w:val="24"/>
        </w:rPr>
        <w:t xml:space="preserve"> y por ú</w:t>
      </w:r>
      <w:r w:rsidRPr="00012420">
        <w:rPr>
          <w:rFonts w:ascii="Times New Roman" w:hAnsi="Times New Roman" w:cs="Times New Roman"/>
          <w:sz w:val="24"/>
          <w:szCs w:val="24"/>
        </w:rPr>
        <w:t>ltimo una sentencia del Tribunal constitucional que opine sobre la arbitrariedad de las sentencias. Creo que de esta manera queda más claro que, normalmente, las sentencias son fruto de la discrecionalidad que el juez ha usado para elaborar su decisión, y que son casos excepcionales los que se dan las sentencias con arbitrariedad.</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Para explicar las nociones básicas de la discrecional</w:t>
      </w:r>
      <w:r w:rsidR="00C6542F">
        <w:rPr>
          <w:rFonts w:ascii="Times New Roman" w:hAnsi="Times New Roman" w:cs="Times New Roman"/>
          <w:sz w:val="24"/>
          <w:szCs w:val="24"/>
        </w:rPr>
        <w:t xml:space="preserve">idad judicial, comencé </w:t>
      </w:r>
      <w:r w:rsidR="003B540C">
        <w:rPr>
          <w:rFonts w:ascii="Times New Roman" w:hAnsi="Times New Roman" w:cs="Times New Roman"/>
          <w:sz w:val="24"/>
          <w:szCs w:val="24"/>
        </w:rPr>
        <w:t>leyendo</w:t>
      </w:r>
      <w:r w:rsidRPr="00012420">
        <w:rPr>
          <w:rFonts w:ascii="Times New Roman" w:hAnsi="Times New Roman" w:cs="Times New Roman"/>
          <w:sz w:val="24"/>
          <w:szCs w:val="24"/>
        </w:rPr>
        <w:t xml:space="preserve"> un manual de Manuel Segura Ortega llamado </w:t>
      </w:r>
      <w:r w:rsidRPr="00012420">
        <w:rPr>
          <w:rFonts w:ascii="Times New Roman" w:hAnsi="Times New Roman" w:cs="Times New Roman"/>
          <w:i/>
          <w:sz w:val="24"/>
          <w:szCs w:val="24"/>
        </w:rPr>
        <w:t>Sentidos y límites de la discrecionalidad judicial</w:t>
      </w:r>
      <w:r w:rsidRPr="00012420">
        <w:rPr>
          <w:rFonts w:ascii="Times New Roman" w:hAnsi="Times New Roman" w:cs="Times New Roman"/>
          <w:sz w:val="24"/>
          <w:szCs w:val="24"/>
        </w:rPr>
        <w:t>. Este libro ha sido el pilar fundamental de este trabajo ya que he encontrado en él las soluciones a las dudas que tenía en cuanto a la discrecionalidad. A raíz de la lectura de este manual, seguí leyendo algunas libros de la bibliografía que había usado este autor para completar de redactar este punto que creo que es de l</w:t>
      </w:r>
      <w:r w:rsidR="00C6542F">
        <w:rPr>
          <w:rFonts w:ascii="Times New Roman" w:hAnsi="Times New Roman" w:cs="Times New Roman"/>
          <w:sz w:val="24"/>
          <w:szCs w:val="24"/>
        </w:rPr>
        <w:t>os más importantes ya</w:t>
      </w:r>
      <w:r w:rsidRPr="00012420">
        <w:rPr>
          <w:rFonts w:ascii="Times New Roman" w:hAnsi="Times New Roman" w:cs="Times New Roman"/>
          <w:sz w:val="24"/>
          <w:szCs w:val="24"/>
        </w:rPr>
        <w:t xml:space="preserve"> que es el punto de partida para entender el resto del trabajo ya que hago di</w:t>
      </w:r>
      <w:r w:rsidR="00C6542F">
        <w:rPr>
          <w:rFonts w:ascii="Times New Roman" w:hAnsi="Times New Roman" w:cs="Times New Roman"/>
          <w:sz w:val="24"/>
          <w:szCs w:val="24"/>
        </w:rPr>
        <w:t>ferentes remisiones a estas páginas</w:t>
      </w:r>
      <w:r w:rsidRPr="00012420">
        <w:rPr>
          <w:rFonts w:ascii="Times New Roman" w:hAnsi="Times New Roman" w:cs="Times New Roman"/>
          <w:sz w:val="24"/>
          <w:szCs w:val="24"/>
        </w:rPr>
        <w:t xml:space="preserve"> cuando trato de explicar el punto de vista de los diferentes autores. En este mismo apartado me serví de varios artículos escritos por juristas de la época que trataba de las diferenci</w:t>
      </w:r>
      <w:r w:rsidR="003B540C">
        <w:rPr>
          <w:rFonts w:ascii="Times New Roman" w:hAnsi="Times New Roman" w:cs="Times New Roman"/>
          <w:sz w:val="24"/>
          <w:szCs w:val="24"/>
        </w:rPr>
        <w:t>as existentes entre el arbitrariedad</w:t>
      </w:r>
      <w:r w:rsidRPr="00012420">
        <w:rPr>
          <w:rFonts w:ascii="Times New Roman" w:hAnsi="Times New Roman" w:cs="Times New Roman"/>
          <w:sz w:val="24"/>
          <w:szCs w:val="24"/>
        </w:rPr>
        <w:t xml:space="preserve"> y la discrecionalidad y otro interesante que trataba de las diferencias y puntos en común que tenían la discrecionalidad judicial y la administrativa.</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apartado siguiente es el de los comentarios de autores. En este </w:t>
      </w:r>
      <w:r w:rsidR="00C6542F">
        <w:rPr>
          <w:rFonts w:ascii="Times New Roman" w:hAnsi="Times New Roman" w:cs="Times New Roman"/>
          <w:sz w:val="24"/>
          <w:szCs w:val="24"/>
        </w:rPr>
        <w:t>caso partí de la lectura de un a</w:t>
      </w:r>
      <w:r w:rsidRPr="00012420">
        <w:rPr>
          <w:rFonts w:ascii="Times New Roman" w:hAnsi="Times New Roman" w:cs="Times New Roman"/>
          <w:sz w:val="24"/>
          <w:szCs w:val="24"/>
        </w:rPr>
        <w:t xml:space="preserve">rtículo redactado por Ramón Ruíz </w:t>
      </w:r>
      <w:proofErr w:type="spellStart"/>
      <w:r w:rsidRPr="00012420">
        <w:rPr>
          <w:rFonts w:ascii="Times New Roman" w:hAnsi="Times New Roman" w:cs="Times New Roman"/>
          <w:sz w:val="24"/>
          <w:szCs w:val="24"/>
        </w:rPr>
        <w:t>Ruíz</w:t>
      </w:r>
      <w:proofErr w:type="spellEnd"/>
      <w:r w:rsidRPr="00012420">
        <w:rPr>
          <w:rFonts w:ascii="Times New Roman" w:hAnsi="Times New Roman" w:cs="Times New Roman"/>
          <w:sz w:val="24"/>
          <w:szCs w:val="24"/>
        </w:rPr>
        <w:t xml:space="preserve"> denominado “</w:t>
      </w:r>
      <w:r w:rsidRPr="003B540C">
        <w:rPr>
          <w:rFonts w:ascii="Times New Roman" w:hAnsi="Times New Roman" w:cs="Times New Roman"/>
          <w:i/>
          <w:sz w:val="24"/>
          <w:szCs w:val="24"/>
        </w:rPr>
        <w:t>El juez y la aplicación del Derecho</w:t>
      </w:r>
      <w:r w:rsidRPr="00012420">
        <w:rPr>
          <w:rFonts w:ascii="Times New Roman" w:hAnsi="Times New Roman" w:cs="Times New Roman"/>
          <w:sz w:val="24"/>
          <w:szCs w:val="24"/>
        </w:rPr>
        <w:t xml:space="preserve">”. Empecé con la opinión de este autor ya que me parecía que hablaba de la parte global de la discrecionalidad haciendo referencia a la doctrina del pasado. Continué con un artículo un poco más específico que trataba sobre la </w:t>
      </w:r>
      <w:r w:rsidR="00C6542F">
        <w:rPr>
          <w:rFonts w:ascii="Times New Roman" w:hAnsi="Times New Roman" w:cs="Times New Roman"/>
          <w:sz w:val="24"/>
          <w:szCs w:val="24"/>
        </w:rPr>
        <w:t>“</w:t>
      </w:r>
      <w:r w:rsidRPr="003B540C">
        <w:rPr>
          <w:rFonts w:ascii="Times New Roman" w:hAnsi="Times New Roman" w:cs="Times New Roman"/>
          <w:i/>
          <w:sz w:val="24"/>
          <w:szCs w:val="24"/>
        </w:rPr>
        <w:t>Multiculturalidad y discrecionalidad judicial en una sentencia penal: análisis desde Joseph Raz</w:t>
      </w:r>
      <w:r w:rsidR="00C6542F">
        <w:rPr>
          <w:rFonts w:ascii="Times New Roman" w:hAnsi="Times New Roman" w:cs="Times New Roman"/>
          <w:sz w:val="24"/>
          <w:szCs w:val="24"/>
        </w:rPr>
        <w:t>”</w:t>
      </w:r>
      <w:r w:rsidRPr="00012420">
        <w:rPr>
          <w:rFonts w:ascii="Times New Roman" w:hAnsi="Times New Roman" w:cs="Times New Roman"/>
          <w:i/>
          <w:sz w:val="24"/>
          <w:szCs w:val="24"/>
        </w:rPr>
        <w:t xml:space="preserve">. </w:t>
      </w:r>
      <w:r w:rsidRPr="00012420">
        <w:rPr>
          <w:rFonts w:ascii="Times New Roman" w:hAnsi="Times New Roman" w:cs="Times New Roman"/>
          <w:sz w:val="24"/>
          <w:szCs w:val="24"/>
        </w:rPr>
        <w:t xml:space="preserve">Este artículo me pareció interesante integrarlo en el trabajo ya que trataba de la resolución de una sentencia penal donde había discrecionalidad. El caso es </w:t>
      </w:r>
      <w:r w:rsidRPr="00012420">
        <w:rPr>
          <w:rFonts w:ascii="Times New Roman" w:hAnsi="Times New Roman" w:cs="Times New Roman"/>
          <w:sz w:val="24"/>
          <w:szCs w:val="24"/>
        </w:rPr>
        <w:lastRenderedPageBreak/>
        <w:t>especial ya que se da fuera de España, concretamente en Chile. A través de la explicación de</w:t>
      </w:r>
      <w:r w:rsidR="00C6542F">
        <w:rPr>
          <w:rFonts w:ascii="Times New Roman" w:hAnsi="Times New Roman" w:cs="Times New Roman"/>
          <w:sz w:val="24"/>
          <w:szCs w:val="24"/>
        </w:rPr>
        <w:t xml:space="preserve"> este caso quería poner</w:t>
      </w:r>
      <w:r w:rsidRPr="00012420">
        <w:rPr>
          <w:rFonts w:ascii="Times New Roman" w:hAnsi="Times New Roman" w:cs="Times New Roman"/>
          <w:sz w:val="24"/>
          <w:szCs w:val="24"/>
        </w:rPr>
        <w:t xml:space="preserve"> de manifiesto las diferencias que existen entre el ordenamiento jurídico de nuestro Estado con el que hay en Chile. El t</w:t>
      </w:r>
      <w:r w:rsidR="00C6542F">
        <w:rPr>
          <w:rFonts w:ascii="Times New Roman" w:hAnsi="Times New Roman" w:cs="Times New Roman"/>
          <w:sz w:val="24"/>
          <w:szCs w:val="24"/>
        </w:rPr>
        <w:t>ercer artículo que trato de explicar</w:t>
      </w:r>
      <w:r w:rsidRPr="00012420">
        <w:rPr>
          <w:rFonts w:ascii="Times New Roman" w:hAnsi="Times New Roman" w:cs="Times New Roman"/>
          <w:sz w:val="24"/>
          <w:szCs w:val="24"/>
        </w:rPr>
        <w:t xml:space="preserve"> es sobre </w:t>
      </w:r>
      <w:r w:rsidRPr="00012420">
        <w:rPr>
          <w:rFonts w:ascii="Times New Roman" w:hAnsi="Times New Roman" w:cs="Times New Roman"/>
          <w:i/>
          <w:sz w:val="24"/>
          <w:szCs w:val="24"/>
        </w:rPr>
        <w:t xml:space="preserve">El problema de la discrecionalidad judicial, </w:t>
      </w:r>
      <w:r w:rsidRPr="00012420">
        <w:rPr>
          <w:rFonts w:ascii="Times New Roman" w:hAnsi="Times New Roman" w:cs="Times New Roman"/>
          <w:sz w:val="24"/>
          <w:szCs w:val="24"/>
        </w:rPr>
        <w:t xml:space="preserve">este trabajo se desarrolla </w:t>
      </w:r>
      <w:r w:rsidR="00C6542F">
        <w:rPr>
          <w:rFonts w:ascii="Times New Roman" w:hAnsi="Times New Roman" w:cs="Times New Roman"/>
          <w:sz w:val="24"/>
          <w:szCs w:val="24"/>
        </w:rPr>
        <w:t xml:space="preserve">dando a conocer </w:t>
      </w:r>
      <w:r w:rsidRPr="00012420">
        <w:rPr>
          <w:rFonts w:ascii="Times New Roman" w:hAnsi="Times New Roman" w:cs="Times New Roman"/>
          <w:sz w:val="24"/>
          <w:szCs w:val="24"/>
        </w:rPr>
        <w:t xml:space="preserve">el “mal” que puede causar la discrecionalidad y cuáles son las posibles soluciones que pueden acabar con ese supuesto mal. El cuarto y último artículo que plasmo en el trabajo trata de las antiguas doctrinas que niegan la existencia de la discrecionalidad judicial. El autor de esta obra diferencia dos doctrinas, que se explican más adelante. </w:t>
      </w:r>
    </w:p>
    <w:p w:rsidR="00C6542F"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siguiente punto del trabajo es el de la jurisprudencia. </w:t>
      </w:r>
      <w:r w:rsidR="00C6542F">
        <w:rPr>
          <w:rFonts w:ascii="Times New Roman" w:hAnsi="Times New Roman" w:cs="Times New Roman"/>
          <w:sz w:val="24"/>
          <w:szCs w:val="24"/>
        </w:rPr>
        <w:t xml:space="preserve">En este apartado trato de explicar los diferentes casos en los que existe una </w:t>
      </w:r>
      <w:r w:rsidR="003B540C">
        <w:rPr>
          <w:rFonts w:ascii="Times New Roman" w:hAnsi="Times New Roman" w:cs="Times New Roman"/>
          <w:sz w:val="24"/>
          <w:szCs w:val="24"/>
        </w:rPr>
        <w:t>resolución</w:t>
      </w:r>
      <w:r w:rsidR="00C6542F">
        <w:rPr>
          <w:rFonts w:ascii="Times New Roman" w:hAnsi="Times New Roman" w:cs="Times New Roman"/>
          <w:sz w:val="24"/>
          <w:szCs w:val="24"/>
        </w:rPr>
        <w:t xml:space="preserve"> discrecional. Concretamente </w:t>
      </w:r>
      <w:proofErr w:type="spellStart"/>
      <w:r w:rsidR="00C6542F">
        <w:rPr>
          <w:rFonts w:ascii="Times New Roman" w:hAnsi="Times New Roman" w:cs="Times New Roman"/>
          <w:sz w:val="24"/>
          <w:szCs w:val="24"/>
        </w:rPr>
        <w:t>propopongo</w:t>
      </w:r>
      <w:proofErr w:type="spellEnd"/>
      <w:r w:rsidR="00C6542F">
        <w:rPr>
          <w:rFonts w:ascii="Times New Roman" w:hAnsi="Times New Roman" w:cs="Times New Roman"/>
          <w:sz w:val="24"/>
          <w:szCs w:val="24"/>
        </w:rPr>
        <w:t xml:space="preserve">: </w:t>
      </w:r>
      <w:r w:rsidRPr="00012420">
        <w:rPr>
          <w:rFonts w:ascii="Times New Roman" w:hAnsi="Times New Roman" w:cs="Times New Roman"/>
          <w:sz w:val="24"/>
          <w:szCs w:val="24"/>
        </w:rPr>
        <w:t>dos caso</w:t>
      </w:r>
      <w:r w:rsidR="00C6542F">
        <w:rPr>
          <w:rFonts w:ascii="Times New Roman" w:hAnsi="Times New Roman" w:cs="Times New Roman"/>
          <w:sz w:val="24"/>
          <w:szCs w:val="24"/>
        </w:rPr>
        <w:t xml:space="preserve">s reales, </w:t>
      </w:r>
      <w:r w:rsidR="003B540C">
        <w:rPr>
          <w:rFonts w:ascii="Times New Roman" w:hAnsi="Times New Roman" w:cs="Times New Roman"/>
          <w:sz w:val="24"/>
          <w:szCs w:val="24"/>
        </w:rPr>
        <w:t>una sentencia</w:t>
      </w:r>
      <w:r w:rsidR="00C6542F">
        <w:rPr>
          <w:rFonts w:ascii="Times New Roman" w:hAnsi="Times New Roman" w:cs="Times New Roman"/>
          <w:sz w:val="24"/>
          <w:szCs w:val="24"/>
        </w:rPr>
        <w:t xml:space="preserve"> con </w:t>
      </w:r>
      <w:r w:rsidR="003B540C">
        <w:rPr>
          <w:rFonts w:ascii="Times New Roman" w:hAnsi="Times New Roman" w:cs="Times New Roman"/>
          <w:sz w:val="24"/>
          <w:szCs w:val="24"/>
        </w:rPr>
        <w:t>posible</w:t>
      </w:r>
      <w:r w:rsidR="00C6542F">
        <w:rPr>
          <w:rFonts w:ascii="Times New Roman" w:hAnsi="Times New Roman" w:cs="Times New Roman"/>
          <w:sz w:val="24"/>
          <w:szCs w:val="24"/>
        </w:rPr>
        <w:t xml:space="preserve"> arbitrariedad </w:t>
      </w:r>
      <w:r w:rsidRPr="00012420">
        <w:rPr>
          <w:rFonts w:ascii="Times New Roman" w:hAnsi="Times New Roman" w:cs="Times New Roman"/>
          <w:sz w:val="24"/>
          <w:szCs w:val="24"/>
        </w:rPr>
        <w:t xml:space="preserve">y la sentencia del Tribunal Constitucional que trata de </w:t>
      </w:r>
      <w:r w:rsidR="00C6542F">
        <w:rPr>
          <w:rFonts w:ascii="Times New Roman" w:hAnsi="Times New Roman" w:cs="Times New Roman"/>
          <w:sz w:val="24"/>
          <w:szCs w:val="24"/>
        </w:rPr>
        <w:t xml:space="preserve">explicar las </w:t>
      </w:r>
      <w:r w:rsidR="003B540C">
        <w:rPr>
          <w:rFonts w:ascii="Times New Roman" w:hAnsi="Times New Roman" w:cs="Times New Roman"/>
          <w:sz w:val="24"/>
          <w:szCs w:val="24"/>
        </w:rPr>
        <w:t>diferencias</w:t>
      </w:r>
      <w:r w:rsidR="00C6542F">
        <w:rPr>
          <w:rFonts w:ascii="Times New Roman" w:hAnsi="Times New Roman" w:cs="Times New Roman"/>
          <w:sz w:val="24"/>
          <w:szCs w:val="24"/>
        </w:rPr>
        <w:t xml:space="preserve"> entre arbitrariedad y discrecionalidad.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Para finalizar este trabajo, pongo las conclusiones que he llegado gracias al estudio de este tema.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Por último, decir que el tema del que trata el tr</w:t>
      </w:r>
      <w:r w:rsidR="00C6542F">
        <w:rPr>
          <w:rFonts w:ascii="Times New Roman" w:hAnsi="Times New Roman" w:cs="Times New Roman"/>
          <w:sz w:val="24"/>
          <w:szCs w:val="24"/>
        </w:rPr>
        <w:t>abajo es bastante interesante porque</w:t>
      </w:r>
      <w:r w:rsidRPr="00012420">
        <w:rPr>
          <w:rFonts w:ascii="Times New Roman" w:hAnsi="Times New Roman" w:cs="Times New Roman"/>
          <w:sz w:val="24"/>
          <w:szCs w:val="24"/>
        </w:rPr>
        <w:t xml:space="preserve"> es una cuestión de actualidad y parece ser que va a perdurar ya que es muy difícil la creación de un ordenamiento jurídico sin lagunas ni ambigüedades que es lo que podría acabar con la discrecionalidad judicial.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estudio de la discrecionalidad judicial me ha servido para disipar mis dudas desde el propio concepto </w:t>
      </w:r>
      <w:r w:rsidR="00C6542F">
        <w:rPr>
          <w:rFonts w:ascii="Times New Roman" w:hAnsi="Times New Roman" w:cs="Times New Roman"/>
          <w:sz w:val="24"/>
          <w:szCs w:val="24"/>
        </w:rPr>
        <w:t>de este fenómeno hasta la</w:t>
      </w:r>
      <w:r w:rsidRPr="00012420">
        <w:rPr>
          <w:rFonts w:ascii="Times New Roman" w:hAnsi="Times New Roman" w:cs="Times New Roman"/>
          <w:sz w:val="24"/>
          <w:szCs w:val="24"/>
        </w:rPr>
        <w:t xml:space="preserve"> jurisprudencia que existe en cuanto al tema.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942A8B" w:rsidRDefault="00942A8B"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012420">
        <w:rPr>
          <w:rFonts w:ascii="Times New Roman" w:hAnsi="Times New Roman" w:cs="Times New Roman"/>
          <w:sz w:val="24"/>
          <w:szCs w:val="24"/>
          <w:u w:val="single"/>
        </w:rPr>
        <w:t>2.- RESÚMENES</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trabajo en general trata de la discrecionalidad judicial. Se indica </w:t>
      </w:r>
      <w:r w:rsidR="000F19A8" w:rsidRPr="00012420">
        <w:rPr>
          <w:rFonts w:ascii="Times New Roman" w:hAnsi="Times New Roman" w:cs="Times New Roman"/>
          <w:sz w:val="24"/>
          <w:szCs w:val="24"/>
        </w:rPr>
        <w:t>cuáles</w:t>
      </w:r>
      <w:r w:rsidRPr="00012420">
        <w:rPr>
          <w:rFonts w:ascii="Times New Roman" w:hAnsi="Times New Roman" w:cs="Times New Roman"/>
          <w:sz w:val="24"/>
          <w:szCs w:val="24"/>
        </w:rPr>
        <w:t xml:space="preserve"> son las causas, los límites y los elementos que dan lugar a ella. También se puede observar las diferencias existentes entre los d</w:t>
      </w:r>
      <w:r w:rsidR="00C6542F">
        <w:rPr>
          <w:rFonts w:ascii="Times New Roman" w:hAnsi="Times New Roman" w:cs="Times New Roman"/>
          <w:sz w:val="24"/>
          <w:szCs w:val="24"/>
        </w:rPr>
        <w:t xml:space="preserve">os tipos de discrecionalidad </w:t>
      </w:r>
      <w:r w:rsidRPr="00012420">
        <w:rPr>
          <w:rFonts w:ascii="Times New Roman" w:hAnsi="Times New Roman" w:cs="Times New Roman"/>
          <w:sz w:val="24"/>
          <w:szCs w:val="24"/>
        </w:rPr>
        <w:t>que son</w:t>
      </w:r>
      <w:r w:rsidR="00C6542F">
        <w:rPr>
          <w:rFonts w:ascii="Times New Roman" w:hAnsi="Times New Roman" w:cs="Times New Roman"/>
          <w:sz w:val="24"/>
          <w:szCs w:val="24"/>
        </w:rPr>
        <w:t>:</w:t>
      </w:r>
      <w:r w:rsidRPr="00012420">
        <w:rPr>
          <w:rFonts w:ascii="Times New Roman" w:hAnsi="Times New Roman" w:cs="Times New Roman"/>
          <w:sz w:val="24"/>
          <w:szCs w:val="24"/>
        </w:rPr>
        <w:t xml:space="preserve"> la judicial y la administrativa, además, de las diferencias que hay entre la discrecionalidad (es necesaria en la actividad que realiza el juez) y la arbitrariedad (no es lícita ya que afecta al derecho a la tutela judicial que tiene cualquier interesado). Otro punto del trabajo se refiere a las diferentes opiniones que existen en cuanto a la discrecionalidad. Introduzco reflexiones que van desde el problema de la discrecionalidad hasta las doctrinas que niegan su existencia. Por último, pongo de ejemplo dos casos reales en los que se pueden observar cierta discrecionalidad, además, de incluir una sentencia arbitraria con la respectiva explicación de lo que consiste p</w:t>
      </w:r>
      <w:r w:rsidR="00C6542F">
        <w:rPr>
          <w:rFonts w:ascii="Times New Roman" w:hAnsi="Times New Roman" w:cs="Times New Roman"/>
          <w:sz w:val="24"/>
          <w:szCs w:val="24"/>
        </w:rPr>
        <w:t xml:space="preserve">or el Tribunal Constitucional. </w:t>
      </w:r>
    </w:p>
    <w:p w:rsidR="00096050" w:rsidRPr="001257D6" w:rsidRDefault="001257D6" w:rsidP="00096050">
      <w:pPr>
        <w:widowControl w:val="0"/>
        <w:autoSpaceDE w:val="0"/>
        <w:autoSpaceDN w:val="0"/>
        <w:adjustRightInd w:val="0"/>
        <w:spacing w:line="360" w:lineRule="auto"/>
        <w:jc w:val="both"/>
        <w:rPr>
          <w:rFonts w:ascii="Times New Roman" w:hAnsi="Times New Roman" w:cs="Times New Roman"/>
          <w:sz w:val="24"/>
          <w:szCs w:val="24"/>
          <w:lang w:val="en-US"/>
        </w:rPr>
      </w:pPr>
      <w:r w:rsidRPr="001257D6">
        <w:rPr>
          <w:rFonts w:ascii="Times New Roman" w:hAnsi="Times New Roman" w:cs="Times New Roman"/>
          <w:sz w:val="24"/>
          <w:szCs w:val="24"/>
          <w:lang w:val="en-US"/>
        </w:rPr>
        <w:t>The overall work is judicial discretion. It indicates what causes the limits and elements that give rise to it. You can also observe the differences between the two types of existing discretion are judicial and also the administrative of the differences between the discretion (it is necessary in the activity undertaken by the judge) and arbitrary (not lawful because it affects the right to justice that have any interested). Additional work refers to the different opinions in terms of discretion. Introduce reflections ranging from the question of discretion to the doctrines that deny its existence. Finally, I put two case examples where you can see some discretion also include an arbitrary decision with the respective explanation of what is the Constitutional Court.</w:t>
      </w:r>
    </w:p>
    <w:p w:rsidR="00096050" w:rsidRPr="001257D6" w:rsidRDefault="00096050" w:rsidP="00096050">
      <w:pPr>
        <w:widowControl w:val="0"/>
        <w:autoSpaceDE w:val="0"/>
        <w:autoSpaceDN w:val="0"/>
        <w:adjustRightInd w:val="0"/>
        <w:spacing w:line="360" w:lineRule="auto"/>
        <w:jc w:val="both"/>
        <w:rPr>
          <w:rFonts w:ascii="Times New Roman" w:hAnsi="Times New Roman" w:cs="Times New Roman"/>
          <w:sz w:val="24"/>
          <w:szCs w:val="24"/>
          <w:lang w:val="en-US"/>
        </w:rPr>
      </w:pPr>
    </w:p>
    <w:p w:rsidR="001257D6" w:rsidRDefault="001257D6" w:rsidP="00096050">
      <w:pPr>
        <w:widowControl w:val="0"/>
        <w:autoSpaceDE w:val="0"/>
        <w:autoSpaceDN w:val="0"/>
        <w:adjustRightInd w:val="0"/>
        <w:spacing w:line="360" w:lineRule="auto"/>
        <w:jc w:val="both"/>
        <w:rPr>
          <w:rFonts w:ascii="Times New Roman" w:hAnsi="Times New Roman" w:cs="Times New Roman"/>
          <w:sz w:val="24"/>
          <w:szCs w:val="24"/>
          <w:lang w:val="en-US"/>
        </w:rPr>
      </w:pPr>
    </w:p>
    <w:p w:rsidR="00C6542F" w:rsidRPr="003B540C" w:rsidRDefault="00C6542F" w:rsidP="00096050">
      <w:pPr>
        <w:widowControl w:val="0"/>
        <w:autoSpaceDE w:val="0"/>
        <w:autoSpaceDN w:val="0"/>
        <w:adjustRightInd w:val="0"/>
        <w:spacing w:line="360" w:lineRule="auto"/>
        <w:jc w:val="both"/>
        <w:rPr>
          <w:rFonts w:ascii="Times New Roman" w:hAnsi="Times New Roman" w:cs="Times New Roman"/>
          <w:sz w:val="24"/>
          <w:szCs w:val="24"/>
          <w:u w:val="dotted"/>
          <w:lang w:val="en-US"/>
        </w:rPr>
      </w:pPr>
    </w:p>
    <w:p w:rsidR="0009605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1257D6">
        <w:rPr>
          <w:rFonts w:ascii="Times New Roman" w:hAnsi="Times New Roman" w:cs="Times New Roman"/>
          <w:sz w:val="24"/>
          <w:szCs w:val="24"/>
          <w:u w:val="dotted"/>
        </w:rPr>
        <w:t>Palabras clave:</w:t>
      </w:r>
      <w:r w:rsidRPr="00012420">
        <w:rPr>
          <w:rFonts w:ascii="Times New Roman" w:hAnsi="Times New Roman" w:cs="Times New Roman"/>
          <w:sz w:val="24"/>
          <w:szCs w:val="24"/>
        </w:rPr>
        <w:t xml:space="preserve"> discrecionalidad -decisión judicial-sentencia-arbitrariedad-juez-motivación. </w:t>
      </w:r>
    </w:p>
    <w:p w:rsidR="00096050" w:rsidRPr="0009605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F19A8" w:rsidRDefault="000F19A8"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012420">
        <w:rPr>
          <w:rFonts w:ascii="Times New Roman" w:hAnsi="Times New Roman" w:cs="Times New Roman"/>
          <w:sz w:val="24"/>
          <w:szCs w:val="24"/>
          <w:u w:val="single"/>
        </w:rPr>
        <w:t>3.- NOCIONES BÁSCIAS</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 xml:space="preserve">3.1. INTRODUCCIÓN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Como punto de partida, la discrecionalidad es uno de los temas que más han preocupado a los juristas. Ésta materia ha venido siendo el punto de inflexión de numerosas discusiones que tuvieron lugar en el pasado y no han servido para llegar a alcanzar ningún acuerdo. En la actualidad también se cuenta con numerosas reflexiones de autores aunque sin ningún indicio de homogeneidad respecto a un acuerdo común.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Los desacuerdos afectan tanto al alcance, sentido y límites de la discrecionalidad; como a su propia existencia. Hay autores que aceptan la discrecionalidad y otros, en cambio, que la niegan como Dworkin.</w:t>
      </w:r>
      <w:r w:rsidRPr="00012420">
        <w:rPr>
          <w:rStyle w:val="Refdenotaalpie"/>
          <w:rFonts w:ascii="Times New Roman" w:hAnsi="Times New Roman" w:cs="Times New Roman"/>
          <w:sz w:val="24"/>
          <w:szCs w:val="24"/>
        </w:rPr>
        <w:footnoteReference w:id="2"/>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En el Derecho actual, se le otorga al juez un mayor protagonismo a la hora de ejercer sus facultades. Se pueden adoptar decisiones diferentes teniendo un mismo fundamento normativo, de ahí la existencia de decisiones contradictorias que hacen que se entienda un reconocimiento explícito de la discrecionalidad judicial ya que esas diferentes posturas solo puede</w:t>
      </w:r>
      <w:r w:rsidR="00C6542F">
        <w:rPr>
          <w:rFonts w:ascii="Times New Roman" w:hAnsi="Times New Roman" w:cs="Times New Roman"/>
          <w:sz w:val="24"/>
          <w:szCs w:val="24"/>
        </w:rPr>
        <w:t>n</w:t>
      </w:r>
      <w:r w:rsidRPr="00012420">
        <w:rPr>
          <w:rFonts w:ascii="Times New Roman" w:hAnsi="Times New Roman" w:cs="Times New Roman"/>
          <w:sz w:val="24"/>
          <w:szCs w:val="24"/>
        </w:rPr>
        <w:t xml:space="preserve"> justificarse si se le otorga al juez un margen de elección en el ejercicio de su actividad.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Se produce una resistencia al reconocimiento del arbitrio judicial por el posible perjuicio que se le puede </w:t>
      </w:r>
      <w:r w:rsidR="000F19A8" w:rsidRPr="00012420">
        <w:rPr>
          <w:rFonts w:ascii="Times New Roman" w:hAnsi="Times New Roman" w:cs="Times New Roman"/>
          <w:sz w:val="24"/>
          <w:szCs w:val="24"/>
        </w:rPr>
        <w:t>ocasionar</w:t>
      </w:r>
      <w:r w:rsidRPr="00012420">
        <w:rPr>
          <w:rFonts w:ascii="Times New Roman" w:hAnsi="Times New Roman" w:cs="Times New Roman"/>
          <w:sz w:val="24"/>
          <w:szCs w:val="24"/>
        </w:rPr>
        <w:t xml:space="preserve"> a la seguridad jurídica. Aun así, la postura mayoritaria, reconoce la existencia de la discrecionalidad que tienen los jueces para modelar el contenido de la norma en cuanto al caso concreto.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La aceptación de la discrecionalidad es mayoritaria, es un acuerdo casi total. La existencia de la discrecionalidad se confirma con la abundancia de sentencias con resoluciones contradictorias que entran en controversia con una serie de principios constitucionales. Según la opinión de Manuel Segura Ortega: “</w:t>
      </w:r>
      <w:r w:rsidRPr="003B540C">
        <w:rPr>
          <w:rFonts w:ascii="Times New Roman" w:hAnsi="Times New Roman" w:cs="Times New Roman"/>
          <w:i/>
          <w:sz w:val="24"/>
          <w:szCs w:val="24"/>
        </w:rPr>
        <w:t>la existencia de la discrecionalidad está fuera de toda duda</w:t>
      </w:r>
      <w:r w:rsidRPr="00012420">
        <w:rPr>
          <w:rFonts w:ascii="Times New Roman" w:hAnsi="Times New Roman" w:cs="Times New Roman"/>
          <w:sz w:val="24"/>
          <w:szCs w:val="24"/>
        </w:rPr>
        <w:t>”</w:t>
      </w:r>
      <w:r w:rsidRPr="00012420">
        <w:rPr>
          <w:rStyle w:val="Refdenotaalpie"/>
          <w:rFonts w:ascii="Times New Roman" w:hAnsi="Times New Roman" w:cs="Times New Roman"/>
          <w:sz w:val="24"/>
          <w:szCs w:val="24"/>
        </w:rPr>
        <w:footnoteReference w:id="3"/>
      </w:r>
      <w:r w:rsidRPr="00012420">
        <w:rPr>
          <w:rFonts w:ascii="Times New Roman" w:hAnsi="Times New Roman" w:cs="Times New Roman"/>
          <w:sz w:val="24"/>
          <w:szCs w:val="24"/>
        </w:rPr>
        <w:t xml:space="preserve">. </w:t>
      </w:r>
    </w:p>
    <w:p w:rsidR="000F19A8" w:rsidRDefault="000F19A8" w:rsidP="00096050">
      <w:pPr>
        <w:widowControl w:val="0"/>
        <w:autoSpaceDE w:val="0"/>
        <w:autoSpaceDN w:val="0"/>
        <w:adjustRightInd w:val="0"/>
        <w:spacing w:line="360" w:lineRule="auto"/>
        <w:jc w:val="both"/>
        <w:rPr>
          <w:rFonts w:ascii="Times New Roman" w:hAnsi="Times New Roman" w:cs="Times New Roman"/>
          <w:i/>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 xml:space="preserve">3.2 CONCEPTO Y ELEMENTOS BASICOS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Aunque sea admitida la discrecionalidad, no hay consenso en cuanto a su significado. No hay un concepto único y homogéneo. Hay una gran variedad de opiniones que pueden resumirse en dos grandes tendencias: de un lado los autores que consideran que hay discrecionalidad en los casos más difíciles. De otro lado, están los autores que creen que la discrecionalidad está presente en todas las resoluciones de los jueces. Para los autores de la primera postura, la discrecionalidad solo existe en las causas autorizadas por la ley. Personalmente, estoy de acuerdo con la segunda postura porque la discrecionalidad presupone otorgar una libertad de acción a los jueces que pienso que es indispensable para ejercer, de una manera correcta, su actividad ya que existe un derecho que, en algunas ocasiones, es ambiguo. Una autora</w:t>
      </w:r>
      <w:r w:rsidRPr="00012420">
        <w:rPr>
          <w:rStyle w:val="Refdenotaalpie"/>
          <w:rFonts w:ascii="Times New Roman" w:hAnsi="Times New Roman" w:cs="Times New Roman"/>
          <w:sz w:val="24"/>
          <w:szCs w:val="24"/>
        </w:rPr>
        <w:footnoteReference w:id="4"/>
      </w:r>
      <w:r w:rsidRPr="00012420">
        <w:rPr>
          <w:rFonts w:ascii="Times New Roman" w:hAnsi="Times New Roman" w:cs="Times New Roman"/>
          <w:sz w:val="24"/>
          <w:szCs w:val="24"/>
        </w:rPr>
        <w:t xml:space="preserve"> define la discrecionalidad diciendo que es la facultad de decidir entre dos o más posibilidades que sean permitidas por el ordenamiento. Deben existir varias soluciones i</w:t>
      </w:r>
      <w:r w:rsidR="00C6542F">
        <w:rPr>
          <w:rFonts w:ascii="Times New Roman" w:hAnsi="Times New Roman" w:cs="Times New Roman"/>
          <w:sz w:val="24"/>
          <w:szCs w:val="24"/>
        </w:rPr>
        <w:t xml:space="preserve">gualmente válidas para que se </w:t>
      </w:r>
      <w:r w:rsidR="003B540C">
        <w:rPr>
          <w:rFonts w:ascii="Times New Roman" w:hAnsi="Times New Roman" w:cs="Times New Roman"/>
          <w:sz w:val="24"/>
          <w:szCs w:val="24"/>
        </w:rPr>
        <w:t>dé</w:t>
      </w:r>
      <w:r w:rsidRPr="00012420">
        <w:rPr>
          <w:rFonts w:ascii="Times New Roman" w:hAnsi="Times New Roman" w:cs="Times New Roman"/>
          <w:sz w:val="24"/>
          <w:szCs w:val="24"/>
        </w:rPr>
        <w:t xml:space="preserve"> la discrecionalidad, es un rasgo característico de éste fenómeno.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Existen tres elementos básicos en la discrecionalidad: el primero es la facultad de elección o decisión con la que cuenta el juez; el segundo precisa en un fundamento normativo, es decir, toda la actividad judicial se legitima porque son las normas las que autorizan al juez a realizar su actividad y el tercero es la obligación de justificar o motivar la elección del juez, si falta este tercer elemento, l</w:t>
      </w:r>
      <w:r w:rsidR="00C6542F">
        <w:rPr>
          <w:rFonts w:ascii="Times New Roman" w:hAnsi="Times New Roman" w:cs="Times New Roman"/>
          <w:sz w:val="24"/>
          <w:szCs w:val="24"/>
        </w:rPr>
        <w:t>a decisión pasará a ser arbitraria</w:t>
      </w:r>
      <w:r w:rsidRPr="00012420">
        <w:rPr>
          <w:rFonts w:ascii="Times New Roman" w:hAnsi="Times New Roman" w:cs="Times New Roman"/>
          <w:sz w:val="24"/>
          <w:szCs w:val="24"/>
        </w:rPr>
        <w:t xml:space="preserv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Atendiendo estos elementos, la discrecionalidad puede definirse como </w:t>
      </w:r>
      <w:r w:rsidRPr="00012420">
        <w:rPr>
          <w:rFonts w:ascii="Times New Roman" w:hAnsi="Times New Roman" w:cs="Times New Roman"/>
          <w:b/>
          <w:sz w:val="24"/>
          <w:szCs w:val="24"/>
        </w:rPr>
        <w:t>la libertad que las normas otorgan al juez para que elija entre dos o más soluciones siempre que lo justifique.</w:t>
      </w:r>
    </w:p>
    <w:p w:rsidR="000F19A8" w:rsidRDefault="000F19A8" w:rsidP="00096050">
      <w:pPr>
        <w:widowControl w:val="0"/>
        <w:autoSpaceDE w:val="0"/>
        <w:autoSpaceDN w:val="0"/>
        <w:adjustRightInd w:val="0"/>
        <w:spacing w:line="360" w:lineRule="auto"/>
        <w:jc w:val="both"/>
        <w:rPr>
          <w:rFonts w:ascii="Times New Roman" w:hAnsi="Times New Roman" w:cs="Times New Roman"/>
          <w:i/>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3.3 LAS CAUSAS DE LA DISCRECIONALIDAD</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cuanto a las causas que pueden dar lugar a la discrecionalidad, también es motivo de discrepancia entre los autores. Para los que piensan que la discrecionalidad solo se da cuando viene autorizada por ley, la única causa que puede justificarla es la voluntad del creador de la norma. Para los que, sin embargo, piensen que la discrecionalidad se da en cada elección del juez, el motivo por </w:t>
      </w:r>
      <w:r w:rsidRPr="00012420">
        <w:rPr>
          <w:rFonts w:ascii="Times New Roman" w:hAnsi="Times New Roman" w:cs="Times New Roman"/>
          <w:sz w:val="24"/>
          <w:szCs w:val="24"/>
        </w:rPr>
        <w:lastRenderedPageBreak/>
        <w:t xml:space="preserve">el que nace la discrecionalidad es la indeterminación del Derecho. Éste concepto ha cobrado en los últimos tiempos interés a través de los textos constitucionales abiertos y flexibles creados por medios de diferentes ideologías y un pluralismo de valores. En los casos que haya indeterminación, el juez debe ejercer una cierta discrecionalidad ya que debe elegir cuál es la mejor respuesta.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La indeterminación del Derecho puede afrontarse desde cuatro perspectivas:</w:t>
      </w:r>
    </w:p>
    <w:p w:rsidR="00096050" w:rsidRPr="00012420" w:rsidRDefault="00096050" w:rsidP="00096050">
      <w:pPr>
        <w:pStyle w:val="Prrafodelista"/>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C6542F">
        <w:rPr>
          <w:rFonts w:ascii="Times New Roman" w:hAnsi="Times New Roman" w:cs="Times New Roman"/>
          <w:sz w:val="24"/>
          <w:szCs w:val="24"/>
          <w:u w:val="single"/>
        </w:rPr>
        <w:t>Indeterminación del contenido</w:t>
      </w:r>
      <w:r w:rsidRPr="00012420">
        <w:rPr>
          <w:rFonts w:ascii="Times New Roman" w:hAnsi="Times New Roman" w:cs="Times New Roman"/>
          <w:sz w:val="24"/>
          <w:szCs w:val="24"/>
        </w:rPr>
        <w:t>: se puede comprobar que la mayoría de los ordenamientos facultan a los jueces de una libertad a la hora de obtener una de</w:t>
      </w:r>
      <w:r>
        <w:rPr>
          <w:rFonts w:ascii="Times New Roman" w:hAnsi="Times New Roman" w:cs="Times New Roman"/>
          <w:sz w:val="24"/>
          <w:szCs w:val="24"/>
        </w:rPr>
        <w:t>cisión. Es la consecuencia de una</w:t>
      </w:r>
      <w:r w:rsidRPr="00012420">
        <w:rPr>
          <w:rFonts w:ascii="Times New Roman" w:hAnsi="Times New Roman" w:cs="Times New Roman"/>
          <w:sz w:val="24"/>
          <w:szCs w:val="24"/>
        </w:rPr>
        <w:t xml:space="preserve"> redacción, en ocasiones, abierta e indeterminada de la norma que da a lugar </w:t>
      </w:r>
      <w:r>
        <w:rPr>
          <w:rFonts w:ascii="Times New Roman" w:hAnsi="Times New Roman" w:cs="Times New Roman"/>
          <w:sz w:val="24"/>
          <w:szCs w:val="24"/>
        </w:rPr>
        <w:t xml:space="preserve">a </w:t>
      </w:r>
      <w:r w:rsidRPr="00012420">
        <w:rPr>
          <w:rFonts w:ascii="Times New Roman" w:hAnsi="Times New Roman" w:cs="Times New Roman"/>
          <w:sz w:val="24"/>
          <w:szCs w:val="24"/>
        </w:rPr>
        <w:t xml:space="preserve">la posibilidad de interpretarla de diferente manera. Parece ser que la indeterminación del contenido es un rasgo característico de los ordenamientos actuales. A raíz de las diferentes interpretaciones a las que se puede acoger el juez, se le otorga un papel más relevante y su función puede dar lugar a una creación normativa. </w:t>
      </w:r>
    </w:p>
    <w:p w:rsidR="00096050" w:rsidRPr="00012420" w:rsidRDefault="00096050" w:rsidP="00096050">
      <w:pPr>
        <w:pStyle w:val="Prrafodelista"/>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C6542F">
        <w:rPr>
          <w:rFonts w:ascii="Times New Roman" w:hAnsi="Times New Roman" w:cs="Times New Roman"/>
          <w:sz w:val="24"/>
          <w:szCs w:val="24"/>
          <w:u w:val="single"/>
        </w:rPr>
        <w:t>Indeterminación lingüística</w:t>
      </w:r>
      <w:r w:rsidRPr="00012420">
        <w:rPr>
          <w:rFonts w:ascii="Times New Roman" w:hAnsi="Times New Roman" w:cs="Times New Roman"/>
          <w:sz w:val="24"/>
          <w:szCs w:val="24"/>
        </w:rPr>
        <w:t>: esta indeterminación tiene un origen diferente. Se puede decir que en todos los ordenamientos incurre esta indeterminación que hace difícil reconocer lo que el derecho quiere decir. Como dice Hart, los ordenamientos se expresan a través de un lenguaje en el que se puede diferencia dos partes: la primera, se elabora una certeza jurídica a través de la cual pueda usarse las reglas para aplicar a los casos sin mayor dificultad. La segunda parte, el autor la llama la “</w:t>
      </w:r>
      <w:r w:rsidRPr="003B540C">
        <w:rPr>
          <w:rFonts w:ascii="Times New Roman" w:hAnsi="Times New Roman" w:cs="Times New Roman"/>
          <w:i/>
          <w:sz w:val="24"/>
          <w:szCs w:val="24"/>
        </w:rPr>
        <w:t>zona de penumbra</w:t>
      </w:r>
      <w:r w:rsidRPr="00012420">
        <w:rPr>
          <w:rFonts w:ascii="Times New Roman" w:hAnsi="Times New Roman" w:cs="Times New Roman"/>
          <w:sz w:val="24"/>
          <w:szCs w:val="24"/>
        </w:rPr>
        <w:t>” en la que el interprete de la norma debe decidir si introduce un caso especifico con singulares características</w:t>
      </w:r>
      <w:r w:rsidRPr="00012420">
        <w:rPr>
          <w:rStyle w:val="Refdenotaalpie"/>
          <w:rFonts w:ascii="Times New Roman" w:hAnsi="Times New Roman" w:cs="Times New Roman"/>
          <w:sz w:val="24"/>
          <w:szCs w:val="24"/>
        </w:rPr>
        <w:footnoteReference w:id="5"/>
      </w:r>
      <w:r w:rsidRPr="00012420">
        <w:rPr>
          <w:rFonts w:ascii="Times New Roman" w:hAnsi="Times New Roman" w:cs="Times New Roman"/>
          <w:sz w:val="24"/>
          <w:szCs w:val="24"/>
        </w:rPr>
        <w:t>. Esta indeterminación deja un amplio margen de decisión al juez. Las definiciones jurisprudenciales pueden ser modificadas debido al paso del tiempo, al nacimiento de nuevas normas y como consecuencia de diferentes interpretaciones que pueden darle. Esto hace que sea imposible la definitiva noción de los conceptos jurídicos. La interpretación del juez lleva consigo una facu</w:t>
      </w:r>
      <w:r>
        <w:rPr>
          <w:rFonts w:ascii="Times New Roman" w:hAnsi="Times New Roman" w:cs="Times New Roman"/>
          <w:sz w:val="24"/>
          <w:szCs w:val="24"/>
        </w:rPr>
        <w:t>ltad creativa</w:t>
      </w:r>
      <w:r w:rsidRPr="00012420">
        <w:rPr>
          <w:rFonts w:ascii="Times New Roman" w:hAnsi="Times New Roman" w:cs="Times New Roman"/>
          <w:sz w:val="24"/>
          <w:szCs w:val="24"/>
        </w:rPr>
        <w:t xml:space="preserve"> a la hora de atribuirle diferentes significados dependiendo de la situación social, valores morales o criterios de justicia a los que se atenga el juez. </w:t>
      </w:r>
    </w:p>
    <w:p w:rsidR="00096050" w:rsidRPr="00012420" w:rsidRDefault="00096050" w:rsidP="00096050">
      <w:pPr>
        <w:pStyle w:val="Prrafodelista"/>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C6542F">
        <w:rPr>
          <w:rFonts w:ascii="Times New Roman" w:hAnsi="Times New Roman" w:cs="Times New Roman"/>
          <w:sz w:val="24"/>
          <w:szCs w:val="24"/>
          <w:u w:val="single"/>
        </w:rPr>
        <w:t>Indeterminación intencional</w:t>
      </w:r>
      <w:r w:rsidR="00C6542F">
        <w:rPr>
          <w:rFonts w:ascii="Times New Roman" w:hAnsi="Times New Roman" w:cs="Times New Roman"/>
          <w:sz w:val="24"/>
          <w:szCs w:val="24"/>
        </w:rPr>
        <w:t>: su origen s</w:t>
      </w:r>
      <w:r w:rsidRPr="00012420">
        <w:rPr>
          <w:rFonts w:ascii="Times New Roman" w:hAnsi="Times New Roman" w:cs="Times New Roman"/>
          <w:sz w:val="24"/>
          <w:szCs w:val="24"/>
        </w:rPr>
        <w:t xml:space="preserve">e encuentra en la voluntad del legislador que crea la norma. Esta indeterminación se produce cuando el autor de la norma da la libertad al juez, de manera expresa, de elegir de entre las diferentes opciones. Esta indeterminación </w:t>
      </w:r>
      <w:r w:rsidRPr="00012420">
        <w:rPr>
          <w:rFonts w:ascii="Times New Roman" w:hAnsi="Times New Roman" w:cs="Times New Roman"/>
          <w:sz w:val="24"/>
          <w:szCs w:val="24"/>
        </w:rPr>
        <w:lastRenderedPageBreak/>
        <w:t>tiene dos distinciones: una de ellas es la que el legislador no le indica los medios a que puede utilizar. Son normas que reciben el nombre de “</w:t>
      </w:r>
      <w:r w:rsidRPr="003B540C">
        <w:rPr>
          <w:rFonts w:ascii="Times New Roman" w:hAnsi="Times New Roman" w:cs="Times New Roman"/>
          <w:i/>
          <w:sz w:val="24"/>
          <w:szCs w:val="24"/>
        </w:rPr>
        <w:t>normas fin o normas teleológicas</w:t>
      </w:r>
      <w:r w:rsidRPr="00012420">
        <w:rPr>
          <w:rFonts w:ascii="Times New Roman" w:hAnsi="Times New Roman" w:cs="Times New Roman"/>
          <w:sz w:val="24"/>
          <w:szCs w:val="24"/>
        </w:rPr>
        <w:t>”. El que crea la norma establece la consecución d</w:t>
      </w:r>
      <w:r>
        <w:rPr>
          <w:rFonts w:ascii="Times New Roman" w:hAnsi="Times New Roman" w:cs="Times New Roman"/>
          <w:sz w:val="24"/>
          <w:szCs w:val="24"/>
        </w:rPr>
        <w:t>e</w:t>
      </w:r>
      <w:r w:rsidRPr="00012420">
        <w:rPr>
          <w:rFonts w:ascii="Times New Roman" w:hAnsi="Times New Roman" w:cs="Times New Roman"/>
          <w:sz w:val="24"/>
          <w:szCs w:val="24"/>
        </w:rPr>
        <w:t xml:space="preserve"> un fin determinado pero no prescribe los medios que deben u</w:t>
      </w:r>
      <w:r>
        <w:rPr>
          <w:rFonts w:ascii="Times New Roman" w:hAnsi="Times New Roman" w:cs="Times New Roman"/>
          <w:sz w:val="24"/>
          <w:szCs w:val="24"/>
        </w:rPr>
        <w:t>tilizarse para conseguirlo</w:t>
      </w:r>
      <w:r w:rsidRPr="00012420">
        <w:rPr>
          <w:rFonts w:ascii="Times New Roman" w:hAnsi="Times New Roman" w:cs="Times New Roman"/>
          <w:sz w:val="24"/>
          <w:szCs w:val="24"/>
        </w:rPr>
        <w:t xml:space="preserve">. El autor de la norma deja la libertad al juzgador para que obtenga el fin eligiendo entre varios caminos. Lo principal en estas normas es que deben haber más de dos posibilidades a elegir. Se le reconoce al juzgador una serie de facultades que pueden hacerse efectivas en todo el ordenamiento. Esa libertad, naturalmente, tiene unos límites que se miden a través de la legitimidad y oportunidad de la actuación del juzgador para la obtención del fin. </w:t>
      </w:r>
    </w:p>
    <w:p w:rsidR="00096050" w:rsidRPr="00012420" w:rsidRDefault="00096050"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Unos ejemplos de este tipo de norma se recogen en el Código Civil</w:t>
      </w:r>
      <w:r w:rsidRPr="00012420">
        <w:rPr>
          <w:rStyle w:val="Refdenotaalpie"/>
          <w:rFonts w:ascii="Times New Roman" w:hAnsi="Times New Roman" w:cs="Times New Roman"/>
          <w:sz w:val="24"/>
          <w:szCs w:val="24"/>
        </w:rPr>
        <w:footnoteReference w:id="6"/>
      </w:r>
      <w:r w:rsidRPr="00012420">
        <w:rPr>
          <w:rFonts w:ascii="Times New Roman" w:hAnsi="Times New Roman" w:cs="Times New Roman"/>
          <w:sz w:val="24"/>
          <w:szCs w:val="24"/>
        </w:rPr>
        <w:t xml:space="preserve">. Estas disposiciones, en materia de familia, otorgan al juez diferentes facultades como por ejemplo: dictar las medidas cautelares oportunas para el sustento de alimentos, establecer medidas de vigilancia que crea convenientes, asegurar que se hacen efectivas esa serie de medidas propuestas o establecer las posibles exigencias de los hijos. </w:t>
      </w:r>
    </w:p>
    <w:p w:rsidR="00096050" w:rsidRPr="00012420" w:rsidRDefault="00096050"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otra distinción es la que el legislador indica los medios para que el juez tome la decisión. La libertad que se le otorga al juzgador en este caso, viene establecida en la norma y la operación que debe realizar es la de decidir entre las opciones que propone la norma. Esa liberta es más restringida que en el caso anterior </w:t>
      </w:r>
      <w:r w:rsidR="00C6542F">
        <w:rPr>
          <w:rFonts w:ascii="Times New Roman" w:hAnsi="Times New Roman" w:cs="Times New Roman"/>
          <w:sz w:val="24"/>
          <w:szCs w:val="24"/>
        </w:rPr>
        <w:t>ya que el juez debe limitarse</w:t>
      </w:r>
      <w:r w:rsidRPr="00012420">
        <w:rPr>
          <w:rFonts w:ascii="Times New Roman" w:hAnsi="Times New Roman" w:cs="Times New Roman"/>
          <w:sz w:val="24"/>
          <w:szCs w:val="24"/>
        </w:rPr>
        <w:t xml:space="preserve"> a lo establecido en la disposición. Estas normas se dan frecuentemente en el derecho penal, concretamente, a la hora de determinar la pena.</w:t>
      </w:r>
    </w:p>
    <w:p w:rsidR="00096050" w:rsidRPr="00012420" w:rsidRDefault="00096050"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Unos ejemplos son los que contiene el Código Penal donde se propone que el juez puede sustituir la pena privativa de libertad cuando no exceda de uno o dos años, de manera excepcional, puede suspender la ejecución si son por debajo de dos años o cualquier pena cuando el acusado tenga una enfermedad muy grave e incurable. </w:t>
      </w:r>
    </w:p>
    <w:p w:rsidR="00096050" w:rsidRPr="00012420" w:rsidRDefault="00096050"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discrecionalidad que nace como consecuencia de indeterminación intencional, es la más clara y la que menos conflictos plantea a la hora de identificarla. </w:t>
      </w:r>
    </w:p>
    <w:p w:rsidR="00096050" w:rsidRPr="00012420" w:rsidRDefault="00096050" w:rsidP="00096050">
      <w:pPr>
        <w:pStyle w:val="Prrafodelista"/>
        <w:widowControl w:val="0"/>
        <w:numPr>
          <w:ilvl w:val="0"/>
          <w:numId w:val="3"/>
        </w:numPr>
        <w:autoSpaceDE w:val="0"/>
        <w:autoSpaceDN w:val="0"/>
        <w:adjustRightInd w:val="0"/>
        <w:spacing w:line="360" w:lineRule="auto"/>
        <w:jc w:val="both"/>
        <w:rPr>
          <w:rFonts w:ascii="Times New Roman" w:hAnsi="Times New Roman" w:cs="Times New Roman"/>
          <w:sz w:val="24"/>
          <w:szCs w:val="24"/>
        </w:rPr>
      </w:pPr>
      <w:r w:rsidRPr="00C6542F">
        <w:rPr>
          <w:rFonts w:ascii="Times New Roman" w:hAnsi="Times New Roman" w:cs="Times New Roman"/>
          <w:sz w:val="24"/>
          <w:szCs w:val="24"/>
          <w:u w:val="single"/>
        </w:rPr>
        <w:t>Indeterminación como consecuencia de los defectos del sistema</w:t>
      </w:r>
      <w:r w:rsidRPr="00012420">
        <w:rPr>
          <w:rFonts w:ascii="Times New Roman" w:hAnsi="Times New Roman" w:cs="Times New Roman"/>
          <w:sz w:val="24"/>
          <w:szCs w:val="24"/>
        </w:rPr>
        <w:t xml:space="preserve">: está indeterminación se halla en las posibles carencias que se plantean en los ordenamientos jurídicos a través de las lagunas y antinomias. Para remediar estas dos anomalías se le otorga al juzgador una libertad para que trate de paliarlas, por lo tanto, dispone de una determinada </w:t>
      </w:r>
      <w:r w:rsidRPr="00012420">
        <w:rPr>
          <w:rFonts w:ascii="Times New Roman" w:hAnsi="Times New Roman" w:cs="Times New Roman"/>
          <w:sz w:val="24"/>
          <w:szCs w:val="24"/>
        </w:rPr>
        <w:lastRenderedPageBreak/>
        <w:t>discrecionalidad. Las lagunas se dan frecuentemente y el problema es que el ordenamiento no propone ningún medio para solucionarlas, de ahí que sea el juez el que tr</w:t>
      </w:r>
      <w:r w:rsidR="00C6542F">
        <w:rPr>
          <w:rFonts w:ascii="Times New Roman" w:hAnsi="Times New Roman" w:cs="Times New Roman"/>
          <w:sz w:val="24"/>
          <w:szCs w:val="24"/>
        </w:rPr>
        <w:t xml:space="preserve">ate de </w:t>
      </w:r>
      <w:r w:rsidR="003B540C">
        <w:rPr>
          <w:rFonts w:ascii="Times New Roman" w:hAnsi="Times New Roman" w:cs="Times New Roman"/>
          <w:sz w:val="24"/>
          <w:szCs w:val="24"/>
        </w:rPr>
        <w:t>eliminarlas</w:t>
      </w:r>
      <w:r w:rsidRPr="00012420">
        <w:rPr>
          <w:rFonts w:ascii="Times New Roman" w:hAnsi="Times New Roman" w:cs="Times New Roman"/>
          <w:sz w:val="24"/>
          <w:szCs w:val="24"/>
        </w:rPr>
        <w:t xml:space="preserve">. Nos referimos a las antinomias cuando se da en el ordenamiento una incompatibilidad entre ambas normas, esto se da por la ausencia de una coherencia total ya que, por lo general, los ordenamientos cada vez recogen más normas que hacen que el derecho intervengan en más materias y consecuentemente se produzca más controversias. </w:t>
      </w:r>
    </w:p>
    <w:p w:rsidR="00096050" w:rsidRDefault="00096050"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Un autor</w:t>
      </w:r>
      <w:r w:rsidRPr="00012420">
        <w:rPr>
          <w:rStyle w:val="Refdenotaalpie"/>
          <w:rFonts w:ascii="Times New Roman" w:hAnsi="Times New Roman" w:cs="Times New Roman"/>
          <w:sz w:val="24"/>
          <w:szCs w:val="24"/>
        </w:rPr>
        <w:footnoteReference w:id="7"/>
      </w:r>
      <w:r w:rsidRPr="00012420">
        <w:rPr>
          <w:rFonts w:ascii="Times New Roman" w:hAnsi="Times New Roman" w:cs="Times New Roman"/>
          <w:sz w:val="24"/>
          <w:szCs w:val="24"/>
        </w:rPr>
        <w:t xml:space="preserve"> ha considerado que en estos casos en los que el juzgador debe modificar las normas, éste desempeña un papel de creación judicial. Por tanto es una manifestación de que afirma la existencia de la discrecionalidad para que el juez pueda elegir el camino correcto entre varias soluciones incompatibles entre sí. </w:t>
      </w:r>
    </w:p>
    <w:p w:rsidR="000F19A8" w:rsidRPr="00012420" w:rsidRDefault="000F19A8" w:rsidP="00096050">
      <w:pPr>
        <w:pStyle w:val="Prrafodelista"/>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3.4 ELEMENTOS DE LA DISCRECIONALIDAD</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posibilidad de elección que tiene el juez entre dos o más soluciones es el eje de la discrecionalidad, esa decisión depende de una serie de factores como por ejemplo el empleo de diferentes criterios interpretativos.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Junto a la libertad de elección que tiene como facultad el juez, existe otros dos elementos más por los que se caracteriza la discrecionalidad y son: el fundamento normativo y la motivación. Por tanto, son tres los elementos de la discrecionalidad que, a continuación, paso a explicar:</w:t>
      </w:r>
      <w:r w:rsidRPr="00012420">
        <w:rPr>
          <w:rFonts w:ascii="Times New Roman" w:hAnsi="Times New Roman" w:cs="Times New Roman"/>
          <w:sz w:val="24"/>
          <w:szCs w:val="24"/>
        </w:rPr>
        <w:br/>
      </w:r>
      <w:r w:rsidRPr="003B540C">
        <w:rPr>
          <w:rFonts w:ascii="Times New Roman" w:hAnsi="Times New Roman" w:cs="Times New Roman"/>
          <w:sz w:val="24"/>
          <w:szCs w:val="24"/>
        </w:rPr>
        <w:t>1. Libertad de elección</w:t>
      </w:r>
      <w:r w:rsidRPr="00012420">
        <w:rPr>
          <w:rFonts w:ascii="Times New Roman" w:hAnsi="Times New Roman" w:cs="Times New Roman"/>
          <w:sz w:val="24"/>
          <w:szCs w:val="24"/>
        </w:rPr>
        <w:t>: nos referimos a la libertad de acción que tiene el sujeto, éste va a decidir entre varias opciones. Ésta libertad no es absoluta, sino que tiene unos límites que son interpuestos por la norma. Según Manuel Segura Ortega</w:t>
      </w:r>
      <w:r w:rsidRPr="00012420">
        <w:rPr>
          <w:rStyle w:val="Refdenotaalpie"/>
          <w:rFonts w:ascii="Times New Roman" w:hAnsi="Times New Roman" w:cs="Times New Roman"/>
          <w:sz w:val="24"/>
          <w:szCs w:val="24"/>
        </w:rPr>
        <w:footnoteReference w:id="8"/>
      </w:r>
      <w:r w:rsidRPr="00012420">
        <w:rPr>
          <w:rFonts w:ascii="Times New Roman" w:hAnsi="Times New Roman" w:cs="Times New Roman"/>
          <w:sz w:val="24"/>
          <w:szCs w:val="24"/>
        </w:rPr>
        <w:t xml:space="preserve">, la libertad de acción o elección en qué consiste la discrecionalidad, puede proyectarse sobre las normas, los hechos o los criterios interpretativos. </w:t>
      </w:r>
    </w:p>
    <w:p w:rsidR="00096050" w:rsidRDefault="00096050" w:rsidP="000F19A8">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Libertad de acción o elección sobre las normas: en este caso, la libertad se encuentra a la hora de decidir entre aplicar una norma u otra, está identificada por las normas y la Jurisprudencia del Tribunal Constitucional como por ejemplo por la STC 90/1900 de 23 de mayo en la que se dice que la determinación de la norma es una facultad de la jurisdicción </w:t>
      </w:r>
      <w:r w:rsidRPr="00012420">
        <w:rPr>
          <w:rFonts w:ascii="Times New Roman" w:hAnsi="Times New Roman" w:cs="Times New Roman"/>
          <w:sz w:val="24"/>
          <w:szCs w:val="24"/>
        </w:rPr>
        <w:lastRenderedPageBreak/>
        <w:t xml:space="preserve">ordinaria. Si el juez comete un error a la hora de aplicar la norma no supone la violación del derecho a la tutela judicial efectiva. Las partes en el proceso también pueden proponer las normas que consideran aplicable al caso, aunque esta intervención no vincula al juez ya que las partes no tienen ninguna capacidad de decisión en este aspecto. Los errores a la hora de aplicar la norma correcta puede producirse por el aumento de normas que se está dando en la actualidad que hace que tantos los ciudadanos como los juristas tengan inconvenientes a la hora de aplicar el Derecho. El único límite que existe para el ejercicio de esta libertad es que la solución al caso no sea resultado de una decisión arbitraria del juez, por tanto, debe justificar de manera razonada porque ha elegido esa norma. </w:t>
      </w:r>
    </w:p>
    <w:p w:rsidR="00096050" w:rsidRPr="00012420" w:rsidRDefault="00096050" w:rsidP="000F19A8">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Libertad respecto de la apreciación de los hechos y la valoración de la prueba: sobre la valoración de los hechos, la libertad del juez es muy amplia ya que implica su propio juicio de valor. Así, es la mayor manifestación de libertad que tiene el juez cuando constata, valora o califica los hechos. Éste proceso es denominado probatorio y en él, el papel de juez cobra relevancia porque es el que decide lo que debe considerarse como </w:t>
      </w:r>
      <w:r w:rsidRPr="003B540C">
        <w:rPr>
          <w:rFonts w:ascii="Times New Roman" w:hAnsi="Times New Roman" w:cs="Times New Roman"/>
          <w:i/>
          <w:sz w:val="24"/>
          <w:szCs w:val="24"/>
        </w:rPr>
        <w:t>“hechos probados”</w:t>
      </w:r>
      <w:r w:rsidRPr="00012420">
        <w:rPr>
          <w:rFonts w:ascii="Times New Roman" w:hAnsi="Times New Roman" w:cs="Times New Roman"/>
          <w:sz w:val="24"/>
          <w:szCs w:val="24"/>
        </w:rPr>
        <w:t xml:space="preserve">. Esta fase es tan importante que el propio Tribunal Constitucional no puede examinar la valoración que ha hecho el juez salvo en ciertas excepciones. La discrecionalidad que se aplica en la valoración de los hechos está reconocida por las propias normas y es de la más importante que se dan en el proceso judicial. </w:t>
      </w:r>
    </w:p>
    <w:p w:rsidR="00096050" w:rsidRPr="00012420" w:rsidRDefault="00096050" w:rsidP="000F19A8">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juez tiene una postura activa y decisiva en el proceso probatorio, así se demuestra cuando las partes no proponen alguna diligencia de prueba, que el juez cree de importancia para comprobar los hechos, y </w:t>
      </w:r>
      <w:r w:rsidR="00C6542F">
        <w:rPr>
          <w:rFonts w:ascii="Times New Roman" w:hAnsi="Times New Roman" w:cs="Times New Roman"/>
          <w:sz w:val="24"/>
          <w:szCs w:val="24"/>
        </w:rPr>
        <w:t>es el juzgador el que la pone de manifiesto</w:t>
      </w:r>
      <w:r w:rsidRPr="00012420">
        <w:rPr>
          <w:rFonts w:ascii="Times New Roman" w:hAnsi="Times New Roman" w:cs="Times New Roman"/>
          <w:sz w:val="24"/>
          <w:szCs w:val="24"/>
        </w:rPr>
        <w:t>. Es difícil determinar en el proceso probatorio cual es la información más importante que puede ayudar a comprobar los hechos, esta función debe ser cumplida por los jueces. No todos los datos que se aportan son relevantes y es el juez quien filtra aquellos que mayor importancia tengan. Los juzgadores tiene la potestad de, como he dicho, no considerar importante una prueba, impedir que los testigos contesten a determinadas preguntas, etc pero todas estas elección tomadas por el juez pueden ser impugnas por el que se vea afectado a través del recurso de casación</w:t>
      </w:r>
      <w:r w:rsidRPr="00012420">
        <w:rPr>
          <w:rStyle w:val="Refdenotaalpie"/>
          <w:rFonts w:ascii="Times New Roman" w:hAnsi="Times New Roman" w:cs="Times New Roman"/>
          <w:sz w:val="24"/>
          <w:szCs w:val="24"/>
        </w:rPr>
        <w:footnoteReference w:id="9"/>
      </w:r>
      <w:r w:rsidRPr="00012420">
        <w:rPr>
          <w:rFonts w:ascii="Times New Roman" w:hAnsi="Times New Roman" w:cs="Times New Roman"/>
          <w:sz w:val="24"/>
          <w:szCs w:val="24"/>
        </w:rPr>
        <w:t xml:space="preserve">. </w:t>
      </w:r>
    </w:p>
    <w:p w:rsidR="00096050" w:rsidRPr="00012420" w:rsidRDefault="00096050" w:rsidP="000F19A8">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libertad que se le atribuye al juez para la determinación de los hechos es muy difícil de </w:t>
      </w:r>
      <w:r w:rsidRPr="00012420">
        <w:rPr>
          <w:rFonts w:ascii="Times New Roman" w:hAnsi="Times New Roman" w:cs="Times New Roman"/>
          <w:sz w:val="24"/>
          <w:szCs w:val="24"/>
        </w:rPr>
        <w:lastRenderedPageBreak/>
        <w:t>controlar, a veces, casi imposible</w:t>
      </w:r>
      <w:r w:rsidRPr="00012420">
        <w:rPr>
          <w:rStyle w:val="Refdenotaalpie"/>
          <w:rFonts w:ascii="Times New Roman" w:hAnsi="Times New Roman" w:cs="Times New Roman"/>
          <w:sz w:val="24"/>
          <w:szCs w:val="24"/>
        </w:rPr>
        <w:footnoteReference w:id="10"/>
      </w:r>
      <w:r w:rsidRPr="00012420">
        <w:rPr>
          <w:rFonts w:ascii="Times New Roman" w:hAnsi="Times New Roman" w:cs="Times New Roman"/>
          <w:sz w:val="24"/>
          <w:szCs w:val="24"/>
        </w:rPr>
        <w:t xml:space="preserve">. Es en esta fase cuando la responsabilidad del establecimiento de los hechos recae únicamente sobre el juez ya que a ellos les corresponde buscar la verdad, respetando las reglas procesales, teniendo un amplio margen de libertad. </w:t>
      </w:r>
    </w:p>
    <w:p w:rsidR="00096050" w:rsidRPr="00012420" w:rsidRDefault="00096050" w:rsidP="000F19A8">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Libertad en relación a los criterios interpretativos: en este caso, la libertad es casi absoluta y está expresamente reconocida por las normas cuando se defiende la independencia judicial</w:t>
      </w:r>
      <w:r w:rsidRPr="00012420">
        <w:rPr>
          <w:rStyle w:val="Refdenotaalpie"/>
          <w:rFonts w:ascii="Times New Roman" w:hAnsi="Times New Roman" w:cs="Times New Roman"/>
          <w:sz w:val="24"/>
          <w:szCs w:val="24"/>
        </w:rPr>
        <w:footnoteReference w:id="11"/>
      </w:r>
      <w:r w:rsidRPr="00012420">
        <w:rPr>
          <w:rFonts w:ascii="Times New Roman" w:hAnsi="Times New Roman" w:cs="Times New Roman"/>
          <w:sz w:val="24"/>
          <w:szCs w:val="24"/>
        </w:rPr>
        <w:t xml:space="preserve">. Es el propio Tribunal Constitucional </w:t>
      </w:r>
      <w:r w:rsidR="00C6542F">
        <w:rPr>
          <w:rFonts w:ascii="Times New Roman" w:hAnsi="Times New Roman" w:cs="Times New Roman"/>
          <w:sz w:val="24"/>
          <w:szCs w:val="24"/>
        </w:rPr>
        <w:t xml:space="preserve">en la STC 37/2012 del 19 de marzo, </w:t>
      </w:r>
      <w:r w:rsidRPr="00012420">
        <w:rPr>
          <w:rFonts w:ascii="Times New Roman" w:hAnsi="Times New Roman" w:cs="Times New Roman"/>
          <w:sz w:val="24"/>
          <w:szCs w:val="24"/>
        </w:rPr>
        <w:t>el que afirma lo que se expone en el Art. 12 LOPJ diciendo que él no tiene la función de corregir lo que los jueces y magistrados han aplicado o interpretado ya que ellos gozan de total libertad e independencia. El único punto que no se acepta es que la interpretación o aplicación de la norma o de Derecho se haga de una forma “</w:t>
      </w:r>
      <w:r w:rsidRPr="003B540C">
        <w:rPr>
          <w:rFonts w:ascii="Times New Roman" w:hAnsi="Times New Roman" w:cs="Times New Roman"/>
          <w:i/>
          <w:sz w:val="24"/>
          <w:szCs w:val="24"/>
        </w:rPr>
        <w:t>ilógica o contraria a la ley</w:t>
      </w:r>
      <w:r w:rsidRPr="00012420">
        <w:rPr>
          <w:rFonts w:ascii="Times New Roman" w:hAnsi="Times New Roman" w:cs="Times New Roman"/>
          <w:sz w:val="24"/>
          <w:szCs w:val="24"/>
        </w:rPr>
        <w:t>”</w:t>
      </w:r>
      <w:r w:rsidRPr="00012420">
        <w:rPr>
          <w:rStyle w:val="Refdenotaalpie"/>
          <w:rFonts w:ascii="Times New Roman" w:hAnsi="Times New Roman" w:cs="Times New Roman"/>
          <w:sz w:val="24"/>
          <w:szCs w:val="24"/>
        </w:rPr>
        <w:footnoteReference w:id="12"/>
      </w:r>
      <w:r w:rsidRPr="00012420">
        <w:rPr>
          <w:rFonts w:ascii="Times New Roman" w:hAnsi="Times New Roman" w:cs="Times New Roman"/>
          <w:sz w:val="24"/>
          <w:szCs w:val="24"/>
        </w:rPr>
        <w:t xml:space="preserve">. </w:t>
      </w:r>
    </w:p>
    <w:p w:rsidR="00096050" w:rsidRPr="00012420" w:rsidRDefault="00096050" w:rsidP="000F19A8">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Existen diferentes criterios de interpretación de la ley y cada uno de ellos tiene un resultado diferente al otro, al igual que el derecho, estos criterios también son indeterminados. Todos ellos están anunciados de una manera vaga y le permite al juez usarlo de una manera independiente a cualquier otro. No hay ninguna regla de preferencia en cuanto al uso de uno u otro criterio, es decir, cada juez es libre de elegir que método de interpretación quiere utilizar. El resultado final de la interpretación depende de la voluntad del juez ya que los criterios no proporcionan ninguna solución sino que son una herramienta de la que se sirven los jueces para llegar a esa solución. </w:t>
      </w:r>
    </w:p>
    <w:p w:rsidR="00096050" w:rsidRPr="00012420" w:rsidRDefault="00096050" w:rsidP="000F19A8">
      <w:pPr>
        <w:pStyle w:val="Prrafodelista"/>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Hay una diferencia entre la interpretación de los jueces de la última instancia ya que ellos son creadores de derecho y condicionan la actuación del resto de las instancias. No ocurre lo mismo con los demás tribunales ya que estos interpretan el derecho para un caso concreto y no tienen vocación para vincular a otros jueces en un futuro. Esta creación de derecho que tienen los tribunales, en mayor o menos medida, entra en conflicto con el principio de la separación de poderes ya que el poder legislativo es el único facultado para la creación de normas. Aun así esta contradicción parece ser admitida en los sistemas de Derecho continental. En el derecho penal, sin embargo, no es posible ninguna creación judicial ya </w:t>
      </w:r>
      <w:r w:rsidR="000F19A8">
        <w:rPr>
          <w:rFonts w:ascii="Times New Roman" w:hAnsi="Times New Roman" w:cs="Times New Roman"/>
          <w:sz w:val="24"/>
          <w:szCs w:val="24"/>
        </w:rPr>
        <w:lastRenderedPageBreak/>
        <w:t>q</w:t>
      </w:r>
      <w:r w:rsidRPr="00012420">
        <w:rPr>
          <w:rFonts w:ascii="Times New Roman" w:hAnsi="Times New Roman" w:cs="Times New Roman"/>
          <w:sz w:val="24"/>
          <w:szCs w:val="24"/>
        </w:rPr>
        <w:t>ue entra en conflicto con el principio de legalidad del art. 25.1 CE.</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conclusión, la libertad del juez puede darse durante todo el proceso judicial. Durante el camino, puede seguir distintas opciones que afectan a las normas, hechos o criterios interpretativos pero es al final de éste cuando adopta una resolución con futuro carácter de decisión correcta.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3B540C">
        <w:rPr>
          <w:rFonts w:ascii="Times New Roman" w:hAnsi="Times New Roman" w:cs="Times New Roman"/>
          <w:sz w:val="24"/>
          <w:szCs w:val="24"/>
        </w:rPr>
        <w:t>2. Fundamento normativo</w:t>
      </w:r>
      <w:r w:rsidRPr="00012420">
        <w:rPr>
          <w:rFonts w:ascii="Times New Roman" w:hAnsi="Times New Roman" w:cs="Times New Roman"/>
          <w:sz w:val="24"/>
          <w:szCs w:val="24"/>
        </w:rPr>
        <w:t>: para que una actuación del juez sea legítima debe estar sometida a la legalidad a través de las normas del ordenamiento jurídico. Las facultades que se le otorgan al juez para ejercer una cierta discrecionalidad, están respaldadas por un marco normativo que es el que justifica su ejercicio. Lo difícil no es determinar si los jueces están sometido a la ley, que sabemos que es cierto, sino saber si la decisión que toma el jugador está sometida o hasta qué punto</w:t>
      </w:r>
      <w:r w:rsidRPr="00012420">
        <w:rPr>
          <w:rStyle w:val="Refdenotaalpie"/>
          <w:rFonts w:ascii="Times New Roman" w:hAnsi="Times New Roman" w:cs="Times New Roman"/>
          <w:sz w:val="24"/>
          <w:szCs w:val="24"/>
        </w:rPr>
        <w:footnoteReference w:id="13"/>
      </w:r>
      <w:r w:rsidRPr="00012420">
        <w:rPr>
          <w:rFonts w:ascii="Times New Roman" w:hAnsi="Times New Roman" w:cs="Times New Roman"/>
          <w:sz w:val="24"/>
          <w:szCs w:val="24"/>
        </w:rPr>
        <w:t xml:space="preserve">. </w:t>
      </w:r>
    </w:p>
    <w:p w:rsidR="00096050" w:rsidRPr="00C6542F"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Como consecuencia de la indeterminación existente en el derecho, es frecuente encontrarse con lagunas, contradicciones y vaguedad del lenguaje en las normas. Cuando nos encontramos en alguno de estos casos, el juez es autorizado por la misma norma para ejercer una discrecionalidad respecto de la libertad de el</w:t>
      </w:r>
      <w:r w:rsidR="00C6542F">
        <w:rPr>
          <w:rFonts w:ascii="Times New Roman" w:hAnsi="Times New Roman" w:cs="Times New Roman"/>
          <w:sz w:val="24"/>
          <w:szCs w:val="24"/>
        </w:rPr>
        <w:t>egir la norma. Un principio general</w:t>
      </w:r>
      <w:r w:rsidRPr="00012420">
        <w:rPr>
          <w:rFonts w:ascii="Times New Roman" w:hAnsi="Times New Roman" w:cs="Times New Roman"/>
          <w:sz w:val="24"/>
          <w:szCs w:val="24"/>
        </w:rPr>
        <w:t xml:space="preserve"> que se encuentra en todos los ordenamientos es la prohibición de </w:t>
      </w:r>
      <w:r w:rsidRPr="00012420">
        <w:rPr>
          <w:rFonts w:ascii="Times New Roman" w:hAnsi="Times New Roman" w:cs="Times New Roman"/>
          <w:i/>
          <w:sz w:val="24"/>
          <w:szCs w:val="24"/>
        </w:rPr>
        <w:t>non liquet (</w:t>
      </w:r>
      <w:r w:rsidRPr="00012420">
        <w:rPr>
          <w:rFonts w:ascii="Times New Roman" w:hAnsi="Times New Roman" w:cs="Times New Roman"/>
          <w:sz w:val="24"/>
          <w:szCs w:val="24"/>
        </w:rPr>
        <w:t>supone la obligación de resolver todos los casos ateniéndose a las normas)</w:t>
      </w:r>
      <w:r w:rsidRPr="00012420">
        <w:rPr>
          <w:rStyle w:val="Refdenotaalpie"/>
          <w:rFonts w:ascii="Times New Roman" w:hAnsi="Times New Roman" w:cs="Times New Roman"/>
          <w:sz w:val="24"/>
          <w:szCs w:val="24"/>
        </w:rPr>
        <w:footnoteReference w:id="14"/>
      </w:r>
      <w:r w:rsidRPr="00012420">
        <w:rPr>
          <w:rFonts w:ascii="Times New Roman" w:hAnsi="Times New Roman" w:cs="Times New Roman"/>
          <w:sz w:val="24"/>
          <w:szCs w:val="24"/>
        </w:rPr>
        <w:t xml:space="preserve">. Otro artículo del Código Penal recoge la pena de inhabilitación del juez cuando éste se niegue a juzgar sin causa legal. Es obligación de acabar con la indeterminación del Derecho, por tanto, ni las lagunas ni la oscuridad del lenguaje normativo pueden ser motivos para no dictar una resolución. El ordenamiento jurídico ofrece al juez una serie de medios para cumplir con esta obligación de acabar con la indeterminación del Derecho. A veces, esos medios son contradictorios, por lo que el juzgador debe elegir entre ellos. </w:t>
      </w:r>
      <w:r w:rsidR="00C13F4B">
        <w:rPr>
          <w:rFonts w:ascii="Times New Roman" w:hAnsi="Times New Roman" w:cs="Times New Roman"/>
          <w:sz w:val="24"/>
          <w:szCs w:val="24"/>
        </w:rPr>
        <w:t xml:space="preserve">Se </w:t>
      </w:r>
      <w:r w:rsidRPr="00012420">
        <w:rPr>
          <w:rFonts w:ascii="Times New Roman" w:hAnsi="Times New Roman" w:cs="Times New Roman"/>
          <w:sz w:val="24"/>
          <w:szCs w:val="24"/>
        </w:rPr>
        <w:t xml:space="preserve">ha reiterado la necesidad de que todas las sentencias dictadas deban contener las normas y principios que ha aplicado el juez en ese caso. Además de esta obligación, el juez debe </w:t>
      </w:r>
      <w:proofErr w:type="spellStart"/>
      <w:r w:rsidRPr="00012420">
        <w:rPr>
          <w:rFonts w:ascii="Times New Roman" w:hAnsi="Times New Roman" w:cs="Times New Roman"/>
          <w:sz w:val="24"/>
          <w:szCs w:val="24"/>
        </w:rPr>
        <w:t>justificarporque</w:t>
      </w:r>
      <w:proofErr w:type="spellEnd"/>
      <w:r w:rsidRPr="00012420">
        <w:rPr>
          <w:rFonts w:ascii="Times New Roman" w:hAnsi="Times New Roman" w:cs="Times New Roman"/>
          <w:sz w:val="24"/>
          <w:szCs w:val="24"/>
        </w:rPr>
        <w:t xml:space="preserve"> ha elegido aplicar esas normas y porque las ha interpretado de ese modo.</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3B540C">
        <w:rPr>
          <w:rFonts w:ascii="Times New Roman" w:hAnsi="Times New Roman" w:cs="Times New Roman"/>
          <w:sz w:val="24"/>
          <w:szCs w:val="24"/>
        </w:rPr>
        <w:t>3. Motivación</w:t>
      </w:r>
      <w:r w:rsidRPr="00012420">
        <w:rPr>
          <w:rFonts w:ascii="Times New Roman" w:hAnsi="Times New Roman" w:cs="Times New Roman"/>
          <w:sz w:val="24"/>
          <w:szCs w:val="24"/>
        </w:rPr>
        <w:t>: es la exposición que hace el juez de las razones de hec</w:t>
      </w:r>
      <w:r w:rsidR="00C13F4B">
        <w:rPr>
          <w:rFonts w:ascii="Times New Roman" w:hAnsi="Times New Roman" w:cs="Times New Roman"/>
          <w:sz w:val="24"/>
          <w:szCs w:val="24"/>
        </w:rPr>
        <w:t>ho y de d</w:t>
      </w:r>
      <w:r w:rsidRPr="00012420">
        <w:rPr>
          <w:rFonts w:ascii="Times New Roman" w:hAnsi="Times New Roman" w:cs="Times New Roman"/>
          <w:sz w:val="24"/>
          <w:szCs w:val="24"/>
        </w:rPr>
        <w:t>erecho sobre las que ha fundado su decisión. La doctrina suele considerarla como un instrumento que evidencia la posición que ocupa los jueces en el ordenamiento jurídico. La justificación de las decisiones tiene dos dimensiones. Por un lado la que se encarga de demostrar que se ha respetado todas las normas procesales y por otro la que se proyecta sobre el contenido de la elección.</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lastRenderedPageBreak/>
        <w:t xml:space="preserve">La motivación es una obligación que tiene el juez cuando expresa la decisión que ha tomado. Esta obligación está recogida en una serie de artículos del Ordenamiento Jurídico como por ejemplo: art. 120.3 CE, art. 247 y 248 de la Ley Orgánica del Poder Judicial. Esta obligación afecta a todas las resoluciones judiciales y alguna administrativa. Para que la motivación se pueda considerar satisfactoria, debe proyectarse sobre cuatro aspectos: las normas, los criterios interpretativos, los hechos y el establecimiento de las consecuencias jurídicas, además, debe estar libre de errores, contradicciones o incongruencias. Este deber de motivación en algunos casos debe ser reforzado como por ejemplo cuando en el caso está en juegos derechos fundamentales, el propio Tribunal Constitucional exige que se refuerce la motivación por la que decide la solución. En el ámbito penal ese deber de motivación también es expreso ya que el margen de discrecionalidad que ofrece la norma en cuanto el aumento o reducción de pena, sustitución de pena privativa de libertad, etc precisa de una motivación más específica y detallada.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Como bien ya sabemos, la motivación es un deber que deben acatar los jueces. La falta motivación es una causa suficiente para impugnar la decisión y hasta su revocación. Una Sentencia que deje en el aire la justificación de la solución que ha dado a las cuestiones planteadas además de violar la ley, atenta contra la CE concretamente vulnerando el derecho a la tutela judicial recogido en el art. 24.1 CE</w:t>
      </w:r>
      <w:r w:rsidRPr="00012420">
        <w:rPr>
          <w:rStyle w:val="Refdenotaalpie"/>
          <w:rFonts w:ascii="Times New Roman" w:hAnsi="Times New Roman" w:cs="Times New Roman"/>
          <w:sz w:val="24"/>
          <w:szCs w:val="24"/>
        </w:rPr>
        <w:footnoteReference w:id="15"/>
      </w:r>
      <w:r w:rsidRPr="00012420">
        <w:rPr>
          <w:rFonts w:ascii="Times New Roman" w:hAnsi="Times New Roman" w:cs="Times New Roman"/>
          <w:sz w:val="24"/>
          <w:szCs w:val="24"/>
        </w:rPr>
        <w:t xml:space="preserve">. Todos los destinatarios deben saber la causa por la que se ha dado esa solución al caso para así poder interponer los recursos pertinentes cuando sea posible.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Dependiendo de las diferentes características que pueda tener la motivación, podrán ser de cuatro tipos:</w:t>
      </w:r>
    </w:p>
    <w:p w:rsidR="00096050" w:rsidRPr="00012420" w:rsidRDefault="00096050" w:rsidP="00096050">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motivación suficiente contienen los elementos necesarios para que se considere válida la decisión. </w:t>
      </w:r>
    </w:p>
    <w:p w:rsidR="00096050" w:rsidRPr="00012420" w:rsidRDefault="00096050" w:rsidP="00096050">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motivación correcta se considera así desde una determinada percepción ética de la justicia. </w:t>
      </w:r>
    </w:p>
    <w:p w:rsidR="00096050" w:rsidRPr="00012420" w:rsidRDefault="00096050" w:rsidP="00096050">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motivación completa se presenta como aquella racionalmente correcta. </w:t>
      </w:r>
    </w:p>
    <w:p w:rsidR="00096050" w:rsidRDefault="00096050" w:rsidP="00096050">
      <w:pPr>
        <w:pStyle w:val="Prrafodelista"/>
        <w:widowControl w:val="0"/>
        <w:numPr>
          <w:ilvl w:val="0"/>
          <w:numId w:val="6"/>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motivación por remisión: el uso de este tipo de motivación tiene unos riesgos, ha suscitado muchas críticas y aun así, se ha aceptado. Lo que hace el órgano judicial superior es hacer suyo los argumentos que se han usado en la sentencia que han impugnado los interesados. El requisito para que se considere el deber de motivación plenamente </w:t>
      </w:r>
      <w:r w:rsidRPr="00012420">
        <w:rPr>
          <w:rFonts w:ascii="Times New Roman" w:hAnsi="Times New Roman" w:cs="Times New Roman"/>
          <w:sz w:val="24"/>
          <w:szCs w:val="24"/>
        </w:rPr>
        <w:lastRenderedPageBreak/>
        <w:t xml:space="preserve">satisfecho, es que la remisión sea </w:t>
      </w:r>
      <w:r w:rsidRPr="003B540C">
        <w:rPr>
          <w:rFonts w:ascii="Times New Roman" w:hAnsi="Times New Roman" w:cs="Times New Roman"/>
          <w:i/>
          <w:sz w:val="24"/>
          <w:szCs w:val="24"/>
        </w:rPr>
        <w:t>“expresa e inequívoca</w:t>
      </w:r>
      <w:r w:rsidRPr="00012420">
        <w:rPr>
          <w:rFonts w:ascii="Times New Roman" w:hAnsi="Times New Roman" w:cs="Times New Roman"/>
          <w:sz w:val="24"/>
          <w:szCs w:val="24"/>
        </w:rPr>
        <w:t>” y así lo reconoce el Tribunal Constitucional en STC 115/1996 de 25 de junio. Según Manuel Segura Ortega</w:t>
      </w:r>
      <w:r w:rsidRPr="00012420">
        <w:rPr>
          <w:rStyle w:val="Refdenotaalpie"/>
          <w:rFonts w:ascii="Times New Roman" w:hAnsi="Times New Roman" w:cs="Times New Roman"/>
          <w:sz w:val="24"/>
          <w:szCs w:val="24"/>
        </w:rPr>
        <w:footnoteReference w:id="16"/>
      </w:r>
      <w:r w:rsidRPr="00012420">
        <w:rPr>
          <w:rFonts w:ascii="Times New Roman" w:hAnsi="Times New Roman" w:cs="Times New Roman"/>
          <w:sz w:val="24"/>
          <w:szCs w:val="24"/>
        </w:rPr>
        <w:t xml:space="preserve">, esta práctica afecta o puede afectar, aunque este reconocida por el Tribunal Constitucional, al derecho que tienen los interesados de una resolución judicial motivada porque no se tiene en cuenta el proceso de individualización que se produce en la aplicación de normas jurídicas. </w:t>
      </w:r>
    </w:p>
    <w:p w:rsidR="000F19A8" w:rsidRPr="009B7E4E" w:rsidRDefault="000F19A8" w:rsidP="000F19A8">
      <w:pPr>
        <w:pStyle w:val="Prrafodelista"/>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3.5 DIFERENCIAS Y SIMILITUDES CON LA DISCRECIONALIDAD ADMINISTRATIVA</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Realmente el trabajo lleva por título “</w:t>
      </w:r>
      <w:r w:rsidRPr="003B540C">
        <w:rPr>
          <w:rFonts w:ascii="Times New Roman" w:hAnsi="Times New Roman" w:cs="Times New Roman"/>
          <w:i/>
          <w:sz w:val="24"/>
          <w:szCs w:val="24"/>
        </w:rPr>
        <w:t>Discrecionalidad judicial</w:t>
      </w:r>
      <w:r w:rsidRPr="00012420">
        <w:rPr>
          <w:rFonts w:ascii="Times New Roman" w:hAnsi="Times New Roman" w:cs="Times New Roman"/>
          <w:sz w:val="24"/>
          <w:szCs w:val="24"/>
        </w:rPr>
        <w:t>” pero según mi opinión, creo importante hacer una mención a la discrecionalidad administrativa. Pienso esto porque a mi parecer, para entender a la perfección la discrecionalidad judicial, se debe diferenciar de la discrecionalidad administrativa. Igartua</w:t>
      </w:r>
      <w:r w:rsidRPr="00012420">
        <w:rPr>
          <w:rStyle w:val="Refdenotaalpie"/>
          <w:rFonts w:ascii="Times New Roman" w:hAnsi="Times New Roman" w:cs="Times New Roman"/>
          <w:sz w:val="24"/>
          <w:szCs w:val="24"/>
        </w:rPr>
        <w:footnoteReference w:id="17"/>
      </w:r>
      <w:r w:rsidRPr="00012420">
        <w:rPr>
          <w:rFonts w:ascii="Times New Roman" w:hAnsi="Times New Roman" w:cs="Times New Roman"/>
          <w:sz w:val="24"/>
          <w:szCs w:val="24"/>
        </w:rPr>
        <w:t xml:space="preserve"> distingue entre dos tipos de discrecionalidad:</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C13F4B">
        <w:rPr>
          <w:rFonts w:ascii="Times New Roman" w:hAnsi="Times New Roman" w:cs="Times New Roman"/>
          <w:sz w:val="24"/>
          <w:szCs w:val="24"/>
        </w:rPr>
        <w:t>1.- Discrecionalidad estratégica</w:t>
      </w:r>
      <w:r w:rsidRPr="00012420">
        <w:rPr>
          <w:rFonts w:ascii="Times New Roman" w:hAnsi="Times New Roman" w:cs="Times New Roman"/>
          <w:sz w:val="24"/>
          <w:szCs w:val="24"/>
        </w:rPr>
        <w:t>: solo se la atribuye a la Administración y existe con independencia de las características del lenguaje legal. Esta discrecionalidad tiene lugar cuando “</w:t>
      </w:r>
      <w:r w:rsidRPr="003B540C">
        <w:rPr>
          <w:rFonts w:ascii="Times New Roman" w:hAnsi="Times New Roman" w:cs="Times New Roman"/>
          <w:i/>
          <w:sz w:val="24"/>
          <w:szCs w:val="24"/>
        </w:rPr>
        <w:t>las disposiciones jurídicas no prescriben</w:t>
      </w:r>
      <w:r w:rsidRPr="00012420">
        <w:rPr>
          <w:rFonts w:ascii="Times New Roman" w:hAnsi="Times New Roman" w:cs="Times New Roman"/>
          <w:sz w:val="24"/>
          <w:szCs w:val="24"/>
        </w:rPr>
        <w:t xml:space="preserve">”. Encuentra una óptima ejemplificación en las normas teleológicas.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C13F4B">
        <w:rPr>
          <w:rFonts w:ascii="Times New Roman" w:hAnsi="Times New Roman" w:cs="Times New Roman"/>
          <w:sz w:val="24"/>
          <w:szCs w:val="24"/>
        </w:rPr>
        <w:t>2.- Discrecionalidad interpretativa:</w:t>
      </w:r>
      <w:r w:rsidRPr="00012420">
        <w:rPr>
          <w:rFonts w:ascii="Times New Roman" w:hAnsi="Times New Roman" w:cs="Times New Roman"/>
          <w:sz w:val="24"/>
          <w:szCs w:val="24"/>
        </w:rPr>
        <w:t xml:space="preserve"> se da en el ámbito judicial y a diferencia de la primera, depende de las características del lenguaje legal. Esta discrecionalidad está representada por los conceptos indeterminados del sistema jurídico. </w:t>
      </w:r>
    </w:p>
    <w:p w:rsidR="00C13F4B"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La discrecionalidad</w:t>
      </w:r>
      <w:r w:rsidR="00C13F4B">
        <w:rPr>
          <w:rFonts w:ascii="Times New Roman" w:hAnsi="Times New Roman" w:cs="Times New Roman"/>
          <w:sz w:val="24"/>
          <w:szCs w:val="24"/>
        </w:rPr>
        <w:t>,</w:t>
      </w:r>
      <w:r w:rsidRPr="00012420">
        <w:rPr>
          <w:rFonts w:ascii="Times New Roman" w:hAnsi="Times New Roman" w:cs="Times New Roman"/>
          <w:sz w:val="24"/>
          <w:szCs w:val="24"/>
        </w:rPr>
        <w:t xml:space="preserve"> en general</w:t>
      </w:r>
      <w:r w:rsidR="00C13F4B">
        <w:rPr>
          <w:rFonts w:ascii="Times New Roman" w:hAnsi="Times New Roman" w:cs="Times New Roman"/>
          <w:sz w:val="24"/>
          <w:szCs w:val="24"/>
        </w:rPr>
        <w:t>,</w:t>
      </w:r>
      <w:r w:rsidRPr="00012420">
        <w:rPr>
          <w:rFonts w:ascii="Times New Roman" w:hAnsi="Times New Roman" w:cs="Times New Roman"/>
          <w:sz w:val="24"/>
          <w:szCs w:val="24"/>
        </w:rPr>
        <w:t xml:space="preserve"> no goza de un concepto único y homogéneo sino que es motivo de controversia entre diferentes autores. De ahí que se distinga entre discrecionalidad judicial y administrativa.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Partiendo de que pueden ser diferenciadas, tienen rasgos en común como son sus elementos básicos (poder de elección, existencia de fundamentos normativos y deber de motivación)</w:t>
      </w:r>
      <w:r w:rsidRPr="00012420">
        <w:rPr>
          <w:rStyle w:val="Refdenotaalpie"/>
          <w:rFonts w:ascii="Times New Roman" w:hAnsi="Times New Roman" w:cs="Times New Roman"/>
          <w:sz w:val="24"/>
          <w:szCs w:val="24"/>
        </w:rPr>
        <w:footnoteReference w:id="18"/>
      </w:r>
      <w:r w:rsidRPr="00012420">
        <w:rPr>
          <w:rFonts w:ascii="Times New Roman" w:hAnsi="Times New Roman" w:cs="Times New Roman"/>
          <w:sz w:val="24"/>
          <w:szCs w:val="24"/>
        </w:rPr>
        <w:t xml:space="preserve">.Es inevitable un margen de discrecionalidad en el ámbito administrativo al igual que pasa en el ámbito judicial. La discrecionalidad en el ámbito administrativo es la libertad que goza la Administración </w:t>
      </w:r>
      <w:r w:rsidRPr="00012420">
        <w:rPr>
          <w:rFonts w:ascii="Times New Roman" w:hAnsi="Times New Roman" w:cs="Times New Roman"/>
          <w:sz w:val="24"/>
          <w:szCs w:val="24"/>
        </w:rPr>
        <w:lastRenderedPageBreak/>
        <w:t xml:space="preserve">a la hora de aplicar Derecho, es decir, la facultad de elegir entre dos posibles actuaciones previstas por ley sin que ninguna de ellas sea impuesta obligatoriamente. Es una característica propia de la actividad administrativa, por tanto, es inevitablemente presencial. </w:t>
      </w:r>
    </w:p>
    <w:p w:rsidR="00096050" w:rsidRPr="00012420" w:rsidRDefault="00096050" w:rsidP="003B540C">
      <w:pPr>
        <w:spacing w:before="100" w:beforeAutospacing="1" w:after="100" w:afterAutospacing="1" w:line="360" w:lineRule="auto"/>
        <w:jc w:val="both"/>
        <w:rPr>
          <w:rFonts w:ascii="Times New Roman" w:eastAsia="Times New Roman" w:hAnsi="Times New Roman" w:cs="Times New Roman"/>
          <w:sz w:val="24"/>
          <w:szCs w:val="24"/>
        </w:rPr>
      </w:pPr>
      <w:r w:rsidRPr="00012420">
        <w:rPr>
          <w:rFonts w:ascii="Times New Roman" w:eastAsia="Times New Roman" w:hAnsi="Times New Roman" w:cs="Times New Roman"/>
          <w:sz w:val="24"/>
          <w:szCs w:val="24"/>
        </w:rPr>
        <w:t>La discrecionalidad administrativa no debe entenderse el bloque a todo el acto administrativo sino que ha d</w:t>
      </w:r>
      <w:r w:rsidR="00C13F4B">
        <w:rPr>
          <w:rFonts w:ascii="Times New Roman" w:eastAsia="Times New Roman" w:hAnsi="Times New Roman" w:cs="Times New Roman"/>
          <w:sz w:val="24"/>
          <w:szCs w:val="24"/>
        </w:rPr>
        <w:t>e referirse a algún elemento de</w:t>
      </w:r>
      <w:r w:rsidRPr="00012420">
        <w:rPr>
          <w:rFonts w:ascii="Times New Roman" w:eastAsia="Times New Roman" w:hAnsi="Times New Roman" w:cs="Times New Roman"/>
          <w:sz w:val="24"/>
          <w:szCs w:val="24"/>
        </w:rPr>
        <w:t xml:space="preserve"> éste. Las actuaciones de la Administración, como bien dice en Tribunal Supremo</w:t>
      </w:r>
      <w:r w:rsidR="003B540C">
        <w:rPr>
          <w:rStyle w:val="Refdenotaalpie"/>
          <w:rFonts w:ascii="Times New Roman" w:eastAsia="Times New Roman" w:hAnsi="Times New Roman" w:cs="Times New Roman"/>
          <w:sz w:val="24"/>
          <w:szCs w:val="24"/>
        </w:rPr>
        <w:footnoteReference w:id="19"/>
      </w:r>
      <w:r w:rsidRPr="00012420">
        <w:rPr>
          <w:rFonts w:ascii="Times New Roman" w:eastAsia="Times New Roman" w:hAnsi="Times New Roman" w:cs="Times New Roman"/>
          <w:sz w:val="24"/>
          <w:szCs w:val="24"/>
        </w:rPr>
        <w:t>, “</w:t>
      </w:r>
      <w:r w:rsidRPr="003B540C">
        <w:rPr>
          <w:rFonts w:ascii="Times New Roman" w:eastAsia="Times New Roman" w:hAnsi="Times New Roman" w:cs="Times New Roman"/>
          <w:i/>
          <w:sz w:val="24"/>
          <w:szCs w:val="24"/>
        </w:rPr>
        <w:t>han de estar presididas por la idea del buen servicio al interés general”.</w:t>
      </w:r>
      <w:r w:rsidRPr="00012420">
        <w:rPr>
          <w:rFonts w:ascii="Times New Roman" w:eastAsia="Times New Roman" w:hAnsi="Times New Roman" w:cs="Times New Roman"/>
          <w:sz w:val="24"/>
          <w:szCs w:val="24"/>
        </w:rPr>
        <w:t xml:space="preserve"> La decisión discrecional se basa en criterios extrajurídicos, no como ocurre en la discrecionalidad judicial, como el de oportunidad o conveniencia que la ley propone.</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el ámbito de la doctrina administrativa se ha planteado el problema de si cabe algún tipo de control frente los actos discrecionales de la Administración y cuál debe ser el control pertinente de esa discrecionalidad que goza el ente público. Es la propia Constitución Española la que pone de manifiesto, en su artículo 106 el control de los actos administrativos diciendo que los Tribunales controlaran la legalidad de la actuación administrativa. También pone de manifiesto el derecho a indemnización que se le otorga a los afectados por un acto discrecional ilícito.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w:t>
      </w:r>
      <w:r w:rsidRPr="003B540C">
        <w:rPr>
          <w:rFonts w:ascii="Times New Roman" w:hAnsi="Times New Roman" w:cs="Times New Roman"/>
          <w:i/>
          <w:sz w:val="24"/>
          <w:szCs w:val="24"/>
        </w:rPr>
        <w:t>La discrecionalidad judicial se encuentra hoy en la misma situación en la que se encontraba hace cincuenta años la discrecionalidad de la Administración</w:t>
      </w:r>
      <w:r w:rsidRPr="00012420">
        <w:rPr>
          <w:rFonts w:ascii="Times New Roman" w:hAnsi="Times New Roman" w:cs="Times New Roman"/>
          <w:sz w:val="24"/>
          <w:szCs w:val="24"/>
        </w:rPr>
        <w:t>”</w:t>
      </w:r>
      <w:r w:rsidRPr="00012420">
        <w:rPr>
          <w:rStyle w:val="Refdenotaalpie"/>
          <w:rFonts w:ascii="Times New Roman" w:hAnsi="Times New Roman" w:cs="Times New Roman"/>
          <w:sz w:val="24"/>
          <w:szCs w:val="24"/>
        </w:rPr>
        <w:footnoteReference w:id="20"/>
      </w:r>
      <w:r w:rsidRPr="00012420">
        <w:rPr>
          <w:rFonts w:ascii="Times New Roman" w:hAnsi="Times New Roman" w:cs="Times New Roman"/>
          <w:sz w:val="24"/>
          <w:szCs w:val="24"/>
        </w:rPr>
        <w:t>. A diferencia de lo que ocurre en el control de la discrecionalidad administrativa, el control de la discrecionalidad judicial, ha sido rechazado por el Tribunal Supremo. Tanto el Tribunal Constitucional como el Supremo</w:t>
      </w:r>
      <w:r w:rsidRPr="00012420">
        <w:rPr>
          <w:rStyle w:val="Refdenotaalpie"/>
          <w:rFonts w:ascii="Times New Roman" w:hAnsi="Times New Roman" w:cs="Times New Roman"/>
          <w:sz w:val="24"/>
          <w:szCs w:val="24"/>
        </w:rPr>
        <w:footnoteReference w:id="21"/>
      </w:r>
      <w:r w:rsidRPr="00012420">
        <w:rPr>
          <w:rFonts w:ascii="Times New Roman" w:hAnsi="Times New Roman" w:cs="Times New Roman"/>
          <w:sz w:val="24"/>
          <w:szCs w:val="24"/>
        </w:rPr>
        <w:t xml:space="preserve">, mantiene una doctrina de mínimos indeterminada que establece una serie de requisitos de obligado cumplimiento en la motivación de las decisiones pero el problema está en que estos criterios no controlan el fondo del asunto. Es posible controlar el cumplimiento de las normas procesales como la fundamentación jurídica que realizan pro tomar esa decisión pero está exenta de todo tipo de control tanto la valoración de la prueba como la interpretación de la norma y es de gran importancia </w:t>
      </w:r>
      <w:r w:rsidRPr="00012420">
        <w:rPr>
          <w:rFonts w:ascii="Times New Roman" w:hAnsi="Times New Roman" w:cs="Times New Roman"/>
          <w:sz w:val="24"/>
          <w:szCs w:val="24"/>
        </w:rPr>
        <w:lastRenderedPageBreak/>
        <w:t xml:space="preserve">ya que aquí es donde se encuentra el núcleo de la argumentación judicial. </w:t>
      </w:r>
    </w:p>
    <w:p w:rsidR="0009605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Según Ma</w:t>
      </w:r>
      <w:r w:rsidR="003B540C">
        <w:rPr>
          <w:rFonts w:ascii="Times New Roman" w:hAnsi="Times New Roman" w:cs="Times New Roman"/>
          <w:sz w:val="24"/>
          <w:szCs w:val="24"/>
        </w:rPr>
        <w:t>nuel Segura Ortega, se controla</w:t>
      </w:r>
      <w:r w:rsidRPr="00012420">
        <w:rPr>
          <w:rFonts w:ascii="Times New Roman" w:hAnsi="Times New Roman" w:cs="Times New Roman"/>
          <w:sz w:val="24"/>
          <w:szCs w:val="24"/>
        </w:rPr>
        <w:t xml:space="preserve"> la actividad judicial mediante tres instrumentos: el primero es el sometimiento de los jueces a las normas, el segundo el deber u obligación de motivar que tienen los jueces respectos de su elección y, por último, la existencia de mecanismos procesales para la revisión de la sentencias como son los recursos que posibilitan a los interesados la comprobación de la sentencia. </w:t>
      </w:r>
    </w:p>
    <w:p w:rsidR="000F19A8" w:rsidRPr="00012420" w:rsidRDefault="000F19A8"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i/>
          <w:sz w:val="24"/>
          <w:szCs w:val="24"/>
        </w:rPr>
        <w:t>3.6 DIFERENCIAS ENTRE DISCRECIONALIDAD Y ARBIETRARIEDAD</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La arbitrariedad nace de una falta de motivación necesaria que debe darse cuando el juez elige entre varios caminos. Debe justificar</w:t>
      </w:r>
      <w:r w:rsidR="003B540C">
        <w:rPr>
          <w:rFonts w:ascii="Times New Roman" w:hAnsi="Times New Roman" w:cs="Times New Roman"/>
          <w:sz w:val="24"/>
          <w:szCs w:val="24"/>
        </w:rPr>
        <w:t>se</w:t>
      </w:r>
      <w:r w:rsidRPr="00012420">
        <w:rPr>
          <w:rFonts w:ascii="Times New Roman" w:hAnsi="Times New Roman" w:cs="Times New Roman"/>
          <w:sz w:val="24"/>
          <w:szCs w:val="24"/>
        </w:rPr>
        <w:t xml:space="preserve"> desde la elección de las normas hasta el porqué de la interpretación que ha realizado hasta alcanzar esa solución. Existe un amplio acuerdo que afirma que cuando una decisión no está justificada, pasa de ser discrecional a arbitraria. Es en este punto donde se diferencia una decisión discrecional de una arbitraria. Se ha dicho</w:t>
      </w:r>
      <w:r w:rsidRPr="00012420">
        <w:rPr>
          <w:rStyle w:val="Refdenotaalpie"/>
          <w:rFonts w:ascii="Times New Roman" w:hAnsi="Times New Roman" w:cs="Times New Roman"/>
          <w:sz w:val="24"/>
          <w:szCs w:val="24"/>
        </w:rPr>
        <w:footnoteReference w:id="22"/>
      </w:r>
      <w:r w:rsidRPr="00012420">
        <w:rPr>
          <w:rFonts w:ascii="Times New Roman" w:hAnsi="Times New Roman" w:cs="Times New Roman"/>
          <w:sz w:val="24"/>
          <w:szCs w:val="24"/>
        </w:rPr>
        <w:t xml:space="preserve"> que la motivación marca la diferencia entre la discrecionalidad y la arbitrariedad. Es la motivación lo que apoya la decisión, por tanto, si no existiese no tendría el apoyo nada más que de la persona que adopta esa decisión. Una sentencia no motivada presenta una infracción del ordenamiento jurídico en la medida que éste impone a los jueces el deber de justificar el fallo para que no concurra en arbitrariedad.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Según Alejandro Nieto</w:t>
      </w:r>
      <w:r w:rsidRPr="00012420">
        <w:rPr>
          <w:rStyle w:val="Refdenotaalpie"/>
          <w:rFonts w:ascii="Times New Roman" w:hAnsi="Times New Roman" w:cs="Times New Roman"/>
          <w:sz w:val="24"/>
          <w:szCs w:val="24"/>
        </w:rPr>
        <w:footnoteReference w:id="23"/>
      </w:r>
      <w:r w:rsidRPr="00012420">
        <w:rPr>
          <w:rFonts w:ascii="Times New Roman" w:hAnsi="Times New Roman" w:cs="Times New Roman"/>
          <w:sz w:val="24"/>
          <w:szCs w:val="24"/>
        </w:rPr>
        <w:t xml:space="preserve"> es a la hora de regular la práctica de la prueba, donde se deja más hueco libre para acciones arbitrarias. Esta teoría la comparte la mayoría de la doctrina afirmando que en el momento de la valoración de la prueba es cuando se da con más frecuencia el arbitrio judicial y es así porque el juez no llega a conocer los hechos de manera absoluta, sino que tiene algunas limitaciones, porque es el juez el que elige que informaciones son las que tiene relevancia y puede descartar las que, a su parecer no la tengan y, por último, como en nuestro sistema rige el principio de libre valoración de la prueba, los medios de prueba no son definitivos. </w:t>
      </w:r>
    </w:p>
    <w:p w:rsidR="00096050" w:rsidRDefault="00096050" w:rsidP="009B7E4E">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lastRenderedPageBreak/>
        <w:t>La propia doctrina del Tribu</w:t>
      </w:r>
      <w:r w:rsidR="003B540C">
        <w:rPr>
          <w:rFonts w:ascii="Times New Roman" w:hAnsi="Times New Roman" w:cs="Times New Roman"/>
          <w:sz w:val="24"/>
          <w:szCs w:val="24"/>
        </w:rPr>
        <w:t>nal Constitucional a través de s</w:t>
      </w:r>
      <w:r w:rsidRPr="00012420">
        <w:rPr>
          <w:rFonts w:ascii="Times New Roman" w:hAnsi="Times New Roman" w:cs="Times New Roman"/>
          <w:sz w:val="24"/>
          <w:szCs w:val="24"/>
        </w:rPr>
        <w:t>entencias</w:t>
      </w:r>
      <w:r w:rsidR="003B540C">
        <w:rPr>
          <w:rStyle w:val="Refdenotaalpie"/>
          <w:rFonts w:ascii="Times New Roman" w:hAnsi="Times New Roman" w:cs="Times New Roman"/>
          <w:sz w:val="24"/>
          <w:szCs w:val="24"/>
        </w:rPr>
        <w:footnoteReference w:id="24"/>
      </w:r>
      <w:r w:rsidRPr="00012420">
        <w:rPr>
          <w:rFonts w:ascii="Times New Roman" w:hAnsi="Times New Roman" w:cs="Times New Roman"/>
          <w:sz w:val="24"/>
          <w:szCs w:val="24"/>
        </w:rPr>
        <w:t>, afirma que la motivación tiene mucha importancia ya que una Sentencia que no explique la solución que ha elegido para resolver las cuestiones que se le han planteado, es ilícita y va en contra del derecho consagrado en el art. 24</w:t>
      </w:r>
      <w:r w:rsidR="009B7E4E">
        <w:rPr>
          <w:rFonts w:ascii="Times New Roman" w:hAnsi="Times New Roman" w:cs="Times New Roman"/>
          <w:sz w:val="24"/>
          <w:szCs w:val="24"/>
        </w:rPr>
        <w:t>.1 de la Constitución Española.</w:t>
      </w:r>
    </w:p>
    <w:p w:rsidR="00096050" w:rsidRPr="003B540C" w:rsidRDefault="00096050" w:rsidP="00096050">
      <w:pPr>
        <w:autoSpaceDE w:val="0"/>
        <w:autoSpaceDN w:val="0"/>
        <w:adjustRightInd w:val="0"/>
        <w:spacing w:after="0" w:line="360" w:lineRule="auto"/>
        <w:jc w:val="both"/>
        <w:rPr>
          <w:rFonts w:ascii="Times New Roman" w:eastAsia="Times New Roman" w:hAnsi="Times New Roman" w:cs="Times New Roman"/>
          <w:i/>
          <w:sz w:val="24"/>
          <w:szCs w:val="24"/>
        </w:rPr>
      </w:pPr>
      <w:r w:rsidRPr="00012420">
        <w:rPr>
          <w:rFonts w:ascii="Times New Roman" w:hAnsi="Times New Roman" w:cs="Times New Roman"/>
          <w:sz w:val="24"/>
          <w:szCs w:val="24"/>
        </w:rPr>
        <w:t>Otra diferencia que existe entre discrecionalidad y arbitrariedad es que la primera es necesaria para una buena actividad de los jueces, sin embargo, la segunda figura no es necesaria, sino todo lo contrario. Mientras que la primera está controlada, la segunda se condena como ausencia total de control ya que la decisión que sea arbitraria no está respaldad por ninguna norma que apoye esa decisión. Según Milagros Otero Parga</w:t>
      </w:r>
      <w:r w:rsidRPr="00012420">
        <w:rPr>
          <w:rStyle w:val="Refdenotaalpie"/>
          <w:rFonts w:ascii="Times New Roman" w:hAnsi="Times New Roman" w:cs="Times New Roman"/>
          <w:sz w:val="24"/>
          <w:szCs w:val="24"/>
        </w:rPr>
        <w:footnoteReference w:id="25"/>
      </w:r>
      <w:r w:rsidRPr="00012420">
        <w:rPr>
          <w:rFonts w:ascii="Times New Roman" w:hAnsi="Times New Roman" w:cs="Times New Roman"/>
          <w:sz w:val="24"/>
          <w:szCs w:val="24"/>
        </w:rPr>
        <w:t>, “</w:t>
      </w:r>
      <w:r w:rsidRPr="003B540C">
        <w:rPr>
          <w:rFonts w:ascii="Times New Roman" w:hAnsi="Times New Roman" w:cs="Times New Roman"/>
          <w:i/>
          <w:sz w:val="24"/>
          <w:szCs w:val="24"/>
        </w:rPr>
        <w:t xml:space="preserve">la discrecionalidad es parte necesaria e irrenunciable de la actividad de la Administración y condenan al arbitraje como ausencia de control y simple capricho”. </w:t>
      </w:r>
    </w:p>
    <w:p w:rsidR="00D53074" w:rsidRDefault="00D53074"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012420">
        <w:rPr>
          <w:rFonts w:ascii="Times New Roman" w:hAnsi="Times New Roman" w:cs="Times New Roman"/>
          <w:sz w:val="24"/>
          <w:szCs w:val="24"/>
          <w:u w:val="single"/>
        </w:rPr>
        <w:t>4.- COMENTARIOS DE AUTORES</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En este apartado voy a exponer las diferentes opiniones qu</w:t>
      </w:r>
      <w:r>
        <w:rPr>
          <w:rFonts w:ascii="Times New Roman" w:hAnsi="Times New Roman" w:cs="Times New Roman"/>
          <w:sz w:val="24"/>
          <w:szCs w:val="24"/>
        </w:rPr>
        <w:t>e tienen los juristas</w:t>
      </w:r>
      <w:r w:rsidRPr="00012420">
        <w:rPr>
          <w:rFonts w:ascii="Times New Roman" w:hAnsi="Times New Roman" w:cs="Times New Roman"/>
          <w:sz w:val="24"/>
          <w:szCs w:val="24"/>
        </w:rPr>
        <w:t xml:space="preserve"> en cuanto a la discrecionalidad judicial existente y los distintos aspectos de </w:t>
      </w:r>
      <w:r>
        <w:rPr>
          <w:rFonts w:ascii="Times New Roman" w:hAnsi="Times New Roman" w:cs="Times New Roman"/>
          <w:sz w:val="24"/>
          <w:szCs w:val="24"/>
        </w:rPr>
        <w:t>el</w:t>
      </w:r>
      <w:r w:rsidRPr="00012420">
        <w:rPr>
          <w:rFonts w:ascii="Times New Roman" w:hAnsi="Times New Roman" w:cs="Times New Roman"/>
          <w:sz w:val="24"/>
          <w:szCs w:val="24"/>
        </w:rPr>
        <w:t xml:space="preserve">la misma.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Para comenzar, propongo un Artículo escrito por </w:t>
      </w:r>
      <w:r>
        <w:rPr>
          <w:rFonts w:ascii="Times New Roman" w:hAnsi="Times New Roman" w:cs="Times New Roman"/>
          <w:b/>
          <w:sz w:val="24"/>
          <w:szCs w:val="24"/>
        </w:rPr>
        <w:t xml:space="preserve">Ramón </w:t>
      </w:r>
      <w:r w:rsidR="00D53074">
        <w:rPr>
          <w:rFonts w:ascii="Times New Roman" w:hAnsi="Times New Roman" w:cs="Times New Roman"/>
          <w:b/>
          <w:sz w:val="24"/>
          <w:szCs w:val="24"/>
        </w:rPr>
        <w:t xml:space="preserve">Ruiz </w:t>
      </w:r>
      <w:proofErr w:type="spellStart"/>
      <w:r w:rsidR="00D53074">
        <w:rPr>
          <w:rFonts w:ascii="Times New Roman" w:hAnsi="Times New Roman" w:cs="Times New Roman"/>
          <w:b/>
          <w:sz w:val="24"/>
          <w:szCs w:val="24"/>
        </w:rPr>
        <w:t>Rui</w:t>
      </w:r>
      <w:r w:rsidRPr="00012420">
        <w:rPr>
          <w:rFonts w:ascii="Times New Roman" w:hAnsi="Times New Roman" w:cs="Times New Roman"/>
          <w:b/>
          <w:sz w:val="24"/>
          <w:szCs w:val="24"/>
        </w:rPr>
        <w:t>z</w:t>
      </w:r>
      <w:proofErr w:type="spellEnd"/>
      <w:r w:rsidRPr="00012420">
        <w:rPr>
          <w:rFonts w:ascii="Times New Roman" w:hAnsi="Times New Roman" w:cs="Times New Roman"/>
          <w:b/>
          <w:sz w:val="24"/>
          <w:szCs w:val="24"/>
        </w:rPr>
        <w:t>, profesor de la Universidad de Jaén</w:t>
      </w:r>
      <w:r w:rsidRPr="00012420">
        <w:rPr>
          <w:rFonts w:ascii="Times New Roman" w:hAnsi="Times New Roman" w:cs="Times New Roman"/>
          <w:sz w:val="24"/>
          <w:szCs w:val="24"/>
        </w:rPr>
        <w:t>. El trabajo recibe el nombre de “</w:t>
      </w:r>
      <w:r w:rsidRPr="003B540C">
        <w:rPr>
          <w:rFonts w:ascii="Times New Roman" w:hAnsi="Times New Roman" w:cs="Times New Roman"/>
          <w:i/>
          <w:sz w:val="24"/>
          <w:szCs w:val="24"/>
        </w:rPr>
        <w:t>El juez y la aplicación del Derecho</w:t>
      </w:r>
      <w:r w:rsidRPr="00012420">
        <w:rPr>
          <w:rFonts w:ascii="Times New Roman" w:hAnsi="Times New Roman" w:cs="Times New Roman"/>
          <w:sz w:val="24"/>
          <w:szCs w:val="24"/>
        </w:rPr>
        <w:t xml:space="preserve">”. </w:t>
      </w:r>
    </w:p>
    <w:p w:rsidR="00096050" w:rsidRPr="00012420" w:rsidRDefault="00F10386"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Ramón Ruiz </w:t>
      </w:r>
      <w:proofErr w:type="spellStart"/>
      <w:r>
        <w:rPr>
          <w:rFonts w:ascii="Times New Roman" w:hAnsi="Times New Roman" w:cs="Times New Roman"/>
          <w:sz w:val="24"/>
          <w:szCs w:val="24"/>
        </w:rPr>
        <w:t>Rui</w:t>
      </w:r>
      <w:r w:rsidR="00096050" w:rsidRPr="00012420">
        <w:rPr>
          <w:rFonts w:ascii="Times New Roman" w:hAnsi="Times New Roman" w:cs="Times New Roman"/>
          <w:sz w:val="24"/>
          <w:szCs w:val="24"/>
        </w:rPr>
        <w:t>z</w:t>
      </w:r>
      <w:proofErr w:type="spellEnd"/>
      <w:r w:rsidR="00096050" w:rsidRPr="00012420">
        <w:rPr>
          <w:rFonts w:ascii="Times New Roman" w:hAnsi="Times New Roman" w:cs="Times New Roman"/>
          <w:sz w:val="24"/>
          <w:szCs w:val="24"/>
        </w:rPr>
        <w:t>, el juez goza de discrecionalidad al aplicar el Derecho. Esto se debe a la vaguedad de las normas, lo que lleva a la indeterminación del derecho</w:t>
      </w:r>
      <w:r w:rsidR="00096050" w:rsidRPr="00012420">
        <w:rPr>
          <w:rStyle w:val="Refdenotaalpie"/>
          <w:rFonts w:ascii="Times New Roman" w:hAnsi="Times New Roman" w:cs="Times New Roman"/>
          <w:sz w:val="24"/>
          <w:szCs w:val="24"/>
        </w:rPr>
        <w:footnoteReference w:id="26"/>
      </w:r>
      <w:r w:rsidR="00096050" w:rsidRPr="00012420">
        <w:rPr>
          <w:rFonts w:ascii="Times New Roman" w:hAnsi="Times New Roman" w:cs="Times New Roman"/>
          <w:sz w:val="24"/>
          <w:szCs w:val="24"/>
        </w:rPr>
        <w:t>, o por el g</w:t>
      </w:r>
      <w:r w:rsidR="00096050">
        <w:rPr>
          <w:rFonts w:ascii="Times New Roman" w:hAnsi="Times New Roman" w:cs="Times New Roman"/>
          <w:sz w:val="24"/>
          <w:szCs w:val="24"/>
        </w:rPr>
        <w:t xml:space="preserve">ran numero de normas existentes </w:t>
      </w:r>
      <w:r w:rsidR="00096050" w:rsidRPr="00012420">
        <w:rPr>
          <w:rFonts w:ascii="Times New Roman" w:hAnsi="Times New Roman" w:cs="Times New Roman"/>
          <w:sz w:val="24"/>
          <w:szCs w:val="24"/>
        </w:rPr>
        <w:t>y el grado de complejidad que tienen. El papel de los jueces ha evolucionado; ya no se limitan a “</w:t>
      </w:r>
      <w:r w:rsidR="00096050" w:rsidRPr="003B540C">
        <w:rPr>
          <w:rFonts w:ascii="Times New Roman" w:hAnsi="Times New Roman" w:cs="Times New Roman"/>
          <w:i/>
          <w:sz w:val="24"/>
          <w:szCs w:val="24"/>
        </w:rPr>
        <w:t>aplicar el derecho de forma neutral</w:t>
      </w:r>
      <w:r w:rsidR="00096050" w:rsidRPr="00012420">
        <w:rPr>
          <w:rFonts w:ascii="Times New Roman" w:hAnsi="Times New Roman" w:cs="Times New Roman"/>
          <w:sz w:val="24"/>
          <w:szCs w:val="24"/>
        </w:rPr>
        <w:t>” (modelo judicial ideal para los Ilustrado</w:t>
      </w:r>
      <w:r w:rsidR="00096050">
        <w:rPr>
          <w:rFonts w:ascii="Times New Roman" w:hAnsi="Times New Roman" w:cs="Times New Roman"/>
          <w:sz w:val="24"/>
          <w:szCs w:val="24"/>
        </w:rPr>
        <w:t>s</w:t>
      </w:r>
      <w:r w:rsidR="00096050" w:rsidRPr="00012420">
        <w:rPr>
          <w:rFonts w:ascii="Times New Roman" w:hAnsi="Times New Roman" w:cs="Times New Roman"/>
          <w:sz w:val="24"/>
          <w:szCs w:val="24"/>
        </w:rPr>
        <w:t>).</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Este autor comparte lo expuesto por Michel Tropper cuando dice que la decisión que toma el juez no es solo fruto de un argumento ajeno al pensamiento de él. Lo primero que puede tratarse de una dec</w:t>
      </w:r>
      <w:r>
        <w:rPr>
          <w:rFonts w:ascii="Times New Roman" w:hAnsi="Times New Roman" w:cs="Times New Roman"/>
          <w:sz w:val="24"/>
          <w:szCs w:val="24"/>
        </w:rPr>
        <w:t xml:space="preserve">isión discrecional es cuando se hace efectivo el momento </w:t>
      </w:r>
      <w:r w:rsidRPr="00012420">
        <w:rPr>
          <w:rFonts w:ascii="Times New Roman" w:hAnsi="Times New Roman" w:cs="Times New Roman"/>
          <w:sz w:val="24"/>
          <w:szCs w:val="24"/>
        </w:rPr>
        <w:t xml:space="preserve">de subsumir el caso en una norma u </w:t>
      </w:r>
      <w:r w:rsidRPr="00012420">
        <w:rPr>
          <w:rFonts w:ascii="Times New Roman" w:hAnsi="Times New Roman" w:cs="Times New Roman"/>
          <w:sz w:val="24"/>
          <w:szCs w:val="24"/>
        </w:rPr>
        <w:lastRenderedPageBreak/>
        <w:t>otra aunque reconoce que  la premisa mayor se da a la hora de interpretarla</w:t>
      </w:r>
      <w:r w:rsidRPr="00012420">
        <w:rPr>
          <w:rStyle w:val="Refdenotaalpie"/>
          <w:rFonts w:ascii="Times New Roman" w:hAnsi="Times New Roman" w:cs="Times New Roman"/>
          <w:sz w:val="24"/>
          <w:szCs w:val="24"/>
        </w:rPr>
        <w:footnoteReference w:id="27"/>
      </w:r>
      <w:r w:rsidRPr="00012420">
        <w:rPr>
          <w:rFonts w:ascii="Times New Roman" w:hAnsi="Times New Roman" w:cs="Times New Roman"/>
          <w:sz w:val="24"/>
          <w:szCs w:val="24"/>
        </w:rPr>
        <w:t xml:space="preserv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Otro factor que Ramón </w:t>
      </w:r>
      <w:r w:rsidR="00D53074">
        <w:rPr>
          <w:rFonts w:ascii="Times New Roman" w:hAnsi="Times New Roman" w:cs="Times New Roman"/>
          <w:sz w:val="24"/>
          <w:szCs w:val="24"/>
        </w:rPr>
        <w:t xml:space="preserve">Ruiz </w:t>
      </w:r>
      <w:proofErr w:type="spellStart"/>
      <w:r w:rsidR="00D53074">
        <w:rPr>
          <w:rFonts w:ascii="Times New Roman" w:hAnsi="Times New Roman" w:cs="Times New Roman"/>
          <w:sz w:val="24"/>
          <w:szCs w:val="24"/>
        </w:rPr>
        <w:t>Rui</w:t>
      </w:r>
      <w:r>
        <w:rPr>
          <w:rFonts w:ascii="Times New Roman" w:hAnsi="Times New Roman" w:cs="Times New Roman"/>
          <w:sz w:val="24"/>
          <w:szCs w:val="24"/>
        </w:rPr>
        <w:t>z</w:t>
      </w:r>
      <w:proofErr w:type="spellEnd"/>
      <w:r>
        <w:rPr>
          <w:rFonts w:ascii="Times New Roman" w:hAnsi="Times New Roman" w:cs="Times New Roman"/>
          <w:sz w:val="24"/>
          <w:szCs w:val="24"/>
        </w:rPr>
        <w:t xml:space="preserve"> </w:t>
      </w:r>
      <w:r w:rsidRPr="00012420">
        <w:rPr>
          <w:rFonts w:ascii="Times New Roman" w:hAnsi="Times New Roman" w:cs="Times New Roman"/>
          <w:sz w:val="24"/>
          <w:szCs w:val="24"/>
        </w:rPr>
        <w:t>tiene en cuenta</w:t>
      </w:r>
      <w:r>
        <w:rPr>
          <w:rFonts w:ascii="Times New Roman" w:hAnsi="Times New Roman" w:cs="Times New Roman"/>
          <w:sz w:val="24"/>
          <w:szCs w:val="24"/>
        </w:rPr>
        <w:t>,</w:t>
      </w:r>
      <w:r w:rsidRPr="00012420">
        <w:rPr>
          <w:rFonts w:ascii="Times New Roman" w:hAnsi="Times New Roman" w:cs="Times New Roman"/>
          <w:sz w:val="24"/>
          <w:szCs w:val="24"/>
        </w:rPr>
        <w:t xml:space="preserve"> para analizar la discrecionalidad judicial que puede ejercer al juez</w:t>
      </w:r>
      <w:r>
        <w:rPr>
          <w:rFonts w:ascii="Times New Roman" w:hAnsi="Times New Roman" w:cs="Times New Roman"/>
          <w:sz w:val="24"/>
          <w:szCs w:val="24"/>
        </w:rPr>
        <w:t>,</w:t>
      </w:r>
      <w:r w:rsidRPr="00012420">
        <w:rPr>
          <w:rFonts w:ascii="Times New Roman" w:hAnsi="Times New Roman" w:cs="Times New Roman"/>
          <w:sz w:val="24"/>
          <w:szCs w:val="24"/>
        </w:rPr>
        <w:t xml:space="preserve"> es que éste crea derecho</w:t>
      </w:r>
      <w:r w:rsidRPr="00012420">
        <w:rPr>
          <w:rStyle w:val="Refdenotaalpie"/>
          <w:rFonts w:ascii="Times New Roman" w:hAnsi="Times New Roman" w:cs="Times New Roman"/>
          <w:sz w:val="24"/>
          <w:szCs w:val="24"/>
        </w:rPr>
        <w:footnoteReference w:id="28"/>
      </w:r>
      <w:r w:rsidRPr="00012420">
        <w:rPr>
          <w:rFonts w:ascii="Times New Roman" w:hAnsi="Times New Roman" w:cs="Times New Roman"/>
          <w:sz w:val="24"/>
          <w:szCs w:val="24"/>
        </w:rPr>
        <w:t xml:space="preserve">. La creación de derecho que puede realizar el juez se debe a que la ley no tiene respuesta ni solución para todos los problemas que pueden plantearse en una sociedad en continuo cambio. Por tanto, los jueces cobran una especial relevancia tanto por su aplicación del Derecho con un margen de discrecionalidad como por su creación.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Kelsen propone un modelo de Constitución en el que no existe “</w:t>
      </w:r>
      <w:r w:rsidRPr="003B540C">
        <w:rPr>
          <w:rFonts w:ascii="Times New Roman" w:hAnsi="Times New Roman" w:cs="Times New Roman"/>
          <w:i/>
          <w:sz w:val="24"/>
          <w:szCs w:val="24"/>
        </w:rPr>
        <w:t xml:space="preserve">normas de contenido material que establezcan principios, directivas y </w:t>
      </w:r>
      <w:r w:rsidR="000F19A8" w:rsidRPr="003B540C">
        <w:rPr>
          <w:rFonts w:ascii="Times New Roman" w:hAnsi="Times New Roman" w:cs="Times New Roman"/>
          <w:i/>
          <w:sz w:val="24"/>
          <w:szCs w:val="24"/>
        </w:rPr>
        <w:t>límites</w:t>
      </w:r>
      <w:r w:rsidRPr="003B540C">
        <w:rPr>
          <w:rFonts w:ascii="Times New Roman" w:hAnsi="Times New Roman" w:cs="Times New Roman"/>
          <w:i/>
          <w:sz w:val="24"/>
          <w:szCs w:val="24"/>
        </w:rPr>
        <w:t xml:space="preserve"> al contenido de las futuras leyes</w:t>
      </w:r>
      <w:r w:rsidRPr="00012420">
        <w:rPr>
          <w:rFonts w:ascii="Times New Roman" w:hAnsi="Times New Roman" w:cs="Times New Roman"/>
          <w:sz w:val="24"/>
          <w:szCs w:val="24"/>
        </w:rPr>
        <w:t xml:space="preserve">” aunque, no atendiendo mucho a la propuesta de Kelsen, la mayoría de las Constituciones del siglo pasado incluyen  contenidos valorativos expresados en lenguaje ambiguo e impreciso. Uno de estos contenidos valorativos son los principios que tienden a entrar en conflicto con otros contenidos de la Constitución. Para la resolución de conflictos que puedan surgir entre la aplicación de los principios, se usa la técnica de la ponderación aunque no tenga una única respuesta. Tanto la aplicación de los principios como la técnica de la ponderación favorecen a la figura del juez. Cuando hay un conflicto entre principios, el juez debe elegir entre uno u otro aplicando la racionalidad, tiene que descartar un principio para aplicar otro. Esta libertad es más amplia que cuando el juez aplica normas ya que cuando los derechos colisionan entre si no se debe atender a una estructura jerárquica sino </w:t>
      </w:r>
      <w:r>
        <w:rPr>
          <w:rFonts w:ascii="Times New Roman" w:hAnsi="Times New Roman" w:cs="Times New Roman"/>
          <w:sz w:val="24"/>
          <w:szCs w:val="24"/>
        </w:rPr>
        <w:t xml:space="preserve">evaluando el </w:t>
      </w:r>
      <w:r w:rsidRPr="00012420">
        <w:rPr>
          <w:rFonts w:ascii="Times New Roman" w:hAnsi="Times New Roman" w:cs="Times New Roman"/>
          <w:sz w:val="24"/>
          <w:szCs w:val="24"/>
        </w:rPr>
        <w:t xml:space="preserve">caso concreto.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Este margen de discrecionalidad que se le otorga al juez lleva a preguntarnos: </w:t>
      </w:r>
      <w:r w:rsidRPr="003B540C">
        <w:rPr>
          <w:rFonts w:ascii="Times New Roman" w:hAnsi="Times New Roman" w:cs="Times New Roman"/>
          <w:i/>
          <w:sz w:val="24"/>
          <w:szCs w:val="24"/>
        </w:rPr>
        <w:t>“¿Qué justifica que unos jueces que no son elegidos por el pueblo tenga autoridad para invalidar las leyes?”</w:t>
      </w:r>
      <w:r w:rsidRPr="00012420">
        <w:rPr>
          <w:rFonts w:ascii="Times New Roman" w:hAnsi="Times New Roman" w:cs="Times New Roman"/>
          <w:sz w:val="24"/>
          <w:szCs w:val="24"/>
        </w:rPr>
        <w:t xml:space="preserve"> Para ser razonable y lógicos en cuanto al sistema democrático que conforma los altos tribunales, deberíamos negar la existencia de la discrecionalidad y afirmar que los jueces se limitan solo a aplicar derecho, pero para asumir esta idea, el Tribunal debería tomar de la Constitución una “</w:t>
      </w:r>
      <w:r w:rsidRPr="003B540C">
        <w:rPr>
          <w:rFonts w:ascii="Times New Roman" w:hAnsi="Times New Roman" w:cs="Times New Roman"/>
          <w:i/>
          <w:sz w:val="24"/>
          <w:szCs w:val="24"/>
        </w:rPr>
        <w:t>única decisión correcta, indudable y susceptible de ser reconocida objetivamente para cada caso</w:t>
      </w:r>
      <w:r w:rsidRPr="003B540C">
        <w:rPr>
          <w:rStyle w:val="Refdenotaalpie"/>
          <w:rFonts w:ascii="Times New Roman" w:hAnsi="Times New Roman" w:cs="Times New Roman"/>
          <w:i/>
          <w:sz w:val="24"/>
          <w:szCs w:val="24"/>
        </w:rPr>
        <w:footnoteReference w:id="29"/>
      </w:r>
      <w:r w:rsidRPr="003B540C">
        <w:rPr>
          <w:rFonts w:ascii="Times New Roman" w:hAnsi="Times New Roman" w:cs="Times New Roman"/>
          <w:i/>
          <w:sz w:val="24"/>
          <w:szCs w:val="24"/>
        </w:rPr>
        <w:t>”</w:t>
      </w:r>
      <w:r w:rsidRPr="00012420">
        <w:rPr>
          <w:rFonts w:ascii="Times New Roman" w:hAnsi="Times New Roman" w:cs="Times New Roman"/>
          <w:sz w:val="24"/>
          <w:szCs w:val="24"/>
        </w:rPr>
        <w:t xml:space="preserve">. El problema se encuentra en la dificultad o imposibilidad que existe para llegar a alcanzar esa decisión correcta y única.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lastRenderedPageBreak/>
        <w:t xml:space="preserve">Aun existiendo la libertad que se le otorga al juez a la hora de tomar una decisión, éste se encuentra sometido a múltiples limitaciones como por ejemplo el deber de motivar su elección.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El autor también refleja en su trabajo un método interpretativo llamado “</w:t>
      </w:r>
      <w:r w:rsidRPr="003B540C">
        <w:rPr>
          <w:rFonts w:ascii="Times New Roman" w:hAnsi="Times New Roman" w:cs="Times New Roman"/>
          <w:i/>
          <w:sz w:val="24"/>
          <w:szCs w:val="24"/>
        </w:rPr>
        <w:t>originalismo</w:t>
      </w:r>
      <w:r w:rsidRPr="00012420">
        <w:rPr>
          <w:rFonts w:ascii="Times New Roman" w:hAnsi="Times New Roman" w:cs="Times New Roman"/>
          <w:sz w:val="24"/>
          <w:szCs w:val="24"/>
        </w:rPr>
        <w:t xml:space="preserve">” que está a favor de la idea de la supremacía del juez constitucional sobre el poder legislativo. Este método </w:t>
      </w:r>
      <w:proofErr w:type="spellStart"/>
      <w:r w:rsidRPr="00012420">
        <w:rPr>
          <w:rFonts w:ascii="Times New Roman" w:hAnsi="Times New Roman" w:cs="Times New Roman"/>
          <w:sz w:val="24"/>
          <w:szCs w:val="24"/>
        </w:rPr>
        <w:t>esusado</w:t>
      </w:r>
      <w:proofErr w:type="spellEnd"/>
      <w:r w:rsidRPr="00012420">
        <w:rPr>
          <w:rFonts w:ascii="Times New Roman" w:hAnsi="Times New Roman" w:cs="Times New Roman"/>
          <w:sz w:val="24"/>
          <w:szCs w:val="24"/>
        </w:rPr>
        <w:t xml:space="preserve"> para salvar el carácter democrático de las decisiones judiciales. Reafirmando este método, un autor antifederalista advertía que “</w:t>
      </w:r>
      <w:r w:rsidRPr="003B540C">
        <w:rPr>
          <w:rFonts w:ascii="Times New Roman" w:hAnsi="Times New Roman" w:cs="Times New Roman"/>
          <w:i/>
          <w:sz w:val="24"/>
          <w:szCs w:val="24"/>
        </w:rPr>
        <w:t>Si el legislativo aprueba una ley contradictoria con la interpretación que los jueces hacen de la Constitución, ellos la declararán nula; y, por tanto, en este aspecto, su poder es superior al legislativo”.</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A pesar de estos argumentos, parece oportuno establecer ciertos límites a la discrecionalidad a través de unos medios de control.</w:t>
      </w:r>
    </w:p>
    <w:p w:rsidR="00096050" w:rsidRPr="00012420" w:rsidRDefault="00D53074"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conclusión, Ramón Ruiz </w:t>
      </w:r>
      <w:proofErr w:type="spellStart"/>
      <w:r>
        <w:rPr>
          <w:rFonts w:ascii="Times New Roman" w:hAnsi="Times New Roman" w:cs="Times New Roman"/>
          <w:sz w:val="24"/>
          <w:szCs w:val="24"/>
        </w:rPr>
        <w:t>Rui</w:t>
      </w:r>
      <w:r w:rsidR="00096050" w:rsidRPr="00012420">
        <w:rPr>
          <w:rFonts w:ascii="Times New Roman" w:hAnsi="Times New Roman" w:cs="Times New Roman"/>
          <w:sz w:val="24"/>
          <w:szCs w:val="24"/>
        </w:rPr>
        <w:t>z</w:t>
      </w:r>
      <w:proofErr w:type="spellEnd"/>
      <w:r w:rsidR="00096050" w:rsidRPr="00012420">
        <w:rPr>
          <w:rFonts w:ascii="Times New Roman" w:hAnsi="Times New Roman" w:cs="Times New Roman"/>
          <w:sz w:val="24"/>
          <w:szCs w:val="24"/>
        </w:rPr>
        <w:t xml:space="preserve"> expone que: “</w:t>
      </w:r>
      <w:r w:rsidR="00096050" w:rsidRPr="003B540C">
        <w:rPr>
          <w:rFonts w:ascii="Times New Roman" w:hAnsi="Times New Roman" w:cs="Times New Roman"/>
          <w:i/>
          <w:sz w:val="24"/>
          <w:szCs w:val="24"/>
        </w:rPr>
        <w:t>La interpretación jurídica no es un fin en sí misma sino que es un instrumento para la sentencia, que afecta a intereses humanos</w:t>
      </w:r>
      <w:r w:rsidR="00096050" w:rsidRPr="00012420">
        <w:rPr>
          <w:rFonts w:ascii="Times New Roman" w:hAnsi="Times New Roman" w:cs="Times New Roman"/>
          <w:sz w:val="24"/>
          <w:szCs w:val="24"/>
        </w:rPr>
        <w:t xml:space="preserv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A continuación expongo un artículo de la Revista de Derecho de la Pontificia Universidad Católica de Valparaíso que, entre otras cosas, es curiosa tanto porque se sale del territorio europeo y por su especial contenido en el que entra en conflicto el sistema penal propio del Estado con las costumbre divergentes propios de un país multicultural.</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Trabajo recibe el nombre de </w:t>
      </w:r>
      <w:r w:rsidRPr="00012420">
        <w:rPr>
          <w:rFonts w:ascii="Times New Roman" w:hAnsi="Times New Roman" w:cs="Times New Roman"/>
          <w:i/>
          <w:sz w:val="24"/>
          <w:szCs w:val="24"/>
        </w:rPr>
        <w:t xml:space="preserve">Multiculturalidad y discrecionalidad judicial en una sentencia penal: análisis desde Joseph Raz. </w:t>
      </w:r>
      <w:r w:rsidRPr="00012420">
        <w:rPr>
          <w:rFonts w:ascii="Times New Roman" w:hAnsi="Times New Roman" w:cs="Times New Roman"/>
          <w:sz w:val="24"/>
          <w:szCs w:val="24"/>
        </w:rPr>
        <w:t xml:space="preserve">A través de este trabajo, los dos autores llamados </w:t>
      </w:r>
      <w:r w:rsidRPr="00012420">
        <w:rPr>
          <w:rFonts w:ascii="Times New Roman" w:hAnsi="Times New Roman" w:cs="Times New Roman"/>
          <w:b/>
          <w:sz w:val="24"/>
          <w:szCs w:val="24"/>
        </w:rPr>
        <w:t>Juan Pablo Zambrano Tiznado y Claudio Agüero San Juan</w:t>
      </w:r>
      <w:r w:rsidRPr="00012420">
        <w:rPr>
          <w:rFonts w:ascii="Times New Roman" w:hAnsi="Times New Roman" w:cs="Times New Roman"/>
          <w:sz w:val="24"/>
          <w:szCs w:val="24"/>
        </w:rPr>
        <w:t xml:space="preserve">, ponen de manifiesto como el juez acude a una moral particular para justificar o motivar el fallo de una sentencia penal. Ellos ponen en entre dicho si esa discrecionalidad que ha usado el juez se le había otorgado legalmente o, por el contrario, no debería haber actuado con discrecionalidad. Presentan la hipótesis de si los jueces, en este caso, llegaron a confundir la función de aplicar las leyes con la de neutralizar las prácticas culturales opresivas. </w:t>
      </w:r>
    </w:p>
    <w:p w:rsidR="00096050" w:rsidRDefault="003B540C" w:rsidP="00096050">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096050" w:rsidRPr="00012420">
        <w:rPr>
          <w:rFonts w:ascii="Times New Roman" w:hAnsi="Times New Roman" w:cs="Times New Roman"/>
          <w:sz w:val="24"/>
          <w:szCs w:val="24"/>
        </w:rPr>
        <w:t xml:space="preserve">trabajo comienza describiendo la sentencia en la que un sujeto es condenado por violación a una niña de trece años. El acusado presenta una especial característica, y es que forma parte de una comunidad denominada “El naranjo”. En esta comunidad, se tiene una distinta percepción del bien y es que para ellos las mujeres, con la que comparten sus costumbres, están sexualmente </w:t>
      </w:r>
      <w:r w:rsidR="00096050" w:rsidRPr="00012420">
        <w:rPr>
          <w:rFonts w:ascii="Times New Roman" w:hAnsi="Times New Roman" w:cs="Times New Roman"/>
          <w:sz w:val="24"/>
          <w:szCs w:val="24"/>
        </w:rPr>
        <w:lastRenderedPageBreak/>
        <w:t>disponibles desde la menarquía</w:t>
      </w:r>
      <w:r w:rsidR="00096050" w:rsidRPr="00012420">
        <w:rPr>
          <w:rStyle w:val="Refdenotaalpie"/>
          <w:rFonts w:ascii="Times New Roman" w:hAnsi="Times New Roman" w:cs="Times New Roman"/>
          <w:sz w:val="24"/>
          <w:szCs w:val="24"/>
        </w:rPr>
        <w:footnoteReference w:id="30"/>
      </w:r>
      <w:r w:rsidR="00096050" w:rsidRPr="00012420">
        <w:rPr>
          <w:rFonts w:ascii="Times New Roman" w:hAnsi="Times New Roman" w:cs="Times New Roman"/>
          <w:sz w:val="24"/>
          <w:szCs w:val="24"/>
        </w:rPr>
        <w:t xml:space="preserve">. Aquí puede observarse la tensión que hay en países como Chile donde es el conviven comunidades multiculturales en las que colisionan las normas que dispone el sistema penal del Estado con las costumbre que están impuestas en estos grupos culturales.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Esto provoca que los jueces refuercen su papel para mantener la confianza en el sistema penal por parte de la sociedad ya que las normas deben tratar las prácticas culturales dañinas que se distingue de la respuesta que los jueces deben darle a las conductas delictivas que se ejercen en un ámbito</w:t>
      </w:r>
      <w:r w:rsidR="008C286C">
        <w:rPr>
          <w:rFonts w:ascii="Times New Roman" w:hAnsi="Times New Roman" w:cs="Times New Roman"/>
          <w:sz w:val="24"/>
          <w:szCs w:val="24"/>
        </w:rPr>
        <w:t xml:space="preserve"> </w:t>
      </w:r>
      <w:r w:rsidRPr="00012420">
        <w:rPr>
          <w:rFonts w:ascii="Times New Roman" w:hAnsi="Times New Roman" w:cs="Times New Roman"/>
          <w:sz w:val="24"/>
          <w:szCs w:val="24"/>
        </w:rPr>
        <w:t xml:space="preserve">cultural.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el artículo de estos autores, exponen que el juez debe llegar de manera exacta a la convicción de que el sujeto acusado conocía la ilicitud de la acción a través de tres argumentos: el primero que propone el juez es que debido a la existencia de tecnologías como la televisión o la radio, el acusado estaba en contacto con Chile y el mundo. En el segundo, tratan de ensalzar la importancia que le dan a la virginidad en las religiones </w:t>
      </w:r>
      <w:r w:rsidR="003B540C">
        <w:rPr>
          <w:rFonts w:ascii="Times New Roman" w:hAnsi="Times New Roman" w:cs="Times New Roman"/>
          <w:sz w:val="24"/>
          <w:szCs w:val="24"/>
        </w:rPr>
        <w:t xml:space="preserve">de </w:t>
      </w:r>
      <w:r w:rsidRPr="00012420">
        <w:rPr>
          <w:rFonts w:ascii="Times New Roman" w:hAnsi="Times New Roman" w:cs="Times New Roman"/>
          <w:sz w:val="24"/>
          <w:szCs w:val="24"/>
        </w:rPr>
        <w:t>la comunidad que forma parte el acusado. Y por último, se valen del testimonio de la madre de la afectada. En este punto los autores tratan de redebatir la convicción que el juez tenia de que el acusado conocía la ilicitud del hecho a través de afirmaciones como que el denunciado podía creer que esa ley que condena a la violación solo era aplicable a chilenos. Por tanto, esa diferencia de opiniones entre el juez y lo que piensa los autores, llevan a éstos a afirmar que “</w:t>
      </w:r>
      <w:r w:rsidRPr="003B540C">
        <w:rPr>
          <w:rFonts w:ascii="Times New Roman" w:hAnsi="Times New Roman" w:cs="Times New Roman"/>
          <w:i/>
          <w:sz w:val="24"/>
          <w:szCs w:val="24"/>
        </w:rPr>
        <w:t>el juez actuó con un cierto grado de discrecionalidad</w:t>
      </w:r>
      <w:r w:rsidRPr="00012420">
        <w:rPr>
          <w:rFonts w:ascii="Times New Roman" w:hAnsi="Times New Roman" w:cs="Times New Roman"/>
          <w:sz w:val="24"/>
          <w:szCs w:val="24"/>
        </w:rPr>
        <w:t xml:space="preserve">”.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Como conclusión del trabajo, los autores del mismo dan una visión negativa sobre la posible discrecionalidad judicial que ha usado el juez ya que éstos creen que confunde su función al tratar de neutralizar las prácticas opresivas de los grupos culturales y piensan que el juzgador hubiese llegado a solucionar el caso de modo distinto si no hubiese dado por hecho (ya que no les convencen los tres argumentos expuestos) que el acusado conocía de la ilicitud del acto realizado. Por tanto, exponen que el juez baso su argumentación en “</w:t>
      </w:r>
      <w:r w:rsidRPr="003B540C">
        <w:rPr>
          <w:rFonts w:ascii="Times New Roman" w:hAnsi="Times New Roman" w:cs="Times New Roman"/>
          <w:i/>
          <w:sz w:val="24"/>
          <w:szCs w:val="24"/>
        </w:rPr>
        <w:t>la creencia moral de que la virginidad es buena y la colaboración en su pérdida es moralmente mala</w:t>
      </w:r>
      <w:r w:rsidRPr="00012420">
        <w:rPr>
          <w:rFonts w:ascii="Times New Roman" w:hAnsi="Times New Roman" w:cs="Times New Roman"/>
          <w:sz w:val="24"/>
          <w:szCs w:val="24"/>
        </w:rPr>
        <w:t>”.</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Este caso que he desarrollado es algo incomprensible en el país que vivimos pero me ha parecido interesante mirar desde el punto de vista de una ciudad multicultural en cuanto a lo que piensan de la discrecionalidad judicial que puede darse en cualquier caso.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Otro artículo que me ha resultado interesante es el llamado </w:t>
      </w:r>
      <w:r w:rsidRPr="00012420">
        <w:rPr>
          <w:rFonts w:ascii="Times New Roman" w:hAnsi="Times New Roman" w:cs="Times New Roman"/>
          <w:i/>
          <w:sz w:val="24"/>
          <w:szCs w:val="24"/>
        </w:rPr>
        <w:t xml:space="preserve">El problema de la discrecionalidad </w:t>
      </w:r>
      <w:r w:rsidRPr="00012420">
        <w:rPr>
          <w:rFonts w:ascii="Times New Roman" w:hAnsi="Times New Roman" w:cs="Times New Roman"/>
          <w:i/>
          <w:sz w:val="24"/>
          <w:szCs w:val="24"/>
        </w:rPr>
        <w:lastRenderedPageBreak/>
        <w:t>judicial</w:t>
      </w:r>
      <w:r w:rsidRPr="00012420">
        <w:rPr>
          <w:rStyle w:val="Refdenotaalpie"/>
          <w:rFonts w:ascii="Times New Roman" w:hAnsi="Times New Roman" w:cs="Times New Roman"/>
          <w:i/>
          <w:sz w:val="24"/>
          <w:szCs w:val="24"/>
        </w:rPr>
        <w:footnoteReference w:id="31"/>
      </w:r>
      <w:r w:rsidRPr="00012420">
        <w:rPr>
          <w:rFonts w:ascii="Times New Roman" w:hAnsi="Times New Roman" w:cs="Times New Roman"/>
          <w:sz w:val="24"/>
          <w:szCs w:val="24"/>
        </w:rPr>
        <w:t xml:space="preserve">por </w:t>
      </w:r>
      <w:r w:rsidRPr="00012420">
        <w:rPr>
          <w:rFonts w:ascii="Times New Roman" w:hAnsi="Times New Roman" w:cs="Times New Roman"/>
          <w:b/>
          <w:sz w:val="24"/>
          <w:szCs w:val="24"/>
        </w:rPr>
        <w:t>Anthony T. Kronma</w:t>
      </w:r>
      <w:r w:rsidRPr="00012420">
        <w:rPr>
          <w:rFonts w:ascii="Times New Roman" w:hAnsi="Times New Roman" w:cs="Times New Roman"/>
          <w:sz w:val="24"/>
          <w:szCs w:val="24"/>
        </w:rPr>
        <w:t xml:space="preserve">. Este trabajo ha sido de gran utilidad para los juristas ya que el autor planeaba los principales problemas de la Teoría del Derecho Norteamericano en este último siglo.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w:t>
      </w:r>
      <w:r w:rsidR="003B540C">
        <w:rPr>
          <w:rFonts w:ascii="Times New Roman" w:hAnsi="Times New Roman" w:cs="Times New Roman"/>
          <w:sz w:val="24"/>
          <w:szCs w:val="24"/>
        </w:rPr>
        <w:t xml:space="preserve">la cultura jurídica norteamericana </w:t>
      </w:r>
      <w:r w:rsidRPr="00012420">
        <w:rPr>
          <w:rFonts w:ascii="Times New Roman" w:hAnsi="Times New Roman" w:cs="Times New Roman"/>
          <w:sz w:val="24"/>
          <w:szCs w:val="24"/>
        </w:rPr>
        <w:t xml:space="preserve">como en </w:t>
      </w:r>
      <w:r w:rsidR="003B540C">
        <w:rPr>
          <w:rFonts w:ascii="Times New Roman" w:hAnsi="Times New Roman" w:cs="Times New Roman"/>
          <w:sz w:val="24"/>
          <w:szCs w:val="24"/>
        </w:rPr>
        <w:t xml:space="preserve">la </w:t>
      </w:r>
      <w:r w:rsidRPr="00012420">
        <w:rPr>
          <w:rFonts w:ascii="Times New Roman" w:hAnsi="Times New Roman" w:cs="Times New Roman"/>
          <w:sz w:val="24"/>
          <w:szCs w:val="24"/>
        </w:rPr>
        <w:t xml:space="preserve">nuestra, la discrecionalidad ha sido un poco la obsesión de los juristas.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Existe un autor</w:t>
      </w:r>
      <w:r w:rsidRPr="00012420">
        <w:rPr>
          <w:rStyle w:val="Refdenotaalpie"/>
          <w:rFonts w:ascii="Times New Roman" w:hAnsi="Times New Roman" w:cs="Times New Roman"/>
          <w:sz w:val="24"/>
          <w:szCs w:val="24"/>
        </w:rPr>
        <w:footnoteReference w:id="32"/>
      </w:r>
      <w:r w:rsidRPr="00012420">
        <w:rPr>
          <w:rFonts w:ascii="Times New Roman" w:hAnsi="Times New Roman" w:cs="Times New Roman"/>
          <w:sz w:val="24"/>
          <w:szCs w:val="24"/>
        </w:rPr>
        <w:t xml:space="preserve"> que sostiene que los jueces actúan como legisladores a la hora de decidir en un caso concreto. Es cierto que al juez siempre le dan un margen de libertad para decidir entre dos normas o principios. Holmes dio origen a un problema cuando caracterizó a la adjudicación como una legislación. El problema concretamente era el de cómo justificar la legitimidad de la adjudicación cuando se la concibe desde la perspectiva de Holmes.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El autor del trabajo afirma que los jueces son legisladores y no adjudicadores y se pregunta qué es lo que autoriza a las decisiones del juez. Le han dado una gran variedad de respuestas a esta pregunta ya que la enfocan como un problema; el problema de la discrecionalidad judicial. El autor ha cogido dos de estas respuestas</w:t>
      </w:r>
      <w:r w:rsidR="003B540C">
        <w:rPr>
          <w:rFonts w:ascii="Times New Roman" w:hAnsi="Times New Roman" w:cs="Times New Roman"/>
          <w:sz w:val="24"/>
          <w:szCs w:val="24"/>
        </w:rPr>
        <w:t>,</w:t>
      </w:r>
      <w:r w:rsidRPr="00012420">
        <w:rPr>
          <w:rFonts w:ascii="Times New Roman" w:hAnsi="Times New Roman" w:cs="Times New Roman"/>
          <w:sz w:val="24"/>
          <w:szCs w:val="24"/>
        </w:rPr>
        <w:t xml:space="preserve"> aunque no las únicas.</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primera se refleja en cuando pensamos que el Derecho solo está formado por normas rígidas. Si pensamos así, el problema de la discrecionalidad judicial parece ser inevitable e irresoluble. Hay autores como Ronald Dworkin que afirma que el Derecho además de estar compuesto por normas, también cuenta con principio y políticas. Por lo tanto, el juez que aplique el Derecho que esté compuesto por normas, principios y políticas tendrá una discrecionalidad menor que el juez que aplique el Derecho que solo se componga de normas. Pero si lo pensamos detenidamente, al igual que existe discrecionalidad entre apocar una norma u otra, nace la discrecionalidad a la hora de aplicar un principio u otro o una política u otra.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Se ha propuesto que para llegar a la solución de la discrecionalidad judicial podemos aplicar el proceso de adjudicación en sí mismo en vez de agregar elementos como los principios o las políticas. Cuando un juez decide la solución de un caso, no lo hace como un sujeto independiente o aislado sino como un componente de una comunidad que tiene cierta tradición moral e intelectual.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Según la opinión de un representante del realismo jurídico, la forma de acabar con el “</w:t>
      </w:r>
      <w:r w:rsidRPr="003B540C">
        <w:rPr>
          <w:rFonts w:ascii="Times New Roman" w:hAnsi="Times New Roman" w:cs="Times New Roman"/>
          <w:i/>
          <w:sz w:val="24"/>
          <w:szCs w:val="24"/>
        </w:rPr>
        <w:t>mal</w:t>
      </w:r>
      <w:r w:rsidRPr="00012420">
        <w:rPr>
          <w:rFonts w:ascii="Times New Roman" w:hAnsi="Times New Roman" w:cs="Times New Roman"/>
          <w:sz w:val="24"/>
          <w:szCs w:val="24"/>
        </w:rPr>
        <w:t xml:space="preserve">” de la </w:t>
      </w:r>
      <w:r w:rsidRPr="00012420">
        <w:rPr>
          <w:rFonts w:ascii="Times New Roman" w:hAnsi="Times New Roman" w:cs="Times New Roman"/>
          <w:sz w:val="24"/>
          <w:szCs w:val="24"/>
        </w:rPr>
        <w:lastRenderedPageBreak/>
        <w:t xml:space="preserve">discrecionalidad judicial no es otra que la de tener en cuenta que cuando el juez decide, lo hace sujeto a las limitaciones que existen en la comunidad intelectual de la que pertenece.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La segunda respuesta que el autor del escrito ha decidido recoger, es la que tiene su punto de partida en la aseveración de Holmes</w:t>
      </w:r>
      <w:r w:rsidRPr="00012420">
        <w:rPr>
          <w:rStyle w:val="Refdenotaalpie"/>
          <w:rFonts w:ascii="Times New Roman" w:hAnsi="Times New Roman" w:cs="Times New Roman"/>
          <w:sz w:val="24"/>
          <w:szCs w:val="24"/>
        </w:rPr>
        <w:footnoteReference w:id="33"/>
      </w:r>
      <w:r w:rsidRPr="00012420">
        <w:rPr>
          <w:rFonts w:ascii="Times New Roman" w:hAnsi="Times New Roman" w:cs="Times New Roman"/>
          <w:sz w:val="24"/>
          <w:szCs w:val="24"/>
        </w:rPr>
        <w:t xml:space="preserve">. En esta respuesta, Holmes cree que el Derecho del futuro será creado por los sujetos que se dedican a las estadísticas y la economía; lo que quiere decir es que aunque incluyamos lo que decidamos en nuestra concepción del Derecho, el orden legal seguirá teniendo aspectos ambiguos e inseguros. Para Holmes establecer un Derecho que no contenga ningún ápice de ambigüedad y que sea característico de firmeza, es una realidad muy remota.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Esta segunda posible solución al problema de la discrecionalidad se proyecta sobre una creencia optimista de que la ciencia política puede terminar reemplazando a la ciencia del Derecho. Esta forma de tratar el problema de la discrecionalidad, confía en las nociones de ciencia y método científico no como pasaba en la anterior solución cuando se confiaba en las tradiciones que existían en la comunidad intelectual a la que pertenecía el juez. </w:t>
      </w:r>
    </w:p>
    <w:p w:rsidR="009B7E4E" w:rsidRPr="003B540C"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sz w:val="24"/>
          <w:szCs w:val="24"/>
        </w:rPr>
        <w:t>El autor del trabajo como conclusión, rechaza ambas respuestas considerando que tanto la ciencia del Derecho como de la política son iguales de engañosas. Pero no quiere decir que haya que resignarse ante la falta de solución del problema ya que si no “</w:t>
      </w:r>
      <w:r w:rsidRPr="003B540C">
        <w:rPr>
          <w:rFonts w:ascii="Times New Roman" w:hAnsi="Times New Roman" w:cs="Times New Roman"/>
          <w:i/>
          <w:sz w:val="24"/>
          <w:szCs w:val="24"/>
        </w:rPr>
        <w:t xml:space="preserve">dañaría el orgullo que sentimos en el desarrollo de nuestro oficio”.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Otro trabajo que me ha resultado interesante es el escrito por </w:t>
      </w:r>
      <w:r w:rsidRPr="00012420">
        <w:rPr>
          <w:rFonts w:ascii="Times New Roman" w:hAnsi="Times New Roman" w:cs="Times New Roman"/>
          <w:b/>
          <w:sz w:val="24"/>
          <w:szCs w:val="24"/>
        </w:rPr>
        <w:t>Juan Antonio García Amado</w:t>
      </w:r>
      <w:r w:rsidRPr="00012420">
        <w:rPr>
          <w:rFonts w:ascii="Times New Roman" w:hAnsi="Times New Roman" w:cs="Times New Roman"/>
          <w:sz w:val="24"/>
          <w:szCs w:val="24"/>
        </w:rPr>
        <w:t xml:space="preserve"> (Universidad de León) con el título </w:t>
      </w:r>
      <w:r w:rsidRPr="00012420">
        <w:rPr>
          <w:rFonts w:ascii="Times New Roman" w:hAnsi="Times New Roman" w:cs="Times New Roman"/>
          <w:i/>
          <w:sz w:val="24"/>
          <w:szCs w:val="24"/>
        </w:rPr>
        <w:t>¿Existe discrecionalidad en la decisión judicial?</w:t>
      </w:r>
      <w:r w:rsidRPr="00012420">
        <w:rPr>
          <w:rStyle w:val="Refdenotaalpie"/>
          <w:rFonts w:ascii="Times New Roman" w:hAnsi="Times New Roman" w:cs="Times New Roman"/>
          <w:i/>
          <w:sz w:val="24"/>
          <w:szCs w:val="24"/>
        </w:rPr>
        <w:footnoteReference w:id="34"/>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Este trabajo plasma dos tipos de doctrinas jurídicas que niegan la existencia de la discrecionalidad judicial: una de ellas es el formalismo ingenuo que se da en Francia en el siglo XIX, concretamente, la propia de la Escuela de la Exégesis y de la Jurisprudencia de Conceptos que se da en Alemania. La segunda es el formalismo sofisticado de finales del siglo XX que al inicio integra el derecho y moral social y después moraliza la Constitución positiva.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Primero alude el significado de discrecionalidad que, como sabemos, es la libertad que se le otorga al juez cuando elige la solución del caso sin vulnerar ni contradecir las normas. Por ta</w:t>
      </w:r>
      <w:r w:rsidR="003B540C">
        <w:rPr>
          <w:rFonts w:ascii="Times New Roman" w:hAnsi="Times New Roman" w:cs="Times New Roman"/>
          <w:sz w:val="24"/>
          <w:szCs w:val="24"/>
        </w:rPr>
        <w:t>n</w:t>
      </w:r>
      <w:r w:rsidRPr="00012420">
        <w:rPr>
          <w:rFonts w:ascii="Times New Roman" w:hAnsi="Times New Roman" w:cs="Times New Roman"/>
          <w:sz w:val="24"/>
          <w:szCs w:val="24"/>
        </w:rPr>
        <w:t xml:space="preserve">to, cuando el </w:t>
      </w:r>
      <w:r w:rsidRPr="00012420">
        <w:rPr>
          <w:rFonts w:ascii="Times New Roman" w:hAnsi="Times New Roman" w:cs="Times New Roman"/>
          <w:sz w:val="24"/>
          <w:szCs w:val="24"/>
        </w:rPr>
        <w:lastRenderedPageBreak/>
        <w:t xml:space="preserve">juez da la solución al conflicto, está solución no está impuesta en la norma sino que es fruto de la libertad de decisión que tiene el juez. Esta discrecionalidad viene dada por la propia norma o de forma indirecta por la indeterminación del derecho, o en este caso, de la propia norma en la que se apoya en juez. El autor hace hincapié en esta segunda causa que puede desembocar en discrecionalidad judicial.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Durante mucho tiempo atrás, no se le reconocía al juez este amplio margen de discrecionalidad aun que así lo propusiera la ley a través de su lenguaje. Hoy en día sigue habiendo influyente corrientes del derecho que sigue rechazando la discrecionalidad judicial. Pero hay unanimidad a la hora de aceptar que el juez puede usar su libertad de dos maneras: la primera de forma admisible; que es cuando se da la discrecionalidad; y la segunda rechazada, es cuando se alude a la arbitrariedad, es decir, el uso fraudulento de esa libertad. La segunda causa se da cuando concurre alguno o algunos de estos elementos: </w:t>
      </w:r>
    </w:p>
    <w:p w:rsidR="00096050" w:rsidRPr="00012420" w:rsidRDefault="00096050" w:rsidP="00096050">
      <w:pPr>
        <w:pStyle w:val="Prrafodelista"/>
        <w:widowControl w:val="0"/>
        <w:numPr>
          <w:ilvl w:val="0"/>
          <w:numId w:val="10"/>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Vulnera las pautas decisorias que el ordenamiento jurídico propone para el caso.</w:t>
      </w:r>
    </w:p>
    <w:p w:rsidR="00096050" w:rsidRPr="00012420" w:rsidRDefault="003B540C" w:rsidP="00096050">
      <w:pPr>
        <w:pStyle w:val="Prrafodelista"/>
        <w:widowControl w:val="0"/>
        <w:numPr>
          <w:ilvl w:val="0"/>
          <w:numId w:val="10"/>
        </w:num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096050" w:rsidRPr="00012420">
        <w:rPr>
          <w:rFonts w:ascii="Times New Roman" w:hAnsi="Times New Roman" w:cs="Times New Roman"/>
          <w:sz w:val="24"/>
          <w:szCs w:val="24"/>
        </w:rPr>
        <w:t>o que promueve la decisión del juez nada tiene que ver con la norma sino con aspectos personales del juez como son el precio, el miedo o perjuicios sociales o ideológicos.</w:t>
      </w:r>
    </w:p>
    <w:p w:rsidR="009B7E4E" w:rsidRDefault="00096050" w:rsidP="00096050">
      <w:pPr>
        <w:pStyle w:val="Prrafodelista"/>
        <w:widowControl w:val="0"/>
        <w:numPr>
          <w:ilvl w:val="0"/>
          <w:numId w:val="10"/>
        </w:numPr>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Cuando el juez no motive su elección o lo haga con razones incompatibles con las pretensiones, absurdas o antijurídicas. </w:t>
      </w:r>
    </w:p>
    <w:p w:rsidR="00096050" w:rsidRPr="009B7E4E" w:rsidRDefault="00096050" w:rsidP="009B7E4E">
      <w:pPr>
        <w:widowControl w:val="0"/>
        <w:autoSpaceDE w:val="0"/>
        <w:autoSpaceDN w:val="0"/>
        <w:adjustRightInd w:val="0"/>
        <w:spacing w:line="360" w:lineRule="auto"/>
        <w:jc w:val="both"/>
        <w:rPr>
          <w:rFonts w:ascii="Times New Roman" w:hAnsi="Times New Roman" w:cs="Times New Roman"/>
          <w:sz w:val="24"/>
          <w:szCs w:val="24"/>
        </w:rPr>
      </w:pPr>
      <w:r w:rsidRPr="009B7E4E">
        <w:rPr>
          <w:rFonts w:ascii="Times New Roman" w:hAnsi="Times New Roman" w:cs="Times New Roman"/>
          <w:sz w:val="24"/>
          <w:szCs w:val="24"/>
        </w:rPr>
        <w:t>Asentando y recordando un poco las bases de la discrecionalidad jurídica, el autor pasa a plasmar cuales son las doctrinas que han negado la existencia de la discrecionalidad:</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Estas doctrinas que rechazan la discrecionalidad lo hacen por dos razones. Una es por creer que la discrecionalidad no es conveniente y la segunda razón es porque estas doctrinas creen que se puede evitar la discrecionalidad.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b/>
          <w:sz w:val="24"/>
          <w:szCs w:val="24"/>
        </w:rPr>
        <w:t>Formalismo ingenuo</w:t>
      </w:r>
      <w:r w:rsidRPr="00012420">
        <w:rPr>
          <w:rFonts w:ascii="Times New Roman" w:hAnsi="Times New Roman" w:cs="Times New Roman"/>
          <w:sz w:val="24"/>
          <w:szCs w:val="24"/>
        </w:rPr>
        <w:t xml:space="preserve"> del S. XIX: Escuela de la Exégesis y Jurisprudencia de Conceptos. Este fenómeno se dio en la escuela de Francia y Alemania y tenían en común su carácter “</w:t>
      </w:r>
      <w:r w:rsidRPr="003B540C">
        <w:rPr>
          <w:rFonts w:ascii="Times New Roman" w:hAnsi="Times New Roman" w:cs="Times New Roman"/>
          <w:i/>
          <w:sz w:val="24"/>
          <w:szCs w:val="24"/>
        </w:rPr>
        <w:t>ingenuamente formalista</w:t>
      </w:r>
      <w:r w:rsidRPr="00012420">
        <w:rPr>
          <w:rFonts w:ascii="Times New Roman" w:hAnsi="Times New Roman" w:cs="Times New Roman"/>
          <w:sz w:val="24"/>
          <w:szCs w:val="24"/>
        </w:rPr>
        <w:t xml:space="preserve">” en el ámbito de la decisión judicial. Estas dos escuelas afirmaban que la decisión del juez era meramente formal y le venía impuesta por premisas proporcionadas por el ordenamiento jurídico. Creían que el ordenamiento jurídico gozaba de perfección a través de tres características: completo, coherente y claro, es decir, pensaban que cada vez que al juez se le presentaba un caso, el ordenamiento jurídico le podía proporcionar una solución única, clara y precisa. En el caso de la </w:t>
      </w:r>
      <w:r w:rsidRPr="00012420">
        <w:rPr>
          <w:rFonts w:ascii="Times New Roman" w:hAnsi="Times New Roman" w:cs="Times New Roman"/>
          <w:sz w:val="24"/>
          <w:szCs w:val="24"/>
        </w:rPr>
        <w:lastRenderedPageBreak/>
        <w:t xml:space="preserve">valoración de hechos, estas escuelas defendían que era un proceso objetivo exento de la evaluación personal del juez. Sostenían que la solución de los casos se hacía a través de la labor mecánica que constituye la subsunción, es decir, subsumían los hechos del caso bajo la norma que los abarca y resuelve.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Aunque ambas escuelas comparten lo que acabo de exponer, mantienen diferencias que dependen del contexto histórico en el que se desarrolla cada una de las escuelas.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La escuela de la Exégesis de Francia se desarrolla a partir de la entrada en vigor del Código de Napoleón (Código Civil francés) en 1804, con lo cual, el juez debía subsumir los hechos en la norma correspondiente que forma este código. En esta época, había una gran desconfianza con los jueces, tal es el caso, que en algunas primeras codificaciones se le prohibió al juez interpretar las normas del respectivo Código. Toda la discrecionalidad que podía darse en esta época era rechazada y considerada como arbitrariedad ya que afirmaba que el código era perfecto y no hacía falta cambiarlo en ningún aspecto. </w:t>
      </w:r>
    </w:p>
    <w:p w:rsidR="009B7E4E" w:rsidRDefault="00096050" w:rsidP="009B7E4E">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En Alemania las cosas eran distintas ya que durante el S. XIX el sistema de fuentes de Derecho carecía de orden y jerarquía; era un </w:t>
      </w:r>
      <w:r w:rsidRPr="00012420">
        <w:rPr>
          <w:rFonts w:ascii="Times New Roman" w:hAnsi="Times New Roman" w:cs="Times New Roman"/>
          <w:i/>
          <w:sz w:val="24"/>
          <w:szCs w:val="24"/>
        </w:rPr>
        <w:t xml:space="preserve">totum revolutum. </w:t>
      </w:r>
      <w:r w:rsidRPr="00012420">
        <w:rPr>
          <w:rFonts w:ascii="Times New Roman" w:hAnsi="Times New Roman" w:cs="Times New Roman"/>
          <w:sz w:val="24"/>
          <w:szCs w:val="24"/>
        </w:rPr>
        <w:t xml:space="preserve">El problema que se planteaba en Alemania tenía que ver con la incongruencia del derecho positivo ya que era una mezcla del Derecho Romano con doctrinas romanistas y pinceladas de derecho histórico germánico y, por lo tanto, los hechos que debía juzgar el juez, no se podía subsumir ante tan caótico Derecho. El juez, aquí tampoco goza de ninguna discrecionalidad, se limita a subsumir bajo las categorías que existe en el derecho de la época. Para esta escuela, el sistema jurídico que se forma por las esencias es perfecto y no cabe ninguna modificación, por tanto, está de más cualquier discrecionalidad judicial. En consecuencia, el método que ha de usar el juez para decidir sobre el caso, es un método de conocimiento. </w:t>
      </w:r>
    </w:p>
    <w:p w:rsidR="00096050" w:rsidRPr="009B7E4E" w:rsidRDefault="00096050" w:rsidP="009B7E4E">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eastAsia="Calibri" w:hAnsi="Times New Roman" w:cs="Times New Roman"/>
          <w:sz w:val="24"/>
          <w:szCs w:val="24"/>
        </w:rPr>
        <w:t>Esta doctrina del Formalismo Ingenuo entro en crisis en las últimas décadas del S. XIX hasta tal punto que decayó el uso de esta doctrina. Esta crisis se produjo por las diferentes críticas de autores como Jhering, además dejaron claro que no existía ningún ordenamiento jurídico con las tres características que habían defendido en la doctrina del formalismo ingenuo y poniendo de manifiesto que si existe lagunas, antinomias e indeterminación del derecho.</w:t>
      </w:r>
    </w:p>
    <w:p w:rsidR="006E2CDE" w:rsidRDefault="006E2CDE" w:rsidP="00096050">
      <w:pPr>
        <w:widowControl w:val="0"/>
        <w:autoSpaceDE w:val="0"/>
        <w:autoSpaceDN w:val="0"/>
        <w:adjustRightInd w:val="0"/>
        <w:spacing w:line="360" w:lineRule="auto"/>
        <w:jc w:val="both"/>
        <w:rPr>
          <w:rFonts w:ascii="Times New Roman" w:hAnsi="Times New Roman" w:cs="Times New Roman"/>
          <w:b/>
          <w:sz w:val="24"/>
          <w:szCs w:val="24"/>
        </w:rPr>
      </w:pP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b/>
          <w:sz w:val="24"/>
          <w:szCs w:val="24"/>
        </w:rPr>
        <w:lastRenderedPageBreak/>
        <w:t>Formalismo sofisticado</w:t>
      </w:r>
      <w:r w:rsidRPr="00012420">
        <w:rPr>
          <w:rFonts w:ascii="Times New Roman" w:hAnsi="Times New Roman" w:cs="Times New Roman"/>
          <w:sz w:val="24"/>
          <w:szCs w:val="24"/>
        </w:rPr>
        <w:t xml:space="preserve"> de fines del Siglo XX: de algunos alemanes dudosos a Dworkin, y de Dworkin al neoconstitucionalismo.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Son tres las doctrinas que coinciden en esta idea: el sistema jurídico se compone de estratos que pueden distinguirse entre superficial y profundo. El estrato superficial lo podemos encontrar en las normas del derecho positivo, es decir, en los códigos, leyes, etc. El estrato </w:t>
      </w:r>
      <w:proofErr w:type="spellStart"/>
      <w:r w:rsidRPr="00012420">
        <w:rPr>
          <w:rFonts w:ascii="Times New Roman" w:hAnsi="Times New Roman" w:cs="Times New Roman"/>
          <w:sz w:val="24"/>
          <w:szCs w:val="24"/>
        </w:rPr>
        <w:t>profundo</w:t>
      </w:r>
      <w:proofErr w:type="gramStart"/>
      <w:r w:rsidRPr="00012420">
        <w:rPr>
          <w:rFonts w:ascii="Times New Roman" w:hAnsi="Times New Roman" w:cs="Times New Roman"/>
          <w:sz w:val="24"/>
          <w:szCs w:val="24"/>
        </w:rPr>
        <w:t>,trata</w:t>
      </w:r>
      <w:proofErr w:type="spellEnd"/>
      <w:proofErr w:type="gramEnd"/>
      <w:r w:rsidRPr="00012420">
        <w:rPr>
          <w:rFonts w:ascii="Times New Roman" w:hAnsi="Times New Roman" w:cs="Times New Roman"/>
          <w:sz w:val="24"/>
          <w:szCs w:val="24"/>
        </w:rPr>
        <w:t xml:space="preserve"> la materia axiológica, ideal y perfecta ya que tiene solución para cualquier caso.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En el trabajo, comparan estas doctrinas con un iceberg diciendo que éste tiene dos partes, una superficial (es la que se ve a simple vista) y otra interna (hay que sumergirse para verla) al igual que ocurre con un sistema jurídico que tiene una parte superficial que serían los enunciados jurídicos y otras partes sumergida que es más contundente como los valores. Por tanto, podemos comprobar que esta doctrina hace una partición del Derecho dependiendo de su naturaleza. Hay una parte superficial que puede ser interpretada con un margen de discrecionalidad y otro profunda que solo accede a ella solo los que tengan la capacidad de superar la parte dudosa y captar solo las realidades plenas que se encuentran en el fondo del sistema. Estas doctrinas se tienen un “</w:t>
      </w:r>
      <w:r w:rsidRPr="003B540C">
        <w:rPr>
          <w:rFonts w:ascii="Times New Roman" w:hAnsi="Times New Roman" w:cs="Times New Roman"/>
          <w:i/>
          <w:sz w:val="24"/>
          <w:szCs w:val="24"/>
        </w:rPr>
        <w:t>ancestro teórico</w:t>
      </w:r>
      <w:r w:rsidRPr="00012420">
        <w:rPr>
          <w:rFonts w:ascii="Times New Roman" w:hAnsi="Times New Roman" w:cs="Times New Roman"/>
          <w:sz w:val="24"/>
          <w:szCs w:val="24"/>
        </w:rPr>
        <w:t xml:space="preserve">” según el autor que es el denominado iusnaturalismo tradicional aunque en el último siglo no se ha manifestado mucho en cuanto a las decisiones judiciales. </w:t>
      </w:r>
    </w:p>
    <w:p w:rsidR="00096050" w:rsidRPr="003B540C" w:rsidRDefault="00096050" w:rsidP="00096050">
      <w:pPr>
        <w:widowControl w:val="0"/>
        <w:autoSpaceDE w:val="0"/>
        <w:autoSpaceDN w:val="0"/>
        <w:adjustRightInd w:val="0"/>
        <w:spacing w:line="360" w:lineRule="auto"/>
        <w:jc w:val="both"/>
        <w:rPr>
          <w:rFonts w:ascii="Times New Roman" w:hAnsi="Times New Roman" w:cs="Times New Roman"/>
          <w:i/>
          <w:sz w:val="24"/>
          <w:szCs w:val="24"/>
        </w:rPr>
      </w:pPr>
      <w:r w:rsidRPr="00012420">
        <w:rPr>
          <w:rFonts w:ascii="Times New Roman" w:hAnsi="Times New Roman" w:cs="Times New Roman"/>
          <w:sz w:val="24"/>
          <w:szCs w:val="24"/>
        </w:rPr>
        <w:t>A continuación de plasmar esta comparación y división del ordenamiento, el autor de este trabajo, pasa a explicar las variantes que niegan la discrecionalidad judicial. Afirma que el antecedente de la corriente actual es la Jurisprudencia de Valores, una doctrina que se da en el Alemania entre los años 1919 y 1933 donde el positivismo que imperaba no era el que propuso Kelsen sino un positivismo estatista donde se defiende que emana del Estado todo lo que nace del Derecho y la vida social. Aquí existe una relación Estado-social real. El predominio del pensamiento jurídico antidemocrático explica que la interpretación y aplicación que se da en esta época y lugar dominaran la “</w:t>
      </w:r>
      <w:r w:rsidRPr="003B540C">
        <w:rPr>
          <w:rFonts w:ascii="Times New Roman" w:hAnsi="Times New Roman" w:cs="Times New Roman"/>
          <w:i/>
          <w:sz w:val="24"/>
          <w:szCs w:val="24"/>
        </w:rPr>
        <w:t>teoría subjetiva de la interpretación</w:t>
      </w:r>
      <w:r w:rsidRPr="00012420">
        <w:rPr>
          <w:rFonts w:ascii="Times New Roman" w:hAnsi="Times New Roman" w:cs="Times New Roman"/>
          <w:sz w:val="24"/>
          <w:szCs w:val="24"/>
        </w:rPr>
        <w:t>”. Esta teoría defiende que debe interpretarse y aplicarse la norma en el tenor literal que lo ha redactado el legislador, es decir, se debe interpretar conforme a la voluntad del que crea las normas. Todo cambio, como ya sabemos, a partir del año 1933 con la llegada al poder de Hitler que convirtió el modelo de estado en un “</w:t>
      </w:r>
      <w:r w:rsidRPr="003B540C">
        <w:rPr>
          <w:rFonts w:ascii="Times New Roman" w:hAnsi="Times New Roman" w:cs="Times New Roman"/>
          <w:i/>
          <w:sz w:val="24"/>
          <w:szCs w:val="24"/>
        </w:rPr>
        <w:t>estatismo organicista”.</w:t>
      </w:r>
    </w:p>
    <w:p w:rsidR="006E2CDE" w:rsidRDefault="006E2CDE" w:rsidP="00096050">
      <w:pPr>
        <w:widowControl w:val="0"/>
        <w:autoSpaceDE w:val="0"/>
        <w:autoSpaceDN w:val="0"/>
        <w:adjustRightInd w:val="0"/>
        <w:spacing w:line="360" w:lineRule="auto"/>
        <w:jc w:val="both"/>
        <w:rPr>
          <w:rFonts w:ascii="Times New Roman" w:hAnsi="Times New Roman" w:cs="Times New Roman"/>
          <w:sz w:val="24"/>
          <w:szCs w:val="24"/>
        </w:rPr>
      </w:pP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lastRenderedPageBreak/>
        <w:t xml:space="preserve">Fue a partir del 1945 (cuando derrotaron a los nazis) cuando se empezó a proclamar, de forma hipócrita, su acuerdo con Kelsen cuando con anterioridad se había interpretado el derecho de forma contraria a los valores constitucionales que él lo proponía.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Los autores alemanes después de 1945 proclamaron que el derecho positivo no agota el Derecho y así se dio lugar a la Jurisprudencia de Valores. Esta tesis defiende que los enunciados jurídicos que se encuentran en todas las leyes y normas del ordenamiento, y tiene su fundamento en un sistema articulado. Además afirman que estos valores forman parte del Derecho, es decir, que no son independientes a él. Así niegan la discrecionalidad del juez a que para resolver algún caso concreto, basta con la aplicación de la norma positiva. La lagunas y fallos solo se encontraran en la parte superficial del derecho y la norma positiva podrán encontrarla en el fondo de la norma y así se libran de la aplicación discrecional del juez. </w:t>
      </w:r>
    </w:p>
    <w:p w:rsidR="009B7E4E"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En la Jurisprudencia de Valores es cuando se rompe con el pensamiento jurídico conservador (iusnaturalista). El punto de partida de esta corriente tendrá etapas desarrolladas por Dworkin, no quiere decir que éste autor se apoyara en la Jurisprudencia de Valores sino que va hacer importantes aportaciones. La obra principal de Dworkin es opuesta al punto de vista de la discrecionalidad que mantiene Hart diciendo que la discrecionalidad se da porque las normas se redactan con un lenguaje ordinario que las contaminan de vaguedad y de ahí que tenga que intervenir el juez para solucionar esa ambigüedad del lenguaje de las normas. Según Dworkin admitir esa discrecionalidad conlleva aceptar unas normas redactadas por el juez para disipar sus dudosa elección y aplicada de forma retroactiva ya que es usada para solucionar hecho con anterioridad a dicha creación.  Dworkin la solución que le da a esta discrecionalidad es concienciarse de que en el Derecho existe algo más que el derecho positivo y ese algo más son los principios (nos diferencia entre el bien y el mal). El autor sigue en la comparativa entre la doctrina iniciad</w:t>
      </w:r>
      <w:r>
        <w:rPr>
          <w:rFonts w:ascii="Times New Roman" w:hAnsi="Times New Roman" w:cs="Times New Roman"/>
          <w:sz w:val="24"/>
          <w:szCs w:val="24"/>
        </w:rPr>
        <w:t>a por Dworkin</w:t>
      </w:r>
      <w:r w:rsidRPr="00012420">
        <w:rPr>
          <w:rFonts w:ascii="Times New Roman" w:hAnsi="Times New Roman" w:cs="Times New Roman"/>
          <w:sz w:val="24"/>
          <w:szCs w:val="24"/>
        </w:rPr>
        <w:t xml:space="preserve"> y otros autores y continua con lo que supuso esta corriente en cuando al papel del juez.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Otra parte del trabajo interesante es cuando el autor plasma cuales eran las doctrinas que afirmaban la discrecionalidad judicial. Hace una distinción entre una doctrina radical que la apoyan </w:t>
      </w:r>
      <w:r w:rsidR="003B540C">
        <w:rPr>
          <w:rFonts w:ascii="Times New Roman" w:hAnsi="Times New Roman" w:cs="Times New Roman"/>
          <w:sz w:val="24"/>
          <w:szCs w:val="24"/>
        </w:rPr>
        <w:t>numerosos autores del realismo</w:t>
      </w:r>
      <w:r w:rsidRPr="00012420">
        <w:rPr>
          <w:rFonts w:ascii="Times New Roman" w:hAnsi="Times New Roman" w:cs="Times New Roman"/>
          <w:sz w:val="24"/>
          <w:szCs w:val="24"/>
        </w:rPr>
        <w:t xml:space="preserve"> jurídico afirmando que la discrecionalidad es total y absoluta, además de que está exenta de limitaciones. La otra corriente que propone es la moderada que tiene su mejor ejemplo en el positiv</w:t>
      </w:r>
      <w:r w:rsidR="003B540C">
        <w:rPr>
          <w:rFonts w:ascii="Times New Roman" w:hAnsi="Times New Roman" w:cs="Times New Roman"/>
          <w:sz w:val="24"/>
          <w:szCs w:val="24"/>
        </w:rPr>
        <w:t>ismo jurídico del siglo XX; está</w:t>
      </w:r>
      <w:r w:rsidRPr="00012420">
        <w:rPr>
          <w:rFonts w:ascii="Times New Roman" w:hAnsi="Times New Roman" w:cs="Times New Roman"/>
          <w:sz w:val="24"/>
          <w:szCs w:val="24"/>
        </w:rPr>
        <w:t xml:space="preserve"> más asemejada a la postura que </w:t>
      </w:r>
      <w:r w:rsidRPr="00012420">
        <w:rPr>
          <w:rFonts w:ascii="Times New Roman" w:hAnsi="Times New Roman" w:cs="Times New Roman"/>
          <w:sz w:val="24"/>
          <w:szCs w:val="24"/>
        </w:rPr>
        <w:lastRenderedPageBreak/>
        <w:t xml:space="preserve">encontramos en la actualidad ya que defiende la existencia de a discrecionalidad judicial pero con ciertos límites y restricciones. </w:t>
      </w:r>
    </w:p>
    <w:p w:rsidR="00096050" w:rsidRPr="00012420"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Se pregunta si son realistas los que afirman que los jueces hacen lo que le dan la gana. Además de afirmarlo autores del realismo jurídico lo hicieron otros como los norteamericanos e insistían en que el juez gozaba de una libertad total para tomar sus decisiones. Estos juristas también creían que discrecionalidad y arbitrariedad tenían el mismo fundamento, no como pasa en la actualidad, donde se hace una distinción entre ambas figuras. </w:t>
      </w:r>
    </w:p>
    <w:p w:rsidR="009B7E4E" w:rsidRPr="003B540C" w:rsidRDefault="00096050" w:rsidP="00096050">
      <w:pPr>
        <w:widowControl w:val="0"/>
        <w:autoSpaceDE w:val="0"/>
        <w:autoSpaceDN w:val="0"/>
        <w:adjustRightInd w:val="0"/>
        <w:spacing w:line="360" w:lineRule="auto"/>
        <w:jc w:val="both"/>
        <w:rPr>
          <w:rFonts w:ascii="Times New Roman" w:hAnsi="Times New Roman" w:cs="Times New Roman"/>
          <w:sz w:val="24"/>
          <w:szCs w:val="24"/>
        </w:rPr>
      </w:pPr>
      <w:r w:rsidRPr="00012420">
        <w:rPr>
          <w:rFonts w:ascii="Times New Roman" w:hAnsi="Times New Roman" w:cs="Times New Roman"/>
          <w:sz w:val="24"/>
          <w:szCs w:val="24"/>
        </w:rPr>
        <w:t xml:space="preserve">El autor sigue comparando a autores de principios del siglo XX que nacieron en Alemania con el realismo jurídico. </w:t>
      </w:r>
    </w:p>
    <w:p w:rsidR="00D53074" w:rsidRDefault="00D53074" w:rsidP="00096050">
      <w:pPr>
        <w:widowControl w:val="0"/>
        <w:autoSpaceDE w:val="0"/>
        <w:autoSpaceDN w:val="0"/>
        <w:adjustRightInd w:val="0"/>
        <w:spacing w:line="360" w:lineRule="auto"/>
        <w:jc w:val="both"/>
        <w:rPr>
          <w:rFonts w:ascii="Times New Roman" w:hAnsi="Times New Roman" w:cs="Times New Roman"/>
          <w:sz w:val="24"/>
          <w:szCs w:val="24"/>
          <w:u w:val="single"/>
        </w:rPr>
      </w:pPr>
    </w:p>
    <w:p w:rsidR="00096050" w:rsidRPr="001257D6" w:rsidRDefault="00096050" w:rsidP="00096050">
      <w:pPr>
        <w:widowControl w:val="0"/>
        <w:autoSpaceDE w:val="0"/>
        <w:autoSpaceDN w:val="0"/>
        <w:adjustRightInd w:val="0"/>
        <w:spacing w:line="360" w:lineRule="auto"/>
        <w:jc w:val="both"/>
        <w:rPr>
          <w:rFonts w:ascii="Times New Roman" w:hAnsi="Times New Roman" w:cs="Times New Roman"/>
          <w:sz w:val="24"/>
          <w:szCs w:val="24"/>
          <w:u w:val="single"/>
        </w:rPr>
      </w:pPr>
      <w:r w:rsidRPr="001257D6">
        <w:rPr>
          <w:rFonts w:ascii="Times New Roman" w:hAnsi="Times New Roman" w:cs="Times New Roman"/>
          <w:sz w:val="24"/>
          <w:szCs w:val="24"/>
          <w:u w:val="single"/>
        </w:rPr>
        <w:t xml:space="preserve">5.- JURISPRUDENCIA </w:t>
      </w:r>
    </w:p>
    <w:p w:rsidR="00096050" w:rsidRPr="001257D6" w:rsidRDefault="00096050" w:rsidP="00096050">
      <w:p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 xml:space="preserve">En este apartado del trabajo intento plasmar casos reales en los que la discrecionalidad se hace efectiva, además, se da el caso en que en una de las sentencias esa discrecionalidad usada por la juzgadora pasa ciertos límites ya que da la solución al caso haciendo una especial interpretación de la norma al igual que toma una postura contradictoria frente a ésta. </w:t>
      </w:r>
    </w:p>
    <w:p w:rsidR="00096050" w:rsidRPr="001257D6" w:rsidRDefault="00096050" w:rsidP="00096050">
      <w:p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 xml:space="preserve">Este caso comienza con la formulación de una demanda de juicio ordinario interpuesto por un comunero, impugnando un acuerdo adoptado en junta de propietarios y solicitando la suspensión del dicho acuerdo ofreciendo caución para ello. Esta demanda se interpuso ya que el acuerdo aprobaba que se colocara un banco en el pasillo que le perjudicaba la entrada en su casa, tanto a él, como a su madre anciana dependiente de una silla de ruedas. </w:t>
      </w:r>
    </w:p>
    <w:p w:rsidR="00096050" w:rsidRPr="001257D6" w:rsidRDefault="00096050" w:rsidP="00096050">
      <w:p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 xml:space="preserve">El día 24/09/2013 se </w:t>
      </w:r>
      <w:r w:rsidR="006E2CDE" w:rsidRPr="001257D6">
        <w:rPr>
          <w:rFonts w:ascii="Times New Roman" w:hAnsi="Times New Roman" w:cs="Times New Roman"/>
          <w:sz w:val="24"/>
          <w:szCs w:val="24"/>
        </w:rPr>
        <w:t>celebró</w:t>
      </w:r>
      <w:r w:rsidRPr="001257D6">
        <w:rPr>
          <w:rFonts w:ascii="Times New Roman" w:hAnsi="Times New Roman" w:cs="Times New Roman"/>
          <w:sz w:val="24"/>
          <w:szCs w:val="24"/>
        </w:rPr>
        <w:t xml:space="preserve"> la junta de propietarios de la Comunidad demandada. En el punto sexto del orden del día, el acuerdo consiste en permitir que una de las propietarias coloque un banco de madera en el pasillo común de todos los propietarios. </w:t>
      </w:r>
    </w:p>
    <w:p w:rsidR="00096050" w:rsidRPr="001257D6" w:rsidRDefault="00096050" w:rsidP="00096050">
      <w:p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 xml:space="preserve">La parte actora considera este acuerdo adoptado es contrario a los estatutos de la comunidad ya que dificulta el acceso de personas con minusvalía como es el caso de su madre.  Por esta razón es por la que en la demanda suplica que se condene a la Comunidad de Propietarios a tener anulado el acuerdo adoptado en junta con condena en costas a la misma. </w:t>
      </w:r>
    </w:p>
    <w:p w:rsidR="00096050" w:rsidRPr="001257D6" w:rsidRDefault="00096050" w:rsidP="00096050">
      <w:p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lastRenderedPageBreak/>
        <w:t>El art. 18 de la Ley de Propiedad Horizontal establece que pueden ser impugnables ante los tribunales los acuerdos de la junta en los siguientes casos:</w:t>
      </w:r>
    </w:p>
    <w:p w:rsidR="00096050" w:rsidRPr="001257D6" w:rsidRDefault="00096050" w:rsidP="00096050">
      <w:pPr>
        <w:pStyle w:val="Prrafodelista"/>
        <w:numPr>
          <w:ilvl w:val="0"/>
          <w:numId w:val="4"/>
        </w:num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Cuando contradigan a la ley o los estatutos de la comunidad de propietarios.</w:t>
      </w:r>
    </w:p>
    <w:p w:rsidR="00096050" w:rsidRPr="0017757A" w:rsidRDefault="00096050" w:rsidP="00096050">
      <w:pPr>
        <w:pStyle w:val="Prrafodelista"/>
        <w:numPr>
          <w:ilvl w:val="0"/>
          <w:numId w:val="4"/>
        </w:numPr>
        <w:spacing w:line="360" w:lineRule="auto"/>
        <w:jc w:val="both"/>
        <w:rPr>
          <w:rFonts w:ascii="Times New Roman" w:hAnsi="Times New Roman" w:cs="Times New Roman"/>
          <w:sz w:val="24"/>
          <w:szCs w:val="24"/>
        </w:rPr>
      </w:pPr>
      <w:r w:rsidRPr="001257D6">
        <w:rPr>
          <w:rFonts w:ascii="Times New Roman" w:hAnsi="Times New Roman" w:cs="Times New Roman"/>
          <w:sz w:val="24"/>
          <w:szCs w:val="24"/>
        </w:rPr>
        <w:t>Cuando</w:t>
      </w:r>
      <w:r w:rsidRPr="0017757A">
        <w:rPr>
          <w:rFonts w:ascii="Times New Roman" w:hAnsi="Times New Roman" w:cs="Times New Roman"/>
          <w:sz w:val="24"/>
          <w:szCs w:val="24"/>
        </w:rPr>
        <w:t xml:space="preserve"> el acuerdo pueda resultar gravemente lesivo para  los intereses de la comunidad. </w:t>
      </w:r>
    </w:p>
    <w:p w:rsidR="00096050" w:rsidRPr="0017757A" w:rsidRDefault="00096050" w:rsidP="00096050">
      <w:pPr>
        <w:pStyle w:val="Prrafodelista"/>
        <w:numPr>
          <w:ilvl w:val="0"/>
          <w:numId w:val="4"/>
        </w:num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 xml:space="preserve">Cuando suponga un grave perjuicio para algún propietario que no tenga la obligación jurídica de soportarlo o se hayan adoptado de forma arbitraria. </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Según este mismo artículo, tienen legitimidad para impugnar este acuerdo:</w:t>
      </w:r>
    </w:p>
    <w:p w:rsidR="00096050" w:rsidRPr="0017757A" w:rsidRDefault="00096050" w:rsidP="00096050">
      <w:pPr>
        <w:pStyle w:val="Prrafodelista"/>
        <w:numPr>
          <w:ilvl w:val="0"/>
          <w:numId w:val="5"/>
        </w:num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Los propietarios que hayan salvado su voto en la propia Junta.</w:t>
      </w:r>
    </w:p>
    <w:p w:rsidR="00096050" w:rsidRPr="0017757A" w:rsidRDefault="00096050" w:rsidP="00096050">
      <w:pPr>
        <w:pStyle w:val="Prrafodelista"/>
        <w:numPr>
          <w:ilvl w:val="0"/>
          <w:numId w:val="5"/>
        </w:num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Los que por cualquier causa estuviesen ausentes durante la Junta.</w:t>
      </w:r>
    </w:p>
    <w:p w:rsidR="00096050" w:rsidRPr="0017757A" w:rsidRDefault="00096050" w:rsidP="00096050">
      <w:pPr>
        <w:pStyle w:val="Prrafodelista"/>
        <w:numPr>
          <w:ilvl w:val="0"/>
          <w:numId w:val="5"/>
        </w:num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 xml:space="preserve">Los que hubiesen sido, indebidamente, privados de su derecho de voto. </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La impugnación de estos acuerdos puede realizarse en los tres primeros meses después de la Junta. Sin embargo, caducará al año, cuando se trate de un acuerdo que atente contra la ley o los estatutos.</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 xml:space="preserve">En la Sentencia se le reconoce la legitimidad para impugnar el acuerdo a la parte actora ya que presenta la demanda en fecha y además, como reconoce el comentado art. 18 LPH la presencia del demandante queda acreditada mediante aportación documental.  </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La incongruencia que se observa en la sentencia es cuando la juzgadora pone de manifiesto que según el art. 17.4 LPH no es posible que se realice ninguna modificación o innovación que como consecuencia resulte inservible alguna pare del edificio para el uso o disfrute de los propietarios o alguno de ellos y con posterioridad desestima la petición del demandante cuando se ve claramente que el acuerdo aprobado en junta además de ser contrario a los estatutos, es contraria a la ley, concretamente al art. 17. 4 LPH comentado con anterioridad.</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 xml:space="preserve">Este es un caso real en el que según mi opinión, con lo anteriormente expuesto, hay un cierto margen de libertad en la valoración de la prueba que aquí se ha hecho de un modo extenso ya que la juzgadora, en este caso, hizo caso omiso a una testigo cuando le dijo que no producía ningún perjuicio al seños demandante, cuando debería de haberse aferrado a lo que la norma indica ya que claramente se ve que es un acto ilegal. </w:t>
      </w:r>
    </w:p>
    <w:p w:rsidR="00096050" w:rsidRPr="0017757A"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lastRenderedPageBreak/>
        <w:t xml:space="preserve">El interesado en este caso, no conforme con la interpretación de la juzgadora, interpuso un recurso en el que se exponía todas las normas que apoyan a la declaración del demandante y a través del cual espera que el fallo de la nueva sentencia cambie sustancialmente. </w:t>
      </w:r>
    </w:p>
    <w:p w:rsidR="009B7E4E" w:rsidRDefault="00096050" w:rsidP="00096050">
      <w:pPr>
        <w:spacing w:line="360" w:lineRule="auto"/>
        <w:jc w:val="both"/>
        <w:rPr>
          <w:rFonts w:ascii="Times New Roman" w:hAnsi="Times New Roman" w:cs="Times New Roman"/>
          <w:sz w:val="24"/>
          <w:szCs w:val="24"/>
        </w:rPr>
      </w:pPr>
      <w:r w:rsidRPr="0017757A">
        <w:rPr>
          <w:rFonts w:ascii="Times New Roman" w:hAnsi="Times New Roman" w:cs="Times New Roman"/>
          <w:sz w:val="24"/>
          <w:szCs w:val="24"/>
        </w:rPr>
        <w:t xml:space="preserve">Yo veo claramente que en este caso hay una apreciación errónea por parte de la juez ya que no incurren elementos dubitativos en cuando a la ilegalidad de la aprobación de la interposición de un banco cuando cause algún prejuicio a alguno de los vecinos. Por tanto, según mi humilde opinión, creo que el interesado ha hecho bien recurriendo la sentencia porque veo una clara afectación de su derecho a una tutela judicial efectiva. </w:t>
      </w:r>
    </w:p>
    <w:p w:rsidR="00096050" w:rsidRPr="009B7E4E" w:rsidRDefault="00096050" w:rsidP="00096050">
      <w:pPr>
        <w:spacing w:line="360" w:lineRule="auto"/>
        <w:jc w:val="both"/>
        <w:rPr>
          <w:rFonts w:ascii="Times New Roman" w:hAnsi="Times New Roman" w:cs="Times New Roman"/>
          <w:sz w:val="24"/>
          <w:szCs w:val="24"/>
        </w:rPr>
      </w:pPr>
      <w:r w:rsidRPr="0017757A">
        <w:rPr>
          <w:rFonts w:ascii="Times New Roman" w:eastAsia="Calibri" w:hAnsi="Times New Roman" w:cs="Times New Roman"/>
          <w:sz w:val="24"/>
          <w:szCs w:val="24"/>
        </w:rPr>
        <w:t xml:space="preserve">Otro caso real de una sentencia pertenece al derecho civil, concretamente es una demanda de juicio ordinario en reclamación de una cantidad de 219.714,87 euros. La parte actora del litigio corresponde con una mercantil, en cuanto a la parte opuesta, se trata de dos señores mayores de edad ambos comuneros al cincuenta por ciento de una comunidad de bienes. Uno de los socios de la comunidad de bienes se corresponde con la parte  actora, es decir, es la misma persona la demandante y la codemandada.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 parte demandante se dedica a la promoción y construcción de  inmuebles y la parte demandada además, a  reparación y conservación de los mismos. Con motivo de las relaciones comerciales existentes entre las partes, la mercantil procedió a ejecutar la estructura de un edificio  construido por los demandados, además de suministrar diversas partidas de material para su construcción, dirigir la obra y realizar el transporte de los trabajadores. Se realizó de mutuo consentimiento eligiendo así los comuneros una mejor oferta de la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El presupuesto por el que la parte demandante prestó sus servicios fue de 236.514,94 euros de los cuales solo ha cobrado una factura por importe total, IVA incluido de 69.454,77 euros quedando pendiente el importe de 167.060.,17 euros. </w:t>
      </w:r>
    </w:p>
    <w:p w:rsidR="00D53074"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Para la terminación total del edificio, la parte actora aportó una serie de materiales y vehículos necesarios para las obras de terminación. Todos estos conceptos aún son debidos por los demandados, añadiendo además que el administrador de las obras nunca puso objeción alguna a los mismos. Estos gastos alcanza el importe de 23.122,70 euros. Otra factura que se suma a la deuda es la del alquiler de grúas propiedad de la parte actora, esta deuda es de 10.272,00 euros. Por último, </w:t>
      </w:r>
      <w:r w:rsidRPr="0017757A">
        <w:rPr>
          <w:rFonts w:ascii="Times New Roman" w:eastAsia="Calibri" w:hAnsi="Times New Roman" w:cs="Times New Roman"/>
          <w:sz w:val="24"/>
          <w:szCs w:val="24"/>
        </w:rPr>
        <w:lastRenderedPageBreak/>
        <w:t xml:space="preserve">se suma la factura relacionada con los trabajos prestados por la parte actora a través del administrador en calidad de encargado y supervisor de la construcción de todo el edificio.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Los fundamentos de derecho que se exponen en la demanda son de: jurisdicción y competencia</w:t>
      </w:r>
      <w:r w:rsidRPr="0017757A">
        <w:rPr>
          <w:rStyle w:val="Refdenotaalpie"/>
          <w:rFonts w:ascii="Times New Roman" w:eastAsia="Calibri" w:hAnsi="Times New Roman" w:cs="Times New Roman"/>
          <w:sz w:val="24"/>
          <w:szCs w:val="24"/>
        </w:rPr>
        <w:footnoteReference w:id="35"/>
      </w:r>
      <w:r w:rsidRPr="0017757A">
        <w:rPr>
          <w:rFonts w:ascii="Times New Roman" w:eastAsia="Calibri" w:hAnsi="Times New Roman" w:cs="Times New Roman"/>
          <w:sz w:val="24"/>
          <w:szCs w:val="24"/>
        </w:rPr>
        <w:t>, tramitación</w:t>
      </w:r>
      <w:r w:rsidRPr="0017757A">
        <w:rPr>
          <w:rStyle w:val="Refdenotaalpie"/>
          <w:rFonts w:ascii="Times New Roman" w:eastAsia="Calibri" w:hAnsi="Times New Roman" w:cs="Times New Roman"/>
          <w:sz w:val="24"/>
          <w:szCs w:val="24"/>
        </w:rPr>
        <w:footnoteReference w:id="36"/>
      </w:r>
      <w:r w:rsidRPr="0017757A">
        <w:rPr>
          <w:rFonts w:ascii="Times New Roman" w:eastAsia="Calibri" w:hAnsi="Times New Roman" w:cs="Times New Roman"/>
          <w:sz w:val="24"/>
          <w:szCs w:val="24"/>
        </w:rPr>
        <w:t>, legitimación</w:t>
      </w:r>
      <w:r w:rsidRPr="0017757A">
        <w:rPr>
          <w:rStyle w:val="Refdenotaalpie"/>
          <w:rFonts w:ascii="Times New Roman" w:eastAsia="Calibri" w:hAnsi="Times New Roman" w:cs="Times New Roman"/>
          <w:sz w:val="24"/>
          <w:szCs w:val="24"/>
        </w:rPr>
        <w:footnoteReference w:id="37"/>
      </w:r>
      <w:r w:rsidRPr="0017757A">
        <w:rPr>
          <w:rFonts w:ascii="Times New Roman" w:eastAsia="Calibri" w:hAnsi="Times New Roman" w:cs="Times New Roman"/>
          <w:sz w:val="24"/>
          <w:szCs w:val="24"/>
        </w:rPr>
        <w:t xml:space="preserve"> y postulación</w:t>
      </w:r>
      <w:r w:rsidRPr="0017757A">
        <w:rPr>
          <w:rStyle w:val="Refdenotaalpie"/>
          <w:rFonts w:ascii="Times New Roman" w:eastAsia="Calibri" w:hAnsi="Times New Roman" w:cs="Times New Roman"/>
          <w:sz w:val="24"/>
          <w:szCs w:val="24"/>
        </w:rPr>
        <w:footnoteReference w:id="38"/>
      </w:r>
      <w:r w:rsidRPr="0017757A">
        <w:rPr>
          <w:rFonts w:ascii="Times New Roman" w:eastAsia="Calibri" w:hAnsi="Times New Roman" w:cs="Times New Roman"/>
          <w:sz w:val="24"/>
          <w:szCs w:val="24"/>
        </w:rPr>
        <w:t xml:space="preserv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El fondo del asunto es: art. 1258 del CC, los arts. 1088 y 1089 y </w:t>
      </w:r>
      <w:proofErr w:type="spellStart"/>
      <w:r w:rsidRPr="0017757A">
        <w:rPr>
          <w:rFonts w:ascii="Times New Roman" w:eastAsia="Calibri" w:hAnsi="Times New Roman" w:cs="Times New Roman"/>
          <w:sz w:val="24"/>
          <w:szCs w:val="24"/>
        </w:rPr>
        <w:t>ss</w:t>
      </w:r>
      <w:proofErr w:type="spellEnd"/>
      <w:r w:rsidRPr="0017757A">
        <w:rPr>
          <w:rFonts w:ascii="Times New Roman" w:eastAsia="Calibri" w:hAnsi="Times New Roman" w:cs="Times New Roman"/>
          <w:sz w:val="24"/>
          <w:szCs w:val="24"/>
        </w:rPr>
        <w:t xml:space="preserve"> del CC y en general del título I y del libro IV del citado cuerpo legal que regula las obligaciones. Al haber incurrido en mora, según el art. 1100 del CC, el comprador está obligado al pago de intereses según determina el 1501.3 del mismo y las costas, en aplicación del art. 394 de la LEC, deberán imponerse al demandado.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Se suplica al juzgado el pago de la cantidad de 219.714,89 euros, más el abono de los intereses y las costas de este procedimiento.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Por Decreto de 30 de Marzo de 2011 se admitió a trámite la demanda en los términos solicitados, dándose traslado de la misma y los oportunos documentos a la parte demandada, emplazándole con la oportuna entrega de la cédula para que la contestaran en el plazo de 20 días hábiles computados desde el siguiente al emplazamiento.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En la contestación a la demanda, se oponen íntegramente a las pretensiones deducidas en la demanda. Se expone que solo uno de los demandados es el representante-gerente de la comunidad de bienes (parte demandada) aunque es cierto que a instancia de ambos se construyó y promovió el edificio (entre el demandante y el demandado). Para la financiación de dicha obra, se acudió a una entidad bancaria en demanda de un préstamo hipotecario. Éste préstamos fue concedido y se fueron emitiendo las sucesivas certificaciones, haciendo pago la entidad bancaria de las distintas partidas de obra que se iban ejecutando. La parte demandada transcribe que no consensuo ningún importe para la adjudicación de estructura dado que era la Comunidad de Bienes la que ejecutaba directamente la estructura y cimentación con su propio personal. Argumentan que es incierto el aporte de material, grúa y vehículo para el transporte de trabajadores y manifiestan que es incierto </w:t>
      </w:r>
      <w:r w:rsidRPr="0017757A">
        <w:rPr>
          <w:rFonts w:ascii="Times New Roman" w:eastAsia="Calibri" w:hAnsi="Times New Roman" w:cs="Times New Roman"/>
          <w:sz w:val="24"/>
          <w:szCs w:val="24"/>
        </w:rPr>
        <w:lastRenderedPageBreak/>
        <w:t xml:space="preserve">que se hayan aportado materiales propios de la actora. Acusan de facturas creadas de forma unilateral las aportadas por la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Los Fundamentos de derecho de la contestación a la demanda son: jurisdicción, competencia, tramitación, legitimación y postulación aducida por la actora en el correlativo de la demanda y las costas del juicio a cargo de la parte actora, por haberse de desestimar la demanda en su integridad.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Se suplica al juzgado la desestimación íntegra de la demanda.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Al acto de la Audiencia Previa comparecieron las partes personadas en legal forma, ratificándose en sus respectivos escritos, interesando el recibimiento del pleito a prueba, e impugnando los documentos que entendieron oportunos, proponiendo a continuación los medios de prueba de que intentaban valerse en defensa de sus pretensiones, siendo ellos admitidos.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El juicio se </w:t>
      </w:r>
      <w:r w:rsidR="006E2CDE" w:rsidRPr="0017757A">
        <w:rPr>
          <w:rFonts w:ascii="Times New Roman" w:eastAsia="Calibri" w:hAnsi="Times New Roman" w:cs="Times New Roman"/>
          <w:sz w:val="24"/>
          <w:szCs w:val="24"/>
        </w:rPr>
        <w:t>celebró</w:t>
      </w:r>
      <w:r w:rsidRPr="0017757A">
        <w:rPr>
          <w:rFonts w:ascii="Times New Roman" w:eastAsia="Calibri" w:hAnsi="Times New Roman" w:cs="Times New Roman"/>
          <w:sz w:val="24"/>
          <w:szCs w:val="24"/>
        </w:rPr>
        <w:t xml:space="preserve"> el día señalado con la asistencia de ambas partes procediéndose a la práctica de la prueba propuesta y admitida en la Audiencia Previa.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Los fundamentos de derecho de la resolución de la sentencia son los siguientes:</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Primero.-  La parte actora interpuso una demanda reclamando la cantidad adeudada por todos los conceptos que asciende a 219.714, 89 euros más los correspondientes intereses desde la interposición de la demanda y costas.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El demandado, formuló oposición a la demanda en su contra, que por parte de la misma se promovió y construyo el edificio señalado en la demanda, señala que fue la Comunidad de Bienes demandada quien llevo a cabo los trabajos que reclama la demandante. Pone de manifiesto que no responde a la realidad puesto que ningún trabajo fue realizado por la entidad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Segundo: nos encontramos según las manifestaciones de la parte actora ante un contrato de arrendamiento de obra como establece el Artículo 1544 CC, contrato cuya concreta disciplina se contiene en los arts. 1588 a 1600 del CC.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Por tanto, nos encontramos ante un contrato consensual de resultado que crea obligaciones recíprocas para ambas partes contratantes.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lastRenderedPageBreak/>
        <w:t xml:space="preserve">Tercero: atendiendo a las alegaciones de las partes, la cuestión principal a determinar es si ciertamente entre los litigantes existió el contrato de arrendamiento de obras al que alude la demandante y que es negado por la parte demandada.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Se hace un análisis de los documentos aportados en la demanda de la parte actora. En esta parte es donde el juez tiene la facultad de evaluar la prueba conforme a su criterio, es decir, es donde goza de más libertad; en la valoración de la prueba. Y llega a la conclusión de que: </w:t>
      </w:r>
    </w:p>
    <w:p w:rsidR="00096050" w:rsidRPr="0017757A" w:rsidRDefault="00096050" w:rsidP="00096050">
      <w:pPr>
        <w:numPr>
          <w:ilvl w:val="0"/>
          <w:numId w:val="9"/>
        </w:numPr>
        <w:spacing w:line="360" w:lineRule="auto"/>
        <w:ind w:left="720" w:hanging="360"/>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No existe constancia documental del contrato que alude la demandante.</w:t>
      </w:r>
    </w:p>
    <w:p w:rsidR="00096050" w:rsidRPr="0017757A" w:rsidRDefault="00096050" w:rsidP="00096050">
      <w:pPr>
        <w:numPr>
          <w:ilvl w:val="0"/>
          <w:numId w:val="9"/>
        </w:numPr>
        <w:spacing w:line="360" w:lineRule="auto"/>
        <w:ind w:left="720" w:hanging="360"/>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 jueza no admite como principio de prueba un documento que pueda dar existencia al contrato aludido. </w:t>
      </w:r>
    </w:p>
    <w:p w:rsidR="00096050" w:rsidRPr="0017757A" w:rsidRDefault="00096050" w:rsidP="00096050">
      <w:pPr>
        <w:numPr>
          <w:ilvl w:val="0"/>
          <w:numId w:val="9"/>
        </w:numPr>
        <w:spacing w:line="360" w:lineRule="auto"/>
        <w:ind w:left="720" w:hanging="360"/>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No se admite un documento como prueba ya que se presume que se trata de un documento de carácter unilateral. </w:t>
      </w:r>
    </w:p>
    <w:p w:rsidR="00096050" w:rsidRPr="0017757A" w:rsidRDefault="00096050" w:rsidP="00096050">
      <w:pPr>
        <w:numPr>
          <w:ilvl w:val="0"/>
          <w:numId w:val="9"/>
        </w:numPr>
        <w:spacing w:line="360" w:lineRule="auto"/>
        <w:ind w:left="720" w:hanging="360"/>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No se considera probada la vinculación contractual de la que dimana el crédito reclamado por la entidad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Cuarto: como la demanda resulta desestimada íntegramente, las costas devengadas se le impone a su respectivo abono a la parte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Por tanto, el fallo, es decir, la solución que le da el juez a este caso tras haber valorado las pruebas que han aportado las partes y después de haber interpretado las normas pertinentes relacionadas al caso, propone que: </w:t>
      </w:r>
      <w:r w:rsidRPr="003B540C">
        <w:rPr>
          <w:rFonts w:ascii="Times New Roman" w:eastAsia="Calibri" w:hAnsi="Times New Roman" w:cs="Times New Roman"/>
          <w:i/>
          <w:sz w:val="24"/>
          <w:szCs w:val="24"/>
        </w:rPr>
        <w:t>“Debo desestimar y desestimo íntegramente la demanda. Debo absolver y absuelvo a la parte demandada de todos los pedimentos contenidos en el suplico de la demanda, con expresa imposición de las costas procesales devengadas a la parte demandante”.</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Tras la resolución no firme de la sentencia, la parte actora interpuso un recurso de apelación ante la Audiencia Provincial.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Es una causa de no conformidad que el interesado tiene en cuanto la solución que el juez le ha dado al caso. La parte actora no está conforme con la libertad que tiene el juez al evaluar la prueba, en cuanto, que no lo ha considerado como ella a algunas aportadas por la parte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El alegato principal del recurso es el error en la apreciación y valoración de la prueba.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lastRenderedPageBreak/>
        <w:t>La segunda alegación que se expresa es la existencia de la vinculación contractual. La controversia se observa cuando la sentencia refleja que la cuestión principal a determinar es si entre los litigantes existió el contrato de arrendamiento de obras y poco después expone que  “</w:t>
      </w:r>
      <w:r w:rsidRPr="003B540C">
        <w:rPr>
          <w:rFonts w:ascii="Times New Roman" w:eastAsia="Calibri" w:hAnsi="Times New Roman" w:cs="Times New Roman"/>
          <w:i/>
          <w:sz w:val="24"/>
          <w:szCs w:val="24"/>
        </w:rPr>
        <w:t>nos encontramos ante un contrato que no requiere la forma como elemento constitutivo</w:t>
      </w:r>
      <w:r w:rsidRPr="0017757A">
        <w:rPr>
          <w:rFonts w:ascii="Times New Roman" w:eastAsia="Calibri" w:hAnsi="Times New Roman" w:cs="Times New Roman"/>
          <w:sz w:val="24"/>
          <w:szCs w:val="24"/>
        </w:rPr>
        <w:t>”, por tanto, nos encontramos ante un contrato de arrendamiento de obras que no necesita un documento para probar la existencia del mismo.  En este apartado también se pone de manifiesto el nacimiento de la relación contractual entre ambos, preguntándose si hubiere sido lógica la contratación de una empresa externa para la promoción de las viviendas, cuando uno de los integrantes de  la demandada es administrador de una constructora que podría haber llevado a cabo las obras.  Nace así la vinculación contractual  entre los demandados.</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 tercera alegación hace referencia al desarrollo de los trabajos o servicios prestados.  Se acredita la afirmación de la parte actora de haber realizado una serie de trabajos aplicando el sentido común ya que era preferible que la ejecución de las obras se hubiese realizado por el socio de la comunidad que era constructor (demandante).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Las dos siguientes alegaciones que se afirman en el recurso tratan de justificar la cantidad que finalmente se reclama.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 última alegación pone de manifiesto que la parte actora entiende que el material probatorio que ha desplegado es más que suficiente para acreditar la vinculación entre las partes, el desarrollo del los trabajos y la deuda que se reclama.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Se da traslado a las demás partes del escrito de apelación, planteando oposición la parte demandada.  Se opone alegando que tanto las facturas como el presupuesto que reclama son documento elaborados por la parte actora. </w:t>
      </w:r>
    </w:p>
    <w:p w:rsidR="00096050" w:rsidRPr="0017757A"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La  resolución de la Audiencia Provincial desestimó el recurso de apelación interpuesto contra la  sentencia dictada por el Juzgado de Primera Instancia. </w:t>
      </w:r>
    </w:p>
    <w:p w:rsidR="009B7E4E" w:rsidRDefault="00096050" w:rsidP="00096050">
      <w:pPr>
        <w:spacing w:line="360" w:lineRule="auto"/>
        <w:jc w:val="both"/>
        <w:rPr>
          <w:rFonts w:ascii="Times New Roman" w:eastAsia="Calibri" w:hAnsi="Times New Roman" w:cs="Times New Roman"/>
          <w:sz w:val="24"/>
          <w:szCs w:val="24"/>
        </w:rPr>
      </w:pPr>
      <w:r w:rsidRPr="0017757A">
        <w:rPr>
          <w:rFonts w:ascii="Times New Roman" w:eastAsia="Calibri" w:hAnsi="Times New Roman" w:cs="Times New Roman"/>
          <w:sz w:val="24"/>
          <w:szCs w:val="24"/>
        </w:rPr>
        <w:t xml:space="preserve">Por tanto, en este caso, que nada tiene que ver con el anterior; lo que el interesado propone a través del recurso es la nueva valoración de las pruebas aportadas como documento en la demanda y además interpretar de nuevo las normas que legalizan la relación contractual que existía entre ambas partes y que ha dado lugar a la demanda. Como puede observarse, el juez tiene la total </w:t>
      </w:r>
      <w:r w:rsidRPr="0017757A">
        <w:rPr>
          <w:rFonts w:ascii="Times New Roman" w:eastAsia="Calibri" w:hAnsi="Times New Roman" w:cs="Times New Roman"/>
          <w:sz w:val="24"/>
          <w:szCs w:val="24"/>
        </w:rPr>
        <w:lastRenderedPageBreak/>
        <w:t xml:space="preserve">libertad para apreciar la prueba, y en este caso, su interpretación de dichos documentos como no reales ha sido firme y no ha decidido cambiar su solución en cuanto al caso. Por muy claro que la actora lo tenga, no vincula en ningún modo al juez ya que es el mismo quien decide si las pruebas aportadas tiene especial trascendencia como para hacerlas parte de su solución al caso o no, como ocurre en este caso. </w:t>
      </w:r>
    </w:p>
    <w:p w:rsidR="00096050" w:rsidRPr="009B7E4E" w:rsidRDefault="00096050" w:rsidP="00096050">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Otro caso que paso a explicar es una Sentencia del Tribunal Constitucional. Esta resolución viene dada por los siguientes antecedentes: el día 18 de diciembre de 1979 se interpuso un recurso contra la presunta desestimación, por el Excmo. Rector Magnifico de la Universidad Complutense de Madrid, de los recursos de alzada y reposición interpuestos sobre la contratación de profesores adscritos a la Cátedra de Geografía e Historia de la Escuela Universitaria “María Díaz Jiménez”.   </w:t>
      </w:r>
      <w:r w:rsidR="001257D6">
        <w:rPr>
          <w:rFonts w:ascii="Times New Roman" w:hAnsi="Times New Roman" w:cs="Times New Roman"/>
          <w:sz w:val="24"/>
          <w:szCs w:val="24"/>
        </w:rPr>
        <w:t xml:space="preserve">El día 22 de diciembre de 1979 la Sala Segunda de lo Contencioso-Administrativo, acepto el recurso y ordeno la reclamación del expediente administrativo para que se remitiera en el plazo de 15 días. </w:t>
      </w:r>
      <w:r>
        <w:rPr>
          <w:rFonts w:ascii="Times New Roman" w:hAnsi="Times New Roman" w:cs="Times New Roman"/>
          <w:sz w:val="24"/>
          <w:szCs w:val="24"/>
        </w:rPr>
        <w:t xml:space="preserve">El recurrente al no recibir ningún expediente, decide el 15 de octubre de 1980 dirigir otro escrito a la Sala para que se remita el expediente de forma inmediata. La Sala, al día siguiente, ordena que la Administración deba remitir dicho expediente en el plazo de diez días. El día 18 de diciembre de 1980 el interesado vuelve a remitir un escrito a la Sala poniendo de manifiesto la anomalía existente en el proceso que le impide deducir la demanda. El 26 d marzo de 1981, la Sala vuelve a reiterar la reclamación del expediente y procede a la multa de tres mil pesetas al Jefe de la Dependencia al igual que a los demás responsables. Con lo cual, estos son los hechos de la demanda de amparo presentada ante el Tribunal Constitucional. La demanda de ampao tiene su fundamento normativo en la violación que se ha provocado al derecho de tutela judicial recogido en el art. 24.1 de la Constitución ya que la no recepción del expediente, según el recurrente, afecta a su derecho constitucional.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recurrente propone que si la Sala no hubiera recibido el expediente de la Universidad, tendrían que haber tomado medidas y legales y si, por el contrario, lo hubiera recibido, debería habérselo puesto a su disposición para que hubiera dado lugar a la deducción de la demanda.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admitida la demanda tras subsanar los errores de representación, el Abogado del Estado alegó que no era imprescindible el expediente para deducir a demanda y que no es congruente las peticiones </w:t>
      </w:r>
      <w:r w:rsidR="006E2CDE">
        <w:rPr>
          <w:rFonts w:ascii="Times New Roman" w:hAnsi="Times New Roman" w:cs="Times New Roman"/>
          <w:sz w:val="24"/>
          <w:szCs w:val="24"/>
        </w:rPr>
        <w:t>del</w:t>
      </w:r>
      <w:r>
        <w:rPr>
          <w:rFonts w:ascii="Times New Roman" w:hAnsi="Times New Roman" w:cs="Times New Roman"/>
          <w:sz w:val="24"/>
          <w:szCs w:val="24"/>
        </w:rPr>
        <w:t xml:space="preserve"> recurrente en vía jurisdiccional, que era la trasmisión del expediente, con la petición </w:t>
      </w:r>
      <w:r>
        <w:rPr>
          <w:rFonts w:ascii="Times New Roman" w:hAnsi="Times New Roman" w:cs="Times New Roman"/>
          <w:sz w:val="24"/>
          <w:szCs w:val="24"/>
        </w:rPr>
        <w:lastRenderedPageBreak/>
        <w:t>en vía constitucional que es “</w:t>
      </w:r>
      <w:r w:rsidRPr="003B540C">
        <w:rPr>
          <w:rFonts w:ascii="Times New Roman" w:hAnsi="Times New Roman" w:cs="Times New Roman"/>
          <w:i/>
          <w:sz w:val="24"/>
          <w:szCs w:val="24"/>
        </w:rPr>
        <w:t>el derecho a deducir la demanda”</w:t>
      </w:r>
      <w:r w:rsidRPr="003B540C">
        <w:rPr>
          <w:rFonts w:ascii="Times New Roman" w:hAnsi="Times New Roman" w:cs="Times New Roman"/>
          <w:sz w:val="24"/>
          <w:szCs w:val="24"/>
        </w:rPr>
        <w:t xml:space="preserve"> y</w:t>
      </w:r>
      <w:r w:rsidRPr="003B540C">
        <w:rPr>
          <w:rFonts w:ascii="Times New Roman" w:hAnsi="Times New Roman" w:cs="Times New Roman"/>
          <w:i/>
          <w:sz w:val="24"/>
          <w:szCs w:val="24"/>
        </w:rPr>
        <w:t xml:space="preserve"> “la prosecución del procedimiento en los términos y plazos que la Ley proviene”.</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Ministerio Fiscal en este caso, apoyo la tesis de que debía ampararle por la ineficaz actuación que había tenido la Sala al no obtener la remisión del expediente por parte del recurrente.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recurrente volvió a presentar sus alegaciones prácticamente idéntica al recurso de amparo diciendo: que el art. 24 de la Constitución no hace distinción entre jurisdicciones, que está viendo retardada su acción; de ahí su necesidad de amparo y, por último, que aunque no se haya agotado todos los recurso la falta de actividad por parte de la Sala es lo que le hace promover el recurso de amparo.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fundamentos jurídicos al examinar las cuestiones de fondo de este caso comienzan con la primera cuestión que hace el Abogado del Estado en cuento a la supuesta distinción de peticiones realizadas por el recurrente en la vía jurisdiccional y constitucional. El tribunal Constitucional entiende que lo que le pidió a la Sala se mantiene también ante el Tribunal Constitucional y pide que la Sala haga sus oportunas potestades para que el recurrente puede ejercitar así su derecho de deducir la demanda. En cuanto a la alegación que hace el Abogado diciendo que no es necesario el expediente para la deducción de la demanda, el Tribunal constitucional propone que se trata de una garantía procesal el que la parte demandante ponga de manifiesto ese expediente administrativo.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 por lo explicado por lo que el Tribunal Constitucional no comparte las alegaciones del Abogado del Estado. Rechazadas estas alegaciones, el Tribunal pasa al fondo del asunto que es determinar si el retraso de más de un año </w:t>
      </w:r>
      <w:r w:rsidR="006E2CDE">
        <w:rPr>
          <w:rFonts w:ascii="Times New Roman" w:hAnsi="Times New Roman" w:cs="Times New Roman"/>
          <w:sz w:val="24"/>
          <w:szCs w:val="24"/>
        </w:rPr>
        <w:t>del</w:t>
      </w:r>
      <w:r>
        <w:rPr>
          <w:rFonts w:ascii="Times New Roman" w:hAnsi="Times New Roman" w:cs="Times New Roman"/>
          <w:sz w:val="24"/>
          <w:szCs w:val="24"/>
        </w:rPr>
        <w:t xml:space="preserve"> deber de ejercer de la Sala las medidas necesarias para obtener el expediente del Rectorado de la Universidad ha provocado al recurrente una lesión de su derecho a la tutela efectiva reconocido en el art. 24 de la Constitución. Este artículo no está desligado al tiempo, es decir, esa tutela debe hacerse efectiva en un periodo de tiempo marcado por la ley. Este término temporal viene recogido por el párrafo segundo del mismo art. 24 de la Constitución. Por esto, puede afirmarse que el asunto no tiene especial complejidad, sino que se podría haber hecho efectivo realizando las facultades coactivas que le ofrece la ley a la propia Sala.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el Tribunal no admite como causa de amparo la segunda pretensión del recurrente </w:t>
      </w:r>
      <w:r w:rsidRPr="003B540C">
        <w:rPr>
          <w:rFonts w:ascii="Times New Roman" w:hAnsi="Times New Roman" w:cs="Times New Roman"/>
          <w:i/>
          <w:sz w:val="24"/>
          <w:szCs w:val="24"/>
        </w:rPr>
        <w:t xml:space="preserve">“la prosecución del procedimiento en los términos y plazos que la Ley proviene para proveer a la </w:t>
      </w:r>
      <w:r w:rsidRPr="003B540C">
        <w:rPr>
          <w:rFonts w:ascii="Times New Roman" w:hAnsi="Times New Roman" w:cs="Times New Roman"/>
          <w:i/>
          <w:sz w:val="24"/>
          <w:szCs w:val="24"/>
        </w:rPr>
        <w:lastRenderedPageBreak/>
        <w:t>defensa de sus intereses legítimos”</w:t>
      </w:r>
      <w:r>
        <w:rPr>
          <w:rFonts w:ascii="Times New Roman" w:hAnsi="Times New Roman" w:cs="Times New Roman"/>
          <w:sz w:val="24"/>
          <w:szCs w:val="24"/>
        </w:rPr>
        <w:t xml:space="preserve"> porque el recurrente prevé sobre unas posibles futuras lesiones que aun no se han producido.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El fallo del Tribunal ha decidido:</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“No aceptar las causas de inadmisibilidad alegadas por el Abogado del Estado.</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 xml:space="preserve">Otorgar el amparo solicitado al recurrente en lo que se refiere a la reclamación del expediente administrativo del recurso contencioso-administrativo. Para ello se requiere a la Sala para que, si aun no lo ha recibido, haga efectivas las medidas de apercibimiento que ya tiene acordadas en su providencia 26 de marzo de 1981 y adopte las demás medidas previstas en el art. 61.4 de la Ley de la Jurisdicción conducentes a que el recurrente pueda deducir la demanda a la vista del expediente. </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Denegar el amparo en todo lo demás.</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 xml:space="preserve">Declarar que no procede hacer especial pronunciamiento en otras cosas. </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 xml:space="preserve">Devolver las actuaciones remitidas por la Sala Segunda delo Contencioso-Administrativo de la Audiencia Territorial de Madrid </w:t>
      </w:r>
    </w:p>
    <w:p w:rsidR="00096050" w:rsidRPr="003B540C" w:rsidRDefault="00096050" w:rsidP="00096050">
      <w:pPr>
        <w:pStyle w:val="Prrafodelista"/>
        <w:numPr>
          <w:ilvl w:val="1"/>
          <w:numId w:val="4"/>
        </w:numPr>
        <w:spacing w:line="360" w:lineRule="auto"/>
        <w:jc w:val="both"/>
        <w:rPr>
          <w:rFonts w:ascii="Times New Roman" w:hAnsi="Times New Roman" w:cs="Times New Roman"/>
          <w:i/>
          <w:sz w:val="24"/>
          <w:szCs w:val="24"/>
        </w:rPr>
      </w:pPr>
      <w:r w:rsidRPr="003B540C">
        <w:rPr>
          <w:rFonts w:ascii="Times New Roman" w:hAnsi="Times New Roman" w:cs="Times New Roman"/>
          <w:i/>
          <w:sz w:val="24"/>
          <w:szCs w:val="24"/>
        </w:rPr>
        <w:t xml:space="preserve">Notificar esta sentencia en el BOE”. </w:t>
      </w:r>
    </w:p>
    <w:p w:rsidR="009B7E4E"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sentencia me ha parecido interesante para integrarla en mi trabajo ya que es diferente a las expuestas con anterioridad aunque también sea un caso real; podemos percibir que se trata de un caso en el que puede notarse que el juez de la Sala toma una total libertad a la hora de no pedir el expediente a la Universidad, por tanto, en este caso puede decirse que hay unas pinceladas de arbitrariedad porque no justifica en ningún momento el porqué del no recibimiento del expediente. Por tanto, se pone de manifiesto los controles que hay de la discrecionalidad mediante un recurso de amparo.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último me parece importante plasmar las ideas de una Sentencia del Tribunal Constitucional en la que </w:t>
      </w:r>
      <w:r w:rsidR="001257D6">
        <w:rPr>
          <w:rFonts w:ascii="Times New Roman" w:hAnsi="Times New Roman" w:cs="Times New Roman"/>
          <w:sz w:val="24"/>
          <w:szCs w:val="24"/>
        </w:rPr>
        <w:t>se hace referencia la necesidad de motivar una decisión por parte de un juez para que la sentencia no sea arbitraria.</w:t>
      </w:r>
    </w:p>
    <w:p w:rsidR="003B540C" w:rsidRPr="00D53074" w:rsidRDefault="001257D6"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Reiterada doctrina del Tribunal Constitucional es la que pone de manifiesto que la necesidad u obligación de motivar es una de las exigencias del derecho a la tutela judicial efectiva. Debe motivar la respuesta fundada en derecho y respondiendo cada una de las cuestiones que se plantean </w:t>
      </w:r>
      <w:r>
        <w:rPr>
          <w:rFonts w:ascii="Times New Roman" w:hAnsi="Times New Roman" w:cs="Times New Roman"/>
          <w:sz w:val="24"/>
          <w:szCs w:val="24"/>
        </w:rPr>
        <w:lastRenderedPageBreak/>
        <w:t>por las partes en el proceso</w:t>
      </w:r>
      <w:r>
        <w:rPr>
          <w:rStyle w:val="Refdenotaalpie"/>
          <w:rFonts w:ascii="Times New Roman" w:hAnsi="Times New Roman" w:cs="Times New Roman"/>
          <w:sz w:val="24"/>
          <w:szCs w:val="24"/>
        </w:rPr>
        <w:footnoteReference w:id="39"/>
      </w:r>
      <w:r>
        <w:rPr>
          <w:rFonts w:ascii="Times New Roman" w:hAnsi="Times New Roman" w:cs="Times New Roman"/>
          <w:sz w:val="24"/>
          <w:szCs w:val="24"/>
        </w:rPr>
        <w:t>. Se debe dar una motivación más exhaustiva cuando la resolución afecta a la inadmisibilidad del recurso o inadmisibilidad de la acción planteada ya que dicha respuesta del juez es la que condiciona la propia existencia del procedimiento</w:t>
      </w:r>
      <w:r>
        <w:rPr>
          <w:rStyle w:val="Refdenotaalpie"/>
          <w:rFonts w:ascii="Times New Roman" w:hAnsi="Times New Roman" w:cs="Times New Roman"/>
          <w:sz w:val="24"/>
          <w:szCs w:val="24"/>
        </w:rPr>
        <w:footnoteReference w:id="40"/>
      </w:r>
      <w:r>
        <w:rPr>
          <w:rFonts w:ascii="Times New Roman" w:hAnsi="Times New Roman" w:cs="Times New Roman"/>
          <w:sz w:val="24"/>
          <w:szCs w:val="24"/>
        </w:rPr>
        <w:t xml:space="preserve">. La omisión de una justificación sobre alguna de las cuestiones planteadas puede provocar la incongruencia de la resolución judicial o incluso la vulneración del art. 24.1 de la Constitución española. </w:t>
      </w:r>
    </w:p>
    <w:p w:rsidR="00D53074" w:rsidRDefault="00D53074" w:rsidP="00096050">
      <w:pPr>
        <w:spacing w:line="360" w:lineRule="auto"/>
        <w:jc w:val="both"/>
        <w:rPr>
          <w:rFonts w:ascii="Times New Roman" w:hAnsi="Times New Roman" w:cs="Times New Roman"/>
          <w:sz w:val="24"/>
          <w:szCs w:val="24"/>
          <w:u w:val="single"/>
        </w:rPr>
      </w:pPr>
    </w:p>
    <w:p w:rsidR="00096050" w:rsidRDefault="00096050" w:rsidP="00096050">
      <w:pPr>
        <w:spacing w:line="360" w:lineRule="auto"/>
        <w:jc w:val="both"/>
        <w:rPr>
          <w:rFonts w:ascii="Times New Roman" w:hAnsi="Times New Roman" w:cs="Times New Roman"/>
          <w:sz w:val="24"/>
          <w:szCs w:val="24"/>
          <w:u w:val="single"/>
        </w:rPr>
      </w:pPr>
      <w:r w:rsidRPr="00C179B7">
        <w:rPr>
          <w:rFonts w:ascii="Times New Roman" w:hAnsi="Times New Roman" w:cs="Times New Roman"/>
          <w:sz w:val="24"/>
          <w:szCs w:val="24"/>
          <w:u w:val="single"/>
        </w:rPr>
        <w:t xml:space="preserve">6.-CONCLUSIONES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Pr="00C179B7">
        <w:rPr>
          <w:rFonts w:ascii="Times New Roman" w:hAnsi="Times New Roman" w:cs="Times New Roman"/>
          <w:sz w:val="24"/>
          <w:szCs w:val="24"/>
        </w:rPr>
        <w:t>.</w:t>
      </w:r>
      <w:r>
        <w:rPr>
          <w:rFonts w:ascii="Times New Roman" w:hAnsi="Times New Roman" w:cs="Times New Roman"/>
          <w:sz w:val="24"/>
          <w:szCs w:val="24"/>
        </w:rPr>
        <w:t xml:space="preserve"> La primera conclusión y la más importante es mi pensamiento a favor de que existe la discrecionalidad judicial, y que se da en todos lo</w:t>
      </w:r>
      <w:r w:rsidR="003B540C">
        <w:rPr>
          <w:rFonts w:ascii="Times New Roman" w:hAnsi="Times New Roman" w:cs="Times New Roman"/>
          <w:sz w:val="24"/>
          <w:szCs w:val="24"/>
        </w:rPr>
        <w:t>s casos, es decir, pienso que es</w:t>
      </w:r>
      <w:r>
        <w:rPr>
          <w:rFonts w:ascii="Times New Roman" w:hAnsi="Times New Roman" w:cs="Times New Roman"/>
          <w:sz w:val="24"/>
          <w:szCs w:val="24"/>
        </w:rPr>
        <w:t xml:space="preserve"> una potestad inherente a la figura del juez por todas las causas que he expuesto con anterioridad. Una resolución no solo puede dictarse atendiendo objetivamente a las normas sino que deben ser interpretadas dependiendo del caso y de la situación.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II. La discrecionalidad no se puede entender como un concepto homogéneo sino que varía dependiendo si se da en el ámbito administrativo o en el judicial. No es posible, como ha quedado demostrado a lo largo de estas páginas atender a un concepto único e inequívoco del término discrecionalidad judicial aunque como posteriormente indico, si podemos extraer tres elementos básicos que ayudan a comprender el concepto de discrecionalidad.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III. Hay una clara distinción entre la discrecionalidad administrativa y la judicial aunque tengan varios elementos en común. Además dentro de la  discrecionalidad administrativa también puede distinguirse la discrecionalidad técnica. </w:t>
      </w:r>
      <w:r w:rsidR="001257D6">
        <w:rPr>
          <w:rFonts w:ascii="Times New Roman" w:hAnsi="Times New Roman" w:cs="Times New Roman"/>
          <w:sz w:val="24"/>
          <w:szCs w:val="24"/>
        </w:rPr>
        <w:t xml:space="preserve">El juez o tribunal puede declararla ilegal y llegar a anular una decisión administrativa discrecional, siempre y cuando, tenga un carácter arbitrario, por no contener ningún fundamento objetivo ni razonable de porque se llega a esa decisión, cuando sea desproporcionado o contrario a la buena fe. </w:t>
      </w:r>
      <w:r>
        <w:rPr>
          <w:rFonts w:ascii="Times New Roman" w:hAnsi="Times New Roman" w:cs="Times New Roman"/>
          <w:sz w:val="24"/>
          <w:szCs w:val="24"/>
        </w:rPr>
        <w:t xml:space="preserve">Se declararía nula porque va en contra de los principios generales del Derecho. Lo mismo ocurre cuando se detecta que una decisión judicial es arbitraria, esta se recurre y el juez o Tribunal de segundo instancia es el que decide si verdaderamente esa resolución tiene </w:t>
      </w:r>
      <w:r w:rsidR="003B540C">
        <w:rPr>
          <w:rFonts w:ascii="Times New Roman" w:hAnsi="Times New Roman" w:cs="Times New Roman"/>
          <w:sz w:val="24"/>
          <w:szCs w:val="24"/>
        </w:rPr>
        <w:t>carácter arbitrario.</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IV. Son tres los elementos que conforman la discrecionalidad: el primero la libertad de elección entre dos o más caminos igualmente correctos, el segundo el fundamento normativo que faculta al juez para realizar sus funciones y, el tercero y último, la obligación de motivar la decisión que ha tomado para resolver el caso.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V. Otro elemento contrario a la discrecionalidad es la arbitrariedad judicial, es decir, la primera figura es necesaria para la correcta actividad del juez; mientras que la otra se da en los casos en los que el juez excede su libertad y decide no motivar la decisión o hacerlo de forma farragosa o antijurídica. Por tanto, la principal distinción es que una es necesaria y otra es ilícita (recurrible a través de recursos previstos por la ley). Hay que decir que hay muy pocos c</w:t>
      </w:r>
      <w:r w:rsidR="003B540C">
        <w:rPr>
          <w:rFonts w:ascii="Times New Roman" w:hAnsi="Times New Roman" w:cs="Times New Roman"/>
          <w:sz w:val="24"/>
          <w:szCs w:val="24"/>
        </w:rPr>
        <w:t>asos en los que se dan arbitrariedad</w:t>
      </w:r>
      <w:r>
        <w:rPr>
          <w:rFonts w:ascii="Times New Roman" w:hAnsi="Times New Roman" w:cs="Times New Roman"/>
          <w:sz w:val="24"/>
          <w:szCs w:val="24"/>
        </w:rPr>
        <w:t xml:space="preserve">. La discrecionalidad no es arbitrariedad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 Las causa que da lugar a la discrecionalidad  es la indeterminación del derecho que puede darse en cuatro aspectos: en el contenido de la norma, en el lenguaje con el que se ha redactado la norma, cuando es intencional ya que es la propia norma la que posibilita al juez elegir entre dos o más solucione, y por último, como consecuencia de los defectos del sistema.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VII. La discrecionalidad que pueden ejercer los jueces no está exenta de ningún tipo de control, sino todo lo contrario. Una forma de controlar la discrecionalidad judicial es a través de la obligación de motivar una sentencia con fundamentos normativos.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VIII. La discrecionalidad no ha sido ni es un tema en el que haya un acuerdo entre los diferentes juristas ya que hay diferentes reflexiones desde su existencia hasta sus controles y limites. Por tanto, cada jurista opina dependiendo de sus principio y valores una cosa u otra de la discrecionalidad. </w:t>
      </w:r>
    </w:p>
    <w:p w:rsidR="00096050" w:rsidRDefault="00096050" w:rsidP="0009605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IX. La discrecionalidad que se da en nuestro país nada tiene que ver con la existente fuera del territorio. Se puede observar en el ejemplo de comentario de autor que he expuesto con anterioridad. </w:t>
      </w:r>
    </w:p>
    <w:p w:rsidR="00096050" w:rsidRDefault="00096050" w:rsidP="00096050">
      <w:pPr>
        <w:spacing w:line="360" w:lineRule="auto"/>
        <w:jc w:val="both"/>
        <w:rPr>
          <w:rFonts w:ascii="Times New Roman" w:hAnsi="Times New Roman" w:cs="Times New Roman"/>
          <w:sz w:val="24"/>
          <w:szCs w:val="24"/>
        </w:rPr>
      </w:pPr>
    </w:p>
    <w:p w:rsidR="00096050" w:rsidRDefault="00096050" w:rsidP="00096050">
      <w:pPr>
        <w:spacing w:line="360" w:lineRule="auto"/>
        <w:jc w:val="both"/>
        <w:rPr>
          <w:rFonts w:ascii="Times New Roman" w:hAnsi="Times New Roman" w:cs="Times New Roman"/>
          <w:sz w:val="24"/>
          <w:szCs w:val="24"/>
        </w:rPr>
      </w:pPr>
    </w:p>
    <w:p w:rsidR="003D2EAE" w:rsidRDefault="003D2EAE" w:rsidP="00096050">
      <w:pPr>
        <w:spacing w:line="360" w:lineRule="auto"/>
        <w:jc w:val="both"/>
        <w:rPr>
          <w:rFonts w:ascii="Times New Roman" w:hAnsi="Times New Roman" w:cs="Times New Roman"/>
          <w:sz w:val="24"/>
          <w:szCs w:val="24"/>
          <w:u w:val="single"/>
        </w:rPr>
      </w:pPr>
    </w:p>
    <w:p w:rsidR="00942A8B" w:rsidRDefault="00942A8B" w:rsidP="00096050">
      <w:pPr>
        <w:spacing w:line="360" w:lineRule="auto"/>
        <w:jc w:val="both"/>
        <w:rPr>
          <w:rFonts w:ascii="Times New Roman" w:hAnsi="Times New Roman" w:cs="Times New Roman"/>
          <w:sz w:val="24"/>
          <w:szCs w:val="24"/>
          <w:u w:val="single"/>
        </w:rPr>
      </w:pPr>
    </w:p>
    <w:p w:rsidR="00096050" w:rsidRDefault="00096050" w:rsidP="00096050">
      <w:pPr>
        <w:spacing w:line="360" w:lineRule="auto"/>
        <w:jc w:val="both"/>
        <w:rPr>
          <w:rFonts w:ascii="Times New Roman" w:hAnsi="Times New Roman" w:cs="Times New Roman"/>
          <w:sz w:val="24"/>
          <w:szCs w:val="24"/>
          <w:u w:val="single"/>
        </w:rPr>
      </w:pPr>
      <w:r w:rsidRPr="007D6794">
        <w:rPr>
          <w:rFonts w:ascii="Times New Roman" w:hAnsi="Times New Roman" w:cs="Times New Roman"/>
          <w:sz w:val="24"/>
          <w:szCs w:val="24"/>
          <w:u w:val="single"/>
        </w:rPr>
        <w:t>7.- BIBLIOGRAFÍA</w:t>
      </w:r>
    </w:p>
    <w:p w:rsidR="0036714D" w:rsidRPr="006E2CDE" w:rsidRDefault="00F10386"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rPr>
      </w:pPr>
      <w:r w:rsidRPr="006E2CDE">
        <w:rPr>
          <w:rFonts w:ascii="Times New Roman" w:hAnsi="Times New Roman" w:cs="Times New Roman"/>
          <w:sz w:val="24"/>
          <w:szCs w:val="24"/>
        </w:rPr>
        <w:t xml:space="preserve">Bulygin E, </w:t>
      </w:r>
      <w:r w:rsidR="003B540C" w:rsidRPr="006E2CDE">
        <w:rPr>
          <w:rFonts w:ascii="Times New Roman" w:hAnsi="Times New Roman" w:cs="Times New Roman"/>
          <w:sz w:val="24"/>
          <w:szCs w:val="24"/>
        </w:rPr>
        <w:t xml:space="preserve">(2003) </w:t>
      </w:r>
      <w:r w:rsidR="003B540C" w:rsidRPr="006E2CDE">
        <w:rPr>
          <w:rFonts w:ascii="Times New Roman" w:hAnsi="Times New Roman" w:cs="Times New Roman"/>
          <w:i/>
          <w:sz w:val="24"/>
          <w:szCs w:val="24"/>
        </w:rPr>
        <w:t>Los jueces ¿Crean derecho?</w:t>
      </w:r>
      <w:r w:rsidR="0036714D" w:rsidRPr="006E2CDE">
        <w:rPr>
          <w:rFonts w:ascii="Times New Roman" w:hAnsi="Times New Roman" w:cs="Times New Roman"/>
          <w:i/>
          <w:sz w:val="24"/>
          <w:szCs w:val="24"/>
        </w:rPr>
        <w:t xml:space="preserve">, </w:t>
      </w:r>
      <w:r w:rsidR="0036714D" w:rsidRPr="006E2CDE">
        <w:rPr>
          <w:rFonts w:ascii="Times New Roman" w:hAnsi="Times New Roman" w:cs="Times New Roman"/>
          <w:sz w:val="24"/>
          <w:szCs w:val="24"/>
        </w:rPr>
        <w:t xml:space="preserve">en </w:t>
      </w:r>
      <w:proofErr w:type="spellStart"/>
      <w:r w:rsidR="0036714D" w:rsidRPr="006E2CDE">
        <w:rPr>
          <w:rFonts w:ascii="Times New Roman" w:hAnsi="Times New Roman" w:cs="Times New Roman"/>
          <w:sz w:val="24"/>
          <w:szCs w:val="24"/>
        </w:rPr>
        <w:t>Malem</w:t>
      </w:r>
      <w:proofErr w:type="spellEnd"/>
      <w:r w:rsidR="0036714D" w:rsidRPr="006E2CDE">
        <w:rPr>
          <w:rFonts w:ascii="Times New Roman" w:hAnsi="Times New Roman" w:cs="Times New Roman"/>
          <w:sz w:val="24"/>
          <w:szCs w:val="24"/>
        </w:rPr>
        <w:t>, J</w:t>
      </w:r>
      <w:r w:rsidR="006E2CDE" w:rsidRPr="006E2CDE">
        <w:rPr>
          <w:rFonts w:ascii="Times New Roman" w:hAnsi="Times New Roman" w:cs="Times New Roman"/>
          <w:sz w:val="24"/>
          <w:szCs w:val="24"/>
        </w:rPr>
        <w:t>.</w:t>
      </w:r>
      <w:r w:rsidR="0036714D" w:rsidRPr="006E2CDE">
        <w:rPr>
          <w:rFonts w:ascii="Times New Roman" w:hAnsi="Times New Roman" w:cs="Times New Roman"/>
          <w:sz w:val="24"/>
          <w:szCs w:val="24"/>
        </w:rPr>
        <w:t>, Orozco, J</w:t>
      </w:r>
      <w:r w:rsidR="006E2CDE" w:rsidRPr="006E2CDE">
        <w:rPr>
          <w:rFonts w:ascii="Times New Roman" w:hAnsi="Times New Roman" w:cs="Times New Roman"/>
          <w:sz w:val="24"/>
          <w:szCs w:val="24"/>
        </w:rPr>
        <w:t>.</w:t>
      </w:r>
      <w:r w:rsidR="0036714D" w:rsidRPr="006E2CDE">
        <w:rPr>
          <w:rFonts w:ascii="Times New Roman" w:hAnsi="Times New Roman" w:cs="Times New Roman"/>
          <w:sz w:val="24"/>
          <w:szCs w:val="24"/>
        </w:rPr>
        <w:t xml:space="preserve"> y Vázquez, R</w:t>
      </w:r>
      <w:r w:rsidR="006E2CDE" w:rsidRPr="006E2CDE">
        <w:rPr>
          <w:rFonts w:ascii="Times New Roman" w:hAnsi="Times New Roman" w:cs="Times New Roman"/>
          <w:sz w:val="24"/>
          <w:szCs w:val="24"/>
        </w:rPr>
        <w:t>.</w:t>
      </w:r>
      <w:r w:rsidR="0036714D" w:rsidRPr="006E2CDE">
        <w:rPr>
          <w:rFonts w:ascii="Times New Roman" w:hAnsi="Times New Roman" w:cs="Times New Roman"/>
          <w:sz w:val="24"/>
          <w:szCs w:val="24"/>
        </w:rPr>
        <w:t xml:space="preserve"> (compiladores),</w:t>
      </w:r>
      <w:r w:rsidR="0036714D" w:rsidRPr="006E2CDE">
        <w:rPr>
          <w:rFonts w:ascii="Times New Roman" w:hAnsi="Times New Roman" w:cs="Times New Roman"/>
          <w:i/>
          <w:sz w:val="24"/>
          <w:szCs w:val="24"/>
        </w:rPr>
        <w:t xml:space="preserve"> La función judicial. Ética y democracia, </w:t>
      </w:r>
      <w:r w:rsidR="0036714D" w:rsidRPr="006E2CDE">
        <w:rPr>
          <w:rFonts w:ascii="Times New Roman" w:hAnsi="Times New Roman" w:cs="Times New Roman"/>
          <w:sz w:val="24"/>
          <w:szCs w:val="24"/>
        </w:rPr>
        <w:t xml:space="preserve">Barcelona, Gedisa. </w:t>
      </w:r>
    </w:p>
    <w:p w:rsidR="009B7E4E"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rPr>
      </w:pPr>
      <w:r w:rsidRPr="006E2CDE">
        <w:rPr>
          <w:rFonts w:ascii="Times New Roman" w:hAnsi="Times New Roman" w:cs="Times New Roman"/>
          <w:sz w:val="24"/>
          <w:szCs w:val="24"/>
        </w:rPr>
        <w:t>Díez Picazo, L</w:t>
      </w:r>
      <w:r w:rsidR="006E2CDE" w:rsidRPr="006E2CDE">
        <w:rPr>
          <w:rFonts w:ascii="Times New Roman" w:hAnsi="Times New Roman" w:cs="Times New Roman"/>
          <w:sz w:val="24"/>
          <w:szCs w:val="24"/>
        </w:rPr>
        <w:t>.</w:t>
      </w:r>
      <w:r w:rsidR="003B540C" w:rsidRPr="006E2CDE">
        <w:rPr>
          <w:rFonts w:ascii="Times New Roman" w:hAnsi="Times New Roman" w:cs="Times New Roman"/>
          <w:sz w:val="24"/>
          <w:szCs w:val="24"/>
        </w:rPr>
        <w:t xml:space="preserve"> (1993) </w:t>
      </w:r>
      <w:r w:rsidR="003B540C" w:rsidRPr="006E2CDE">
        <w:rPr>
          <w:rFonts w:ascii="Times New Roman" w:hAnsi="Times New Roman" w:cs="Times New Roman"/>
          <w:i/>
          <w:sz w:val="24"/>
          <w:szCs w:val="24"/>
        </w:rPr>
        <w:t xml:space="preserve">Experiencias jurídicas y teoría del derecho, </w:t>
      </w:r>
      <w:r w:rsidR="00A331DB" w:rsidRPr="006E2CDE">
        <w:rPr>
          <w:rFonts w:ascii="Times New Roman" w:hAnsi="Times New Roman" w:cs="Times New Roman"/>
          <w:sz w:val="24"/>
          <w:szCs w:val="24"/>
        </w:rPr>
        <w:t xml:space="preserve">Barcelona, </w:t>
      </w:r>
      <w:r w:rsidR="003B540C" w:rsidRPr="006E2CDE">
        <w:rPr>
          <w:rFonts w:ascii="Times New Roman" w:hAnsi="Times New Roman" w:cs="Times New Roman"/>
          <w:sz w:val="24"/>
          <w:szCs w:val="24"/>
        </w:rPr>
        <w:t>Ariel</w:t>
      </w:r>
      <w:r w:rsidR="003B540C" w:rsidRPr="006E2CDE">
        <w:rPr>
          <w:rFonts w:ascii="Times New Roman" w:hAnsi="Times New Roman" w:cs="Times New Roman"/>
          <w:i/>
          <w:sz w:val="24"/>
          <w:szCs w:val="24"/>
        </w:rPr>
        <w:t>.</w:t>
      </w:r>
    </w:p>
    <w:p w:rsidR="00096050" w:rsidRPr="006E2CDE" w:rsidRDefault="001257D6"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u w:val="single"/>
        </w:rPr>
      </w:pPr>
      <w:r w:rsidRPr="006E2CDE">
        <w:rPr>
          <w:rFonts w:ascii="Times New Roman" w:hAnsi="Times New Roman" w:cs="Times New Roman"/>
          <w:sz w:val="24"/>
          <w:szCs w:val="24"/>
        </w:rPr>
        <w:t>Dworkin</w:t>
      </w:r>
      <w:r w:rsidR="00096050" w:rsidRPr="006E2CDE">
        <w:rPr>
          <w:rFonts w:ascii="Times New Roman" w:hAnsi="Times New Roman" w:cs="Times New Roman"/>
          <w:sz w:val="24"/>
          <w:szCs w:val="24"/>
        </w:rPr>
        <w:t xml:space="preserve">, R. (1984) </w:t>
      </w:r>
      <w:r w:rsidR="00096050" w:rsidRPr="006E2CDE">
        <w:rPr>
          <w:rFonts w:ascii="Times New Roman" w:hAnsi="Times New Roman" w:cs="Times New Roman"/>
          <w:i/>
          <w:sz w:val="24"/>
          <w:szCs w:val="24"/>
        </w:rPr>
        <w:t>Los derechos en serio</w:t>
      </w:r>
      <w:r w:rsidR="00096050" w:rsidRPr="006E2CDE">
        <w:rPr>
          <w:rFonts w:ascii="Times New Roman" w:hAnsi="Times New Roman" w:cs="Times New Roman"/>
          <w:sz w:val="24"/>
          <w:szCs w:val="24"/>
        </w:rPr>
        <w:t xml:space="preserve">, </w:t>
      </w:r>
      <w:r w:rsidR="00A331DB" w:rsidRPr="006E2CDE">
        <w:rPr>
          <w:rFonts w:ascii="Times New Roman" w:hAnsi="Times New Roman" w:cs="Times New Roman"/>
          <w:sz w:val="24"/>
          <w:szCs w:val="24"/>
        </w:rPr>
        <w:t xml:space="preserve">Barcelona, </w:t>
      </w:r>
      <w:r w:rsidR="00096050" w:rsidRPr="006E2CDE">
        <w:rPr>
          <w:rFonts w:ascii="Times New Roman" w:hAnsi="Times New Roman" w:cs="Times New Roman"/>
          <w:sz w:val="24"/>
          <w:szCs w:val="24"/>
        </w:rPr>
        <w:t>Ariel</w:t>
      </w:r>
      <w:r w:rsidR="00A331DB" w:rsidRPr="006E2CDE">
        <w:rPr>
          <w:rFonts w:ascii="Times New Roman" w:hAnsi="Times New Roman" w:cs="Times New Roman"/>
          <w:sz w:val="24"/>
          <w:szCs w:val="24"/>
        </w:rPr>
        <w:t xml:space="preserve">. </w:t>
      </w:r>
    </w:p>
    <w:p w:rsidR="003B540C" w:rsidRPr="006E2CDE" w:rsidRDefault="0036714D" w:rsidP="006E2CDE">
      <w:pPr>
        <w:pStyle w:val="Textonotapie"/>
        <w:numPr>
          <w:ilvl w:val="0"/>
          <w:numId w:val="14"/>
        </w:numPr>
        <w:spacing w:after="120" w:line="360" w:lineRule="auto"/>
        <w:ind w:left="714" w:hanging="357"/>
        <w:jc w:val="both"/>
        <w:rPr>
          <w:rFonts w:ascii="Times New Roman" w:hAnsi="Times New Roman" w:cs="Times New Roman"/>
          <w:sz w:val="24"/>
          <w:szCs w:val="24"/>
        </w:rPr>
      </w:pPr>
      <w:r w:rsidRPr="006E2CDE">
        <w:rPr>
          <w:rFonts w:ascii="Times New Roman" w:hAnsi="Times New Roman" w:cs="Times New Roman"/>
          <w:sz w:val="24"/>
          <w:szCs w:val="24"/>
        </w:rPr>
        <w:t>Fernández, T</w:t>
      </w:r>
      <w:r w:rsidR="006E2CDE" w:rsidRPr="006E2CDE">
        <w:rPr>
          <w:rFonts w:ascii="Times New Roman" w:hAnsi="Times New Roman" w:cs="Times New Roman"/>
          <w:sz w:val="24"/>
          <w:szCs w:val="24"/>
        </w:rPr>
        <w:t>.</w:t>
      </w:r>
      <w:r w:rsidRPr="006E2CDE">
        <w:rPr>
          <w:rFonts w:ascii="Times New Roman" w:hAnsi="Times New Roman" w:cs="Times New Roman"/>
          <w:sz w:val="24"/>
          <w:szCs w:val="24"/>
        </w:rPr>
        <w:t>R.</w:t>
      </w:r>
      <w:r w:rsidR="003B540C" w:rsidRPr="006E2CDE">
        <w:rPr>
          <w:rFonts w:ascii="Times New Roman" w:hAnsi="Times New Roman" w:cs="Times New Roman"/>
          <w:sz w:val="24"/>
          <w:szCs w:val="24"/>
        </w:rPr>
        <w:t xml:space="preserve"> (2005) </w:t>
      </w:r>
      <w:r w:rsidR="003B540C" w:rsidRPr="006E2CDE">
        <w:rPr>
          <w:rFonts w:ascii="Times New Roman" w:hAnsi="Times New Roman" w:cs="Times New Roman"/>
          <w:i/>
          <w:sz w:val="24"/>
          <w:szCs w:val="24"/>
        </w:rPr>
        <w:t xml:space="preserve">Del arbitrio y de la arbitrariedad </w:t>
      </w:r>
      <w:proofErr w:type="spellStart"/>
      <w:r w:rsidR="003B540C" w:rsidRPr="006E2CDE">
        <w:rPr>
          <w:rFonts w:ascii="Times New Roman" w:hAnsi="Times New Roman" w:cs="Times New Roman"/>
          <w:i/>
          <w:sz w:val="24"/>
          <w:szCs w:val="24"/>
        </w:rPr>
        <w:t>judicial</w:t>
      </w:r>
      <w:proofErr w:type="gramStart"/>
      <w:r w:rsidR="003B540C" w:rsidRPr="006E2CDE">
        <w:rPr>
          <w:rFonts w:ascii="Times New Roman" w:hAnsi="Times New Roman" w:cs="Times New Roman"/>
          <w:i/>
          <w:sz w:val="24"/>
          <w:szCs w:val="24"/>
        </w:rPr>
        <w:t>,</w:t>
      </w:r>
      <w:r w:rsidR="003B540C" w:rsidRPr="006E2CDE">
        <w:rPr>
          <w:rFonts w:ascii="Times New Roman" w:hAnsi="Times New Roman" w:cs="Times New Roman"/>
          <w:sz w:val="24"/>
          <w:szCs w:val="24"/>
        </w:rPr>
        <w:t>Madrid</w:t>
      </w:r>
      <w:proofErr w:type="spellEnd"/>
      <w:proofErr w:type="gramEnd"/>
      <w:r w:rsidR="006E2CDE" w:rsidRPr="006E2CDE">
        <w:rPr>
          <w:rFonts w:ascii="Times New Roman" w:hAnsi="Times New Roman" w:cs="Times New Roman"/>
          <w:sz w:val="24"/>
          <w:szCs w:val="24"/>
        </w:rPr>
        <w:t>,</w:t>
      </w:r>
      <w:r w:rsidR="00D17540" w:rsidRPr="006E2CDE">
        <w:rPr>
          <w:rFonts w:ascii="Times New Roman" w:hAnsi="Times New Roman" w:cs="Times New Roman"/>
          <w:sz w:val="24"/>
          <w:szCs w:val="24"/>
        </w:rPr>
        <w:t xml:space="preserve"> Iustel.</w:t>
      </w:r>
    </w:p>
    <w:p w:rsidR="009B7E4E"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rPr>
      </w:pPr>
      <w:r w:rsidRPr="006E2CDE">
        <w:rPr>
          <w:rFonts w:ascii="Times New Roman" w:hAnsi="Times New Roman" w:cs="Times New Roman"/>
          <w:sz w:val="24"/>
          <w:szCs w:val="24"/>
        </w:rPr>
        <w:t>García Amado, J.A</w:t>
      </w:r>
      <w:proofErr w:type="gramStart"/>
      <w:r w:rsidR="006E2CDE" w:rsidRPr="006E2CDE">
        <w:rPr>
          <w:rFonts w:ascii="Times New Roman" w:hAnsi="Times New Roman" w:cs="Times New Roman"/>
          <w:sz w:val="24"/>
          <w:szCs w:val="24"/>
        </w:rPr>
        <w:t>.</w:t>
      </w:r>
      <w:r w:rsidR="003B540C" w:rsidRPr="006E2CDE">
        <w:rPr>
          <w:rFonts w:ascii="Times New Roman" w:hAnsi="Times New Roman" w:cs="Times New Roman"/>
          <w:sz w:val="24"/>
          <w:szCs w:val="24"/>
        </w:rPr>
        <w:t>(</w:t>
      </w:r>
      <w:proofErr w:type="gramEnd"/>
      <w:r w:rsidR="003B540C" w:rsidRPr="006E2CDE">
        <w:rPr>
          <w:rFonts w:ascii="Times New Roman" w:hAnsi="Times New Roman" w:cs="Times New Roman"/>
          <w:sz w:val="24"/>
          <w:szCs w:val="24"/>
        </w:rPr>
        <w:t>2006)</w:t>
      </w:r>
      <w:r w:rsidR="0036714D" w:rsidRPr="006E2CDE">
        <w:rPr>
          <w:rFonts w:ascii="Times New Roman" w:hAnsi="Times New Roman" w:cs="Times New Roman"/>
          <w:sz w:val="24"/>
          <w:szCs w:val="24"/>
        </w:rPr>
        <w:t>“</w:t>
      </w:r>
      <w:r w:rsidRPr="006E2CDE">
        <w:rPr>
          <w:rFonts w:ascii="Times New Roman" w:hAnsi="Times New Roman" w:cs="Times New Roman"/>
          <w:sz w:val="24"/>
          <w:szCs w:val="24"/>
        </w:rPr>
        <w:t xml:space="preserve">¿Existe discrecionalidad en la decisión </w:t>
      </w:r>
      <w:r w:rsidR="003B540C" w:rsidRPr="006E2CDE">
        <w:rPr>
          <w:rFonts w:ascii="Times New Roman" w:hAnsi="Times New Roman" w:cs="Times New Roman"/>
          <w:sz w:val="24"/>
          <w:szCs w:val="24"/>
        </w:rPr>
        <w:t>judicial?</w:t>
      </w:r>
      <w:r w:rsidR="0036714D" w:rsidRPr="006E2CDE">
        <w:rPr>
          <w:rFonts w:ascii="Times New Roman" w:hAnsi="Times New Roman" w:cs="Times New Roman"/>
          <w:sz w:val="24"/>
          <w:szCs w:val="24"/>
        </w:rPr>
        <w:t>”,</w:t>
      </w:r>
      <w:r w:rsidRPr="006E2CDE">
        <w:rPr>
          <w:rFonts w:ascii="Times New Roman" w:hAnsi="Times New Roman" w:cs="Times New Roman"/>
          <w:i/>
          <w:sz w:val="24"/>
          <w:szCs w:val="24"/>
        </w:rPr>
        <w:t>Isegoría</w:t>
      </w:r>
      <w:r w:rsidRPr="006E2CDE">
        <w:rPr>
          <w:rFonts w:ascii="Times New Roman" w:hAnsi="Times New Roman" w:cs="Times New Roman"/>
          <w:sz w:val="24"/>
          <w:szCs w:val="24"/>
        </w:rPr>
        <w:t>, nº 35</w:t>
      </w:r>
      <w:r w:rsidR="00F10386" w:rsidRPr="006E2CDE">
        <w:rPr>
          <w:rFonts w:ascii="Times New Roman" w:hAnsi="Times New Roman" w:cs="Times New Roman"/>
          <w:sz w:val="24"/>
          <w:szCs w:val="24"/>
        </w:rPr>
        <w:t>.</w:t>
      </w:r>
    </w:p>
    <w:p w:rsidR="003B540C" w:rsidRPr="006E2CDE" w:rsidRDefault="00F10386"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rPr>
      </w:pPr>
      <w:r w:rsidRPr="006E2CDE">
        <w:rPr>
          <w:rFonts w:ascii="Times New Roman" w:hAnsi="Times New Roman" w:cs="Times New Roman"/>
          <w:sz w:val="24"/>
          <w:szCs w:val="24"/>
        </w:rPr>
        <w:t>Hart</w:t>
      </w:r>
      <w:r w:rsidR="003B540C" w:rsidRPr="006E2CDE">
        <w:rPr>
          <w:rFonts w:ascii="Times New Roman" w:hAnsi="Times New Roman" w:cs="Times New Roman"/>
          <w:sz w:val="24"/>
          <w:szCs w:val="24"/>
        </w:rPr>
        <w:t xml:space="preserve">, H. (1980) </w:t>
      </w:r>
      <w:r w:rsidR="003B540C" w:rsidRPr="006E2CDE">
        <w:rPr>
          <w:rFonts w:ascii="Times New Roman" w:hAnsi="Times New Roman" w:cs="Times New Roman"/>
          <w:i/>
          <w:sz w:val="24"/>
          <w:szCs w:val="24"/>
        </w:rPr>
        <w:t xml:space="preserve">El concepto del </w:t>
      </w:r>
      <w:proofErr w:type="spellStart"/>
      <w:r w:rsidR="003B540C" w:rsidRPr="006E2CDE">
        <w:rPr>
          <w:rFonts w:ascii="Times New Roman" w:hAnsi="Times New Roman" w:cs="Times New Roman"/>
          <w:i/>
          <w:sz w:val="24"/>
          <w:szCs w:val="24"/>
        </w:rPr>
        <w:t>Derecho</w:t>
      </w:r>
      <w:proofErr w:type="gramStart"/>
      <w:r w:rsidR="006E2CDE" w:rsidRPr="006E2CDE">
        <w:rPr>
          <w:rFonts w:ascii="Times New Roman" w:hAnsi="Times New Roman" w:cs="Times New Roman"/>
          <w:i/>
          <w:sz w:val="24"/>
          <w:szCs w:val="24"/>
        </w:rPr>
        <w:t>,</w:t>
      </w:r>
      <w:r w:rsidR="00D17540" w:rsidRPr="006E2CDE">
        <w:rPr>
          <w:rFonts w:ascii="Times New Roman" w:hAnsi="Times New Roman" w:cs="Times New Roman"/>
          <w:sz w:val="24"/>
          <w:szCs w:val="24"/>
        </w:rPr>
        <w:t>México</w:t>
      </w:r>
      <w:proofErr w:type="spellEnd"/>
      <w:proofErr w:type="gramEnd"/>
      <w:r w:rsidR="00D17540" w:rsidRPr="006E2CDE">
        <w:rPr>
          <w:rFonts w:ascii="Times New Roman" w:hAnsi="Times New Roman" w:cs="Times New Roman"/>
          <w:sz w:val="24"/>
          <w:szCs w:val="24"/>
        </w:rPr>
        <w:t xml:space="preserve">, Editorial </w:t>
      </w:r>
      <w:r w:rsidR="006E2CDE" w:rsidRPr="006E2CDE">
        <w:rPr>
          <w:rFonts w:ascii="Times New Roman" w:hAnsi="Times New Roman" w:cs="Times New Roman"/>
          <w:sz w:val="24"/>
          <w:szCs w:val="24"/>
        </w:rPr>
        <w:t>N</w:t>
      </w:r>
      <w:r w:rsidR="00D17540" w:rsidRPr="006E2CDE">
        <w:rPr>
          <w:rFonts w:ascii="Times New Roman" w:hAnsi="Times New Roman" w:cs="Times New Roman"/>
          <w:sz w:val="24"/>
          <w:szCs w:val="24"/>
        </w:rPr>
        <w:t>acional.</w:t>
      </w:r>
    </w:p>
    <w:p w:rsidR="009B7E4E"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lang w:val="en-US"/>
        </w:rPr>
      </w:pPr>
      <w:proofErr w:type="spellStart"/>
      <w:r w:rsidRPr="006E2CDE">
        <w:rPr>
          <w:rFonts w:ascii="Times New Roman" w:hAnsi="Times New Roman" w:cs="Times New Roman"/>
          <w:sz w:val="24"/>
          <w:szCs w:val="24"/>
          <w:lang w:val="en-US"/>
        </w:rPr>
        <w:t>Holmes</w:t>
      </w:r>
      <w:proofErr w:type="gramStart"/>
      <w:r w:rsidRPr="006E2CDE">
        <w:rPr>
          <w:rFonts w:ascii="Times New Roman" w:hAnsi="Times New Roman" w:cs="Times New Roman"/>
          <w:sz w:val="24"/>
          <w:szCs w:val="24"/>
          <w:lang w:val="en-US"/>
        </w:rPr>
        <w:t>,</w:t>
      </w:r>
      <w:r w:rsidR="006E2CDE" w:rsidRPr="006E2CDE">
        <w:rPr>
          <w:rFonts w:ascii="Times New Roman" w:hAnsi="Times New Roman" w:cs="Times New Roman"/>
          <w:sz w:val="24"/>
          <w:szCs w:val="24"/>
          <w:lang w:val="en-US"/>
        </w:rPr>
        <w:t>O.W</w:t>
      </w:r>
      <w:proofErr w:type="spellEnd"/>
      <w:proofErr w:type="gramEnd"/>
      <w:r w:rsidR="006E2CDE" w:rsidRPr="006E2CDE">
        <w:rPr>
          <w:rFonts w:ascii="Times New Roman" w:hAnsi="Times New Roman" w:cs="Times New Roman"/>
          <w:sz w:val="24"/>
          <w:szCs w:val="24"/>
          <w:lang w:val="en-US"/>
        </w:rPr>
        <w:t xml:space="preserve">. </w:t>
      </w:r>
      <w:r w:rsidR="005874C3" w:rsidRPr="006E2CDE">
        <w:rPr>
          <w:rFonts w:ascii="Times New Roman" w:hAnsi="Times New Roman" w:cs="Times New Roman"/>
          <w:sz w:val="24"/>
          <w:szCs w:val="24"/>
          <w:lang w:val="en-US"/>
        </w:rPr>
        <w:t>(1897)</w:t>
      </w:r>
      <w:r w:rsidR="00ED5DC3" w:rsidRPr="006E2CDE">
        <w:rPr>
          <w:rFonts w:ascii="Times New Roman" w:hAnsi="Times New Roman" w:cs="Times New Roman"/>
          <w:sz w:val="24"/>
          <w:szCs w:val="24"/>
          <w:lang w:val="en-US"/>
        </w:rPr>
        <w:t>“</w:t>
      </w:r>
      <w:r w:rsidR="006352DA" w:rsidRPr="006E2CDE">
        <w:rPr>
          <w:rFonts w:ascii="Times New Roman" w:hAnsi="Times New Roman" w:cs="Times New Roman"/>
          <w:sz w:val="24"/>
          <w:szCs w:val="24"/>
          <w:lang w:val="en-US"/>
        </w:rPr>
        <w:t>The Path of the Law</w:t>
      </w:r>
      <w:r w:rsidR="00ED5DC3" w:rsidRPr="006E2CDE">
        <w:rPr>
          <w:rFonts w:ascii="Times New Roman" w:hAnsi="Times New Roman" w:cs="Times New Roman"/>
          <w:sz w:val="24"/>
          <w:szCs w:val="24"/>
          <w:lang w:val="en-US"/>
        </w:rPr>
        <w:t>”</w:t>
      </w:r>
      <w:r w:rsidR="006352DA" w:rsidRPr="006E2CDE">
        <w:rPr>
          <w:rFonts w:ascii="Times New Roman" w:hAnsi="Times New Roman" w:cs="Times New Roman"/>
          <w:sz w:val="24"/>
          <w:szCs w:val="24"/>
          <w:lang w:val="en-US"/>
        </w:rPr>
        <w:t xml:space="preserve">, </w:t>
      </w:r>
      <w:r w:rsidR="006352DA" w:rsidRPr="006E2CDE">
        <w:rPr>
          <w:rFonts w:ascii="Times New Roman" w:hAnsi="Times New Roman" w:cs="Times New Roman"/>
          <w:i/>
          <w:sz w:val="24"/>
          <w:szCs w:val="24"/>
          <w:lang w:val="en-US"/>
        </w:rPr>
        <w:t xml:space="preserve">Harvard Law Review, </w:t>
      </w:r>
      <w:r w:rsidR="006352DA" w:rsidRPr="006E2CDE">
        <w:rPr>
          <w:rFonts w:ascii="Times New Roman" w:hAnsi="Times New Roman" w:cs="Times New Roman"/>
          <w:sz w:val="24"/>
          <w:szCs w:val="24"/>
          <w:lang w:val="en-US"/>
        </w:rPr>
        <w:t>nº 457.</w:t>
      </w:r>
    </w:p>
    <w:p w:rsidR="003B540C"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u w:val="single"/>
        </w:rPr>
      </w:pPr>
      <w:r w:rsidRPr="006E2CDE">
        <w:rPr>
          <w:rFonts w:ascii="Times New Roman" w:hAnsi="Times New Roman" w:cs="Times New Roman"/>
          <w:sz w:val="24"/>
          <w:szCs w:val="24"/>
        </w:rPr>
        <w:t>Igartua Salverría, J.</w:t>
      </w:r>
      <w:r w:rsidR="009A277B" w:rsidRPr="006E2CDE">
        <w:rPr>
          <w:rFonts w:ascii="Times New Roman" w:hAnsi="Times New Roman" w:cs="Times New Roman"/>
          <w:sz w:val="24"/>
          <w:szCs w:val="24"/>
        </w:rPr>
        <w:t xml:space="preserve"> (1998</w:t>
      </w:r>
      <w:proofErr w:type="gramStart"/>
      <w:r w:rsidR="009A277B" w:rsidRPr="006E2CDE">
        <w:rPr>
          <w:rFonts w:ascii="Times New Roman" w:hAnsi="Times New Roman" w:cs="Times New Roman"/>
          <w:sz w:val="24"/>
          <w:szCs w:val="24"/>
        </w:rPr>
        <w:t>)</w:t>
      </w:r>
      <w:r w:rsidR="003B540C" w:rsidRPr="006E2CDE">
        <w:rPr>
          <w:rFonts w:ascii="Times New Roman" w:hAnsi="Times New Roman" w:cs="Times New Roman"/>
          <w:i/>
          <w:sz w:val="24"/>
          <w:szCs w:val="24"/>
        </w:rPr>
        <w:t>Discrecionalidad</w:t>
      </w:r>
      <w:proofErr w:type="gramEnd"/>
      <w:r w:rsidR="003B540C" w:rsidRPr="006E2CDE">
        <w:rPr>
          <w:rFonts w:ascii="Times New Roman" w:hAnsi="Times New Roman" w:cs="Times New Roman"/>
          <w:i/>
          <w:sz w:val="24"/>
          <w:szCs w:val="24"/>
        </w:rPr>
        <w:t xml:space="preserve"> técnica, motivación y control de la actividad jurisdiccional, </w:t>
      </w:r>
      <w:r w:rsidR="00D17540" w:rsidRPr="006E2CDE">
        <w:rPr>
          <w:rFonts w:ascii="Times New Roman" w:hAnsi="Times New Roman" w:cs="Times New Roman"/>
          <w:sz w:val="24"/>
          <w:szCs w:val="24"/>
        </w:rPr>
        <w:t xml:space="preserve">Madrid, </w:t>
      </w:r>
      <w:r w:rsidR="003B540C" w:rsidRPr="006E2CDE">
        <w:rPr>
          <w:rFonts w:ascii="Times New Roman" w:hAnsi="Times New Roman" w:cs="Times New Roman"/>
          <w:sz w:val="24"/>
          <w:szCs w:val="24"/>
        </w:rPr>
        <w:t>Civitas</w:t>
      </w:r>
      <w:r w:rsidR="00D17540" w:rsidRPr="006E2CDE">
        <w:rPr>
          <w:rFonts w:ascii="Times New Roman" w:hAnsi="Times New Roman" w:cs="Times New Roman"/>
          <w:sz w:val="24"/>
          <w:szCs w:val="24"/>
        </w:rPr>
        <w:t>.</w:t>
      </w:r>
    </w:p>
    <w:p w:rsidR="00F10386" w:rsidRPr="006E2CDE" w:rsidRDefault="00825854"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rPr>
      </w:pPr>
      <w:r w:rsidRPr="006E2CDE">
        <w:rPr>
          <w:rFonts w:ascii="Times New Roman" w:hAnsi="Times New Roman" w:cs="Times New Roman"/>
          <w:sz w:val="24"/>
          <w:szCs w:val="24"/>
        </w:rPr>
        <w:t>Igartua S</w:t>
      </w:r>
      <w:r w:rsidR="003B540C" w:rsidRPr="006E2CDE">
        <w:rPr>
          <w:rFonts w:ascii="Times New Roman" w:hAnsi="Times New Roman" w:cs="Times New Roman"/>
          <w:sz w:val="24"/>
          <w:szCs w:val="24"/>
        </w:rPr>
        <w:t>alve</w:t>
      </w:r>
      <w:r w:rsidR="00D17540" w:rsidRPr="006E2CDE">
        <w:rPr>
          <w:rFonts w:ascii="Times New Roman" w:hAnsi="Times New Roman" w:cs="Times New Roman"/>
          <w:sz w:val="24"/>
          <w:szCs w:val="24"/>
        </w:rPr>
        <w:t xml:space="preserve">rría, J. </w:t>
      </w:r>
      <w:r w:rsidR="003B540C" w:rsidRPr="006E2CDE">
        <w:rPr>
          <w:rFonts w:ascii="Times New Roman" w:hAnsi="Times New Roman" w:cs="Times New Roman"/>
          <w:sz w:val="24"/>
          <w:szCs w:val="24"/>
        </w:rPr>
        <w:t xml:space="preserve">(1996) “Principio de legalidad, conceptos indeterminados y discrecionalidad administrativa”, </w:t>
      </w:r>
      <w:r w:rsidR="003B540C" w:rsidRPr="006E2CDE">
        <w:rPr>
          <w:rFonts w:ascii="Times New Roman" w:hAnsi="Times New Roman" w:cs="Times New Roman"/>
          <w:i/>
          <w:sz w:val="24"/>
          <w:szCs w:val="24"/>
        </w:rPr>
        <w:t>Revista Vasca de Administración Pública</w:t>
      </w:r>
      <w:r w:rsidR="003B540C" w:rsidRPr="006E2CDE">
        <w:rPr>
          <w:rFonts w:ascii="Times New Roman" w:hAnsi="Times New Roman" w:cs="Times New Roman"/>
          <w:sz w:val="24"/>
          <w:szCs w:val="24"/>
        </w:rPr>
        <w:t xml:space="preserve">, nº 46. </w:t>
      </w:r>
    </w:p>
    <w:p w:rsidR="00F10386" w:rsidRPr="006E2CDE" w:rsidRDefault="00F10386" w:rsidP="006E2CDE">
      <w:pPr>
        <w:pStyle w:val="Textonotapie"/>
        <w:numPr>
          <w:ilvl w:val="0"/>
          <w:numId w:val="14"/>
        </w:numPr>
        <w:spacing w:after="120" w:line="360" w:lineRule="auto"/>
        <w:ind w:left="714" w:hanging="357"/>
        <w:jc w:val="both"/>
        <w:rPr>
          <w:rFonts w:ascii="Times New Roman" w:hAnsi="Times New Roman" w:cs="Times New Roman"/>
          <w:sz w:val="24"/>
          <w:szCs w:val="24"/>
        </w:rPr>
      </w:pPr>
      <w:r w:rsidRPr="006E2CDE">
        <w:rPr>
          <w:rFonts w:ascii="Times New Roman" w:hAnsi="Times New Roman" w:cs="Times New Roman"/>
          <w:sz w:val="24"/>
          <w:szCs w:val="24"/>
        </w:rPr>
        <w:t>Kronma</w:t>
      </w:r>
      <w:r w:rsidR="006E2CDE" w:rsidRPr="006E2CDE">
        <w:rPr>
          <w:rFonts w:ascii="Times New Roman" w:hAnsi="Times New Roman" w:cs="Times New Roman"/>
          <w:sz w:val="24"/>
          <w:szCs w:val="24"/>
        </w:rPr>
        <w:t>,</w:t>
      </w:r>
      <w:r w:rsidRPr="006E2CDE">
        <w:rPr>
          <w:rFonts w:ascii="Times New Roman" w:hAnsi="Times New Roman" w:cs="Times New Roman"/>
          <w:sz w:val="24"/>
          <w:szCs w:val="24"/>
        </w:rPr>
        <w:t xml:space="preserve"> A</w:t>
      </w:r>
      <w:r w:rsidR="006E2CDE" w:rsidRPr="006E2CDE">
        <w:rPr>
          <w:rFonts w:ascii="Times New Roman" w:hAnsi="Times New Roman" w:cs="Times New Roman"/>
          <w:sz w:val="24"/>
          <w:szCs w:val="24"/>
        </w:rPr>
        <w:t>.</w:t>
      </w:r>
      <w:r w:rsidRPr="006E2CDE">
        <w:rPr>
          <w:rFonts w:ascii="Times New Roman" w:hAnsi="Times New Roman" w:cs="Times New Roman"/>
          <w:sz w:val="24"/>
          <w:szCs w:val="24"/>
        </w:rPr>
        <w:t xml:space="preserve">T. (2007) </w:t>
      </w:r>
      <w:r w:rsidR="0036714D" w:rsidRPr="006E2CDE">
        <w:rPr>
          <w:rFonts w:ascii="Times New Roman" w:hAnsi="Times New Roman" w:cs="Times New Roman"/>
          <w:sz w:val="24"/>
          <w:szCs w:val="24"/>
        </w:rPr>
        <w:t>“</w:t>
      </w:r>
      <w:r w:rsidRPr="006E2CDE">
        <w:rPr>
          <w:rFonts w:ascii="Times New Roman" w:hAnsi="Times New Roman" w:cs="Times New Roman"/>
          <w:sz w:val="24"/>
          <w:szCs w:val="24"/>
        </w:rPr>
        <w:t xml:space="preserve">El problema de la discrecionalidad </w:t>
      </w:r>
      <w:proofErr w:type="spellStart"/>
      <w:r w:rsidRPr="006E2CDE">
        <w:rPr>
          <w:rFonts w:ascii="Times New Roman" w:hAnsi="Times New Roman" w:cs="Times New Roman"/>
          <w:sz w:val="24"/>
          <w:szCs w:val="24"/>
        </w:rPr>
        <w:t>judicial</w:t>
      </w:r>
      <w:r w:rsidR="0036714D" w:rsidRPr="006E2CDE">
        <w:rPr>
          <w:rFonts w:ascii="Times New Roman" w:hAnsi="Times New Roman" w:cs="Times New Roman"/>
          <w:sz w:val="24"/>
          <w:szCs w:val="24"/>
        </w:rPr>
        <w:t>”</w:t>
      </w:r>
      <w:proofErr w:type="gramStart"/>
      <w:r w:rsidR="006E2CDE" w:rsidRPr="006E2CDE">
        <w:rPr>
          <w:rFonts w:ascii="Times New Roman" w:hAnsi="Times New Roman" w:cs="Times New Roman"/>
          <w:sz w:val="24"/>
          <w:szCs w:val="24"/>
        </w:rPr>
        <w:t>,</w:t>
      </w:r>
      <w:r w:rsidR="0036714D" w:rsidRPr="006E2CDE">
        <w:rPr>
          <w:rFonts w:ascii="Times New Roman" w:hAnsi="Times New Roman" w:cs="Times New Roman"/>
          <w:i/>
          <w:sz w:val="24"/>
          <w:szCs w:val="24"/>
        </w:rPr>
        <w:t>Revista</w:t>
      </w:r>
      <w:proofErr w:type="spellEnd"/>
      <w:proofErr w:type="gramEnd"/>
      <w:r w:rsidR="0036714D" w:rsidRPr="006E2CDE">
        <w:rPr>
          <w:rFonts w:ascii="Times New Roman" w:hAnsi="Times New Roman" w:cs="Times New Roman"/>
          <w:i/>
          <w:sz w:val="24"/>
          <w:szCs w:val="24"/>
        </w:rPr>
        <w:t xml:space="preserve"> sobre enseñanza de Derecho</w:t>
      </w:r>
      <w:r w:rsidR="006E2CDE" w:rsidRPr="006E2CDE">
        <w:rPr>
          <w:rFonts w:ascii="Times New Roman" w:hAnsi="Times New Roman" w:cs="Times New Roman"/>
          <w:i/>
          <w:sz w:val="24"/>
          <w:szCs w:val="24"/>
        </w:rPr>
        <w:t xml:space="preserve">, </w:t>
      </w:r>
      <w:r w:rsidR="006E2CDE" w:rsidRPr="006E2CDE">
        <w:rPr>
          <w:rFonts w:ascii="Times New Roman" w:hAnsi="Times New Roman" w:cs="Times New Roman"/>
          <w:sz w:val="24"/>
          <w:szCs w:val="24"/>
        </w:rPr>
        <w:t>a</w:t>
      </w:r>
      <w:r w:rsidR="0036714D" w:rsidRPr="006E2CDE">
        <w:rPr>
          <w:rFonts w:ascii="Times New Roman" w:hAnsi="Times New Roman" w:cs="Times New Roman"/>
          <w:sz w:val="24"/>
          <w:szCs w:val="24"/>
        </w:rPr>
        <w:t xml:space="preserve">ño 5, nº </w:t>
      </w:r>
      <w:r w:rsidRPr="006E2CDE">
        <w:rPr>
          <w:rFonts w:ascii="Times New Roman" w:hAnsi="Times New Roman" w:cs="Times New Roman"/>
          <w:sz w:val="24"/>
          <w:szCs w:val="24"/>
        </w:rPr>
        <w:t>10.</w:t>
      </w:r>
    </w:p>
    <w:p w:rsidR="003B540C" w:rsidRPr="006E2CDE" w:rsidRDefault="003B540C"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rPr>
      </w:pPr>
      <w:r w:rsidRPr="006E2CDE">
        <w:rPr>
          <w:rFonts w:ascii="Times New Roman" w:hAnsi="Times New Roman" w:cs="Times New Roman"/>
          <w:sz w:val="24"/>
          <w:szCs w:val="24"/>
        </w:rPr>
        <w:t>Lifante Vidal, I. (2002) “Dos conceptos de discrecionalidad ju</w:t>
      </w:r>
      <w:r w:rsidR="00F10386" w:rsidRPr="006E2CDE">
        <w:rPr>
          <w:rFonts w:ascii="Times New Roman" w:hAnsi="Times New Roman" w:cs="Times New Roman"/>
          <w:sz w:val="24"/>
          <w:szCs w:val="24"/>
        </w:rPr>
        <w:t xml:space="preserve">rídica”, </w:t>
      </w:r>
      <w:r w:rsidR="00F10386" w:rsidRPr="006E2CDE">
        <w:rPr>
          <w:rFonts w:ascii="Times New Roman" w:hAnsi="Times New Roman" w:cs="Times New Roman"/>
          <w:i/>
          <w:sz w:val="24"/>
          <w:szCs w:val="24"/>
        </w:rPr>
        <w:t>Doxa</w:t>
      </w:r>
      <w:r w:rsidR="00F10386" w:rsidRPr="006E2CDE">
        <w:rPr>
          <w:rFonts w:ascii="Times New Roman" w:hAnsi="Times New Roman" w:cs="Times New Roman"/>
          <w:sz w:val="24"/>
          <w:szCs w:val="24"/>
        </w:rPr>
        <w:t xml:space="preserve">, nº 25. </w:t>
      </w:r>
    </w:p>
    <w:p w:rsidR="009B7E4E"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rPr>
      </w:pPr>
      <w:r w:rsidRPr="006E2CDE">
        <w:rPr>
          <w:rFonts w:ascii="Times New Roman" w:hAnsi="Times New Roman" w:cs="Times New Roman"/>
          <w:sz w:val="24"/>
          <w:szCs w:val="24"/>
        </w:rPr>
        <w:t xml:space="preserve">Nieto, A. </w:t>
      </w:r>
      <w:r w:rsidR="00962C1E" w:rsidRPr="006E2CDE">
        <w:rPr>
          <w:rFonts w:ascii="Times New Roman" w:hAnsi="Times New Roman" w:cs="Times New Roman"/>
          <w:sz w:val="24"/>
          <w:szCs w:val="24"/>
        </w:rPr>
        <w:t xml:space="preserve">(2000) </w:t>
      </w:r>
      <w:r w:rsidRPr="006E2CDE">
        <w:rPr>
          <w:rFonts w:ascii="Times New Roman" w:hAnsi="Times New Roman" w:cs="Times New Roman"/>
          <w:i/>
          <w:sz w:val="24"/>
          <w:szCs w:val="24"/>
        </w:rPr>
        <w:t xml:space="preserve">El arbitrio </w:t>
      </w:r>
      <w:proofErr w:type="spellStart"/>
      <w:r w:rsidRPr="006E2CDE">
        <w:rPr>
          <w:rFonts w:ascii="Times New Roman" w:hAnsi="Times New Roman" w:cs="Times New Roman"/>
          <w:i/>
          <w:sz w:val="24"/>
          <w:szCs w:val="24"/>
        </w:rPr>
        <w:t>judicial</w:t>
      </w:r>
      <w:proofErr w:type="gramStart"/>
      <w:r w:rsidRPr="006E2CDE">
        <w:rPr>
          <w:rFonts w:ascii="Times New Roman" w:hAnsi="Times New Roman" w:cs="Times New Roman"/>
          <w:sz w:val="24"/>
          <w:szCs w:val="24"/>
        </w:rPr>
        <w:t>,</w:t>
      </w:r>
      <w:r w:rsidR="0036714D" w:rsidRPr="006E2CDE">
        <w:rPr>
          <w:rFonts w:ascii="Times New Roman" w:hAnsi="Times New Roman" w:cs="Times New Roman"/>
          <w:sz w:val="24"/>
          <w:szCs w:val="24"/>
        </w:rPr>
        <w:t>Barcelona</w:t>
      </w:r>
      <w:proofErr w:type="spellEnd"/>
      <w:proofErr w:type="gramEnd"/>
      <w:r w:rsidR="0036714D" w:rsidRPr="006E2CDE">
        <w:rPr>
          <w:rFonts w:ascii="Times New Roman" w:hAnsi="Times New Roman" w:cs="Times New Roman"/>
          <w:sz w:val="24"/>
          <w:szCs w:val="24"/>
        </w:rPr>
        <w:t xml:space="preserve">, </w:t>
      </w:r>
      <w:r w:rsidR="00962C1E" w:rsidRPr="006E2CDE">
        <w:rPr>
          <w:rFonts w:ascii="Times New Roman" w:hAnsi="Times New Roman" w:cs="Times New Roman"/>
          <w:sz w:val="24"/>
          <w:szCs w:val="24"/>
        </w:rPr>
        <w:t>Ariel</w:t>
      </w:r>
      <w:r w:rsidR="00F10386" w:rsidRPr="006E2CDE">
        <w:rPr>
          <w:rFonts w:ascii="Times New Roman" w:hAnsi="Times New Roman" w:cs="Times New Roman"/>
          <w:i/>
          <w:sz w:val="24"/>
          <w:szCs w:val="24"/>
        </w:rPr>
        <w:t>.</w:t>
      </w:r>
    </w:p>
    <w:p w:rsidR="009B7E4E" w:rsidRPr="006E2CDE" w:rsidRDefault="009B7E4E" w:rsidP="006E2CDE">
      <w:pPr>
        <w:pStyle w:val="Prrafodelista"/>
        <w:numPr>
          <w:ilvl w:val="0"/>
          <w:numId w:val="14"/>
        </w:numPr>
        <w:spacing w:after="120" w:line="360" w:lineRule="auto"/>
        <w:ind w:left="714" w:hanging="357"/>
        <w:contextualSpacing w:val="0"/>
        <w:jc w:val="both"/>
        <w:rPr>
          <w:rFonts w:ascii="Times New Roman" w:hAnsi="Times New Roman" w:cs="Times New Roman"/>
          <w:i/>
          <w:sz w:val="24"/>
          <w:szCs w:val="24"/>
        </w:rPr>
      </w:pPr>
      <w:r w:rsidRPr="006E2CDE">
        <w:rPr>
          <w:rFonts w:ascii="Times New Roman" w:hAnsi="Times New Roman" w:cs="Times New Roman"/>
          <w:sz w:val="24"/>
          <w:szCs w:val="24"/>
        </w:rPr>
        <w:t>Otero Parga, M.</w:t>
      </w:r>
      <w:r w:rsidR="00C6542F" w:rsidRPr="006E2CDE">
        <w:rPr>
          <w:rFonts w:ascii="Times New Roman" w:hAnsi="Times New Roman" w:cs="Times New Roman"/>
          <w:sz w:val="24"/>
          <w:szCs w:val="24"/>
        </w:rPr>
        <w:t xml:space="preserve"> (</w:t>
      </w:r>
      <w:r w:rsidR="00F10386" w:rsidRPr="006E2CDE">
        <w:rPr>
          <w:rFonts w:ascii="Times New Roman" w:hAnsi="Times New Roman" w:cs="Times New Roman"/>
          <w:sz w:val="24"/>
          <w:szCs w:val="24"/>
        </w:rPr>
        <w:t>1995</w:t>
      </w:r>
      <w:r w:rsidR="00C6542F" w:rsidRPr="006E2CDE">
        <w:rPr>
          <w:rFonts w:ascii="Times New Roman" w:hAnsi="Times New Roman" w:cs="Times New Roman"/>
          <w:sz w:val="24"/>
          <w:szCs w:val="24"/>
        </w:rPr>
        <w:t xml:space="preserve">) </w:t>
      </w:r>
      <w:r w:rsidR="0036714D" w:rsidRPr="006E2CDE">
        <w:rPr>
          <w:rFonts w:ascii="Times New Roman" w:hAnsi="Times New Roman" w:cs="Times New Roman"/>
          <w:sz w:val="24"/>
          <w:szCs w:val="24"/>
        </w:rPr>
        <w:t>“</w:t>
      </w:r>
      <w:r w:rsidRPr="006E2CDE">
        <w:rPr>
          <w:rFonts w:ascii="Times New Roman" w:hAnsi="Times New Roman" w:cs="Times New Roman"/>
          <w:sz w:val="24"/>
          <w:szCs w:val="24"/>
        </w:rPr>
        <w:t>La arbitrariedad</w:t>
      </w:r>
      <w:r w:rsidR="0036714D" w:rsidRPr="006E2CDE">
        <w:rPr>
          <w:rFonts w:ascii="Times New Roman" w:hAnsi="Times New Roman" w:cs="Times New Roman"/>
          <w:sz w:val="24"/>
          <w:szCs w:val="24"/>
        </w:rPr>
        <w:t>”</w:t>
      </w:r>
      <w:r w:rsidR="00F10386" w:rsidRPr="006E2CDE">
        <w:rPr>
          <w:rFonts w:ascii="Times New Roman" w:hAnsi="Times New Roman" w:cs="Times New Roman"/>
          <w:sz w:val="24"/>
          <w:szCs w:val="24"/>
        </w:rPr>
        <w:t>,</w:t>
      </w:r>
      <w:r w:rsidR="00F10386" w:rsidRPr="006E2CDE">
        <w:rPr>
          <w:rFonts w:ascii="Times New Roman" w:hAnsi="Times New Roman" w:cs="Times New Roman"/>
          <w:i/>
          <w:sz w:val="24"/>
          <w:szCs w:val="24"/>
        </w:rPr>
        <w:t xml:space="preserve"> Anuario de filosofía del derecho</w:t>
      </w:r>
      <w:r w:rsidR="00ED5DC3" w:rsidRPr="006E2CDE">
        <w:rPr>
          <w:rFonts w:ascii="Times New Roman" w:hAnsi="Times New Roman" w:cs="Times New Roman"/>
          <w:sz w:val="24"/>
          <w:szCs w:val="24"/>
        </w:rPr>
        <w:t>, n</w:t>
      </w:r>
      <w:r w:rsidR="00F10386" w:rsidRPr="006E2CDE">
        <w:rPr>
          <w:rFonts w:ascii="Times New Roman" w:hAnsi="Times New Roman" w:cs="Times New Roman"/>
          <w:sz w:val="24"/>
          <w:szCs w:val="24"/>
        </w:rPr>
        <w:t xml:space="preserve">º 12. </w:t>
      </w:r>
    </w:p>
    <w:p w:rsidR="006E2CDE" w:rsidRPr="006E2CDE" w:rsidRDefault="009B7E4E" w:rsidP="006E2CDE">
      <w:pPr>
        <w:pStyle w:val="Textonotapie"/>
        <w:numPr>
          <w:ilvl w:val="0"/>
          <w:numId w:val="14"/>
        </w:numPr>
        <w:spacing w:after="120" w:line="360" w:lineRule="auto"/>
        <w:ind w:left="714" w:hanging="357"/>
        <w:jc w:val="both"/>
        <w:rPr>
          <w:rFonts w:ascii="Times New Roman" w:hAnsi="Times New Roman" w:cs="Times New Roman"/>
          <w:i/>
          <w:sz w:val="24"/>
          <w:szCs w:val="24"/>
        </w:rPr>
      </w:pPr>
      <w:r w:rsidRPr="006E2CDE">
        <w:rPr>
          <w:rFonts w:ascii="Times New Roman" w:hAnsi="Times New Roman" w:cs="Times New Roman"/>
          <w:sz w:val="24"/>
          <w:szCs w:val="24"/>
        </w:rPr>
        <w:t>Peces-</w:t>
      </w:r>
      <w:proofErr w:type="spellStart"/>
      <w:r w:rsidRPr="006E2CDE">
        <w:rPr>
          <w:rFonts w:ascii="Times New Roman" w:hAnsi="Times New Roman" w:cs="Times New Roman"/>
          <w:sz w:val="24"/>
          <w:szCs w:val="24"/>
        </w:rPr>
        <w:t>Barba</w:t>
      </w:r>
      <w:proofErr w:type="gramStart"/>
      <w:r w:rsidR="0036714D" w:rsidRPr="006E2CDE">
        <w:rPr>
          <w:rFonts w:ascii="Times New Roman" w:hAnsi="Times New Roman" w:cs="Times New Roman"/>
          <w:sz w:val="24"/>
          <w:szCs w:val="24"/>
        </w:rPr>
        <w:t>,</w:t>
      </w:r>
      <w:r w:rsidR="009A277B" w:rsidRPr="006E2CDE">
        <w:rPr>
          <w:rFonts w:ascii="Times New Roman" w:hAnsi="Times New Roman" w:cs="Times New Roman"/>
          <w:sz w:val="24"/>
          <w:szCs w:val="24"/>
        </w:rPr>
        <w:t>G</w:t>
      </w:r>
      <w:proofErr w:type="spellEnd"/>
      <w:proofErr w:type="gramEnd"/>
      <w:r w:rsidR="009A277B" w:rsidRPr="006E2CDE">
        <w:rPr>
          <w:rFonts w:ascii="Times New Roman" w:hAnsi="Times New Roman" w:cs="Times New Roman"/>
          <w:sz w:val="24"/>
          <w:szCs w:val="24"/>
        </w:rPr>
        <w:t>.(1983)“</w:t>
      </w:r>
      <w:r w:rsidRPr="006E2CDE">
        <w:rPr>
          <w:rFonts w:ascii="Times New Roman" w:hAnsi="Times New Roman" w:cs="Times New Roman"/>
          <w:sz w:val="24"/>
          <w:szCs w:val="24"/>
        </w:rPr>
        <w:t>La creación judicial del Derecho desde la Teoría del Ordenamiento Jurídico</w:t>
      </w:r>
      <w:r w:rsidR="009A277B" w:rsidRPr="006E2CDE">
        <w:rPr>
          <w:rFonts w:ascii="Times New Roman" w:hAnsi="Times New Roman" w:cs="Times New Roman"/>
          <w:sz w:val="24"/>
          <w:szCs w:val="24"/>
        </w:rPr>
        <w:t>”</w:t>
      </w:r>
      <w:r w:rsidR="006E2CDE" w:rsidRPr="006E2CDE">
        <w:rPr>
          <w:rFonts w:ascii="Times New Roman" w:hAnsi="Times New Roman" w:cs="Times New Roman"/>
          <w:sz w:val="24"/>
          <w:szCs w:val="24"/>
        </w:rPr>
        <w:t xml:space="preserve">, </w:t>
      </w:r>
      <w:r w:rsidR="009A277B" w:rsidRPr="006E2CDE">
        <w:rPr>
          <w:rFonts w:ascii="Times New Roman" w:hAnsi="Times New Roman" w:cs="Times New Roman"/>
          <w:i/>
          <w:sz w:val="24"/>
          <w:szCs w:val="24"/>
        </w:rPr>
        <w:t xml:space="preserve">Poder Judicial, </w:t>
      </w:r>
      <w:r w:rsidR="006E2CDE" w:rsidRPr="006E2CDE">
        <w:rPr>
          <w:rFonts w:ascii="Times New Roman" w:hAnsi="Times New Roman" w:cs="Times New Roman"/>
          <w:sz w:val="24"/>
          <w:szCs w:val="24"/>
        </w:rPr>
        <w:t>n</w:t>
      </w:r>
      <w:r w:rsidR="009A277B" w:rsidRPr="006E2CDE">
        <w:rPr>
          <w:rFonts w:ascii="Times New Roman" w:hAnsi="Times New Roman" w:cs="Times New Roman"/>
          <w:sz w:val="24"/>
          <w:szCs w:val="24"/>
        </w:rPr>
        <w:t>º6</w:t>
      </w:r>
      <w:r w:rsidR="006E2CDE" w:rsidRPr="006E2CDE">
        <w:rPr>
          <w:rFonts w:ascii="Times New Roman" w:hAnsi="Times New Roman" w:cs="Times New Roman"/>
          <w:sz w:val="24"/>
          <w:szCs w:val="24"/>
        </w:rPr>
        <w:t>.</w:t>
      </w:r>
    </w:p>
    <w:p w:rsidR="006E2CDE" w:rsidRPr="006E2CDE" w:rsidRDefault="006E2CDE" w:rsidP="006E2CDE">
      <w:pPr>
        <w:pStyle w:val="Textonotapie"/>
        <w:numPr>
          <w:ilvl w:val="0"/>
          <w:numId w:val="14"/>
        </w:numPr>
        <w:spacing w:after="120" w:line="360" w:lineRule="auto"/>
        <w:ind w:left="714" w:hanging="357"/>
        <w:jc w:val="both"/>
        <w:rPr>
          <w:rFonts w:ascii="Times New Roman" w:eastAsia="Calibri" w:hAnsi="Times New Roman" w:cs="Times New Roman"/>
          <w:sz w:val="24"/>
          <w:szCs w:val="24"/>
          <w:lang w:eastAsia="en-US"/>
        </w:rPr>
      </w:pPr>
      <w:r w:rsidRPr="006E2CDE">
        <w:rPr>
          <w:rFonts w:ascii="Times New Roman" w:hAnsi="Times New Roman" w:cs="Times New Roman"/>
          <w:sz w:val="24"/>
          <w:szCs w:val="24"/>
        </w:rPr>
        <w:t xml:space="preserve">Ruiz </w:t>
      </w:r>
      <w:proofErr w:type="spellStart"/>
      <w:r w:rsidRPr="006E2CDE">
        <w:rPr>
          <w:rFonts w:ascii="Times New Roman" w:hAnsi="Times New Roman" w:cs="Times New Roman"/>
          <w:sz w:val="24"/>
          <w:szCs w:val="24"/>
        </w:rPr>
        <w:t>Ruiz</w:t>
      </w:r>
      <w:proofErr w:type="spellEnd"/>
      <w:r w:rsidRPr="006E2CDE">
        <w:rPr>
          <w:rFonts w:ascii="Times New Roman" w:hAnsi="Times New Roman" w:cs="Times New Roman"/>
          <w:sz w:val="24"/>
          <w:szCs w:val="24"/>
        </w:rPr>
        <w:t xml:space="preserve">, R. (2014) “El juez y la aplicación del derecho”, en </w:t>
      </w:r>
      <w:r w:rsidRPr="006E2CDE">
        <w:rPr>
          <w:rFonts w:ascii="Times New Roman" w:eastAsia="Calibri" w:hAnsi="Times New Roman" w:cs="Times New Roman"/>
          <w:sz w:val="24"/>
          <w:szCs w:val="24"/>
          <w:lang w:eastAsia="en-US"/>
        </w:rPr>
        <w:t>Barranco, M.C, Celador, O. y Vacas, F. (</w:t>
      </w:r>
      <w:proofErr w:type="spellStart"/>
      <w:r w:rsidRPr="006E2CDE">
        <w:rPr>
          <w:rFonts w:ascii="Times New Roman" w:eastAsia="Calibri" w:hAnsi="Times New Roman" w:cs="Times New Roman"/>
          <w:sz w:val="24"/>
          <w:szCs w:val="24"/>
          <w:lang w:eastAsia="en-US"/>
        </w:rPr>
        <w:t>coords</w:t>
      </w:r>
      <w:proofErr w:type="spellEnd"/>
      <w:r w:rsidRPr="006E2CDE">
        <w:rPr>
          <w:rFonts w:ascii="Times New Roman" w:eastAsia="Calibri" w:hAnsi="Times New Roman" w:cs="Times New Roman"/>
          <w:sz w:val="24"/>
          <w:szCs w:val="24"/>
          <w:lang w:eastAsia="en-US"/>
        </w:rPr>
        <w:t xml:space="preserve">.): </w:t>
      </w:r>
      <w:r w:rsidRPr="006E2CDE">
        <w:rPr>
          <w:rFonts w:ascii="Times New Roman" w:eastAsia="Calibri" w:hAnsi="Times New Roman" w:cs="Times New Roman"/>
          <w:i/>
          <w:sz w:val="24"/>
          <w:szCs w:val="24"/>
          <w:lang w:eastAsia="en-US"/>
        </w:rPr>
        <w:t>Perspectivas actuales en la aplicación del Derecho</w:t>
      </w:r>
      <w:r w:rsidRPr="006E2CDE">
        <w:rPr>
          <w:rFonts w:ascii="Times New Roman" w:eastAsia="Calibri" w:hAnsi="Times New Roman" w:cs="Times New Roman"/>
          <w:sz w:val="24"/>
          <w:szCs w:val="24"/>
          <w:lang w:eastAsia="en-US"/>
        </w:rPr>
        <w:t xml:space="preserve">, </w:t>
      </w:r>
      <w:proofErr w:type="spellStart"/>
      <w:r w:rsidRPr="006E2CDE">
        <w:rPr>
          <w:rFonts w:ascii="Times New Roman" w:eastAsia="Calibri" w:hAnsi="Times New Roman" w:cs="Times New Roman"/>
          <w:sz w:val="24"/>
          <w:szCs w:val="24"/>
          <w:lang w:eastAsia="en-US"/>
        </w:rPr>
        <w:t>Dykinson</w:t>
      </w:r>
      <w:proofErr w:type="spellEnd"/>
      <w:r w:rsidRPr="006E2CDE">
        <w:rPr>
          <w:rFonts w:ascii="Times New Roman" w:eastAsia="Calibri" w:hAnsi="Times New Roman" w:cs="Times New Roman"/>
          <w:sz w:val="24"/>
          <w:szCs w:val="24"/>
          <w:lang w:eastAsia="en-US"/>
        </w:rPr>
        <w:t>, Madrid.</w:t>
      </w:r>
    </w:p>
    <w:p w:rsidR="009B7E4E" w:rsidRPr="006E2CDE" w:rsidRDefault="003B540C" w:rsidP="006E2CDE">
      <w:pPr>
        <w:pStyle w:val="Textonotapie"/>
        <w:numPr>
          <w:ilvl w:val="0"/>
          <w:numId w:val="14"/>
        </w:numPr>
        <w:spacing w:after="120" w:line="360" w:lineRule="auto"/>
        <w:ind w:left="714" w:hanging="357"/>
        <w:jc w:val="both"/>
        <w:rPr>
          <w:rFonts w:ascii="Times New Roman" w:hAnsi="Times New Roman" w:cs="Times New Roman"/>
          <w:i/>
          <w:sz w:val="24"/>
          <w:szCs w:val="24"/>
        </w:rPr>
      </w:pPr>
      <w:r w:rsidRPr="006E2CDE">
        <w:rPr>
          <w:rFonts w:ascii="Times New Roman" w:hAnsi="Times New Roman" w:cs="Times New Roman"/>
          <w:sz w:val="24"/>
          <w:szCs w:val="24"/>
        </w:rPr>
        <w:lastRenderedPageBreak/>
        <w:t xml:space="preserve">Segura Ortega, </w:t>
      </w:r>
      <w:r w:rsidR="0036714D" w:rsidRPr="006E2CDE">
        <w:rPr>
          <w:rFonts w:ascii="Times New Roman" w:hAnsi="Times New Roman" w:cs="Times New Roman"/>
          <w:sz w:val="24"/>
          <w:szCs w:val="24"/>
        </w:rPr>
        <w:t xml:space="preserve">M. </w:t>
      </w:r>
      <w:r w:rsidRPr="006E2CDE">
        <w:rPr>
          <w:rFonts w:ascii="Times New Roman" w:hAnsi="Times New Roman" w:cs="Times New Roman"/>
          <w:sz w:val="24"/>
          <w:szCs w:val="24"/>
        </w:rPr>
        <w:t xml:space="preserve">(2006) </w:t>
      </w:r>
      <w:r w:rsidRPr="006E2CDE">
        <w:rPr>
          <w:rFonts w:ascii="Times New Roman" w:hAnsi="Times New Roman" w:cs="Times New Roman"/>
          <w:i/>
          <w:sz w:val="24"/>
          <w:szCs w:val="24"/>
        </w:rPr>
        <w:t xml:space="preserve">Sentidos y Límites </w:t>
      </w:r>
      <w:r w:rsidR="009A277B" w:rsidRPr="006E2CDE">
        <w:rPr>
          <w:rFonts w:ascii="Times New Roman" w:hAnsi="Times New Roman" w:cs="Times New Roman"/>
          <w:i/>
          <w:sz w:val="24"/>
          <w:szCs w:val="24"/>
        </w:rPr>
        <w:t xml:space="preserve">de la discrecionalidad judicial, </w:t>
      </w:r>
      <w:proofErr w:type="spellStart"/>
      <w:r w:rsidR="009A277B" w:rsidRPr="006E2CDE">
        <w:rPr>
          <w:rFonts w:ascii="Times New Roman" w:hAnsi="Times New Roman" w:cs="Times New Roman"/>
          <w:sz w:val="24"/>
          <w:szCs w:val="24"/>
        </w:rPr>
        <w:t>Madrid</w:t>
      </w:r>
      <w:proofErr w:type="gramStart"/>
      <w:r w:rsidR="009A277B" w:rsidRPr="006E2CDE">
        <w:rPr>
          <w:rFonts w:ascii="Times New Roman" w:hAnsi="Times New Roman" w:cs="Times New Roman"/>
          <w:sz w:val="24"/>
          <w:szCs w:val="24"/>
        </w:rPr>
        <w:t>,</w:t>
      </w:r>
      <w:r w:rsidRPr="006E2CDE">
        <w:rPr>
          <w:rFonts w:ascii="Times New Roman" w:hAnsi="Times New Roman" w:cs="Times New Roman"/>
          <w:sz w:val="24"/>
          <w:szCs w:val="24"/>
        </w:rPr>
        <w:t>Editorial</w:t>
      </w:r>
      <w:proofErr w:type="spellEnd"/>
      <w:proofErr w:type="gramEnd"/>
      <w:r w:rsidRPr="006E2CDE">
        <w:rPr>
          <w:rFonts w:ascii="Times New Roman" w:hAnsi="Times New Roman" w:cs="Times New Roman"/>
          <w:sz w:val="24"/>
          <w:szCs w:val="24"/>
        </w:rPr>
        <w:t xml:space="preserve"> Universitaria Ramón Areces. </w:t>
      </w:r>
    </w:p>
    <w:p w:rsidR="00096050" w:rsidRPr="006E2CDE" w:rsidRDefault="00096050"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u w:val="single"/>
        </w:rPr>
      </w:pPr>
      <w:r w:rsidRPr="006E2CDE">
        <w:rPr>
          <w:rFonts w:ascii="Times New Roman" w:hAnsi="Times New Roman" w:cs="Times New Roman"/>
          <w:sz w:val="24"/>
          <w:szCs w:val="24"/>
        </w:rPr>
        <w:t>Wróblewski, J</w:t>
      </w:r>
      <w:r w:rsidR="003B540C" w:rsidRPr="006E2CDE">
        <w:rPr>
          <w:rFonts w:ascii="Times New Roman" w:hAnsi="Times New Roman" w:cs="Times New Roman"/>
          <w:sz w:val="24"/>
          <w:szCs w:val="24"/>
        </w:rPr>
        <w:t>. (1989</w:t>
      </w:r>
      <w:proofErr w:type="gramStart"/>
      <w:r w:rsidR="003B540C" w:rsidRPr="006E2CDE">
        <w:rPr>
          <w:rFonts w:ascii="Times New Roman" w:hAnsi="Times New Roman" w:cs="Times New Roman"/>
          <w:sz w:val="24"/>
          <w:szCs w:val="24"/>
        </w:rPr>
        <w:t>)</w:t>
      </w:r>
      <w:r w:rsidR="00ED5DC3" w:rsidRPr="006E2CDE">
        <w:rPr>
          <w:rFonts w:ascii="Times New Roman" w:hAnsi="Times New Roman" w:cs="Times New Roman"/>
          <w:i/>
          <w:sz w:val="24"/>
          <w:szCs w:val="24"/>
        </w:rPr>
        <w:t>Sentido</w:t>
      </w:r>
      <w:proofErr w:type="gramEnd"/>
      <w:r w:rsidR="00ED5DC3" w:rsidRPr="006E2CDE">
        <w:rPr>
          <w:rFonts w:ascii="Times New Roman" w:hAnsi="Times New Roman" w:cs="Times New Roman"/>
          <w:i/>
          <w:sz w:val="24"/>
          <w:szCs w:val="24"/>
        </w:rPr>
        <w:t xml:space="preserve"> y hecho en el Derecho</w:t>
      </w:r>
      <w:r w:rsidRPr="006E2CDE">
        <w:rPr>
          <w:rFonts w:ascii="Times New Roman" w:hAnsi="Times New Roman" w:cs="Times New Roman"/>
          <w:sz w:val="24"/>
          <w:szCs w:val="24"/>
        </w:rPr>
        <w:t xml:space="preserve">, </w:t>
      </w:r>
      <w:r w:rsidR="00825854" w:rsidRPr="006E2CDE">
        <w:rPr>
          <w:rFonts w:ascii="Times New Roman" w:hAnsi="Times New Roman" w:cs="Times New Roman"/>
          <w:sz w:val="24"/>
          <w:szCs w:val="24"/>
        </w:rPr>
        <w:t xml:space="preserve">Servicio Editorial de la </w:t>
      </w:r>
      <w:r w:rsidRPr="006E2CDE">
        <w:rPr>
          <w:rFonts w:ascii="Times New Roman" w:hAnsi="Times New Roman" w:cs="Times New Roman"/>
          <w:sz w:val="24"/>
          <w:szCs w:val="24"/>
        </w:rPr>
        <w:t>Universidad del País Vasco.</w:t>
      </w:r>
    </w:p>
    <w:p w:rsidR="003B540C" w:rsidRPr="006E2CDE" w:rsidRDefault="001257D6" w:rsidP="006E2CDE">
      <w:pPr>
        <w:pStyle w:val="Prrafodelista"/>
        <w:numPr>
          <w:ilvl w:val="0"/>
          <w:numId w:val="14"/>
        </w:numPr>
        <w:spacing w:after="120" w:line="360" w:lineRule="auto"/>
        <w:ind w:left="714" w:hanging="357"/>
        <w:contextualSpacing w:val="0"/>
        <w:jc w:val="both"/>
        <w:rPr>
          <w:rFonts w:ascii="Times New Roman" w:hAnsi="Times New Roman" w:cs="Times New Roman"/>
          <w:sz w:val="24"/>
          <w:szCs w:val="24"/>
        </w:rPr>
      </w:pPr>
      <w:r w:rsidRPr="006E2CDE">
        <w:rPr>
          <w:rFonts w:ascii="Times New Roman" w:hAnsi="Times New Roman" w:cs="Times New Roman"/>
          <w:sz w:val="24"/>
          <w:szCs w:val="24"/>
        </w:rPr>
        <w:t>Zambrano Tiznado, J</w:t>
      </w:r>
      <w:r w:rsidR="006E2CDE" w:rsidRPr="006E2CDE">
        <w:rPr>
          <w:rFonts w:ascii="Times New Roman" w:hAnsi="Times New Roman" w:cs="Times New Roman"/>
          <w:sz w:val="24"/>
          <w:szCs w:val="24"/>
        </w:rPr>
        <w:t>.</w:t>
      </w:r>
      <w:r w:rsidRPr="006E2CDE">
        <w:rPr>
          <w:rFonts w:ascii="Times New Roman" w:hAnsi="Times New Roman" w:cs="Times New Roman"/>
          <w:sz w:val="24"/>
          <w:szCs w:val="24"/>
        </w:rPr>
        <w:t>P</w:t>
      </w:r>
      <w:r w:rsidR="006E2CDE" w:rsidRPr="006E2CDE">
        <w:rPr>
          <w:rFonts w:ascii="Times New Roman" w:hAnsi="Times New Roman" w:cs="Times New Roman"/>
          <w:sz w:val="24"/>
          <w:szCs w:val="24"/>
        </w:rPr>
        <w:t>.</w:t>
      </w:r>
      <w:r w:rsidRPr="006E2CDE">
        <w:rPr>
          <w:rFonts w:ascii="Times New Roman" w:hAnsi="Times New Roman" w:cs="Times New Roman"/>
          <w:sz w:val="24"/>
          <w:szCs w:val="24"/>
        </w:rPr>
        <w:t xml:space="preserve"> y Agüero San Juan, C.</w:t>
      </w:r>
      <w:r w:rsidR="00ED5DC3" w:rsidRPr="006E2CDE">
        <w:rPr>
          <w:rFonts w:ascii="Times New Roman" w:hAnsi="Times New Roman" w:cs="Times New Roman"/>
          <w:sz w:val="24"/>
          <w:szCs w:val="24"/>
        </w:rPr>
        <w:t xml:space="preserve"> (2009)</w:t>
      </w:r>
      <w:r w:rsidRPr="006E2CDE">
        <w:rPr>
          <w:rFonts w:ascii="Times New Roman" w:hAnsi="Times New Roman" w:cs="Times New Roman"/>
          <w:i/>
          <w:sz w:val="24"/>
          <w:szCs w:val="24"/>
        </w:rPr>
        <w:t xml:space="preserve"> “</w:t>
      </w:r>
      <w:r w:rsidR="00096050" w:rsidRPr="006E2CDE">
        <w:rPr>
          <w:rFonts w:ascii="Times New Roman" w:hAnsi="Times New Roman" w:cs="Times New Roman"/>
          <w:sz w:val="24"/>
          <w:szCs w:val="24"/>
        </w:rPr>
        <w:t>Multiculturalidad y discrecionalidad judicial en una sentencia pe</w:t>
      </w:r>
      <w:r w:rsidRPr="006E2CDE">
        <w:rPr>
          <w:rFonts w:ascii="Times New Roman" w:hAnsi="Times New Roman" w:cs="Times New Roman"/>
          <w:sz w:val="24"/>
          <w:szCs w:val="24"/>
        </w:rPr>
        <w:t>nal: análisis desde Joseph Raz”</w:t>
      </w:r>
      <w:r w:rsidR="00ED5DC3" w:rsidRPr="006E2CDE">
        <w:rPr>
          <w:rFonts w:ascii="Times New Roman" w:hAnsi="Times New Roman" w:cs="Times New Roman"/>
          <w:sz w:val="24"/>
          <w:szCs w:val="24"/>
        </w:rPr>
        <w:t xml:space="preserve">, </w:t>
      </w:r>
      <w:r w:rsidR="00ED5DC3" w:rsidRPr="006E2CDE">
        <w:rPr>
          <w:rFonts w:ascii="Times New Roman" w:hAnsi="Times New Roman" w:cs="Times New Roman"/>
          <w:i/>
          <w:sz w:val="24"/>
          <w:szCs w:val="24"/>
        </w:rPr>
        <w:t>Revista de Derecho de la Pontificia Universidad Católica de Valparaíso.</w:t>
      </w:r>
    </w:p>
    <w:p w:rsidR="006E2CDE" w:rsidRPr="00ED5DC3" w:rsidRDefault="006E2CDE" w:rsidP="006E2CDE">
      <w:pPr>
        <w:pStyle w:val="Prrafodelista"/>
        <w:spacing w:line="360" w:lineRule="auto"/>
        <w:jc w:val="both"/>
        <w:rPr>
          <w:rFonts w:ascii="Times New Roman" w:hAnsi="Times New Roman" w:cs="Times New Roman"/>
          <w:sz w:val="24"/>
          <w:szCs w:val="24"/>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6E2CDE" w:rsidRDefault="006E2CDE" w:rsidP="003B540C">
      <w:pPr>
        <w:spacing w:line="360" w:lineRule="auto"/>
        <w:jc w:val="both"/>
        <w:rPr>
          <w:rFonts w:ascii="Times New Roman" w:hAnsi="Times New Roman" w:cs="Times New Roman"/>
          <w:sz w:val="24"/>
          <w:szCs w:val="24"/>
          <w:u w:val="single"/>
        </w:rPr>
      </w:pPr>
    </w:p>
    <w:p w:rsidR="003D2EAE" w:rsidRDefault="003D2EAE" w:rsidP="003B540C">
      <w:pPr>
        <w:spacing w:line="360" w:lineRule="auto"/>
        <w:jc w:val="both"/>
        <w:rPr>
          <w:rFonts w:ascii="Times New Roman" w:hAnsi="Times New Roman" w:cs="Times New Roman"/>
          <w:sz w:val="24"/>
          <w:szCs w:val="24"/>
          <w:u w:val="single"/>
        </w:rPr>
      </w:pPr>
      <w:bookmarkStart w:id="0" w:name="_GoBack"/>
      <w:bookmarkEnd w:id="0"/>
    </w:p>
    <w:p w:rsidR="003D2EAE" w:rsidRDefault="003D2EAE" w:rsidP="003B540C">
      <w:pPr>
        <w:spacing w:line="360" w:lineRule="auto"/>
        <w:jc w:val="both"/>
        <w:rPr>
          <w:rFonts w:ascii="Times New Roman" w:hAnsi="Times New Roman" w:cs="Times New Roman"/>
          <w:sz w:val="24"/>
          <w:szCs w:val="24"/>
          <w:u w:val="single"/>
        </w:rPr>
      </w:pPr>
    </w:p>
    <w:p w:rsidR="00096050" w:rsidRPr="003B540C" w:rsidRDefault="006E2CDE" w:rsidP="003B540C">
      <w:pPr>
        <w:spacing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 xml:space="preserve">Legislación y </w:t>
      </w:r>
      <w:r w:rsidR="00096050" w:rsidRPr="003B540C">
        <w:rPr>
          <w:rFonts w:ascii="Times New Roman" w:hAnsi="Times New Roman" w:cs="Times New Roman"/>
          <w:sz w:val="24"/>
          <w:szCs w:val="24"/>
          <w:u w:val="single"/>
        </w:rPr>
        <w:t>Jurisprudencia consultada:</w:t>
      </w:r>
    </w:p>
    <w:p w:rsidR="00096050" w:rsidRPr="003B540C" w:rsidRDefault="00096050" w:rsidP="003B540C">
      <w:pPr>
        <w:spacing w:line="360" w:lineRule="auto"/>
        <w:jc w:val="both"/>
        <w:rPr>
          <w:rFonts w:ascii="Times New Roman" w:hAnsi="Times New Roman" w:cs="Times New Roman"/>
          <w:sz w:val="24"/>
          <w:szCs w:val="24"/>
        </w:rPr>
      </w:pPr>
      <w:r w:rsidRPr="003B540C">
        <w:rPr>
          <w:rFonts w:ascii="Times New Roman" w:hAnsi="Times New Roman" w:cs="Times New Roman"/>
          <w:sz w:val="24"/>
          <w:szCs w:val="24"/>
        </w:rPr>
        <w:t>Código Civil</w:t>
      </w:r>
      <w:r w:rsidR="003B540C">
        <w:rPr>
          <w:rFonts w:ascii="Times New Roman" w:hAnsi="Times New Roman" w:cs="Times New Roman"/>
          <w:sz w:val="24"/>
          <w:szCs w:val="24"/>
        </w:rPr>
        <w:t>:</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Artículos 158 y 92 Código Civil</w:t>
      </w:r>
    </w:p>
    <w:p w:rsidR="003B540C" w:rsidRPr="003B540C" w:rsidRDefault="00096050" w:rsidP="003B540C">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Artículo 1.7 Código Civil.</w:t>
      </w:r>
    </w:p>
    <w:p w:rsidR="00096050" w:rsidRPr="003B540C" w:rsidRDefault="00096050" w:rsidP="003B540C">
      <w:pPr>
        <w:spacing w:line="360" w:lineRule="auto"/>
        <w:rPr>
          <w:rFonts w:ascii="Times New Roman" w:hAnsi="Times New Roman" w:cs="Times New Roman"/>
          <w:i/>
          <w:sz w:val="24"/>
          <w:szCs w:val="24"/>
        </w:rPr>
      </w:pPr>
      <w:r w:rsidRPr="003B540C">
        <w:rPr>
          <w:rFonts w:ascii="Times New Roman" w:hAnsi="Times New Roman" w:cs="Times New Roman"/>
          <w:sz w:val="24"/>
          <w:szCs w:val="24"/>
        </w:rPr>
        <w:t xml:space="preserve">Ley de Enjuiciamiento Criminal </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Artículo 850 LECrim</w:t>
      </w:r>
    </w:p>
    <w:p w:rsidR="00096050" w:rsidRPr="003B540C" w:rsidRDefault="00096050" w:rsidP="003B540C">
      <w:pPr>
        <w:spacing w:line="360" w:lineRule="auto"/>
        <w:rPr>
          <w:rFonts w:ascii="Times New Roman" w:hAnsi="Times New Roman" w:cs="Times New Roman"/>
          <w:i/>
          <w:sz w:val="24"/>
          <w:szCs w:val="24"/>
        </w:rPr>
      </w:pPr>
      <w:r w:rsidRPr="003B540C">
        <w:rPr>
          <w:rFonts w:ascii="Times New Roman" w:hAnsi="Times New Roman" w:cs="Times New Roman"/>
          <w:sz w:val="24"/>
          <w:szCs w:val="24"/>
        </w:rPr>
        <w:t xml:space="preserve">Ley Orgánica del Poder Judicial </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 xml:space="preserve">Artículo 12 LOPJ </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Pr>
          <w:rFonts w:ascii="Times New Roman" w:hAnsi="Times New Roman" w:cs="Times New Roman"/>
          <w:sz w:val="24"/>
          <w:szCs w:val="24"/>
        </w:rPr>
        <w:t>A</w:t>
      </w:r>
      <w:r w:rsidRPr="007D6794">
        <w:rPr>
          <w:rFonts w:ascii="Times New Roman" w:hAnsi="Times New Roman" w:cs="Times New Roman"/>
          <w:sz w:val="24"/>
          <w:szCs w:val="24"/>
        </w:rPr>
        <w:t>rt. 120.3 CE, art. 247 y 248 de la Ley Orgánica del Poder Judicial</w:t>
      </w:r>
    </w:p>
    <w:p w:rsidR="00096050" w:rsidRPr="003B540C" w:rsidRDefault="00096050" w:rsidP="003B540C">
      <w:pPr>
        <w:spacing w:line="360" w:lineRule="auto"/>
        <w:rPr>
          <w:rFonts w:ascii="Times New Roman" w:hAnsi="Times New Roman" w:cs="Times New Roman"/>
          <w:i/>
          <w:sz w:val="24"/>
          <w:szCs w:val="24"/>
        </w:rPr>
      </w:pPr>
      <w:r w:rsidRPr="003B540C">
        <w:rPr>
          <w:rFonts w:ascii="Times New Roman" w:hAnsi="Times New Roman" w:cs="Times New Roman"/>
          <w:sz w:val="24"/>
          <w:szCs w:val="24"/>
        </w:rPr>
        <w:t xml:space="preserve">Constitución española </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Pr>
          <w:rFonts w:ascii="Times New Roman" w:hAnsi="Times New Roman" w:cs="Times New Roman"/>
          <w:sz w:val="24"/>
          <w:szCs w:val="24"/>
        </w:rPr>
        <w:t xml:space="preserve"> A</w:t>
      </w:r>
      <w:r w:rsidRPr="007D6794">
        <w:rPr>
          <w:rFonts w:ascii="Times New Roman" w:hAnsi="Times New Roman" w:cs="Times New Roman"/>
          <w:sz w:val="24"/>
          <w:szCs w:val="24"/>
        </w:rPr>
        <w:t>rt. 24.1 de la Constitución Española</w:t>
      </w:r>
    </w:p>
    <w:p w:rsidR="00096050" w:rsidRPr="003B540C" w:rsidRDefault="00096050" w:rsidP="003B540C">
      <w:pPr>
        <w:spacing w:line="360" w:lineRule="auto"/>
        <w:rPr>
          <w:rFonts w:ascii="Times New Roman" w:hAnsi="Times New Roman" w:cs="Times New Roman"/>
          <w:sz w:val="24"/>
          <w:szCs w:val="24"/>
        </w:rPr>
      </w:pPr>
      <w:r w:rsidRPr="003B540C">
        <w:rPr>
          <w:rFonts w:ascii="Times New Roman" w:hAnsi="Times New Roman" w:cs="Times New Roman"/>
          <w:sz w:val="24"/>
          <w:szCs w:val="24"/>
        </w:rPr>
        <w:t xml:space="preserve">Tribunal Supremo </w:t>
      </w:r>
    </w:p>
    <w:p w:rsidR="003B540C" w:rsidRPr="007D6794" w:rsidRDefault="003B540C" w:rsidP="003B540C">
      <w:pPr>
        <w:pStyle w:val="Prrafodelista"/>
        <w:numPr>
          <w:ilvl w:val="0"/>
          <w:numId w:val="16"/>
        </w:numPr>
        <w:spacing w:line="360" w:lineRule="auto"/>
        <w:rPr>
          <w:rFonts w:ascii="Times New Roman" w:hAnsi="Times New Roman" w:cs="Times New Roman"/>
          <w:sz w:val="24"/>
          <w:szCs w:val="24"/>
        </w:rPr>
      </w:pPr>
      <w:r>
        <w:rPr>
          <w:rFonts w:ascii="Times New Roman" w:hAnsi="Times New Roman" w:cs="Times New Roman"/>
        </w:rPr>
        <w:t>STS de 9 de mayo de 1986.</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STS número 637/1997 de 3 de julio</w:t>
      </w:r>
    </w:p>
    <w:p w:rsidR="00096050" w:rsidRPr="003B540C" w:rsidRDefault="00096050" w:rsidP="003B540C">
      <w:pPr>
        <w:spacing w:line="360" w:lineRule="auto"/>
        <w:rPr>
          <w:rFonts w:ascii="Times New Roman" w:hAnsi="Times New Roman" w:cs="Times New Roman"/>
          <w:i/>
          <w:sz w:val="24"/>
          <w:szCs w:val="24"/>
        </w:rPr>
      </w:pPr>
      <w:r w:rsidRPr="003B540C">
        <w:rPr>
          <w:rFonts w:ascii="Times New Roman" w:hAnsi="Times New Roman" w:cs="Times New Roman"/>
          <w:sz w:val="24"/>
          <w:szCs w:val="24"/>
        </w:rPr>
        <w:t xml:space="preserve">Tribunal Constitucional </w:t>
      </w:r>
    </w:p>
    <w:p w:rsidR="00096050" w:rsidRPr="007D6794" w:rsidRDefault="00096050" w:rsidP="00096050">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STC 116/1986 de 8 de octubre</w:t>
      </w:r>
    </w:p>
    <w:p w:rsidR="001257D6" w:rsidRPr="001257D6" w:rsidRDefault="00096050" w:rsidP="001257D6">
      <w:pPr>
        <w:pStyle w:val="Prrafodelista"/>
        <w:numPr>
          <w:ilvl w:val="0"/>
          <w:numId w:val="16"/>
        </w:numPr>
        <w:spacing w:line="360" w:lineRule="auto"/>
        <w:rPr>
          <w:rFonts w:ascii="Times New Roman" w:hAnsi="Times New Roman" w:cs="Times New Roman"/>
          <w:i/>
          <w:sz w:val="24"/>
          <w:szCs w:val="24"/>
        </w:rPr>
      </w:pPr>
      <w:r w:rsidRPr="007D6794">
        <w:rPr>
          <w:rFonts w:ascii="Times New Roman" w:hAnsi="Times New Roman" w:cs="Times New Roman"/>
          <w:sz w:val="24"/>
          <w:szCs w:val="24"/>
        </w:rPr>
        <w:t>STC 115/1996 de 25 de juni</w:t>
      </w:r>
      <w:r w:rsidR="001257D6">
        <w:rPr>
          <w:rFonts w:ascii="Times New Roman" w:hAnsi="Times New Roman" w:cs="Times New Roman"/>
          <w:sz w:val="24"/>
          <w:szCs w:val="24"/>
        </w:rPr>
        <w:t>o</w:t>
      </w:r>
    </w:p>
    <w:p w:rsidR="001257D6" w:rsidRPr="001257D6" w:rsidRDefault="001257D6" w:rsidP="001257D6">
      <w:pPr>
        <w:pStyle w:val="Prrafodelista"/>
        <w:numPr>
          <w:ilvl w:val="0"/>
          <w:numId w:val="16"/>
        </w:numPr>
        <w:spacing w:line="360" w:lineRule="auto"/>
        <w:rPr>
          <w:rFonts w:ascii="Times New Roman" w:hAnsi="Times New Roman" w:cs="Times New Roman"/>
          <w:i/>
          <w:sz w:val="24"/>
          <w:szCs w:val="24"/>
        </w:rPr>
      </w:pPr>
      <w:r w:rsidRPr="001257D6">
        <w:rPr>
          <w:rFonts w:ascii="Times New Roman" w:hAnsi="Times New Roman" w:cs="Times New Roman"/>
          <w:sz w:val="24"/>
          <w:szCs w:val="24"/>
        </w:rPr>
        <w:t xml:space="preserve">STC 5/1986, de 21 de enero </w:t>
      </w:r>
    </w:p>
    <w:p w:rsidR="001257D6" w:rsidRPr="00C6542F" w:rsidRDefault="001257D6" w:rsidP="001257D6">
      <w:pPr>
        <w:pStyle w:val="Prrafodelista"/>
        <w:numPr>
          <w:ilvl w:val="0"/>
          <w:numId w:val="16"/>
        </w:numPr>
        <w:spacing w:line="360" w:lineRule="auto"/>
        <w:rPr>
          <w:rFonts w:ascii="Times New Roman" w:hAnsi="Times New Roman" w:cs="Times New Roman"/>
          <w:i/>
          <w:sz w:val="24"/>
          <w:szCs w:val="24"/>
        </w:rPr>
      </w:pPr>
      <w:r w:rsidRPr="001257D6">
        <w:rPr>
          <w:rFonts w:ascii="Times New Roman" w:hAnsi="Times New Roman" w:cs="Times New Roman"/>
          <w:sz w:val="24"/>
          <w:szCs w:val="24"/>
        </w:rPr>
        <w:t>STC 116/1986, de 8 de octubre</w:t>
      </w:r>
    </w:p>
    <w:p w:rsidR="00C6542F" w:rsidRPr="003B540C" w:rsidRDefault="00C6542F" w:rsidP="001257D6">
      <w:pPr>
        <w:pStyle w:val="Prrafodelista"/>
        <w:numPr>
          <w:ilvl w:val="0"/>
          <w:numId w:val="16"/>
        </w:numPr>
        <w:spacing w:line="360" w:lineRule="auto"/>
        <w:rPr>
          <w:rFonts w:ascii="Times New Roman" w:hAnsi="Times New Roman" w:cs="Times New Roman"/>
          <w:i/>
          <w:sz w:val="24"/>
          <w:szCs w:val="24"/>
        </w:rPr>
      </w:pPr>
      <w:r>
        <w:rPr>
          <w:rFonts w:ascii="Times New Roman" w:hAnsi="Times New Roman" w:cs="Times New Roman"/>
          <w:sz w:val="24"/>
          <w:szCs w:val="24"/>
        </w:rPr>
        <w:t>STC 37/2012 del 19 de marzo</w:t>
      </w:r>
    </w:p>
    <w:p w:rsidR="003B540C" w:rsidRPr="003B540C" w:rsidRDefault="003B540C" w:rsidP="001257D6">
      <w:pPr>
        <w:pStyle w:val="Prrafodelista"/>
        <w:numPr>
          <w:ilvl w:val="0"/>
          <w:numId w:val="16"/>
        </w:numPr>
        <w:spacing w:line="360" w:lineRule="auto"/>
        <w:rPr>
          <w:rFonts w:ascii="Times New Roman" w:hAnsi="Times New Roman" w:cs="Times New Roman"/>
          <w:i/>
          <w:sz w:val="24"/>
          <w:szCs w:val="24"/>
        </w:rPr>
      </w:pPr>
      <w:r w:rsidRPr="003B540C">
        <w:rPr>
          <w:rFonts w:ascii="Times New Roman" w:hAnsi="Times New Roman" w:cs="Times New Roman"/>
          <w:sz w:val="24"/>
          <w:szCs w:val="24"/>
        </w:rPr>
        <w:t>STC 6/2002 de 14 de enero,</w:t>
      </w:r>
    </w:p>
    <w:p w:rsidR="003B540C" w:rsidRPr="001257D6" w:rsidRDefault="003B540C" w:rsidP="001257D6">
      <w:pPr>
        <w:pStyle w:val="Prrafodelista"/>
        <w:numPr>
          <w:ilvl w:val="0"/>
          <w:numId w:val="16"/>
        </w:numPr>
        <w:spacing w:line="360" w:lineRule="auto"/>
        <w:rPr>
          <w:rFonts w:ascii="Times New Roman" w:hAnsi="Times New Roman" w:cs="Times New Roman"/>
          <w:i/>
          <w:sz w:val="24"/>
          <w:szCs w:val="24"/>
        </w:rPr>
      </w:pPr>
      <w:r w:rsidRPr="003B540C">
        <w:rPr>
          <w:rFonts w:ascii="Times New Roman" w:hAnsi="Times New Roman" w:cs="Times New Roman"/>
          <w:sz w:val="24"/>
          <w:szCs w:val="24"/>
        </w:rPr>
        <w:t>STC 236/2005, de 26 de septiembre.</w:t>
      </w:r>
    </w:p>
    <w:p w:rsidR="000559BE" w:rsidRPr="00F21150" w:rsidRDefault="000559BE" w:rsidP="00A33E32">
      <w:pPr>
        <w:spacing w:line="360" w:lineRule="auto"/>
        <w:jc w:val="both"/>
        <w:rPr>
          <w:rFonts w:ascii="Times New Roman" w:hAnsi="Times New Roman" w:cs="Times New Roman"/>
          <w:sz w:val="24"/>
          <w:szCs w:val="24"/>
        </w:rPr>
      </w:pPr>
    </w:p>
    <w:sectPr w:rsidR="000559BE" w:rsidRPr="00F21150" w:rsidSect="007229E8">
      <w:footerReference w:type="default" r:id="rId9"/>
      <w:pgSz w:w="12240" w:h="15840"/>
      <w:pgMar w:top="1418" w:right="1418" w:bottom="1418"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0338" w:rsidRDefault="00F90338" w:rsidP="00E8518D">
      <w:pPr>
        <w:spacing w:after="0" w:line="240" w:lineRule="auto"/>
      </w:pPr>
      <w:r>
        <w:separator/>
      </w:r>
    </w:p>
  </w:endnote>
  <w:endnote w:type="continuationSeparator" w:id="1">
    <w:p w:rsidR="00F90338" w:rsidRDefault="00F90338" w:rsidP="00E851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0678"/>
      <w:docPartObj>
        <w:docPartGallery w:val="Page Numbers (Bottom of Page)"/>
        <w:docPartUnique/>
      </w:docPartObj>
    </w:sdtPr>
    <w:sdtContent>
      <w:p w:rsidR="00A331DB" w:rsidRDefault="001835B1">
        <w:pPr>
          <w:pStyle w:val="Piedepgina"/>
        </w:pPr>
        <w:r>
          <w:rPr>
            <w:noProof/>
          </w:rPr>
          <w:pict>
            <v:group id="Group 13" o:spid="_x0000_s4097" style="position:absolute;margin-left:-33.6pt;margin-top:0;width:34.4pt;height:56.45pt;z-index:251660288;mso-position-horizontal:righ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">
              <v:shapetype id="_x0000_t32" coordsize="21600,21600" o:spt="32" o:oned="t" path="m,l21600,21600e" filled="f">
                <v:path arrowok="t" fillok="f" o:connecttype="none"/>
                <o:lock v:ext="edit" shapetype="t"/>
              </v:shapetype>
              <v:shape id="AutoShape 14" o:spid="_x0000_s4099" type="#_x0000_t32" style="position:absolute;left:2111;top:15387;width:0;height:4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OzPcIAAADaAAAADwAAAGRycy9kb3ducmV2LnhtbESPUWvCMBSF3wf+h3CFvc1UJzI6o2iL&#10;Y7IXdfsBl+baBpubkkTb/ftFEPZ4OOd8h7NcD7YVN/LBOFYwnWQgiCunDdcKfr53L28gQkTW2Dom&#10;Bb8UYL0aPS0x167nI91OsRYJwiFHBU2MXS5lqBqyGCauI07e2XmLMUlfS+2xT3DbylmWLaRFw2mh&#10;wY6KhqrL6WoVzNtN0V+8/foo98X2UJpFqQ0q9TweNu8gIg3xP/xof2oFr3C/km6AXP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OzPcIAAADaAAAADwAAAAAAAAAAAAAA&#10;AAChAgAAZHJzL2Rvd25yZXYueG1sUEsFBgAAAAAEAAQA+QAAAJADAAAAAA==&#10;" strokecolor="#7f7f7f [1612]"/>
              <v:rect id="Rectangle 15" o:spid="_x0000_s4098" style="position:absolute;left:1743;top:14699;width:688;height:68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8SMMEA&#10;AADaAAAADwAAAGRycy9kb3ducmV2LnhtbESPT4vCMBTE7wv7HcIT9ramispSjSLr36t2xeujebbF&#10;5qUmUbvf3giCx2FmfsNMZq2pxY2crywr6HUTEMS51RUXCv6y1fcPCB+QNdaWScE/eZhNPz8mmGp7&#10;5x3d9qEQEcI+RQVlCE0qpc9LMui7tiGO3sk6gyFKV0jt8B7hppb9JBlJgxXHhRIb+i0pP++vRsFi&#10;3d9shwd3XK59z2TLy4YX5qjUV6edj0EEasM7/GpvtYIBPK/EGyC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fEjDBAAAA2gAAAA8AAAAAAAAAAAAAAAAAmAIAAGRycy9kb3du&#10;cmV2LnhtbFBLBQYAAAAABAAEAPUAAACGAwAAAAA=&#10;" filled="f" strokecolor="#7f7f7f [1612]">
                <v:textbox>
                  <w:txbxContent>
                    <w:p w:rsidR="00A331DB" w:rsidRDefault="001835B1">
                      <w:pPr>
                        <w:pStyle w:val="Piedepgina"/>
                        <w:jc w:val="center"/>
                        <w:rPr>
                          <w:sz w:val="16"/>
                          <w:szCs w:val="16"/>
                        </w:rPr>
                      </w:pPr>
                      <w:r w:rsidRPr="001835B1">
                        <w:fldChar w:fldCharType="begin"/>
                      </w:r>
                      <w:r w:rsidR="008A73B0">
                        <w:instrText xml:space="preserve"> PAGE    \* MERGEFORMAT </w:instrText>
                      </w:r>
                      <w:r w:rsidRPr="001835B1">
                        <w:fldChar w:fldCharType="separate"/>
                      </w:r>
                      <w:r w:rsidR="00942A8B" w:rsidRPr="00942A8B">
                        <w:rPr>
                          <w:noProof/>
                          <w:sz w:val="16"/>
                          <w:szCs w:val="16"/>
                        </w:rPr>
                        <w:t>14</w:t>
                      </w:r>
                      <w:r>
                        <w:rPr>
                          <w:noProof/>
                          <w:sz w:val="16"/>
                          <w:szCs w:val="16"/>
                        </w:rPr>
                        <w:fldChar w:fldCharType="end"/>
                      </w:r>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0338" w:rsidRDefault="00F90338" w:rsidP="00E8518D">
      <w:pPr>
        <w:spacing w:after="0" w:line="240" w:lineRule="auto"/>
      </w:pPr>
      <w:r>
        <w:separator/>
      </w:r>
    </w:p>
  </w:footnote>
  <w:footnote w:type="continuationSeparator" w:id="1">
    <w:p w:rsidR="00F90338" w:rsidRDefault="00F90338" w:rsidP="00E8518D">
      <w:pPr>
        <w:spacing w:after="0" w:line="240" w:lineRule="auto"/>
      </w:pPr>
      <w:r>
        <w:continuationSeparator/>
      </w:r>
    </w:p>
  </w:footnote>
  <w:footnote w:id="2">
    <w:p w:rsidR="00A331DB" w:rsidRPr="00D53074" w:rsidRDefault="00A331DB" w:rsidP="00096050">
      <w:pPr>
        <w:pStyle w:val="Textonotapie"/>
        <w:rPr>
          <w:rFonts w:ascii="Times New Roman" w:hAnsi="Times New Roman" w:cs="Times New Roman"/>
          <w:i/>
        </w:rPr>
      </w:pPr>
      <w:r w:rsidRPr="007229E8">
        <w:rPr>
          <w:rStyle w:val="Refdenotaalpie"/>
          <w:rFonts w:ascii="Times New Roman" w:hAnsi="Times New Roman" w:cs="Times New Roman"/>
        </w:rPr>
        <w:footnoteRef/>
      </w:r>
      <w:r>
        <w:rPr>
          <w:rFonts w:ascii="Times New Roman" w:hAnsi="Times New Roman" w:cs="Times New Roman"/>
        </w:rPr>
        <w:t xml:space="preserve"> Dworkin, R</w:t>
      </w:r>
      <w:proofErr w:type="gramStart"/>
      <w:r>
        <w:rPr>
          <w:rFonts w:ascii="Times New Roman" w:hAnsi="Times New Roman" w:cs="Times New Roman"/>
        </w:rPr>
        <w:t>.(</w:t>
      </w:r>
      <w:proofErr w:type="gramEnd"/>
      <w:r w:rsidRPr="007229E8">
        <w:rPr>
          <w:rFonts w:ascii="Times New Roman" w:hAnsi="Times New Roman" w:cs="Times New Roman"/>
        </w:rPr>
        <w:t>1984</w:t>
      </w:r>
      <w:r>
        <w:rPr>
          <w:rFonts w:ascii="Times New Roman" w:hAnsi="Times New Roman" w:cs="Times New Roman"/>
        </w:rPr>
        <w:t>)</w:t>
      </w:r>
      <w:r w:rsidRPr="004516D4">
        <w:rPr>
          <w:rFonts w:ascii="Times New Roman" w:hAnsi="Times New Roman" w:cs="Times New Roman"/>
          <w:i/>
        </w:rPr>
        <w:t>Los derechos en serio</w:t>
      </w:r>
      <w:r w:rsidRPr="007229E8">
        <w:rPr>
          <w:rFonts w:ascii="Times New Roman" w:hAnsi="Times New Roman" w:cs="Times New Roman"/>
        </w:rPr>
        <w:t>, Ariel, Barcelona, “</w:t>
      </w:r>
      <w:r w:rsidRPr="00D53074">
        <w:rPr>
          <w:rFonts w:ascii="Times New Roman" w:hAnsi="Times New Roman" w:cs="Times New Roman"/>
          <w:i/>
        </w:rPr>
        <w:t xml:space="preserve">La discrecionalidad no es aceptable en ningún sentido porque a la luz del Derecho –tal y como él lo entiendo- debe existir siempre una respuesta correcta o, al menos, una más correcta que cualquier otra”. </w:t>
      </w:r>
    </w:p>
  </w:footnote>
  <w:footnote w:id="3">
    <w:p w:rsidR="00A331DB" w:rsidRPr="003B540C" w:rsidRDefault="00A331DB" w:rsidP="00096050">
      <w:pPr>
        <w:pStyle w:val="Textonotapie"/>
      </w:pPr>
      <w:r w:rsidRPr="007229E8">
        <w:rPr>
          <w:rStyle w:val="Refdenotaalpie"/>
          <w:rFonts w:ascii="Times New Roman" w:hAnsi="Times New Roman" w:cs="Times New Roman"/>
        </w:rPr>
        <w:footnoteRef/>
      </w:r>
      <w:r>
        <w:rPr>
          <w:rFonts w:ascii="Times New Roman" w:hAnsi="Times New Roman" w:cs="Times New Roman"/>
        </w:rPr>
        <w:t xml:space="preserve"> Segura Ortega, M</w:t>
      </w:r>
      <w:r w:rsidR="000F19A8">
        <w:rPr>
          <w:rFonts w:ascii="Times New Roman" w:hAnsi="Times New Roman" w:cs="Times New Roman"/>
        </w:rPr>
        <w:t>.</w:t>
      </w:r>
      <w:r>
        <w:rPr>
          <w:rFonts w:ascii="Times New Roman" w:hAnsi="Times New Roman" w:cs="Times New Roman"/>
        </w:rPr>
        <w:t xml:space="preserve"> (2006) </w:t>
      </w:r>
      <w:r w:rsidRPr="004516D4">
        <w:rPr>
          <w:rFonts w:ascii="Times New Roman" w:hAnsi="Times New Roman" w:cs="Times New Roman"/>
          <w:i/>
        </w:rPr>
        <w:t xml:space="preserve">Sentidos y Límites de la discrecionalidad </w:t>
      </w:r>
      <w:r w:rsidR="00825854">
        <w:rPr>
          <w:rFonts w:ascii="Times New Roman" w:hAnsi="Times New Roman" w:cs="Times New Roman"/>
          <w:i/>
        </w:rPr>
        <w:t xml:space="preserve">judicial, </w:t>
      </w:r>
      <w:r w:rsidR="00825854">
        <w:rPr>
          <w:rFonts w:ascii="Times New Roman" w:hAnsi="Times New Roman" w:cs="Times New Roman"/>
        </w:rPr>
        <w:t xml:space="preserve">Madrid, </w:t>
      </w:r>
      <w:r>
        <w:rPr>
          <w:rFonts w:ascii="Times New Roman" w:hAnsi="Times New Roman" w:cs="Times New Roman"/>
        </w:rPr>
        <w:t>Edit</w:t>
      </w:r>
      <w:r w:rsidR="000F19A8">
        <w:rPr>
          <w:rFonts w:ascii="Times New Roman" w:hAnsi="Times New Roman" w:cs="Times New Roman"/>
        </w:rPr>
        <w:t>orial Universitaria Ramón Areces</w:t>
      </w:r>
      <w:r>
        <w:rPr>
          <w:rFonts w:ascii="Times New Roman" w:hAnsi="Times New Roman" w:cs="Times New Roman"/>
        </w:rPr>
        <w:t xml:space="preserve">. P. 14. </w:t>
      </w:r>
    </w:p>
  </w:footnote>
  <w:footnote w:id="4">
    <w:p w:rsidR="00A331DB" w:rsidRPr="007229E8" w:rsidRDefault="00A331DB" w:rsidP="00096050">
      <w:pPr>
        <w:pStyle w:val="Textonotapie"/>
        <w:rPr>
          <w:rFonts w:ascii="Times New Roman" w:hAnsi="Times New Roman" w:cs="Times New Roman"/>
        </w:rPr>
      </w:pPr>
      <w:r w:rsidRPr="007229E8">
        <w:rPr>
          <w:rStyle w:val="Refdenotaalpie"/>
          <w:rFonts w:ascii="Times New Roman" w:hAnsi="Times New Roman" w:cs="Times New Roman"/>
        </w:rPr>
        <w:footnoteRef/>
      </w:r>
      <w:r>
        <w:rPr>
          <w:rFonts w:ascii="Times New Roman" w:hAnsi="Times New Roman" w:cs="Times New Roman"/>
        </w:rPr>
        <w:t xml:space="preserve"> Lifante Vidal</w:t>
      </w:r>
      <w:r w:rsidRPr="007229E8">
        <w:rPr>
          <w:rFonts w:ascii="Times New Roman" w:hAnsi="Times New Roman" w:cs="Times New Roman"/>
        </w:rPr>
        <w:t>, I</w:t>
      </w:r>
      <w:proofErr w:type="gramStart"/>
      <w:r>
        <w:rPr>
          <w:rFonts w:ascii="Times New Roman" w:hAnsi="Times New Roman" w:cs="Times New Roman"/>
        </w:rPr>
        <w:t>.(</w:t>
      </w:r>
      <w:proofErr w:type="gramEnd"/>
      <w:r>
        <w:rPr>
          <w:rFonts w:ascii="Times New Roman" w:hAnsi="Times New Roman" w:cs="Times New Roman"/>
        </w:rPr>
        <w:t xml:space="preserve">2002) </w:t>
      </w:r>
      <w:r w:rsidRPr="007229E8">
        <w:rPr>
          <w:rFonts w:ascii="Times New Roman" w:hAnsi="Times New Roman" w:cs="Times New Roman"/>
        </w:rPr>
        <w:t>“Dos conceptos de discreci</w:t>
      </w:r>
      <w:r>
        <w:rPr>
          <w:rFonts w:ascii="Times New Roman" w:hAnsi="Times New Roman" w:cs="Times New Roman"/>
        </w:rPr>
        <w:t xml:space="preserve">onalidad jurídica”, </w:t>
      </w:r>
      <w:r w:rsidRPr="00825854">
        <w:rPr>
          <w:rFonts w:ascii="Times New Roman" w:hAnsi="Times New Roman" w:cs="Times New Roman"/>
          <w:i/>
        </w:rPr>
        <w:t>Doxa</w:t>
      </w:r>
      <w:r w:rsidR="00825854">
        <w:rPr>
          <w:rFonts w:ascii="Times New Roman" w:hAnsi="Times New Roman" w:cs="Times New Roman"/>
        </w:rPr>
        <w:t>, nº 25, pp</w:t>
      </w:r>
      <w:r>
        <w:rPr>
          <w:rFonts w:ascii="Times New Roman" w:hAnsi="Times New Roman" w:cs="Times New Roman"/>
        </w:rPr>
        <w:t>. 413-439</w:t>
      </w:r>
    </w:p>
  </w:footnote>
  <w:footnote w:id="5">
    <w:p w:rsidR="00A331DB" w:rsidRPr="003B540C" w:rsidRDefault="00A331DB" w:rsidP="00096050">
      <w:pPr>
        <w:pStyle w:val="Textonotapie"/>
      </w:pPr>
      <w:r>
        <w:rPr>
          <w:rStyle w:val="Refdenotaalpie"/>
        </w:rPr>
        <w:footnoteRef/>
      </w:r>
      <w:r w:rsidR="00825854">
        <w:rPr>
          <w:rFonts w:ascii="Times New Roman" w:hAnsi="Times New Roman" w:cs="Times New Roman"/>
        </w:rPr>
        <w:t>Hart</w:t>
      </w:r>
      <w:r>
        <w:rPr>
          <w:rFonts w:ascii="Times New Roman" w:hAnsi="Times New Roman" w:cs="Times New Roman"/>
        </w:rPr>
        <w:t>, H.</w:t>
      </w:r>
      <w:r w:rsidR="00D53074">
        <w:rPr>
          <w:rFonts w:ascii="Times New Roman" w:hAnsi="Times New Roman" w:cs="Times New Roman"/>
        </w:rPr>
        <w:t xml:space="preserve"> (1980</w:t>
      </w:r>
      <w:proofErr w:type="gramStart"/>
      <w:r w:rsidR="00D53074">
        <w:rPr>
          <w:rFonts w:ascii="Times New Roman" w:hAnsi="Times New Roman" w:cs="Times New Roman"/>
        </w:rPr>
        <w:t>)</w:t>
      </w:r>
      <w:r w:rsidRPr="00DE7762">
        <w:rPr>
          <w:rFonts w:ascii="Times New Roman" w:hAnsi="Times New Roman" w:cs="Times New Roman"/>
          <w:i/>
        </w:rPr>
        <w:t>El</w:t>
      </w:r>
      <w:proofErr w:type="gramEnd"/>
      <w:r w:rsidRPr="00DE7762">
        <w:rPr>
          <w:rFonts w:ascii="Times New Roman" w:hAnsi="Times New Roman" w:cs="Times New Roman"/>
          <w:i/>
        </w:rPr>
        <w:t xml:space="preserve"> concepto del </w:t>
      </w:r>
      <w:proofErr w:type="spellStart"/>
      <w:r w:rsidRPr="00DE7762">
        <w:rPr>
          <w:rFonts w:ascii="Times New Roman" w:hAnsi="Times New Roman" w:cs="Times New Roman"/>
          <w:i/>
        </w:rPr>
        <w:t>Derecho.</w:t>
      </w:r>
      <w:r w:rsidR="00825854">
        <w:rPr>
          <w:rFonts w:ascii="Times New Roman" w:hAnsi="Times New Roman" w:cs="Times New Roman"/>
        </w:rPr>
        <w:t>México</w:t>
      </w:r>
      <w:proofErr w:type="spellEnd"/>
      <w:r w:rsidR="00825854">
        <w:rPr>
          <w:rFonts w:ascii="Times New Roman" w:hAnsi="Times New Roman" w:cs="Times New Roman"/>
        </w:rPr>
        <w:t xml:space="preserve">, Editorial </w:t>
      </w:r>
      <w:r w:rsidR="000F19A8">
        <w:rPr>
          <w:rFonts w:ascii="Times New Roman" w:hAnsi="Times New Roman" w:cs="Times New Roman"/>
        </w:rPr>
        <w:t>N</w:t>
      </w:r>
      <w:r w:rsidR="00825854">
        <w:rPr>
          <w:rFonts w:ascii="Times New Roman" w:hAnsi="Times New Roman" w:cs="Times New Roman"/>
        </w:rPr>
        <w:t>acional.</w:t>
      </w:r>
    </w:p>
  </w:footnote>
  <w:footnote w:id="6">
    <w:p w:rsidR="00A331DB" w:rsidRPr="00DE7762" w:rsidRDefault="00A331DB" w:rsidP="00096050">
      <w:pPr>
        <w:pStyle w:val="Textonotapie"/>
        <w:rPr>
          <w:rFonts w:ascii="Times New Roman" w:hAnsi="Times New Roman" w:cs="Times New Roman"/>
        </w:rPr>
      </w:pPr>
      <w:r w:rsidRPr="00DE7762">
        <w:rPr>
          <w:rStyle w:val="Refdenotaalpie"/>
          <w:rFonts w:ascii="Times New Roman" w:hAnsi="Times New Roman" w:cs="Times New Roman"/>
        </w:rPr>
        <w:footnoteRef/>
      </w:r>
      <w:r w:rsidRPr="00DE7762">
        <w:rPr>
          <w:rFonts w:ascii="Times New Roman" w:hAnsi="Times New Roman" w:cs="Times New Roman"/>
        </w:rPr>
        <w:t xml:space="preserve"> Artículos 158 y 92 Código Civil. </w:t>
      </w:r>
    </w:p>
  </w:footnote>
  <w:footnote w:id="7">
    <w:p w:rsidR="00A331DB" w:rsidRPr="000F19A8" w:rsidRDefault="00A331DB" w:rsidP="000F19A8">
      <w:pPr>
        <w:spacing w:after="0" w:line="240" w:lineRule="auto"/>
        <w:jc w:val="both"/>
        <w:rPr>
          <w:rFonts w:ascii="Times New Roman" w:hAnsi="Times New Roman" w:cs="Times New Roman"/>
          <w:i/>
          <w:sz w:val="20"/>
          <w:szCs w:val="20"/>
        </w:rPr>
      </w:pPr>
      <w:r w:rsidRPr="000F19A8">
        <w:rPr>
          <w:rStyle w:val="Refdenotaalpie"/>
          <w:rFonts w:ascii="Times New Roman" w:hAnsi="Times New Roman" w:cs="Times New Roman"/>
          <w:sz w:val="20"/>
          <w:szCs w:val="20"/>
        </w:rPr>
        <w:footnoteRef/>
      </w:r>
      <w:r w:rsidR="00825854" w:rsidRPr="000F19A8">
        <w:rPr>
          <w:rFonts w:ascii="Times New Roman" w:hAnsi="Times New Roman" w:cs="Times New Roman"/>
          <w:sz w:val="20"/>
          <w:szCs w:val="20"/>
        </w:rPr>
        <w:t>Bulygin</w:t>
      </w:r>
      <w:r w:rsidR="000F19A8" w:rsidRPr="000F19A8">
        <w:rPr>
          <w:rFonts w:ascii="Times New Roman" w:hAnsi="Times New Roman" w:cs="Times New Roman"/>
          <w:sz w:val="20"/>
          <w:szCs w:val="20"/>
        </w:rPr>
        <w:t>, E.</w:t>
      </w:r>
      <w:r w:rsidR="00825854" w:rsidRPr="000F19A8">
        <w:rPr>
          <w:rFonts w:ascii="Times New Roman" w:hAnsi="Times New Roman" w:cs="Times New Roman"/>
          <w:sz w:val="20"/>
          <w:szCs w:val="20"/>
        </w:rPr>
        <w:t xml:space="preserve"> (2003) </w:t>
      </w:r>
      <w:r w:rsidR="00825854" w:rsidRPr="000F19A8">
        <w:rPr>
          <w:rFonts w:ascii="Times New Roman" w:hAnsi="Times New Roman" w:cs="Times New Roman"/>
          <w:i/>
          <w:sz w:val="20"/>
          <w:szCs w:val="20"/>
        </w:rPr>
        <w:t xml:space="preserve">Los jueces ¿Crean derecho?, </w:t>
      </w:r>
      <w:r w:rsidR="00825854" w:rsidRPr="000F19A8">
        <w:rPr>
          <w:rFonts w:ascii="Times New Roman" w:hAnsi="Times New Roman" w:cs="Times New Roman"/>
          <w:sz w:val="20"/>
          <w:szCs w:val="20"/>
        </w:rPr>
        <w:t xml:space="preserve">en </w:t>
      </w:r>
      <w:proofErr w:type="spellStart"/>
      <w:r w:rsidR="00825854" w:rsidRPr="000F19A8">
        <w:rPr>
          <w:rFonts w:ascii="Times New Roman" w:hAnsi="Times New Roman" w:cs="Times New Roman"/>
          <w:sz w:val="20"/>
          <w:szCs w:val="20"/>
        </w:rPr>
        <w:t>Malem</w:t>
      </w:r>
      <w:proofErr w:type="spellEnd"/>
      <w:r w:rsidR="00825854" w:rsidRPr="000F19A8">
        <w:rPr>
          <w:rFonts w:ascii="Times New Roman" w:hAnsi="Times New Roman" w:cs="Times New Roman"/>
          <w:sz w:val="20"/>
          <w:szCs w:val="20"/>
        </w:rPr>
        <w:t>, Jorge, Orozco, Jesús y Vázquez, Rodolfo, (compiladores),</w:t>
      </w:r>
      <w:r w:rsidR="00825854" w:rsidRPr="000F19A8">
        <w:rPr>
          <w:rFonts w:ascii="Times New Roman" w:hAnsi="Times New Roman" w:cs="Times New Roman"/>
          <w:i/>
          <w:sz w:val="20"/>
          <w:szCs w:val="20"/>
        </w:rPr>
        <w:t xml:space="preserve"> La función judicial. Ética y democracia, </w:t>
      </w:r>
      <w:r w:rsidR="00825854" w:rsidRPr="000F19A8">
        <w:rPr>
          <w:rFonts w:ascii="Times New Roman" w:hAnsi="Times New Roman" w:cs="Times New Roman"/>
          <w:sz w:val="20"/>
          <w:szCs w:val="20"/>
        </w:rPr>
        <w:t>Barcelona, Gedisa, pp.</w:t>
      </w:r>
      <w:r w:rsidRPr="000F19A8">
        <w:rPr>
          <w:rFonts w:ascii="Times New Roman" w:hAnsi="Times New Roman" w:cs="Times New Roman"/>
          <w:sz w:val="20"/>
          <w:szCs w:val="20"/>
        </w:rPr>
        <w:t>21-37.</w:t>
      </w:r>
    </w:p>
  </w:footnote>
  <w:footnote w:id="8">
    <w:p w:rsidR="00A331DB" w:rsidRDefault="00A331DB" w:rsidP="000F19A8">
      <w:pPr>
        <w:pStyle w:val="Textonotapie"/>
        <w:jc w:val="both"/>
      </w:pPr>
      <w:r w:rsidRPr="000F19A8">
        <w:rPr>
          <w:rStyle w:val="Refdenotaalpie"/>
          <w:rFonts w:ascii="Times New Roman" w:hAnsi="Times New Roman" w:cs="Times New Roman"/>
        </w:rPr>
        <w:footnoteRef/>
      </w:r>
      <w:r w:rsidRPr="000F19A8">
        <w:rPr>
          <w:rFonts w:ascii="Times New Roman" w:hAnsi="Times New Roman" w:cs="Times New Roman"/>
        </w:rPr>
        <w:t xml:space="preserve"> Segura</w:t>
      </w:r>
      <w:r w:rsidR="00825854" w:rsidRPr="000F19A8">
        <w:rPr>
          <w:rFonts w:ascii="Times New Roman" w:hAnsi="Times New Roman" w:cs="Times New Roman"/>
        </w:rPr>
        <w:t xml:space="preserve"> Ortega, M. (2006</w:t>
      </w:r>
      <w:proofErr w:type="gramStart"/>
      <w:r w:rsidR="00825854" w:rsidRPr="000F19A8">
        <w:rPr>
          <w:rFonts w:ascii="Times New Roman" w:hAnsi="Times New Roman" w:cs="Times New Roman"/>
        </w:rPr>
        <w:t>)</w:t>
      </w:r>
      <w:r w:rsidRPr="000F19A8">
        <w:rPr>
          <w:rFonts w:ascii="Times New Roman" w:hAnsi="Times New Roman" w:cs="Times New Roman"/>
          <w:i/>
        </w:rPr>
        <w:t>Sentidos</w:t>
      </w:r>
      <w:proofErr w:type="gramEnd"/>
      <w:r w:rsidRPr="000F19A8">
        <w:rPr>
          <w:rFonts w:ascii="Times New Roman" w:hAnsi="Times New Roman" w:cs="Times New Roman"/>
          <w:i/>
        </w:rPr>
        <w:t xml:space="preserve"> y Límites </w:t>
      </w:r>
      <w:r w:rsidR="00825854" w:rsidRPr="000F19A8">
        <w:rPr>
          <w:rFonts w:ascii="Times New Roman" w:hAnsi="Times New Roman" w:cs="Times New Roman"/>
          <w:i/>
        </w:rPr>
        <w:t xml:space="preserve">de la discrecionalidad judicial, </w:t>
      </w:r>
      <w:r w:rsidR="00825854" w:rsidRPr="000F19A8">
        <w:rPr>
          <w:rFonts w:ascii="Times New Roman" w:hAnsi="Times New Roman" w:cs="Times New Roman"/>
        </w:rPr>
        <w:t>Madrid, E</w:t>
      </w:r>
      <w:r w:rsidRPr="000F19A8">
        <w:rPr>
          <w:rFonts w:ascii="Times New Roman" w:hAnsi="Times New Roman" w:cs="Times New Roman"/>
        </w:rPr>
        <w:t>ditorial Universitaria Ramón Areces.</w:t>
      </w:r>
    </w:p>
  </w:footnote>
  <w:footnote w:id="9">
    <w:p w:rsidR="00A331DB" w:rsidRPr="00B55565" w:rsidRDefault="00A331DB" w:rsidP="00096050">
      <w:pPr>
        <w:pStyle w:val="Textonotapie"/>
        <w:rPr>
          <w:rFonts w:ascii="Times New Roman" w:hAnsi="Times New Roman" w:cs="Times New Roman"/>
        </w:rPr>
      </w:pPr>
      <w:r w:rsidRPr="00B55565">
        <w:rPr>
          <w:rStyle w:val="Refdenotaalpie"/>
          <w:rFonts w:ascii="Times New Roman" w:hAnsi="Times New Roman" w:cs="Times New Roman"/>
        </w:rPr>
        <w:footnoteRef/>
      </w:r>
      <w:r w:rsidRPr="00B55565">
        <w:rPr>
          <w:rFonts w:ascii="Times New Roman" w:hAnsi="Times New Roman" w:cs="Times New Roman"/>
        </w:rPr>
        <w:t xml:space="preserve"> Artículo 850 LECrim: podrá interponerse recurso de casación por quebrantamiento de forma cuando se haya denegado alguna diligencia de prueba que, propuesta en tiempo y en forma por las partes, se considere pertinentes. </w:t>
      </w:r>
    </w:p>
  </w:footnote>
  <w:footnote w:id="10">
    <w:p w:rsidR="00A331DB" w:rsidRPr="003B540C" w:rsidRDefault="00A331DB" w:rsidP="00096050">
      <w:pPr>
        <w:pStyle w:val="Textonotapie"/>
        <w:rPr>
          <w:rFonts w:ascii="Times New Roman" w:hAnsi="Times New Roman" w:cs="Times New Roman"/>
          <w:i/>
        </w:rPr>
      </w:pPr>
      <w:r w:rsidRPr="00B55565">
        <w:rPr>
          <w:rStyle w:val="Refdenotaalpie"/>
          <w:rFonts w:ascii="Times New Roman" w:hAnsi="Times New Roman" w:cs="Times New Roman"/>
        </w:rPr>
        <w:footnoteRef/>
      </w:r>
      <w:r>
        <w:rPr>
          <w:rFonts w:ascii="Times New Roman" w:hAnsi="Times New Roman" w:cs="Times New Roman"/>
        </w:rPr>
        <w:t xml:space="preserve"> Díez Picazo, L</w:t>
      </w:r>
      <w:proofErr w:type="gramStart"/>
      <w:r>
        <w:rPr>
          <w:rFonts w:ascii="Times New Roman" w:hAnsi="Times New Roman" w:cs="Times New Roman"/>
        </w:rPr>
        <w:t>.</w:t>
      </w:r>
      <w:r w:rsidR="00825854" w:rsidRPr="003B540C">
        <w:rPr>
          <w:rFonts w:ascii="Times New Roman" w:hAnsi="Times New Roman" w:cs="Times New Roman"/>
        </w:rPr>
        <w:t>(</w:t>
      </w:r>
      <w:proofErr w:type="gramEnd"/>
      <w:r w:rsidR="00825854" w:rsidRPr="003B540C">
        <w:rPr>
          <w:rFonts w:ascii="Times New Roman" w:hAnsi="Times New Roman" w:cs="Times New Roman"/>
        </w:rPr>
        <w:t>1993)</w:t>
      </w:r>
      <w:r w:rsidRPr="00B55565">
        <w:rPr>
          <w:rFonts w:ascii="Times New Roman" w:hAnsi="Times New Roman" w:cs="Times New Roman"/>
        </w:rPr>
        <w:t xml:space="preserve">en su afirmación “el control de la facticidad es siempre muy difícil, a veces, rigurosamente </w:t>
      </w:r>
      <w:proofErr w:type="spellStart"/>
      <w:r w:rsidRPr="00B55565">
        <w:rPr>
          <w:rFonts w:ascii="Times New Roman" w:hAnsi="Times New Roman" w:cs="Times New Roman"/>
        </w:rPr>
        <w:t>imposible”.</w:t>
      </w:r>
      <w:r w:rsidRPr="003B540C">
        <w:rPr>
          <w:rFonts w:ascii="Times New Roman" w:hAnsi="Times New Roman" w:cs="Times New Roman"/>
          <w:i/>
        </w:rPr>
        <w:t>Experiencias</w:t>
      </w:r>
      <w:proofErr w:type="spellEnd"/>
      <w:r w:rsidRPr="003B540C">
        <w:rPr>
          <w:rFonts w:ascii="Times New Roman" w:hAnsi="Times New Roman" w:cs="Times New Roman"/>
          <w:i/>
        </w:rPr>
        <w:t xml:space="preserve"> </w:t>
      </w:r>
      <w:proofErr w:type="spellStart"/>
      <w:r w:rsidRPr="003B540C">
        <w:rPr>
          <w:rFonts w:ascii="Times New Roman" w:hAnsi="Times New Roman" w:cs="Times New Roman"/>
          <w:i/>
        </w:rPr>
        <w:t>jurídicas</w:t>
      </w:r>
      <w:r>
        <w:rPr>
          <w:rFonts w:ascii="Times New Roman" w:hAnsi="Times New Roman" w:cs="Times New Roman"/>
          <w:i/>
        </w:rPr>
        <w:t>y</w:t>
      </w:r>
      <w:proofErr w:type="spellEnd"/>
      <w:r>
        <w:rPr>
          <w:rFonts w:ascii="Times New Roman" w:hAnsi="Times New Roman" w:cs="Times New Roman"/>
          <w:i/>
        </w:rPr>
        <w:t xml:space="preserve"> teoría del derecho, </w:t>
      </w:r>
      <w:r w:rsidR="00825854" w:rsidRPr="003B540C">
        <w:rPr>
          <w:rFonts w:ascii="Times New Roman" w:hAnsi="Times New Roman" w:cs="Times New Roman"/>
        </w:rPr>
        <w:t>Barcelona</w:t>
      </w:r>
      <w:r w:rsidR="00825854">
        <w:rPr>
          <w:rFonts w:ascii="Times New Roman" w:hAnsi="Times New Roman" w:cs="Times New Roman"/>
        </w:rPr>
        <w:t xml:space="preserve">, </w:t>
      </w:r>
      <w:r w:rsidRPr="003B540C">
        <w:rPr>
          <w:rFonts w:ascii="Times New Roman" w:hAnsi="Times New Roman" w:cs="Times New Roman"/>
        </w:rPr>
        <w:t>Ariel</w:t>
      </w:r>
      <w:r>
        <w:rPr>
          <w:rFonts w:ascii="Times New Roman" w:hAnsi="Times New Roman" w:cs="Times New Roman"/>
          <w:i/>
        </w:rPr>
        <w:t>.</w:t>
      </w:r>
    </w:p>
  </w:footnote>
  <w:footnote w:id="11">
    <w:p w:rsidR="00A331DB" w:rsidRPr="00B55565" w:rsidRDefault="00A331DB" w:rsidP="00096050">
      <w:pPr>
        <w:pStyle w:val="Textonotapie"/>
        <w:rPr>
          <w:rFonts w:ascii="Times New Roman" w:hAnsi="Times New Roman" w:cs="Times New Roman"/>
        </w:rPr>
      </w:pPr>
      <w:r w:rsidRPr="00B55565">
        <w:rPr>
          <w:rStyle w:val="Refdenotaalpie"/>
          <w:rFonts w:ascii="Times New Roman" w:hAnsi="Times New Roman" w:cs="Times New Roman"/>
        </w:rPr>
        <w:footnoteRef/>
      </w:r>
      <w:r w:rsidRPr="00B55565">
        <w:rPr>
          <w:rFonts w:ascii="Times New Roman" w:hAnsi="Times New Roman" w:cs="Times New Roman"/>
        </w:rPr>
        <w:t xml:space="preserve"> Artículo 12 LOPJ en este artículo se establece que los jueces y tribunales no podrán corregir la aplicación o interpretación del ordenamiento jurídico realizada por los que, según el orden jerárquico, están por debajo. Solo se dará el caso cuando juzguen en la interposición de un recurso reconocido por ley. </w:t>
      </w:r>
    </w:p>
  </w:footnote>
  <w:footnote w:id="12">
    <w:p w:rsidR="00A331DB" w:rsidRDefault="00A331DB" w:rsidP="00096050">
      <w:pPr>
        <w:pStyle w:val="Textonotapie"/>
      </w:pPr>
      <w:r w:rsidRPr="00B55565">
        <w:rPr>
          <w:rStyle w:val="Refdenotaalpie"/>
          <w:rFonts w:ascii="Times New Roman" w:hAnsi="Times New Roman" w:cs="Times New Roman"/>
        </w:rPr>
        <w:footnoteRef/>
      </w:r>
      <w:r w:rsidRPr="00B55565">
        <w:rPr>
          <w:rFonts w:ascii="Times New Roman" w:hAnsi="Times New Roman" w:cs="Times New Roman"/>
        </w:rPr>
        <w:t xml:space="preserve"> Así se expone en el Tribunal Supremo en la STS número 637/1997 de 3 de julio, cuando dice que las conclusiones de las salas sentenciadoras deben ser respetadas en el tribunal de casación siempre y cuando no puedan ser calificadas como ilógicas o contraria a la ley.</w:t>
      </w:r>
    </w:p>
  </w:footnote>
  <w:footnote w:id="13">
    <w:p w:rsidR="00A331DB" w:rsidRPr="003B540C" w:rsidRDefault="00A331DB" w:rsidP="00096050">
      <w:pPr>
        <w:pStyle w:val="Textonotapie"/>
        <w:rPr>
          <w:rFonts w:ascii="Times New Roman" w:hAnsi="Times New Roman" w:cs="Times New Roman"/>
        </w:rPr>
      </w:pPr>
      <w:r w:rsidRPr="003B540C">
        <w:rPr>
          <w:rStyle w:val="Refdenotaalpie"/>
          <w:rFonts w:ascii="Times New Roman" w:hAnsi="Times New Roman" w:cs="Times New Roman"/>
        </w:rPr>
        <w:footnoteRef/>
      </w:r>
      <w:r w:rsidRPr="003B540C">
        <w:rPr>
          <w:rFonts w:ascii="Times New Roman" w:hAnsi="Times New Roman" w:cs="Times New Roman"/>
        </w:rPr>
        <w:t xml:space="preserve"> Wróblewski, J. (1989</w:t>
      </w:r>
      <w:proofErr w:type="gramStart"/>
      <w:r w:rsidRPr="003B540C">
        <w:rPr>
          <w:rFonts w:ascii="Times New Roman" w:hAnsi="Times New Roman" w:cs="Times New Roman"/>
        </w:rPr>
        <w:t>)</w:t>
      </w:r>
      <w:r w:rsidRPr="00D53074">
        <w:rPr>
          <w:rFonts w:ascii="Times New Roman" w:hAnsi="Times New Roman" w:cs="Times New Roman"/>
          <w:i/>
        </w:rPr>
        <w:t>Sentido</w:t>
      </w:r>
      <w:proofErr w:type="gramEnd"/>
      <w:r w:rsidRPr="00D53074">
        <w:rPr>
          <w:rFonts w:ascii="Times New Roman" w:hAnsi="Times New Roman" w:cs="Times New Roman"/>
          <w:i/>
        </w:rPr>
        <w:t xml:space="preserve"> y hecho en el Derecho</w:t>
      </w:r>
      <w:r w:rsidRPr="003B540C">
        <w:rPr>
          <w:rFonts w:ascii="Times New Roman" w:hAnsi="Times New Roman" w:cs="Times New Roman"/>
        </w:rPr>
        <w:t xml:space="preserve">, </w:t>
      </w:r>
      <w:r w:rsidR="00825854" w:rsidRPr="00D53074">
        <w:rPr>
          <w:rFonts w:ascii="Times New Roman" w:hAnsi="Times New Roman" w:cs="Times New Roman"/>
        </w:rPr>
        <w:t xml:space="preserve">Editorial de la </w:t>
      </w:r>
      <w:r w:rsidRPr="00D53074">
        <w:rPr>
          <w:rFonts w:ascii="Times New Roman" w:hAnsi="Times New Roman" w:cs="Times New Roman"/>
        </w:rPr>
        <w:t>Universidad del País Vasco.</w:t>
      </w:r>
    </w:p>
  </w:footnote>
  <w:footnote w:id="14">
    <w:p w:rsidR="00A331DB" w:rsidRDefault="00A331DB" w:rsidP="00096050">
      <w:pPr>
        <w:pStyle w:val="Textonotapie"/>
      </w:pPr>
      <w:r w:rsidRPr="003B540C">
        <w:rPr>
          <w:rStyle w:val="Refdenotaalpie"/>
          <w:rFonts w:ascii="Times New Roman" w:hAnsi="Times New Roman" w:cs="Times New Roman"/>
        </w:rPr>
        <w:footnoteRef/>
      </w:r>
      <w:r w:rsidRPr="003B540C">
        <w:rPr>
          <w:rFonts w:ascii="Times New Roman" w:hAnsi="Times New Roman" w:cs="Times New Roman"/>
        </w:rPr>
        <w:t xml:space="preserve"> Artículo 1.7 Código Civil.</w:t>
      </w:r>
    </w:p>
  </w:footnote>
  <w:footnote w:id="15">
    <w:p w:rsidR="00A331DB" w:rsidRPr="00B55565" w:rsidRDefault="00A331DB" w:rsidP="00096050">
      <w:pPr>
        <w:pStyle w:val="Textonotapie"/>
        <w:rPr>
          <w:rFonts w:ascii="Times New Roman" w:hAnsi="Times New Roman" w:cs="Times New Roman"/>
        </w:rPr>
      </w:pPr>
      <w:r w:rsidRPr="00B55565">
        <w:rPr>
          <w:rStyle w:val="Refdenotaalpie"/>
          <w:rFonts w:ascii="Times New Roman" w:hAnsi="Times New Roman" w:cs="Times New Roman"/>
        </w:rPr>
        <w:footnoteRef/>
      </w:r>
      <w:r w:rsidRPr="00B55565">
        <w:rPr>
          <w:rFonts w:ascii="Times New Roman" w:hAnsi="Times New Roman" w:cs="Times New Roman"/>
        </w:rPr>
        <w:t xml:space="preserve"> Esta afirmación se recoge de la STC 116/1986 de 8 de octubre. </w:t>
      </w:r>
    </w:p>
  </w:footnote>
  <w:footnote w:id="16">
    <w:p w:rsidR="00A331DB" w:rsidRPr="00825854" w:rsidRDefault="00A331DB" w:rsidP="00096050">
      <w:pPr>
        <w:pStyle w:val="Textonotapie"/>
        <w:rPr>
          <w:rFonts w:ascii="Times New Roman" w:hAnsi="Times New Roman" w:cs="Times New Roman"/>
        </w:rPr>
      </w:pPr>
      <w:r w:rsidRPr="00B55565">
        <w:rPr>
          <w:rStyle w:val="Refdenotaalpie"/>
          <w:rFonts w:ascii="Times New Roman" w:hAnsi="Times New Roman" w:cs="Times New Roman"/>
        </w:rPr>
        <w:footnoteRef/>
      </w:r>
      <w:r>
        <w:rPr>
          <w:rFonts w:ascii="Times New Roman" w:hAnsi="Times New Roman" w:cs="Times New Roman"/>
        </w:rPr>
        <w:t xml:space="preserve"> Segura Ortega, M.</w:t>
      </w:r>
      <w:r w:rsidR="00825854">
        <w:rPr>
          <w:rFonts w:ascii="Times New Roman" w:hAnsi="Times New Roman" w:cs="Times New Roman"/>
        </w:rPr>
        <w:t xml:space="preserve"> (2006) </w:t>
      </w:r>
      <w:r>
        <w:rPr>
          <w:rFonts w:ascii="Times New Roman" w:hAnsi="Times New Roman" w:cs="Times New Roman"/>
          <w:i/>
        </w:rPr>
        <w:t xml:space="preserve">Sentidos y límites de la discrecionalidad judicial, </w:t>
      </w:r>
      <w:proofErr w:type="spellStart"/>
      <w:r w:rsidR="00825854" w:rsidRPr="00825854">
        <w:rPr>
          <w:rFonts w:ascii="Times New Roman" w:hAnsi="Times New Roman" w:cs="Times New Roman"/>
        </w:rPr>
        <w:t>Madrid</w:t>
      </w:r>
      <w:proofErr w:type="gramStart"/>
      <w:r w:rsidR="00825854" w:rsidRPr="00825854">
        <w:rPr>
          <w:rFonts w:ascii="Times New Roman" w:hAnsi="Times New Roman" w:cs="Times New Roman"/>
        </w:rPr>
        <w:t>,Editor</w:t>
      </w:r>
      <w:r w:rsidR="00825854">
        <w:rPr>
          <w:rFonts w:ascii="Times New Roman" w:hAnsi="Times New Roman" w:cs="Times New Roman"/>
        </w:rPr>
        <w:t>ial</w:t>
      </w:r>
      <w:proofErr w:type="spellEnd"/>
      <w:proofErr w:type="gramEnd"/>
      <w:r w:rsidR="00825854">
        <w:rPr>
          <w:rFonts w:ascii="Times New Roman" w:hAnsi="Times New Roman" w:cs="Times New Roman"/>
        </w:rPr>
        <w:t xml:space="preserve"> Universitaria Ramón Areces, p. 88.</w:t>
      </w:r>
    </w:p>
  </w:footnote>
  <w:footnote w:id="17">
    <w:p w:rsidR="00A331DB" w:rsidRPr="003B540C" w:rsidRDefault="00A331DB" w:rsidP="00096050">
      <w:pPr>
        <w:pStyle w:val="Textonotapie"/>
        <w:rPr>
          <w:rFonts w:ascii="Times New Roman" w:hAnsi="Times New Roman" w:cs="Times New Roman"/>
        </w:rPr>
      </w:pPr>
      <w:r w:rsidRPr="003B540C">
        <w:rPr>
          <w:rStyle w:val="Refdenotaalpie"/>
          <w:rFonts w:ascii="Times New Roman" w:hAnsi="Times New Roman" w:cs="Times New Roman"/>
        </w:rPr>
        <w:footnoteRef/>
      </w:r>
      <w:r w:rsidRPr="003B540C">
        <w:rPr>
          <w:rFonts w:ascii="Times New Roman" w:hAnsi="Times New Roman" w:cs="Times New Roman"/>
        </w:rPr>
        <w:t xml:space="preserve"> Igartua salverría, J. (1996) “Principio de legalidad, conceptos indeterminados y discrecionalidad administrativa”, </w:t>
      </w:r>
      <w:r w:rsidRPr="00825854">
        <w:rPr>
          <w:rFonts w:ascii="Times New Roman" w:hAnsi="Times New Roman" w:cs="Times New Roman"/>
          <w:i/>
        </w:rPr>
        <w:t>Revista Vasca de Administración Pública</w:t>
      </w:r>
      <w:r w:rsidRPr="003B540C">
        <w:rPr>
          <w:rFonts w:ascii="Times New Roman" w:hAnsi="Times New Roman" w:cs="Times New Roman"/>
        </w:rPr>
        <w:t>, nº 46, pp 535-554.</w:t>
      </w:r>
    </w:p>
  </w:footnote>
  <w:footnote w:id="18">
    <w:p w:rsidR="00A331DB" w:rsidRDefault="00A331DB" w:rsidP="00096050">
      <w:pPr>
        <w:pStyle w:val="Textonotapie"/>
      </w:pPr>
      <w:r w:rsidRPr="003B540C">
        <w:rPr>
          <w:rStyle w:val="Refdenotaalpie"/>
          <w:rFonts w:ascii="Times New Roman" w:hAnsi="Times New Roman" w:cs="Times New Roman"/>
        </w:rPr>
        <w:footnoteRef/>
      </w:r>
      <w:r w:rsidR="00D53074">
        <w:rPr>
          <w:rFonts w:ascii="Times New Roman" w:hAnsi="Times New Roman" w:cs="Times New Roman"/>
        </w:rPr>
        <w:t xml:space="preserve"> Me remito al apartado de “C</w:t>
      </w:r>
      <w:r w:rsidRPr="003B540C">
        <w:rPr>
          <w:rFonts w:ascii="Times New Roman" w:hAnsi="Times New Roman" w:cs="Times New Roman"/>
        </w:rPr>
        <w:t>oncepto y elementos básicos” de la discrecionalidad anunciado con anterioridad.</w:t>
      </w:r>
    </w:p>
  </w:footnote>
  <w:footnote w:id="19">
    <w:p w:rsidR="00A331DB" w:rsidRPr="003B540C" w:rsidRDefault="00A331DB">
      <w:pPr>
        <w:pStyle w:val="Textonotapie"/>
        <w:rPr>
          <w:rFonts w:ascii="Times New Roman" w:hAnsi="Times New Roman" w:cs="Times New Roman"/>
        </w:rPr>
      </w:pPr>
      <w:r>
        <w:rPr>
          <w:rStyle w:val="Refdenotaalpie"/>
        </w:rPr>
        <w:footnoteRef/>
      </w:r>
      <w:r>
        <w:t xml:space="preserve"> STS de 9 de mayo de 1986</w:t>
      </w:r>
    </w:p>
  </w:footnote>
  <w:footnote w:id="20">
    <w:p w:rsidR="00A331DB" w:rsidRPr="00B55565" w:rsidRDefault="00A331DB" w:rsidP="00096050">
      <w:pPr>
        <w:pStyle w:val="Textonotapie"/>
        <w:rPr>
          <w:rFonts w:ascii="Times New Roman" w:hAnsi="Times New Roman" w:cs="Times New Roman"/>
        </w:rPr>
      </w:pPr>
      <w:r w:rsidRPr="00B55565">
        <w:rPr>
          <w:rStyle w:val="Refdenotaalpie"/>
          <w:rFonts w:ascii="Times New Roman" w:hAnsi="Times New Roman" w:cs="Times New Roman"/>
        </w:rPr>
        <w:footnoteRef/>
      </w:r>
      <w:r w:rsidRPr="00B55565">
        <w:rPr>
          <w:rFonts w:ascii="Times New Roman" w:hAnsi="Times New Roman" w:cs="Times New Roman"/>
        </w:rPr>
        <w:t xml:space="preserve"> “ La posición de nuestro más alto Tribunal en este asunto se resume, en efecto, en un rechazo puro y simple de toda posibilidad de control, no tanto por las limitaciones inherentes al recurso de casación, que es la vía a través de la cual llegan a él las quejas de los justiciables por el incorrecto ejercicio de si arbitrio por los jueces inferiores, sino también y sobre todo porque entiende que el poder discrecional en que el arbitrio judicial consiste en sí mismo, por su propia naturaleza, insusceptible de control alguno”. Fernández, Tomás Ramón</w:t>
      </w:r>
      <w:r>
        <w:rPr>
          <w:rFonts w:ascii="Times New Roman" w:hAnsi="Times New Roman" w:cs="Times New Roman"/>
        </w:rPr>
        <w:t xml:space="preserve"> (2005)</w:t>
      </w:r>
      <w:proofErr w:type="gramStart"/>
      <w:r>
        <w:rPr>
          <w:rFonts w:ascii="Times New Roman" w:hAnsi="Times New Roman" w:cs="Times New Roman"/>
        </w:rPr>
        <w:t>,</w:t>
      </w:r>
      <w:r w:rsidRPr="00B55565">
        <w:rPr>
          <w:rFonts w:ascii="Times New Roman" w:hAnsi="Times New Roman" w:cs="Times New Roman"/>
          <w:i/>
        </w:rPr>
        <w:t>Del</w:t>
      </w:r>
      <w:proofErr w:type="gramEnd"/>
      <w:r w:rsidRPr="00B55565">
        <w:rPr>
          <w:rFonts w:ascii="Times New Roman" w:hAnsi="Times New Roman" w:cs="Times New Roman"/>
          <w:i/>
        </w:rPr>
        <w:t xml:space="preserve"> arbitrio y de la arbitrariedad judicial, </w:t>
      </w:r>
      <w:r w:rsidR="00825854" w:rsidRPr="003B540C">
        <w:rPr>
          <w:rFonts w:ascii="Times New Roman" w:hAnsi="Times New Roman" w:cs="Times New Roman"/>
        </w:rPr>
        <w:t>Madrid</w:t>
      </w:r>
      <w:r w:rsidR="00825854">
        <w:rPr>
          <w:rFonts w:ascii="Times New Roman" w:hAnsi="Times New Roman" w:cs="Times New Roman"/>
        </w:rPr>
        <w:t xml:space="preserve">, </w:t>
      </w:r>
      <w:proofErr w:type="spellStart"/>
      <w:r w:rsidR="00825854">
        <w:rPr>
          <w:rFonts w:ascii="Times New Roman" w:hAnsi="Times New Roman" w:cs="Times New Roman"/>
        </w:rPr>
        <w:t>Iustel,</w:t>
      </w:r>
      <w:r>
        <w:rPr>
          <w:rFonts w:ascii="Times New Roman" w:hAnsi="Times New Roman" w:cs="Times New Roman"/>
        </w:rPr>
        <w:t>pp</w:t>
      </w:r>
      <w:proofErr w:type="spellEnd"/>
      <w:r w:rsidR="00825854">
        <w:rPr>
          <w:rFonts w:ascii="Times New Roman" w:hAnsi="Times New Roman" w:cs="Times New Roman"/>
        </w:rPr>
        <w:t>.</w:t>
      </w:r>
      <w:r w:rsidRPr="00B55565">
        <w:rPr>
          <w:rFonts w:ascii="Times New Roman" w:hAnsi="Times New Roman" w:cs="Times New Roman"/>
        </w:rPr>
        <w:t xml:space="preserve"> 101-102.</w:t>
      </w:r>
    </w:p>
  </w:footnote>
  <w:footnote w:id="21">
    <w:p w:rsidR="00A331DB" w:rsidRDefault="00A331DB" w:rsidP="00096050">
      <w:pPr>
        <w:pStyle w:val="Textonotapie"/>
      </w:pPr>
      <w:r w:rsidRPr="00B55565">
        <w:rPr>
          <w:rStyle w:val="Refdenotaalpie"/>
          <w:rFonts w:ascii="Times New Roman" w:hAnsi="Times New Roman" w:cs="Times New Roman"/>
        </w:rPr>
        <w:footnoteRef/>
      </w:r>
      <w:r>
        <w:rPr>
          <w:rFonts w:ascii="Times New Roman" w:hAnsi="Times New Roman" w:cs="Times New Roman"/>
        </w:rPr>
        <w:t xml:space="preserve"> Según Segura Ortega, M.</w:t>
      </w:r>
      <w:r w:rsidR="00825854">
        <w:rPr>
          <w:rFonts w:ascii="Times New Roman" w:hAnsi="Times New Roman" w:cs="Times New Roman"/>
        </w:rPr>
        <w:t xml:space="preserve"> (2006)</w:t>
      </w:r>
      <w:r>
        <w:rPr>
          <w:rFonts w:ascii="Times New Roman" w:hAnsi="Times New Roman" w:cs="Times New Roman"/>
        </w:rPr>
        <w:t xml:space="preserve"> en su </w:t>
      </w:r>
      <w:proofErr w:type="spellStart"/>
      <w:r>
        <w:rPr>
          <w:rFonts w:ascii="Times New Roman" w:hAnsi="Times New Roman" w:cs="Times New Roman"/>
        </w:rPr>
        <w:t>obra</w:t>
      </w:r>
      <w:r w:rsidRPr="00B55565">
        <w:rPr>
          <w:rFonts w:ascii="Times New Roman" w:hAnsi="Times New Roman" w:cs="Times New Roman"/>
          <w:i/>
        </w:rPr>
        <w:t>Sentidos</w:t>
      </w:r>
      <w:proofErr w:type="spellEnd"/>
      <w:r w:rsidRPr="00B55565">
        <w:rPr>
          <w:rFonts w:ascii="Times New Roman" w:hAnsi="Times New Roman" w:cs="Times New Roman"/>
          <w:i/>
        </w:rPr>
        <w:t xml:space="preserve"> y límites de la discrecionalidad judicial</w:t>
      </w:r>
      <w:r w:rsidRPr="00B55565">
        <w:rPr>
          <w:rFonts w:ascii="Times New Roman" w:hAnsi="Times New Roman" w:cs="Times New Roman"/>
        </w:rPr>
        <w:t>, la afirmación de que los más altos Tribunales establecen una doctrina de mínimos que resulta claramente indeterminada, no es una crítica a estos órganos judiciales sino que es una constatación de la única forma de control que tienen la posibilidad de hacer aún cuando no sea una herramienta eficaz para controlar la actividad discrecional de los juzgadores.</w:t>
      </w:r>
    </w:p>
  </w:footnote>
  <w:footnote w:id="22">
    <w:p w:rsidR="00A331DB" w:rsidRPr="003B540C" w:rsidRDefault="00A331DB" w:rsidP="00096050">
      <w:pPr>
        <w:pStyle w:val="Textonotapie"/>
        <w:rPr>
          <w:rFonts w:ascii="Times New Roman" w:hAnsi="Times New Roman" w:cs="Times New Roman"/>
          <w:i/>
        </w:rPr>
      </w:pPr>
      <w:r w:rsidRPr="003B540C">
        <w:rPr>
          <w:rStyle w:val="Refdenotaalpie"/>
          <w:rFonts w:ascii="Times New Roman" w:hAnsi="Times New Roman" w:cs="Times New Roman"/>
        </w:rPr>
        <w:footnoteRef/>
      </w:r>
      <w:r w:rsidRPr="003B540C">
        <w:rPr>
          <w:rFonts w:ascii="Times New Roman" w:hAnsi="Times New Roman" w:cs="Times New Roman"/>
        </w:rPr>
        <w:t xml:space="preserve"> Igartua Salverría, J</w:t>
      </w:r>
      <w:r w:rsidR="00550D67">
        <w:rPr>
          <w:rFonts w:ascii="Times New Roman" w:hAnsi="Times New Roman" w:cs="Times New Roman"/>
        </w:rPr>
        <w:t>.</w:t>
      </w:r>
      <w:r w:rsidRPr="003B540C">
        <w:rPr>
          <w:rFonts w:ascii="Times New Roman" w:hAnsi="Times New Roman" w:cs="Times New Roman"/>
        </w:rPr>
        <w:t xml:space="preserve"> (1998) </w:t>
      </w:r>
      <w:r w:rsidRPr="003B540C">
        <w:rPr>
          <w:rFonts w:ascii="Times New Roman" w:hAnsi="Times New Roman" w:cs="Times New Roman"/>
          <w:i/>
        </w:rPr>
        <w:t xml:space="preserve">Discrecionalidad técnica, motivación y control de la actividad </w:t>
      </w:r>
      <w:proofErr w:type="spellStart"/>
      <w:r w:rsidRPr="003B540C">
        <w:rPr>
          <w:rFonts w:ascii="Times New Roman" w:hAnsi="Times New Roman" w:cs="Times New Roman"/>
          <w:i/>
        </w:rPr>
        <w:t>jurisdiccional</w:t>
      </w:r>
      <w:proofErr w:type="gramStart"/>
      <w:r w:rsidR="00550D67">
        <w:rPr>
          <w:rFonts w:ascii="Times New Roman" w:hAnsi="Times New Roman" w:cs="Times New Roman"/>
          <w:i/>
        </w:rPr>
        <w:t>,</w:t>
      </w:r>
      <w:r w:rsidR="00550D67">
        <w:rPr>
          <w:rFonts w:ascii="Times New Roman" w:hAnsi="Times New Roman" w:cs="Times New Roman"/>
        </w:rPr>
        <w:t>Madri</w:t>
      </w:r>
      <w:r w:rsidR="00550D67" w:rsidRPr="00D53074">
        <w:rPr>
          <w:rFonts w:ascii="Times New Roman" w:hAnsi="Times New Roman" w:cs="Times New Roman"/>
        </w:rPr>
        <w:t>d,</w:t>
      </w:r>
      <w:r w:rsidRPr="003B540C">
        <w:rPr>
          <w:rFonts w:ascii="Times New Roman" w:hAnsi="Times New Roman" w:cs="Times New Roman"/>
        </w:rPr>
        <w:t>Civitas</w:t>
      </w:r>
      <w:proofErr w:type="spellEnd"/>
      <w:proofErr w:type="gramEnd"/>
      <w:r w:rsidRPr="003B540C">
        <w:rPr>
          <w:rFonts w:ascii="Times New Roman" w:hAnsi="Times New Roman" w:cs="Times New Roman"/>
        </w:rPr>
        <w:t xml:space="preserve">, </w:t>
      </w:r>
      <w:r w:rsidR="00550D67">
        <w:rPr>
          <w:rFonts w:ascii="Times New Roman" w:hAnsi="Times New Roman" w:cs="Times New Roman"/>
        </w:rPr>
        <w:t>p.</w:t>
      </w:r>
      <w:r w:rsidRPr="003B540C">
        <w:rPr>
          <w:rFonts w:ascii="Times New Roman" w:hAnsi="Times New Roman" w:cs="Times New Roman"/>
        </w:rPr>
        <w:t>51</w:t>
      </w:r>
      <w:r w:rsidR="00550D67">
        <w:rPr>
          <w:rFonts w:ascii="Times New Roman" w:hAnsi="Times New Roman" w:cs="Times New Roman"/>
        </w:rPr>
        <w:t>.</w:t>
      </w:r>
    </w:p>
  </w:footnote>
  <w:footnote w:id="23">
    <w:p w:rsidR="00A331DB" w:rsidRPr="003B540C" w:rsidRDefault="00A331DB" w:rsidP="00096050">
      <w:pPr>
        <w:pStyle w:val="Textonotapie"/>
        <w:rPr>
          <w:rFonts w:ascii="Times New Roman" w:hAnsi="Times New Roman" w:cs="Times New Roman"/>
        </w:rPr>
      </w:pPr>
      <w:r w:rsidRPr="003B540C">
        <w:rPr>
          <w:rStyle w:val="Refdenotaalpie"/>
          <w:rFonts w:ascii="Times New Roman" w:hAnsi="Times New Roman" w:cs="Times New Roman"/>
        </w:rPr>
        <w:footnoteRef/>
      </w:r>
      <w:r w:rsidRPr="003B540C">
        <w:rPr>
          <w:rFonts w:ascii="Times New Roman" w:hAnsi="Times New Roman" w:cs="Times New Roman"/>
        </w:rPr>
        <w:t xml:space="preserve"> Nieto, A. (2000) </w:t>
      </w:r>
      <w:r w:rsidRPr="003B540C">
        <w:rPr>
          <w:rFonts w:ascii="Times New Roman" w:hAnsi="Times New Roman" w:cs="Times New Roman"/>
          <w:i/>
        </w:rPr>
        <w:t xml:space="preserve">El arbitrio judicial, </w:t>
      </w:r>
      <w:proofErr w:type="spellStart"/>
      <w:r w:rsidR="00550D67" w:rsidRPr="003B540C">
        <w:rPr>
          <w:rFonts w:ascii="Times New Roman" w:hAnsi="Times New Roman" w:cs="Times New Roman"/>
        </w:rPr>
        <w:t>Barcelona</w:t>
      </w:r>
      <w:proofErr w:type="gramStart"/>
      <w:r w:rsidR="00550D67">
        <w:rPr>
          <w:rFonts w:ascii="Times New Roman" w:hAnsi="Times New Roman" w:cs="Times New Roman"/>
        </w:rPr>
        <w:t>,</w:t>
      </w:r>
      <w:r w:rsidRPr="003B540C">
        <w:rPr>
          <w:rFonts w:ascii="Times New Roman" w:hAnsi="Times New Roman" w:cs="Times New Roman"/>
        </w:rPr>
        <w:t>Ariel</w:t>
      </w:r>
      <w:proofErr w:type="spellEnd"/>
      <w:proofErr w:type="gramEnd"/>
      <w:r w:rsidRPr="003B540C">
        <w:rPr>
          <w:rFonts w:ascii="Times New Roman" w:hAnsi="Times New Roman" w:cs="Times New Roman"/>
        </w:rPr>
        <w:t>, p. 227.</w:t>
      </w:r>
    </w:p>
  </w:footnote>
  <w:footnote w:id="24">
    <w:p w:rsidR="00A331DB" w:rsidRDefault="00A331DB">
      <w:pPr>
        <w:pStyle w:val="Textonotapie"/>
      </w:pPr>
      <w:r w:rsidRPr="003B540C">
        <w:rPr>
          <w:rStyle w:val="Refdenotaalpie"/>
          <w:rFonts w:ascii="Times New Roman" w:hAnsi="Times New Roman" w:cs="Times New Roman"/>
        </w:rPr>
        <w:footnoteRef/>
      </w:r>
      <w:r w:rsidRPr="003B540C">
        <w:rPr>
          <w:rFonts w:ascii="Times New Roman" w:hAnsi="Times New Roman" w:cs="Times New Roman"/>
        </w:rPr>
        <w:t xml:space="preserve"> STC 6/2002 de 14 de enero, STC 236/2005, de 26 de septiembre.</w:t>
      </w:r>
    </w:p>
  </w:footnote>
  <w:footnote w:id="25">
    <w:p w:rsidR="00A331DB" w:rsidRPr="003B540C" w:rsidRDefault="00A331DB" w:rsidP="00096050">
      <w:pPr>
        <w:pStyle w:val="Textonotapie"/>
        <w:rPr>
          <w:rFonts w:ascii="Times New Roman" w:hAnsi="Times New Roman" w:cs="Times New Roman"/>
          <w:i/>
        </w:rPr>
      </w:pPr>
      <w:r w:rsidRPr="003B540C">
        <w:rPr>
          <w:rStyle w:val="Refdenotaalpie"/>
          <w:rFonts w:ascii="Times New Roman" w:hAnsi="Times New Roman" w:cs="Times New Roman"/>
        </w:rPr>
        <w:footnoteRef/>
      </w:r>
      <w:r w:rsidRPr="003B540C">
        <w:rPr>
          <w:rFonts w:ascii="Times New Roman" w:hAnsi="Times New Roman" w:cs="Times New Roman"/>
        </w:rPr>
        <w:t xml:space="preserve"> Otero Parga, M.</w:t>
      </w:r>
      <w:r>
        <w:rPr>
          <w:rFonts w:ascii="Times New Roman" w:hAnsi="Times New Roman" w:cs="Times New Roman"/>
        </w:rPr>
        <w:t xml:space="preserve"> (1995) </w:t>
      </w:r>
      <w:r w:rsidR="00550D67">
        <w:rPr>
          <w:rFonts w:ascii="Times New Roman" w:hAnsi="Times New Roman" w:cs="Times New Roman"/>
        </w:rPr>
        <w:t>“</w:t>
      </w:r>
      <w:r w:rsidRPr="00550D67">
        <w:rPr>
          <w:rFonts w:ascii="Times New Roman" w:hAnsi="Times New Roman" w:cs="Times New Roman"/>
        </w:rPr>
        <w:t xml:space="preserve">La </w:t>
      </w:r>
      <w:proofErr w:type="spellStart"/>
      <w:r w:rsidRPr="00550D67">
        <w:rPr>
          <w:rFonts w:ascii="Times New Roman" w:hAnsi="Times New Roman" w:cs="Times New Roman"/>
        </w:rPr>
        <w:t>arbitrariedad</w:t>
      </w:r>
      <w:r w:rsidR="00550D67">
        <w:rPr>
          <w:rFonts w:ascii="Times New Roman" w:hAnsi="Times New Roman" w:cs="Times New Roman"/>
        </w:rPr>
        <w:t>”</w:t>
      </w:r>
      <w:r w:rsidR="00550D67">
        <w:rPr>
          <w:rFonts w:ascii="Times New Roman" w:hAnsi="Times New Roman" w:cs="Times New Roman"/>
          <w:i/>
        </w:rPr>
        <w:t>,</w:t>
      </w:r>
      <w:r w:rsidRPr="00550D67">
        <w:rPr>
          <w:rFonts w:ascii="Times New Roman" w:hAnsi="Times New Roman" w:cs="Times New Roman"/>
          <w:i/>
        </w:rPr>
        <w:t>Anuario</w:t>
      </w:r>
      <w:proofErr w:type="spellEnd"/>
      <w:r w:rsidRPr="00550D67">
        <w:rPr>
          <w:rFonts w:ascii="Times New Roman" w:hAnsi="Times New Roman" w:cs="Times New Roman"/>
          <w:i/>
        </w:rPr>
        <w:t xml:space="preserve"> de filosofía del derecho</w:t>
      </w:r>
      <w:r>
        <w:rPr>
          <w:rFonts w:ascii="Times New Roman" w:hAnsi="Times New Roman" w:cs="Times New Roman"/>
        </w:rPr>
        <w:t xml:space="preserve">, </w:t>
      </w:r>
      <w:r w:rsidR="000F19A8">
        <w:rPr>
          <w:rFonts w:ascii="Times New Roman" w:hAnsi="Times New Roman" w:cs="Times New Roman"/>
        </w:rPr>
        <w:t>n</w:t>
      </w:r>
      <w:r>
        <w:rPr>
          <w:rFonts w:ascii="Times New Roman" w:hAnsi="Times New Roman" w:cs="Times New Roman"/>
        </w:rPr>
        <w:t>º 12, pp 387-390</w:t>
      </w:r>
    </w:p>
  </w:footnote>
  <w:footnote w:id="26">
    <w:p w:rsidR="00A331DB" w:rsidRPr="003B540C" w:rsidRDefault="00A331DB" w:rsidP="00096050">
      <w:pPr>
        <w:pStyle w:val="Textonotapie"/>
        <w:rPr>
          <w:rFonts w:ascii="Times New Roman" w:hAnsi="Times New Roman" w:cs="Times New Roman"/>
          <w:i/>
        </w:rPr>
      </w:pPr>
      <w:r w:rsidRPr="003B540C">
        <w:rPr>
          <w:rStyle w:val="Refdenotaalpie"/>
          <w:rFonts w:ascii="Times New Roman" w:hAnsi="Times New Roman" w:cs="Times New Roman"/>
        </w:rPr>
        <w:footnoteRef/>
      </w:r>
      <w:r w:rsidRPr="003B540C">
        <w:rPr>
          <w:rFonts w:ascii="Times New Roman" w:hAnsi="Times New Roman" w:cs="Times New Roman"/>
        </w:rPr>
        <w:t xml:space="preserve"> Remisión al apartado 3.3 “Causas de la discrecionalidad”.</w:t>
      </w:r>
    </w:p>
  </w:footnote>
  <w:footnote w:id="27">
    <w:p w:rsidR="00A331DB" w:rsidRPr="000F19A8" w:rsidRDefault="00A331DB" w:rsidP="000F19A8">
      <w:pPr>
        <w:pStyle w:val="Textonotapie"/>
        <w:jc w:val="both"/>
        <w:rPr>
          <w:rFonts w:ascii="Times New Roman" w:hAnsi="Times New Roman" w:cs="Times New Roman"/>
        </w:rPr>
      </w:pPr>
      <w:r w:rsidRPr="000F19A8">
        <w:rPr>
          <w:rStyle w:val="Refdenotaalpie"/>
          <w:rFonts w:ascii="Times New Roman" w:hAnsi="Times New Roman" w:cs="Times New Roman"/>
        </w:rPr>
        <w:footnoteRef/>
      </w:r>
      <w:r w:rsidRPr="000F19A8">
        <w:rPr>
          <w:rFonts w:ascii="Times New Roman" w:hAnsi="Times New Roman" w:cs="Times New Roman"/>
        </w:rPr>
        <w:t xml:space="preserve"> Era partidario de esta idea Kelsen afirmando que la interpretación de una ley puede conducir a una pluralidad de decisiones y una de ella es la que se convertirá en derecho positivo. </w:t>
      </w:r>
    </w:p>
  </w:footnote>
  <w:footnote w:id="28">
    <w:p w:rsidR="00A331DB" w:rsidRPr="000F19A8" w:rsidRDefault="00A331DB" w:rsidP="000F19A8">
      <w:pPr>
        <w:pStyle w:val="Textonotapie"/>
        <w:jc w:val="both"/>
        <w:rPr>
          <w:rFonts w:ascii="Times New Roman" w:hAnsi="Times New Roman" w:cs="Times New Roman"/>
          <w:i/>
        </w:rPr>
      </w:pPr>
      <w:r w:rsidRPr="000F19A8">
        <w:rPr>
          <w:rStyle w:val="Refdenotaalpie"/>
          <w:rFonts w:ascii="Times New Roman" w:hAnsi="Times New Roman" w:cs="Times New Roman"/>
        </w:rPr>
        <w:footnoteRef/>
      </w:r>
      <w:r w:rsidR="00550D67" w:rsidRPr="000F19A8">
        <w:rPr>
          <w:rFonts w:ascii="Times New Roman" w:hAnsi="Times New Roman" w:cs="Times New Roman"/>
        </w:rPr>
        <w:t>Peces-Barba, G. (1983) “La creación judicial del Derecho desde la Teoría del Ordenamiento Jurídico”</w:t>
      </w:r>
      <w:r w:rsidR="00550D67" w:rsidRPr="000F19A8">
        <w:rPr>
          <w:rFonts w:ascii="Times New Roman" w:hAnsi="Times New Roman" w:cs="Times New Roman"/>
          <w:i/>
        </w:rPr>
        <w:t xml:space="preserve">. Poder Judicial, </w:t>
      </w:r>
      <w:r w:rsidR="000F19A8" w:rsidRPr="000F19A8">
        <w:rPr>
          <w:rFonts w:ascii="Times New Roman" w:hAnsi="Times New Roman" w:cs="Times New Roman"/>
        </w:rPr>
        <w:t xml:space="preserve">n </w:t>
      </w:r>
      <w:r w:rsidR="00550D67" w:rsidRPr="000F19A8">
        <w:rPr>
          <w:rFonts w:ascii="Times New Roman" w:hAnsi="Times New Roman" w:cs="Times New Roman"/>
        </w:rPr>
        <w:t>º6</w:t>
      </w:r>
      <w:r w:rsidR="000F19A8" w:rsidRPr="000F19A8">
        <w:rPr>
          <w:rFonts w:ascii="Times New Roman" w:hAnsi="Times New Roman" w:cs="Times New Roman"/>
        </w:rPr>
        <w:t>.</w:t>
      </w:r>
    </w:p>
  </w:footnote>
  <w:footnote w:id="29">
    <w:p w:rsidR="00A331DB" w:rsidRPr="000F19A8" w:rsidRDefault="00A331DB" w:rsidP="000F19A8">
      <w:pPr>
        <w:spacing w:after="0" w:line="240" w:lineRule="auto"/>
        <w:jc w:val="both"/>
        <w:rPr>
          <w:rFonts w:ascii="Times New Roman" w:hAnsi="Times New Roman" w:cs="Times New Roman"/>
          <w:sz w:val="20"/>
          <w:szCs w:val="20"/>
        </w:rPr>
      </w:pPr>
      <w:r w:rsidRPr="000F19A8">
        <w:rPr>
          <w:rStyle w:val="Refdenotaalpie"/>
          <w:rFonts w:ascii="Times New Roman" w:hAnsi="Times New Roman" w:cs="Times New Roman"/>
          <w:sz w:val="20"/>
          <w:szCs w:val="20"/>
        </w:rPr>
        <w:footnoteRef/>
      </w:r>
      <w:r w:rsidR="00550D67" w:rsidRPr="000F19A8">
        <w:rPr>
          <w:rFonts w:ascii="Times New Roman" w:hAnsi="Times New Roman" w:cs="Times New Roman"/>
          <w:sz w:val="20"/>
          <w:szCs w:val="20"/>
        </w:rPr>
        <w:t xml:space="preserve">Ruiz </w:t>
      </w:r>
      <w:proofErr w:type="spellStart"/>
      <w:r w:rsidR="00550D67" w:rsidRPr="000F19A8">
        <w:rPr>
          <w:rFonts w:ascii="Times New Roman" w:hAnsi="Times New Roman" w:cs="Times New Roman"/>
          <w:sz w:val="20"/>
          <w:szCs w:val="20"/>
        </w:rPr>
        <w:t>Ruiz</w:t>
      </w:r>
      <w:proofErr w:type="spellEnd"/>
      <w:r w:rsidR="00550D67" w:rsidRPr="000F19A8">
        <w:rPr>
          <w:rFonts w:ascii="Times New Roman" w:hAnsi="Times New Roman" w:cs="Times New Roman"/>
          <w:sz w:val="20"/>
          <w:szCs w:val="20"/>
        </w:rPr>
        <w:t>, R. (2014) “El juez y la aplicación del derecho”</w:t>
      </w:r>
      <w:r w:rsidR="000F19A8" w:rsidRPr="000F19A8">
        <w:rPr>
          <w:rFonts w:ascii="Times New Roman" w:hAnsi="Times New Roman" w:cs="Times New Roman"/>
          <w:sz w:val="20"/>
          <w:szCs w:val="20"/>
        </w:rPr>
        <w:t xml:space="preserve">, </w:t>
      </w:r>
      <w:r w:rsidR="000F19A8" w:rsidRPr="000F19A8">
        <w:rPr>
          <w:rFonts w:ascii="Times New Roman" w:eastAsia="Calibri" w:hAnsi="Times New Roman" w:cs="Times New Roman"/>
          <w:sz w:val="20"/>
          <w:szCs w:val="20"/>
          <w:lang w:eastAsia="en-US"/>
        </w:rPr>
        <w:t>Barranco, M.C, Celador, O. y Vacas, F. (</w:t>
      </w:r>
      <w:proofErr w:type="spellStart"/>
      <w:r w:rsidR="000F19A8" w:rsidRPr="000F19A8">
        <w:rPr>
          <w:rFonts w:ascii="Times New Roman" w:eastAsia="Calibri" w:hAnsi="Times New Roman" w:cs="Times New Roman"/>
          <w:sz w:val="20"/>
          <w:szCs w:val="20"/>
          <w:lang w:eastAsia="en-US"/>
        </w:rPr>
        <w:t>coords</w:t>
      </w:r>
      <w:proofErr w:type="spellEnd"/>
      <w:r w:rsidR="000F19A8" w:rsidRPr="000F19A8">
        <w:rPr>
          <w:rFonts w:ascii="Times New Roman" w:eastAsia="Calibri" w:hAnsi="Times New Roman" w:cs="Times New Roman"/>
          <w:sz w:val="20"/>
          <w:szCs w:val="20"/>
          <w:lang w:eastAsia="en-US"/>
        </w:rPr>
        <w:t xml:space="preserve">.) </w:t>
      </w:r>
      <w:r w:rsidR="000F19A8" w:rsidRPr="000F19A8">
        <w:rPr>
          <w:rFonts w:ascii="Times New Roman" w:eastAsia="Calibri" w:hAnsi="Times New Roman" w:cs="Times New Roman"/>
          <w:i/>
          <w:sz w:val="20"/>
          <w:szCs w:val="20"/>
          <w:lang w:eastAsia="en-US"/>
        </w:rPr>
        <w:t>Perspectivas actuales en la aplicación del Derecho</w:t>
      </w:r>
      <w:r w:rsidR="000F19A8" w:rsidRPr="000F19A8">
        <w:rPr>
          <w:rFonts w:ascii="Times New Roman" w:eastAsia="Calibri" w:hAnsi="Times New Roman" w:cs="Times New Roman"/>
          <w:sz w:val="20"/>
          <w:szCs w:val="20"/>
          <w:lang w:eastAsia="en-US"/>
        </w:rPr>
        <w:t xml:space="preserve">, </w:t>
      </w:r>
      <w:proofErr w:type="spellStart"/>
      <w:r w:rsidR="000F19A8" w:rsidRPr="000F19A8">
        <w:rPr>
          <w:rFonts w:ascii="Times New Roman" w:eastAsia="Calibri" w:hAnsi="Times New Roman" w:cs="Times New Roman"/>
          <w:sz w:val="20"/>
          <w:szCs w:val="20"/>
          <w:lang w:eastAsia="en-US"/>
        </w:rPr>
        <w:t>Dykinson</w:t>
      </w:r>
      <w:proofErr w:type="spellEnd"/>
      <w:r w:rsidR="000F19A8" w:rsidRPr="000F19A8">
        <w:rPr>
          <w:rFonts w:ascii="Times New Roman" w:eastAsia="Calibri" w:hAnsi="Times New Roman" w:cs="Times New Roman"/>
          <w:sz w:val="20"/>
          <w:szCs w:val="20"/>
          <w:lang w:eastAsia="en-US"/>
        </w:rPr>
        <w:t>, Madrid.</w:t>
      </w:r>
    </w:p>
  </w:footnote>
  <w:footnote w:id="30">
    <w:p w:rsidR="00A331DB" w:rsidRPr="003B540C" w:rsidRDefault="00A331DB" w:rsidP="00096050">
      <w:pPr>
        <w:pStyle w:val="Textonotapie"/>
        <w:rPr>
          <w:rFonts w:ascii="Times New Roman" w:hAnsi="Times New Roman" w:cs="Times New Roman"/>
        </w:rPr>
      </w:pPr>
      <w:r w:rsidRPr="003B540C">
        <w:rPr>
          <w:rStyle w:val="Refdenotaalpie"/>
          <w:rFonts w:ascii="Times New Roman" w:hAnsi="Times New Roman" w:cs="Times New Roman"/>
        </w:rPr>
        <w:footnoteRef/>
      </w:r>
      <w:r w:rsidRPr="003B540C">
        <w:rPr>
          <w:rFonts w:ascii="Times New Roman" w:hAnsi="Times New Roman" w:cs="Times New Roman"/>
        </w:rPr>
        <w:t xml:space="preserve"> La menarquía comienza cuando le llega a la mujer la primera menstruación. </w:t>
      </w:r>
    </w:p>
  </w:footnote>
  <w:footnote w:id="31">
    <w:p w:rsidR="00A331DB" w:rsidRPr="008C286C" w:rsidRDefault="00A331DB" w:rsidP="000F19A8">
      <w:pPr>
        <w:pStyle w:val="Textonotapie"/>
        <w:jc w:val="both"/>
        <w:rPr>
          <w:rFonts w:ascii="Times New Roman" w:hAnsi="Times New Roman" w:cs="Times New Roman"/>
        </w:rPr>
      </w:pPr>
      <w:r w:rsidRPr="000F19A8">
        <w:rPr>
          <w:rStyle w:val="Refdenotaalpie"/>
          <w:rFonts w:ascii="Times New Roman" w:hAnsi="Times New Roman" w:cs="Times New Roman"/>
        </w:rPr>
        <w:footnoteRef/>
      </w:r>
      <w:r w:rsidRPr="000F19A8">
        <w:rPr>
          <w:rFonts w:ascii="Times New Roman" w:hAnsi="Times New Roman" w:cs="Times New Roman"/>
          <w:i/>
        </w:rPr>
        <w:t>Artículo de la Revista sobre enseñanza de Derecho</w:t>
      </w:r>
      <w:r w:rsidR="000F19A8" w:rsidRPr="000F19A8">
        <w:rPr>
          <w:rFonts w:ascii="Times New Roman" w:hAnsi="Times New Roman" w:cs="Times New Roman"/>
          <w:i/>
        </w:rPr>
        <w:t>, a</w:t>
      </w:r>
      <w:r w:rsidRPr="008C286C">
        <w:rPr>
          <w:rFonts w:ascii="Times New Roman" w:hAnsi="Times New Roman" w:cs="Times New Roman"/>
        </w:rPr>
        <w:t xml:space="preserve">ño 5, </w:t>
      </w:r>
      <w:r w:rsidR="000F19A8" w:rsidRPr="008C286C">
        <w:rPr>
          <w:rFonts w:ascii="Times New Roman" w:hAnsi="Times New Roman" w:cs="Times New Roman"/>
        </w:rPr>
        <w:t xml:space="preserve">nº </w:t>
      </w:r>
      <w:r w:rsidRPr="008C286C">
        <w:rPr>
          <w:rFonts w:ascii="Times New Roman" w:hAnsi="Times New Roman" w:cs="Times New Roman"/>
        </w:rPr>
        <w:t xml:space="preserve"> 10, 2007, pp</w:t>
      </w:r>
      <w:r w:rsidR="000F19A8" w:rsidRPr="008C286C">
        <w:rPr>
          <w:rFonts w:ascii="Times New Roman" w:hAnsi="Times New Roman" w:cs="Times New Roman"/>
        </w:rPr>
        <w:t>.</w:t>
      </w:r>
      <w:r w:rsidRPr="008C286C">
        <w:rPr>
          <w:rFonts w:ascii="Times New Roman" w:hAnsi="Times New Roman" w:cs="Times New Roman"/>
        </w:rPr>
        <w:t xml:space="preserve"> 95-99. </w:t>
      </w:r>
    </w:p>
  </w:footnote>
  <w:footnote w:id="32">
    <w:p w:rsidR="00A331DB" w:rsidRPr="003E5DB1" w:rsidRDefault="00A331DB" w:rsidP="000F19A8">
      <w:pPr>
        <w:pStyle w:val="Textonotapie"/>
        <w:jc w:val="both"/>
        <w:rPr>
          <w:rFonts w:ascii="Times New Roman" w:hAnsi="Times New Roman" w:cs="Times New Roman"/>
          <w:lang w:val="en-US"/>
        </w:rPr>
      </w:pPr>
      <w:r w:rsidRPr="000F19A8">
        <w:rPr>
          <w:rStyle w:val="Refdenotaalpie"/>
          <w:rFonts w:ascii="Times New Roman" w:hAnsi="Times New Roman" w:cs="Times New Roman"/>
        </w:rPr>
        <w:footnoteRef/>
      </w:r>
      <w:r w:rsidR="00550D67" w:rsidRPr="000F19A8">
        <w:rPr>
          <w:rFonts w:ascii="Times New Roman" w:hAnsi="Times New Roman" w:cs="Times New Roman"/>
          <w:lang w:val="en-US"/>
        </w:rPr>
        <w:t>Holmes,</w:t>
      </w:r>
      <w:r w:rsidR="000F19A8" w:rsidRPr="000F19A8">
        <w:rPr>
          <w:rFonts w:ascii="Times New Roman" w:hAnsi="Times New Roman" w:cs="Times New Roman"/>
          <w:lang w:val="en-US"/>
        </w:rPr>
        <w:t xml:space="preserve"> O.W.</w:t>
      </w:r>
      <w:r w:rsidR="00550D67" w:rsidRPr="000F19A8">
        <w:rPr>
          <w:rFonts w:ascii="Times New Roman" w:hAnsi="Times New Roman" w:cs="Times New Roman"/>
          <w:lang w:val="en-US"/>
        </w:rPr>
        <w:t xml:space="preserve"> (1897) “The Path of the Law”, </w:t>
      </w:r>
      <w:r w:rsidR="00550D67" w:rsidRPr="000F19A8">
        <w:rPr>
          <w:rFonts w:ascii="Times New Roman" w:hAnsi="Times New Roman" w:cs="Times New Roman"/>
          <w:i/>
          <w:lang w:val="en-US"/>
        </w:rPr>
        <w:t xml:space="preserve">Harvard Law Review, </w:t>
      </w:r>
      <w:r w:rsidR="00550D67" w:rsidRPr="000F19A8">
        <w:rPr>
          <w:rFonts w:ascii="Times New Roman" w:hAnsi="Times New Roman" w:cs="Times New Roman"/>
          <w:lang w:val="en-US"/>
        </w:rPr>
        <w:t>nº 457.</w:t>
      </w:r>
    </w:p>
  </w:footnote>
  <w:footnote w:id="33">
    <w:p w:rsidR="00A331DB" w:rsidRPr="008C286C" w:rsidRDefault="00A331DB" w:rsidP="00096050">
      <w:pPr>
        <w:pStyle w:val="Textonotapie"/>
        <w:rPr>
          <w:rFonts w:ascii="Times New Roman" w:hAnsi="Times New Roman" w:cs="Times New Roman"/>
          <w:i/>
        </w:rPr>
      </w:pPr>
      <w:r>
        <w:rPr>
          <w:rStyle w:val="Refdenotaalpie"/>
        </w:rPr>
        <w:footnoteRef/>
      </w:r>
      <w:r w:rsidR="00550D67" w:rsidRPr="008C286C">
        <w:rPr>
          <w:rFonts w:ascii="Times New Roman" w:hAnsi="Times New Roman" w:cs="Times New Roman"/>
        </w:rPr>
        <w:t>Se recoge en el</w:t>
      </w:r>
      <w:r w:rsidRPr="008C286C">
        <w:rPr>
          <w:rFonts w:ascii="Times New Roman" w:hAnsi="Times New Roman" w:cs="Times New Roman"/>
        </w:rPr>
        <w:t xml:space="preserve"> mismo ensayo </w:t>
      </w:r>
      <w:r w:rsidR="00550D67" w:rsidRPr="008C286C">
        <w:rPr>
          <w:rFonts w:ascii="Times New Roman" w:hAnsi="Times New Roman" w:cs="Times New Roman"/>
        </w:rPr>
        <w:t xml:space="preserve">de Holmes, “The Path of the Law”, </w:t>
      </w:r>
      <w:r w:rsidR="00550D67" w:rsidRPr="008C286C">
        <w:rPr>
          <w:rFonts w:ascii="Times New Roman" w:hAnsi="Times New Roman" w:cs="Times New Roman"/>
          <w:i/>
        </w:rPr>
        <w:t xml:space="preserve">Harvard Law </w:t>
      </w:r>
      <w:proofErr w:type="spellStart"/>
      <w:r w:rsidR="00550D67" w:rsidRPr="008C286C">
        <w:rPr>
          <w:rFonts w:ascii="Times New Roman" w:hAnsi="Times New Roman" w:cs="Times New Roman"/>
          <w:i/>
        </w:rPr>
        <w:t>Review</w:t>
      </w:r>
      <w:proofErr w:type="spellEnd"/>
      <w:r w:rsidR="00550D67" w:rsidRPr="008C286C">
        <w:rPr>
          <w:rFonts w:ascii="Times New Roman" w:hAnsi="Times New Roman" w:cs="Times New Roman"/>
          <w:i/>
        </w:rPr>
        <w:t xml:space="preserve">, </w:t>
      </w:r>
      <w:r w:rsidR="00550D67" w:rsidRPr="008C286C">
        <w:rPr>
          <w:rFonts w:ascii="Times New Roman" w:hAnsi="Times New Roman" w:cs="Times New Roman"/>
        </w:rPr>
        <w:t>nº 457.</w:t>
      </w:r>
    </w:p>
  </w:footnote>
  <w:footnote w:id="34">
    <w:p w:rsidR="00A331DB" w:rsidRPr="00C05200" w:rsidRDefault="00A331DB" w:rsidP="00096050">
      <w:pPr>
        <w:pStyle w:val="Textonotapie"/>
        <w:rPr>
          <w:rFonts w:ascii="Times New Roman" w:hAnsi="Times New Roman" w:cs="Times New Roman"/>
        </w:rPr>
      </w:pPr>
      <w:r>
        <w:rPr>
          <w:rStyle w:val="Refdenotaalpie"/>
        </w:rPr>
        <w:footnoteRef/>
      </w:r>
      <w:r w:rsidRPr="003B540C">
        <w:rPr>
          <w:rFonts w:ascii="Times New Roman" w:hAnsi="Times New Roman" w:cs="Times New Roman"/>
        </w:rPr>
        <w:t>García Amado, J.A</w:t>
      </w:r>
      <w:r w:rsidR="006E2CDE">
        <w:rPr>
          <w:rFonts w:ascii="Times New Roman" w:hAnsi="Times New Roman" w:cs="Times New Roman"/>
        </w:rPr>
        <w:t>.</w:t>
      </w:r>
      <w:r w:rsidRPr="003B540C">
        <w:rPr>
          <w:rFonts w:ascii="Times New Roman" w:hAnsi="Times New Roman" w:cs="Times New Roman"/>
        </w:rPr>
        <w:t xml:space="preserve"> (2006</w:t>
      </w:r>
      <w:proofErr w:type="gramStart"/>
      <w:r w:rsidRPr="003B540C">
        <w:rPr>
          <w:rFonts w:ascii="Times New Roman" w:hAnsi="Times New Roman" w:cs="Times New Roman"/>
        </w:rPr>
        <w:t>)</w:t>
      </w:r>
      <w:r w:rsidR="00550D67">
        <w:t>“</w:t>
      </w:r>
      <w:proofErr w:type="gramEnd"/>
      <w:r w:rsidRPr="00550D67">
        <w:rPr>
          <w:rFonts w:ascii="Times New Roman" w:hAnsi="Times New Roman" w:cs="Times New Roman"/>
        </w:rPr>
        <w:t>¿Existe discrecionalidad en la decisión judicial?</w:t>
      </w:r>
      <w:r w:rsidR="00550D67">
        <w:rPr>
          <w:rFonts w:ascii="Times New Roman" w:hAnsi="Times New Roman" w:cs="Times New Roman"/>
        </w:rPr>
        <w:t xml:space="preserve">”, </w:t>
      </w:r>
      <w:r w:rsidRPr="00550D67">
        <w:rPr>
          <w:rFonts w:ascii="Times New Roman" w:hAnsi="Times New Roman" w:cs="Times New Roman"/>
          <w:i/>
        </w:rPr>
        <w:t>Isegoría</w:t>
      </w:r>
      <w:r>
        <w:rPr>
          <w:rFonts w:ascii="Times New Roman" w:hAnsi="Times New Roman" w:cs="Times New Roman"/>
        </w:rPr>
        <w:t xml:space="preserve">, </w:t>
      </w:r>
      <w:r w:rsidR="00550D67">
        <w:rPr>
          <w:rFonts w:ascii="Times New Roman" w:hAnsi="Times New Roman" w:cs="Times New Roman"/>
        </w:rPr>
        <w:t>nº 35</w:t>
      </w:r>
      <w:r>
        <w:rPr>
          <w:rFonts w:ascii="Times New Roman" w:hAnsi="Times New Roman" w:cs="Times New Roman"/>
        </w:rPr>
        <w:t>.</w:t>
      </w:r>
    </w:p>
  </w:footnote>
  <w:footnote w:id="35">
    <w:p w:rsidR="00A331DB" w:rsidRPr="006E2CDE" w:rsidRDefault="00A331DB" w:rsidP="006E2CDE">
      <w:pPr>
        <w:spacing w:after="0" w:line="240" w:lineRule="auto"/>
        <w:jc w:val="both"/>
        <w:rPr>
          <w:rFonts w:ascii="Times New Roman" w:eastAsia="Calibri" w:hAnsi="Times New Roman" w:cs="Times New Roman"/>
          <w:sz w:val="24"/>
          <w:szCs w:val="24"/>
        </w:rPr>
      </w:pPr>
      <w:r w:rsidRPr="006E2CDE">
        <w:rPr>
          <w:rStyle w:val="Refdenotaalpie"/>
          <w:rFonts w:ascii="Times New Roman" w:hAnsi="Times New Roman" w:cs="Times New Roman"/>
        </w:rPr>
        <w:footnoteRef/>
      </w:r>
      <w:r w:rsidRPr="006E2CDE">
        <w:rPr>
          <w:rFonts w:ascii="Times New Roman" w:eastAsia="Calibri" w:hAnsi="Times New Roman" w:cs="Times New Roman"/>
          <w:sz w:val="20"/>
          <w:szCs w:val="20"/>
        </w:rPr>
        <w:t xml:space="preserve">Según los arts. 21 y 22 de la LOPJ, la jurisdicción competente en esta materia es la española. Los arts. 45, 50 y 50. 2 de la LEC atribuyen la competencia al Tribunal que se dirige la demanda. </w:t>
      </w:r>
    </w:p>
  </w:footnote>
  <w:footnote w:id="36">
    <w:p w:rsidR="00A331DB" w:rsidRPr="006E2CDE" w:rsidRDefault="00A331DB" w:rsidP="006E2CDE">
      <w:pPr>
        <w:pStyle w:val="Textonotapie"/>
        <w:jc w:val="both"/>
        <w:rPr>
          <w:rFonts w:ascii="Times New Roman" w:hAnsi="Times New Roman" w:cs="Times New Roman"/>
        </w:rPr>
      </w:pPr>
      <w:r w:rsidRPr="006E2CDE">
        <w:rPr>
          <w:rStyle w:val="Refdenotaalpie"/>
          <w:rFonts w:ascii="Times New Roman" w:hAnsi="Times New Roman" w:cs="Times New Roman"/>
        </w:rPr>
        <w:footnoteRef/>
      </w:r>
      <w:r w:rsidRPr="006E2CDE">
        <w:rPr>
          <w:rFonts w:ascii="Times New Roman" w:hAnsi="Times New Roman" w:cs="Times New Roman"/>
        </w:rPr>
        <w:t xml:space="preserve"> Tramitación de </w:t>
      </w:r>
      <w:r w:rsidRPr="006E2CDE">
        <w:rPr>
          <w:rFonts w:ascii="Times New Roman" w:eastAsia="Calibri" w:hAnsi="Times New Roman" w:cs="Times New Roman"/>
        </w:rPr>
        <w:t>juicio ordinario porque la cuantía excede a 6.000 euros (art. 249.2</w:t>
      </w:r>
      <w:r w:rsidRPr="006E2CDE">
        <w:rPr>
          <w:rFonts w:ascii="Times New Roman" w:eastAsia="Calibri" w:hAnsi="Times New Roman" w:cs="Times New Roman"/>
          <w:sz w:val="24"/>
          <w:szCs w:val="24"/>
        </w:rPr>
        <w:t>)</w:t>
      </w:r>
    </w:p>
  </w:footnote>
  <w:footnote w:id="37">
    <w:p w:rsidR="00A331DB" w:rsidRPr="006E2CDE" w:rsidRDefault="00A331DB" w:rsidP="006E2CDE">
      <w:pPr>
        <w:spacing w:after="0" w:line="240" w:lineRule="auto"/>
        <w:jc w:val="both"/>
        <w:rPr>
          <w:rFonts w:ascii="Times New Roman" w:eastAsia="Calibri" w:hAnsi="Times New Roman" w:cs="Times New Roman"/>
          <w:sz w:val="20"/>
          <w:szCs w:val="20"/>
        </w:rPr>
      </w:pPr>
      <w:r w:rsidRPr="006E2CDE">
        <w:rPr>
          <w:rStyle w:val="Refdenotaalpie"/>
          <w:rFonts w:ascii="Times New Roman" w:hAnsi="Times New Roman" w:cs="Times New Roman"/>
        </w:rPr>
        <w:footnoteRef/>
      </w:r>
      <w:r w:rsidRPr="006E2CDE">
        <w:rPr>
          <w:rFonts w:ascii="Times New Roman" w:eastAsia="Calibri" w:hAnsi="Times New Roman" w:cs="Times New Roman"/>
          <w:sz w:val="20"/>
          <w:szCs w:val="20"/>
        </w:rPr>
        <w:t xml:space="preserve">Según el art. 10 de la LEC tanto la mercantil demandada con la parte física son legitimados en forma activa y pasiva al ser ambos titulares de la relación jurídica de la que se deriva la deuda. </w:t>
      </w:r>
    </w:p>
  </w:footnote>
  <w:footnote w:id="38">
    <w:p w:rsidR="00A331DB" w:rsidRDefault="00A331DB" w:rsidP="006E2CDE">
      <w:pPr>
        <w:pStyle w:val="Textonotapie"/>
        <w:jc w:val="both"/>
      </w:pPr>
      <w:r w:rsidRPr="006E2CDE">
        <w:rPr>
          <w:rStyle w:val="Refdenotaalpie"/>
          <w:rFonts w:ascii="Times New Roman" w:hAnsi="Times New Roman" w:cs="Times New Roman"/>
        </w:rPr>
        <w:footnoteRef/>
      </w:r>
      <w:r w:rsidRPr="006E2CDE">
        <w:rPr>
          <w:rFonts w:ascii="Times New Roman" w:eastAsia="Calibri" w:hAnsi="Times New Roman" w:cs="Times New Roman"/>
        </w:rPr>
        <w:t>Los arts. 23 y 31 de la LEC, exigen la intervención de Procurador y Abogado en los juicios ordinarios.</w:t>
      </w:r>
    </w:p>
  </w:footnote>
  <w:footnote w:id="39">
    <w:p w:rsidR="00A331DB" w:rsidRPr="001257D6" w:rsidRDefault="00A331DB">
      <w:pPr>
        <w:pStyle w:val="Textonotapie"/>
        <w:rPr>
          <w:rFonts w:ascii="Times New Roman" w:hAnsi="Times New Roman" w:cs="Times New Roman"/>
        </w:rPr>
      </w:pPr>
      <w:r w:rsidRPr="001257D6">
        <w:rPr>
          <w:rStyle w:val="Refdenotaalpie"/>
          <w:rFonts w:ascii="Times New Roman" w:hAnsi="Times New Roman" w:cs="Times New Roman"/>
        </w:rPr>
        <w:footnoteRef/>
      </w:r>
      <w:r w:rsidRPr="001257D6">
        <w:rPr>
          <w:rFonts w:ascii="Times New Roman" w:hAnsi="Times New Roman" w:cs="Times New Roman"/>
        </w:rPr>
        <w:t xml:space="preserve"> STC 5/1986, de 21 de enero </w:t>
      </w:r>
    </w:p>
  </w:footnote>
  <w:footnote w:id="40">
    <w:p w:rsidR="00A331DB" w:rsidRPr="001257D6" w:rsidRDefault="00A331DB">
      <w:pPr>
        <w:pStyle w:val="Textonotapie"/>
        <w:rPr>
          <w:rFonts w:ascii="Times New Roman" w:hAnsi="Times New Roman" w:cs="Times New Roman"/>
        </w:rPr>
      </w:pPr>
      <w:r w:rsidRPr="001257D6">
        <w:rPr>
          <w:rStyle w:val="Refdenotaalpie"/>
          <w:rFonts w:ascii="Times New Roman" w:hAnsi="Times New Roman" w:cs="Times New Roman"/>
        </w:rPr>
        <w:footnoteRef/>
      </w:r>
      <w:r w:rsidRPr="001257D6">
        <w:rPr>
          <w:rFonts w:ascii="Times New Roman" w:hAnsi="Times New Roman" w:cs="Times New Roman"/>
        </w:rPr>
        <w:t xml:space="preserve"> STC 116/1986, de 8 de octubre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A463C3"/>
    <w:multiLevelType w:val="multilevel"/>
    <w:tmpl w:val="E630763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1D5F0113"/>
    <w:multiLevelType w:val="hybridMultilevel"/>
    <w:tmpl w:val="E31653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7A351CC"/>
    <w:multiLevelType w:val="hybridMultilevel"/>
    <w:tmpl w:val="34B09B6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BC02C36"/>
    <w:multiLevelType w:val="multilevel"/>
    <w:tmpl w:val="AE78D6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30474B1E"/>
    <w:multiLevelType w:val="hybridMultilevel"/>
    <w:tmpl w:val="E0302E3C"/>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5">
    <w:nsid w:val="3B9A4AD8"/>
    <w:multiLevelType w:val="hybridMultilevel"/>
    <w:tmpl w:val="A9A462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14D7AF5"/>
    <w:multiLevelType w:val="hybridMultilevel"/>
    <w:tmpl w:val="B4BC45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40038CF"/>
    <w:multiLevelType w:val="multilevel"/>
    <w:tmpl w:val="33E06DE2"/>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59100D41"/>
    <w:multiLevelType w:val="hybridMultilevel"/>
    <w:tmpl w:val="D6E46900"/>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9">
    <w:nsid w:val="60F56056"/>
    <w:multiLevelType w:val="hybridMultilevel"/>
    <w:tmpl w:val="3FAE582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nsid w:val="62CA3350"/>
    <w:multiLevelType w:val="hybridMultilevel"/>
    <w:tmpl w:val="C9D46FC0"/>
    <w:lvl w:ilvl="0" w:tplc="866E9962">
      <w:numFmt w:val="bullet"/>
      <w:lvlText w:val="-"/>
      <w:lvlJc w:val="left"/>
      <w:pPr>
        <w:ind w:left="720" w:hanging="360"/>
      </w:pPr>
      <w:rPr>
        <w:rFonts w:ascii="Calibri" w:eastAsiaTheme="minorEastAsia"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3BA1A3F"/>
    <w:multiLevelType w:val="hybridMultilevel"/>
    <w:tmpl w:val="6614A0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3CA10C5"/>
    <w:multiLevelType w:val="hybridMultilevel"/>
    <w:tmpl w:val="561C0A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E47714E"/>
    <w:multiLevelType w:val="multilevel"/>
    <w:tmpl w:val="352410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EFF6DE2"/>
    <w:multiLevelType w:val="multilevel"/>
    <w:tmpl w:val="75C8FC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2"/>
  </w:num>
  <w:num w:numId="2">
    <w:abstractNumId w:val="11"/>
  </w:num>
  <w:num w:numId="3">
    <w:abstractNumId w:val="1"/>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13"/>
  </w:num>
  <w:num w:numId="8">
    <w:abstractNumId w:val="3"/>
  </w:num>
  <w:num w:numId="9">
    <w:abstractNumId w:val="14"/>
  </w:num>
  <w:num w:numId="10">
    <w:abstractNumId w:val="2"/>
  </w:num>
  <w:num w:numId="11">
    <w:abstractNumId w:val="7"/>
  </w:num>
  <w:num w:numId="12">
    <w:abstractNumId w:val="0"/>
  </w:num>
  <w:num w:numId="13">
    <w:abstractNumId w:val="4"/>
  </w:num>
  <w:num w:numId="14">
    <w:abstractNumId w:val="6"/>
  </w:num>
  <w:num w:numId="15">
    <w:abstractNumId w:val="9"/>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101">
      <o:colormru v:ext="edit" colors="#c00,#ea0000"/>
    </o:shapedefaults>
    <o:shapelayout v:ext="edit">
      <o:idmap v:ext="edit" data="4"/>
      <o:rules v:ext="edit">
        <o:r id="V:Rule2" type="connector" idref="#AutoShape 14"/>
      </o:rules>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6AA5"/>
    <w:rsid w:val="000021D6"/>
    <w:rsid w:val="00010BAF"/>
    <w:rsid w:val="00046AA5"/>
    <w:rsid w:val="00050195"/>
    <w:rsid w:val="000559BE"/>
    <w:rsid w:val="000763BB"/>
    <w:rsid w:val="00096050"/>
    <w:rsid w:val="000C3DD8"/>
    <w:rsid w:val="000C5DF2"/>
    <w:rsid w:val="000C7845"/>
    <w:rsid w:val="000D2789"/>
    <w:rsid w:val="000F19A8"/>
    <w:rsid w:val="001257D6"/>
    <w:rsid w:val="00142CE8"/>
    <w:rsid w:val="001519F7"/>
    <w:rsid w:val="001835B1"/>
    <w:rsid w:val="00191ED3"/>
    <w:rsid w:val="001D2232"/>
    <w:rsid w:val="001F5A55"/>
    <w:rsid w:val="00206FFA"/>
    <w:rsid w:val="0023516E"/>
    <w:rsid w:val="00244F2C"/>
    <w:rsid w:val="00276871"/>
    <w:rsid w:val="00283FD1"/>
    <w:rsid w:val="002842E2"/>
    <w:rsid w:val="00293167"/>
    <w:rsid w:val="002A0DAC"/>
    <w:rsid w:val="002B1AE1"/>
    <w:rsid w:val="002D4650"/>
    <w:rsid w:val="002F7672"/>
    <w:rsid w:val="00301902"/>
    <w:rsid w:val="00303082"/>
    <w:rsid w:val="0030473E"/>
    <w:rsid w:val="00336139"/>
    <w:rsid w:val="0036714D"/>
    <w:rsid w:val="00374682"/>
    <w:rsid w:val="003B540C"/>
    <w:rsid w:val="003C203E"/>
    <w:rsid w:val="003D2EAE"/>
    <w:rsid w:val="003E194C"/>
    <w:rsid w:val="003E5DB1"/>
    <w:rsid w:val="003F15DF"/>
    <w:rsid w:val="003F3E58"/>
    <w:rsid w:val="00400570"/>
    <w:rsid w:val="0042641E"/>
    <w:rsid w:val="004516D4"/>
    <w:rsid w:val="00452372"/>
    <w:rsid w:val="004645E5"/>
    <w:rsid w:val="00474F72"/>
    <w:rsid w:val="00484879"/>
    <w:rsid w:val="004A0E08"/>
    <w:rsid w:val="004E5DCB"/>
    <w:rsid w:val="00502E3D"/>
    <w:rsid w:val="005032DC"/>
    <w:rsid w:val="00542801"/>
    <w:rsid w:val="00550D67"/>
    <w:rsid w:val="005874C3"/>
    <w:rsid w:val="005A791C"/>
    <w:rsid w:val="005E006C"/>
    <w:rsid w:val="005E38A1"/>
    <w:rsid w:val="006352DA"/>
    <w:rsid w:val="00654767"/>
    <w:rsid w:val="00667DA7"/>
    <w:rsid w:val="00672A0D"/>
    <w:rsid w:val="00676544"/>
    <w:rsid w:val="006B0BEB"/>
    <w:rsid w:val="006C24EE"/>
    <w:rsid w:val="006E2CDE"/>
    <w:rsid w:val="00705180"/>
    <w:rsid w:val="007229E8"/>
    <w:rsid w:val="00725DE6"/>
    <w:rsid w:val="0072639D"/>
    <w:rsid w:val="00762959"/>
    <w:rsid w:val="00772A95"/>
    <w:rsid w:val="00783C00"/>
    <w:rsid w:val="00786710"/>
    <w:rsid w:val="007B3419"/>
    <w:rsid w:val="007C4D44"/>
    <w:rsid w:val="008134FD"/>
    <w:rsid w:val="00820AFA"/>
    <w:rsid w:val="00825854"/>
    <w:rsid w:val="00841614"/>
    <w:rsid w:val="00877D71"/>
    <w:rsid w:val="008A73B0"/>
    <w:rsid w:val="008B4778"/>
    <w:rsid w:val="008C286C"/>
    <w:rsid w:val="00912C02"/>
    <w:rsid w:val="00942A8B"/>
    <w:rsid w:val="00947501"/>
    <w:rsid w:val="0095433C"/>
    <w:rsid w:val="00962C1E"/>
    <w:rsid w:val="009A277B"/>
    <w:rsid w:val="009B7E4E"/>
    <w:rsid w:val="009C667F"/>
    <w:rsid w:val="00A331DB"/>
    <w:rsid w:val="00A335D6"/>
    <w:rsid w:val="00A33E32"/>
    <w:rsid w:val="00A676AC"/>
    <w:rsid w:val="00A74D0E"/>
    <w:rsid w:val="00A86FAE"/>
    <w:rsid w:val="00A945D7"/>
    <w:rsid w:val="00A94BD1"/>
    <w:rsid w:val="00AA06FB"/>
    <w:rsid w:val="00AC66D2"/>
    <w:rsid w:val="00AD3F91"/>
    <w:rsid w:val="00B02FFD"/>
    <w:rsid w:val="00B53034"/>
    <w:rsid w:val="00B534A6"/>
    <w:rsid w:val="00B55565"/>
    <w:rsid w:val="00B84D9F"/>
    <w:rsid w:val="00BB2138"/>
    <w:rsid w:val="00BB7884"/>
    <w:rsid w:val="00BC0FC0"/>
    <w:rsid w:val="00BD36D6"/>
    <w:rsid w:val="00BF21EA"/>
    <w:rsid w:val="00C05200"/>
    <w:rsid w:val="00C06AA8"/>
    <w:rsid w:val="00C13F4B"/>
    <w:rsid w:val="00C16459"/>
    <w:rsid w:val="00C3440D"/>
    <w:rsid w:val="00C6542F"/>
    <w:rsid w:val="00CF1415"/>
    <w:rsid w:val="00CF272F"/>
    <w:rsid w:val="00D05E04"/>
    <w:rsid w:val="00D107A4"/>
    <w:rsid w:val="00D17540"/>
    <w:rsid w:val="00D41C60"/>
    <w:rsid w:val="00D53074"/>
    <w:rsid w:val="00D5388C"/>
    <w:rsid w:val="00D60EE4"/>
    <w:rsid w:val="00D87A6B"/>
    <w:rsid w:val="00D9062C"/>
    <w:rsid w:val="00D92DA7"/>
    <w:rsid w:val="00D96E12"/>
    <w:rsid w:val="00DC336F"/>
    <w:rsid w:val="00DD5806"/>
    <w:rsid w:val="00DE0690"/>
    <w:rsid w:val="00DE7762"/>
    <w:rsid w:val="00DF3182"/>
    <w:rsid w:val="00E0305B"/>
    <w:rsid w:val="00E223EE"/>
    <w:rsid w:val="00E3002A"/>
    <w:rsid w:val="00E341A9"/>
    <w:rsid w:val="00E35D38"/>
    <w:rsid w:val="00E45988"/>
    <w:rsid w:val="00E523F5"/>
    <w:rsid w:val="00E65367"/>
    <w:rsid w:val="00E703EA"/>
    <w:rsid w:val="00E713FD"/>
    <w:rsid w:val="00E7273A"/>
    <w:rsid w:val="00E8518D"/>
    <w:rsid w:val="00E91458"/>
    <w:rsid w:val="00EC11ED"/>
    <w:rsid w:val="00ED5DC3"/>
    <w:rsid w:val="00EE1313"/>
    <w:rsid w:val="00EE1576"/>
    <w:rsid w:val="00F10386"/>
    <w:rsid w:val="00F11C95"/>
    <w:rsid w:val="00F21150"/>
    <w:rsid w:val="00F457A7"/>
    <w:rsid w:val="00F54B6B"/>
    <w:rsid w:val="00F55D4E"/>
    <w:rsid w:val="00F90338"/>
    <w:rsid w:val="00FA3382"/>
    <w:rsid w:val="00FD1C9A"/>
    <w:rsid w:val="00FD2BCC"/>
    <w:rsid w:val="00FD4BA3"/>
    <w:rsid w:val="00FD527B"/>
    <w:rsid w:val="00FF0B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101">
      <o:colormru v:ext="edit" colors="#c00,#ea000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2789"/>
  </w:style>
  <w:style w:type="paragraph" w:styleId="Ttulo1">
    <w:name w:val="heading 1"/>
    <w:basedOn w:val="Normal"/>
    <w:next w:val="Normal"/>
    <w:link w:val="Ttulo1Car"/>
    <w:uiPriority w:val="9"/>
    <w:qFormat/>
    <w:rsid w:val="000559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0559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0559BE"/>
    <w:pPr>
      <w:keepNext/>
      <w:spacing w:after="0" w:line="240" w:lineRule="auto"/>
      <w:jc w:val="center"/>
      <w:outlineLvl w:val="2"/>
    </w:pPr>
    <w:rPr>
      <w:rFonts w:ascii="NewBskvll BT" w:eastAsia="Times New Roman" w:hAnsi="NewBskvll BT" w:cs="Times New Roman"/>
      <w:i/>
      <w:sz w:val="24"/>
      <w:szCs w:val="20"/>
    </w:rPr>
  </w:style>
  <w:style w:type="paragraph" w:styleId="Ttulo6">
    <w:name w:val="heading 6"/>
    <w:basedOn w:val="Normal"/>
    <w:next w:val="Normal"/>
    <w:link w:val="Ttulo6Car"/>
    <w:qFormat/>
    <w:rsid w:val="000559BE"/>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8518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8518D"/>
  </w:style>
  <w:style w:type="paragraph" w:styleId="Piedepgina">
    <w:name w:val="footer"/>
    <w:basedOn w:val="Normal"/>
    <w:link w:val="PiedepginaCar"/>
    <w:uiPriority w:val="99"/>
    <w:unhideWhenUsed/>
    <w:rsid w:val="00E8518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8518D"/>
  </w:style>
  <w:style w:type="paragraph" w:styleId="Textonotapie">
    <w:name w:val="footnote text"/>
    <w:basedOn w:val="Normal"/>
    <w:link w:val="TextonotapieCar"/>
    <w:uiPriority w:val="99"/>
    <w:unhideWhenUsed/>
    <w:rsid w:val="00D60EE4"/>
    <w:pPr>
      <w:spacing w:after="0" w:line="240" w:lineRule="auto"/>
    </w:pPr>
    <w:rPr>
      <w:sz w:val="20"/>
      <w:szCs w:val="20"/>
    </w:rPr>
  </w:style>
  <w:style w:type="character" w:customStyle="1" w:styleId="TextonotapieCar">
    <w:name w:val="Texto nota pie Car"/>
    <w:basedOn w:val="Fuentedeprrafopredeter"/>
    <w:link w:val="Textonotapie"/>
    <w:uiPriority w:val="99"/>
    <w:rsid w:val="00D60EE4"/>
    <w:rPr>
      <w:sz w:val="20"/>
      <w:szCs w:val="20"/>
    </w:rPr>
  </w:style>
  <w:style w:type="character" w:styleId="Refdenotaalpie">
    <w:name w:val="footnote reference"/>
    <w:basedOn w:val="Fuentedeprrafopredeter"/>
    <w:uiPriority w:val="99"/>
    <w:semiHidden/>
    <w:unhideWhenUsed/>
    <w:rsid w:val="00D60EE4"/>
    <w:rPr>
      <w:vertAlign w:val="superscript"/>
    </w:rPr>
  </w:style>
  <w:style w:type="paragraph" w:styleId="Prrafodelista">
    <w:name w:val="List Paragraph"/>
    <w:basedOn w:val="Normal"/>
    <w:uiPriority w:val="34"/>
    <w:qFormat/>
    <w:rsid w:val="00DF3182"/>
    <w:pPr>
      <w:ind w:left="720"/>
      <w:contextualSpacing/>
    </w:pPr>
  </w:style>
  <w:style w:type="paragraph" w:customStyle="1" w:styleId="a">
    <w:name w:val="a"/>
    <w:basedOn w:val="Normal"/>
    <w:rsid w:val="00C3440D"/>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C3440D"/>
    <w:rPr>
      <w:i/>
      <w:iCs/>
    </w:rPr>
  </w:style>
  <w:style w:type="paragraph" w:styleId="NormalWeb">
    <w:name w:val="Normal (Web)"/>
    <w:basedOn w:val="Normal"/>
    <w:uiPriority w:val="99"/>
    <w:semiHidden/>
    <w:unhideWhenUsed/>
    <w:rsid w:val="00C344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C3440D"/>
  </w:style>
  <w:style w:type="paragraph" w:styleId="Textodeglobo">
    <w:name w:val="Balloon Text"/>
    <w:basedOn w:val="Normal"/>
    <w:link w:val="TextodegloboCar"/>
    <w:uiPriority w:val="99"/>
    <w:semiHidden/>
    <w:unhideWhenUsed/>
    <w:rsid w:val="000559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59BE"/>
    <w:rPr>
      <w:rFonts w:ascii="Tahoma" w:hAnsi="Tahoma" w:cs="Tahoma"/>
      <w:sz w:val="16"/>
      <w:szCs w:val="16"/>
    </w:rPr>
  </w:style>
  <w:style w:type="character" w:customStyle="1" w:styleId="Ttulo3Car">
    <w:name w:val="Título 3 Car"/>
    <w:basedOn w:val="Fuentedeprrafopredeter"/>
    <w:link w:val="Ttulo3"/>
    <w:rsid w:val="000559BE"/>
    <w:rPr>
      <w:rFonts w:ascii="NewBskvll BT" w:eastAsia="Times New Roman" w:hAnsi="NewBskvll BT" w:cs="Times New Roman"/>
      <w:i/>
      <w:sz w:val="24"/>
      <w:szCs w:val="20"/>
    </w:rPr>
  </w:style>
  <w:style w:type="character" w:customStyle="1" w:styleId="Ttulo6Car">
    <w:name w:val="Título 6 Car"/>
    <w:basedOn w:val="Fuentedeprrafopredeter"/>
    <w:link w:val="Ttulo6"/>
    <w:rsid w:val="000559BE"/>
    <w:rPr>
      <w:rFonts w:ascii="NewBskvll BT" w:eastAsia="Times New Roman" w:hAnsi="NewBskvll BT" w:cs="Times New Roman"/>
      <w:smallCaps/>
      <w:sz w:val="28"/>
      <w:szCs w:val="20"/>
    </w:rPr>
  </w:style>
  <w:style w:type="paragraph" w:styleId="Textoindependiente">
    <w:name w:val="Body Text"/>
    <w:basedOn w:val="Normal"/>
    <w:link w:val="TextoindependienteCar"/>
    <w:rsid w:val="000559BE"/>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0559BE"/>
    <w:rPr>
      <w:rFonts w:ascii="Times New Roman" w:eastAsia="Times New Roman" w:hAnsi="Times New Roman" w:cs="Times New Roman"/>
      <w:sz w:val="48"/>
      <w:szCs w:val="20"/>
    </w:rPr>
  </w:style>
  <w:style w:type="character" w:customStyle="1" w:styleId="Ttulo1Car">
    <w:name w:val="Título 1 Car"/>
    <w:basedOn w:val="Fuentedeprrafopredeter"/>
    <w:link w:val="Ttulo1"/>
    <w:uiPriority w:val="9"/>
    <w:rsid w:val="000559B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0559BE"/>
    <w:rPr>
      <w:rFonts w:asciiTheme="majorHAnsi" w:eastAsiaTheme="majorEastAsia" w:hAnsiTheme="majorHAnsi" w:cstheme="majorBidi"/>
      <w:b/>
      <w:bCs/>
      <w:color w:val="4F81BD" w:themeColor="accent1"/>
      <w:sz w:val="26"/>
      <w:szCs w:val="26"/>
    </w:rPr>
  </w:style>
  <w:style w:type="character" w:styleId="Hipervnculo">
    <w:name w:val="Hyperlink"/>
    <w:basedOn w:val="Fuentedeprrafopredeter"/>
    <w:uiPriority w:val="99"/>
    <w:semiHidden/>
    <w:unhideWhenUsed/>
    <w:rsid w:val="00F10386"/>
    <w:rPr>
      <w:color w:val="0000FF"/>
      <w:u w:val="single"/>
    </w:rPr>
  </w:style>
  <w:style w:type="character" w:styleId="AcrnimoHTML">
    <w:name w:val="HTML Acronym"/>
    <w:basedOn w:val="Fuentedeprrafopredeter"/>
    <w:uiPriority w:val="99"/>
    <w:semiHidden/>
    <w:unhideWhenUsed/>
    <w:rsid w:val="00F103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559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0559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0559BE"/>
    <w:pPr>
      <w:keepNext/>
      <w:spacing w:after="0" w:line="240" w:lineRule="auto"/>
      <w:jc w:val="center"/>
      <w:outlineLvl w:val="2"/>
    </w:pPr>
    <w:rPr>
      <w:rFonts w:ascii="NewBskvll BT" w:eastAsia="Times New Roman" w:hAnsi="NewBskvll BT" w:cs="Times New Roman"/>
      <w:i/>
      <w:sz w:val="24"/>
      <w:szCs w:val="20"/>
    </w:rPr>
  </w:style>
  <w:style w:type="paragraph" w:styleId="Ttulo6">
    <w:name w:val="heading 6"/>
    <w:basedOn w:val="Normal"/>
    <w:next w:val="Normal"/>
    <w:link w:val="Ttulo6Car"/>
    <w:qFormat/>
    <w:rsid w:val="000559BE"/>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8518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8518D"/>
  </w:style>
  <w:style w:type="paragraph" w:styleId="Piedepgina">
    <w:name w:val="footer"/>
    <w:basedOn w:val="Normal"/>
    <w:link w:val="PiedepginaCar"/>
    <w:uiPriority w:val="99"/>
    <w:unhideWhenUsed/>
    <w:rsid w:val="00E8518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8518D"/>
  </w:style>
  <w:style w:type="paragraph" w:styleId="Textonotapie">
    <w:name w:val="footnote text"/>
    <w:basedOn w:val="Normal"/>
    <w:link w:val="TextonotapieCar"/>
    <w:uiPriority w:val="99"/>
    <w:unhideWhenUsed/>
    <w:rsid w:val="00D60EE4"/>
    <w:pPr>
      <w:spacing w:after="0" w:line="240" w:lineRule="auto"/>
    </w:pPr>
    <w:rPr>
      <w:sz w:val="20"/>
      <w:szCs w:val="20"/>
    </w:rPr>
  </w:style>
  <w:style w:type="character" w:customStyle="1" w:styleId="TextonotapieCar">
    <w:name w:val="Texto nota pie Car"/>
    <w:basedOn w:val="Fuentedeprrafopredeter"/>
    <w:link w:val="Textonotapie"/>
    <w:uiPriority w:val="99"/>
    <w:rsid w:val="00D60EE4"/>
    <w:rPr>
      <w:sz w:val="20"/>
      <w:szCs w:val="20"/>
    </w:rPr>
  </w:style>
  <w:style w:type="character" w:styleId="Refdenotaalpie">
    <w:name w:val="footnote reference"/>
    <w:basedOn w:val="Fuentedeprrafopredeter"/>
    <w:uiPriority w:val="99"/>
    <w:semiHidden/>
    <w:unhideWhenUsed/>
    <w:rsid w:val="00D60EE4"/>
    <w:rPr>
      <w:vertAlign w:val="superscript"/>
    </w:rPr>
  </w:style>
  <w:style w:type="paragraph" w:styleId="Prrafodelista">
    <w:name w:val="List Paragraph"/>
    <w:basedOn w:val="Normal"/>
    <w:uiPriority w:val="34"/>
    <w:qFormat/>
    <w:rsid w:val="00DF3182"/>
    <w:pPr>
      <w:ind w:left="720"/>
      <w:contextualSpacing/>
    </w:pPr>
  </w:style>
  <w:style w:type="paragraph" w:customStyle="1" w:styleId="a">
    <w:name w:val="a"/>
    <w:basedOn w:val="Normal"/>
    <w:rsid w:val="00C3440D"/>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C3440D"/>
    <w:rPr>
      <w:i/>
      <w:iCs/>
    </w:rPr>
  </w:style>
  <w:style w:type="paragraph" w:styleId="NormalWeb">
    <w:name w:val="Normal (Web)"/>
    <w:basedOn w:val="Normal"/>
    <w:uiPriority w:val="99"/>
    <w:semiHidden/>
    <w:unhideWhenUsed/>
    <w:rsid w:val="00C344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C3440D"/>
  </w:style>
  <w:style w:type="paragraph" w:styleId="Textodeglobo">
    <w:name w:val="Balloon Text"/>
    <w:basedOn w:val="Normal"/>
    <w:link w:val="TextodegloboCar"/>
    <w:uiPriority w:val="99"/>
    <w:semiHidden/>
    <w:unhideWhenUsed/>
    <w:rsid w:val="000559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59BE"/>
    <w:rPr>
      <w:rFonts w:ascii="Tahoma" w:hAnsi="Tahoma" w:cs="Tahoma"/>
      <w:sz w:val="16"/>
      <w:szCs w:val="16"/>
    </w:rPr>
  </w:style>
  <w:style w:type="character" w:customStyle="1" w:styleId="Ttulo3Car">
    <w:name w:val="Título 3 Car"/>
    <w:basedOn w:val="Fuentedeprrafopredeter"/>
    <w:link w:val="Ttulo3"/>
    <w:rsid w:val="000559BE"/>
    <w:rPr>
      <w:rFonts w:ascii="NewBskvll BT" w:eastAsia="Times New Roman" w:hAnsi="NewBskvll BT" w:cs="Times New Roman"/>
      <w:i/>
      <w:sz w:val="24"/>
      <w:szCs w:val="20"/>
    </w:rPr>
  </w:style>
  <w:style w:type="character" w:customStyle="1" w:styleId="Ttulo6Car">
    <w:name w:val="Título 6 Car"/>
    <w:basedOn w:val="Fuentedeprrafopredeter"/>
    <w:link w:val="Ttulo6"/>
    <w:rsid w:val="000559BE"/>
    <w:rPr>
      <w:rFonts w:ascii="NewBskvll BT" w:eastAsia="Times New Roman" w:hAnsi="NewBskvll BT" w:cs="Times New Roman"/>
      <w:smallCaps/>
      <w:sz w:val="28"/>
      <w:szCs w:val="20"/>
    </w:rPr>
  </w:style>
  <w:style w:type="paragraph" w:styleId="Textoindependiente">
    <w:name w:val="Body Text"/>
    <w:basedOn w:val="Normal"/>
    <w:link w:val="TextoindependienteCar"/>
    <w:rsid w:val="000559BE"/>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0559BE"/>
    <w:rPr>
      <w:rFonts w:ascii="Times New Roman" w:eastAsia="Times New Roman" w:hAnsi="Times New Roman" w:cs="Times New Roman"/>
      <w:sz w:val="48"/>
      <w:szCs w:val="20"/>
    </w:rPr>
  </w:style>
  <w:style w:type="character" w:customStyle="1" w:styleId="Ttulo1Car">
    <w:name w:val="Título 1 Car"/>
    <w:basedOn w:val="Fuentedeprrafopredeter"/>
    <w:link w:val="Ttulo1"/>
    <w:uiPriority w:val="9"/>
    <w:rsid w:val="000559B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0559BE"/>
    <w:rPr>
      <w:rFonts w:asciiTheme="majorHAnsi" w:eastAsiaTheme="majorEastAsia" w:hAnsiTheme="majorHAnsi" w:cstheme="majorBidi"/>
      <w:b/>
      <w:bCs/>
      <w:color w:val="4F81BD" w:themeColor="accent1"/>
      <w:sz w:val="26"/>
      <w:szCs w:val="26"/>
    </w:rPr>
  </w:style>
  <w:style w:type="character" w:styleId="Hipervnculo">
    <w:name w:val="Hyperlink"/>
    <w:basedOn w:val="Fuentedeprrafopredeter"/>
    <w:uiPriority w:val="99"/>
    <w:semiHidden/>
    <w:unhideWhenUsed/>
    <w:rsid w:val="00F10386"/>
    <w:rPr>
      <w:color w:val="0000FF"/>
      <w:u w:val="single"/>
    </w:rPr>
  </w:style>
  <w:style w:type="character" w:styleId="AcrnimoHTML">
    <w:name w:val="HTML Acronym"/>
    <w:basedOn w:val="Fuentedeprrafopredeter"/>
    <w:uiPriority w:val="99"/>
    <w:semiHidden/>
    <w:unhideWhenUsed/>
    <w:rsid w:val="00F10386"/>
  </w:style>
</w:styles>
</file>

<file path=word/webSettings.xml><?xml version="1.0" encoding="utf-8"?>
<w:webSettings xmlns:r="http://schemas.openxmlformats.org/officeDocument/2006/relationships" xmlns:w="http://schemas.openxmlformats.org/wordprocessingml/2006/main">
  <w:divs>
    <w:div w:id="123550934">
      <w:bodyDiv w:val="1"/>
      <w:marLeft w:val="0"/>
      <w:marRight w:val="0"/>
      <w:marTop w:val="0"/>
      <w:marBottom w:val="0"/>
      <w:divBdr>
        <w:top w:val="none" w:sz="0" w:space="0" w:color="auto"/>
        <w:left w:val="none" w:sz="0" w:space="0" w:color="auto"/>
        <w:bottom w:val="none" w:sz="0" w:space="0" w:color="auto"/>
        <w:right w:val="none" w:sz="0" w:space="0" w:color="auto"/>
      </w:divBdr>
    </w:div>
    <w:div w:id="196894518">
      <w:bodyDiv w:val="1"/>
      <w:marLeft w:val="0"/>
      <w:marRight w:val="0"/>
      <w:marTop w:val="0"/>
      <w:marBottom w:val="0"/>
      <w:divBdr>
        <w:top w:val="none" w:sz="0" w:space="0" w:color="auto"/>
        <w:left w:val="none" w:sz="0" w:space="0" w:color="auto"/>
        <w:bottom w:val="none" w:sz="0" w:space="0" w:color="auto"/>
        <w:right w:val="none" w:sz="0" w:space="0" w:color="auto"/>
      </w:divBdr>
    </w:div>
    <w:div w:id="68609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A1BDA-5F9C-4B94-9F3C-C99186A74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43</Pages>
  <Words>14825</Words>
  <Characters>75709</Characters>
  <Application>Microsoft Office Word</Application>
  <DocSecurity>0</DocSecurity>
  <Lines>630</Lines>
  <Paragraphs>180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90354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Mari</cp:lastModifiedBy>
  <cp:revision>6</cp:revision>
  <dcterms:created xsi:type="dcterms:W3CDTF">2015-06-23T15:12:00Z</dcterms:created>
  <dcterms:modified xsi:type="dcterms:W3CDTF">2015-06-24T08:06:00Z</dcterms:modified>
</cp:coreProperties>
</file>