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6A5" w:rsidRDefault="00BE7D97" w:rsidP="00CA2ACD">
      <w:r>
        <w:rPr>
          <w:noProof/>
        </w:rPr>
        <w:pict>
          <v:shapetype id="_x0000_t202" coordsize="21600,21600" o:spt="202" path="m,l,21600r21600,l21600,xe">
            <v:stroke joinstyle="miter"/>
            <v:path gradientshapeok="t" o:connecttype="rect"/>
          </v:shapetype>
          <v:shape id="_x0000_s1030" type="#_x0000_t202" style="position:absolute;margin-left:-85.05pt;margin-top:-70.85pt;width:180.75pt;height:903.9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mso-next-textbox:#_x0000_s1030">
              <w:txbxContent>
                <w:p w:rsidR="00A744B6" w:rsidRPr="00B9129F" w:rsidRDefault="00A744B6" w:rsidP="00D406A5">
                  <w:pPr>
                    <w:pStyle w:val="Ttulo2"/>
                    <w:jc w:val="center"/>
                    <w:rPr>
                      <w:color w:val="F79646" w:themeColor="accent6"/>
                      <w:sz w:val="72"/>
                    </w:rPr>
                  </w:pPr>
                  <w:r w:rsidRPr="00B9129F">
                    <w:rPr>
                      <w:color w:val="F79646" w:themeColor="accent6"/>
                      <w:sz w:val="72"/>
                    </w:rPr>
                    <w:t>Facultad de Ciencias Sociales y Jurídicas</w:t>
                  </w:r>
                </w:p>
                <w:p w:rsidR="00A744B6" w:rsidRPr="00D406A5" w:rsidRDefault="00A744B6" w:rsidP="00D406A5">
                  <w:pPr>
                    <w:pStyle w:val="Ttulo1"/>
                    <w:jc w:val="center"/>
                    <w:rPr>
                      <w:rFonts w:ascii="Arial Narrow" w:hAnsi="Arial Narrow"/>
                    </w:rPr>
                  </w:pPr>
                  <w:r w:rsidRPr="00D406A5">
                    <w:rPr>
                      <w:rFonts w:ascii="Arial Narrow" w:hAnsi="Arial Narrow"/>
                    </w:rPr>
                    <w:t>Grado en Derecho</w:t>
                  </w:r>
                </w:p>
              </w:txbxContent>
            </v:textbox>
          </v:shape>
        </w:pict>
      </w:r>
    </w:p>
    <w:p w:rsidR="00D406A5" w:rsidRDefault="00D406A5" w:rsidP="00D406A5"/>
    <w:p w:rsidR="00D406A5" w:rsidRPr="00B9129F" w:rsidRDefault="00D406A5" w:rsidP="00D406A5"/>
    <w:p w:rsidR="00D406A5" w:rsidRPr="00B9129F" w:rsidRDefault="00D406A5" w:rsidP="00D406A5"/>
    <w:p w:rsidR="00D406A5" w:rsidRPr="00B9129F" w:rsidRDefault="00D406A5" w:rsidP="00D406A5">
      <w:r>
        <w:rPr>
          <w:noProof/>
        </w:rPr>
        <w:drawing>
          <wp:anchor distT="0" distB="0" distL="114300" distR="114300" simplePos="0" relativeHeight="251662848" behindDoc="0" locked="0" layoutInCell="0" allowOverlap="1">
            <wp:simplePos x="0" y="0"/>
            <wp:positionH relativeFrom="column">
              <wp:posOffset>3324225</wp:posOffset>
            </wp:positionH>
            <wp:positionV relativeFrom="paragraph">
              <wp:posOffset>186055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r w:rsidR="00BE7D97">
        <w:rPr>
          <w:noProof/>
        </w:rPr>
        <w:pict>
          <v:shape id="_x0000_s1031" type="#_x0000_t202" style="position:absolute;margin-left:95.7pt;margin-top:101.4pt;width:402.6pt;height:129.6pt;z-index:2516638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style="mso-next-textbox:#_x0000_s1031">
              <w:txbxContent>
                <w:p w:rsidR="00A744B6" w:rsidRDefault="00A744B6" w:rsidP="00D406A5">
                  <w:pPr>
                    <w:pStyle w:val="Ttulo6"/>
                    <w:rPr>
                      <w:b/>
                    </w:rPr>
                  </w:pPr>
                  <w:r>
                    <w:rPr>
                      <w:b/>
                    </w:rPr>
                    <w:t>Universidad de Jaén</w:t>
                  </w:r>
                </w:p>
                <w:p w:rsidR="00A744B6" w:rsidRDefault="00A744B6" w:rsidP="00D406A5">
                  <w:pPr>
                    <w:pStyle w:val="Ttulo3"/>
                  </w:pPr>
                  <w:r>
                    <w:t>Facultad de Ciencias Sociales y Jurídicas</w:t>
                  </w:r>
                </w:p>
                <w:p w:rsidR="00A744B6" w:rsidRDefault="00A744B6" w:rsidP="00D406A5"/>
                <w:p w:rsidR="00A744B6" w:rsidRDefault="00A744B6" w:rsidP="00D406A5"/>
                <w:p w:rsidR="00A744B6" w:rsidRDefault="00A744B6" w:rsidP="00D406A5"/>
                <w:p w:rsidR="00A744B6" w:rsidRDefault="00A744B6" w:rsidP="00D406A5"/>
                <w:p w:rsidR="00A744B6" w:rsidRDefault="00A744B6" w:rsidP="00D406A5"/>
                <w:p w:rsidR="00A744B6" w:rsidRDefault="00A744B6" w:rsidP="00D406A5">
                  <w:pPr>
                    <w:pStyle w:val="Textoindependiente"/>
                    <w:rPr>
                      <w:rFonts w:ascii="Arial" w:hAnsi="Arial"/>
                      <w:sz w:val="44"/>
                      <w:u w:val="single"/>
                    </w:rPr>
                  </w:pPr>
                  <w:r>
                    <w:rPr>
                      <w:rFonts w:ascii="Arial" w:hAnsi="Arial"/>
                      <w:sz w:val="44"/>
                      <w:u w:val="single"/>
                    </w:rPr>
                    <w:t>Trabajo Fin de Grado</w:t>
                  </w:r>
                </w:p>
              </w:txbxContent>
            </v:textbox>
          </v:shape>
        </w:pict>
      </w:r>
      <w:r w:rsidR="00BE7D97">
        <w:rPr>
          <w:noProof/>
        </w:rPr>
        <w:pict>
          <v:shape id="_x0000_s1032" type="#_x0000_t202" style="position:absolute;margin-left:103.95pt;margin-top:273.9pt;width:372.45pt;height:2in;z-index:2516648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style="mso-next-textbox:#_x0000_s1032">
              <w:txbxContent>
                <w:p w:rsidR="00A744B6" w:rsidRPr="0066634B" w:rsidRDefault="00A744B6" w:rsidP="00D406A5">
                  <w:pPr>
                    <w:pStyle w:val="Textoindependiente2"/>
                    <w:rPr>
                      <w:rFonts w:cs="Arial"/>
                      <w:b/>
                      <w:sz w:val="40"/>
                      <w:szCs w:val="40"/>
                      <w:u w:val="single"/>
                      <w:lang w:val="es-ES_tradnl"/>
                    </w:rPr>
                  </w:pPr>
                  <w:r w:rsidRPr="0066634B">
                    <w:rPr>
                      <w:rFonts w:cs="Arial"/>
                      <w:b/>
                      <w:sz w:val="40"/>
                      <w:szCs w:val="40"/>
                      <w:u w:val="single"/>
                      <w:lang w:val="es-ES_tradnl"/>
                    </w:rPr>
                    <w:t>CONSUMACIÓN Y FORMAS IMPERFECTAS DE EJECUCIÓN</w:t>
                  </w:r>
                </w:p>
                <w:p w:rsidR="00A744B6" w:rsidRPr="0066634B" w:rsidRDefault="00A744B6" w:rsidP="00D406A5">
                  <w:pPr>
                    <w:pStyle w:val="Textoindependiente2"/>
                    <w:rPr>
                      <w:rFonts w:cs="Arial"/>
                      <w:b/>
                      <w:sz w:val="40"/>
                      <w:szCs w:val="40"/>
                      <w:u w:val="single"/>
                      <w:lang w:val="es-ES_tradnl"/>
                    </w:rPr>
                  </w:pPr>
                </w:p>
                <w:p w:rsidR="00A744B6" w:rsidRPr="0066634B" w:rsidRDefault="00A744B6" w:rsidP="00D406A5">
                  <w:pPr>
                    <w:pStyle w:val="Textoindependiente2"/>
                    <w:rPr>
                      <w:rFonts w:cs="Arial"/>
                      <w:b/>
                      <w:sz w:val="40"/>
                      <w:szCs w:val="40"/>
                      <w:u w:val="single"/>
                      <w:lang w:val="es-ES_tradnl"/>
                    </w:rPr>
                  </w:pPr>
                  <w:r w:rsidRPr="0066634B">
                    <w:rPr>
                      <w:rFonts w:cs="Arial"/>
                      <w:b/>
                      <w:sz w:val="40"/>
                      <w:szCs w:val="40"/>
                      <w:u w:val="single"/>
                      <w:lang w:val="es-ES_tradnl"/>
                    </w:rPr>
                    <w:t>HURTO Y ROBO</w:t>
                  </w:r>
                </w:p>
              </w:txbxContent>
            </v:textbox>
          </v:shape>
        </w:pict>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BE7D97" w:rsidP="00D406A5">
      <w:pPr>
        <w:tabs>
          <w:tab w:val="left" w:pos="7215"/>
        </w:tabs>
      </w:pPr>
      <w:r>
        <w:rPr>
          <w:noProof/>
        </w:rPr>
        <w:pict>
          <v:shape id="_x0000_s1033" type="#_x0000_t202" style="position:absolute;margin-left:112.65pt;margin-top:307.5pt;width:356.55pt;height:223.2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w:txbxContent>
                <w:p w:rsidR="00A744B6" w:rsidRDefault="00A744B6" w:rsidP="00D406A5">
                  <w:pPr>
                    <w:pStyle w:val="Ttulo5"/>
                    <w:jc w:val="center"/>
                    <w:rPr>
                      <w:u w:val="none"/>
                    </w:rPr>
                  </w:pPr>
                  <w:r>
                    <w:rPr>
                      <w:u w:val="none"/>
                    </w:rPr>
                    <w:t>R</w:t>
                  </w:r>
                  <w:r w:rsidR="000B2604">
                    <w:rPr>
                      <w:u w:val="none"/>
                    </w:rPr>
                    <w:t>OCÍ</w:t>
                  </w:r>
                  <w:r>
                    <w:rPr>
                      <w:u w:val="none"/>
                    </w:rPr>
                    <w:t>O HERMOSO PARTAL</w:t>
                  </w:r>
                </w:p>
                <w:p w:rsidR="00A744B6" w:rsidRDefault="00A744B6" w:rsidP="00D406A5">
                  <w:pPr>
                    <w:jc w:val="center"/>
                    <w:rPr>
                      <w:rFonts w:ascii="Arial" w:hAnsi="Arial"/>
                      <w:sz w:val="32"/>
                    </w:rPr>
                  </w:pPr>
                </w:p>
                <w:p w:rsidR="00A744B6" w:rsidRDefault="00A744B6" w:rsidP="00D406A5">
                  <w:pPr>
                    <w:jc w:val="center"/>
                    <w:rPr>
                      <w:rFonts w:ascii="Arial" w:hAnsi="Arial"/>
                      <w:sz w:val="32"/>
                    </w:rPr>
                  </w:pPr>
                </w:p>
                <w:p w:rsidR="00A744B6" w:rsidRDefault="00A744B6" w:rsidP="00D406A5">
                  <w:pPr>
                    <w:jc w:val="center"/>
                    <w:rPr>
                      <w:rFonts w:ascii="Arial" w:hAnsi="Arial"/>
                      <w:sz w:val="32"/>
                    </w:rPr>
                  </w:pPr>
                </w:p>
                <w:p w:rsidR="00A744B6" w:rsidRDefault="00A744B6" w:rsidP="00D406A5">
                  <w:pPr>
                    <w:jc w:val="center"/>
                    <w:rPr>
                      <w:rFonts w:ascii="Arial" w:hAnsi="Arial"/>
                      <w:sz w:val="32"/>
                    </w:rPr>
                  </w:pPr>
                </w:p>
                <w:p w:rsidR="00A744B6" w:rsidRDefault="00A744B6" w:rsidP="00D406A5">
                  <w:pPr>
                    <w:jc w:val="center"/>
                    <w:rPr>
                      <w:rFonts w:ascii="Arial" w:hAnsi="Arial"/>
                      <w:sz w:val="32"/>
                    </w:rPr>
                  </w:pPr>
                </w:p>
                <w:p w:rsidR="00A744B6" w:rsidRDefault="00A744B6" w:rsidP="00D406A5">
                  <w:pPr>
                    <w:jc w:val="center"/>
                    <w:rPr>
                      <w:rFonts w:ascii="Arial" w:hAnsi="Arial"/>
                      <w:sz w:val="32"/>
                    </w:rPr>
                  </w:pPr>
                </w:p>
                <w:p w:rsidR="00A744B6" w:rsidRDefault="00A744B6" w:rsidP="00D406A5">
                  <w:pPr>
                    <w:pStyle w:val="Ttulo4"/>
                    <w:rPr>
                      <w:b/>
                      <w:sz w:val="36"/>
                    </w:rPr>
                  </w:pPr>
                  <w:r>
                    <w:rPr>
                      <w:b/>
                      <w:sz w:val="36"/>
                    </w:rPr>
                    <w:t>Junio, 2017</w:t>
                  </w:r>
                </w:p>
              </w:txbxContent>
            </v:textbox>
          </v:shape>
        </w:pict>
      </w:r>
      <w:r w:rsidR="00D406A5">
        <w:tab/>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050185"/>
    <w:p w:rsidR="00050185" w:rsidRDefault="00050185" w:rsidP="00050185">
      <w:pPr>
        <w:spacing w:line="360" w:lineRule="auto"/>
        <w:jc w:val="both"/>
        <w:rPr>
          <w:b/>
          <w:sz w:val="24"/>
          <w:szCs w:val="24"/>
          <w:u w:val="single"/>
        </w:rPr>
      </w:pPr>
      <w:r w:rsidRPr="00050185">
        <w:rPr>
          <w:b/>
          <w:sz w:val="24"/>
          <w:szCs w:val="24"/>
          <w:u w:val="single"/>
        </w:rPr>
        <w:lastRenderedPageBreak/>
        <w:t>ÍNDICE:</w:t>
      </w:r>
    </w:p>
    <w:p w:rsidR="000B16DD" w:rsidRPr="00050185" w:rsidRDefault="000B16DD" w:rsidP="00050185">
      <w:pPr>
        <w:spacing w:line="360" w:lineRule="auto"/>
        <w:jc w:val="both"/>
        <w:rPr>
          <w:b/>
          <w:sz w:val="24"/>
          <w:szCs w:val="24"/>
          <w:u w:val="single"/>
        </w:rPr>
      </w:pPr>
    </w:p>
    <w:p w:rsidR="000B16DD" w:rsidRPr="000B16DD" w:rsidRDefault="00050185" w:rsidP="000B16DD">
      <w:pPr>
        <w:pStyle w:val="Prrafodelista"/>
        <w:numPr>
          <w:ilvl w:val="0"/>
          <w:numId w:val="31"/>
        </w:numPr>
        <w:spacing w:line="360" w:lineRule="auto"/>
        <w:jc w:val="both"/>
        <w:rPr>
          <w:rFonts w:ascii="Times New Roman" w:hAnsi="Times New Roman" w:cs="Times New Roman"/>
          <w:sz w:val="24"/>
          <w:szCs w:val="24"/>
          <w:u w:val="single"/>
        </w:rPr>
      </w:pPr>
      <w:r w:rsidRPr="00050185">
        <w:rPr>
          <w:rFonts w:ascii="Times New Roman" w:hAnsi="Times New Roman" w:cs="Times New Roman"/>
          <w:sz w:val="24"/>
          <w:szCs w:val="24"/>
          <w:u w:val="single"/>
        </w:rPr>
        <w:t>INTRODUCCIÓN.</w:t>
      </w:r>
    </w:p>
    <w:p w:rsidR="00050185" w:rsidRPr="00050185" w:rsidRDefault="00050185" w:rsidP="00050185">
      <w:pPr>
        <w:pStyle w:val="Prrafodelista"/>
        <w:numPr>
          <w:ilvl w:val="0"/>
          <w:numId w:val="31"/>
        </w:numPr>
        <w:spacing w:line="360" w:lineRule="auto"/>
        <w:jc w:val="both"/>
        <w:rPr>
          <w:rFonts w:ascii="Times New Roman" w:hAnsi="Times New Roman" w:cs="Times New Roman"/>
          <w:sz w:val="24"/>
          <w:szCs w:val="24"/>
          <w:u w:val="single"/>
        </w:rPr>
      </w:pPr>
      <w:r w:rsidRPr="00050185">
        <w:rPr>
          <w:rFonts w:ascii="Times New Roman" w:hAnsi="Times New Roman" w:cs="Times New Roman"/>
          <w:sz w:val="24"/>
          <w:szCs w:val="24"/>
          <w:u w:val="single"/>
        </w:rPr>
        <w:t>DELITO DE HURTO.</w:t>
      </w:r>
    </w:p>
    <w:p w:rsidR="00050185" w:rsidRPr="00050185" w:rsidRDefault="00050185" w:rsidP="00050185">
      <w:pPr>
        <w:pStyle w:val="Prrafodelista"/>
        <w:spacing w:line="360" w:lineRule="auto"/>
        <w:ind w:left="360"/>
        <w:jc w:val="both"/>
        <w:rPr>
          <w:rFonts w:ascii="Times New Roman" w:hAnsi="Times New Roman" w:cs="Times New Roman"/>
          <w:sz w:val="24"/>
          <w:szCs w:val="24"/>
          <w:u w:val="single"/>
        </w:rPr>
      </w:pPr>
    </w:p>
    <w:p w:rsidR="00050185" w:rsidRPr="00050185" w:rsidRDefault="00050185" w:rsidP="00050185">
      <w:pPr>
        <w:pStyle w:val="Prrafodelista"/>
        <w:numPr>
          <w:ilvl w:val="1"/>
          <w:numId w:val="32"/>
        </w:numPr>
        <w:spacing w:line="360" w:lineRule="auto"/>
        <w:jc w:val="both"/>
        <w:rPr>
          <w:rFonts w:ascii="Times New Roman" w:hAnsi="Times New Roman" w:cs="Times New Roman"/>
          <w:sz w:val="24"/>
          <w:szCs w:val="24"/>
          <w:u w:val="single"/>
        </w:rPr>
      </w:pPr>
      <w:r w:rsidRPr="00050185">
        <w:rPr>
          <w:rFonts w:ascii="Times New Roman" w:hAnsi="Times New Roman" w:cs="Times New Roman"/>
          <w:sz w:val="24"/>
          <w:szCs w:val="24"/>
          <w:u w:val="single"/>
        </w:rPr>
        <w:t>ELEMENTOS DEL TIPO.</w:t>
      </w:r>
    </w:p>
    <w:p w:rsidR="00050185" w:rsidRPr="00050185" w:rsidRDefault="00050185" w:rsidP="00050185">
      <w:pPr>
        <w:pStyle w:val="Prrafodelista"/>
        <w:numPr>
          <w:ilvl w:val="1"/>
          <w:numId w:val="32"/>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u w:val="single"/>
        </w:rPr>
        <w:t>SUPUESTOS AGRAVADOS</w:t>
      </w:r>
      <w:r w:rsidRPr="00050185">
        <w:rPr>
          <w:rFonts w:ascii="Times New Roman" w:hAnsi="Times New Roman" w:cs="Times New Roman"/>
          <w:sz w:val="24"/>
          <w:szCs w:val="24"/>
        </w:rPr>
        <w:t>.</w:t>
      </w:r>
    </w:p>
    <w:p w:rsidR="00050185" w:rsidRPr="00050185" w:rsidRDefault="00050185" w:rsidP="00050185">
      <w:pPr>
        <w:pStyle w:val="Prrafodelista"/>
        <w:numPr>
          <w:ilvl w:val="1"/>
          <w:numId w:val="32"/>
        </w:numPr>
        <w:spacing w:line="360" w:lineRule="auto"/>
        <w:jc w:val="both"/>
        <w:rPr>
          <w:rFonts w:ascii="Times New Roman" w:hAnsi="Times New Roman" w:cs="Times New Roman"/>
          <w:sz w:val="24"/>
          <w:szCs w:val="24"/>
          <w:u w:val="single"/>
        </w:rPr>
      </w:pPr>
      <w:r w:rsidRPr="00050185">
        <w:rPr>
          <w:rFonts w:ascii="Times New Roman" w:hAnsi="Times New Roman" w:cs="Times New Roman"/>
          <w:sz w:val="24"/>
          <w:szCs w:val="24"/>
          <w:u w:val="single"/>
        </w:rPr>
        <w:t>CONSUMACIÓN.</w:t>
      </w:r>
    </w:p>
    <w:p w:rsidR="00050185" w:rsidRPr="00050185" w:rsidRDefault="00050185" w:rsidP="00050185">
      <w:pPr>
        <w:spacing w:line="360" w:lineRule="auto"/>
        <w:jc w:val="both"/>
        <w:rPr>
          <w:sz w:val="24"/>
          <w:szCs w:val="24"/>
        </w:rPr>
      </w:pPr>
      <w:r w:rsidRPr="00050185">
        <w:rPr>
          <w:sz w:val="24"/>
          <w:szCs w:val="24"/>
        </w:rPr>
        <w:t xml:space="preserve">                  2.3.1 </w:t>
      </w:r>
      <w:r w:rsidRPr="00050185">
        <w:rPr>
          <w:sz w:val="24"/>
          <w:szCs w:val="24"/>
          <w:u w:val="single"/>
        </w:rPr>
        <w:t>TEORIA DE LA DISPONIBILIDAD.</w:t>
      </w:r>
    </w:p>
    <w:p w:rsidR="00050185" w:rsidRPr="00050185" w:rsidRDefault="00050185" w:rsidP="00050185">
      <w:pPr>
        <w:spacing w:line="360" w:lineRule="auto"/>
        <w:jc w:val="both"/>
        <w:rPr>
          <w:sz w:val="24"/>
          <w:szCs w:val="24"/>
          <w:u w:val="single"/>
        </w:rPr>
      </w:pPr>
      <w:r w:rsidRPr="00050185">
        <w:rPr>
          <w:sz w:val="24"/>
          <w:szCs w:val="24"/>
        </w:rPr>
        <w:t xml:space="preserve">                  2.3.2 </w:t>
      </w:r>
      <w:r w:rsidRPr="00050185">
        <w:rPr>
          <w:sz w:val="24"/>
          <w:szCs w:val="24"/>
          <w:u w:val="single"/>
        </w:rPr>
        <w:t>TEORIA DE LA MERA CONTRECTATIO.</w:t>
      </w:r>
    </w:p>
    <w:p w:rsidR="00050185" w:rsidRPr="00050185" w:rsidRDefault="00050185" w:rsidP="00050185">
      <w:pPr>
        <w:spacing w:line="360" w:lineRule="auto"/>
        <w:jc w:val="both"/>
        <w:rPr>
          <w:sz w:val="24"/>
          <w:szCs w:val="24"/>
          <w:u w:val="single"/>
        </w:rPr>
      </w:pPr>
      <w:r w:rsidRPr="00050185">
        <w:rPr>
          <w:sz w:val="24"/>
          <w:szCs w:val="24"/>
        </w:rPr>
        <w:t xml:space="preserve">                  2.3.3 </w:t>
      </w:r>
      <w:r w:rsidRPr="00050185">
        <w:rPr>
          <w:sz w:val="24"/>
          <w:szCs w:val="24"/>
          <w:u w:val="single"/>
        </w:rPr>
        <w:t>TEORIA DE LA ABLATIO.</w:t>
      </w:r>
    </w:p>
    <w:p w:rsidR="00050185" w:rsidRPr="00050185" w:rsidRDefault="00050185" w:rsidP="00050185">
      <w:pPr>
        <w:spacing w:line="360" w:lineRule="auto"/>
        <w:jc w:val="both"/>
        <w:rPr>
          <w:sz w:val="24"/>
          <w:szCs w:val="24"/>
          <w:u w:val="single"/>
        </w:rPr>
      </w:pPr>
    </w:p>
    <w:p w:rsidR="00050185" w:rsidRPr="00050185" w:rsidRDefault="00050185" w:rsidP="00050185">
      <w:pPr>
        <w:spacing w:line="360" w:lineRule="auto"/>
        <w:jc w:val="both"/>
        <w:rPr>
          <w:sz w:val="24"/>
          <w:szCs w:val="24"/>
        </w:rPr>
      </w:pPr>
      <w:r w:rsidRPr="00050185">
        <w:rPr>
          <w:sz w:val="24"/>
          <w:szCs w:val="24"/>
        </w:rPr>
        <w:t xml:space="preserve">     2.4 </w:t>
      </w:r>
      <w:r w:rsidRPr="00050185">
        <w:rPr>
          <w:sz w:val="24"/>
          <w:szCs w:val="24"/>
          <w:u w:val="single"/>
        </w:rPr>
        <w:t>FORMAS IMPERFECTAS DE EJECUCIÓN. TENTATIVA</w:t>
      </w:r>
    </w:p>
    <w:p w:rsidR="00050185" w:rsidRPr="00050185" w:rsidRDefault="00050185" w:rsidP="00050185">
      <w:pPr>
        <w:pStyle w:val="Prrafodelista"/>
        <w:numPr>
          <w:ilvl w:val="2"/>
          <w:numId w:val="33"/>
        </w:numPr>
        <w:spacing w:line="360" w:lineRule="auto"/>
        <w:jc w:val="both"/>
        <w:rPr>
          <w:rFonts w:ascii="Times New Roman" w:hAnsi="Times New Roman" w:cs="Times New Roman"/>
          <w:sz w:val="24"/>
          <w:szCs w:val="24"/>
          <w:u w:val="single"/>
        </w:rPr>
      </w:pPr>
      <w:r w:rsidRPr="00050185">
        <w:rPr>
          <w:rFonts w:ascii="Times New Roman" w:hAnsi="Times New Roman" w:cs="Times New Roman"/>
          <w:sz w:val="24"/>
          <w:szCs w:val="24"/>
          <w:u w:val="single"/>
        </w:rPr>
        <w:t>CASOS PROBLEMÁTICOS EN EL CASO DE LA TENTATIVA.</w:t>
      </w:r>
    </w:p>
    <w:p w:rsidR="00050185" w:rsidRPr="00050185" w:rsidRDefault="00050185" w:rsidP="00050185">
      <w:pPr>
        <w:spacing w:line="360" w:lineRule="auto"/>
        <w:jc w:val="both"/>
        <w:rPr>
          <w:sz w:val="24"/>
          <w:szCs w:val="24"/>
        </w:rPr>
      </w:pPr>
    </w:p>
    <w:p w:rsidR="00050185" w:rsidRPr="00050185" w:rsidRDefault="00050185" w:rsidP="00050185">
      <w:pPr>
        <w:spacing w:line="360" w:lineRule="auto"/>
        <w:jc w:val="both"/>
        <w:rPr>
          <w:sz w:val="24"/>
          <w:szCs w:val="24"/>
          <w:u w:val="single"/>
        </w:rPr>
      </w:pPr>
      <w:r w:rsidRPr="00050185">
        <w:rPr>
          <w:sz w:val="24"/>
          <w:szCs w:val="24"/>
        </w:rPr>
        <w:t xml:space="preserve">    </w:t>
      </w:r>
      <w:r w:rsidRPr="00050185">
        <w:rPr>
          <w:sz w:val="24"/>
          <w:szCs w:val="24"/>
          <w:u w:val="single"/>
        </w:rPr>
        <w:t>2.5 ANTIJURIDICIDAD, AUTORÍA Y PARTICIPACIÓN.</w:t>
      </w:r>
    </w:p>
    <w:p w:rsidR="00050185" w:rsidRPr="00050185" w:rsidRDefault="00050185" w:rsidP="00050185">
      <w:pPr>
        <w:spacing w:line="360" w:lineRule="auto"/>
        <w:jc w:val="both"/>
        <w:rPr>
          <w:sz w:val="24"/>
          <w:szCs w:val="24"/>
          <w:u w:val="single"/>
        </w:rPr>
      </w:pPr>
    </w:p>
    <w:p w:rsidR="00050185" w:rsidRPr="00050185" w:rsidRDefault="00050185" w:rsidP="00050185">
      <w:pPr>
        <w:spacing w:line="360" w:lineRule="auto"/>
        <w:jc w:val="both"/>
        <w:rPr>
          <w:sz w:val="24"/>
          <w:szCs w:val="24"/>
        </w:rPr>
      </w:pPr>
      <w:r w:rsidRPr="00050185">
        <w:rPr>
          <w:sz w:val="24"/>
          <w:szCs w:val="24"/>
        </w:rPr>
        <w:t xml:space="preserve">3. </w:t>
      </w:r>
      <w:r w:rsidRPr="00050185">
        <w:rPr>
          <w:sz w:val="24"/>
          <w:szCs w:val="24"/>
          <w:u w:val="single"/>
        </w:rPr>
        <w:t>DELITO DE ROBO.</w:t>
      </w:r>
    </w:p>
    <w:p w:rsidR="00050185" w:rsidRPr="00050185" w:rsidRDefault="00050185" w:rsidP="00050185">
      <w:pPr>
        <w:spacing w:line="360" w:lineRule="auto"/>
        <w:jc w:val="both"/>
        <w:rPr>
          <w:sz w:val="24"/>
          <w:szCs w:val="24"/>
        </w:rPr>
      </w:pPr>
      <w:r w:rsidRPr="00050185">
        <w:rPr>
          <w:sz w:val="24"/>
          <w:szCs w:val="24"/>
        </w:rPr>
        <w:t xml:space="preserve">     3.1 </w:t>
      </w:r>
      <w:r w:rsidRPr="00050185">
        <w:rPr>
          <w:sz w:val="24"/>
          <w:szCs w:val="24"/>
          <w:u w:val="single"/>
        </w:rPr>
        <w:t>PLANTEAMIENTO GENERAL.</w:t>
      </w:r>
    </w:p>
    <w:p w:rsidR="00050185" w:rsidRPr="00050185" w:rsidRDefault="00050185" w:rsidP="00050185">
      <w:pPr>
        <w:spacing w:line="360" w:lineRule="auto"/>
        <w:jc w:val="both"/>
        <w:rPr>
          <w:sz w:val="24"/>
          <w:szCs w:val="24"/>
        </w:rPr>
      </w:pPr>
      <w:r w:rsidRPr="00050185">
        <w:rPr>
          <w:sz w:val="24"/>
          <w:szCs w:val="24"/>
        </w:rPr>
        <w:t xml:space="preserve">     3.2 </w:t>
      </w:r>
      <w:r w:rsidRPr="00050185">
        <w:rPr>
          <w:sz w:val="24"/>
          <w:szCs w:val="24"/>
          <w:u w:val="single"/>
        </w:rPr>
        <w:t>ELEMENTOS DEL TIPO.</w:t>
      </w:r>
    </w:p>
    <w:p w:rsidR="00050185" w:rsidRPr="00050185" w:rsidRDefault="00050185" w:rsidP="00050185">
      <w:pPr>
        <w:spacing w:line="360" w:lineRule="auto"/>
        <w:jc w:val="both"/>
        <w:rPr>
          <w:sz w:val="24"/>
          <w:szCs w:val="24"/>
        </w:rPr>
      </w:pPr>
      <w:r w:rsidRPr="00050185">
        <w:rPr>
          <w:sz w:val="24"/>
          <w:szCs w:val="24"/>
        </w:rPr>
        <w:t xml:space="preserve">     3.3 </w:t>
      </w:r>
      <w:r w:rsidRPr="00050185">
        <w:rPr>
          <w:sz w:val="24"/>
          <w:szCs w:val="24"/>
          <w:u w:val="single"/>
        </w:rPr>
        <w:t>ROBO CON FUERZA EN LAS COSAS</w:t>
      </w:r>
      <w:r w:rsidRPr="00050185">
        <w:rPr>
          <w:sz w:val="24"/>
          <w:szCs w:val="24"/>
        </w:rPr>
        <w:t xml:space="preserve">. </w:t>
      </w:r>
    </w:p>
    <w:p w:rsidR="00050185" w:rsidRPr="00050185" w:rsidRDefault="00050185" w:rsidP="00050185">
      <w:pPr>
        <w:spacing w:line="360" w:lineRule="auto"/>
        <w:jc w:val="both"/>
        <w:rPr>
          <w:sz w:val="24"/>
          <w:szCs w:val="24"/>
        </w:rPr>
      </w:pPr>
      <w:r w:rsidRPr="00050185">
        <w:rPr>
          <w:sz w:val="24"/>
          <w:szCs w:val="24"/>
        </w:rPr>
        <w:t xml:space="preserve">                  3.3.1 </w:t>
      </w:r>
      <w:r w:rsidRPr="00050185">
        <w:rPr>
          <w:sz w:val="24"/>
          <w:szCs w:val="24"/>
          <w:u w:val="single"/>
        </w:rPr>
        <w:t>CONSIDERACIONES GENERALES.</w:t>
      </w:r>
    </w:p>
    <w:p w:rsidR="00050185" w:rsidRPr="00050185" w:rsidRDefault="00050185" w:rsidP="00050185">
      <w:pPr>
        <w:spacing w:line="360" w:lineRule="auto"/>
        <w:jc w:val="both"/>
        <w:rPr>
          <w:sz w:val="24"/>
          <w:szCs w:val="24"/>
          <w:u w:val="single"/>
        </w:rPr>
      </w:pPr>
      <w:r w:rsidRPr="00050185">
        <w:rPr>
          <w:sz w:val="24"/>
          <w:szCs w:val="24"/>
        </w:rPr>
        <w:t xml:space="preserve">                  3.3.2 </w:t>
      </w:r>
      <w:r w:rsidRPr="00050185">
        <w:rPr>
          <w:sz w:val="24"/>
          <w:szCs w:val="24"/>
          <w:u w:val="single"/>
        </w:rPr>
        <w:t>SUPUESTOS AGRAVADOS.</w:t>
      </w:r>
    </w:p>
    <w:p w:rsidR="00050185" w:rsidRPr="00050185" w:rsidRDefault="00050185" w:rsidP="00050185">
      <w:pPr>
        <w:spacing w:line="360" w:lineRule="auto"/>
        <w:jc w:val="both"/>
        <w:rPr>
          <w:sz w:val="24"/>
          <w:szCs w:val="24"/>
          <w:u w:val="single"/>
        </w:rPr>
      </w:pPr>
    </w:p>
    <w:p w:rsidR="00050185" w:rsidRPr="00050185" w:rsidRDefault="00050185" w:rsidP="00050185">
      <w:pPr>
        <w:spacing w:line="360" w:lineRule="auto"/>
        <w:jc w:val="both"/>
        <w:rPr>
          <w:sz w:val="24"/>
          <w:szCs w:val="24"/>
        </w:rPr>
      </w:pPr>
      <w:r w:rsidRPr="00050185">
        <w:rPr>
          <w:sz w:val="24"/>
          <w:szCs w:val="24"/>
        </w:rPr>
        <w:t xml:space="preserve">     3.4 ROBO </w:t>
      </w:r>
      <w:r w:rsidRPr="00050185">
        <w:rPr>
          <w:sz w:val="24"/>
          <w:szCs w:val="24"/>
          <w:u w:val="single"/>
        </w:rPr>
        <w:t>CON VIOLENCIA E INTIMIDACIÓN EN LAS PERSONAS</w:t>
      </w:r>
      <w:r w:rsidRPr="00050185">
        <w:rPr>
          <w:sz w:val="24"/>
          <w:szCs w:val="24"/>
        </w:rPr>
        <w:t>.</w:t>
      </w:r>
    </w:p>
    <w:p w:rsidR="00050185" w:rsidRPr="00050185" w:rsidRDefault="00050185" w:rsidP="00050185">
      <w:pPr>
        <w:spacing w:line="360" w:lineRule="auto"/>
        <w:jc w:val="both"/>
        <w:rPr>
          <w:sz w:val="24"/>
          <w:szCs w:val="24"/>
          <w:u w:val="single"/>
        </w:rPr>
      </w:pPr>
      <w:r w:rsidRPr="00050185">
        <w:rPr>
          <w:sz w:val="24"/>
          <w:szCs w:val="24"/>
        </w:rPr>
        <w:t xml:space="preserve">                  3.4.1 </w:t>
      </w:r>
      <w:r w:rsidRPr="00050185">
        <w:rPr>
          <w:sz w:val="24"/>
          <w:szCs w:val="24"/>
          <w:u w:val="single"/>
        </w:rPr>
        <w:t>CONSIDERACIONES GENERALES.</w:t>
      </w:r>
    </w:p>
    <w:p w:rsidR="00050185" w:rsidRPr="00050185" w:rsidRDefault="00050185" w:rsidP="00050185">
      <w:pPr>
        <w:spacing w:line="360" w:lineRule="auto"/>
        <w:jc w:val="both"/>
        <w:rPr>
          <w:sz w:val="24"/>
          <w:szCs w:val="24"/>
          <w:u w:val="single"/>
        </w:rPr>
      </w:pPr>
      <w:r w:rsidRPr="00050185">
        <w:rPr>
          <w:sz w:val="24"/>
          <w:szCs w:val="24"/>
        </w:rPr>
        <w:t xml:space="preserve">                 3.4.2 </w:t>
      </w:r>
      <w:r w:rsidRPr="00050185">
        <w:rPr>
          <w:sz w:val="24"/>
          <w:szCs w:val="24"/>
          <w:u w:val="single"/>
        </w:rPr>
        <w:t>CONSUMACIÓN Y TENTATIVA.</w:t>
      </w:r>
    </w:p>
    <w:p w:rsidR="00050185" w:rsidRPr="00050185" w:rsidRDefault="00050185" w:rsidP="00050185">
      <w:pPr>
        <w:spacing w:line="360" w:lineRule="auto"/>
        <w:jc w:val="both"/>
        <w:rPr>
          <w:sz w:val="24"/>
          <w:szCs w:val="24"/>
        </w:rPr>
      </w:pPr>
    </w:p>
    <w:p w:rsidR="00050185" w:rsidRPr="00050185" w:rsidRDefault="00050185" w:rsidP="00050185">
      <w:pPr>
        <w:spacing w:line="360" w:lineRule="auto"/>
        <w:jc w:val="both"/>
        <w:rPr>
          <w:sz w:val="24"/>
          <w:szCs w:val="24"/>
          <w:u w:val="single"/>
        </w:rPr>
      </w:pPr>
      <w:r w:rsidRPr="00050185">
        <w:rPr>
          <w:sz w:val="24"/>
          <w:szCs w:val="24"/>
        </w:rPr>
        <w:t xml:space="preserve">4. </w:t>
      </w:r>
      <w:r w:rsidRPr="00050185">
        <w:rPr>
          <w:sz w:val="24"/>
          <w:szCs w:val="24"/>
          <w:u w:val="single"/>
        </w:rPr>
        <w:t>CONCLUSIONES FINALES.</w:t>
      </w:r>
    </w:p>
    <w:p w:rsidR="00050185" w:rsidRPr="00050185" w:rsidRDefault="00050185" w:rsidP="00050185">
      <w:pPr>
        <w:spacing w:line="360" w:lineRule="auto"/>
        <w:jc w:val="both"/>
        <w:rPr>
          <w:sz w:val="24"/>
          <w:szCs w:val="24"/>
          <w:u w:val="single"/>
        </w:rPr>
      </w:pPr>
      <w:r w:rsidRPr="00050185">
        <w:rPr>
          <w:sz w:val="24"/>
          <w:szCs w:val="24"/>
        </w:rPr>
        <w:t xml:space="preserve">5. </w:t>
      </w:r>
      <w:r w:rsidRPr="00050185">
        <w:rPr>
          <w:sz w:val="24"/>
          <w:szCs w:val="24"/>
          <w:u w:val="single"/>
        </w:rPr>
        <w:t>JURISPRUDENCIA CITADA.</w:t>
      </w:r>
    </w:p>
    <w:p w:rsidR="00050185" w:rsidRPr="00050185" w:rsidRDefault="00050185" w:rsidP="00050185">
      <w:pPr>
        <w:spacing w:line="360" w:lineRule="auto"/>
        <w:jc w:val="both"/>
        <w:rPr>
          <w:sz w:val="24"/>
          <w:szCs w:val="24"/>
          <w:u w:val="single"/>
        </w:rPr>
      </w:pPr>
    </w:p>
    <w:p w:rsidR="00050185" w:rsidRPr="00050185" w:rsidRDefault="00050185" w:rsidP="00050185">
      <w:pPr>
        <w:spacing w:line="360" w:lineRule="auto"/>
        <w:jc w:val="both"/>
        <w:rPr>
          <w:sz w:val="24"/>
          <w:szCs w:val="24"/>
        </w:rPr>
      </w:pPr>
      <w:r w:rsidRPr="00050185">
        <w:rPr>
          <w:sz w:val="24"/>
          <w:szCs w:val="24"/>
        </w:rPr>
        <w:t xml:space="preserve">         5.1 </w:t>
      </w:r>
      <w:r w:rsidRPr="00050185">
        <w:rPr>
          <w:sz w:val="24"/>
          <w:szCs w:val="24"/>
          <w:u w:val="single"/>
        </w:rPr>
        <w:t>JURISPRUDENCIA DEL TRIBUNAL SUPREMO.</w:t>
      </w:r>
    </w:p>
    <w:p w:rsidR="00050185" w:rsidRPr="00050185" w:rsidRDefault="00050185" w:rsidP="00050185">
      <w:pPr>
        <w:spacing w:line="360" w:lineRule="auto"/>
        <w:jc w:val="both"/>
        <w:rPr>
          <w:sz w:val="24"/>
          <w:szCs w:val="24"/>
          <w:u w:val="single"/>
        </w:rPr>
      </w:pPr>
      <w:r w:rsidRPr="00050185">
        <w:rPr>
          <w:sz w:val="24"/>
          <w:szCs w:val="24"/>
        </w:rPr>
        <w:t xml:space="preserve">         5.2 </w:t>
      </w:r>
      <w:r w:rsidRPr="00050185">
        <w:rPr>
          <w:sz w:val="24"/>
          <w:szCs w:val="24"/>
          <w:u w:val="single"/>
        </w:rPr>
        <w:t>JURISPRUDENCIA DE LAS AUDIENCIAS PROVINCIALES.</w:t>
      </w:r>
    </w:p>
    <w:p w:rsidR="00050185" w:rsidRPr="00050185" w:rsidRDefault="00050185" w:rsidP="00050185">
      <w:pPr>
        <w:spacing w:line="360" w:lineRule="auto"/>
        <w:jc w:val="both"/>
        <w:rPr>
          <w:sz w:val="24"/>
          <w:szCs w:val="24"/>
        </w:rPr>
      </w:pPr>
      <w:r w:rsidRPr="00050185">
        <w:rPr>
          <w:sz w:val="24"/>
          <w:szCs w:val="24"/>
        </w:rPr>
        <w:lastRenderedPageBreak/>
        <w:t>6. L</w:t>
      </w:r>
      <w:r w:rsidRPr="00050185">
        <w:rPr>
          <w:sz w:val="24"/>
          <w:szCs w:val="24"/>
          <w:u w:val="single"/>
        </w:rPr>
        <w:t>EGISLACIÓN</w:t>
      </w:r>
      <w:r w:rsidRPr="00050185">
        <w:rPr>
          <w:sz w:val="24"/>
          <w:szCs w:val="24"/>
        </w:rPr>
        <w:t xml:space="preserve"> </w:t>
      </w:r>
    </w:p>
    <w:p w:rsidR="00050185" w:rsidRPr="00050185" w:rsidRDefault="00050185" w:rsidP="00050185">
      <w:pPr>
        <w:spacing w:line="360" w:lineRule="auto"/>
        <w:jc w:val="both"/>
        <w:rPr>
          <w:sz w:val="24"/>
          <w:szCs w:val="24"/>
        </w:rPr>
      </w:pPr>
      <w:r w:rsidRPr="00050185">
        <w:rPr>
          <w:sz w:val="24"/>
          <w:szCs w:val="24"/>
        </w:rPr>
        <w:t xml:space="preserve">7. </w:t>
      </w:r>
      <w:r w:rsidRPr="00050185">
        <w:rPr>
          <w:sz w:val="24"/>
          <w:szCs w:val="24"/>
          <w:u w:val="single"/>
        </w:rPr>
        <w:t>BIBLIOGRAFÍA.</w:t>
      </w:r>
    </w:p>
    <w:p w:rsidR="00050185" w:rsidRPr="00050185" w:rsidRDefault="00050185" w:rsidP="00050185">
      <w:pPr>
        <w:spacing w:line="360" w:lineRule="auto"/>
        <w:jc w:val="both"/>
        <w:rPr>
          <w:sz w:val="24"/>
          <w:szCs w:val="24"/>
          <w:u w:val="single"/>
        </w:rPr>
      </w:pPr>
    </w:p>
    <w:p w:rsidR="00050185" w:rsidRPr="00050185" w:rsidRDefault="00050185" w:rsidP="00050185">
      <w:pPr>
        <w:spacing w:line="360" w:lineRule="auto"/>
        <w:jc w:val="both"/>
        <w:rPr>
          <w:sz w:val="24"/>
          <w:szCs w:val="24"/>
        </w:rPr>
      </w:pPr>
      <w:r w:rsidRPr="00050185">
        <w:rPr>
          <w:sz w:val="24"/>
          <w:szCs w:val="24"/>
        </w:rPr>
        <w:br w:type="page"/>
      </w:r>
    </w:p>
    <w:p w:rsidR="0009755A" w:rsidRPr="0009755A" w:rsidRDefault="0009755A" w:rsidP="006B40C4">
      <w:pPr>
        <w:spacing w:line="360" w:lineRule="auto"/>
        <w:jc w:val="both"/>
        <w:rPr>
          <w:b/>
          <w:sz w:val="24"/>
          <w:szCs w:val="24"/>
          <w:u w:val="single"/>
        </w:rPr>
      </w:pPr>
      <w:r w:rsidRPr="0009755A">
        <w:rPr>
          <w:b/>
          <w:sz w:val="24"/>
          <w:szCs w:val="24"/>
          <w:u w:val="single"/>
        </w:rPr>
        <w:lastRenderedPageBreak/>
        <w:t>SUMARIO.</w:t>
      </w:r>
    </w:p>
    <w:p w:rsidR="00BF59BD" w:rsidRDefault="0009755A" w:rsidP="006B40C4">
      <w:pPr>
        <w:spacing w:line="360" w:lineRule="auto"/>
        <w:jc w:val="both"/>
        <w:rPr>
          <w:sz w:val="24"/>
          <w:szCs w:val="24"/>
          <w:u w:val="single"/>
        </w:rPr>
      </w:pPr>
      <w:r w:rsidRPr="0009755A">
        <w:rPr>
          <w:sz w:val="24"/>
          <w:szCs w:val="24"/>
          <w:u w:val="single"/>
        </w:rPr>
        <w:t>PALABRAS CLAVE</w:t>
      </w:r>
      <w:r w:rsidR="00100A16" w:rsidRPr="0009755A">
        <w:rPr>
          <w:sz w:val="24"/>
          <w:szCs w:val="24"/>
          <w:u w:val="single"/>
        </w:rPr>
        <w:t>:</w:t>
      </w:r>
      <w:r w:rsidR="00100A16">
        <w:rPr>
          <w:sz w:val="24"/>
          <w:szCs w:val="24"/>
          <w:u w:val="single"/>
        </w:rPr>
        <w:t xml:space="preserve"> hurto</w:t>
      </w:r>
      <w:r>
        <w:rPr>
          <w:sz w:val="24"/>
          <w:szCs w:val="24"/>
          <w:u w:val="single"/>
        </w:rPr>
        <w:t xml:space="preserve">, robo, consumación, conducta, </w:t>
      </w:r>
      <w:r w:rsidR="00BF59BD">
        <w:rPr>
          <w:sz w:val="24"/>
          <w:szCs w:val="24"/>
          <w:u w:val="single"/>
        </w:rPr>
        <w:t xml:space="preserve">delito, disponibilidad, tentativa, autor, violencia, intimidación. </w:t>
      </w:r>
    </w:p>
    <w:p w:rsidR="006B40C4" w:rsidRDefault="006B40C4" w:rsidP="006B40C4">
      <w:pPr>
        <w:spacing w:line="360" w:lineRule="auto"/>
        <w:jc w:val="both"/>
        <w:rPr>
          <w:sz w:val="24"/>
          <w:szCs w:val="24"/>
        </w:rPr>
      </w:pPr>
      <w:r>
        <w:rPr>
          <w:sz w:val="24"/>
          <w:szCs w:val="24"/>
        </w:rPr>
        <w:t>En este trabajo hablo sobre lo</w:t>
      </w:r>
      <w:r w:rsidR="00144175">
        <w:rPr>
          <w:sz w:val="24"/>
          <w:szCs w:val="24"/>
        </w:rPr>
        <w:t>s D</w:t>
      </w:r>
      <w:r>
        <w:rPr>
          <w:sz w:val="24"/>
          <w:szCs w:val="24"/>
        </w:rPr>
        <w:t xml:space="preserve">elitos </w:t>
      </w:r>
      <w:r w:rsidR="00144175">
        <w:rPr>
          <w:sz w:val="24"/>
          <w:szCs w:val="24"/>
        </w:rPr>
        <w:t>patrimoniales, principalmente</w:t>
      </w:r>
      <w:r w:rsidR="00100A16">
        <w:rPr>
          <w:sz w:val="24"/>
          <w:szCs w:val="24"/>
        </w:rPr>
        <w:t>: robo</w:t>
      </w:r>
      <w:r>
        <w:rPr>
          <w:sz w:val="24"/>
          <w:szCs w:val="24"/>
        </w:rPr>
        <w:t xml:space="preserve"> y hurto. </w:t>
      </w:r>
    </w:p>
    <w:p w:rsidR="00BF59BD" w:rsidRDefault="006B40C4" w:rsidP="006B40C4">
      <w:pPr>
        <w:spacing w:line="360" w:lineRule="auto"/>
        <w:jc w:val="both"/>
        <w:rPr>
          <w:sz w:val="24"/>
          <w:szCs w:val="24"/>
        </w:rPr>
      </w:pPr>
      <w:r>
        <w:rPr>
          <w:sz w:val="24"/>
          <w:szCs w:val="24"/>
        </w:rPr>
        <w:t xml:space="preserve">Hago una serie de diferencias y similitudes entre ambos y sobre todo destaco la </w:t>
      </w:r>
      <w:r w:rsidR="00100A16">
        <w:rPr>
          <w:sz w:val="24"/>
          <w:szCs w:val="24"/>
        </w:rPr>
        <w:t>consumación</w:t>
      </w:r>
      <w:r>
        <w:rPr>
          <w:sz w:val="24"/>
          <w:szCs w:val="24"/>
        </w:rPr>
        <w:t xml:space="preserve"> entre ambos delitos, con sus respectivas </w:t>
      </w:r>
      <w:r w:rsidR="00100A16">
        <w:rPr>
          <w:sz w:val="24"/>
          <w:szCs w:val="24"/>
        </w:rPr>
        <w:t>teorías</w:t>
      </w:r>
      <w:r>
        <w:rPr>
          <w:sz w:val="24"/>
          <w:szCs w:val="24"/>
        </w:rPr>
        <w:t xml:space="preserve"> y las formas imperfectas de ejecución, c</w:t>
      </w:r>
      <w:r w:rsidR="00144175">
        <w:rPr>
          <w:sz w:val="24"/>
          <w:szCs w:val="24"/>
        </w:rPr>
        <w:t>omo es el caso de la tentativa, aunque en este caso se plantean</w:t>
      </w:r>
      <w:r w:rsidR="002E0367">
        <w:rPr>
          <w:sz w:val="24"/>
          <w:szCs w:val="24"/>
        </w:rPr>
        <w:t xml:space="preserve"> más problemas.</w:t>
      </w:r>
    </w:p>
    <w:p w:rsidR="006B40C4" w:rsidRDefault="00144175" w:rsidP="006B40C4">
      <w:pPr>
        <w:spacing w:line="360" w:lineRule="auto"/>
        <w:jc w:val="both"/>
        <w:rPr>
          <w:sz w:val="24"/>
          <w:szCs w:val="24"/>
        </w:rPr>
      </w:pPr>
      <w:r>
        <w:rPr>
          <w:sz w:val="24"/>
          <w:szCs w:val="24"/>
        </w:rPr>
        <w:t xml:space="preserve">Todo </w:t>
      </w:r>
      <w:r w:rsidR="002E0367">
        <w:rPr>
          <w:sz w:val="24"/>
          <w:szCs w:val="24"/>
        </w:rPr>
        <w:t xml:space="preserve">esto lo expongo </w:t>
      </w:r>
      <w:r w:rsidR="00100A16">
        <w:rPr>
          <w:sz w:val="24"/>
          <w:szCs w:val="24"/>
        </w:rPr>
        <w:t>basándome</w:t>
      </w:r>
      <w:r w:rsidR="002E0367">
        <w:rPr>
          <w:sz w:val="24"/>
          <w:szCs w:val="24"/>
        </w:rPr>
        <w:t xml:space="preserve"> en la</w:t>
      </w:r>
      <w:r>
        <w:rPr>
          <w:sz w:val="24"/>
          <w:szCs w:val="24"/>
        </w:rPr>
        <w:t xml:space="preserve"> actual reforma del </w:t>
      </w:r>
      <w:r w:rsidR="00100A16">
        <w:rPr>
          <w:sz w:val="24"/>
          <w:szCs w:val="24"/>
        </w:rPr>
        <w:t>Código</w:t>
      </w:r>
      <w:r>
        <w:rPr>
          <w:sz w:val="24"/>
          <w:szCs w:val="24"/>
        </w:rPr>
        <w:t xml:space="preserve"> Penal, y </w:t>
      </w:r>
      <w:r w:rsidR="00100A16">
        <w:rPr>
          <w:sz w:val="24"/>
          <w:szCs w:val="24"/>
        </w:rPr>
        <w:t>también</w:t>
      </w:r>
      <w:r>
        <w:rPr>
          <w:sz w:val="24"/>
          <w:szCs w:val="24"/>
        </w:rPr>
        <w:t xml:space="preserve"> con sus leyes anteriores, en el caso de los </w:t>
      </w:r>
      <w:r w:rsidR="00100A16">
        <w:rPr>
          <w:sz w:val="24"/>
          <w:szCs w:val="24"/>
        </w:rPr>
        <w:t>artículos</w:t>
      </w:r>
      <w:r>
        <w:rPr>
          <w:sz w:val="24"/>
          <w:szCs w:val="24"/>
        </w:rPr>
        <w:t xml:space="preserve"> que no han sido modificados.</w:t>
      </w:r>
    </w:p>
    <w:p w:rsidR="006B40C4" w:rsidRDefault="006B40C4" w:rsidP="006B40C4">
      <w:pPr>
        <w:spacing w:line="360" w:lineRule="auto"/>
        <w:jc w:val="both"/>
        <w:rPr>
          <w:b/>
          <w:sz w:val="24"/>
          <w:szCs w:val="24"/>
          <w:u w:val="single"/>
        </w:rPr>
      </w:pPr>
    </w:p>
    <w:p w:rsidR="00BF59BD" w:rsidRPr="00072608" w:rsidRDefault="00BF59BD" w:rsidP="006B40C4">
      <w:pPr>
        <w:spacing w:line="360" w:lineRule="auto"/>
        <w:jc w:val="both"/>
        <w:rPr>
          <w:b/>
          <w:sz w:val="24"/>
          <w:szCs w:val="24"/>
          <w:u w:val="single"/>
          <w:lang w:val="en-US"/>
        </w:rPr>
      </w:pPr>
      <w:proofErr w:type="gramStart"/>
      <w:r w:rsidRPr="00072608">
        <w:rPr>
          <w:b/>
          <w:sz w:val="24"/>
          <w:szCs w:val="24"/>
          <w:u w:val="single"/>
          <w:lang w:val="en-US"/>
        </w:rPr>
        <w:t>SUMMARY.</w:t>
      </w:r>
      <w:proofErr w:type="gramEnd"/>
    </w:p>
    <w:p w:rsidR="006B40C4" w:rsidRDefault="002E0367" w:rsidP="006B40C4">
      <w:pPr>
        <w:spacing w:line="360" w:lineRule="auto"/>
        <w:jc w:val="both"/>
        <w:rPr>
          <w:sz w:val="24"/>
          <w:szCs w:val="24"/>
          <w:u w:val="single"/>
          <w:lang w:val="en-US"/>
        </w:rPr>
      </w:pPr>
      <w:r>
        <w:rPr>
          <w:sz w:val="24"/>
          <w:szCs w:val="24"/>
          <w:u w:val="single"/>
          <w:lang w:val="en-US"/>
        </w:rPr>
        <w:t>KEYWORDS:</w:t>
      </w:r>
      <w:r w:rsidR="00072608" w:rsidRPr="00072608">
        <w:rPr>
          <w:sz w:val="24"/>
          <w:szCs w:val="24"/>
          <w:u w:val="single"/>
          <w:lang w:val="en-US"/>
        </w:rPr>
        <w:t xml:space="preserve">  theft, stole, consummation, conduct, crime, availability, </w:t>
      </w:r>
      <w:r w:rsidR="00072608">
        <w:rPr>
          <w:sz w:val="24"/>
          <w:szCs w:val="24"/>
          <w:u w:val="single"/>
          <w:lang w:val="en-US"/>
        </w:rPr>
        <w:t xml:space="preserve">attempt, </w:t>
      </w:r>
      <w:r>
        <w:rPr>
          <w:sz w:val="24"/>
          <w:szCs w:val="24"/>
          <w:u w:val="single"/>
          <w:lang w:val="en-US"/>
        </w:rPr>
        <w:t>author, violence, intimidation.</w:t>
      </w:r>
    </w:p>
    <w:p w:rsidR="002E0367" w:rsidRDefault="002E0367" w:rsidP="006B40C4">
      <w:pPr>
        <w:spacing w:line="360" w:lineRule="auto"/>
        <w:jc w:val="both"/>
        <w:rPr>
          <w:sz w:val="24"/>
          <w:szCs w:val="24"/>
          <w:lang w:val="en-US"/>
        </w:rPr>
      </w:pPr>
      <w:r>
        <w:rPr>
          <w:sz w:val="24"/>
          <w:szCs w:val="24"/>
          <w:lang w:val="en-US"/>
        </w:rPr>
        <w:t>In this work I talked about Property crimes, mainly: stole and theft.</w:t>
      </w:r>
    </w:p>
    <w:p w:rsidR="002E0367" w:rsidRDefault="002E0367" w:rsidP="006B40C4">
      <w:pPr>
        <w:spacing w:line="360" w:lineRule="auto"/>
        <w:jc w:val="both"/>
        <w:rPr>
          <w:sz w:val="24"/>
          <w:szCs w:val="24"/>
          <w:lang w:val="en-US"/>
        </w:rPr>
      </w:pPr>
      <w:r>
        <w:rPr>
          <w:sz w:val="24"/>
          <w:szCs w:val="24"/>
          <w:lang w:val="en-US"/>
        </w:rPr>
        <w:t>I make a number of differences and likeness between both, and especially I highlight the consummation between both, with their respective theories and imperfect forms of execution, as is the case of availability, although in this case there are more problems.</w:t>
      </w:r>
    </w:p>
    <w:p w:rsidR="002E0367" w:rsidRPr="002E0367" w:rsidRDefault="002E0367" w:rsidP="006B40C4">
      <w:pPr>
        <w:spacing w:line="360" w:lineRule="auto"/>
        <w:jc w:val="both"/>
        <w:rPr>
          <w:sz w:val="24"/>
          <w:szCs w:val="24"/>
          <w:lang w:val="en-US"/>
        </w:rPr>
      </w:pPr>
      <w:r>
        <w:rPr>
          <w:sz w:val="24"/>
          <w:szCs w:val="24"/>
          <w:lang w:val="en-US"/>
        </w:rPr>
        <w:t xml:space="preserve">All this I say based on </w:t>
      </w:r>
      <w:r w:rsidR="004608E0">
        <w:rPr>
          <w:sz w:val="24"/>
          <w:szCs w:val="24"/>
          <w:lang w:val="en-US"/>
        </w:rPr>
        <w:t>the actual reform of the penal code, and also with the previous laws, in the case of articles that have not been modified.</w:t>
      </w:r>
    </w:p>
    <w:p w:rsidR="006B40C4" w:rsidRPr="00072608" w:rsidRDefault="006B40C4" w:rsidP="006B40C4">
      <w:pPr>
        <w:spacing w:line="360" w:lineRule="auto"/>
        <w:jc w:val="both"/>
        <w:rPr>
          <w:sz w:val="24"/>
          <w:szCs w:val="24"/>
          <w:u w:val="single"/>
          <w:lang w:val="en-US"/>
        </w:rPr>
      </w:pPr>
    </w:p>
    <w:p w:rsidR="006B40C4" w:rsidRPr="004608E0" w:rsidRDefault="006B40C4" w:rsidP="006B40C4">
      <w:pPr>
        <w:spacing w:line="360" w:lineRule="auto"/>
        <w:jc w:val="both"/>
        <w:rPr>
          <w:b/>
          <w:sz w:val="24"/>
          <w:szCs w:val="24"/>
          <w:u w:val="single"/>
        </w:rPr>
      </w:pPr>
      <w:r>
        <w:rPr>
          <w:b/>
          <w:sz w:val="24"/>
          <w:szCs w:val="24"/>
          <w:u w:val="single"/>
        </w:rPr>
        <w:t>ABREVIATURAS.</w:t>
      </w:r>
    </w:p>
    <w:p w:rsidR="006B40C4" w:rsidRPr="006B40C4" w:rsidRDefault="006B40C4" w:rsidP="006B40C4">
      <w:pPr>
        <w:pStyle w:val="Prrafodelista"/>
        <w:numPr>
          <w:ilvl w:val="0"/>
          <w:numId w:val="38"/>
        </w:numPr>
        <w:spacing w:line="360" w:lineRule="auto"/>
        <w:jc w:val="both"/>
        <w:rPr>
          <w:rFonts w:ascii="Times New Roman" w:hAnsi="Times New Roman" w:cs="Times New Roman"/>
          <w:sz w:val="24"/>
          <w:szCs w:val="24"/>
          <w:lang w:val="en-US"/>
        </w:rPr>
      </w:pPr>
      <w:r w:rsidRPr="006B40C4">
        <w:rPr>
          <w:rFonts w:ascii="Times New Roman" w:hAnsi="Times New Roman" w:cs="Times New Roman"/>
          <w:sz w:val="24"/>
          <w:szCs w:val="24"/>
          <w:lang w:val="en-US"/>
        </w:rPr>
        <w:t xml:space="preserve">CP: </w:t>
      </w:r>
      <w:proofErr w:type="spellStart"/>
      <w:r w:rsidRPr="006B40C4">
        <w:rPr>
          <w:rFonts w:ascii="Times New Roman" w:hAnsi="Times New Roman" w:cs="Times New Roman"/>
          <w:sz w:val="24"/>
          <w:szCs w:val="24"/>
          <w:lang w:val="en-US"/>
        </w:rPr>
        <w:t>Código</w:t>
      </w:r>
      <w:proofErr w:type="spellEnd"/>
      <w:r w:rsidRPr="006B40C4">
        <w:rPr>
          <w:rFonts w:ascii="Times New Roman" w:hAnsi="Times New Roman" w:cs="Times New Roman"/>
          <w:sz w:val="24"/>
          <w:szCs w:val="24"/>
          <w:lang w:val="en-US"/>
        </w:rPr>
        <w:t xml:space="preserve"> penal</w:t>
      </w:r>
    </w:p>
    <w:p w:rsidR="006B40C4" w:rsidRPr="006B40C4" w:rsidRDefault="006B40C4" w:rsidP="006B40C4">
      <w:pPr>
        <w:pStyle w:val="Prrafodelista"/>
        <w:numPr>
          <w:ilvl w:val="0"/>
          <w:numId w:val="38"/>
        </w:numPr>
        <w:spacing w:line="360" w:lineRule="auto"/>
        <w:jc w:val="both"/>
        <w:rPr>
          <w:rFonts w:ascii="Times New Roman" w:hAnsi="Times New Roman" w:cs="Times New Roman"/>
          <w:sz w:val="24"/>
          <w:szCs w:val="24"/>
          <w:lang w:val="en-US"/>
        </w:rPr>
      </w:pPr>
      <w:r w:rsidRPr="006B40C4">
        <w:rPr>
          <w:rFonts w:ascii="Times New Roman" w:hAnsi="Times New Roman" w:cs="Times New Roman"/>
          <w:sz w:val="24"/>
          <w:szCs w:val="24"/>
          <w:lang w:val="en-US"/>
        </w:rPr>
        <w:t xml:space="preserve">RD: Real </w:t>
      </w:r>
      <w:proofErr w:type="spellStart"/>
      <w:r w:rsidRPr="006B40C4">
        <w:rPr>
          <w:rFonts w:ascii="Times New Roman" w:hAnsi="Times New Roman" w:cs="Times New Roman"/>
          <w:sz w:val="24"/>
          <w:szCs w:val="24"/>
          <w:lang w:val="en-US"/>
        </w:rPr>
        <w:t>Decreto</w:t>
      </w:r>
      <w:proofErr w:type="spellEnd"/>
    </w:p>
    <w:p w:rsidR="006B40C4" w:rsidRDefault="006B40C4" w:rsidP="006B40C4">
      <w:pPr>
        <w:pStyle w:val="Prrafodelista"/>
        <w:numPr>
          <w:ilvl w:val="0"/>
          <w:numId w:val="38"/>
        </w:numPr>
        <w:spacing w:line="360" w:lineRule="auto"/>
        <w:jc w:val="both"/>
        <w:rPr>
          <w:rFonts w:ascii="Times New Roman" w:hAnsi="Times New Roman" w:cs="Times New Roman"/>
          <w:sz w:val="24"/>
          <w:szCs w:val="24"/>
          <w:lang w:val="en-US"/>
        </w:rPr>
      </w:pPr>
      <w:r w:rsidRPr="006B40C4">
        <w:rPr>
          <w:rFonts w:ascii="Times New Roman" w:hAnsi="Times New Roman" w:cs="Times New Roman"/>
          <w:sz w:val="24"/>
          <w:szCs w:val="24"/>
          <w:lang w:val="en-US"/>
        </w:rPr>
        <w:t>ED: Editorial</w:t>
      </w:r>
    </w:p>
    <w:p w:rsidR="006B40C4" w:rsidRPr="006B40C4" w:rsidRDefault="006B40C4" w:rsidP="006B40C4">
      <w:pPr>
        <w:pStyle w:val="Prrafodelista"/>
        <w:numPr>
          <w:ilvl w:val="0"/>
          <w:numId w:val="38"/>
        </w:numPr>
        <w:spacing w:line="360" w:lineRule="auto"/>
        <w:jc w:val="both"/>
        <w:rPr>
          <w:rFonts w:ascii="Times New Roman" w:hAnsi="Times New Roman" w:cs="Times New Roman"/>
          <w:sz w:val="24"/>
          <w:szCs w:val="24"/>
          <w:lang w:val="en-US"/>
        </w:rPr>
      </w:pPr>
      <w:r w:rsidRPr="006B40C4">
        <w:rPr>
          <w:rFonts w:ascii="Times New Roman" w:hAnsi="Times New Roman" w:cs="Times New Roman"/>
          <w:sz w:val="24"/>
          <w:szCs w:val="24"/>
          <w:lang w:val="en-US"/>
        </w:rPr>
        <w:t xml:space="preserve">SS: </w:t>
      </w:r>
      <w:proofErr w:type="spellStart"/>
      <w:r w:rsidRPr="006B40C4">
        <w:rPr>
          <w:rFonts w:ascii="Times New Roman" w:hAnsi="Times New Roman" w:cs="Times New Roman"/>
          <w:sz w:val="24"/>
          <w:szCs w:val="24"/>
          <w:lang w:val="en-US"/>
        </w:rPr>
        <w:t>Siguientes</w:t>
      </w:r>
      <w:proofErr w:type="spellEnd"/>
    </w:p>
    <w:p w:rsidR="006B40C4" w:rsidRPr="006B40C4" w:rsidRDefault="006B40C4" w:rsidP="006B40C4">
      <w:pPr>
        <w:pStyle w:val="Prrafodelista"/>
        <w:numPr>
          <w:ilvl w:val="0"/>
          <w:numId w:val="38"/>
        </w:numPr>
        <w:spacing w:line="360" w:lineRule="auto"/>
        <w:jc w:val="both"/>
        <w:rPr>
          <w:rFonts w:ascii="Times New Roman" w:hAnsi="Times New Roman" w:cs="Times New Roman"/>
          <w:sz w:val="24"/>
          <w:szCs w:val="24"/>
          <w:lang w:val="en-US"/>
        </w:rPr>
      </w:pPr>
      <w:r w:rsidRPr="006B40C4">
        <w:rPr>
          <w:rFonts w:ascii="Times New Roman" w:hAnsi="Times New Roman" w:cs="Times New Roman"/>
          <w:sz w:val="24"/>
          <w:szCs w:val="24"/>
          <w:lang w:val="en-US"/>
        </w:rPr>
        <w:t xml:space="preserve">TS: Tribunal </w:t>
      </w:r>
      <w:proofErr w:type="spellStart"/>
      <w:r w:rsidRPr="006B40C4">
        <w:rPr>
          <w:rFonts w:ascii="Times New Roman" w:hAnsi="Times New Roman" w:cs="Times New Roman"/>
          <w:sz w:val="24"/>
          <w:szCs w:val="24"/>
          <w:lang w:val="en-US"/>
        </w:rPr>
        <w:t>Supremo</w:t>
      </w:r>
      <w:proofErr w:type="spellEnd"/>
    </w:p>
    <w:p w:rsidR="006B40C4" w:rsidRPr="0072133A" w:rsidRDefault="006B40C4" w:rsidP="0072133A">
      <w:pPr>
        <w:pStyle w:val="Prrafodelista"/>
        <w:numPr>
          <w:ilvl w:val="0"/>
          <w:numId w:val="38"/>
        </w:numPr>
        <w:spacing w:line="360" w:lineRule="auto"/>
        <w:jc w:val="both"/>
        <w:rPr>
          <w:rFonts w:ascii="Times New Roman" w:hAnsi="Times New Roman" w:cs="Times New Roman"/>
          <w:sz w:val="24"/>
          <w:szCs w:val="24"/>
          <w:lang w:val="en-US"/>
        </w:rPr>
      </w:pPr>
      <w:r w:rsidRPr="006B40C4">
        <w:rPr>
          <w:rFonts w:ascii="Times New Roman" w:hAnsi="Times New Roman" w:cs="Times New Roman"/>
          <w:sz w:val="24"/>
          <w:szCs w:val="24"/>
          <w:lang w:val="en-US"/>
        </w:rPr>
        <w:t xml:space="preserve">AP: </w:t>
      </w:r>
      <w:proofErr w:type="spellStart"/>
      <w:r w:rsidRPr="006B40C4">
        <w:rPr>
          <w:rFonts w:ascii="Times New Roman" w:hAnsi="Times New Roman" w:cs="Times New Roman"/>
          <w:sz w:val="24"/>
          <w:szCs w:val="24"/>
          <w:lang w:val="en-US"/>
        </w:rPr>
        <w:t>Audiencia</w:t>
      </w:r>
      <w:proofErr w:type="spellEnd"/>
      <w:r w:rsidRPr="006B40C4">
        <w:rPr>
          <w:rFonts w:ascii="Times New Roman" w:hAnsi="Times New Roman" w:cs="Times New Roman"/>
          <w:sz w:val="24"/>
          <w:szCs w:val="24"/>
          <w:lang w:val="en-US"/>
        </w:rPr>
        <w:t xml:space="preserve"> Provincial</w:t>
      </w:r>
    </w:p>
    <w:p w:rsidR="006B40C4" w:rsidRPr="006B40C4" w:rsidRDefault="006B40C4" w:rsidP="006B40C4">
      <w:pPr>
        <w:pStyle w:val="Prrafodelista"/>
        <w:numPr>
          <w:ilvl w:val="0"/>
          <w:numId w:val="38"/>
        </w:numPr>
        <w:spacing w:line="360" w:lineRule="auto"/>
        <w:jc w:val="both"/>
        <w:rPr>
          <w:rFonts w:ascii="Times New Roman" w:hAnsi="Times New Roman" w:cs="Times New Roman"/>
          <w:sz w:val="24"/>
          <w:szCs w:val="24"/>
          <w:lang w:val="en-US"/>
        </w:rPr>
      </w:pPr>
      <w:r w:rsidRPr="006B40C4">
        <w:rPr>
          <w:rFonts w:ascii="Times New Roman" w:hAnsi="Times New Roman" w:cs="Times New Roman"/>
          <w:sz w:val="24"/>
          <w:szCs w:val="24"/>
        </w:rPr>
        <w:t>LO: Ley Orgánica</w:t>
      </w:r>
    </w:p>
    <w:p w:rsidR="006B40C4" w:rsidRPr="006B40C4" w:rsidRDefault="006B40C4" w:rsidP="006B40C4">
      <w:pPr>
        <w:pStyle w:val="Prrafodelista"/>
        <w:numPr>
          <w:ilvl w:val="0"/>
          <w:numId w:val="38"/>
        </w:numPr>
        <w:spacing w:line="360" w:lineRule="auto"/>
        <w:jc w:val="both"/>
        <w:rPr>
          <w:rFonts w:ascii="Times New Roman" w:hAnsi="Times New Roman" w:cs="Times New Roman"/>
          <w:sz w:val="24"/>
          <w:szCs w:val="24"/>
          <w:lang w:val="en-US"/>
        </w:rPr>
      </w:pPr>
      <w:r w:rsidRPr="006B40C4">
        <w:rPr>
          <w:rFonts w:ascii="Times New Roman" w:hAnsi="Times New Roman" w:cs="Times New Roman"/>
          <w:sz w:val="24"/>
          <w:szCs w:val="24"/>
        </w:rPr>
        <w:t>STS: Sentencia del Tribunal Supremo</w:t>
      </w:r>
    </w:p>
    <w:p w:rsidR="006B40C4" w:rsidRPr="006B40C4" w:rsidRDefault="006B40C4" w:rsidP="006B40C4">
      <w:pPr>
        <w:pStyle w:val="Prrafodelista"/>
        <w:numPr>
          <w:ilvl w:val="0"/>
          <w:numId w:val="38"/>
        </w:numPr>
        <w:spacing w:line="360" w:lineRule="auto"/>
        <w:jc w:val="both"/>
        <w:rPr>
          <w:rFonts w:ascii="Times New Roman" w:hAnsi="Times New Roman" w:cs="Times New Roman"/>
          <w:sz w:val="24"/>
          <w:szCs w:val="24"/>
        </w:rPr>
      </w:pPr>
      <w:r w:rsidRPr="006B40C4">
        <w:rPr>
          <w:rFonts w:ascii="Times New Roman" w:hAnsi="Times New Roman" w:cs="Times New Roman"/>
          <w:sz w:val="24"/>
          <w:szCs w:val="24"/>
        </w:rPr>
        <w:t>SAP: Sentencia de la Audiencia Provincial</w:t>
      </w:r>
    </w:p>
    <w:p w:rsidR="004608E0" w:rsidRPr="006B40C4" w:rsidRDefault="004608E0" w:rsidP="006B40C4">
      <w:pPr>
        <w:rPr>
          <w:sz w:val="24"/>
          <w:szCs w:val="24"/>
        </w:rPr>
      </w:pPr>
    </w:p>
    <w:p w:rsidR="0009755A" w:rsidRPr="0009755A" w:rsidRDefault="0009755A">
      <w:pPr>
        <w:rPr>
          <w:sz w:val="24"/>
          <w:szCs w:val="24"/>
          <w:u w:val="single"/>
        </w:rPr>
      </w:pPr>
      <w:r w:rsidRPr="0009755A">
        <w:rPr>
          <w:sz w:val="24"/>
          <w:szCs w:val="24"/>
          <w:u w:val="single"/>
        </w:rPr>
        <w:br w:type="page"/>
      </w:r>
    </w:p>
    <w:p w:rsidR="00050185" w:rsidRPr="004608E0" w:rsidRDefault="00100A16" w:rsidP="00050185">
      <w:pPr>
        <w:spacing w:line="360" w:lineRule="auto"/>
        <w:jc w:val="both"/>
        <w:rPr>
          <w:b/>
          <w:sz w:val="24"/>
          <w:szCs w:val="24"/>
          <w:u w:val="single"/>
        </w:rPr>
      </w:pPr>
      <w:r w:rsidRPr="004608E0">
        <w:rPr>
          <w:b/>
          <w:sz w:val="24"/>
          <w:szCs w:val="24"/>
          <w:u w:val="single"/>
        </w:rPr>
        <w:lastRenderedPageBreak/>
        <w:t>1. INTRODUCCIÓN</w:t>
      </w:r>
      <w:r w:rsidR="00050185" w:rsidRPr="004608E0">
        <w:rPr>
          <w:b/>
          <w:sz w:val="24"/>
          <w:szCs w:val="24"/>
          <w:u w:val="single"/>
        </w:rPr>
        <w:t>.</w:t>
      </w:r>
    </w:p>
    <w:p w:rsidR="00050185" w:rsidRDefault="00050185" w:rsidP="00050185">
      <w:pPr>
        <w:spacing w:line="360" w:lineRule="auto"/>
        <w:jc w:val="both"/>
        <w:rPr>
          <w:sz w:val="24"/>
          <w:szCs w:val="24"/>
        </w:rPr>
      </w:pPr>
      <w:r w:rsidRPr="00050185">
        <w:rPr>
          <w:sz w:val="24"/>
          <w:szCs w:val="24"/>
        </w:rPr>
        <w:t xml:space="preserve">El Hurto y el Robo, en sus diferentes formas, son los Delitos Patrimoniales más </w:t>
      </w:r>
      <w:r w:rsidR="00100A16" w:rsidRPr="00050185">
        <w:rPr>
          <w:sz w:val="24"/>
          <w:szCs w:val="24"/>
        </w:rPr>
        <w:t>comunes</w:t>
      </w:r>
      <w:r w:rsidRPr="00050185">
        <w:rPr>
          <w:sz w:val="24"/>
          <w:szCs w:val="24"/>
        </w:rPr>
        <w:t>, ya que son los que más se cometen. Tomamos como referencia la anterior Ley Orgánica 10/1995, de 23 de Noviembre, del Código Penal, que introdujo muchas novedades</w:t>
      </w:r>
      <w:r w:rsidR="00FC2AA2">
        <w:rPr>
          <w:sz w:val="24"/>
          <w:szCs w:val="24"/>
        </w:rPr>
        <w:t>, algunas de ellas de gran importancia,</w:t>
      </w:r>
      <w:r w:rsidRPr="00050185">
        <w:rPr>
          <w:sz w:val="24"/>
          <w:szCs w:val="24"/>
        </w:rPr>
        <w:t xml:space="preserve"> </w:t>
      </w:r>
      <w:r w:rsidR="00936840">
        <w:rPr>
          <w:sz w:val="24"/>
          <w:szCs w:val="24"/>
        </w:rPr>
        <w:t xml:space="preserve">con respecto a </w:t>
      </w:r>
      <w:r w:rsidRPr="00050185">
        <w:rPr>
          <w:sz w:val="24"/>
          <w:szCs w:val="24"/>
        </w:rPr>
        <w:t>las conductas</w:t>
      </w:r>
      <w:r w:rsidR="00936840">
        <w:rPr>
          <w:sz w:val="24"/>
          <w:szCs w:val="24"/>
        </w:rPr>
        <w:t xml:space="preserve"> que se encuentran dentro</w:t>
      </w:r>
      <w:r w:rsidRPr="00050185">
        <w:rPr>
          <w:sz w:val="24"/>
          <w:szCs w:val="24"/>
        </w:rPr>
        <w:t xml:space="preserve"> de los Delitos </w:t>
      </w:r>
      <w:r w:rsidR="00FC2AA2">
        <w:rPr>
          <w:sz w:val="24"/>
          <w:szCs w:val="24"/>
        </w:rPr>
        <w:t>Patrimoniales y Socioeconómicos</w:t>
      </w:r>
      <w:r w:rsidRPr="00050185">
        <w:rPr>
          <w:sz w:val="24"/>
          <w:szCs w:val="24"/>
        </w:rPr>
        <w:t>.</w:t>
      </w:r>
      <w:r w:rsidRPr="00050185">
        <w:rPr>
          <w:rStyle w:val="Refdenotaalpie"/>
          <w:sz w:val="24"/>
          <w:szCs w:val="24"/>
        </w:rPr>
        <w:footnoteReference w:id="1"/>
      </w:r>
    </w:p>
    <w:p w:rsidR="000B16DD" w:rsidRPr="00050185" w:rsidRDefault="000B16DD" w:rsidP="00050185">
      <w:pPr>
        <w:spacing w:line="360" w:lineRule="auto"/>
        <w:jc w:val="both"/>
        <w:rPr>
          <w:sz w:val="24"/>
          <w:szCs w:val="24"/>
        </w:rPr>
      </w:pPr>
    </w:p>
    <w:p w:rsidR="00050185" w:rsidRDefault="00050185" w:rsidP="00050185">
      <w:pPr>
        <w:spacing w:line="360" w:lineRule="auto"/>
        <w:jc w:val="both"/>
        <w:rPr>
          <w:sz w:val="24"/>
          <w:szCs w:val="24"/>
        </w:rPr>
      </w:pPr>
      <w:r w:rsidRPr="00050185">
        <w:rPr>
          <w:sz w:val="24"/>
          <w:szCs w:val="24"/>
        </w:rPr>
        <w:t xml:space="preserve">Posteriormente hubo una gran cantidad de reformas al </w:t>
      </w:r>
      <w:r w:rsidR="00100A16" w:rsidRPr="00050185">
        <w:rPr>
          <w:sz w:val="24"/>
          <w:szCs w:val="24"/>
        </w:rPr>
        <w:t>Código</w:t>
      </w:r>
      <w:r w:rsidRPr="00050185">
        <w:rPr>
          <w:sz w:val="24"/>
          <w:szCs w:val="24"/>
        </w:rPr>
        <w:t xml:space="preserve"> Penal en varios ámbitos y delitos, pero la reforma más notable de los Delitos Patrimoniales y Socioeconómicos fue la qu</w:t>
      </w:r>
      <w:r w:rsidR="00936840">
        <w:rPr>
          <w:sz w:val="24"/>
          <w:szCs w:val="24"/>
        </w:rPr>
        <w:t>e se produjo con la llegada</w:t>
      </w:r>
      <w:r w:rsidRPr="00050185">
        <w:rPr>
          <w:sz w:val="24"/>
          <w:szCs w:val="24"/>
        </w:rPr>
        <w:t xml:space="preserve"> de la</w:t>
      </w:r>
      <w:r w:rsidR="00936840">
        <w:rPr>
          <w:sz w:val="24"/>
          <w:szCs w:val="24"/>
        </w:rPr>
        <w:t xml:space="preserve"> nueva</w:t>
      </w:r>
      <w:r w:rsidRPr="00050185">
        <w:rPr>
          <w:sz w:val="24"/>
          <w:szCs w:val="24"/>
        </w:rPr>
        <w:t xml:space="preserve"> Ley </w:t>
      </w:r>
      <w:r w:rsidR="00100A16" w:rsidRPr="00050185">
        <w:rPr>
          <w:sz w:val="24"/>
          <w:szCs w:val="24"/>
        </w:rPr>
        <w:t>Orgánica</w:t>
      </w:r>
      <w:r w:rsidRPr="00050185">
        <w:rPr>
          <w:sz w:val="24"/>
          <w:szCs w:val="24"/>
        </w:rPr>
        <w:t xml:space="preserve"> 1/2015, de 30 de marzo, por la cual se modifica la anterior ley. </w:t>
      </w:r>
    </w:p>
    <w:p w:rsidR="00050185" w:rsidRDefault="00050185" w:rsidP="00050185">
      <w:pPr>
        <w:spacing w:line="360" w:lineRule="auto"/>
        <w:jc w:val="both"/>
        <w:rPr>
          <w:sz w:val="24"/>
          <w:szCs w:val="24"/>
        </w:rPr>
      </w:pPr>
      <w:r w:rsidRPr="00050185">
        <w:rPr>
          <w:sz w:val="24"/>
          <w:szCs w:val="24"/>
        </w:rPr>
        <w:t>En esta nueva regulación se modifican muchos artículos relacionados con el hurto y el robo.</w:t>
      </w:r>
    </w:p>
    <w:p w:rsidR="000B16DD" w:rsidRPr="00050185" w:rsidRDefault="000B16DD" w:rsidP="00050185">
      <w:pPr>
        <w:spacing w:line="360" w:lineRule="auto"/>
        <w:jc w:val="both"/>
        <w:rPr>
          <w:sz w:val="24"/>
          <w:szCs w:val="24"/>
        </w:rPr>
      </w:pPr>
    </w:p>
    <w:p w:rsidR="00050185" w:rsidRDefault="00050185" w:rsidP="00050185">
      <w:pPr>
        <w:spacing w:line="360" w:lineRule="auto"/>
        <w:jc w:val="both"/>
        <w:rPr>
          <w:sz w:val="24"/>
          <w:szCs w:val="24"/>
        </w:rPr>
      </w:pPr>
      <w:r w:rsidRPr="00050185">
        <w:rPr>
          <w:sz w:val="24"/>
          <w:szCs w:val="24"/>
        </w:rPr>
        <w:t xml:space="preserve">Los Delitos Patrimoniales sufren bastantes cambios que podemos destacar, todos ellos producidos por la reforma del </w:t>
      </w:r>
      <w:r w:rsidR="00100A16" w:rsidRPr="00050185">
        <w:rPr>
          <w:sz w:val="24"/>
          <w:szCs w:val="24"/>
        </w:rPr>
        <w:t>Código</w:t>
      </w:r>
      <w:r w:rsidRPr="00050185">
        <w:rPr>
          <w:sz w:val="24"/>
          <w:szCs w:val="24"/>
        </w:rPr>
        <w:t xml:space="preserve"> Penal de 2015. </w:t>
      </w:r>
      <w:r w:rsidRPr="00936840">
        <w:rPr>
          <w:b/>
          <w:sz w:val="24"/>
          <w:szCs w:val="24"/>
        </w:rPr>
        <w:t>E</w:t>
      </w:r>
      <w:r w:rsidR="00936840" w:rsidRPr="00936840">
        <w:rPr>
          <w:b/>
          <w:sz w:val="24"/>
          <w:szCs w:val="24"/>
        </w:rPr>
        <w:t>l legislador</w:t>
      </w:r>
      <w:r w:rsidR="00936840">
        <w:rPr>
          <w:sz w:val="24"/>
          <w:szCs w:val="24"/>
        </w:rPr>
        <w:t xml:space="preserve"> justifica esta modificación</w:t>
      </w:r>
      <w:r w:rsidRPr="00050185">
        <w:rPr>
          <w:sz w:val="24"/>
          <w:szCs w:val="24"/>
        </w:rPr>
        <w:t xml:space="preserve"> ya que según él: &lt;&lt;</w:t>
      </w:r>
      <w:r w:rsidRPr="00050185">
        <w:rPr>
          <w:i/>
          <w:sz w:val="24"/>
          <w:szCs w:val="24"/>
        </w:rPr>
        <w:t xml:space="preserve">Ofrece respuestas a los problemas que plantea la </w:t>
      </w:r>
      <w:proofErr w:type="spellStart"/>
      <w:r w:rsidRPr="00050185">
        <w:rPr>
          <w:i/>
          <w:sz w:val="24"/>
          <w:szCs w:val="24"/>
        </w:rPr>
        <w:t>multirreincidencia</w:t>
      </w:r>
      <w:proofErr w:type="spellEnd"/>
      <w:r w:rsidRPr="00050185">
        <w:rPr>
          <w:i/>
          <w:sz w:val="24"/>
          <w:szCs w:val="24"/>
        </w:rPr>
        <w:t xml:space="preserve"> y la criminalidad grave</w:t>
      </w:r>
      <w:r w:rsidRPr="00050185">
        <w:rPr>
          <w:sz w:val="24"/>
          <w:szCs w:val="24"/>
        </w:rPr>
        <w:t xml:space="preserve">&gt;&gt;. Sin embargo, </w:t>
      </w:r>
      <w:r w:rsidR="00A744B6">
        <w:rPr>
          <w:sz w:val="24"/>
          <w:szCs w:val="24"/>
        </w:rPr>
        <w:t xml:space="preserve">aquí se plantean varias dudas </w:t>
      </w:r>
      <w:r w:rsidRPr="00050185">
        <w:rPr>
          <w:sz w:val="24"/>
          <w:szCs w:val="24"/>
        </w:rPr>
        <w:t>si tenemos en cuenta que</w:t>
      </w:r>
      <w:r w:rsidR="009A4BF6">
        <w:rPr>
          <w:sz w:val="24"/>
          <w:szCs w:val="24"/>
        </w:rPr>
        <w:t xml:space="preserve"> </w:t>
      </w:r>
      <w:r w:rsidRPr="00050185">
        <w:rPr>
          <w:sz w:val="24"/>
          <w:szCs w:val="24"/>
        </w:rPr>
        <w:t xml:space="preserve">los delitos de robo en la </w:t>
      </w:r>
      <w:r w:rsidR="00100A16" w:rsidRPr="00050185">
        <w:rPr>
          <w:sz w:val="24"/>
          <w:szCs w:val="24"/>
        </w:rPr>
        <w:t>práctica</w:t>
      </w:r>
      <w:r w:rsidR="00100A16">
        <w:rPr>
          <w:sz w:val="24"/>
          <w:szCs w:val="24"/>
        </w:rPr>
        <w:t xml:space="preserve"> </w:t>
      </w:r>
      <w:r w:rsidRPr="00050185">
        <w:rPr>
          <w:sz w:val="24"/>
          <w:szCs w:val="24"/>
        </w:rPr>
        <w:t>se castigan más duramente por el Código Penal.</w:t>
      </w:r>
      <w:r w:rsidRPr="00050185">
        <w:rPr>
          <w:rStyle w:val="Refdenotaalpie"/>
          <w:sz w:val="24"/>
          <w:szCs w:val="24"/>
        </w:rPr>
        <w:footnoteReference w:id="2"/>
      </w:r>
    </w:p>
    <w:p w:rsidR="000B16DD" w:rsidRPr="00050185" w:rsidRDefault="000B16DD" w:rsidP="00050185">
      <w:pPr>
        <w:spacing w:line="360" w:lineRule="auto"/>
        <w:jc w:val="both"/>
        <w:rPr>
          <w:sz w:val="24"/>
          <w:szCs w:val="24"/>
        </w:rPr>
      </w:pPr>
    </w:p>
    <w:p w:rsidR="000B16DD" w:rsidRDefault="00050185" w:rsidP="00050185">
      <w:pPr>
        <w:spacing w:line="360" w:lineRule="auto"/>
        <w:jc w:val="both"/>
        <w:rPr>
          <w:sz w:val="24"/>
          <w:szCs w:val="24"/>
        </w:rPr>
      </w:pPr>
      <w:r w:rsidRPr="00050185">
        <w:rPr>
          <w:sz w:val="24"/>
          <w:szCs w:val="24"/>
        </w:rPr>
        <w:t xml:space="preserve">Anteriormente, con respecto a este delito de robo se </w:t>
      </w:r>
      <w:r w:rsidR="009A4BF6">
        <w:rPr>
          <w:sz w:val="24"/>
          <w:szCs w:val="24"/>
        </w:rPr>
        <w:t>planteaban</w:t>
      </w:r>
      <w:r w:rsidRPr="00050185">
        <w:rPr>
          <w:sz w:val="24"/>
          <w:szCs w:val="24"/>
        </w:rPr>
        <w:t xml:space="preserve"> algunas propuestas, como las de castigar </w:t>
      </w:r>
      <w:r w:rsidR="00100A16" w:rsidRPr="00050185">
        <w:rPr>
          <w:sz w:val="24"/>
          <w:szCs w:val="24"/>
        </w:rPr>
        <w:t>más</w:t>
      </w:r>
      <w:r w:rsidRPr="00050185">
        <w:rPr>
          <w:sz w:val="24"/>
          <w:szCs w:val="24"/>
        </w:rPr>
        <w:t xml:space="preserve"> </w:t>
      </w:r>
      <w:r w:rsidR="009A4BF6">
        <w:rPr>
          <w:sz w:val="24"/>
          <w:szCs w:val="24"/>
        </w:rPr>
        <w:t>duramente</w:t>
      </w:r>
      <w:r w:rsidRPr="00050185">
        <w:rPr>
          <w:sz w:val="24"/>
          <w:szCs w:val="24"/>
        </w:rPr>
        <w:t xml:space="preserve"> los delitos que van de los artículos 237 a 242 del </w:t>
      </w:r>
      <w:r w:rsidR="00100A16" w:rsidRPr="00050185">
        <w:rPr>
          <w:sz w:val="24"/>
          <w:szCs w:val="24"/>
        </w:rPr>
        <w:t>Código</w:t>
      </w:r>
      <w:r w:rsidRPr="00050185">
        <w:rPr>
          <w:sz w:val="24"/>
          <w:szCs w:val="24"/>
        </w:rPr>
        <w:t xml:space="preserve"> Penal, finalmente </w:t>
      </w:r>
      <w:r w:rsidR="009A4BF6">
        <w:rPr>
          <w:sz w:val="24"/>
          <w:szCs w:val="24"/>
        </w:rPr>
        <w:t xml:space="preserve">esto </w:t>
      </w:r>
      <w:r w:rsidRPr="00050185">
        <w:rPr>
          <w:sz w:val="24"/>
          <w:szCs w:val="24"/>
        </w:rPr>
        <w:t>se consiguió. Por lo tanto no se trata de una reforma integral de los tipos allí pr</w:t>
      </w:r>
      <w:r w:rsidR="009A4BF6">
        <w:rPr>
          <w:sz w:val="24"/>
          <w:szCs w:val="24"/>
        </w:rPr>
        <w:t>evistos, sino que se incorporan</w:t>
      </w:r>
      <w:r w:rsidRPr="00050185">
        <w:rPr>
          <w:sz w:val="24"/>
          <w:szCs w:val="24"/>
        </w:rPr>
        <w:t xml:space="preserve"> subtipos agravados y se modifican los delitos </w:t>
      </w:r>
      <w:r w:rsidR="00100A16" w:rsidRPr="00050185">
        <w:rPr>
          <w:sz w:val="24"/>
          <w:szCs w:val="24"/>
        </w:rPr>
        <w:t>existentes</w:t>
      </w:r>
      <w:r w:rsidR="009A4BF6">
        <w:rPr>
          <w:sz w:val="24"/>
          <w:szCs w:val="24"/>
        </w:rPr>
        <w:t>. Hay casos en los que la finalidad de estas reformas</w:t>
      </w:r>
      <w:r w:rsidRPr="00050185">
        <w:rPr>
          <w:sz w:val="24"/>
          <w:szCs w:val="24"/>
        </w:rPr>
        <w:t xml:space="preserve"> en los delitos de robo es </w:t>
      </w:r>
      <w:r w:rsidR="00A744B6">
        <w:rPr>
          <w:sz w:val="24"/>
          <w:szCs w:val="24"/>
        </w:rPr>
        <w:t>incorporar las dos modalidades de robo</w:t>
      </w:r>
      <w:r w:rsidRPr="00050185">
        <w:rPr>
          <w:sz w:val="24"/>
          <w:szCs w:val="24"/>
        </w:rPr>
        <w:t xml:space="preserve"> las circunstancias agravantes del</w:t>
      </w:r>
      <w:r w:rsidR="00A744B6">
        <w:rPr>
          <w:sz w:val="24"/>
          <w:szCs w:val="24"/>
        </w:rPr>
        <w:t xml:space="preserve"> delito hurto</w:t>
      </w:r>
      <w:r w:rsidR="00100A16" w:rsidRPr="00050185">
        <w:rPr>
          <w:sz w:val="24"/>
          <w:szCs w:val="24"/>
        </w:rPr>
        <w:t xml:space="preserve">. </w:t>
      </w:r>
      <w:r w:rsidR="009C44D0">
        <w:rPr>
          <w:sz w:val="24"/>
          <w:szCs w:val="24"/>
        </w:rPr>
        <w:t>Anteriormente era difícil incluir los delitos de robo dentro de estos tipos, pero g</w:t>
      </w:r>
      <w:r w:rsidR="009A4BF6">
        <w:rPr>
          <w:sz w:val="24"/>
          <w:szCs w:val="24"/>
        </w:rPr>
        <w:t>racias a la refor</w:t>
      </w:r>
      <w:r w:rsidR="00276295">
        <w:rPr>
          <w:sz w:val="24"/>
          <w:szCs w:val="24"/>
        </w:rPr>
        <w:t>ma se introdujeron,</w:t>
      </w:r>
      <w:r w:rsidR="00F45A56">
        <w:rPr>
          <w:sz w:val="24"/>
          <w:szCs w:val="24"/>
        </w:rPr>
        <w:t xml:space="preserve"> y</w:t>
      </w:r>
      <w:r w:rsidR="00276295">
        <w:rPr>
          <w:sz w:val="24"/>
          <w:szCs w:val="24"/>
        </w:rPr>
        <w:t xml:space="preserve"> se produjo </w:t>
      </w:r>
      <w:r w:rsidR="000B2604">
        <w:rPr>
          <w:sz w:val="24"/>
          <w:szCs w:val="24"/>
        </w:rPr>
        <w:t>así</w:t>
      </w:r>
      <w:r w:rsidR="00276295">
        <w:rPr>
          <w:sz w:val="24"/>
          <w:szCs w:val="24"/>
        </w:rPr>
        <w:t xml:space="preserve"> </w:t>
      </w:r>
      <w:r w:rsidR="009C44D0">
        <w:rPr>
          <w:sz w:val="24"/>
          <w:szCs w:val="24"/>
        </w:rPr>
        <w:t>una</w:t>
      </w:r>
      <w:r w:rsidR="00276295">
        <w:rPr>
          <w:sz w:val="24"/>
          <w:szCs w:val="24"/>
        </w:rPr>
        <w:t xml:space="preserve"> gran</w:t>
      </w:r>
      <w:r w:rsidR="009C44D0">
        <w:rPr>
          <w:sz w:val="24"/>
          <w:szCs w:val="24"/>
        </w:rPr>
        <w:t xml:space="preserve"> novedad</w:t>
      </w:r>
      <w:r w:rsidR="0072133A">
        <w:rPr>
          <w:sz w:val="24"/>
          <w:szCs w:val="24"/>
        </w:rPr>
        <w:t>.</w:t>
      </w:r>
      <w:r w:rsidR="00936840">
        <w:rPr>
          <w:sz w:val="24"/>
          <w:szCs w:val="24"/>
        </w:rPr>
        <w:t xml:space="preserve"> </w:t>
      </w:r>
      <w:r w:rsidR="00D12C89">
        <w:rPr>
          <w:sz w:val="24"/>
          <w:szCs w:val="24"/>
        </w:rPr>
        <w:t>Además una</w:t>
      </w:r>
      <w:r w:rsidRPr="00050185">
        <w:rPr>
          <w:sz w:val="24"/>
          <w:szCs w:val="24"/>
        </w:rPr>
        <w:t xml:space="preserve"> de las reformas </w:t>
      </w:r>
      <w:r w:rsidR="00100A16" w:rsidRPr="00050185">
        <w:rPr>
          <w:sz w:val="24"/>
          <w:szCs w:val="24"/>
        </w:rPr>
        <w:t>más</w:t>
      </w:r>
      <w:r w:rsidRPr="00050185">
        <w:rPr>
          <w:sz w:val="24"/>
          <w:szCs w:val="24"/>
        </w:rPr>
        <w:t xml:space="preserve"> importantes de 2015 fue que se </w:t>
      </w:r>
      <w:r w:rsidR="00100A16" w:rsidRPr="00050185">
        <w:rPr>
          <w:sz w:val="24"/>
          <w:szCs w:val="24"/>
        </w:rPr>
        <w:t>eliminó</w:t>
      </w:r>
      <w:r w:rsidRPr="00050185">
        <w:rPr>
          <w:sz w:val="24"/>
          <w:szCs w:val="24"/>
        </w:rPr>
        <w:t xml:space="preserve"> la </w:t>
      </w:r>
      <w:r w:rsidRPr="00050185">
        <w:rPr>
          <w:sz w:val="24"/>
          <w:szCs w:val="24"/>
        </w:rPr>
        <w:lastRenderedPageBreak/>
        <w:t xml:space="preserve">falta de hurto (el antiguo </w:t>
      </w:r>
      <w:r w:rsidR="00100A16" w:rsidRPr="00050185">
        <w:rPr>
          <w:sz w:val="24"/>
          <w:szCs w:val="24"/>
        </w:rPr>
        <w:t>artículo</w:t>
      </w:r>
      <w:r w:rsidRPr="00050185">
        <w:rPr>
          <w:sz w:val="24"/>
          <w:szCs w:val="24"/>
        </w:rPr>
        <w:t xml:space="preserve"> 623.3) que pasó a ser considerado como delito leve (</w:t>
      </w:r>
      <w:r w:rsidR="00100A16" w:rsidRPr="00050185">
        <w:rPr>
          <w:sz w:val="24"/>
          <w:szCs w:val="24"/>
        </w:rPr>
        <w:t>artículo</w:t>
      </w:r>
      <w:r w:rsidRPr="00050185">
        <w:rPr>
          <w:sz w:val="24"/>
          <w:szCs w:val="24"/>
        </w:rPr>
        <w:t xml:space="preserve"> 234).</w:t>
      </w:r>
      <w:r w:rsidR="00D12C89">
        <w:rPr>
          <w:rStyle w:val="Refdenotaalpie"/>
          <w:sz w:val="24"/>
          <w:szCs w:val="24"/>
        </w:rPr>
        <w:footnoteReference w:id="3"/>
      </w:r>
    </w:p>
    <w:p w:rsidR="0072133A" w:rsidRPr="00050185" w:rsidRDefault="0072133A" w:rsidP="00050185">
      <w:pPr>
        <w:spacing w:line="360" w:lineRule="auto"/>
        <w:jc w:val="both"/>
        <w:rPr>
          <w:sz w:val="24"/>
          <w:szCs w:val="24"/>
        </w:rPr>
      </w:pPr>
    </w:p>
    <w:p w:rsidR="000B16DD" w:rsidRPr="004608E0" w:rsidRDefault="00050185" w:rsidP="00050185">
      <w:pPr>
        <w:spacing w:line="360" w:lineRule="auto"/>
        <w:jc w:val="both"/>
        <w:rPr>
          <w:b/>
          <w:sz w:val="24"/>
          <w:szCs w:val="24"/>
          <w:u w:val="single"/>
        </w:rPr>
      </w:pPr>
      <w:r w:rsidRPr="004608E0">
        <w:rPr>
          <w:b/>
          <w:sz w:val="24"/>
          <w:szCs w:val="24"/>
          <w:u w:val="single"/>
        </w:rPr>
        <w:t>2. DELITO DE HURTO.</w:t>
      </w:r>
    </w:p>
    <w:p w:rsidR="000B16DD" w:rsidRPr="004608E0" w:rsidRDefault="00050185" w:rsidP="00050185">
      <w:pPr>
        <w:spacing w:line="360" w:lineRule="auto"/>
        <w:jc w:val="both"/>
        <w:rPr>
          <w:b/>
          <w:sz w:val="24"/>
          <w:szCs w:val="24"/>
          <w:u w:val="single"/>
        </w:rPr>
      </w:pPr>
      <w:r w:rsidRPr="004608E0">
        <w:rPr>
          <w:b/>
          <w:sz w:val="24"/>
          <w:szCs w:val="24"/>
          <w:u w:val="single"/>
        </w:rPr>
        <w:t>2.1 ELEMENTOS DEL TIPO.</w:t>
      </w:r>
    </w:p>
    <w:p w:rsidR="00276295" w:rsidRDefault="00050185" w:rsidP="00050185">
      <w:pPr>
        <w:spacing w:line="360" w:lineRule="auto"/>
        <w:jc w:val="both"/>
        <w:rPr>
          <w:sz w:val="24"/>
          <w:szCs w:val="24"/>
        </w:rPr>
      </w:pPr>
      <w:r w:rsidRPr="00050185">
        <w:rPr>
          <w:sz w:val="24"/>
          <w:szCs w:val="24"/>
        </w:rPr>
        <w:t xml:space="preserve">Nos encontramos con un Delito Patrimonial como es el caso del Delito de </w:t>
      </w:r>
      <w:r w:rsidR="00100A16" w:rsidRPr="00050185">
        <w:rPr>
          <w:sz w:val="24"/>
          <w:szCs w:val="24"/>
        </w:rPr>
        <w:t>Hurto. El</w:t>
      </w:r>
      <w:r w:rsidRPr="00050185">
        <w:rPr>
          <w:sz w:val="24"/>
          <w:szCs w:val="24"/>
        </w:rPr>
        <w:t xml:space="preserve"> delito de hurto conforma el primero de los capítulos del título XIII del libro II del código</w:t>
      </w:r>
      <w:r w:rsidR="00FC2AA2">
        <w:rPr>
          <w:sz w:val="24"/>
          <w:szCs w:val="24"/>
        </w:rPr>
        <w:t xml:space="preserve"> y se encuentra </w:t>
      </w:r>
      <w:r w:rsidR="000B2604">
        <w:rPr>
          <w:sz w:val="24"/>
          <w:szCs w:val="24"/>
        </w:rPr>
        <w:t>regulado</w:t>
      </w:r>
      <w:r w:rsidR="00FC2AA2">
        <w:rPr>
          <w:sz w:val="24"/>
          <w:szCs w:val="24"/>
        </w:rPr>
        <w:t xml:space="preserve"> en los artículos 234 al 236 del </w:t>
      </w:r>
      <w:r w:rsidR="000B2604">
        <w:rPr>
          <w:sz w:val="24"/>
          <w:szCs w:val="24"/>
        </w:rPr>
        <w:t>Código</w:t>
      </w:r>
      <w:r w:rsidR="00FC2AA2">
        <w:rPr>
          <w:sz w:val="24"/>
          <w:szCs w:val="24"/>
        </w:rPr>
        <w:t xml:space="preserve"> Penal.</w:t>
      </w:r>
      <w:r w:rsidR="00FC2AA2">
        <w:rPr>
          <w:rStyle w:val="Refdenotaalpie"/>
          <w:sz w:val="24"/>
          <w:szCs w:val="24"/>
        </w:rPr>
        <w:footnoteReference w:id="4"/>
      </w:r>
    </w:p>
    <w:p w:rsidR="00FC2AA2" w:rsidRDefault="00FC2AA2" w:rsidP="00050185">
      <w:pPr>
        <w:spacing w:line="360" w:lineRule="auto"/>
        <w:jc w:val="both"/>
        <w:rPr>
          <w:sz w:val="24"/>
          <w:szCs w:val="24"/>
        </w:rPr>
      </w:pPr>
    </w:p>
    <w:p w:rsidR="00050185" w:rsidRPr="00050185" w:rsidRDefault="00276295" w:rsidP="00050185">
      <w:pPr>
        <w:spacing w:line="360" w:lineRule="auto"/>
        <w:jc w:val="both"/>
        <w:rPr>
          <w:sz w:val="24"/>
          <w:szCs w:val="24"/>
        </w:rPr>
      </w:pPr>
      <w:r>
        <w:rPr>
          <w:sz w:val="24"/>
          <w:szCs w:val="24"/>
        </w:rPr>
        <w:t xml:space="preserve">Entre las características </w:t>
      </w:r>
      <w:r w:rsidR="000B2604">
        <w:rPr>
          <w:sz w:val="24"/>
          <w:szCs w:val="24"/>
        </w:rPr>
        <w:t>más</w:t>
      </w:r>
      <w:r>
        <w:rPr>
          <w:sz w:val="24"/>
          <w:szCs w:val="24"/>
        </w:rPr>
        <w:t xml:space="preserve"> relevantes del hurto destacamos que es la figura básica del </w:t>
      </w:r>
      <w:r w:rsidR="000B2604">
        <w:rPr>
          <w:sz w:val="24"/>
          <w:szCs w:val="24"/>
        </w:rPr>
        <w:t>Código</w:t>
      </w:r>
      <w:r>
        <w:rPr>
          <w:sz w:val="24"/>
          <w:szCs w:val="24"/>
        </w:rPr>
        <w:t xml:space="preserve"> Penal, y es residual, </w:t>
      </w:r>
      <w:r w:rsidR="000B2604">
        <w:rPr>
          <w:sz w:val="24"/>
          <w:szCs w:val="24"/>
        </w:rPr>
        <w:t>además</w:t>
      </w:r>
      <w:r>
        <w:rPr>
          <w:sz w:val="24"/>
          <w:szCs w:val="24"/>
        </w:rPr>
        <w:t xml:space="preserve"> </w:t>
      </w:r>
      <w:r w:rsidR="00050185" w:rsidRPr="00050185">
        <w:rPr>
          <w:sz w:val="24"/>
          <w:szCs w:val="24"/>
        </w:rPr>
        <w:t xml:space="preserve">se considera como un delito de apoderamiento, además la acción que se </w:t>
      </w:r>
      <w:r w:rsidR="004E402A">
        <w:rPr>
          <w:sz w:val="24"/>
          <w:szCs w:val="24"/>
        </w:rPr>
        <w:t>describe</w:t>
      </w:r>
      <w:r w:rsidR="00050185" w:rsidRPr="00050185">
        <w:rPr>
          <w:sz w:val="24"/>
          <w:szCs w:val="24"/>
        </w:rPr>
        <w:t xml:space="preserve"> no debe de ser violenta ni agresiva, (ya que si estamos ante un caso en los que si se produzca esta violencia de la que hablo ya no estaríamos ante un delito de hurto, sino de robo). </w:t>
      </w:r>
      <w:r w:rsidR="00050185" w:rsidRPr="00050185">
        <w:rPr>
          <w:rStyle w:val="Refdenotaalpie"/>
          <w:sz w:val="24"/>
          <w:szCs w:val="24"/>
        </w:rPr>
        <w:footnoteReference w:id="5"/>
      </w:r>
    </w:p>
    <w:p w:rsidR="001300B2" w:rsidRDefault="001300B2" w:rsidP="00050185">
      <w:pPr>
        <w:spacing w:line="360" w:lineRule="auto"/>
        <w:jc w:val="both"/>
        <w:rPr>
          <w:sz w:val="24"/>
          <w:szCs w:val="24"/>
        </w:rPr>
      </w:pPr>
    </w:p>
    <w:p w:rsidR="00050185" w:rsidRDefault="00050185" w:rsidP="00050185">
      <w:pPr>
        <w:spacing w:line="360" w:lineRule="auto"/>
        <w:jc w:val="both"/>
        <w:rPr>
          <w:sz w:val="24"/>
          <w:szCs w:val="24"/>
        </w:rPr>
      </w:pPr>
      <w:r w:rsidRPr="00050185">
        <w:rPr>
          <w:sz w:val="24"/>
          <w:szCs w:val="24"/>
        </w:rPr>
        <w:t xml:space="preserve">Debemos de prestar especial atención a ciertos casos dentro de este delito de hurto. Hay supuestos en los que la Jurisprudencia permite actos de violencia o intimidación dentro de este delito, pero sin que llegue a ser calificado como delito de robo, al igual que si se ejerce fuerza en las cosas, tampoco se calificaría como robo. Así lo establece la </w:t>
      </w:r>
      <w:r w:rsidRPr="00050185">
        <w:rPr>
          <w:b/>
          <w:sz w:val="24"/>
          <w:szCs w:val="24"/>
        </w:rPr>
        <w:t>Jurisprudencia de la Sala Segunda del Tribunal Supremo</w:t>
      </w:r>
      <w:r w:rsidRPr="00050185">
        <w:rPr>
          <w:sz w:val="24"/>
          <w:szCs w:val="24"/>
        </w:rPr>
        <w:t>, cuando dice: &lt;&lt;</w:t>
      </w:r>
      <w:r w:rsidRPr="00050185">
        <w:rPr>
          <w:i/>
          <w:sz w:val="24"/>
          <w:szCs w:val="24"/>
        </w:rPr>
        <w:t>Que no son propias del delito de robo, y que por ello la acción debe calificarse como hurto, las conductas violentas o intimidatorias que no se dirigen precisamente a vencer la voluntad del sujeto pasivo (esto lo vemos en la STS de 13 de junio de 2000)</w:t>
      </w:r>
      <w:r w:rsidRPr="00050185">
        <w:rPr>
          <w:sz w:val="24"/>
          <w:szCs w:val="24"/>
        </w:rPr>
        <w:t>. &gt;&gt;</w:t>
      </w:r>
      <w:r w:rsidRPr="00050185">
        <w:rPr>
          <w:rStyle w:val="Refdenotaalpie"/>
          <w:sz w:val="24"/>
          <w:szCs w:val="24"/>
        </w:rPr>
        <w:footnoteReference w:id="6"/>
      </w:r>
    </w:p>
    <w:p w:rsidR="000B44EE" w:rsidRPr="00050185"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lastRenderedPageBreak/>
        <w:t>Por lo que como hemos visto, si la violencia o intimidación no se dirige con la finalidad de conseguir un apoderamiento patrimonial se califica de manera independiente al hecho del apoderamiento, y se califica como hurto, como en el caso de la STC anterior.</w:t>
      </w:r>
    </w:p>
    <w:p w:rsidR="001300B2" w:rsidRDefault="001300B2" w:rsidP="00050185">
      <w:pPr>
        <w:spacing w:line="360" w:lineRule="auto"/>
        <w:jc w:val="both"/>
        <w:rPr>
          <w:sz w:val="24"/>
          <w:szCs w:val="24"/>
        </w:rPr>
      </w:pPr>
    </w:p>
    <w:p w:rsidR="00050185" w:rsidRDefault="00050185" w:rsidP="00050185">
      <w:pPr>
        <w:spacing w:line="360" w:lineRule="auto"/>
        <w:jc w:val="both"/>
        <w:rPr>
          <w:sz w:val="24"/>
          <w:szCs w:val="24"/>
        </w:rPr>
      </w:pPr>
      <w:r w:rsidRPr="00050185">
        <w:rPr>
          <w:sz w:val="24"/>
          <w:szCs w:val="24"/>
        </w:rPr>
        <w:t xml:space="preserve">De manera semejante, la </w:t>
      </w:r>
      <w:r w:rsidRPr="00050185">
        <w:rPr>
          <w:b/>
          <w:sz w:val="24"/>
          <w:szCs w:val="24"/>
        </w:rPr>
        <w:t xml:space="preserve">Jurisprudencia de la sala segunda del tribunal Supremo </w:t>
      </w:r>
      <w:r w:rsidRPr="00050185">
        <w:rPr>
          <w:sz w:val="24"/>
          <w:szCs w:val="24"/>
        </w:rPr>
        <w:t>establece que: &lt;&lt;</w:t>
      </w:r>
      <w:r w:rsidRPr="00050185">
        <w:rPr>
          <w:i/>
          <w:sz w:val="24"/>
          <w:szCs w:val="24"/>
        </w:rPr>
        <w:t xml:space="preserve">La fuerza física constitutiva del delito de robo y que el autor del hecho ha de ejercer sobre la víctima para doblegar su voluntad tiene que tener una mínima intensidad y consistencia, de forma que si la acción de desapoderamiento no supone la aplicación de gran fuerza, sino solo un movimiento rápido y sorpresivo, por lo que </w:t>
      </w:r>
      <w:r w:rsidR="00100A16" w:rsidRPr="00050185">
        <w:rPr>
          <w:i/>
          <w:sz w:val="24"/>
          <w:szCs w:val="24"/>
        </w:rPr>
        <w:t>se consigue</w:t>
      </w:r>
      <w:r w:rsidRPr="00050185">
        <w:rPr>
          <w:i/>
          <w:sz w:val="24"/>
          <w:szCs w:val="24"/>
        </w:rPr>
        <w:t xml:space="preserve"> la fácil aprehensión del objeto, esto no podría calificarse como violencia.(Por ejemplo la STS de 9 abril de 2012).</w:t>
      </w:r>
      <w:r w:rsidRPr="00050185">
        <w:rPr>
          <w:sz w:val="24"/>
          <w:szCs w:val="24"/>
        </w:rPr>
        <w:t>&gt;&gt;</w:t>
      </w:r>
      <w:r w:rsidRPr="00050185">
        <w:rPr>
          <w:rStyle w:val="Refdenotaalpie"/>
          <w:sz w:val="24"/>
          <w:szCs w:val="24"/>
        </w:rPr>
        <w:footnoteReference w:id="7"/>
      </w:r>
    </w:p>
    <w:p w:rsidR="000B44EE" w:rsidRPr="00050185" w:rsidRDefault="000B44EE" w:rsidP="00050185">
      <w:pPr>
        <w:spacing w:line="360" w:lineRule="auto"/>
        <w:jc w:val="both"/>
        <w:rPr>
          <w:sz w:val="24"/>
          <w:szCs w:val="24"/>
        </w:rPr>
      </w:pPr>
    </w:p>
    <w:p w:rsidR="00050185" w:rsidRDefault="00050185" w:rsidP="00050185">
      <w:pPr>
        <w:spacing w:line="360" w:lineRule="auto"/>
        <w:jc w:val="both"/>
        <w:rPr>
          <w:sz w:val="24"/>
          <w:szCs w:val="24"/>
        </w:rPr>
      </w:pPr>
      <w:r w:rsidRPr="00050185">
        <w:rPr>
          <w:sz w:val="24"/>
          <w:szCs w:val="24"/>
        </w:rPr>
        <w:t xml:space="preserve">En las sentencias anteriores, de manera similar, podemos observar que se recurre a la violencia característica del delito de robo, pero no como medio, ni con la intención de adueñarse de la cosa ajena. </w:t>
      </w:r>
    </w:p>
    <w:p w:rsidR="000B44EE" w:rsidRPr="00050185" w:rsidRDefault="000B44EE" w:rsidP="00050185">
      <w:pPr>
        <w:spacing w:line="360" w:lineRule="auto"/>
        <w:jc w:val="both"/>
        <w:rPr>
          <w:sz w:val="24"/>
          <w:szCs w:val="24"/>
        </w:rPr>
      </w:pPr>
    </w:p>
    <w:p w:rsidR="00050185" w:rsidRDefault="00050185" w:rsidP="00050185">
      <w:pPr>
        <w:spacing w:line="360" w:lineRule="auto"/>
        <w:jc w:val="both"/>
        <w:rPr>
          <w:sz w:val="24"/>
          <w:szCs w:val="24"/>
        </w:rPr>
      </w:pPr>
      <w:r w:rsidRPr="00050185">
        <w:rPr>
          <w:sz w:val="24"/>
          <w:szCs w:val="24"/>
        </w:rPr>
        <w:t xml:space="preserve">La regulación básica de este delito se establece en el </w:t>
      </w:r>
      <w:r w:rsidRPr="00050185">
        <w:rPr>
          <w:b/>
          <w:sz w:val="24"/>
          <w:szCs w:val="24"/>
        </w:rPr>
        <w:t>artículo 234</w:t>
      </w:r>
      <w:r w:rsidRPr="00050185">
        <w:rPr>
          <w:sz w:val="24"/>
          <w:szCs w:val="24"/>
        </w:rPr>
        <w:t>, que dice así: &lt;&lt;</w:t>
      </w:r>
      <w:r w:rsidRPr="00050185">
        <w:rPr>
          <w:i/>
          <w:sz w:val="24"/>
          <w:szCs w:val="24"/>
        </w:rPr>
        <w:t>El que, con ánimo de lucro, tomare las cosas muebles ajenas sin la voluntad de su dueño será castigado, como reo de hurto, con la pena de prisión de seis a dieciocho meses si la cuantía de lo sustraído excediese de 400 euros.</w:t>
      </w:r>
      <w:r w:rsidRPr="00050185">
        <w:rPr>
          <w:sz w:val="24"/>
          <w:szCs w:val="24"/>
        </w:rPr>
        <w:t>&gt;&gt;</w:t>
      </w:r>
      <w:r w:rsidRPr="00050185">
        <w:rPr>
          <w:rStyle w:val="Refdenotaalpie"/>
          <w:sz w:val="24"/>
          <w:szCs w:val="24"/>
        </w:rPr>
        <w:footnoteReference w:id="8"/>
      </w:r>
    </w:p>
    <w:p w:rsidR="004E402A" w:rsidRPr="00050185" w:rsidRDefault="004E402A"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Sin embargo, tal y como establece </w:t>
      </w:r>
      <w:r w:rsidRPr="00050185">
        <w:rPr>
          <w:b/>
          <w:sz w:val="24"/>
          <w:szCs w:val="24"/>
        </w:rPr>
        <w:t>Muñoz Conde</w:t>
      </w:r>
      <w:r w:rsidRPr="00050185">
        <w:rPr>
          <w:sz w:val="24"/>
          <w:szCs w:val="24"/>
        </w:rPr>
        <w:t>:&lt;&lt;</w:t>
      </w:r>
      <w:r w:rsidRPr="00050185">
        <w:rPr>
          <w:i/>
          <w:sz w:val="24"/>
          <w:szCs w:val="24"/>
        </w:rPr>
        <w:t>El hurto no tendría lugar en el caso de que una persona, adueñándose de la cosa mueble de otro, deje en su lugar un objeto de valor equivalente, o dinero por el mismo valor.</w:t>
      </w:r>
      <w:r w:rsidRPr="00050185">
        <w:rPr>
          <w:sz w:val="24"/>
          <w:szCs w:val="24"/>
        </w:rPr>
        <w:t>&gt;&gt;</w:t>
      </w:r>
      <w:r w:rsidRPr="00050185">
        <w:rPr>
          <w:rStyle w:val="Refdenotaalpie"/>
          <w:sz w:val="24"/>
          <w:szCs w:val="24"/>
        </w:rPr>
        <w:footnoteReference w:id="9"/>
      </w:r>
    </w:p>
    <w:p w:rsidR="001300B2" w:rsidRDefault="001300B2" w:rsidP="00050185">
      <w:pPr>
        <w:spacing w:line="360" w:lineRule="auto"/>
        <w:jc w:val="both"/>
        <w:rPr>
          <w:sz w:val="24"/>
          <w:szCs w:val="24"/>
        </w:rPr>
      </w:pPr>
    </w:p>
    <w:p w:rsidR="00050185" w:rsidRDefault="004E402A" w:rsidP="00050185">
      <w:pPr>
        <w:spacing w:line="360" w:lineRule="auto"/>
        <w:jc w:val="both"/>
        <w:rPr>
          <w:sz w:val="24"/>
          <w:szCs w:val="24"/>
        </w:rPr>
      </w:pPr>
      <w:r>
        <w:rPr>
          <w:sz w:val="24"/>
          <w:szCs w:val="24"/>
        </w:rPr>
        <w:lastRenderedPageBreak/>
        <w:t xml:space="preserve">El “Bien jurídico protegido” </w:t>
      </w:r>
      <w:r w:rsidR="00050185" w:rsidRPr="00050185">
        <w:rPr>
          <w:sz w:val="24"/>
          <w:szCs w:val="24"/>
        </w:rPr>
        <w:t xml:space="preserve">del </w:t>
      </w:r>
      <w:r w:rsidR="00F45A56">
        <w:rPr>
          <w:sz w:val="24"/>
          <w:szCs w:val="24"/>
        </w:rPr>
        <w:t>delito de hurto es la propiedad</w:t>
      </w:r>
      <w:r w:rsidR="00050185" w:rsidRPr="00050185">
        <w:rPr>
          <w:sz w:val="24"/>
          <w:szCs w:val="24"/>
        </w:rPr>
        <w:t xml:space="preserve">, </w:t>
      </w:r>
      <w:r w:rsidR="00AB55AD">
        <w:rPr>
          <w:sz w:val="24"/>
          <w:szCs w:val="24"/>
        </w:rPr>
        <w:t>es decir</w:t>
      </w:r>
      <w:r w:rsidR="00050185" w:rsidRPr="00050185">
        <w:rPr>
          <w:sz w:val="24"/>
          <w:szCs w:val="24"/>
        </w:rPr>
        <w:t>, el derecho que el dueño tiene sobre su patrimonio y el uso y disfrute de sus bienes muebles</w:t>
      </w:r>
      <w:r w:rsidR="00F45A56">
        <w:rPr>
          <w:sz w:val="24"/>
          <w:szCs w:val="24"/>
        </w:rPr>
        <w:t>.</w:t>
      </w:r>
      <w:r w:rsidR="00050185" w:rsidRPr="00050185">
        <w:rPr>
          <w:rStyle w:val="Refdenotaalpie"/>
          <w:sz w:val="24"/>
          <w:szCs w:val="24"/>
        </w:rPr>
        <w:footnoteReference w:id="10"/>
      </w:r>
    </w:p>
    <w:p w:rsidR="000B44EE" w:rsidRPr="00050185" w:rsidRDefault="000B44EE" w:rsidP="00050185">
      <w:pPr>
        <w:spacing w:line="360" w:lineRule="auto"/>
        <w:jc w:val="both"/>
        <w:rPr>
          <w:sz w:val="24"/>
          <w:szCs w:val="24"/>
        </w:rPr>
      </w:pPr>
    </w:p>
    <w:p w:rsidR="00050185" w:rsidRPr="00050185" w:rsidRDefault="00050185" w:rsidP="00050185">
      <w:pPr>
        <w:spacing w:line="360" w:lineRule="auto"/>
        <w:jc w:val="both"/>
        <w:rPr>
          <w:i/>
          <w:sz w:val="24"/>
          <w:szCs w:val="24"/>
        </w:rPr>
      </w:pPr>
      <w:r w:rsidRPr="00050185">
        <w:rPr>
          <w:sz w:val="24"/>
          <w:szCs w:val="24"/>
        </w:rPr>
        <w:t xml:space="preserve">El objeto material, sin embargo es la “cosa mueble ajena”, tal y como establece </w:t>
      </w:r>
      <w:r w:rsidRPr="00050185">
        <w:rPr>
          <w:b/>
          <w:sz w:val="24"/>
          <w:szCs w:val="24"/>
        </w:rPr>
        <w:t>Serrano Gómez</w:t>
      </w:r>
      <w:r w:rsidRPr="00050185">
        <w:rPr>
          <w:sz w:val="24"/>
          <w:szCs w:val="24"/>
        </w:rPr>
        <w:t>: &lt;&lt;</w:t>
      </w:r>
      <w:r w:rsidRPr="00050185">
        <w:rPr>
          <w:i/>
          <w:sz w:val="24"/>
          <w:szCs w:val="24"/>
        </w:rPr>
        <w:t xml:space="preserve">El concepto de cosa mueble es normativo y funcional ya que no coincide exactamente con la regulación del </w:t>
      </w:r>
      <w:r w:rsidR="00100A16" w:rsidRPr="00050185">
        <w:rPr>
          <w:i/>
          <w:sz w:val="24"/>
          <w:szCs w:val="24"/>
        </w:rPr>
        <w:t>Código</w:t>
      </w:r>
      <w:r w:rsidRPr="00050185">
        <w:rPr>
          <w:i/>
          <w:sz w:val="24"/>
          <w:szCs w:val="24"/>
        </w:rPr>
        <w:t xml:space="preserve"> Civil (artículos 335 y 336 CC), y ello en un doble sentido, ya que de una parte existen cosas que, siendo inmuebles civilmente, han de considerarse muebles a efectos penales, mientras que de otra, no todas las cosas declaradas muebles por el Derecho Civil son susceptibles de </w:t>
      </w:r>
      <w:r w:rsidR="00100A16" w:rsidRPr="00050185">
        <w:rPr>
          <w:i/>
          <w:sz w:val="24"/>
          <w:szCs w:val="24"/>
        </w:rPr>
        <w:t>hurto</w:t>
      </w:r>
      <w:r w:rsidRPr="00050185">
        <w:rPr>
          <w:i/>
          <w:sz w:val="24"/>
          <w:szCs w:val="24"/>
        </w:rPr>
        <w:t xml:space="preserve">, pues solo es susceptible de hurto lo que sea aprehensible, transportable y valorable. A efectos penales, cosa mueble es todo objeto corporal susceptible de apropiación y cuantificable económicamente. Se excluyen cosas cuyo valor jurídico </w:t>
      </w:r>
      <w:r w:rsidR="00100A16" w:rsidRPr="00050185">
        <w:rPr>
          <w:i/>
          <w:sz w:val="24"/>
          <w:szCs w:val="24"/>
        </w:rPr>
        <w:t>está</w:t>
      </w:r>
      <w:r w:rsidRPr="00050185">
        <w:rPr>
          <w:i/>
          <w:sz w:val="24"/>
          <w:szCs w:val="24"/>
        </w:rPr>
        <w:t xml:space="preserve"> por encima de su estimación económica y que son objeto de otros delitos (por ejemplo: correspondencia, documentos, fluido eléctrico, </w:t>
      </w:r>
      <w:r w:rsidR="00100A16" w:rsidRPr="00050185">
        <w:rPr>
          <w:i/>
          <w:sz w:val="24"/>
          <w:szCs w:val="24"/>
        </w:rPr>
        <w:t>etc.</w:t>
      </w:r>
      <w:r w:rsidRPr="00050185">
        <w:rPr>
          <w:i/>
          <w:sz w:val="24"/>
          <w:szCs w:val="24"/>
        </w:rPr>
        <w:t xml:space="preserve">). Por el contrario si se incluyen cosas que no son civilmente muebles (títulos valores, cheques, </w:t>
      </w:r>
      <w:r w:rsidR="00100A16" w:rsidRPr="00050185">
        <w:rPr>
          <w:i/>
          <w:sz w:val="24"/>
          <w:szCs w:val="24"/>
        </w:rPr>
        <w:t>etc.</w:t>
      </w:r>
      <w:r w:rsidRPr="00050185">
        <w:rPr>
          <w:i/>
          <w:sz w:val="24"/>
          <w:szCs w:val="24"/>
        </w:rPr>
        <w:t>).&gt;&gt;</w:t>
      </w:r>
      <w:r w:rsidRPr="00050185">
        <w:rPr>
          <w:rStyle w:val="Refdenotaalpie"/>
          <w:i/>
          <w:sz w:val="24"/>
          <w:szCs w:val="24"/>
        </w:rPr>
        <w:footnoteReference w:id="11"/>
      </w:r>
    </w:p>
    <w:p w:rsidR="000B44EE" w:rsidRDefault="000B44EE" w:rsidP="00050185">
      <w:pPr>
        <w:spacing w:line="360" w:lineRule="auto"/>
        <w:jc w:val="both"/>
        <w:rPr>
          <w:sz w:val="24"/>
          <w:szCs w:val="24"/>
        </w:rPr>
      </w:pPr>
    </w:p>
    <w:p w:rsidR="00050185" w:rsidRDefault="00AB55AD" w:rsidP="00050185">
      <w:pPr>
        <w:spacing w:line="360" w:lineRule="auto"/>
        <w:jc w:val="both"/>
        <w:rPr>
          <w:sz w:val="24"/>
          <w:szCs w:val="24"/>
        </w:rPr>
      </w:pPr>
      <w:r>
        <w:rPr>
          <w:sz w:val="24"/>
          <w:szCs w:val="24"/>
        </w:rPr>
        <w:t>Por tanto, la “cosa mueble ajena” es el objeto material del delito de hurto,</w:t>
      </w:r>
      <w:r w:rsidR="00050185" w:rsidRPr="00050185">
        <w:rPr>
          <w:sz w:val="24"/>
          <w:szCs w:val="24"/>
        </w:rPr>
        <w:t xml:space="preserve"> tal y como observamos en el anterior párrafo. Podemos extraer  del concepto de “cosa mueble ajena”, todo objeto del mundo exterior, dotado de corporeidad, susceptible de </w:t>
      </w:r>
      <w:r w:rsidR="00100A16" w:rsidRPr="00050185">
        <w:rPr>
          <w:sz w:val="24"/>
          <w:szCs w:val="24"/>
        </w:rPr>
        <w:t>apropiación</w:t>
      </w:r>
      <w:r w:rsidR="00100A16">
        <w:rPr>
          <w:sz w:val="24"/>
          <w:szCs w:val="24"/>
        </w:rPr>
        <w:t xml:space="preserve"> </w:t>
      </w:r>
      <w:r w:rsidR="00100A16" w:rsidRPr="00050185">
        <w:rPr>
          <w:sz w:val="24"/>
          <w:szCs w:val="24"/>
        </w:rPr>
        <w:t>y</w:t>
      </w:r>
      <w:r w:rsidR="00100A16">
        <w:rPr>
          <w:sz w:val="24"/>
          <w:szCs w:val="24"/>
        </w:rPr>
        <w:t xml:space="preserve"> </w:t>
      </w:r>
      <w:r w:rsidR="00100A16" w:rsidRPr="00050185">
        <w:rPr>
          <w:sz w:val="24"/>
          <w:szCs w:val="24"/>
        </w:rPr>
        <w:t>desplazamiento</w:t>
      </w:r>
      <w:r w:rsidR="00050185" w:rsidRPr="00050185">
        <w:rPr>
          <w:sz w:val="24"/>
          <w:szCs w:val="24"/>
        </w:rPr>
        <w:t xml:space="preserve"> y que tenga valor económico. Las cosas fuera de comercio también pueden ser consideradas objeto de este delito. La cosa, al ser ajena, debe de tener la ausencia del  consentimiento del dueño, ya que de no ser así, y por el contrario, se tiene la aprobación del dueño la conducta no </w:t>
      </w:r>
      <w:r w:rsidR="00100A16" w:rsidRPr="00050185">
        <w:rPr>
          <w:sz w:val="24"/>
          <w:szCs w:val="24"/>
        </w:rPr>
        <w:t>sería</w:t>
      </w:r>
      <w:r w:rsidR="00050185" w:rsidRPr="00050185">
        <w:rPr>
          <w:sz w:val="24"/>
          <w:szCs w:val="24"/>
        </w:rPr>
        <w:t xml:space="preserve"> contraria a derecho, sino que </w:t>
      </w:r>
      <w:r w:rsidR="00100A16" w:rsidRPr="00050185">
        <w:rPr>
          <w:sz w:val="24"/>
          <w:szCs w:val="24"/>
        </w:rPr>
        <w:t>sería</w:t>
      </w:r>
      <w:r w:rsidR="00050185" w:rsidRPr="00050185">
        <w:rPr>
          <w:sz w:val="24"/>
          <w:szCs w:val="24"/>
        </w:rPr>
        <w:t xml:space="preserve"> atípica.</w:t>
      </w:r>
      <w:r w:rsidR="00F45A56">
        <w:rPr>
          <w:rStyle w:val="Refdenotaalpie"/>
          <w:sz w:val="24"/>
          <w:szCs w:val="24"/>
        </w:rPr>
        <w:footnoteReference w:id="12"/>
      </w:r>
    </w:p>
    <w:p w:rsidR="00050CBB" w:rsidRPr="00050185" w:rsidRDefault="00050CBB"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Para </w:t>
      </w:r>
      <w:r w:rsidRPr="00050185">
        <w:rPr>
          <w:b/>
          <w:sz w:val="24"/>
          <w:szCs w:val="24"/>
        </w:rPr>
        <w:t>Muñoz Conde</w:t>
      </w:r>
      <w:r w:rsidRPr="00050185">
        <w:rPr>
          <w:sz w:val="24"/>
          <w:szCs w:val="24"/>
        </w:rPr>
        <w:t>: &lt;&lt;</w:t>
      </w:r>
      <w:r w:rsidRPr="00050185">
        <w:rPr>
          <w:i/>
          <w:sz w:val="24"/>
          <w:szCs w:val="24"/>
        </w:rPr>
        <w:t>El objeto material de un delito patrimonial solo pueden serlo aquellos bienes dotados de valor económico</w:t>
      </w:r>
      <w:proofErr w:type="gramStart"/>
      <w:r w:rsidRPr="00050185">
        <w:rPr>
          <w:i/>
          <w:sz w:val="24"/>
          <w:szCs w:val="24"/>
        </w:rPr>
        <w:t>.</w:t>
      </w:r>
      <w:r w:rsidRPr="00050185">
        <w:rPr>
          <w:sz w:val="24"/>
          <w:szCs w:val="24"/>
        </w:rPr>
        <w:t>&gt;</w:t>
      </w:r>
      <w:proofErr w:type="gramEnd"/>
      <w:r w:rsidRPr="00050185">
        <w:rPr>
          <w:sz w:val="24"/>
          <w:szCs w:val="24"/>
        </w:rPr>
        <w:t>&gt;</w:t>
      </w:r>
      <w:r w:rsidRPr="00050185">
        <w:rPr>
          <w:rStyle w:val="Refdenotaalpie"/>
          <w:sz w:val="24"/>
          <w:szCs w:val="24"/>
        </w:rPr>
        <w:footnoteReference w:id="13"/>
      </w:r>
    </w:p>
    <w:p w:rsidR="00675BE9" w:rsidRDefault="00050185" w:rsidP="00050185">
      <w:pPr>
        <w:spacing w:line="360" w:lineRule="auto"/>
        <w:jc w:val="both"/>
        <w:rPr>
          <w:sz w:val="24"/>
          <w:szCs w:val="24"/>
        </w:rPr>
      </w:pPr>
      <w:r w:rsidRPr="00050185">
        <w:rPr>
          <w:sz w:val="24"/>
          <w:szCs w:val="24"/>
        </w:rPr>
        <w:lastRenderedPageBreak/>
        <w:t xml:space="preserve">Respecto a esta ajenidad del mueble, establece el autor </w:t>
      </w:r>
      <w:r w:rsidRPr="00050185">
        <w:rPr>
          <w:b/>
          <w:sz w:val="24"/>
          <w:szCs w:val="24"/>
        </w:rPr>
        <w:t xml:space="preserve">Serrano </w:t>
      </w:r>
      <w:r w:rsidR="00100A16" w:rsidRPr="00050185">
        <w:rPr>
          <w:b/>
          <w:sz w:val="24"/>
          <w:szCs w:val="24"/>
        </w:rPr>
        <w:t>Maíllo</w:t>
      </w:r>
      <w:r w:rsidRPr="00050185">
        <w:rPr>
          <w:sz w:val="24"/>
          <w:szCs w:val="24"/>
        </w:rPr>
        <w:t>: &lt;&lt;</w:t>
      </w:r>
      <w:r w:rsidRPr="00050185">
        <w:rPr>
          <w:i/>
          <w:sz w:val="24"/>
          <w:szCs w:val="24"/>
        </w:rPr>
        <w:t xml:space="preserve">La ajenidad del mueble supone dos notas negativas: que no sea propia y que no sea susceptible de ocupación. Son susceptibles de ocupación (con matices): “Las res </w:t>
      </w:r>
      <w:proofErr w:type="spellStart"/>
      <w:r w:rsidRPr="00050185">
        <w:rPr>
          <w:i/>
          <w:sz w:val="24"/>
          <w:szCs w:val="24"/>
        </w:rPr>
        <w:t>derelictae</w:t>
      </w:r>
      <w:proofErr w:type="spellEnd"/>
      <w:r w:rsidRPr="00050185">
        <w:rPr>
          <w:i/>
          <w:sz w:val="24"/>
          <w:szCs w:val="24"/>
        </w:rPr>
        <w:t>” o cosas abandonadas (</w:t>
      </w:r>
      <w:r w:rsidR="00100A16" w:rsidRPr="00050185">
        <w:rPr>
          <w:i/>
          <w:sz w:val="24"/>
          <w:szCs w:val="24"/>
        </w:rPr>
        <w:t>artículo</w:t>
      </w:r>
      <w:r w:rsidRPr="00050185">
        <w:rPr>
          <w:i/>
          <w:sz w:val="24"/>
          <w:szCs w:val="24"/>
        </w:rPr>
        <w:t xml:space="preserve"> 460. 1 del </w:t>
      </w:r>
      <w:r w:rsidR="00100A16" w:rsidRPr="00050185">
        <w:rPr>
          <w:i/>
          <w:sz w:val="24"/>
          <w:szCs w:val="24"/>
        </w:rPr>
        <w:t>Código</w:t>
      </w:r>
      <w:r w:rsidRPr="00050185">
        <w:rPr>
          <w:i/>
          <w:sz w:val="24"/>
          <w:szCs w:val="24"/>
        </w:rPr>
        <w:t xml:space="preserve"> Civil); “las res </w:t>
      </w:r>
      <w:proofErr w:type="spellStart"/>
      <w:r w:rsidRPr="00050185">
        <w:rPr>
          <w:i/>
          <w:sz w:val="24"/>
          <w:szCs w:val="24"/>
        </w:rPr>
        <w:t>nullius</w:t>
      </w:r>
      <w:proofErr w:type="spellEnd"/>
      <w:r w:rsidRPr="00050185">
        <w:rPr>
          <w:i/>
          <w:sz w:val="24"/>
          <w:szCs w:val="24"/>
        </w:rPr>
        <w:t>” o cosas sin dueño (</w:t>
      </w:r>
      <w:r w:rsidR="00100A16" w:rsidRPr="00050185">
        <w:rPr>
          <w:i/>
          <w:sz w:val="24"/>
          <w:szCs w:val="24"/>
        </w:rPr>
        <w:t>artículo</w:t>
      </w:r>
      <w:r w:rsidRPr="00050185">
        <w:rPr>
          <w:i/>
          <w:sz w:val="24"/>
          <w:szCs w:val="24"/>
        </w:rPr>
        <w:t xml:space="preserve"> 610 </w:t>
      </w:r>
      <w:r w:rsidR="00100A16" w:rsidRPr="00050185">
        <w:rPr>
          <w:i/>
          <w:sz w:val="24"/>
          <w:szCs w:val="24"/>
        </w:rPr>
        <w:t>Código</w:t>
      </w:r>
      <w:r w:rsidRPr="00050185">
        <w:rPr>
          <w:i/>
          <w:sz w:val="24"/>
          <w:szCs w:val="24"/>
        </w:rPr>
        <w:t xml:space="preserve"> Civil) y “las res </w:t>
      </w:r>
      <w:proofErr w:type="spellStart"/>
      <w:r w:rsidRPr="00050185">
        <w:rPr>
          <w:i/>
          <w:sz w:val="24"/>
          <w:szCs w:val="24"/>
        </w:rPr>
        <w:t>conmunes</w:t>
      </w:r>
      <w:proofErr w:type="spellEnd"/>
      <w:r w:rsidRPr="00050185">
        <w:rPr>
          <w:i/>
          <w:sz w:val="24"/>
          <w:szCs w:val="24"/>
        </w:rPr>
        <w:t xml:space="preserve"> ómnium” o cosa de todos. En definitiva, basta que el sujeto activo no deba disponer del bien para que se satisfaga el elemento típico de la ajenidad</w:t>
      </w:r>
      <w:proofErr w:type="gramStart"/>
      <w:r w:rsidRPr="00050185">
        <w:rPr>
          <w:i/>
          <w:sz w:val="24"/>
          <w:szCs w:val="24"/>
        </w:rPr>
        <w:t>.</w:t>
      </w:r>
      <w:r w:rsidRPr="00050185">
        <w:rPr>
          <w:sz w:val="24"/>
          <w:szCs w:val="24"/>
        </w:rPr>
        <w:t>&gt;</w:t>
      </w:r>
      <w:proofErr w:type="gramEnd"/>
      <w:r w:rsidRPr="00050185">
        <w:rPr>
          <w:sz w:val="24"/>
          <w:szCs w:val="24"/>
        </w:rPr>
        <w:t>&gt;</w:t>
      </w:r>
      <w:r w:rsidR="00675BE9">
        <w:rPr>
          <w:sz w:val="24"/>
          <w:szCs w:val="24"/>
        </w:rPr>
        <w:t xml:space="preserve"> </w:t>
      </w:r>
    </w:p>
    <w:p w:rsidR="00050185" w:rsidRPr="00050185" w:rsidRDefault="00050185" w:rsidP="00050185">
      <w:pPr>
        <w:spacing w:line="360" w:lineRule="auto"/>
        <w:jc w:val="both"/>
        <w:rPr>
          <w:sz w:val="24"/>
          <w:szCs w:val="24"/>
        </w:rPr>
      </w:pPr>
      <w:r w:rsidRPr="00050185">
        <w:rPr>
          <w:sz w:val="24"/>
          <w:szCs w:val="24"/>
        </w:rPr>
        <w:t xml:space="preserve">Sin embargo, esta “ajenidad” de la cosa tiene algunas </w:t>
      </w:r>
      <w:r w:rsidR="00100A16" w:rsidRPr="00050185">
        <w:rPr>
          <w:sz w:val="24"/>
          <w:szCs w:val="24"/>
        </w:rPr>
        <w:t>especialidades. Se</w:t>
      </w:r>
      <w:r w:rsidRPr="00050185">
        <w:rPr>
          <w:sz w:val="24"/>
          <w:szCs w:val="24"/>
        </w:rPr>
        <w:t xml:space="preserve"> considera que no son cosas ajenas, las “”</w:t>
      </w:r>
      <w:proofErr w:type="spellStart"/>
      <w:r w:rsidRPr="00050185">
        <w:rPr>
          <w:sz w:val="24"/>
          <w:szCs w:val="24"/>
        </w:rPr>
        <w:t>nullius</w:t>
      </w:r>
      <w:proofErr w:type="spellEnd"/>
      <w:r w:rsidRPr="00050185">
        <w:rPr>
          <w:sz w:val="24"/>
          <w:szCs w:val="24"/>
        </w:rPr>
        <w:t>”, que no tienen dueño y, por lo tanto, cualquier persona se puede apropiar de ellas, al igual que las cosas abandonadas.</w:t>
      </w:r>
      <w:r w:rsidR="00675BE9" w:rsidRPr="00675BE9">
        <w:rPr>
          <w:sz w:val="24"/>
          <w:szCs w:val="24"/>
          <w:vertAlign w:val="superscript"/>
        </w:rPr>
        <w:t xml:space="preserve"> </w:t>
      </w:r>
      <w:r w:rsidR="00675BE9" w:rsidRPr="00675BE9">
        <w:rPr>
          <w:sz w:val="24"/>
          <w:szCs w:val="24"/>
          <w:vertAlign w:val="superscript"/>
        </w:rPr>
        <w:footnoteReference w:id="14"/>
      </w:r>
    </w:p>
    <w:p w:rsidR="000B44EE" w:rsidRDefault="000B44EE" w:rsidP="00050185">
      <w:pPr>
        <w:spacing w:line="360" w:lineRule="auto"/>
        <w:jc w:val="both"/>
        <w:rPr>
          <w:sz w:val="24"/>
          <w:szCs w:val="24"/>
        </w:rPr>
      </w:pPr>
    </w:p>
    <w:p w:rsidR="00050185" w:rsidRDefault="00050185" w:rsidP="00050185">
      <w:pPr>
        <w:spacing w:line="360" w:lineRule="auto"/>
        <w:jc w:val="both"/>
        <w:rPr>
          <w:sz w:val="24"/>
          <w:szCs w:val="24"/>
        </w:rPr>
      </w:pPr>
      <w:r w:rsidRPr="00050185">
        <w:rPr>
          <w:sz w:val="24"/>
          <w:szCs w:val="24"/>
        </w:rPr>
        <w:t xml:space="preserve">Por otro lado, si nos encontramos con una cosa que aparentemente no tiene dueño o que está perdida y nos apropiamos de ella de manera ilegal, estaríamos, no ante un delito de hurto del articulo 234 CP, sino ante un delito de apropiación indebida del articulo 253 y 254 del </w:t>
      </w:r>
      <w:r w:rsidR="00100A16" w:rsidRPr="00050185">
        <w:rPr>
          <w:sz w:val="24"/>
          <w:szCs w:val="24"/>
        </w:rPr>
        <w:t>Código</w:t>
      </w:r>
      <w:r w:rsidRPr="00050185">
        <w:rPr>
          <w:sz w:val="24"/>
          <w:szCs w:val="24"/>
        </w:rPr>
        <w:t xml:space="preserve"> Penal.</w:t>
      </w:r>
      <w:r w:rsidRPr="00050185">
        <w:rPr>
          <w:rStyle w:val="Refdenotaalpie"/>
          <w:sz w:val="24"/>
          <w:szCs w:val="24"/>
        </w:rPr>
        <w:footnoteReference w:id="15"/>
      </w:r>
    </w:p>
    <w:p w:rsidR="00675BE9" w:rsidRPr="00050185" w:rsidRDefault="00675BE9"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Según el </w:t>
      </w:r>
      <w:r w:rsidRPr="00050185">
        <w:rPr>
          <w:b/>
          <w:sz w:val="24"/>
          <w:szCs w:val="24"/>
        </w:rPr>
        <w:t xml:space="preserve">Artículo 236 del </w:t>
      </w:r>
      <w:r w:rsidR="00100A16" w:rsidRPr="00050185">
        <w:rPr>
          <w:b/>
          <w:sz w:val="24"/>
          <w:szCs w:val="24"/>
        </w:rPr>
        <w:t>Código</w:t>
      </w:r>
      <w:r w:rsidRPr="00050185">
        <w:rPr>
          <w:b/>
          <w:sz w:val="24"/>
          <w:szCs w:val="24"/>
        </w:rPr>
        <w:t xml:space="preserve"> Penal</w:t>
      </w:r>
      <w:r w:rsidRPr="00050185">
        <w:rPr>
          <w:rStyle w:val="Refdenotaalpie"/>
          <w:b/>
          <w:sz w:val="24"/>
          <w:szCs w:val="24"/>
        </w:rPr>
        <w:footnoteReference w:id="16"/>
      </w:r>
      <w:r w:rsidRPr="00050185">
        <w:rPr>
          <w:sz w:val="24"/>
          <w:szCs w:val="24"/>
        </w:rPr>
        <w:t xml:space="preserve">, cualquier persona puede cometer el delito de hurto, salvo que la persona que lo comete sea el propio dueño de la cosa sustraída, ya que no se considera que esté cometiendo un delito si la cosa es suya, por lo que no </w:t>
      </w:r>
      <w:r w:rsidRPr="00050185">
        <w:rPr>
          <w:sz w:val="24"/>
          <w:szCs w:val="24"/>
        </w:rPr>
        <w:lastRenderedPageBreak/>
        <w:t xml:space="preserve">habría conducta alguna que castigar. </w:t>
      </w:r>
      <w:r w:rsidR="00100A16" w:rsidRPr="00050185">
        <w:rPr>
          <w:sz w:val="24"/>
          <w:szCs w:val="24"/>
        </w:rPr>
        <w:t>Pero hay algunas excepciones, como son las que establece el artículo 236 CP, en estos casos se castiga el “</w:t>
      </w:r>
      <w:proofErr w:type="spellStart"/>
      <w:r w:rsidR="00100A16" w:rsidRPr="00B645B7">
        <w:rPr>
          <w:i/>
          <w:sz w:val="24"/>
          <w:szCs w:val="24"/>
        </w:rPr>
        <w:t>Furtum</w:t>
      </w:r>
      <w:proofErr w:type="spellEnd"/>
      <w:r w:rsidR="00100A16" w:rsidRPr="00B645B7">
        <w:rPr>
          <w:i/>
          <w:sz w:val="24"/>
          <w:szCs w:val="24"/>
        </w:rPr>
        <w:t xml:space="preserve"> </w:t>
      </w:r>
      <w:proofErr w:type="spellStart"/>
      <w:r w:rsidR="00100A16" w:rsidRPr="00B645B7">
        <w:rPr>
          <w:i/>
          <w:sz w:val="24"/>
          <w:szCs w:val="24"/>
        </w:rPr>
        <w:t>possesionis</w:t>
      </w:r>
      <w:proofErr w:type="spellEnd"/>
      <w:r w:rsidR="00100A16" w:rsidRPr="00050185">
        <w:rPr>
          <w:sz w:val="24"/>
          <w:szCs w:val="24"/>
        </w:rPr>
        <w:t>”, ya que  se puede castigar al</w:t>
      </w:r>
      <w:r w:rsidR="00775BEF">
        <w:rPr>
          <w:sz w:val="24"/>
          <w:szCs w:val="24"/>
        </w:rPr>
        <w:t xml:space="preserve"> propio</w:t>
      </w:r>
      <w:r w:rsidR="00100A16" w:rsidRPr="00050185">
        <w:rPr>
          <w:sz w:val="24"/>
          <w:szCs w:val="24"/>
        </w:rPr>
        <w:t xml:space="preserve"> pro</w:t>
      </w:r>
      <w:r w:rsidR="00775BEF">
        <w:rPr>
          <w:sz w:val="24"/>
          <w:szCs w:val="24"/>
        </w:rPr>
        <w:t>pietario de una cosa si se la arrebata a</w:t>
      </w:r>
      <w:r w:rsidR="00100A16" w:rsidRPr="00050185">
        <w:rPr>
          <w:sz w:val="24"/>
          <w:szCs w:val="24"/>
        </w:rPr>
        <w:t xml:space="preserve"> quien la tiene legítimamente en su poder, es decir, qui</w:t>
      </w:r>
      <w:r w:rsidR="00775BEF">
        <w:rPr>
          <w:sz w:val="24"/>
          <w:szCs w:val="24"/>
        </w:rPr>
        <w:t>en actualmente sea el</w:t>
      </w:r>
      <w:r w:rsidR="00100A16" w:rsidRPr="00050185">
        <w:rPr>
          <w:sz w:val="24"/>
          <w:szCs w:val="24"/>
        </w:rPr>
        <w:t xml:space="preserve"> poseedor de la cosa mueble. </w:t>
      </w:r>
      <w:r w:rsidRPr="00050185">
        <w:rPr>
          <w:sz w:val="24"/>
          <w:szCs w:val="24"/>
        </w:rPr>
        <w:t xml:space="preserve">Por ello, en estos supuestos se </w:t>
      </w:r>
      <w:r w:rsidR="00100A16" w:rsidRPr="00050185">
        <w:rPr>
          <w:sz w:val="24"/>
          <w:szCs w:val="24"/>
        </w:rPr>
        <w:t>protegería</w:t>
      </w:r>
      <w:r w:rsidRPr="00050185">
        <w:rPr>
          <w:sz w:val="24"/>
          <w:szCs w:val="24"/>
        </w:rPr>
        <w:t xml:space="preserve"> al poseedor legítimo </w:t>
      </w:r>
      <w:r w:rsidR="00775BEF">
        <w:rPr>
          <w:sz w:val="24"/>
          <w:szCs w:val="24"/>
        </w:rPr>
        <w:t xml:space="preserve">que prevalece sobre </w:t>
      </w:r>
      <w:r w:rsidRPr="00050185">
        <w:rPr>
          <w:sz w:val="24"/>
          <w:szCs w:val="24"/>
        </w:rPr>
        <w:t>el titular de la cosa.</w:t>
      </w:r>
      <w:r w:rsidRPr="00050185">
        <w:rPr>
          <w:rStyle w:val="Refdenotaalpie"/>
          <w:sz w:val="24"/>
          <w:szCs w:val="24"/>
        </w:rPr>
        <w:footnoteReference w:id="17"/>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En este caso en concreto, dentro de este tipo de hurto, el bien jurídico protegido es la </w:t>
      </w:r>
      <w:r w:rsidR="00100A16" w:rsidRPr="00050185">
        <w:rPr>
          <w:sz w:val="24"/>
          <w:szCs w:val="24"/>
        </w:rPr>
        <w:t>legítima</w:t>
      </w:r>
      <w:r w:rsidRPr="00050185">
        <w:rPr>
          <w:sz w:val="24"/>
          <w:szCs w:val="24"/>
        </w:rPr>
        <w:t xml:space="preserve"> posesión</w:t>
      </w:r>
      <w:r w:rsidR="00B645B7">
        <w:rPr>
          <w:sz w:val="24"/>
          <w:szCs w:val="24"/>
        </w:rPr>
        <w:t xml:space="preserve"> y no la propiedad como hemos visto anteriormente.</w:t>
      </w:r>
      <w:r w:rsidRPr="00050185">
        <w:rPr>
          <w:rStyle w:val="Refdenotaalpie"/>
          <w:sz w:val="24"/>
          <w:szCs w:val="24"/>
        </w:rPr>
        <w:footnoteReference w:id="18"/>
      </w:r>
      <w:r w:rsidRPr="00050185">
        <w:rPr>
          <w:sz w:val="24"/>
          <w:szCs w:val="24"/>
        </w:rPr>
        <w:t xml:space="preserve"> </w:t>
      </w:r>
    </w:p>
    <w:p w:rsidR="000B44EE" w:rsidRDefault="000B44EE" w:rsidP="00050185">
      <w:pPr>
        <w:spacing w:line="360" w:lineRule="auto"/>
        <w:jc w:val="both"/>
        <w:rPr>
          <w:sz w:val="24"/>
          <w:szCs w:val="24"/>
        </w:rPr>
      </w:pPr>
    </w:p>
    <w:p w:rsidR="00050185" w:rsidRPr="00050185" w:rsidRDefault="00775BEF" w:rsidP="00050185">
      <w:pPr>
        <w:spacing w:line="360" w:lineRule="auto"/>
        <w:jc w:val="both"/>
        <w:rPr>
          <w:sz w:val="24"/>
          <w:szCs w:val="24"/>
        </w:rPr>
      </w:pPr>
      <w:r>
        <w:rPr>
          <w:sz w:val="24"/>
          <w:szCs w:val="24"/>
        </w:rPr>
        <w:t>Hay</w:t>
      </w:r>
      <w:r w:rsidR="00675BE9">
        <w:rPr>
          <w:sz w:val="24"/>
          <w:szCs w:val="24"/>
        </w:rPr>
        <w:t xml:space="preserve"> casos en los que</w:t>
      </w:r>
      <w:r w:rsidR="00675BE9" w:rsidRPr="00675BE9">
        <w:rPr>
          <w:sz w:val="24"/>
          <w:szCs w:val="24"/>
        </w:rPr>
        <w:t xml:space="preserve"> indirectamente res</w:t>
      </w:r>
      <w:r w:rsidR="00675BE9">
        <w:rPr>
          <w:sz w:val="24"/>
          <w:szCs w:val="24"/>
        </w:rPr>
        <w:t>ultará</w:t>
      </w:r>
      <w:r w:rsidR="00675BE9" w:rsidRPr="00675BE9">
        <w:rPr>
          <w:sz w:val="24"/>
          <w:szCs w:val="24"/>
        </w:rPr>
        <w:t xml:space="preserve"> lesionado el derecho de propiedad de alguien</w:t>
      </w:r>
      <w:r w:rsidR="00675BE9">
        <w:rPr>
          <w:sz w:val="24"/>
          <w:szCs w:val="24"/>
        </w:rPr>
        <w:t>,</w:t>
      </w:r>
      <w:r w:rsidR="00675BE9" w:rsidRPr="00675BE9">
        <w:rPr>
          <w:sz w:val="24"/>
          <w:szCs w:val="24"/>
        </w:rPr>
        <w:t xml:space="preserve"> </w:t>
      </w:r>
      <w:r>
        <w:rPr>
          <w:sz w:val="24"/>
          <w:szCs w:val="24"/>
        </w:rPr>
        <w:t xml:space="preserve">pero a pesar de esto, </w:t>
      </w:r>
      <w:r w:rsidR="00675BE9">
        <w:rPr>
          <w:sz w:val="24"/>
          <w:szCs w:val="24"/>
        </w:rPr>
        <w:t>a</w:t>
      </w:r>
      <w:r w:rsidR="00050185" w:rsidRPr="00050185">
        <w:rPr>
          <w:sz w:val="24"/>
          <w:szCs w:val="24"/>
        </w:rPr>
        <w:t xml:space="preserve">lgunos autores están </w:t>
      </w:r>
      <w:r w:rsidR="00100A16" w:rsidRPr="00050185">
        <w:rPr>
          <w:sz w:val="24"/>
          <w:szCs w:val="24"/>
        </w:rPr>
        <w:t>de acuerdo</w:t>
      </w:r>
      <w:r w:rsidR="00050185" w:rsidRPr="00050185">
        <w:rPr>
          <w:sz w:val="24"/>
          <w:szCs w:val="24"/>
        </w:rPr>
        <w:t xml:space="preserve"> en que el bien </w:t>
      </w:r>
      <w:r w:rsidR="00100A16" w:rsidRPr="00050185">
        <w:rPr>
          <w:sz w:val="24"/>
          <w:szCs w:val="24"/>
        </w:rPr>
        <w:t>jurídico</w:t>
      </w:r>
      <w:r w:rsidR="00050185" w:rsidRPr="00050185">
        <w:rPr>
          <w:sz w:val="24"/>
          <w:szCs w:val="24"/>
        </w:rPr>
        <w:t xml:space="preserve"> del delito de hurto </w:t>
      </w:r>
      <w:r>
        <w:rPr>
          <w:sz w:val="24"/>
          <w:szCs w:val="24"/>
        </w:rPr>
        <w:t>sea</w:t>
      </w:r>
      <w:r w:rsidR="00706022">
        <w:rPr>
          <w:sz w:val="24"/>
          <w:szCs w:val="24"/>
        </w:rPr>
        <w:t xml:space="preserve"> la posesión y no la propiedad</w:t>
      </w:r>
      <w:r w:rsidR="00050185" w:rsidRPr="00050185">
        <w:rPr>
          <w:sz w:val="24"/>
          <w:szCs w:val="24"/>
        </w:rPr>
        <w:t>.</w:t>
      </w:r>
      <w:r w:rsidR="00050185" w:rsidRPr="00050185">
        <w:rPr>
          <w:rStyle w:val="Refdenotaalpie"/>
          <w:sz w:val="24"/>
          <w:szCs w:val="24"/>
        </w:rPr>
        <w:footnoteReference w:id="19"/>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Por otro lado, tal y como establece </w:t>
      </w:r>
      <w:proofErr w:type="spellStart"/>
      <w:r w:rsidRPr="00050185">
        <w:rPr>
          <w:b/>
          <w:sz w:val="24"/>
          <w:szCs w:val="24"/>
        </w:rPr>
        <w:t>Lamarca</w:t>
      </w:r>
      <w:proofErr w:type="spellEnd"/>
      <w:r w:rsidRPr="00050185">
        <w:rPr>
          <w:b/>
          <w:sz w:val="24"/>
          <w:szCs w:val="24"/>
        </w:rPr>
        <w:t xml:space="preserve"> Pérez</w:t>
      </w:r>
      <w:r w:rsidRPr="00050185">
        <w:rPr>
          <w:sz w:val="24"/>
          <w:szCs w:val="24"/>
        </w:rPr>
        <w:t>: &lt;&lt;</w:t>
      </w:r>
      <w:r w:rsidRPr="00050185">
        <w:rPr>
          <w:i/>
          <w:sz w:val="24"/>
          <w:szCs w:val="24"/>
        </w:rPr>
        <w:t>La “acción típica” del delito de hurto viene definida por el verbo “tomar” y deberá recaer sobre el objeto del delito: las cosas muebles ajenas. Además de esto, la conducta requiere un desplazamiento posesorio de las cosas que se pretender sustraer, que vaya del sujeto pasivo al sujeto activo. Ahora bien, no es necesario que el autor coja por sí mismo la cosa, sino que este desplazamiento puede producirse mediante la utilización de algún medio que sirva para apoderarse de ella, como un instrumento que le sirva de ayuda, bien sea una persona, un aparato mecánico, un animal, un procedimiento químico, etc.</w:t>
      </w:r>
      <w:r w:rsidRPr="00050185">
        <w:rPr>
          <w:sz w:val="24"/>
          <w:szCs w:val="24"/>
        </w:rPr>
        <w:t>&gt;&gt;</w:t>
      </w:r>
      <w:r w:rsidRPr="00050185">
        <w:rPr>
          <w:rStyle w:val="Refdenotaalpie"/>
          <w:sz w:val="24"/>
          <w:szCs w:val="24"/>
        </w:rPr>
        <w:footnoteReference w:id="20"/>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Pero si por el contrario, el presunto autor del delito obtiene la autorización del dueño de los bienes, esto no se consideraría ilícito, y quedaría dentro de las causas de justificación </w:t>
      </w:r>
      <w:r w:rsidRPr="00050185">
        <w:rPr>
          <w:sz w:val="24"/>
          <w:szCs w:val="24"/>
        </w:rPr>
        <w:lastRenderedPageBreak/>
        <w:t xml:space="preserve">de la conducta </w:t>
      </w:r>
      <w:r w:rsidR="00100A16" w:rsidRPr="00050185">
        <w:rPr>
          <w:sz w:val="24"/>
          <w:szCs w:val="24"/>
        </w:rPr>
        <w:t>relativa</w:t>
      </w:r>
      <w:r w:rsidRPr="00050185">
        <w:rPr>
          <w:sz w:val="24"/>
          <w:szCs w:val="24"/>
        </w:rPr>
        <w:t xml:space="preserve"> al consentimiento, ya que, debe de cometerse la acción al margen de la aprobación del propietario. No </w:t>
      </w:r>
      <w:r w:rsidR="00100A16" w:rsidRPr="00050185">
        <w:rPr>
          <w:sz w:val="24"/>
          <w:szCs w:val="24"/>
        </w:rPr>
        <w:t>sería</w:t>
      </w:r>
      <w:r w:rsidRPr="00050185">
        <w:rPr>
          <w:sz w:val="24"/>
          <w:szCs w:val="24"/>
        </w:rPr>
        <w:t xml:space="preserve"> un supuesto de justificación, por ejemplo en el caso de la Sentencia del Tribunal Supremo, 10 de mayo de 2016, en la cual se castiga al sujeto como autor de un delito de hurto, porque sustrajo unos bienes a su dueño sin su consentimiento.</w:t>
      </w:r>
      <w:r w:rsidRPr="00050185">
        <w:rPr>
          <w:rStyle w:val="Refdenotaalpie"/>
          <w:sz w:val="24"/>
          <w:szCs w:val="24"/>
        </w:rPr>
        <w:footnoteReference w:id="21"/>
      </w:r>
    </w:p>
    <w:p w:rsidR="000B44EE" w:rsidRDefault="000B44EE" w:rsidP="00050185">
      <w:pPr>
        <w:spacing w:line="360" w:lineRule="auto"/>
        <w:jc w:val="both"/>
        <w:rPr>
          <w:sz w:val="24"/>
          <w:szCs w:val="24"/>
        </w:rPr>
      </w:pPr>
    </w:p>
    <w:p w:rsidR="001300B2" w:rsidRDefault="00050185" w:rsidP="00050185">
      <w:pPr>
        <w:spacing w:line="360" w:lineRule="auto"/>
        <w:jc w:val="both"/>
        <w:rPr>
          <w:sz w:val="24"/>
          <w:szCs w:val="24"/>
        </w:rPr>
      </w:pPr>
      <w:r w:rsidRPr="00050185">
        <w:rPr>
          <w:sz w:val="24"/>
          <w:szCs w:val="24"/>
        </w:rPr>
        <w:t xml:space="preserve">El consentimiento tiene mucha relevancia en el derecho penal. Pero tiene algunas notas características que debemos observar. </w:t>
      </w:r>
    </w:p>
    <w:p w:rsidR="00050185" w:rsidRPr="00050185" w:rsidRDefault="00050185" w:rsidP="00050185">
      <w:pPr>
        <w:spacing w:line="360" w:lineRule="auto"/>
        <w:jc w:val="both"/>
        <w:rPr>
          <w:sz w:val="24"/>
          <w:szCs w:val="24"/>
        </w:rPr>
      </w:pPr>
      <w:r w:rsidRPr="00050185">
        <w:rPr>
          <w:sz w:val="24"/>
          <w:szCs w:val="24"/>
        </w:rPr>
        <w:t xml:space="preserve">Tal y como establece </w:t>
      </w:r>
      <w:r w:rsidRPr="00050CBB">
        <w:rPr>
          <w:b/>
          <w:sz w:val="24"/>
          <w:szCs w:val="24"/>
        </w:rPr>
        <w:t>Cuello Contreras</w:t>
      </w:r>
      <w:r w:rsidRPr="00050185">
        <w:rPr>
          <w:rStyle w:val="Refdenotaalpie"/>
          <w:sz w:val="24"/>
          <w:szCs w:val="24"/>
        </w:rPr>
        <w:footnoteReference w:id="22"/>
      </w:r>
      <w:r w:rsidRPr="00050185">
        <w:rPr>
          <w:sz w:val="24"/>
          <w:szCs w:val="24"/>
        </w:rPr>
        <w:t xml:space="preserve">, hay algunos vicios en el consentimiento. Debemos de atender a tres </w:t>
      </w:r>
      <w:r w:rsidR="00100A16" w:rsidRPr="00050185">
        <w:rPr>
          <w:sz w:val="24"/>
          <w:szCs w:val="24"/>
        </w:rPr>
        <w:t>supuestos</w:t>
      </w:r>
      <w:r w:rsidRPr="00050185">
        <w:rPr>
          <w:sz w:val="24"/>
          <w:szCs w:val="24"/>
        </w:rPr>
        <w:t xml:space="preserve"> en los cuales el consentimiento ha estado viciado:</w:t>
      </w:r>
    </w:p>
    <w:p w:rsidR="00050185" w:rsidRPr="00050185" w:rsidRDefault="00050185" w:rsidP="00050185">
      <w:pPr>
        <w:pStyle w:val="Prrafodelista"/>
        <w:numPr>
          <w:ilvl w:val="0"/>
          <w:numId w:val="8"/>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Engaño: Si el titular del bien jurídico ha sido engañado el consentimiento es nulo. Pero este consentimiento no constituiría un delito de hurto sino un delito de estafa (recogido en los Artículos 248 a 251 bis</w:t>
      </w:r>
      <w:r w:rsidR="0066634B">
        <w:rPr>
          <w:rFonts w:ascii="Times New Roman" w:hAnsi="Times New Roman" w:cs="Times New Roman"/>
          <w:sz w:val="24"/>
          <w:szCs w:val="24"/>
        </w:rPr>
        <w:t xml:space="preserve"> CP</w:t>
      </w:r>
      <w:r w:rsidRPr="00050185">
        <w:rPr>
          <w:rFonts w:ascii="Times New Roman" w:hAnsi="Times New Roman" w:cs="Times New Roman"/>
          <w:sz w:val="24"/>
          <w:szCs w:val="24"/>
        </w:rPr>
        <w:t>).</w:t>
      </w:r>
      <w:r w:rsidRPr="00050185">
        <w:rPr>
          <w:rFonts w:ascii="Times New Roman" w:hAnsi="Times New Roman" w:cs="Times New Roman"/>
          <w:sz w:val="24"/>
          <w:szCs w:val="24"/>
          <w:vertAlign w:val="superscript"/>
        </w:rPr>
        <w:footnoteReference w:id="23"/>
      </w:r>
    </w:p>
    <w:p w:rsidR="00050185" w:rsidRPr="00050185" w:rsidRDefault="00050185" w:rsidP="00050185">
      <w:pPr>
        <w:pStyle w:val="Prrafodelista"/>
        <w:spacing w:line="360" w:lineRule="auto"/>
        <w:ind w:left="780"/>
        <w:jc w:val="both"/>
        <w:rPr>
          <w:rFonts w:ascii="Times New Roman" w:hAnsi="Times New Roman" w:cs="Times New Roman"/>
          <w:sz w:val="24"/>
          <w:szCs w:val="24"/>
        </w:rPr>
      </w:pPr>
    </w:p>
    <w:p w:rsidR="00050185" w:rsidRPr="00050185" w:rsidRDefault="00050185" w:rsidP="00050185">
      <w:pPr>
        <w:pStyle w:val="Prrafodelista"/>
        <w:numPr>
          <w:ilvl w:val="0"/>
          <w:numId w:val="8"/>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Error: Cuando el titular ha consentido por error hay que distinguir:</w:t>
      </w:r>
    </w:p>
    <w:p w:rsidR="00050185" w:rsidRPr="00050185" w:rsidRDefault="00706022" w:rsidP="00050185">
      <w:pPr>
        <w:pStyle w:val="Prrafodelista"/>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consentimiento es irrelevante </w:t>
      </w:r>
      <w:r w:rsidR="007C12C9">
        <w:rPr>
          <w:rFonts w:ascii="Times New Roman" w:hAnsi="Times New Roman" w:cs="Times New Roman"/>
          <w:sz w:val="24"/>
          <w:szCs w:val="24"/>
        </w:rPr>
        <w:t>si</w:t>
      </w:r>
      <w:r w:rsidR="00050185" w:rsidRPr="00050185">
        <w:rPr>
          <w:rFonts w:ascii="Times New Roman" w:hAnsi="Times New Roman" w:cs="Times New Roman"/>
          <w:sz w:val="24"/>
          <w:szCs w:val="24"/>
        </w:rPr>
        <w:t xml:space="preserve"> el </w:t>
      </w:r>
      <w:r w:rsidR="007C12C9">
        <w:rPr>
          <w:rFonts w:ascii="Times New Roman" w:hAnsi="Times New Roman" w:cs="Times New Roman"/>
          <w:sz w:val="24"/>
          <w:szCs w:val="24"/>
        </w:rPr>
        <w:t>sujeto es consciente del error.</w:t>
      </w:r>
    </w:p>
    <w:p w:rsidR="00050185" w:rsidRPr="00050185" w:rsidRDefault="00050185" w:rsidP="00050185">
      <w:pPr>
        <w:pStyle w:val="Prrafodelista"/>
        <w:numPr>
          <w:ilvl w:val="0"/>
          <w:numId w:val="23"/>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En el caso de no conocer el error, seria relevante. </w:t>
      </w:r>
    </w:p>
    <w:p w:rsidR="00050185" w:rsidRPr="00050185" w:rsidRDefault="002C1C03" w:rsidP="00050185">
      <w:pPr>
        <w:pStyle w:val="Prrafodelista"/>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Si se produce</w:t>
      </w:r>
      <w:r w:rsidR="00050185" w:rsidRPr="00050185">
        <w:rPr>
          <w:rFonts w:ascii="Times New Roman" w:hAnsi="Times New Roman" w:cs="Times New Roman"/>
          <w:sz w:val="24"/>
          <w:szCs w:val="24"/>
        </w:rPr>
        <w:t xml:space="preserve"> un incumplimiento del deber de informar,</w:t>
      </w:r>
      <w:r>
        <w:rPr>
          <w:rFonts w:ascii="Times New Roman" w:hAnsi="Times New Roman" w:cs="Times New Roman"/>
          <w:sz w:val="24"/>
          <w:szCs w:val="24"/>
        </w:rPr>
        <w:t xml:space="preserve"> y por ello surge el error, éste </w:t>
      </w:r>
      <w:r w:rsidR="000B2604">
        <w:rPr>
          <w:rFonts w:ascii="Times New Roman" w:hAnsi="Times New Roman" w:cs="Times New Roman"/>
          <w:sz w:val="24"/>
          <w:szCs w:val="24"/>
        </w:rPr>
        <w:t>sería</w:t>
      </w:r>
      <w:r>
        <w:rPr>
          <w:rFonts w:ascii="Times New Roman" w:hAnsi="Times New Roman" w:cs="Times New Roman"/>
          <w:sz w:val="24"/>
          <w:szCs w:val="24"/>
        </w:rPr>
        <w:t xml:space="preserve"> </w:t>
      </w:r>
      <w:r w:rsidR="00050185" w:rsidRPr="00050185">
        <w:rPr>
          <w:rFonts w:ascii="Times New Roman" w:hAnsi="Times New Roman" w:cs="Times New Roman"/>
          <w:sz w:val="24"/>
          <w:szCs w:val="24"/>
        </w:rPr>
        <w:t>irrelevante.</w:t>
      </w:r>
    </w:p>
    <w:p w:rsidR="00050185" w:rsidRPr="00050185" w:rsidRDefault="00050185" w:rsidP="00050185">
      <w:pPr>
        <w:pStyle w:val="Prrafodelista"/>
        <w:numPr>
          <w:ilvl w:val="0"/>
          <w:numId w:val="23"/>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Amenaza o coacción: El consentimiento obtenido por </w:t>
      </w:r>
      <w:r w:rsidR="00100A16" w:rsidRPr="00050185">
        <w:rPr>
          <w:rFonts w:ascii="Times New Roman" w:hAnsi="Times New Roman" w:cs="Times New Roman"/>
          <w:sz w:val="24"/>
          <w:szCs w:val="24"/>
        </w:rPr>
        <w:t>coacción</w:t>
      </w:r>
      <w:r w:rsidRPr="00050185">
        <w:rPr>
          <w:rFonts w:ascii="Times New Roman" w:hAnsi="Times New Roman" w:cs="Times New Roman"/>
          <w:sz w:val="24"/>
          <w:szCs w:val="24"/>
        </w:rPr>
        <w:t xml:space="preserve"> es irrelevante.</w:t>
      </w:r>
    </w:p>
    <w:p w:rsidR="00050185" w:rsidRPr="00050185" w:rsidRDefault="00050185" w:rsidP="00050185">
      <w:pPr>
        <w:pStyle w:val="Prrafodelista"/>
        <w:spacing w:line="360" w:lineRule="auto"/>
        <w:ind w:left="1560"/>
        <w:jc w:val="both"/>
        <w:rPr>
          <w:rFonts w:ascii="Times New Roman" w:hAnsi="Times New Roman" w:cs="Times New Roman"/>
          <w:sz w:val="24"/>
          <w:szCs w:val="24"/>
        </w:rPr>
      </w:pPr>
    </w:p>
    <w:p w:rsidR="00050185" w:rsidRPr="00050185" w:rsidRDefault="00050185" w:rsidP="00050185">
      <w:pPr>
        <w:pStyle w:val="Prrafodelista"/>
        <w:numPr>
          <w:ilvl w:val="0"/>
          <w:numId w:val="8"/>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En el supuesto en el que una persona cree que el titular</w:t>
      </w:r>
      <w:r w:rsidR="007C12C9">
        <w:rPr>
          <w:rFonts w:ascii="Times New Roman" w:hAnsi="Times New Roman" w:cs="Times New Roman"/>
          <w:sz w:val="24"/>
          <w:szCs w:val="24"/>
        </w:rPr>
        <w:t xml:space="preserve"> consintió pero en realidad</w:t>
      </w:r>
      <w:r w:rsidRPr="00050185">
        <w:rPr>
          <w:rFonts w:ascii="Times New Roman" w:hAnsi="Times New Roman" w:cs="Times New Roman"/>
          <w:sz w:val="24"/>
          <w:szCs w:val="24"/>
        </w:rPr>
        <w:t xml:space="preserve"> no lo hizo. Esto no lo exime de  responsabilidad penal, ya que antes de realizar la conducta debería de haberlo comprobado con certeza.</w:t>
      </w:r>
    </w:p>
    <w:p w:rsidR="00050185" w:rsidRPr="00050185" w:rsidRDefault="00050185" w:rsidP="00050185">
      <w:pPr>
        <w:pStyle w:val="Prrafodelista"/>
        <w:spacing w:line="360" w:lineRule="auto"/>
        <w:ind w:left="780"/>
        <w:jc w:val="both"/>
        <w:rPr>
          <w:rFonts w:ascii="Times New Roman" w:hAnsi="Times New Roman" w:cs="Times New Roman"/>
          <w:sz w:val="24"/>
          <w:szCs w:val="24"/>
        </w:rPr>
      </w:pPr>
    </w:p>
    <w:p w:rsidR="00050185" w:rsidRPr="00050185" w:rsidRDefault="00050185" w:rsidP="00050185">
      <w:pPr>
        <w:pStyle w:val="Prrafodelista"/>
        <w:numPr>
          <w:ilvl w:val="0"/>
          <w:numId w:val="8"/>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lastRenderedPageBreak/>
        <w:t>El consentimiento de menores o incapaces es irrelevante y por lo tanto si hablaríamos del delito de hurto, a pesar de que ellos dieran su aprobación, ésta no sería considerada como válida.</w:t>
      </w:r>
    </w:p>
    <w:p w:rsidR="00050185" w:rsidRPr="00050CBB" w:rsidRDefault="00050185" w:rsidP="00050CBB">
      <w:pPr>
        <w:spacing w:line="360" w:lineRule="auto"/>
        <w:jc w:val="both"/>
        <w:rPr>
          <w:sz w:val="24"/>
          <w:szCs w:val="24"/>
        </w:rPr>
      </w:pPr>
    </w:p>
    <w:p w:rsidR="00050185" w:rsidRPr="00050185" w:rsidRDefault="00050185" w:rsidP="00050185">
      <w:pPr>
        <w:pStyle w:val="Prrafodelista"/>
        <w:numPr>
          <w:ilvl w:val="0"/>
          <w:numId w:val="8"/>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Si el consentimiento se obtiene utilizando violencia o intimidación se considera un delito de robo.</w:t>
      </w:r>
    </w:p>
    <w:p w:rsidR="00050185" w:rsidRPr="00050185" w:rsidRDefault="00050185" w:rsidP="00050185">
      <w:pPr>
        <w:pStyle w:val="Prrafodelista"/>
        <w:spacing w:line="360" w:lineRule="auto"/>
        <w:ind w:left="780"/>
        <w:jc w:val="both"/>
        <w:rPr>
          <w:rFonts w:ascii="Times New Roman" w:hAnsi="Times New Roman" w:cs="Times New Roman"/>
          <w:sz w:val="24"/>
          <w:szCs w:val="24"/>
        </w:rPr>
      </w:pPr>
    </w:p>
    <w:p w:rsidR="00050185" w:rsidRPr="00050185" w:rsidRDefault="00050185" w:rsidP="00050185">
      <w:pPr>
        <w:spacing w:line="360" w:lineRule="auto"/>
        <w:jc w:val="both"/>
        <w:rPr>
          <w:sz w:val="24"/>
          <w:szCs w:val="24"/>
        </w:rPr>
      </w:pPr>
      <w:r w:rsidRPr="00050185">
        <w:rPr>
          <w:sz w:val="24"/>
          <w:szCs w:val="24"/>
        </w:rPr>
        <w:t xml:space="preserve">Autores como </w:t>
      </w:r>
      <w:r w:rsidRPr="00050185">
        <w:rPr>
          <w:b/>
          <w:sz w:val="24"/>
          <w:szCs w:val="24"/>
        </w:rPr>
        <w:t>Vázquez González</w:t>
      </w:r>
      <w:r w:rsidRPr="00050185">
        <w:rPr>
          <w:sz w:val="24"/>
          <w:szCs w:val="24"/>
        </w:rPr>
        <w:t xml:space="preserve"> afirman que:</w:t>
      </w:r>
      <w:r w:rsidR="00A57D1B">
        <w:rPr>
          <w:sz w:val="24"/>
          <w:szCs w:val="24"/>
        </w:rPr>
        <w:t xml:space="preserve"> </w:t>
      </w:r>
      <w:r w:rsidRPr="00050185">
        <w:rPr>
          <w:sz w:val="24"/>
          <w:szCs w:val="24"/>
        </w:rPr>
        <w:t>&lt;&lt;</w:t>
      </w:r>
      <w:r w:rsidRPr="00050185">
        <w:rPr>
          <w:i/>
          <w:sz w:val="24"/>
          <w:szCs w:val="24"/>
        </w:rPr>
        <w:t xml:space="preserve">Es necesaria la concurrencia de un elemento subjetivo del injusto, el “ánimo de lucro”. Éste equivale al “animus rem </w:t>
      </w:r>
      <w:proofErr w:type="spellStart"/>
      <w:r w:rsidRPr="00050185">
        <w:rPr>
          <w:i/>
          <w:sz w:val="24"/>
          <w:szCs w:val="24"/>
        </w:rPr>
        <w:t>sibihabendi</w:t>
      </w:r>
      <w:proofErr w:type="spellEnd"/>
      <w:r w:rsidRPr="00050185">
        <w:rPr>
          <w:i/>
          <w:sz w:val="24"/>
          <w:szCs w:val="24"/>
        </w:rPr>
        <w:t xml:space="preserve">” o intención de apropiarse de la cosa en beneficio del sujeto activo o de un tercero; es decir, incorporación ilegítima al patrimonio del sujeto activo o de otra persona. La jurisprudencia ha declarado en reiteradas ocasiones que este ánimo de lucro existe de forma </w:t>
      </w:r>
      <w:r w:rsidR="00100A16" w:rsidRPr="00050185">
        <w:rPr>
          <w:i/>
          <w:sz w:val="24"/>
          <w:szCs w:val="24"/>
        </w:rPr>
        <w:t>implícita</w:t>
      </w:r>
      <w:r w:rsidRPr="00050185">
        <w:rPr>
          <w:i/>
          <w:sz w:val="24"/>
          <w:szCs w:val="24"/>
        </w:rPr>
        <w:t xml:space="preserve"> en todo apoderamiento de bienes muebles, de </w:t>
      </w:r>
      <w:r w:rsidR="00100A16" w:rsidRPr="00050185">
        <w:rPr>
          <w:i/>
          <w:sz w:val="24"/>
          <w:szCs w:val="24"/>
        </w:rPr>
        <w:t>algún</w:t>
      </w:r>
      <w:r w:rsidRPr="00050185">
        <w:rPr>
          <w:i/>
          <w:sz w:val="24"/>
          <w:szCs w:val="24"/>
        </w:rPr>
        <w:t xml:space="preserve"> valor efectivo, sino constan otros móviles que lo desvirtúen </w:t>
      </w:r>
      <w:r w:rsidR="00100A16" w:rsidRPr="00050185">
        <w:rPr>
          <w:i/>
          <w:sz w:val="24"/>
          <w:szCs w:val="24"/>
        </w:rPr>
        <w:t>inequívocamente</w:t>
      </w:r>
      <w:r w:rsidRPr="00050185">
        <w:rPr>
          <w:i/>
          <w:sz w:val="24"/>
          <w:szCs w:val="24"/>
        </w:rPr>
        <w:t xml:space="preserve">. Al exigirse el </w:t>
      </w:r>
      <w:r w:rsidR="00100A16" w:rsidRPr="00050185">
        <w:rPr>
          <w:i/>
          <w:sz w:val="24"/>
          <w:szCs w:val="24"/>
        </w:rPr>
        <w:t>ánimo</w:t>
      </w:r>
      <w:r w:rsidRPr="00050185">
        <w:rPr>
          <w:i/>
          <w:sz w:val="24"/>
          <w:szCs w:val="24"/>
        </w:rPr>
        <w:t xml:space="preserve"> de lucro como un elemento subjetivo del injusto, sólo son posibles las conductas dolosas</w:t>
      </w:r>
      <w:proofErr w:type="gramStart"/>
      <w:r w:rsidRPr="00050185">
        <w:rPr>
          <w:i/>
          <w:sz w:val="24"/>
          <w:szCs w:val="24"/>
        </w:rPr>
        <w:t>.</w:t>
      </w:r>
      <w:r w:rsidRPr="00050185">
        <w:rPr>
          <w:sz w:val="24"/>
          <w:szCs w:val="24"/>
        </w:rPr>
        <w:t>&gt;</w:t>
      </w:r>
      <w:proofErr w:type="gramEnd"/>
      <w:r w:rsidRPr="00050185">
        <w:rPr>
          <w:sz w:val="24"/>
          <w:szCs w:val="24"/>
        </w:rPr>
        <w:t>&gt;</w:t>
      </w:r>
      <w:r w:rsidRPr="00050185">
        <w:rPr>
          <w:rStyle w:val="Refdenotaalpie"/>
          <w:sz w:val="24"/>
          <w:szCs w:val="24"/>
        </w:rPr>
        <w:footnoteReference w:id="24"/>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Por lo tanto, con el </w:t>
      </w:r>
      <w:r w:rsidR="00100A16" w:rsidRPr="00050185">
        <w:rPr>
          <w:sz w:val="24"/>
          <w:szCs w:val="24"/>
        </w:rPr>
        <w:t>ánimo</w:t>
      </w:r>
      <w:r w:rsidRPr="00050185">
        <w:rPr>
          <w:sz w:val="24"/>
          <w:szCs w:val="24"/>
        </w:rPr>
        <w:t xml:space="preserve"> de lucro lo que se pretende </w:t>
      </w:r>
      <w:r w:rsidR="00100A16" w:rsidRPr="00050185">
        <w:rPr>
          <w:sz w:val="24"/>
          <w:szCs w:val="24"/>
        </w:rPr>
        <w:t>es</w:t>
      </w:r>
      <w:r w:rsidR="00100A16">
        <w:rPr>
          <w:sz w:val="24"/>
          <w:szCs w:val="24"/>
        </w:rPr>
        <w:t xml:space="preserve"> </w:t>
      </w:r>
      <w:r w:rsidR="00100A16" w:rsidRPr="00050185">
        <w:rPr>
          <w:sz w:val="24"/>
          <w:szCs w:val="24"/>
        </w:rPr>
        <w:t>adquirir</w:t>
      </w:r>
      <w:r w:rsidR="00100A16">
        <w:rPr>
          <w:sz w:val="24"/>
          <w:szCs w:val="24"/>
        </w:rPr>
        <w:t xml:space="preserve"> </w:t>
      </w:r>
      <w:r w:rsidR="00100A16" w:rsidRPr="00050185">
        <w:rPr>
          <w:sz w:val="24"/>
          <w:szCs w:val="24"/>
        </w:rPr>
        <w:t>un</w:t>
      </w:r>
      <w:r w:rsidRPr="00050185">
        <w:rPr>
          <w:sz w:val="24"/>
          <w:szCs w:val="24"/>
        </w:rPr>
        <w:t xml:space="preserve"> beneficio o un enriquecimiento patrimonial o económico provocando </w:t>
      </w:r>
      <w:r w:rsidR="00100A16" w:rsidRPr="00050185">
        <w:rPr>
          <w:sz w:val="24"/>
          <w:szCs w:val="24"/>
        </w:rPr>
        <w:t>así</w:t>
      </w:r>
      <w:r w:rsidRPr="00050185">
        <w:rPr>
          <w:sz w:val="24"/>
          <w:szCs w:val="24"/>
        </w:rPr>
        <w:t xml:space="preserve"> un perjuicio al sujeto pasivo. </w:t>
      </w:r>
    </w:p>
    <w:p w:rsidR="007C12C9" w:rsidRDefault="00050185" w:rsidP="00050185">
      <w:pPr>
        <w:spacing w:line="360" w:lineRule="auto"/>
        <w:jc w:val="both"/>
        <w:rPr>
          <w:sz w:val="24"/>
          <w:szCs w:val="24"/>
        </w:rPr>
      </w:pPr>
      <w:r w:rsidRPr="00050185">
        <w:rPr>
          <w:b/>
          <w:sz w:val="24"/>
          <w:szCs w:val="24"/>
        </w:rPr>
        <w:t>González Rus</w:t>
      </w:r>
      <w:r w:rsidRPr="00050185">
        <w:rPr>
          <w:sz w:val="24"/>
          <w:szCs w:val="24"/>
        </w:rPr>
        <w:t xml:space="preserve"> dice que: &lt;&lt;</w:t>
      </w:r>
      <w:r w:rsidRPr="00050185">
        <w:rPr>
          <w:i/>
          <w:sz w:val="24"/>
          <w:szCs w:val="24"/>
        </w:rPr>
        <w:t>Se requiere también el ánimo de apropiación, que es definida como la voluntad de integrar dicha cosa sustraída en el patrimonio del sujeto activo</w:t>
      </w:r>
      <w:proofErr w:type="gramStart"/>
      <w:r w:rsidRPr="00050185">
        <w:rPr>
          <w:i/>
          <w:sz w:val="24"/>
          <w:szCs w:val="24"/>
        </w:rPr>
        <w:t>.</w:t>
      </w:r>
      <w:r w:rsidRPr="00050185">
        <w:rPr>
          <w:sz w:val="24"/>
          <w:szCs w:val="24"/>
        </w:rPr>
        <w:t>&gt;</w:t>
      </w:r>
      <w:proofErr w:type="gramEnd"/>
      <w:r w:rsidRPr="00050185">
        <w:rPr>
          <w:sz w:val="24"/>
          <w:szCs w:val="24"/>
        </w:rPr>
        <w:t>&gt;</w:t>
      </w:r>
      <w:r w:rsidRPr="00050185">
        <w:rPr>
          <w:sz w:val="24"/>
          <w:szCs w:val="24"/>
          <w:vertAlign w:val="superscript"/>
        </w:rPr>
        <w:footnoteReference w:id="25"/>
      </w:r>
    </w:p>
    <w:p w:rsidR="002C1C03" w:rsidRDefault="002C1C03" w:rsidP="00050185">
      <w:pPr>
        <w:spacing w:line="360" w:lineRule="auto"/>
        <w:jc w:val="both"/>
        <w:rPr>
          <w:b/>
          <w:sz w:val="24"/>
          <w:szCs w:val="24"/>
        </w:rPr>
      </w:pPr>
    </w:p>
    <w:p w:rsidR="00A57D1B" w:rsidRPr="007C12C9" w:rsidRDefault="00BE7D97" w:rsidP="00050185">
      <w:pPr>
        <w:spacing w:line="360" w:lineRule="auto"/>
        <w:jc w:val="both"/>
        <w:rPr>
          <w:sz w:val="24"/>
          <w:szCs w:val="24"/>
        </w:rPr>
      </w:pPr>
      <w:r>
        <w:rPr>
          <w:b/>
          <w:sz w:val="24"/>
          <w:szCs w:val="24"/>
        </w:rPr>
        <w:t>Otros autores</w:t>
      </w:r>
      <w:r w:rsidR="00050CBB">
        <w:rPr>
          <w:sz w:val="24"/>
          <w:szCs w:val="24"/>
        </w:rPr>
        <w:t xml:space="preserve"> </w:t>
      </w:r>
      <w:r w:rsidR="00A57D1B">
        <w:rPr>
          <w:sz w:val="24"/>
          <w:szCs w:val="24"/>
        </w:rPr>
        <w:t>afirma</w:t>
      </w:r>
      <w:r>
        <w:rPr>
          <w:sz w:val="24"/>
          <w:szCs w:val="24"/>
        </w:rPr>
        <w:t>n</w:t>
      </w:r>
      <w:bookmarkStart w:id="0" w:name="_GoBack"/>
      <w:bookmarkEnd w:id="0"/>
      <w:r w:rsidR="00A57D1B">
        <w:rPr>
          <w:sz w:val="24"/>
          <w:szCs w:val="24"/>
        </w:rPr>
        <w:t xml:space="preserve"> que: &lt;&lt;</w:t>
      </w:r>
      <w:r w:rsidR="00A57D1B">
        <w:rPr>
          <w:i/>
          <w:sz w:val="24"/>
          <w:szCs w:val="24"/>
        </w:rPr>
        <w:t xml:space="preserve">Es cierto que en la práctica no es fácil establecer la distinción entre el ánimo de lucro, como elemento subjetivo del injusto, y el ánimo de apoderamiento, que conformaría el dolo en el delito de hurto. El hurto es un delito doloso que exige que la conducta vaya dirigida a apoderarse de la cosa mueble ajena, esto es, la voluntad del sujeto de separarla definitivamente del patrimonio del sujeto pasivo incorporándola al propio. En este sentido, la sustracción de la cosa mueble </w:t>
      </w:r>
      <w:r w:rsidR="00A57D1B">
        <w:rPr>
          <w:i/>
          <w:sz w:val="24"/>
          <w:szCs w:val="24"/>
        </w:rPr>
        <w:lastRenderedPageBreak/>
        <w:t>ajena con la sola intención de usarla será atípica, por no incluir el án</w:t>
      </w:r>
      <w:r w:rsidR="00B65417">
        <w:rPr>
          <w:i/>
          <w:sz w:val="24"/>
          <w:szCs w:val="24"/>
        </w:rPr>
        <w:t>imo de hacerla propia</w:t>
      </w:r>
      <w:r w:rsidR="00D87A26">
        <w:rPr>
          <w:i/>
          <w:sz w:val="24"/>
          <w:szCs w:val="24"/>
        </w:rPr>
        <w:t>. &gt;</w:t>
      </w:r>
      <w:r w:rsidR="00B65417">
        <w:rPr>
          <w:i/>
          <w:sz w:val="24"/>
          <w:szCs w:val="24"/>
        </w:rPr>
        <w:t>&gt;</w:t>
      </w:r>
      <w:r w:rsidR="00B65417">
        <w:rPr>
          <w:rStyle w:val="Refdenotaalpie"/>
          <w:i/>
          <w:sz w:val="24"/>
          <w:szCs w:val="24"/>
        </w:rPr>
        <w:footnoteReference w:id="26"/>
      </w:r>
    </w:p>
    <w:p w:rsidR="00A57D1B" w:rsidRDefault="00A57D1B"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Por ultimo está el dolo. Éste elemento se caracteriza, según afirma </w:t>
      </w:r>
      <w:r w:rsidRPr="00050185">
        <w:rPr>
          <w:b/>
          <w:sz w:val="24"/>
          <w:szCs w:val="24"/>
        </w:rPr>
        <w:t>Cuello Contreras</w:t>
      </w:r>
      <w:r w:rsidRPr="00050185">
        <w:rPr>
          <w:sz w:val="24"/>
          <w:szCs w:val="24"/>
        </w:rPr>
        <w:t>: &lt;&lt;</w:t>
      </w:r>
      <w:r w:rsidRPr="00050185">
        <w:rPr>
          <w:i/>
          <w:sz w:val="24"/>
          <w:szCs w:val="24"/>
        </w:rPr>
        <w:t xml:space="preserve">En el conocimiento y la voluntad de realizar las circunstancias constitutivas del tipo de injusto a través de la acción que el autor ejecuta. Por ejemplo: El autor que conscientemente dispara en dirección a un hombre, siendo consciente en todo momento de que </w:t>
      </w:r>
      <w:r w:rsidR="00100A16" w:rsidRPr="00050185">
        <w:rPr>
          <w:i/>
          <w:sz w:val="24"/>
          <w:szCs w:val="24"/>
        </w:rPr>
        <w:t>está</w:t>
      </w:r>
      <w:r w:rsidRPr="00050185">
        <w:rPr>
          <w:i/>
          <w:sz w:val="24"/>
          <w:szCs w:val="24"/>
        </w:rPr>
        <w:t xml:space="preserve"> cometiendo un delito de homicidio</w:t>
      </w:r>
      <w:proofErr w:type="gramStart"/>
      <w:r w:rsidRPr="00050185">
        <w:rPr>
          <w:i/>
          <w:sz w:val="24"/>
          <w:szCs w:val="24"/>
        </w:rPr>
        <w:t>.</w:t>
      </w:r>
      <w:r w:rsidRPr="00050185">
        <w:rPr>
          <w:sz w:val="24"/>
          <w:szCs w:val="24"/>
        </w:rPr>
        <w:t>&gt;</w:t>
      </w:r>
      <w:proofErr w:type="gramEnd"/>
      <w:r w:rsidRPr="00050185">
        <w:rPr>
          <w:sz w:val="24"/>
          <w:szCs w:val="24"/>
        </w:rPr>
        <w:t>&gt;</w:t>
      </w:r>
      <w:r w:rsidRPr="00050185">
        <w:rPr>
          <w:rStyle w:val="Refdenotaalpie"/>
          <w:sz w:val="24"/>
          <w:szCs w:val="24"/>
        </w:rPr>
        <w:footnoteReference w:id="27"/>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Sin embargo, otros autores como </w:t>
      </w:r>
      <w:r w:rsidRPr="00050185">
        <w:rPr>
          <w:b/>
          <w:sz w:val="24"/>
          <w:szCs w:val="24"/>
        </w:rPr>
        <w:t>Pérez del Valle</w:t>
      </w:r>
      <w:r w:rsidRPr="00050185">
        <w:rPr>
          <w:sz w:val="24"/>
          <w:szCs w:val="24"/>
        </w:rPr>
        <w:t>, definen el concepto de dolo como: &lt;&lt;</w:t>
      </w:r>
      <w:r w:rsidRPr="00050185">
        <w:rPr>
          <w:i/>
          <w:sz w:val="24"/>
          <w:szCs w:val="24"/>
        </w:rPr>
        <w:t xml:space="preserve">La forma más grave del tipo subjetivo. Y consiste en la </w:t>
      </w:r>
      <w:r w:rsidR="00100A16">
        <w:rPr>
          <w:i/>
          <w:sz w:val="24"/>
          <w:szCs w:val="24"/>
        </w:rPr>
        <w:t>posibilidad</w:t>
      </w:r>
      <w:r w:rsidRPr="00050185">
        <w:rPr>
          <w:i/>
          <w:sz w:val="24"/>
          <w:szCs w:val="24"/>
        </w:rPr>
        <w:t xml:space="preserve"> de quien, desde un punto de vista personal y ante la obviedad del riesgo concreto de realización del tipo, no tendría obstáculo para orientar su conducta en una forma no peligrosa</w:t>
      </w:r>
      <w:proofErr w:type="gramStart"/>
      <w:r w:rsidRPr="00050185">
        <w:rPr>
          <w:i/>
          <w:sz w:val="24"/>
          <w:szCs w:val="24"/>
        </w:rPr>
        <w:t>.</w:t>
      </w:r>
      <w:r w:rsidRPr="00050185">
        <w:rPr>
          <w:sz w:val="24"/>
          <w:szCs w:val="24"/>
        </w:rPr>
        <w:t>&gt;</w:t>
      </w:r>
      <w:proofErr w:type="gramEnd"/>
      <w:r w:rsidRPr="00050185">
        <w:rPr>
          <w:sz w:val="24"/>
          <w:szCs w:val="24"/>
        </w:rPr>
        <w:t>&gt;</w:t>
      </w:r>
      <w:r w:rsidRPr="00050185">
        <w:rPr>
          <w:rStyle w:val="Refdenotaalpie"/>
          <w:sz w:val="24"/>
          <w:szCs w:val="24"/>
        </w:rPr>
        <w:footnoteReference w:id="28"/>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De manera similar a los anteriores autores expuestos, pero más concretamente, </w:t>
      </w:r>
      <w:r w:rsidRPr="00050185">
        <w:rPr>
          <w:b/>
          <w:sz w:val="24"/>
          <w:szCs w:val="24"/>
        </w:rPr>
        <w:t>Muñoz Conde</w:t>
      </w:r>
      <w:r w:rsidRPr="00050185">
        <w:rPr>
          <w:sz w:val="24"/>
          <w:szCs w:val="24"/>
        </w:rPr>
        <w:t xml:space="preserve"> dice que: &lt;&lt;</w:t>
      </w:r>
      <w:r w:rsidRPr="00050185">
        <w:rPr>
          <w:i/>
          <w:sz w:val="24"/>
          <w:szCs w:val="24"/>
        </w:rPr>
        <w:t>Para que haya dolo, el conocimiento debe abarcar la ajenidad de la cosa y la ausencia de consentimiento. Por ello, y dado que no se castiga el hurto imprudente, el error sobre la ajenidad o la ausencia del consentimiento excluye la tipicidad de la conducta</w:t>
      </w:r>
      <w:proofErr w:type="gramStart"/>
      <w:r w:rsidRPr="00050185">
        <w:rPr>
          <w:i/>
          <w:sz w:val="24"/>
          <w:szCs w:val="24"/>
        </w:rPr>
        <w:t>.</w:t>
      </w:r>
      <w:r w:rsidRPr="00050185">
        <w:rPr>
          <w:sz w:val="24"/>
          <w:szCs w:val="24"/>
        </w:rPr>
        <w:t>&gt;</w:t>
      </w:r>
      <w:proofErr w:type="gramEnd"/>
      <w:r w:rsidRPr="00050185">
        <w:rPr>
          <w:sz w:val="24"/>
          <w:szCs w:val="24"/>
        </w:rPr>
        <w:t>&gt;</w:t>
      </w:r>
      <w:r w:rsidRPr="00050185">
        <w:rPr>
          <w:rStyle w:val="Refdenotaalpie"/>
          <w:sz w:val="24"/>
          <w:szCs w:val="24"/>
        </w:rPr>
        <w:footnoteReference w:id="29"/>
      </w:r>
    </w:p>
    <w:p w:rsidR="001300B2" w:rsidRDefault="001300B2" w:rsidP="00050185">
      <w:pPr>
        <w:spacing w:line="360" w:lineRule="auto"/>
        <w:jc w:val="both"/>
        <w:rPr>
          <w:sz w:val="24"/>
          <w:szCs w:val="24"/>
        </w:rPr>
      </w:pPr>
    </w:p>
    <w:p w:rsidR="00050185" w:rsidRPr="004608E0" w:rsidRDefault="00050185" w:rsidP="00050185">
      <w:pPr>
        <w:spacing w:line="360" w:lineRule="auto"/>
        <w:jc w:val="both"/>
        <w:rPr>
          <w:b/>
          <w:color w:val="FF0000"/>
          <w:sz w:val="24"/>
          <w:szCs w:val="24"/>
          <w:u w:val="single"/>
        </w:rPr>
      </w:pPr>
      <w:r w:rsidRPr="004608E0">
        <w:rPr>
          <w:b/>
          <w:sz w:val="24"/>
          <w:szCs w:val="24"/>
          <w:u w:val="single"/>
        </w:rPr>
        <w:t>2.2 SUPUESTOS AGRAVADOS.</w:t>
      </w:r>
    </w:p>
    <w:p w:rsidR="00050185" w:rsidRDefault="00050185" w:rsidP="00050185">
      <w:pPr>
        <w:spacing w:line="360" w:lineRule="auto"/>
        <w:jc w:val="both"/>
        <w:rPr>
          <w:sz w:val="24"/>
          <w:szCs w:val="24"/>
        </w:rPr>
      </w:pPr>
      <w:r w:rsidRPr="00050185">
        <w:rPr>
          <w:sz w:val="24"/>
          <w:szCs w:val="24"/>
        </w:rPr>
        <w:t xml:space="preserve">Destaco el </w:t>
      </w:r>
      <w:r w:rsidRPr="00050185">
        <w:rPr>
          <w:b/>
          <w:sz w:val="24"/>
          <w:szCs w:val="24"/>
        </w:rPr>
        <w:t>artículo 235 del Código Penal</w:t>
      </w:r>
      <w:r w:rsidRPr="00050185">
        <w:rPr>
          <w:b/>
          <w:sz w:val="24"/>
          <w:szCs w:val="24"/>
          <w:vertAlign w:val="superscript"/>
        </w:rPr>
        <w:footnoteReference w:id="30"/>
      </w:r>
      <w:r w:rsidRPr="00050185">
        <w:rPr>
          <w:sz w:val="24"/>
          <w:szCs w:val="24"/>
        </w:rPr>
        <w:t xml:space="preserve">, en el que se agravan los supuestos en el delito de hurto. Se enumeran una serie de modalidades que establecen una pena superior a las penas establecidas en el tipo básico del delito de hurto. Estos supuestos son: </w:t>
      </w:r>
    </w:p>
    <w:p w:rsidR="00D87A26" w:rsidRPr="00050185" w:rsidRDefault="00D87A26" w:rsidP="00050185">
      <w:pPr>
        <w:spacing w:line="360" w:lineRule="auto"/>
        <w:jc w:val="both"/>
        <w:rPr>
          <w:sz w:val="24"/>
          <w:szCs w:val="24"/>
        </w:rPr>
      </w:pPr>
    </w:p>
    <w:p w:rsidR="00050185" w:rsidRPr="00050185" w:rsidRDefault="00050185" w:rsidP="00050185">
      <w:pPr>
        <w:spacing w:line="360" w:lineRule="auto"/>
        <w:jc w:val="both"/>
        <w:rPr>
          <w:i/>
          <w:sz w:val="24"/>
          <w:szCs w:val="24"/>
        </w:rPr>
      </w:pPr>
      <w:r w:rsidRPr="00050185">
        <w:rPr>
          <w:sz w:val="24"/>
          <w:szCs w:val="24"/>
        </w:rPr>
        <w:lastRenderedPageBreak/>
        <w:t>&lt;&lt;</w:t>
      </w:r>
      <w:r w:rsidRPr="00050185">
        <w:rPr>
          <w:i/>
          <w:sz w:val="24"/>
          <w:szCs w:val="24"/>
        </w:rPr>
        <w:t>1. El hurto será castigado con la pena de prisión de uno a tres años:</w:t>
      </w:r>
    </w:p>
    <w:p w:rsidR="00050185" w:rsidRPr="00050185" w:rsidRDefault="00050185" w:rsidP="00050185">
      <w:pPr>
        <w:spacing w:line="360" w:lineRule="auto"/>
        <w:jc w:val="both"/>
        <w:rPr>
          <w:i/>
          <w:sz w:val="24"/>
          <w:szCs w:val="24"/>
        </w:rPr>
      </w:pPr>
      <w:r w:rsidRPr="00050185">
        <w:rPr>
          <w:i/>
          <w:sz w:val="24"/>
          <w:szCs w:val="24"/>
        </w:rPr>
        <w:t>1. º Cuando se sustraigan cosas de valor artístico, histórico, cultural o científico.</w:t>
      </w:r>
    </w:p>
    <w:p w:rsidR="00050185" w:rsidRPr="00050185" w:rsidRDefault="00050185" w:rsidP="00050185">
      <w:pPr>
        <w:spacing w:line="360" w:lineRule="auto"/>
        <w:jc w:val="both"/>
        <w:rPr>
          <w:i/>
          <w:sz w:val="24"/>
          <w:szCs w:val="24"/>
        </w:rPr>
      </w:pPr>
      <w:r w:rsidRPr="00050185">
        <w:rPr>
          <w:i/>
          <w:sz w:val="24"/>
          <w:szCs w:val="24"/>
        </w:rPr>
        <w:t>2. º Cuando se trate de cosas de primera necesidad y se cause una situación de desabastecimiento.</w:t>
      </w:r>
    </w:p>
    <w:p w:rsidR="00050185" w:rsidRPr="00050185" w:rsidRDefault="00050185" w:rsidP="00050185">
      <w:pPr>
        <w:spacing w:line="360" w:lineRule="auto"/>
        <w:jc w:val="both"/>
        <w:rPr>
          <w:i/>
          <w:sz w:val="24"/>
          <w:szCs w:val="24"/>
        </w:rPr>
      </w:pPr>
      <w:r w:rsidRPr="00050185">
        <w:rPr>
          <w:i/>
          <w:sz w:val="24"/>
          <w:szCs w:val="24"/>
        </w:rPr>
        <w:t>3. º Cuando se trate de conducciones, cableado, equipos o componentes de infraestructuras de suministro eléctrico, de hidrocarburos o de los servicios de telecomunicaciones, o de otras cosas destinadas a la prestación de servicios de interés general, y se cause un quebranto grave a los mismos.</w:t>
      </w:r>
    </w:p>
    <w:p w:rsidR="00050185" w:rsidRPr="00050185" w:rsidRDefault="00050185" w:rsidP="00050185">
      <w:pPr>
        <w:spacing w:line="360" w:lineRule="auto"/>
        <w:jc w:val="both"/>
        <w:rPr>
          <w:i/>
          <w:sz w:val="24"/>
          <w:szCs w:val="24"/>
        </w:rPr>
      </w:pPr>
      <w:r w:rsidRPr="00050185">
        <w:rPr>
          <w:i/>
          <w:sz w:val="24"/>
          <w:szCs w:val="24"/>
        </w:rPr>
        <w:t>4. º Cuando se trate de productos agrarios o ganaderos, o de los instrumentos o medios que se utilizan para su obtención, siempre que el delito se cometa en explotaciones agrícolas o ganaderas y se cause un perjuicio grave a las mismas.</w:t>
      </w:r>
    </w:p>
    <w:p w:rsidR="00050185" w:rsidRPr="00050185" w:rsidRDefault="00050185" w:rsidP="00050185">
      <w:pPr>
        <w:spacing w:line="360" w:lineRule="auto"/>
        <w:jc w:val="both"/>
        <w:rPr>
          <w:i/>
          <w:sz w:val="24"/>
          <w:szCs w:val="24"/>
        </w:rPr>
      </w:pPr>
      <w:r w:rsidRPr="00050185">
        <w:rPr>
          <w:i/>
          <w:sz w:val="24"/>
          <w:szCs w:val="24"/>
        </w:rPr>
        <w:t>5. º Cuando revista especial gravedad, atendiendo al valor de los efectos sustraídos, o se produjeren perjuicios de especial consideración.</w:t>
      </w:r>
    </w:p>
    <w:p w:rsidR="00050185" w:rsidRPr="00050185" w:rsidRDefault="00050185" w:rsidP="00050185">
      <w:pPr>
        <w:spacing w:line="360" w:lineRule="auto"/>
        <w:jc w:val="both"/>
        <w:rPr>
          <w:i/>
          <w:sz w:val="24"/>
          <w:szCs w:val="24"/>
        </w:rPr>
      </w:pPr>
      <w:r w:rsidRPr="00050185">
        <w:rPr>
          <w:i/>
          <w:sz w:val="24"/>
          <w:szCs w:val="24"/>
        </w:rPr>
        <w:t>6. º Cuando ponga a la víctima o a su familia en grave situación económica o se haya realizado abusando de sus circunstancias personales o de su situación de desamparo, o aprovechando la producción de un accidente o la existencia de un riesgo o peligro general para la comunidad que haya debilitado la defensa del ofendido o facilitado la comisión impune del delito.</w:t>
      </w:r>
    </w:p>
    <w:p w:rsidR="00050185" w:rsidRPr="00050185" w:rsidRDefault="00050185" w:rsidP="00050185">
      <w:pPr>
        <w:spacing w:line="360" w:lineRule="auto"/>
        <w:jc w:val="both"/>
        <w:rPr>
          <w:i/>
          <w:sz w:val="24"/>
          <w:szCs w:val="24"/>
        </w:rPr>
      </w:pPr>
      <w:r w:rsidRPr="00050185">
        <w:rPr>
          <w:i/>
          <w:sz w:val="24"/>
          <w:szCs w:val="24"/>
        </w:rPr>
        <w:t>7.º Cuando al delinquir el culpable hubiera sido condenado ejecutoriamente al menos por tres delitos comprendidos en este Título, siempre que sean de la misma naturaleza. No se tendrán en cuenta antecedentes cancelados o que debieran serlo.</w:t>
      </w:r>
    </w:p>
    <w:p w:rsidR="00050185" w:rsidRPr="00050185" w:rsidRDefault="00050185" w:rsidP="00050185">
      <w:pPr>
        <w:spacing w:line="360" w:lineRule="auto"/>
        <w:jc w:val="both"/>
        <w:rPr>
          <w:i/>
          <w:sz w:val="24"/>
          <w:szCs w:val="24"/>
        </w:rPr>
      </w:pPr>
      <w:r w:rsidRPr="00050185">
        <w:rPr>
          <w:i/>
          <w:sz w:val="24"/>
          <w:szCs w:val="24"/>
        </w:rPr>
        <w:t>8. º Cuando se utilice a menores de dieciséis años para la comisión del delito.</w:t>
      </w:r>
    </w:p>
    <w:p w:rsidR="00050185" w:rsidRPr="00050185" w:rsidRDefault="00050185" w:rsidP="00050185">
      <w:pPr>
        <w:spacing w:line="360" w:lineRule="auto"/>
        <w:jc w:val="both"/>
        <w:rPr>
          <w:i/>
          <w:sz w:val="24"/>
          <w:szCs w:val="24"/>
        </w:rPr>
      </w:pPr>
      <w:r w:rsidRPr="00050185">
        <w:rPr>
          <w:i/>
          <w:sz w:val="24"/>
          <w:szCs w:val="24"/>
        </w:rPr>
        <w:t>9. º Cuando el culpable o culpables participen en los hechos como miembros de una organización o grupo criminal que se dedicare a la comisión de delitos comprendidos en este Título, siempre que sean de la misma naturaleza.</w:t>
      </w:r>
    </w:p>
    <w:p w:rsidR="00050185" w:rsidRPr="00050185" w:rsidRDefault="00050185" w:rsidP="00050185">
      <w:pPr>
        <w:spacing w:line="360" w:lineRule="auto"/>
        <w:jc w:val="both"/>
        <w:rPr>
          <w:i/>
          <w:sz w:val="24"/>
          <w:szCs w:val="24"/>
        </w:rPr>
      </w:pPr>
      <w:r w:rsidRPr="00050185">
        <w:rPr>
          <w:i/>
          <w:sz w:val="24"/>
          <w:szCs w:val="24"/>
        </w:rPr>
        <w:t>2. La pena señalada en el apartado anterior se impondrá en su mitad superior cuando concurrieran dos o más de las circunstancias previstas en el mismo</w:t>
      </w:r>
      <w:proofErr w:type="gramStart"/>
      <w:r w:rsidRPr="00050185">
        <w:rPr>
          <w:i/>
          <w:sz w:val="24"/>
          <w:szCs w:val="24"/>
        </w:rPr>
        <w:t>.&gt;</w:t>
      </w:r>
      <w:proofErr w:type="gramEnd"/>
      <w:r w:rsidRPr="00050185">
        <w:rPr>
          <w:i/>
          <w:sz w:val="24"/>
          <w:szCs w:val="24"/>
        </w:rPr>
        <w:t>&gt;</w:t>
      </w:r>
    </w:p>
    <w:p w:rsidR="00D87A26" w:rsidRDefault="00D87A26" w:rsidP="00050185">
      <w:pPr>
        <w:spacing w:line="360" w:lineRule="auto"/>
        <w:jc w:val="both"/>
        <w:rPr>
          <w:sz w:val="24"/>
          <w:szCs w:val="24"/>
        </w:rPr>
      </w:pPr>
    </w:p>
    <w:p w:rsidR="00050185" w:rsidRDefault="00050185" w:rsidP="00050185">
      <w:pPr>
        <w:spacing w:line="360" w:lineRule="auto"/>
        <w:jc w:val="both"/>
        <w:rPr>
          <w:sz w:val="24"/>
          <w:szCs w:val="24"/>
        </w:rPr>
      </w:pPr>
      <w:r w:rsidRPr="00050185">
        <w:rPr>
          <w:sz w:val="24"/>
          <w:szCs w:val="24"/>
        </w:rPr>
        <w:t>A continuación analizamos una serie de modificaciones y diferencias entre el código penal de 1995 y el código penal de 2015, con respecto a estas agravaciones</w:t>
      </w:r>
      <w:r w:rsidRPr="00050185">
        <w:rPr>
          <w:rStyle w:val="Refdenotaalpie"/>
          <w:sz w:val="24"/>
          <w:szCs w:val="24"/>
        </w:rPr>
        <w:footnoteReference w:id="31"/>
      </w:r>
      <w:r w:rsidRPr="00050185">
        <w:rPr>
          <w:sz w:val="24"/>
          <w:szCs w:val="24"/>
        </w:rPr>
        <w:t>:</w:t>
      </w:r>
    </w:p>
    <w:p w:rsidR="000B44EE" w:rsidRPr="00050185" w:rsidRDefault="000B44EE" w:rsidP="00050185">
      <w:pPr>
        <w:spacing w:line="360" w:lineRule="auto"/>
        <w:jc w:val="both"/>
        <w:rPr>
          <w:sz w:val="24"/>
          <w:szCs w:val="24"/>
        </w:rPr>
      </w:pPr>
    </w:p>
    <w:p w:rsidR="00050185" w:rsidRPr="00050185" w:rsidRDefault="00050185" w:rsidP="00050185">
      <w:pPr>
        <w:pStyle w:val="Prrafodelista"/>
        <w:numPr>
          <w:ilvl w:val="0"/>
          <w:numId w:val="21"/>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lastRenderedPageBreak/>
        <w:t xml:space="preserve">En el </w:t>
      </w:r>
      <w:r w:rsidRPr="00050185">
        <w:rPr>
          <w:rFonts w:ascii="Times New Roman" w:hAnsi="Times New Roman" w:cs="Times New Roman"/>
          <w:i/>
          <w:sz w:val="24"/>
          <w:szCs w:val="24"/>
        </w:rPr>
        <w:t xml:space="preserve">apartado </w:t>
      </w:r>
      <w:r w:rsidR="00100A16" w:rsidRPr="00050185">
        <w:rPr>
          <w:rFonts w:ascii="Times New Roman" w:hAnsi="Times New Roman" w:cs="Times New Roman"/>
          <w:i/>
          <w:sz w:val="24"/>
          <w:szCs w:val="24"/>
        </w:rPr>
        <w:t>número</w:t>
      </w:r>
      <w:r w:rsidRPr="00050185">
        <w:rPr>
          <w:rFonts w:ascii="Times New Roman" w:hAnsi="Times New Roman" w:cs="Times New Roman"/>
          <w:i/>
          <w:sz w:val="24"/>
          <w:szCs w:val="24"/>
        </w:rPr>
        <w:t xml:space="preserve"> 1</w:t>
      </w:r>
      <w:r w:rsidRPr="00050185">
        <w:rPr>
          <w:rFonts w:ascii="Times New Roman" w:hAnsi="Times New Roman" w:cs="Times New Roman"/>
          <w:sz w:val="24"/>
          <w:szCs w:val="24"/>
        </w:rPr>
        <w:t>, como podemos observar no hay diferencias entre el código penal de 1995 y el código penal de 2015.</w:t>
      </w:r>
    </w:p>
    <w:p w:rsidR="00050185" w:rsidRPr="00050185" w:rsidRDefault="00050185" w:rsidP="00050185">
      <w:pPr>
        <w:pStyle w:val="Prrafodelista"/>
        <w:numPr>
          <w:ilvl w:val="0"/>
          <w:numId w:val="21"/>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En el </w:t>
      </w:r>
      <w:r w:rsidRPr="00050185">
        <w:rPr>
          <w:rFonts w:ascii="Times New Roman" w:hAnsi="Times New Roman" w:cs="Times New Roman"/>
          <w:i/>
          <w:sz w:val="24"/>
          <w:szCs w:val="24"/>
        </w:rPr>
        <w:t xml:space="preserve">apartado numero 2 </w:t>
      </w:r>
      <w:r w:rsidRPr="00050185">
        <w:rPr>
          <w:rFonts w:ascii="Times New Roman" w:hAnsi="Times New Roman" w:cs="Times New Roman"/>
          <w:sz w:val="24"/>
          <w:szCs w:val="24"/>
        </w:rPr>
        <w:t>hay similitudes. Se mantiene la agravante pero se suprime el subtipo agravado anterior cuando se tratase de cosas destinadas a un servicio público y se ocasionara un grave deterioro del servicio.</w:t>
      </w:r>
    </w:p>
    <w:p w:rsidR="00050185" w:rsidRPr="00050185" w:rsidRDefault="00050185" w:rsidP="00050185">
      <w:pPr>
        <w:pStyle w:val="Prrafodelista"/>
        <w:numPr>
          <w:ilvl w:val="0"/>
          <w:numId w:val="21"/>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En el </w:t>
      </w:r>
      <w:r w:rsidRPr="00050185">
        <w:rPr>
          <w:rFonts w:ascii="Times New Roman" w:hAnsi="Times New Roman" w:cs="Times New Roman"/>
          <w:i/>
          <w:sz w:val="24"/>
          <w:szCs w:val="24"/>
        </w:rPr>
        <w:t xml:space="preserve">apartado </w:t>
      </w:r>
      <w:r w:rsidR="00100A16" w:rsidRPr="00050185">
        <w:rPr>
          <w:rFonts w:ascii="Times New Roman" w:hAnsi="Times New Roman" w:cs="Times New Roman"/>
          <w:i/>
          <w:sz w:val="24"/>
          <w:szCs w:val="24"/>
        </w:rPr>
        <w:t>número</w:t>
      </w:r>
      <w:r w:rsidRPr="00050185">
        <w:rPr>
          <w:rFonts w:ascii="Times New Roman" w:hAnsi="Times New Roman" w:cs="Times New Roman"/>
          <w:i/>
          <w:sz w:val="24"/>
          <w:szCs w:val="24"/>
        </w:rPr>
        <w:t xml:space="preserve"> 3,</w:t>
      </w:r>
      <w:r w:rsidRPr="00050185">
        <w:rPr>
          <w:rFonts w:ascii="Times New Roman" w:hAnsi="Times New Roman" w:cs="Times New Roman"/>
          <w:sz w:val="24"/>
          <w:szCs w:val="24"/>
        </w:rPr>
        <w:t xml:space="preserve"> el legislador considera que esto es de especial relevancia, debido al grave problema generado por la sustracción de cable de cobre de las redes de servicio </w:t>
      </w:r>
      <w:r w:rsidR="00100A16" w:rsidRPr="00050185">
        <w:rPr>
          <w:rFonts w:ascii="Times New Roman" w:hAnsi="Times New Roman" w:cs="Times New Roman"/>
          <w:sz w:val="24"/>
          <w:szCs w:val="24"/>
        </w:rPr>
        <w:t>público</w:t>
      </w:r>
      <w:r w:rsidRPr="00050185">
        <w:rPr>
          <w:rFonts w:ascii="Times New Roman" w:hAnsi="Times New Roman" w:cs="Times New Roman"/>
          <w:sz w:val="24"/>
          <w:szCs w:val="24"/>
        </w:rPr>
        <w:t xml:space="preserve"> e interés general, </w:t>
      </w:r>
      <w:r w:rsidR="00100A16" w:rsidRPr="00050185">
        <w:rPr>
          <w:rFonts w:ascii="Times New Roman" w:hAnsi="Times New Roman" w:cs="Times New Roman"/>
          <w:sz w:val="24"/>
          <w:szCs w:val="24"/>
        </w:rPr>
        <w:t>también</w:t>
      </w:r>
      <w:r w:rsidRPr="00050185">
        <w:rPr>
          <w:rFonts w:ascii="Times New Roman" w:hAnsi="Times New Roman" w:cs="Times New Roman"/>
          <w:sz w:val="24"/>
          <w:szCs w:val="24"/>
        </w:rPr>
        <w:t xml:space="preserve"> ha considerado adecuado añadir  una agravación cuando los delitos de hurto afecten a las telecomunicaciones, y sobre todo cuando se cause un grave perjuicio en éstas.</w:t>
      </w:r>
    </w:p>
    <w:p w:rsidR="00050185" w:rsidRPr="00050185" w:rsidRDefault="00050185" w:rsidP="00050185">
      <w:pPr>
        <w:pStyle w:val="Prrafodelista"/>
        <w:numPr>
          <w:ilvl w:val="0"/>
          <w:numId w:val="21"/>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El apartado </w:t>
      </w:r>
      <w:r w:rsidR="00100A16" w:rsidRPr="00050185">
        <w:rPr>
          <w:rFonts w:ascii="Times New Roman" w:hAnsi="Times New Roman" w:cs="Times New Roman"/>
          <w:i/>
          <w:sz w:val="24"/>
          <w:szCs w:val="24"/>
        </w:rPr>
        <w:t>número</w:t>
      </w:r>
      <w:r w:rsidRPr="00050185">
        <w:rPr>
          <w:rFonts w:ascii="Times New Roman" w:hAnsi="Times New Roman" w:cs="Times New Roman"/>
          <w:i/>
          <w:sz w:val="24"/>
          <w:szCs w:val="24"/>
        </w:rPr>
        <w:t xml:space="preserve"> 4,</w:t>
      </w:r>
      <w:r w:rsidRPr="00050185">
        <w:rPr>
          <w:rFonts w:ascii="Times New Roman" w:hAnsi="Times New Roman" w:cs="Times New Roman"/>
          <w:sz w:val="24"/>
          <w:szCs w:val="24"/>
        </w:rPr>
        <w:t xml:space="preserve"> aunque se mantiene el subtipo agravado de que el hurto revista de especial gravedad o se hayan causado perjuicios de especial consideración, el legislador ha decidido individualizar las sustracciones constitutivas del hurto en el ámbito de las explotaciones agrarias o ganaderas.</w:t>
      </w:r>
    </w:p>
    <w:p w:rsidR="00050185" w:rsidRPr="00050185" w:rsidRDefault="00050185" w:rsidP="00050185">
      <w:pPr>
        <w:pStyle w:val="Prrafodelista"/>
        <w:numPr>
          <w:ilvl w:val="0"/>
          <w:numId w:val="21"/>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El apartado </w:t>
      </w:r>
      <w:r w:rsidR="00100A16" w:rsidRPr="00050185">
        <w:rPr>
          <w:rFonts w:ascii="Times New Roman" w:hAnsi="Times New Roman" w:cs="Times New Roman"/>
          <w:i/>
          <w:sz w:val="24"/>
          <w:szCs w:val="24"/>
        </w:rPr>
        <w:t>número</w:t>
      </w:r>
      <w:r w:rsidRPr="00050185">
        <w:rPr>
          <w:rFonts w:ascii="Times New Roman" w:hAnsi="Times New Roman" w:cs="Times New Roman"/>
          <w:i/>
          <w:sz w:val="24"/>
          <w:szCs w:val="24"/>
        </w:rPr>
        <w:t xml:space="preserve"> 5,</w:t>
      </w:r>
      <w:r w:rsidR="007C12C9">
        <w:rPr>
          <w:rFonts w:ascii="Times New Roman" w:hAnsi="Times New Roman" w:cs="Times New Roman"/>
          <w:i/>
          <w:sz w:val="24"/>
          <w:szCs w:val="24"/>
        </w:rPr>
        <w:t xml:space="preserve"> </w:t>
      </w:r>
      <w:r w:rsidRPr="00050185">
        <w:rPr>
          <w:rFonts w:ascii="Times New Roman" w:hAnsi="Times New Roman" w:cs="Times New Roman"/>
          <w:sz w:val="24"/>
          <w:szCs w:val="24"/>
        </w:rPr>
        <w:t xml:space="preserve">no cambia su contenido. </w:t>
      </w:r>
    </w:p>
    <w:p w:rsidR="00050185" w:rsidRPr="00050185" w:rsidRDefault="00050185" w:rsidP="00050185">
      <w:pPr>
        <w:pStyle w:val="Prrafodelista"/>
        <w:numPr>
          <w:ilvl w:val="0"/>
          <w:numId w:val="21"/>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En el apartado </w:t>
      </w:r>
      <w:r w:rsidR="00100A16" w:rsidRPr="00050185">
        <w:rPr>
          <w:rFonts w:ascii="Times New Roman" w:hAnsi="Times New Roman" w:cs="Times New Roman"/>
          <w:i/>
          <w:sz w:val="24"/>
          <w:szCs w:val="24"/>
        </w:rPr>
        <w:t>número</w:t>
      </w:r>
      <w:r w:rsidRPr="00050185">
        <w:rPr>
          <w:rFonts w:ascii="Times New Roman" w:hAnsi="Times New Roman" w:cs="Times New Roman"/>
          <w:i/>
          <w:sz w:val="24"/>
          <w:szCs w:val="24"/>
        </w:rPr>
        <w:t xml:space="preserve"> 6,</w:t>
      </w:r>
      <w:r w:rsidRPr="00050185">
        <w:rPr>
          <w:rFonts w:ascii="Times New Roman" w:hAnsi="Times New Roman" w:cs="Times New Roman"/>
          <w:sz w:val="24"/>
          <w:szCs w:val="24"/>
        </w:rPr>
        <w:t xml:space="preserve"> se incluyen los supuestos de aprovechamiento de la situación de desamparo de la </w:t>
      </w:r>
      <w:r w:rsidR="00100A16" w:rsidRPr="00050185">
        <w:rPr>
          <w:rFonts w:ascii="Times New Roman" w:hAnsi="Times New Roman" w:cs="Times New Roman"/>
          <w:sz w:val="24"/>
          <w:szCs w:val="24"/>
        </w:rPr>
        <w:t>víctima</w:t>
      </w:r>
      <w:r w:rsidRPr="00050185">
        <w:rPr>
          <w:rFonts w:ascii="Times New Roman" w:hAnsi="Times New Roman" w:cs="Times New Roman"/>
          <w:sz w:val="24"/>
          <w:szCs w:val="24"/>
        </w:rPr>
        <w:t xml:space="preserve">, </w:t>
      </w:r>
      <w:r w:rsidR="00100A16" w:rsidRPr="00050185">
        <w:rPr>
          <w:rFonts w:ascii="Times New Roman" w:hAnsi="Times New Roman" w:cs="Times New Roman"/>
          <w:sz w:val="24"/>
          <w:szCs w:val="24"/>
        </w:rPr>
        <w:t>así</w:t>
      </w:r>
      <w:r w:rsidRPr="00050185">
        <w:rPr>
          <w:rFonts w:ascii="Times New Roman" w:hAnsi="Times New Roman" w:cs="Times New Roman"/>
          <w:sz w:val="24"/>
          <w:szCs w:val="24"/>
        </w:rPr>
        <w:t xml:space="preserve"> como las situaciones de catástrofe o calamidad pública, que, sin duda, agravan la conducta si se sustraen cosas ajenas </w:t>
      </w:r>
      <w:r w:rsidR="00100A16" w:rsidRPr="00050185">
        <w:rPr>
          <w:rFonts w:ascii="Times New Roman" w:hAnsi="Times New Roman" w:cs="Times New Roman"/>
          <w:sz w:val="24"/>
          <w:szCs w:val="24"/>
        </w:rPr>
        <w:t>aprovechándose</w:t>
      </w:r>
      <w:r w:rsidRPr="00050185">
        <w:rPr>
          <w:rFonts w:ascii="Times New Roman" w:hAnsi="Times New Roman" w:cs="Times New Roman"/>
          <w:sz w:val="24"/>
          <w:szCs w:val="24"/>
        </w:rPr>
        <w:t xml:space="preserve"> de alguna situación de desamparo en la que se encuentre la </w:t>
      </w:r>
      <w:r w:rsidR="00100A16" w:rsidRPr="00050185">
        <w:rPr>
          <w:rFonts w:ascii="Times New Roman" w:hAnsi="Times New Roman" w:cs="Times New Roman"/>
          <w:sz w:val="24"/>
          <w:szCs w:val="24"/>
        </w:rPr>
        <w:t>víctima</w:t>
      </w:r>
      <w:r w:rsidRPr="00050185">
        <w:rPr>
          <w:rFonts w:ascii="Times New Roman" w:hAnsi="Times New Roman" w:cs="Times New Roman"/>
          <w:sz w:val="24"/>
          <w:szCs w:val="24"/>
        </w:rPr>
        <w:t>.</w:t>
      </w:r>
    </w:p>
    <w:p w:rsidR="00050185" w:rsidRPr="00050185" w:rsidRDefault="00050185" w:rsidP="00050185">
      <w:pPr>
        <w:pStyle w:val="Prrafodelista"/>
        <w:numPr>
          <w:ilvl w:val="0"/>
          <w:numId w:val="21"/>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En el apartado </w:t>
      </w:r>
      <w:r w:rsidR="00100A16" w:rsidRPr="00050185">
        <w:rPr>
          <w:rFonts w:ascii="Times New Roman" w:hAnsi="Times New Roman" w:cs="Times New Roman"/>
          <w:i/>
          <w:sz w:val="24"/>
          <w:szCs w:val="24"/>
        </w:rPr>
        <w:t>número</w:t>
      </w:r>
      <w:r w:rsidRPr="00050185">
        <w:rPr>
          <w:rFonts w:ascii="Times New Roman" w:hAnsi="Times New Roman" w:cs="Times New Roman"/>
          <w:i/>
          <w:sz w:val="24"/>
          <w:szCs w:val="24"/>
        </w:rPr>
        <w:t xml:space="preserve"> 7,</w:t>
      </w:r>
      <w:r w:rsidRPr="00050185">
        <w:rPr>
          <w:rFonts w:ascii="Times New Roman" w:hAnsi="Times New Roman" w:cs="Times New Roman"/>
          <w:sz w:val="24"/>
          <w:szCs w:val="24"/>
        </w:rPr>
        <w:t xml:space="preserve"> el legislador introduce como subtipo agravado un supuesto de </w:t>
      </w:r>
      <w:proofErr w:type="spellStart"/>
      <w:r w:rsidRPr="00050185">
        <w:rPr>
          <w:rFonts w:ascii="Times New Roman" w:hAnsi="Times New Roman" w:cs="Times New Roman"/>
          <w:sz w:val="24"/>
          <w:szCs w:val="24"/>
        </w:rPr>
        <w:t>multirreincidencia</w:t>
      </w:r>
      <w:proofErr w:type="spellEnd"/>
      <w:r w:rsidRPr="00050185">
        <w:rPr>
          <w:rFonts w:ascii="Times New Roman" w:hAnsi="Times New Roman" w:cs="Times New Roman"/>
          <w:sz w:val="24"/>
          <w:szCs w:val="24"/>
        </w:rPr>
        <w:t xml:space="preserve">. Por otra parte, este subtipo agravado recibió fuertes </w:t>
      </w:r>
      <w:r w:rsidR="00100A16" w:rsidRPr="00050185">
        <w:rPr>
          <w:rFonts w:ascii="Times New Roman" w:hAnsi="Times New Roman" w:cs="Times New Roman"/>
          <w:sz w:val="24"/>
          <w:szCs w:val="24"/>
        </w:rPr>
        <w:t>críticas</w:t>
      </w:r>
      <w:r w:rsidRPr="00050185">
        <w:rPr>
          <w:rFonts w:ascii="Times New Roman" w:hAnsi="Times New Roman" w:cs="Times New Roman"/>
          <w:sz w:val="24"/>
          <w:szCs w:val="24"/>
        </w:rPr>
        <w:t xml:space="preserve"> durante todo su procedimiento. Finalmente, la introducción de esta agravante </w:t>
      </w:r>
      <w:r w:rsidR="00100A16" w:rsidRPr="00050185">
        <w:rPr>
          <w:rFonts w:ascii="Times New Roman" w:hAnsi="Times New Roman" w:cs="Times New Roman"/>
          <w:sz w:val="24"/>
          <w:szCs w:val="24"/>
        </w:rPr>
        <w:t>específica</w:t>
      </w:r>
      <w:r w:rsidRPr="00050185">
        <w:rPr>
          <w:rFonts w:ascii="Times New Roman" w:hAnsi="Times New Roman" w:cs="Times New Roman"/>
          <w:sz w:val="24"/>
          <w:szCs w:val="24"/>
        </w:rPr>
        <w:t xml:space="preserve"> puede considerarse bastante </w:t>
      </w:r>
      <w:r w:rsidR="00100A16" w:rsidRPr="00050185">
        <w:rPr>
          <w:rFonts w:ascii="Times New Roman" w:hAnsi="Times New Roman" w:cs="Times New Roman"/>
          <w:sz w:val="24"/>
          <w:szCs w:val="24"/>
        </w:rPr>
        <w:t>innecesaria</w:t>
      </w:r>
      <w:r w:rsidRPr="00050185">
        <w:rPr>
          <w:rFonts w:ascii="Times New Roman" w:hAnsi="Times New Roman" w:cs="Times New Roman"/>
          <w:sz w:val="24"/>
          <w:szCs w:val="24"/>
        </w:rPr>
        <w:t xml:space="preserve">, si tenemos en cuenta que los delitos de robo y de hurto son de </w:t>
      </w:r>
      <w:r w:rsidR="00100A16" w:rsidRPr="00050185">
        <w:rPr>
          <w:rFonts w:ascii="Times New Roman" w:hAnsi="Times New Roman" w:cs="Times New Roman"/>
          <w:sz w:val="24"/>
          <w:szCs w:val="24"/>
        </w:rPr>
        <w:t>fácil</w:t>
      </w:r>
      <w:r w:rsidRPr="00050185">
        <w:rPr>
          <w:rFonts w:ascii="Times New Roman" w:hAnsi="Times New Roman" w:cs="Times New Roman"/>
          <w:sz w:val="24"/>
          <w:szCs w:val="24"/>
        </w:rPr>
        <w:t xml:space="preserve"> y rápida persecución.</w:t>
      </w:r>
    </w:p>
    <w:p w:rsidR="00050185" w:rsidRPr="00050185" w:rsidRDefault="00050185" w:rsidP="00050185">
      <w:pPr>
        <w:pStyle w:val="Prrafodelista"/>
        <w:numPr>
          <w:ilvl w:val="0"/>
          <w:numId w:val="21"/>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En el apartado </w:t>
      </w:r>
      <w:r w:rsidR="00100A16" w:rsidRPr="00050185">
        <w:rPr>
          <w:rFonts w:ascii="Times New Roman" w:hAnsi="Times New Roman" w:cs="Times New Roman"/>
          <w:i/>
          <w:sz w:val="24"/>
          <w:szCs w:val="24"/>
        </w:rPr>
        <w:t>número</w:t>
      </w:r>
      <w:r w:rsidRPr="00050185">
        <w:rPr>
          <w:rFonts w:ascii="Times New Roman" w:hAnsi="Times New Roman" w:cs="Times New Roman"/>
          <w:i/>
          <w:sz w:val="24"/>
          <w:szCs w:val="24"/>
        </w:rPr>
        <w:t xml:space="preserve"> 8</w:t>
      </w:r>
      <w:proofErr w:type="gramStart"/>
      <w:r w:rsidRPr="00050185">
        <w:rPr>
          <w:rFonts w:ascii="Times New Roman" w:hAnsi="Times New Roman" w:cs="Times New Roman"/>
          <w:i/>
          <w:sz w:val="24"/>
          <w:szCs w:val="24"/>
        </w:rPr>
        <w:t>,</w:t>
      </w:r>
      <w:r w:rsidRPr="00050185">
        <w:rPr>
          <w:rFonts w:ascii="Times New Roman" w:hAnsi="Times New Roman" w:cs="Times New Roman"/>
          <w:sz w:val="24"/>
          <w:szCs w:val="24"/>
        </w:rPr>
        <w:t>en</w:t>
      </w:r>
      <w:proofErr w:type="gramEnd"/>
      <w:r w:rsidRPr="00050185">
        <w:rPr>
          <w:rFonts w:ascii="Times New Roman" w:hAnsi="Times New Roman" w:cs="Times New Roman"/>
          <w:sz w:val="24"/>
          <w:szCs w:val="24"/>
        </w:rPr>
        <w:t xml:space="preserve"> esta circunstancia solo observamos un cambio en relación con la edad. </w:t>
      </w:r>
    </w:p>
    <w:p w:rsidR="00050185" w:rsidRPr="00A12636" w:rsidRDefault="00050185" w:rsidP="00050185">
      <w:pPr>
        <w:pStyle w:val="Prrafodelista"/>
        <w:numPr>
          <w:ilvl w:val="0"/>
          <w:numId w:val="21"/>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En el apartado </w:t>
      </w:r>
      <w:r w:rsidR="00100A16" w:rsidRPr="00050185">
        <w:rPr>
          <w:rFonts w:ascii="Times New Roman" w:hAnsi="Times New Roman" w:cs="Times New Roman"/>
          <w:i/>
          <w:sz w:val="24"/>
          <w:szCs w:val="24"/>
        </w:rPr>
        <w:t>número</w:t>
      </w:r>
      <w:r w:rsidRPr="00050185">
        <w:rPr>
          <w:rFonts w:ascii="Times New Roman" w:hAnsi="Times New Roman" w:cs="Times New Roman"/>
          <w:i/>
          <w:sz w:val="24"/>
          <w:szCs w:val="24"/>
        </w:rPr>
        <w:t xml:space="preserve"> 9, </w:t>
      </w:r>
      <w:r w:rsidRPr="00050185">
        <w:rPr>
          <w:rFonts w:ascii="Times New Roman" w:hAnsi="Times New Roman" w:cs="Times New Roman"/>
          <w:sz w:val="24"/>
          <w:szCs w:val="24"/>
        </w:rPr>
        <w:t xml:space="preserve">se introduce una agravante en aquellos casos en los que los hechos se cometan por miembros de una organización o grupo criminal. </w:t>
      </w:r>
    </w:p>
    <w:p w:rsidR="002C1C03" w:rsidRDefault="002C1C03" w:rsidP="00050185">
      <w:pPr>
        <w:spacing w:line="360" w:lineRule="auto"/>
        <w:jc w:val="both"/>
        <w:rPr>
          <w:i/>
          <w:sz w:val="24"/>
          <w:szCs w:val="24"/>
        </w:rPr>
      </w:pPr>
    </w:p>
    <w:p w:rsidR="002C1C03" w:rsidRDefault="002C1C03" w:rsidP="00050185">
      <w:pPr>
        <w:spacing w:line="360" w:lineRule="auto"/>
        <w:jc w:val="both"/>
        <w:rPr>
          <w:i/>
          <w:sz w:val="24"/>
          <w:szCs w:val="24"/>
        </w:rPr>
      </w:pPr>
    </w:p>
    <w:p w:rsidR="002C1C03" w:rsidRDefault="002C1C03" w:rsidP="00050185">
      <w:pPr>
        <w:spacing w:line="360" w:lineRule="auto"/>
        <w:jc w:val="both"/>
        <w:rPr>
          <w:i/>
          <w:sz w:val="24"/>
          <w:szCs w:val="24"/>
        </w:rPr>
      </w:pPr>
    </w:p>
    <w:p w:rsidR="002C1C03" w:rsidRDefault="002C1C03" w:rsidP="00050185">
      <w:pPr>
        <w:spacing w:line="360" w:lineRule="auto"/>
        <w:jc w:val="both"/>
        <w:rPr>
          <w:i/>
          <w:sz w:val="24"/>
          <w:szCs w:val="24"/>
        </w:rPr>
      </w:pPr>
    </w:p>
    <w:p w:rsidR="00050185" w:rsidRPr="004608E0" w:rsidRDefault="00050185" w:rsidP="00050185">
      <w:pPr>
        <w:spacing w:line="360" w:lineRule="auto"/>
        <w:jc w:val="both"/>
        <w:rPr>
          <w:b/>
          <w:color w:val="FF0000"/>
          <w:sz w:val="24"/>
          <w:szCs w:val="24"/>
          <w:u w:val="single"/>
        </w:rPr>
      </w:pPr>
      <w:r w:rsidRPr="004608E0">
        <w:rPr>
          <w:b/>
          <w:sz w:val="24"/>
          <w:szCs w:val="24"/>
          <w:u w:val="single"/>
        </w:rPr>
        <w:lastRenderedPageBreak/>
        <w:t>2.3 CONSUMACIÓN.</w:t>
      </w:r>
    </w:p>
    <w:p w:rsidR="00050185" w:rsidRPr="00050185" w:rsidRDefault="00050185" w:rsidP="00050185">
      <w:pPr>
        <w:spacing w:line="360" w:lineRule="auto"/>
        <w:jc w:val="both"/>
        <w:rPr>
          <w:sz w:val="24"/>
          <w:szCs w:val="24"/>
        </w:rPr>
      </w:pPr>
      <w:r w:rsidRPr="00050185">
        <w:rPr>
          <w:sz w:val="24"/>
          <w:szCs w:val="24"/>
        </w:rPr>
        <w:t xml:space="preserve">A continuación prestamos especial atención a la consumación en el delito de hurto. </w:t>
      </w:r>
    </w:p>
    <w:p w:rsidR="001300B2" w:rsidRDefault="001300B2"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En primer lugar </w:t>
      </w:r>
      <w:proofErr w:type="spellStart"/>
      <w:r w:rsidRPr="00050185">
        <w:rPr>
          <w:b/>
          <w:sz w:val="24"/>
          <w:szCs w:val="24"/>
        </w:rPr>
        <w:t>Mapelli</w:t>
      </w:r>
      <w:proofErr w:type="spellEnd"/>
      <w:r w:rsidR="0066634B">
        <w:rPr>
          <w:b/>
          <w:sz w:val="24"/>
          <w:szCs w:val="24"/>
        </w:rPr>
        <w:t xml:space="preserve"> </w:t>
      </w:r>
      <w:proofErr w:type="spellStart"/>
      <w:r w:rsidRPr="00050185">
        <w:rPr>
          <w:b/>
          <w:sz w:val="24"/>
          <w:szCs w:val="24"/>
        </w:rPr>
        <w:t>Caffarena</w:t>
      </w:r>
      <w:proofErr w:type="spellEnd"/>
      <w:r w:rsidRPr="00050185">
        <w:rPr>
          <w:sz w:val="24"/>
          <w:szCs w:val="24"/>
        </w:rPr>
        <w:t xml:space="preserve"> establece una definición general de “consumación”: &lt;&lt;</w:t>
      </w:r>
      <w:r w:rsidRPr="00050185">
        <w:rPr>
          <w:i/>
          <w:sz w:val="24"/>
          <w:szCs w:val="24"/>
        </w:rPr>
        <w:t>La consumación del delito la determina la realización de todos los elementos del tipo, incluido el resultado. Por el contrario, el agotamiento del delito se produce en el momento en el que ya no se puede disponer de la cosa, porque la ha vendido, consumido, etc</w:t>
      </w:r>
      <w:proofErr w:type="gramStart"/>
      <w:r w:rsidRPr="00050185">
        <w:rPr>
          <w:i/>
          <w:sz w:val="24"/>
          <w:szCs w:val="24"/>
        </w:rPr>
        <w:t>.</w:t>
      </w:r>
      <w:r w:rsidRPr="00050185">
        <w:rPr>
          <w:sz w:val="24"/>
          <w:szCs w:val="24"/>
        </w:rPr>
        <w:t>&gt;</w:t>
      </w:r>
      <w:proofErr w:type="gramEnd"/>
      <w:r w:rsidRPr="00050185">
        <w:rPr>
          <w:sz w:val="24"/>
          <w:szCs w:val="24"/>
        </w:rPr>
        <w:t>&gt;</w:t>
      </w:r>
      <w:r w:rsidRPr="00050185">
        <w:rPr>
          <w:rStyle w:val="Refdenotaalpie"/>
          <w:sz w:val="24"/>
          <w:szCs w:val="24"/>
        </w:rPr>
        <w:footnoteReference w:id="32"/>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Respecto a esto</w:t>
      </w:r>
      <w:r w:rsidR="000B44EE">
        <w:rPr>
          <w:sz w:val="24"/>
          <w:szCs w:val="24"/>
        </w:rPr>
        <w:t xml:space="preserve"> </w:t>
      </w:r>
      <w:r w:rsidRPr="00050185">
        <w:rPr>
          <w:b/>
          <w:sz w:val="24"/>
          <w:szCs w:val="24"/>
        </w:rPr>
        <w:t>Muñoz Conde</w:t>
      </w:r>
      <w:r w:rsidR="0066634B">
        <w:rPr>
          <w:b/>
          <w:sz w:val="24"/>
          <w:szCs w:val="24"/>
        </w:rPr>
        <w:t xml:space="preserve"> </w:t>
      </w:r>
      <w:r w:rsidRPr="00050185">
        <w:rPr>
          <w:sz w:val="24"/>
          <w:szCs w:val="24"/>
        </w:rPr>
        <w:t>dice que:&lt;&lt;</w:t>
      </w:r>
      <w:r w:rsidRPr="00050185">
        <w:rPr>
          <w:i/>
          <w:sz w:val="24"/>
          <w:szCs w:val="24"/>
        </w:rPr>
        <w:t xml:space="preserve">La ambigua denominación empleada por nuestro legislador para caracterizar la acción de “tomar”, hace que sea a veces </w:t>
      </w:r>
      <w:r w:rsidR="00100A16" w:rsidRPr="00050185">
        <w:rPr>
          <w:i/>
          <w:sz w:val="24"/>
          <w:szCs w:val="24"/>
        </w:rPr>
        <w:t>complicado determinar</w:t>
      </w:r>
      <w:r w:rsidRPr="00050185">
        <w:rPr>
          <w:i/>
          <w:sz w:val="24"/>
          <w:szCs w:val="24"/>
        </w:rPr>
        <w:t xml:space="preserve"> el momento en el que el hurto va a quedar consumado. Se contraponen sobre esto dos tesis extremas: </w:t>
      </w:r>
      <w:r w:rsidRPr="00050185">
        <w:rPr>
          <w:b/>
          <w:i/>
          <w:sz w:val="24"/>
          <w:szCs w:val="24"/>
        </w:rPr>
        <w:t>la de máximo rigor</w:t>
      </w:r>
      <w:r w:rsidRPr="00050185">
        <w:rPr>
          <w:i/>
          <w:sz w:val="24"/>
          <w:szCs w:val="24"/>
        </w:rPr>
        <w:t xml:space="preserve">, que considera que el solo con tocar la cosa el delito ya quedaría consumado, y </w:t>
      </w:r>
      <w:r w:rsidRPr="00050185">
        <w:rPr>
          <w:b/>
          <w:i/>
          <w:sz w:val="24"/>
          <w:szCs w:val="24"/>
        </w:rPr>
        <w:t>la opuesta</w:t>
      </w:r>
      <w:r w:rsidRPr="00050185">
        <w:rPr>
          <w:i/>
          <w:sz w:val="24"/>
          <w:szCs w:val="24"/>
        </w:rPr>
        <w:t xml:space="preserve">, que requiere el efectivo dominio sobre la cosa, es decir, que aquel que sustraiga la cosa llegue a culminar sus objetivos. </w:t>
      </w:r>
      <w:r w:rsidR="00100A16" w:rsidRPr="00050185">
        <w:rPr>
          <w:i/>
          <w:sz w:val="24"/>
          <w:szCs w:val="24"/>
        </w:rPr>
        <w:t>Después</w:t>
      </w:r>
      <w:r w:rsidRPr="00050185">
        <w:rPr>
          <w:i/>
          <w:sz w:val="24"/>
          <w:szCs w:val="24"/>
        </w:rPr>
        <w:t xml:space="preserve"> aparece una</w:t>
      </w:r>
      <w:r w:rsidR="0066634B">
        <w:rPr>
          <w:i/>
          <w:sz w:val="24"/>
          <w:szCs w:val="24"/>
        </w:rPr>
        <w:t xml:space="preserve"> </w:t>
      </w:r>
      <w:r w:rsidRPr="00050185">
        <w:rPr>
          <w:b/>
          <w:i/>
          <w:sz w:val="24"/>
          <w:szCs w:val="24"/>
        </w:rPr>
        <w:t>tercera tesis</w:t>
      </w:r>
      <w:r w:rsidR="0066634B">
        <w:rPr>
          <w:b/>
          <w:i/>
          <w:sz w:val="24"/>
          <w:szCs w:val="24"/>
        </w:rPr>
        <w:t xml:space="preserve"> </w:t>
      </w:r>
      <w:r w:rsidR="00100A16" w:rsidRPr="00050185">
        <w:rPr>
          <w:b/>
          <w:i/>
          <w:sz w:val="24"/>
          <w:szCs w:val="24"/>
        </w:rPr>
        <w:t>intermedia</w:t>
      </w:r>
      <w:r w:rsidR="00100A16" w:rsidRPr="00050185">
        <w:rPr>
          <w:i/>
          <w:sz w:val="24"/>
          <w:szCs w:val="24"/>
        </w:rPr>
        <w:t xml:space="preserve"> que</w:t>
      </w:r>
      <w:r w:rsidRPr="00050185">
        <w:rPr>
          <w:i/>
          <w:sz w:val="24"/>
          <w:szCs w:val="24"/>
        </w:rPr>
        <w:t xml:space="preserve"> requiere que como </w:t>
      </w:r>
      <w:r w:rsidR="00100A16" w:rsidRPr="00050185">
        <w:rPr>
          <w:i/>
          <w:sz w:val="24"/>
          <w:szCs w:val="24"/>
        </w:rPr>
        <w:t>mínimo</w:t>
      </w:r>
      <w:r w:rsidRPr="00050185">
        <w:rPr>
          <w:i/>
          <w:sz w:val="24"/>
          <w:szCs w:val="24"/>
        </w:rPr>
        <w:t xml:space="preserve"> el presunto autor llegue a disponer de la cosa, aunque sea de manera momentánea, como requisito </w:t>
      </w:r>
      <w:r w:rsidR="00100A16" w:rsidRPr="00050185">
        <w:rPr>
          <w:i/>
          <w:sz w:val="24"/>
          <w:szCs w:val="24"/>
        </w:rPr>
        <w:t>mínimo</w:t>
      </w:r>
      <w:r w:rsidRPr="00050185">
        <w:rPr>
          <w:i/>
          <w:sz w:val="24"/>
          <w:szCs w:val="24"/>
        </w:rPr>
        <w:t xml:space="preserve"> para que se </w:t>
      </w:r>
      <w:r w:rsidR="00100A16" w:rsidRPr="00050185">
        <w:rPr>
          <w:i/>
          <w:sz w:val="24"/>
          <w:szCs w:val="24"/>
        </w:rPr>
        <w:t>llegue</w:t>
      </w:r>
      <w:r w:rsidRPr="00050185">
        <w:rPr>
          <w:i/>
          <w:sz w:val="24"/>
          <w:szCs w:val="24"/>
        </w:rPr>
        <w:t xml:space="preserve"> a decir que el hurto se ha consumado. Esta última tesis es la más aceptada por nuestra jurisprudencia y la que </w:t>
      </w:r>
      <w:r w:rsidR="00100A16" w:rsidRPr="00050185">
        <w:rPr>
          <w:i/>
          <w:sz w:val="24"/>
          <w:szCs w:val="24"/>
        </w:rPr>
        <w:t>más</w:t>
      </w:r>
      <w:r w:rsidRPr="00050185">
        <w:rPr>
          <w:i/>
          <w:sz w:val="24"/>
          <w:szCs w:val="24"/>
        </w:rPr>
        <w:t xml:space="preserve"> se adopta, sobre todo cuando se refiere a la </w:t>
      </w:r>
      <w:r w:rsidR="00100A16" w:rsidRPr="00050185">
        <w:rPr>
          <w:i/>
          <w:sz w:val="24"/>
          <w:szCs w:val="24"/>
        </w:rPr>
        <w:t>persecución</w:t>
      </w:r>
      <w:r w:rsidRPr="00050185">
        <w:rPr>
          <w:i/>
          <w:sz w:val="24"/>
          <w:szCs w:val="24"/>
        </w:rPr>
        <w:t xml:space="preserve"> del ladrón. La jurisprudencia dominante se inclina por castigar por hurto consumado si la persecución tiene lugar después de descubrir el hurto, es decir, cuando el autor pudo, disponer de lo sustraído, y como intentado, cuando se inicia la persecución desde el momento del apoderamiento. En </w:t>
      </w:r>
      <w:r w:rsidR="00100A16" w:rsidRPr="00050185">
        <w:rPr>
          <w:i/>
          <w:sz w:val="24"/>
          <w:szCs w:val="24"/>
        </w:rPr>
        <w:t>relación</w:t>
      </w:r>
      <w:r w:rsidRPr="00050185">
        <w:rPr>
          <w:i/>
          <w:sz w:val="24"/>
          <w:szCs w:val="24"/>
        </w:rPr>
        <w:t xml:space="preserve"> con esta teoría puede decirse que el no llegar a tocar la cosa, o el apoderamiento material sin disponibilidad, porque el ladrón es sorprendido “in fraganti” o porque es seguido de persecución </w:t>
      </w:r>
      <w:r w:rsidR="00100A16" w:rsidRPr="00050185">
        <w:rPr>
          <w:i/>
          <w:sz w:val="24"/>
          <w:szCs w:val="24"/>
        </w:rPr>
        <w:t>interrumpida</w:t>
      </w:r>
      <w:r w:rsidRPr="00050185">
        <w:rPr>
          <w:i/>
          <w:sz w:val="24"/>
          <w:szCs w:val="24"/>
        </w:rPr>
        <w:t xml:space="preserve">, </w:t>
      </w:r>
      <w:r w:rsidR="00100A16" w:rsidRPr="00050185">
        <w:rPr>
          <w:i/>
          <w:sz w:val="24"/>
          <w:szCs w:val="24"/>
        </w:rPr>
        <w:t>constituyen</w:t>
      </w:r>
      <w:r w:rsidRPr="00050185">
        <w:rPr>
          <w:i/>
          <w:sz w:val="24"/>
          <w:szCs w:val="24"/>
        </w:rPr>
        <w:t xml:space="preserve"> tentativa; y la disponibilidad, aunque momentánea, consumación. Para la consumación no se requiere en ningún momento que el sujeto activo  llegue efectivamente a lucrarse con la cosa hurtada, solo basta con su disponibilidad, aunque sea de forma breve o fugaz. </w:t>
      </w:r>
      <w:r w:rsidR="00100A16" w:rsidRPr="00050185">
        <w:rPr>
          <w:i/>
          <w:sz w:val="24"/>
          <w:szCs w:val="24"/>
        </w:rPr>
        <w:t>También</w:t>
      </w:r>
      <w:r w:rsidRPr="00050185">
        <w:rPr>
          <w:i/>
          <w:sz w:val="24"/>
          <w:szCs w:val="24"/>
        </w:rPr>
        <w:t xml:space="preserve"> cabe la tentativa  cuando, por ejemplo, en contra de las expectativas del sujeto activo no existe objeto material (por ejemplo: meter la </w:t>
      </w:r>
      <w:r w:rsidRPr="00050185">
        <w:rPr>
          <w:i/>
          <w:sz w:val="24"/>
          <w:szCs w:val="24"/>
        </w:rPr>
        <w:lastRenderedPageBreak/>
        <w:t xml:space="preserve">mano en un bolso que resulta estar vacío), o lo </w:t>
      </w:r>
      <w:r w:rsidR="00100A16" w:rsidRPr="00050185">
        <w:rPr>
          <w:i/>
          <w:sz w:val="24"/>
          <w:szCs w:val="24"/>
        </w:rPr>
        <w:t>sustraído</w:t>
      </w:r>
      <w:r w:rsidRPr="00050185">
        <w:rPr>
          <w:i/>
          <w:sz w:val="24"/>
          <w:szCs w:val="24"/>
        </w:rPr>
        <w:t xml:space="preserve"> carece de valor económico</w:t>
      </w:r>
      <w:proofErr w:type="gramStart"/>
      <w:r w:rsidRPr="00050185">
        <w:rPr>
          <w:i/>
          <w:sz w:val="24"/>
          <w:szCs w:val="24"/>
        </w:rPr>
        <w:t>.</w:t>
      </w:r>
      <w:r w:rsidRPr="00050185">
        <w:rPr>
          <w:sz w:val="24"/>
          <w:szCs w:val="24"/>
        </w:rPr>
        <w:t>&gt;</w:t>
      </w:r>
      <w:proofErr w:type="gramEnd"/>
      <w:r w:rsidRPr="00050185">
        <w:rPr>
          <w:sz w:val="24"/>
          <w:szCs w:val="24"/>
        </w:rPr>
        <w:t>&gt;</w:t>
      </w:r>
      <w:r w:rsidRPr="00050185">
        <w:rPr>
          <w:rStyle w:val="Refdenotaalpie"/>
          <w:sz w:val="24"/>
          <w:szCs w:val="24"/>
        </w:rPr>
        <w:footnoteReference w:id="33"/>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La consumación, por lo tanto, no solo se origina cuando se priva al titular o dueño de la cosa de su derecho de propiedad, sino que también puede ocurrir que la cosa esté en posesión de otra persona e</w:t>
      </w:r>
      <w:r w:rsidR="001674EC">
        <w:rPr>
          <w:sz w:val="24"/>
          <w:szCs w:val="24"/>
        </w:rPr>
        <w:t>n el momento en el que se comete</w:t>
      </w:r>
      <w:r w:rsidRPr="00050185">
        <w:rPr>
          <w:sz w:val="24"/>
          <w:szCs w:val="24"/>
        </w:rPr>
        <w:t xml:space="preserve"> el delito. En este supuesto, aunque la cosa haya sido hurtada a la persona que en el momento </w:t>
      </w:r>
      <w:r w:rsidR="001674EC">
        <w:rPr>
          <w:sz w:val="24"/>
          <w:szCs w:val="24"/>
        </w:rPr>
        <w:t xml:space="preserve">la </w:t>
      </w:r>
      <w:r w:rsidR="000B2604">
        <w:rPr>
          <w:sz w:val="24"/>
          <w:szCs w:val="24"/>
        </w:rPr>
        <w:t>tenía</w:t>
      </w:r>
      <w:r w:rsidR="001674EC">
        <w:rPr>
          <w:sz w:val="24"/>
          <w:szCs w:val="24"/>
        </w:rPr>
        <w:t xml:space="preserve"> en su poder</w:t>
      </w:r>
      <w:r w:rsidRPr="00050185">
        <w:rPr>
          <w:sz w:val="24"/>
          <w:szCs w:val="24"/>
        </w:rPr>
        <w:t>, el afectado del bien jurídico protegido</w:t>
      </w:r>
      <w:r w:rsidR="001674EC">
        <w:rPr>
          <w:sz w:val="24"/>
          <w:szCs w:val="24"/>
        </w:rPr>
        <w:t xml:space="preserve"> seguiría siendo</w:t>
      </w:r>
      <w:r w:rsidRPr="00050185">
        <w:rPr>
          <w:sz w:val="24"/>
          <w:szCs w:val="24"/>
        </w:rPr>
        <w:t xml:space="preserve"> el auténtico titular de la cosa. </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La consumación en los delitos de robo y hurto se produce incluso aunque no se haya conseguido el fin perseguido por el autor de lucrarse con la cosa. En estos delitos patrimoniales de apoderamiento la consumación viene ligada a la disponibilidad de los objetos sustraídos, es decir, debe de tenerse en cu</w:t>
      </w:r>
      <w:r w:rsidR="00E352E5">
        <w:rPr>
          <w:sz w:val="24"/>
          <w:szCs w:val="24"/>
        </w:rPr>
        <w:t>enta la capacidad de disponer de la cosa</w:t>
      </w:r>
      <w:r w:rsidRPr="00050185">
        <w:rPr>
          <w:sz w:val="24"/>
          <w:szCs w:val="24"/>
        </w:rPr>
        <w:t>.</w:t>
      </w:r>
    </w:p>
    <w:p w:rsidR="000B44EE" w:rsidRDefault="00050185" w:rsidP="00050185">
      <w:pPr>
        <w:spacing w:line="360" w:lineRule="auto"/>
        <w:jc w:val="both"/>
        <w:rPr>
          <w:sz w:val="24"/>
          <w:szCs w:val="24"/>
        </w:rPr>
      </w:pPr>
      <w:r w:rsidRPr="00050185">
        <w:rPr>
          <w:sz w:val="24"/>
          <w:szCs w:val="24"/>
        </w:rPr>
        <w:t xml:space="preserve">Así se han pronunciado varias sentencias, cuando afirman que aunque esta disponibilidad sea momentánea el delito ya estaría consumado. </w:t>
      </w:r>
    </w:p>
    <w:p w:rsidR="00050185" w:rsidRPr="00050185" w:rsidRDefault="00050185" w:rsidP="00050185">
      <w:pPr>
        <w:spacing w:line="360" w:lineRule="auto"/>
        <w:jc w:val="both"/>
        <w:rPr>
          <w:sz w:val="24"/>
          <w:szCs w:val="24"/>
        </w:rPr>
      </w:pPr>
      <w:r w:rsidRPr="00050185">
        <w:rPr>
          <w:sz w:val="24"/>
          <w:szCs w:val="24"/>
        </w:rPr>
        <w:t>Nos encontramos con varias teorías que nos permiten comprobar si el delito de hurto esta consumado o no. Sin embargo, a pesar de la variedad de teorías que podemos observar, la teoría que usualmente adopta la Doctrina y Jurisprudencia es la teoría de la disponibilidad.</w:t>
      </w:r>
      <w:r w:rsidRPr="00050185">
        <w:rPr>
          <w:rStyle w:val="Refdenotaalpie"/>
          <w:sz w:val="24"/>
          <w:szCs w:val="24"/>
        </w:rPr>
        <w:footnoteReference w:id="34"/>
      </w:r>
    </w:p>
    <w:p w:rsidR="00050185" w:rsidRPr="00050185" w:rsidRDefault="00050185" w:rsidP="00050185">
      <w:pPr>
        <w:spacing w:line="360" w:lineRule="auto"/>
        <w:jc w:val="both"/>
        <w:rPr>
          <w:sz w:val="24"/>
          <w:szCs w:val="24"/>
        </w:rPr>
      </w:pPr>
    </w:p>
    <w:p w:rsidR="00050185" w:rsidRPr="004608E0" w:rsidRDefault="00050185" w:rsidP="00050185">
      <w:pPr>
        <w:spacing w:line="360" w:lineRule="auto"/>
        <w:jc w:val="both"/>
        <w:rPr>
          <w:b/>
          <w:color w:val="FF0000"/>
          <w:sz w:val="24"/>
          <w:szCs w:val="24"/>
          <w:u w:val="single"/>
        </w:rPr>
      </w:pPr>
      <w:r w:rsidRPr="004608E0">
        <w:rPr>
          <w:b/>
          <w:sz w:val="24"/>
          <w:szCs w:val="24"/>
          <w:u w:val="single"/>
        </w:rPr>
        <w:t>2.3.1 TEORIA DE LA DISPONIBILIDAD.</w:t>
      </w:r>
    </w:p>
    <w:p w:rsidR="00050185" w:rsidRPr="00050185" w:rsidRDefault="00050185" w:rsidP="00050185">
      <w:pPr>
        <w:spacing w:line="360" w:lineRule="auto"/>
        <w:jc w:val="both"/>
        <w:rPr>
          <w:sz w:val="24"/>
          <w:szCs w:val="24"/>
        </w:rPr>
      </w:pPr>
      <w:r w:rsidRPr="00050185">
        <w:rPr>
          <w:sz w:val="24"/>
          <w:szCs w:val="24"/>
        </w:rPr>
        <w:t>El tribunal ha examinado en varias situaciones el concepto de disponibilidad. La consumación en estos delitos se ocasiona siempre que se lleve a cabo la disponibilidad de la cosa mueble ajena. Tiene que producirse una facultad real de disponer.</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Por lo tanto, entendemos por disponibilidad la oportunidad, aunque sea </w:t>
      </w:r>
      <w:r w:rsidR="00100A16" w:rsidRPr="00050185">
        <w:rPr>
          <w:sz w:val="24"/>
          <w:szCs w:val="24"/>
        </w:rPr>
        <w:t>breve, de</w:t>
      </w:r>
      <w:r w:rsidRPr="00050185">
        <w:rPr>
          <w:sz w:val="24"/>
          <w:szCs w:val="24"/>
        </w:rPr>
        <w:t xml:space="preserve"> disponer del obj</w:t>
      </w:r>
      <w:r w:rsidR="0009755A">
        <w:rPr>
          <w:sz w:val="24"/>
          <w:szCs w:val="24"/>
        </w:rPr>
        <w:t>eto. Por ejemplo, destaco la Sentencia</w:t>
      </w:r>
      <w:r w:rsidRPr="00050185">
        <w:rPr>
          <w:sz w:val="24"/>
          <w:szCs w:val="24"/>
        </w:rPr>
        <w:t xml:space="preserve"> 1186/2012, de 18 de septiembre, en donde vemos más claramente la teoría de la disponibilidad.</w:t>
      </w:r>
      <w:r w:rsidRPr="00050185">
        <w:rPr>
          <w:rStyle w:val="Refdenotaalpie"/>
          <w:sz w:val="24"/>
          <w:szCs w:val="24"/>
        </w:rPr>
        <w:footnoteReference w:id="35"/>
      </w:r>
    </w:p>
    <w:p w:rsidR="00050185" w:rsidRPr="00050185" w:rsidRDefault="00050185" w:rsidP="00050185">
      <w:pPr>
        <w:spacing w:line="360" w:lineRule="auto"/>
        <w:jc w:val="both"/>
        <w:rPr>
          <w:sz w:val="24"/>
          <w:szCs w:val="24"/>
        </w:rPr>
      </w:pPr>
      <w:r w:rsidRPr="00050185">
        <w:rPr>
          <w:sz w:val="24"/>
          <w:szCs w:val="24"/>
        </w:rPr>
        <w:lastRenderedPageBreak/>
        <w:t>Dentro de esta teoría de la disponibilidad nos encontramos con otras dos teorías más. Éstas son:</w:t>
      </w:r>
    </w:p>
    <w:p w:rsidR="00050185" w:rsidRPr="00050185" w:rsidRDefault="00050185" w:rsidP="00050185">
      <w:pPr>
        <w:spacing w:line="360" w:lineRule="auto"/>
        <w:jc w:val="both"/>
        <w:rPr>
          <w:sz w:val="24"/>
          <w:szCs w:val="24"/>
        </w:rPr>
      </w:pPr>
    </w:p>
    <w:p w:rsidR="00050185" w:rsidRPr="004608E0" w:rsidRDefault="00050185" w:rsidP="00050185">
      <w:pPr>
        <w:spacing w:line="360" w:lineRule="auto"/>
        <w:jc w:val="both"/>
        <w:rPr>
          <w:sz w:val="24"/>
          <w:szCs w:val="24"/>
          <w:u w:val="single"/>
        </w:rPr>
      </w:pPr>
      <w:r w:rsidRPr="004608E0">
        <w:rPr>
          <w:sz w:val="24"/>
          <w:szCs w:val="24"/>
          <w:u w:val="single"/>
        </w:rPr>
        <w:t xml:space="preserve">A) Teoría de la </w:t>
      </w:r>
      <w:proofErr w:type="spellStart"/>
      <w:r w:rsidRPr="004608E0">
        <w:rPr>
          <w:sz w:val="24"/>
          <w:szCs w:val="24"/>
          <w:u w:val="single"/>
        </w:rPr>
        <w:t>Illactio</w:t>
      </w:r>
      <w:proofErr w:type="spellEnd"/>
      <w:r w:rsidRPr="004608E0">
        <w:rPr>
          <w:sz w:val="24"/>
          <w:szCs w:val="24"/>
          <w:u w:val="single"/>
        </w:rPr>
        <w:t>.</w:t>
      </w:r>
    </w:p>
    <w:p w:rsidR="00050185" w:rsidRPr="00050185" w:rsidRDefault="00050185" w:rsidP="00050185">
      <w:pPr>
        <w:spacing w:line="360" w:lineRule="auto"/>
        <w:jc w:val="both"/>
        <w:rPr>
          <w:sz w:val="24"/>
          <w:szCs w:val="24"/>
        </w:rPr>
      </w:pPr>
      <w:r w:rsidRPr="00050185">
        <w:rPr>
          <w:sz w:val="24"/>
          <w:szCs w:val="24"/>
        </w:rPr>
        <w:t xml:space="preserve">Consiste en hurtar la cosa mueble a su dueño y tener la disponibilidad sobre la misma. Aunque esta disponibilidad sea mínima. </w:t>
      </w:r>
    </w:p>
    <w:p w:rsidR="00050185" w:rsidRPr="00050185" w:rsidRDefault="00050185" w:rsidP="00050185">
      <w:pPr>
        <w:spacing w:line="360" w:lineRule="auto"/>
        <w:jc w:val="both"/>
        <w:rPr>
          <w:sz w:val="24"/>
          <w:szCs w:val="24"/>
        </w:rPr>
      </w:pPr>
      <w:r w:rsidRPr="00050185">
        <w:rPr>
          <w:sz w:val="24"/>
          <w:szCs w:val="24"/>
        </w:rPr>
        <w:t>Esta teoría la e</w:t>
      </w:r>
      <w:r w:rsidR="0009755A">
        <w:rPr>
          <w:sz w:val="24"/>
          <w:szCs w:val="24"/>
        </w:rPr>
        <w:t>ncontramos por ejemplo en la STS</w:t>
      </w:r>
      <w:r w:rsidRPr="00050185">
        <w:rPr>
          <w:sz w:val="24"/>
          <w:szCs w:val="24"/>
        </w:rPr>
        <w:t xml:space="preserve"> 1419/2002, de 29 de Julio</w:t>
      </w:r>
      <w:r w:rsidRPr="00050185">
        <w:rPr>
          <w:rStyle w:val="Refdenotaalpie"/>
          <w:sz w:val="24"/>
          <w:szCs w:val="24"/>
        </w:rPr>
        <w:footnoteReference w:id="36"/>
      </w:r>
      <w:r w:rsidRPr="00050185">
        <w:rPr>
          <w:sz w:val="24"/>
          <w:szCs w:val="24"/>
        </w:rPr>
        <w:t xml:space="preserve"> y en la Sentencia de la Audiencia Provincial de Alicante de 26 de Febrero de 2010.</w:t>
      </w:r>
      <w:r w:rsidRPr="00050185">
        <w:rPr>
          <w:rStyle w:val="Refdenotaalpie"/>
          <w:sz w:val="24"/>
          <w:szCs w:val="24"/>
        </w:rPr>
        <w:footnoteReference w:id="37"/>
      </w:r>
    </w:p>
    <w:p w:rsidR="00050185" w:rsidRPr="00050185" w:rsidRDefault="00050185" w:rsidP="00050185">
      <w:pPr>
        <w:spacing w:line="360" w:lineRule="auto"/>
        <w:jc w:val="both"/>
        <w:rPr>
          <w:sz w:val="24"/>
          <w:szCs w:val="24"/>
        </w:rPr>
      </w:pPr>
    </w:p>
    <w:p w:rsidR="00050185" w:rsidRPr="004608E0" w:rsidRDefault="00050185" w:rsidP="00050185">
      <w:pPr>
        <w:spacing w:line="360" w:lineRule="auto"/>
        <w:jc w:val="both"/>
        <w:rPr>
          <w:sz w:val="24"/>
          <w:szCs w:val="24"/>
          <w:u w:val="single"/>
        </w:rPr>
      </w:pPr>
      <w:r w:rsidRPr="004608E0">
        <w:rPr>
          <w:sz w:val="24"/>
          <w:szCs w:val="24"/>
          <w:u w:val="single"/>
        </w:rPr>
        <w:t xml:space="preserve">B) Teoría de la </w:t>
      </w:r>
      <w:proofErr w:type="spellStart"/>
      <w:r w:rsidRPr="004608E0">
        <w:rPr>
          <w:sz w:val="24"/>
          <w:szCs w:val="24"/>
          <w:u w:val="single"/>
        </w:rPr>
        <w:t>Locupletatio</w:t>
      </w:r>
      <w:proofErr w:type="spellEnd"/>
      <w:r w:rsidRPr="004608E0">
        <w:rPr>
          <w:sz w:val="24"/>
          <w:szCs w:val="24"/>
          <w:u w:val="single"/>
        </w:rPr>
        <w:t>.</w:t>
      </w:r>
    </w:p>
    <w:p w:rsidR="00050185" w:rsidRDefault="00050185" w:rsidP="00050185">
      <w:pPr>
        <w:spacing w:line="360" w:lineRule="auto"/>
        <w:jc w:val="both"/>
        <w:rPr>
          <w:sz w:val="24"/>
          <w:szCs w:val="24"/>
        </w:rPr>
      </w:pPr>
      <w:r w:rsidRPr="00050185">
        <w:rPr>
          <w:sz w:val="24"/>
          <w:szCs w:val="24"/>
        </w:rPr>
        <w:t xml:space="preserve">A diferencia de las anteriores, en esta teoría se pide, no solo que se llegue a disponer de la cosa, sino que </w:t>
      </w:r>
      <w:r w:rsidR="00100A16" w:rsidRPr="00050185">
        <w:rPr>
          <w:sz w:val="24"/>
          <w:szCs w:val="24"/>
        </w:rPr>
        <w:t>también</w:t>
      </w:r>
      <w:r w:rsidRPr="00050185">
        <w:rPr>
          <w:sz w:val="24"/>
          <w:szCs w:val="24"/>
        </w:rPr>
        <w:t xml:space="preserve"> se obtenga un provecho o ganancia del mismo. Aquí la disponibilidad, por el contrario, debe de ser máxima. </w:t>
      </w:r>
    </w:p>
    <w:p w:rsidR="00FF5A42" w:rsidRPr="00050185" w:rsidRDefault="00FF5A42" w:rsidP="00050185">
      <w:pPr>
        <w:spacing w:line="360" w:lineRule="auto"/>
        <w:jc w:val="both"/>
        <w:rPr>
          <w:sz w:val="24"/>
          <w:szCs w:val="24"/>
        </w:rPr>
      </w:pPr>
    </w:p>
    <w:p w:rsidR="00050185" w:rsidRPr="004608E0" w:rsidRDefault="00050185" w:rsidP="00050185">
      <w:pPr>
        <w:spacing w:line="360" w:lineRule="auto"/>
        <w:jc w:val="both"/>
        <w:rPr>
          <w:b/>
          <w:sz w:val="24"/>
          <w:szCs w:val="24"/>
          <w:u w:val="single"/>
        </w:rPr>
      </w:pPr>
      <w:r w:rsidRPr="004608E0">
        <w:rPr>
          <w:b/>
          <w:sz w:val="24"/>
          <w:szCs w:val="24"/>
          <w:u w:val="single"/>
        </w:rPr>
        <w:t>2.3.2 TEORIA DE LA MERA CONTRECTATIO.</w:t>
      </w:r>
    </w:p>
    <w:p w:rsidR="00050185" w:rsidRPr="00050185" w:rsidRDefault="00050185" w:rsidP="00050185">
      <w:pPr>
        <w:spacing w:line="360" w:lineRule="auto"/>
        <w:jc w:val="both"/>
        <w:rPr>
          <w:sz w:val="24"/>
          <w:szCs w:val="24"/>
        </w:rPr>
      </w:pPr>
      <w:r w:rsidRPr="00050185">
        <w:rPr>
          <w:sz w:val="24"/>
          <w:szCs w:val="24"/>
        </w:rPr>
        <w:t xml:space="preserve">En este caso se  consuma cuando hay un contacto material con el objeto sustraído, no sólo por el autor del delito, sino que </w:t>
      </w:r>
      <w:r w:rsidR="00100A16" w:rsidRPr="00050185">
        <w:rPr>
          <w:sz w:val="24"/>
          <w:szCs w:val="24"/>
        </w:rPr>
        <w:t>también</w:t>
      </w:r>
      <w:r w:rsidRPr="00050185">
        <w:rPr>
          <w:sz w:val="24"/>
          <w:szCs w:val="24"/>
        </w:rPr>
        <w:t xml:space="preserve"> se produciría si el autor utiliza </w:t>
      </w:r>
      <w:r w:rsidR="00100A16" w:rsidRPr="00050185">
        <w:rPr>
          <w:sz w:val="24"/>
          <w:szCs w:val="24"/>
        </w:rPr>
        <w:t>algún</w:t>
      </w:r>
      <w:r w:rsidRPr="00050185">
        <w:rPr>
          <w:sz w:val="24"/>
          <w:szCs w:val="24"/>
        </w:rPr>
        <w:t xml:space="preserve"> instrumento como medio para cometer el delito. </w:t>
      </w:r>
    </w:p>
    <w:p w:rsidR="00050185" w:rsidRPr="00050185" w:rsidRDefault="00050185" w:rsidP="00050185">
      <w:pPr>
        <w:spacing w:line="360" w:lineRule="auto"/>
        <w:jc w:val="both"/>
        <w:rPr>
          <w:sz w:val="24"/>
          <w:szCs w:val="24"/>
        </w:rPr>
      </w:pPr>
    </w:p>
    <w:p w:rsidR="00050185" w:rsidRPr="004608E0" w:rsidRDefault="00050185" w:rsidP="00050185">
      <w:pPr>
        <w:spacing w:line="360" w:lineRule="auto"/>
        <w:jc w:val="both"/>
        <w:rPr>
          <w:b/>
          <w:sz w:val="24"/>
          <w:szCs w:val="24"/>
          <w:u w:val="single"/>
        </w:rPr>
      </w:pPr>
      <w:r w:rsidRPr="004608E0">
        <w:rPr>
          <w:b/>
          <w:sz w:val="24"/>
          <w:szCs w:val="24"/>
          <w:u w:val="single"/>
        </w:rPr>
        <w:t>2.3.3 TEORIA DE LA ABLATIO.</w:t>
      </w:r>
    </w:p>
    <w:p w:rsidR="00050185" w:rsidRPr="00050185" w:rsidRDefault="00050185" w:rsidP="00050185">
      <w:pPr>
        <w:spacing w:line="360" w:lineRule="auto"/>
        <w:jc w:val="both"/>
        <w:rPr>
          <w:sz w:val="24"/>
          <w:szCs w:val="24"/>
        </w:rPr>
      </w:pPr>
      <w:r w:rsidRPr="00050185">
        <w:rPr>
          <w:sz w:val="24"/>
          <w:szCs w:val="24"/>
        </w:rPr>
        <w:t>No basta con coger la cosa sino que hay que sacarla de la esfera de control de su dueño. Además implica la consumación si se produce la separación de la cosa del lugar donde se encuentra.</w:t>
      </w:r>
    </w:p>
    <w:p w:rsidR="00050185" w:rsidRPr="00050185" w:rsidRDefault="00050185" w:rsidP="00050185">
      <w:pPr>
        <w:spacing w:line="360" w:lineRule="auto"/>
        <w:jc w:val="both"/>
        <w:rPr>
          <w:sz w:val="24"/>
          <w:szCs w:val="24"/>
        </w:rPr>
      </w:pPr>
      <w:r w:rsidRPr="00050185">
        <w:rPr>
          <w:sz w:val="24"/>
          <w:szCs w:val="24"/>
        </w:rPr>
        <w:t xml:space="preserve">Por lo tanto, no basta solo con que la cosa mueble haya sido hurtada por el sujeto activo, o incluso que se haya dado a la fuga con ella (como ocurre en la teoría de la </w:t>
      </w:r>
      <w:proofErr w:type="spellStart"/>
      <w:r w:rsidRPr="00050185">
        <w:rPr>
          <w:sz w:val="24"/>
          <w:szCs w:val="24"/>
        </w:rPr>
        <w:t>ablatio</w:t>
      </w:r>
      <w:proofErr w:type="spellEnd"/>
      <w:r w:rsidRPr="00050185">
        <w:rPr>
          <w:sz w:val="24"/>
          <w:szCs w:val="24"/>
        </w:rPr>
        <w:t xml:space="preserve">) para afirmar que el hurto ha sido consumado, sino que es requisito imprescindible que exista una mínima disponibilidad sobre la cosa, aunque sea de manera fugaz. </w:t>
      </w:r>
    </w:p>
    <w:p w:rsidR="00050185" w:rsidRPr="00050185" w:rsidRDefault="00050185" w:rsidP="00050185">
      <w:pPr>
        <w:spacing w:line="360" w:lineRule="auto"/>
        <w:jc w:val="both"/>
        <w:rPr>
          <w:sz w:val="24"/>
          <w:szCs w:val="24"/>
        </w:rPr>
      </w:pPr>
      <w:r w:rsidRPr="00050185">
        <w:rPr>
          <w:sz w:val="24"/>
          <w:szCs w:val="24"/>
        </w:rPr>
        <w:lastRenderedPageBreak/>
        <w:t xml:space="preserve">Por lo que esta teoría de la </w:t>
      </w:r>
      <w:proofErr w:type="spellStart"/>
      <w:r w:rsidRPr="00050185">
        <w:rPr>
          <w:sz w:val="24"/>
          <w:szCs w:val="24"/>
        </w:rPr>
        <w:t>ablatio</w:t>
      </w:r>
      <w:proofErr w:type="spellEnd"/>
      <w:r w:rsidRPr="00050185">
        <w:rPr>
          <w:sz w:val="24"/>
          <w:szCs w:val="24"/>
        </w:rPr>
        <w:t xml:space="preserve"> estaría inconclusa y habría que atender al caso concreto para poder aplicarla.</w:t>
      </w:r>
    </w:p>
    <w:p w:rsidR="00050185" w:rsidRPr="00050185" w:rsidRDefault="00050185" w:rsidP="00050185">
      <w:pPr>
        <w:spacing w:line="360" w:lineRule="auto"/>
        <w:jc w:val="both"/>
        <w:rPr>
          <w:sz w:val="24"/>
          <w:szCs w:val="24"/>
        </w:rPr>
      </w:pPr>
    </w:p>
    <w:p w:rsidR="00050185" w:rsidRPr="004608E0" w:rsidRDefault="00050185" w:rsidP="00050185">
      <w:pPr>
        <w:spacing w:line="360" w:lineRule="auto"/>
        <w:jc w:val="both"/>
        <w:rPr>
          <w:b/>
          <w:sz w:val="24"/>
          <w:szCs w:val="24"/>
          <w:u w:val="single"/>
        </w:rPr>
      </w:pPr>
      <w:r w:rsidRPr="004608E0">
        <w:rPr>
          <w:b/>
          <w:sz w:val="24"/>
          <w:szCs w:val="24"/>
          <w:u w:val="single"/>
        </w:rPr>
        <w:t>2.4 FORMAS IMPERFECTAS DE EJECUCIÓN. TENTATIVA</w:t>
      </w:r>
    </w:p>
    <w:p w:rsidR="00050185" w:rsidRPr="00050185" w:rsidRDefault="00050185" w:rsidP="00050185">
      <w:pPr>
        <w:spacing w:line="360" w:lineRule="auto"/>
        <w:jc w:val="both"/>
        <w:rPr>
          <w:sz w:val="24"/>
          <w:szCs w:val="24"/>
        </w:rPr>
      </w:pPr>
      <w:r w:rsidRPr="00050185">
        <w:rPr>
          <w:sz w:val="24"/>
          <w:szCs w:val="24"/>
        </w:rPr>
        <w:t xml:space="preserve">El </w:t>
      </w:r>
      <w:r w:rsidR="00100A16" w:rsidRPr="00050185">
        <w:rPr>
          <w:sz w:val="24"/>
          <w:szCs w:val="24"/>
        </w:rPr>
        <w:t>artículo</w:t>
      </w:r>
      <w:r w:rsidRPr="00050185">
        <w:rPr>
          <w:sz w:val="24"/>
          <w:szCs w:val="24"/>
        </w:rPr>
        <w:t xml:space="preserve"> 16.1 del Código Penal establece que hay tentativa cuando el sujeto realiza todos o parte de los </w:t>
      </w:r>
      <w:r w:rsidR="00100A16" w:rsidRPr="00050185">
        <w:rPr>
          <w:sz w:val="24"/>
          <w:szCs w:val="24"/>
        </w:rPr>
        <w:t>actos que</w:t>
      </w:r>
      <w:r w:rsidRPr="00050185">
        <w:rPr>
          <w:sz w:val="24"/>
          <w:szCs w:val="24"/>
        </w:rPr>
        <w:t xml:space="preserve"> objetivamente </w:t>
      </w:r>
      <w:r w:rsidR="00100A16" w:rsidRPr="00050185">
        <w:rPr>
          <w:sz w:val="24"/>
          <w:szCs w:val="24"/>
        </w:rPr>
        <w:t>deberían</w:t>
      </w:r>
      <w:r w:rsidRPr="00050185">
        <w:rPr>
          <w:sz w:val="24"/>
          <w:szCs w:val="24"/>
        </w:rPr>
        <w:t xml:space="preserve"> producir el resultado, y sin embargo, éste no se produce por causas ajenas a la voluntad del autor.</w:t>
      </w:r>
      <w:r w:rsidRPr="00050185">
        <w:rPr>
          <w:rStyle w:val="Refdenotaalpie"/>
          <w:sz w:val="24"/>
          <w:szCs w:val="24"/>
        </w:rPr>
        <w:footnoteReference w:id="38"/>
      </w:r>
    </w:p>
    <w:p w:rsidR="000B44EE" w:rsidRDefault="000B44EE" w:rsidP="00050185">
      <w:pPr>
        <w:spacing w:line="360" w:lineRule="auto"/>
        <w:jc w:val="both"/>
        <w:rPr>
          <w:b/>
          <w:sz w:val="24"/>
          <w:szCs w:val="24"/>
        </w:rPr>
      </w:pPr>
    </w:p>
    <w:p w:rsidR="00050185" w:rsidRPr="00050185" w:rsidRDefault="00050185" w:rsidP="00050185">
      <w:pPr>
        <w:spacing w:line="360" w:lineRule="auto"/>
        <w:jc w:val="both"/>
        <w:rPr>
          <w:i/>
          <w:sz w:val="24"/>
          <w:szCs w:val="24"/>
        </w:rPr>
      </w:pPr>
      <w:r w:rsidRPr="00050185">
        <w:rPr>
          <w:b/>
          <w:sz w:val="24"/>
          <w:szCs w:val="24"/>
        </w:rPr>
        <w:t>Cuello Contreras</w:t>
      </w:r>
      <w:r w:rsidRPr="00050185">
        <w:rPr>
          <w:sz w:val="24"/>
          <w:szCs w:val="24"/>
        </w:rPr>
        <w:t xml:space="preserve"> establece que: &lt;&lt;</w:t>
      </w:r>
      <w:r w:rsidRPr="00050185">
        <w:rPr>
          <w:i/>
          <w:sz w:val="24"/>
          <w:szCs w:val="24"/>
        </w:rPr>
        <w:t xml:space="preserve">La </w:t>
      </w:r>
      <w:r w:rsidR="00100A16" w:rsidRPr="00050185">
        <w:rPr>
          <w:i/>
          <w:sz w:val="24"/>
          <w:szCs w:val="24"/>
        </w:rPr>
        <w:t>definición</w:t>
      </w:r>
      <w:r w:rsidRPr="00050185">
        <w:rPr>
          <w:i/>
          <w:sz w:val="24"/>
          <w:szCs w:val="24"/>
        </w:rPr>
        <w:t xml:space="preserve"> legal de tentativa pivota sobre tres requisitos fundamentales:</w:t>
      </w:r>
    </w:p>
    <w:p w:rsidR="00050185" w:rsidRPr="00050185" w:rsidRDefault="00050185" w:rsidP="00050185">
      <w:pPr>
        <w:pStyle w:val="Prrafodelista"/>
        <w:numPr>
          <w:ilvl w:val="0"/>
          <w:numId w:val="9"/>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El autor ha de haber realizado hechos exteriores que representen el comienzo de ejecución del tipo delictivo directamente, lo que excluye la resolución delictiva sin hechos exteriores o que éstos sólo estén muy remotamente conectados con la genuina realización del hecho típico.</w:t>
      </w:r>
    </w:p>
    <w:p w:rsidR="00050185" w:rsidRPr="00050185" w:rsidRDefault="00050185" w:rsidP="00050185">
      <w:pPr>
        <w:pStyle w:val="Prrafodelista"/>
        <w:numPr>
          <w:ilvl w:val="0"/>
          <w:numId w:val="9"/>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Los hechos además han de ser objetivamente adecuados para la producción del resultado, lo que excluye a la llamada tentativa irreal o supersticiosa, ya que en ella el autor no se ha representado un curso causal </w:t>
      </w:r>
      <w:r w:rsidR="00100A16" w:rsidRPr="00050185">
        <w:rPr>
          <w:rFonts w:ascii="Times New Roman" w:hAnsi="Times New Roman" w:cs="Times New Roman"/>
          <w:i/>
          <w:sz w:val="24"/>
          <w:szCs w:val="24"/>
        </w:rPr>
        <w:t>científicamente</w:t>
      </w:r>
      <w:r w:rsidRPr="00050185">
        <w:rPr>
          <w:rFonts w:ascii="Times New Roman" w:hAnsi="Times New Roman" w:cs="Times New Roman"/>
          <w:i/>
          <w:sz w:val="24"/>
          <w:szCs w:val="24"/>
        </w:rPr>
        <w:t xml:space="preserve"> adecuado </w:t>
      </w:r>
      <w:r w:rsidR="00100A16" w:rsidRPr="00050185">
        <w:rPr>
          <w:rFonts w:ascii="Times New Roman" w:hAnsi="Times New Roman" w:cs="Times New Roman"/>
          <w:i/>
          <w:sz w:val="24"/>
          <w:szCs w:val="24"/>
        </w:rPr>
        <w:t>para</w:t>
      </w:r>
      <w:r w:rsidRPr="00050185">
        <w:rPr>
          <w:rFonts w:ascii="Times New Roman" w:hAnsi="Times New Roman" w:cs="Times New Roman"/>
          <w:i/>
          <w:sz w:val="24"/>
          <w:szCs w:val="24"/>
        </w:rPr>
        <w:t xml:space="preserve"> producir el resultado. </w:t>
      </w:r>
    </w:p>
    <w:p w:rsidR="00050185" w:rsidRPr="00050185" w:rsidRDefault="00050185" w:rsidP="00050185">
      <w:pPr>
        <w:pStyle w:val="Prrafodelista"/>
        <w:numPr>
          <w:ilvl w:val="0"/>
          <w:numId w:val="9"/>
        </w:numPr>
        <w:spacing w:line="360" w:lineRule="auto"/>
        <w:jc w:val="both"/>
        <w:rPr>
          <w:rFonts w:ascii="Times New Roman" w:hAnsi="Times New Roman" w:cs="Times New Roman"/>
          <w:sz w:val="24"/>
          <w:szCs w:val="24"/>
        </w:rPr>
      </w:pPr>
      <w:r w:rsidRPr="00050185">
        <w:rPr>
          <w:rFonts w:ascii="Times New Roman" w:hAnsi="Times New Roman" w:cs="Times New Roman"/>
          <w:i/>
          <w:sz w:val="24"/>
          <w:szCs w:val="24"/>
        </w:rPr>
        <w:t>El nexo causal adecuado iniciado por el autor no ha debido desembocar en el resultado (</w:t>
      </w:r>
      <w:r w:rsidR="00100A16" w:rsidRPr="00050185">
        <w:rPr>
          <w:rFonts w:ascii="Times New Roman" w:hAnsi="Times New Roman" w:cs="Times New Roman"/>
          <w:i/>
          <w:sz w:val="24"/>
          <w:szCs w:val="24"/>
        </w:rPr>
        <w:t>en</w:t>
      </w:r>
      <w:r w:rsidRPr="00050185">
        <w:rPr>
          <w:rFonts w:ascii="Times New Roman" w:hAnsi="Times New Roman" w:cs="Times New Roman"/>
          <w:i/>
          <w:sz w:val="24"/>
          <w:szCs w:val="24"/>
        </w:rPr>
        <w:t xml:space="preserve"> cuyo caso la responsabilidad es más grave, por delito consumado)</w:t>
      </w:r>
      <w:proofErr w:type="gramStart"/>
      <w:r w:rsidRPr="00050185">
        <w:rPr>
          <w:rFonts w:ascii="Times New Roman" w:hAnsi="Times New Roman" w:cs="Times New Roman"/>
          <w:i/>
          <w:sz w:val="24"/>
          <w:szCs w:val="24"/>
        </w:rPr>
        <w:t>.</w:t>
      </w:r>
      <w:r w:rsidRPr="00050185">
        <w:rPr>
          <w:rFonts w:ascii="Times New Roman" w:hAnsi="Times New Roman" w:cs="Times New Roman"/>
          <w:sz w:val="24"/>
          <w:szCs w:val="24"/>
        </w:rPr>
        <w:t>&gt;</w:t>
      </w:r>
      <w:proofErr w:type="gramEnd"/>
      <w:r w:rsidRPr="00050185">
        <w:rPr>
          <w:rFonts w:ascii="Times New Roman" w:hAnsi="Times New Roman" w:cs="Times New Roman"/>
          <w:sz w:val="24"/>
          <w:szCs w:val="24"/>
        </w:rPr>
        <w:t>&gt;</w:t>
      </w:r>
      <w:r w:rsidRPr="00050185">
        <w:rPr>
          <w:rStyle w:val="Refdenotaalpie"/>
          <w:rFonts w:ascii="Times New Roman" w:hAnsi="Times New Roman" w:cs="Times New Roman"/>
          <w:sz w:val="24"/>
          <w:szCs w:val="24"/>
        </w:rPr>
        <w:footnoteReference w:id="39"/>
      </w:r>
    </w:p>
    <w:p w:rsidR="00050185" w:rsidRPr="00050185" w:rsidRDefault="00050185" w:rsidP="00050185">
      <w:pPr>
        <w:spacing w:line="360" w:lineRule="auto"/>
        <w:jc w:val="both"/>
        <w:rPr>
          <w:sz w:val="24"/>
          <w:szCs w:val="24"/>
        </w:rPr>
      </w:pPr>
      <w:r w:rsidRPr="00050185">
        <w:rPr>
          <w:sz w:val="24"/>
          <w:szCs w:val="24"/>
        </w:rPr>
        <w:t xml:space="preserve">Por lo tanto, el delito de hurto puede admitir como formas imperfectas de ejecución, la tentativa. Y distinguimos tanto la tentativa acabada como la inacabada. </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Cuando una persona sea acusada por un delito de hurto, tenemos que ver si esa persona ha cometido el delito en grado de tentativa, o por el contrario lo ha consumado. Esto es muy importante, porque dependiendo del caso en el que nos encontremos aplicaremos una pena superior o inferior. </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i/>
          <w:sz w:val="24"/>
          <w:szCs w:val="24"/>
        </w:rPr>
      </w:pPr>
      <w:r w:rsidRPr="00050185">
        <w:rPr>
          <w:sz w:val="24"/>
          <w:szCs w:val="24"/>
        </w:rPr>
        <w:lastRenderedPageBreak/>
        <w:t xml:space="preserve">Según </w:t>
      </w:r>
      <w:r w:rsidRPr="00050185">
        <w:rPr>
          <w:b/>
          <w:sz w:val="24"/>
          <w:szCs w:val="24"/>
        </w:rPr>
        <w:t>Pérez del Valle</w:t>
      </w:r>
      <w:r w:rsidRPr="00050185">
        <w:rPr>
          <w:sz w:val="24"/>
          <w:szCs w:val="24"/>
        </w:rPr>
        <w:t>: &lt;&lt;</w:t>
      </w:r>
      <w:r w:rsidRPr="00050185">
        <w:rPr>
          <w:i/>
          <w:sz w:val="24"/>
          <w:szCs w:val="24"/>
        </w:rPr>
        <w:t xml:space="preserve">La regulación de las tentativas en el </w:t>
      </w:r>
      <w:r w:rsidR="00100A16" w:rsidRPr="00050185">
        <w:rPr>
          <w:i/>
          <w:sz w:val="24"/>
          <w:szCs w:val="24"/>
        </w:rPr>
        <w:t>artículo</w:t>
      </w:r>
      <w:r w:rsidRPr="00050185">
        <w:rPr>
          <w:i/>
          <w:sz w:val="24"/>
          <w:szCs w:val="24"/>
        </w:rPr>
        <w:t xml:space="preserve"> 16 del Código penal describe dos tipos de tentativas, dependiendo de si han realizado “todos” o “parte” de los actos “que objetivamente </w:t>
      </w:r>
      <w:r w:rsidR="00100A16" w:rsidRPr="00050185">
        <w:rPr>
          <w:i/>
          <w:sz w:val="24"/>
          <w:szCs w:val="24"/>
        </w:rPr>
        <w:t>deberían</w:t>
      </w:r>
      <w:r w:rsidRPr="00050185">
        <w:rPr>
          <w:i/>
          <w:sz w:val="24"/>
          <w:szCs w:val="24"/>
        </w:rPr>
        <w:t xml:space="preserve"> producir el resultado”; doctrina y jurisprudencia acuden a los términos de “tentativa acabada” para referirse al primer caso, y “tentativa </w:t>
      </w:r>
      <w:r w:rsidR="00100A16" w:rsidRPr="00050185">
        <w:rPr>
          <w:i/>
          <w:sz w:val="24"/>
          <w:szCs w:val="24"/>
        </w:rPr>
        <w:t>inacabada</w:t>
      </w:r>
      <w:r w:rsidRPr="00050185">
        <w:rPr>
          <w:i/>
          <w:sz w:val="24"/>
          <w:szCs w:val="24"/>
        </w:rPr>
        <w:t>” para referirse al segundo:</w:t>
      </w:r>
    </w:p>
    <w:p w:rsidR="00050185" w:rsidRPr="00050185" w:rsidRDefault="00050185" w:rsidP="00050185">
      <w:pPr>
        <w:pStyle w:val="Prrafodelista"/>
        <w:numPr>
          <w:ilvl w:val="0"/>
          <w:numId w:val="10"/>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Tentativa acabada: Sería aquella en la que el desarrollo de la ejecución ha alcanzado el punto en el cual el autor pierde el control sobre la completa realización del tipoy, en su caso, por la producción del resultado. </w:t>
      </w:r>
    </w:p>
    <w:p w:rsidR="00050185" w:rsidRPr="00050185" w:rsidRDefault="00050185" w:rsidP="00050185">
      <w:pPr>
        <w:pStyle w:val="Prrafodelista"/>
        <w:numPr>
          <w:ilvl w:val="0"/>
          <w:numId w:val="10"/>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Tentativa inacabada: Seria aquella en la que el desarrollo de la ejecución permite al autor mantener el control sobre la completa realización del comportamiento </w:t>
      </w:r>
      <w:r w:rsidR="00100A16" w:rsidRPr="00050185">
        <w:rPr>
          <w:rFonts w:ascii="Times New Roman" w:hAnsi="Times New Roman" w:cs="Times New Roman"/>
          <w:i/>
          <w:sz w:val="24"/>
          <w:szCs w:val="24"/>
        </w:rPr>
        <w:t>típico</w:t>
      </w:r>
      <w:r w:rsidRPr="00050185">
        <w:rPr>
          <w:rFonts w:ascii="Times New Roman" w:hAnsi="Times New Roman" w:cs="Times New Roman"/>
          <w:i/>
          <w:sz w:val="24"/>
          <w:szCs w:val="24"/>
        </w:rPr>
        <w:t>, y en su caso, por la producción del resultado</w:t>
      </w:r>
      <w:proofErr w:type="gramStart"/>
      <w:r w:rsidRPr="00050185">
        <w:rPr>
          <w:rFonts w:ascii="Times New Roman" w:hAnsi="Times New Roman" w:cs="Times New Roman"/>
          <w:i/>
          <w:sz w:val="24"/>
          <w:szCs w:val="24"/>
        </w:rPr>
        <w:t>.&gt;</w:t>
      </w:r>
      <w:proofErr w:type="gramEnd"/>
      <w:r w:rsidRPr="00050185">
        <w:rPr>
          <w:rFonts w:ascii="Times New Roman" w:hAnsi="Times New Roman" w:cs="Times New Roman"/>
          <w:i/>
          <w:sz w:val="24"/>
          <w:szCs w:val="24"/>
        </w:rPr>
        <w:t>&gt;</w:t>
      </w:r>
      <w:r w:rsidRPr="00050185">
        <w:rPr>
          <w:rStyle w:val="Refdenotaalpie"/>
          <w:rFonts w:ascii="Times New Roman" w:hAnsi="Times New Roman" w:cs="Times New Roman"/>
          <w:i/>
          <w:sz w:val="24"/>
          <w:szCs w:val="24"/>
        </w:rPr>
        <w:footnoteReference w:id="40"/>
      </w:r>
    </w:p>
    <w:p w:rsidR="00050185" w:rsidRPr="00050185" w:rsidRDefault="00050185" w:rsidP="00050185">
      <w:pPr>
        <w:spacing w:line="360" w:lineRule="auto"/>
        <w:jc w:val="both"/>
        <w:rPr>
          <w:sz w:val="24"/>
          <w:szCs w:val="24"/>
        </w:rPr>
      </w:pPr>
      <w:r w:rsidRPr="00050185">
        <w:rPr>
          <w:sz w:val="24"/>
          <w:szCs w:val="24"/>
        </w:rPr>
        <w:t xml:space="preserve">Sin embargo, hay casos donde esta cuestión no esta tan clara. Es difícil determinar, en algunos supuestos, si estamos ante un supuesto en grado de tentativa o, si por el contrario, se ha consumado. Por ejemplo: Si el sujeto sale corriendo del establecimiento con el objeto que ha hurtado y se aleja del lugar de los hechos pero posteriormente es detenido, se entiende que ha tenido disponibilidad de los objetos sustraídos, al menos de manera </w:t>
      </w:r>
      <w:r w:rsidR="00100A16" w:rsidRPr="00050185">
        <w:rPr>
          <w:sz w:val="24"/>
          <w:szCs w:val="24"/>
        </w:rPr>
        <w:t>momentánea</w:t>
      </w:r>
      <w:r w:rsidRPr="00050185">
        <w:rPr>
          <w:sz w:val="24"/>
          <w:szCs w:val="24"/>
        </w:rPr>
        <w:t xml:space="preserve">, por lo que lo </w:t>
      </w:r>
      <w:r w:rsidR="00100A16" w:rsidRPr="00050185">
        <w:rPr>
          <w:sz w:val="24"/>
          <w:szCs w:val="24"/>
        </w:rPr>
        <w:t>consideraríamos</w:t>
      </w:r>
      <w:r w:rsidRPr="00050185">
        <w:rPr>
          <w:sz w:val="24"/>
          <w:szCs w:val="24"/>
        </w:rPr>
        <w:t xml:space="preserve"> como un delito de hurto consumado.</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A la hora de aplicar el delito de hurto en grado de tentativa, nos basamos en el </w:t>
      </w:r>
      <w:r w:rsidRPr="00050185">
        <w:rPr>
          <w:b/>
          <w:sz w:val="24"/>
          <w:szCs w:val="24"/>
        </w:rPr>
        <w:t>artículo 62 del Código Penal</w:t>
      </w:r>
      <w:r w:rsidRPr="00050185">
        <w:rPr>
          <w:sz w:val="24"/>
          <w:szCs w:val="24"/>
        </w:rPr>
        <w:t xml:space="preserve"> que dispone que: &lt;&lt;</w:t>
      </w:r>
      <w:r w:rsidRPr="00050185">
        <w:rPr>
          <w:i/>
          <w:sz w:val="24"/>
          <w:szCs w:val="24"/>
        </w:rPr>
        <w:t>A los autores de tentativa de delito se les impondrá la pena inferior en uno o dos grados a la señalada por la Ley para el delito consumado, en la extensión que se estime adecuada, atendiendo al peligro inherente al intento y al grado de ejecución alcanzado</w:t>
      </w:r>
      <w:proofErr w:type="gramStart"/>
      <w:r w:rsidRPr="00050185">
        <w:rPr>
          <w:sz w:val="24"/>
          <w:szCs w:val="24"/>
        </w:rPr>
        <w:t>.&gt;</w:t>
      </w:r>
      <w:proofErr w:type="gramEnd"/>
      <w:r w:rsidRPr="00050185">
        <w:rPr>
          <w:sz w:val="24"/>
          <w:szCs w:val="24"/>
        </w:rPr>
        <w:t>&gt;</w:t>
      </w:r>
      <w:r w:rsidRPr="00050185">
        <w:rPr>
          <w:rStyle w:val="Refdenotaalpie"/>
          <w:sz w:val="24"/>
          <w:szCs w:val="24"/>
        </w:rPr>
        <w:footnoteReference w:id="41"/>
      </w:r>
    </w:p>
    <w:p w:rsidR="000B44EE" w:rsidRDefault="000B44EE" w:rsidP="00050185">
      <w:pPr>
        <w:spacing w:line="360" w:lineRule="auto"/>
        <w:jc w:val="both"/>
        <w:rPr>
          <w:bCs/>
          <w:sz w:val="24"/>
          <w:szCs w:val="24"/>
        </w:rPr>
      </w:pPr>
    </w:p>
    <w:p w:rsidR="00050185" w:rsidRPr="00050185" w:rsidRDefault="00050185" w:rsidP="00050185">
      <w:pPr>
        <w:spacing w:line="360" w:lineRule="auto"/>
        <w:jc w:val="both"/>
        <w:rPr>
          <w:bCs/>
          <w:sz w:val="24"/>
          <w:szCs w:val="24"/>
        </w:rPr>
      </w:pPr>
      <w:r w:rsidRPr="00050185">
        <w:rPr>
          <w:bCs/>
          <w:sz w:val="24"/>
          <w:szCs w:val="24"/>
        </w:rPr>
        <w:t xml:space="preserve">En el caso anterior, el juez deberá de imponer la pena inferior en uno o dos grados, y no la pena que se señala para este delito. Esto es de especial significación a la hora de castigar al acusado del delito de hurto. </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bCs/>
          <w:sz w:val="24"/>
          <w:szCs w:val="24"/>
        </w:rPr>
      </w:pPr>
      <w:r w:rsidRPr="00050185">
        <w:rPr>
          <w:sz w:val="24"/>
          <w:szCs w:val="24"/>
        </w:rPr>
        <w:lastRenderedPageBreak/>
        <w:t xml:space="preserve">Destaco la </w:t>
      </w:r>
      <w:r w:rsidRPr="00050185">
        <w:rPr>
          <w:bCs/>
          <w:sz w:val="24"/>
          <w:szCs w:val="24"/>
        </w:rPr>
        <w:t>Sentencia de la Audiencia Provincial de Madrid número 716/2006, de 18 de septiembre en la que se castigan a dos personas como coautores de un delito de hurto en grado de tentativa.</w:t>
      </w:r>
      <w:r w:rsidRPr="00050185">
        <w:rPr>
          <w:rStyle w:val="Refdenotaalpie"/>
          <w:bCs/>
          <w:sz w:val="24"/>
          <w:szCs w:val="24"/>
        </w:rPr>
        <w:footnoteReference w:id="42"/>
      </w:r>
    </w:p>
    <w:p w:rsidR="00050185" w:rsidRPr="00050185" w:rsidRDefault="00050185" w:rsidP="00050185">
      <w:pPr>
        <w:spacing w:line="360" w:lineRule="auto"/>
        <w:jc w:val="both"/>
        <w:rPr>
          <w:bCs/>
          <w:sz w:val="24"/>
          <w:szCs w:val="24"/>
        </w:rPr>
      </w:pPr>
    </w:p>
    <w:p w:rsidR="00050185" w:rsidRPr="004608E0" w:rsidRDefault="00050185" w:rsidP="00050185">
      <w:pPr>
        <w:spacing w:line="360" w:lineRule="auto"/>
        <w:jc w:val="both"/>
        <w:rPr>
          <w:b/>
          <w:color w:val="FF0000"/>
          <w:sz w:val="24"/>
          <w:szCs w:val="24"/>
          <w:u w:val="single"/>
        </w:rPr>
      </w:pPr>
      <w:r w:rsidRPr="004608E0">
        <w:rPr>
          <w:b/>
          <w:sz w:val="24"/>
          <w:szCs w:val="24"/>
          <w:u w:val="single"/>
        </w:rPr>
        <w:t>2.4.1 CASOS PROBLEMÁTICOS EN EL CASO DE LA TENTATIVA.</w:t>
      </w:r>
    </w:p>
    <w:p w:rsidR="00050185" w:rsidRDefault="00050185" w:rsidP="00050185">
      <w:pPr>
        <w:spacing w:line="360" w:lineRule="auto"/>
        <w:jc w:val="both"/>
        <w:rPr>
          <w:sz w:val="24"/>
          <w:szCs w:val="24"/>
        </w:rPr>
      </w:pPr>
      <w:r w:rsidRPr="00050185">
        <w:rPr>
          <w:sz w:val="24"/>
          <w:szCs w:val="24"/>
        </w:rPr>
        <w:t>Diferenciamos varios supuestos</w:t>
      </w:r>
      <w:r w:rsidRPr="00050185">
        <w:rPr>
          <w:rStyle w:val="Refdenotaalpie"/>
          <w:sz w:val="24"/>
          <w:szCs w:val="24"/>
        </w:rPr>
        <w:footnoteReference w:id="43"/>
      </w:r>
      <w:r w:rsidRPr="00050185">
        <w:rPr>
          <w:sz w:val="24"/>
          <w:szCs w:val="24"/>
        </w:rPr>
        <w:t>:</w:t>
      </w:r>
    </w:p>
    <w:p w:rsidR="000B44EE" w:rsidRPr="00050185" w:rsidRDefault="000B44EE" w:rsidP="00050185">
      <w:pPr>
        <w:spacing w:line="360" w:lineRule="auto"/>
        <w:jc w:val="both"/>
        <w:rPr>
          <w:sz w:val="24"/>
          <w:szCs w:val="24"/>
        </w:rPr>
      </w:pPr>
    </w:p>
    <w:p w:rsidR="008A671E" w:rsidRDefault="00050185" w:rsidP="00050185">
      <w:pPr>
        <w:pStyle w:val="Prrafodelista"/>
        <w:numPr>
          <w:ilvl w:val="0"/>
          <w:numId w:val="5"/>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Supuestos de fuga: Se debería prestar atención a si la fuga es inmediata o no.</w:t>
      </w:r>
      <w:r w:rsidR="008A671E">
        <w:rPr>
          <w:rFonts w:ascii="Times New Roman" w:hAnsi="Times New Roman" w:cs="Times New Roman"/>
          <w:sz w:val="24"/>
          <w:szCs w:val="24"/>
        </w:rPr>
        <w:t xml:space="preserve"> El sujeto comete la conducta e inmediatamente huye, produciéndose </w:t>
      </w:r>
      <w:r w:rsidR="006B3A42">
        <w:rPr>
          <w:rFonts w:ascii="Times New Roman" w:hAnsi="Times New Roman" w:cs="Times New Roman"/>
          <w:sz w:val="24"/>
          <w:szCs w:val="24"/>
        </w:rPr>
        <w:t>así</w:t>
      </w:r>
      <w:r w:rsidRPr="00050185">
        <w:rPr>
          <w:rFonts w:ascii="Times New Roman" w:hAnsi="Times New Roman" w:cs="Times New Roman"/>
          <w:sz w:val="24"/>
          <w:szCs w:val="24"/>
        </w:rPr>
        <w:t xml:space="preserve"> </w:t>
      </w:r>
      <w:r w:rsidR="008A671E">
        <w:rPr>
          <w:rFonts w:ascii="Times New Roman" w:hAnsi="Times New Roman" w:cs="Times New Roman"/>
          <w:sz w:val="24"/>
          <w:szCs w:val="24"/>
        </w:rPr>
        <w:t xml:space="preserve"> una </w:t>
      </w:r>
      <w:r w:rsidRPr="00050185">
        <w:rPr>
          <w:rFonts w:ascii="Times New Roman" w:hAnsi="Times New Roman" w:cs="Times New Roman"/>
          <w:sz w:val="24"/>
          <w:szCs w:val="24"/>
        </w:rPr>
        <w:t xml:space="preserve">persecución inmediata y finaliza </w:t>
      </w:r>
      <w:r w:rsidR="008A671E">
        <w:rPr>
          <w:rFonts w:ascii="Times New Roman" w:hAnsi="Times New Roman" w:cs="Times New Roman"/>
          <w:sz w:val="24"/>
          <w:szCs w:val="24"/>
        </w:rPr>
        <w:t xml:space="preserve">cuando </w:t>
      </w:r>
      <w:r w:rsidR="001674EC">
        <w:rPr>
          <w:rFonts w:ascii="Times New Roman" w:hAnsi="Times New Roman" w:cs="Times New Roman"/>
          <w:sz w:val="24"/>
          <w:szCs w:val="24"/>
        </w:rPr>
        <w:t>lo detienen</w:t>
      </w:r>
      <w:r w:rsidR="008A671E">
        <w:rPr>
          <w:rFonts w:ascii="Times New Roman" w:hAnsi="Times New Roman" w:cs="Times New Roman"/>
          <w:sz w:val="24"/>
          <w:szCs w:val="24"/>
        </w:rPr>
        <w:t xml:space="preserve">. En este caso </w:t>
      </w:r>
      <w:r w:rsidRPr="00050185">
        <w:rPr>
          <w:rFonts w:ascii="Times New Roman" w:hAnsi="Times New Roman" w:cs="Times New Roman"/>
          <w:sz w:val="24"/>
          <w:szCs w:val="24"/>
        </w:rPr>
        <w:t xml:space="preserve">no se habría consumado el delito, por lo que estaríamos ante un caso de </w:t>
      </w:r>
      <w:r w:rsidR="00100A16" w:rsidRPr="00050185">
        <w:rPr>
          <w:rFonts w:ascii="Times New Roman" w:hAnsi="Times New Roman" w:cs="Times New Roman"/>
          <w:sz w:val="24"/>
          <w:szCs w:val="24"/>
        </w:rPr>
        <w:t xml:space="preserve">tentativa. </w:t>
      </w:r>
    </w:p>
    <w:p w:rsidR="0009755A" w:rsidRDefault="008A671E" w:rsidP="008A671E">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Pero en ocasiones hay variaciones,</w:t>
      </w:r>
      <w:r w:rsidR="00050185" w:rsidRPr="00050185">
        <w:rPr>
          <w:rFonts w:ascii="Times New Roman" w:hAnsi="Times New Roman" w:cs="Times New Roman"/>
          <w:sz w:val="24"/>
          <w:szCs w:val="24"/>
        </w:rPr>
        <w:t xml:space="preserve"> si</w:t>
      </w:r>
      <w:r w:rsidR="00446728">
        <w:rPr>
          <w:rFonts w:ascii="Times New Roman" w:hAnsi="Times New Roman" w:cs="Times New Roman"/>
          <w:sz w:val="24"/>
          <w:szCs w:val="24"/>
        </w:rPr>
        <w:t xml:space="preserve"> durante la persecución</w:t>
      </w:r>
      <w:r w:rsidR="00050185" w:rsidRPr="00050185">
        <w:rPr>
          <w:rFonts w:ascii="Times New Roman" w:hAnsi="Times New Roman" w:cs="Times New Roman"/>
          <w:sz w:val="24"/>
          <w:szCs w:val="24"/>
        </w:rPr>
        <w:t xml:space="preserve"> todavía se ve el objeto, esto sería un caso de tentat</w:t>
      </w:r>
      <w:r w:rsidR="00446728">
        <w:rPr>
          <w:rFonts w:ascii="Times New Roman" w:hAnsi="Times New Roman" w:cs="Times New Roman"/>
          <w:sz w:val="24"/>
          <w:szCs w:val="24"/>
        </w:rPr>
        <w:t>iva y cuando se pierde de vista el objeto</w:t>
      </w:r>
      <w:r w:rsidR="00050185" w:rsidRPr="00050185">
        <w:rPr>
          <w:rFonts w:ascii="Times New Roman" w:hAnsi="Times New Roman" w:cs="Times New Roman"/>
          <w:sz w:val="24"/>
          <w:szCs w:val="24"/>
        </w:rPr>
        <w:t xml:space="preserve"> ya estaría consumado el delito. </w:t>
      </w:r>
    </w:p>
    <w:p w:rsidR="00050185" w:rsidRPr="00050185" w:rsidRDefault="00050185" w:rsidP="0009755A">
      <w:pPr>
        <w:pStyle w:val="Prrafodelista"/>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Destaco la Sentencia de la Audiencia provincial de Segovia de 16 de Enero de 1997. En esta sentencia el acusado no consiguió disponer de la cosa, que es el requisito que se pide para admitir la consumación del hecho delictivo.</w:t>
      </w:r>
      <w:r w:rsidRPr="00050185">
        <w:rPr>
          <w:rStyle w:val="Refdenotaalpie"/>
          <w:rFonts w:ascii="Times New Roman" w:hAnsi="Times New Roman" w:cs="Times New Roman"/>
          <w:sz w:val="24"/>
          <w:szCs w:val="24"/>
        </w:rPr>
        <w:footnoteReference w:id="44"/>
      </w:r>
    </w:p>
    <w:p w:rsidR="00050185" w:rsidRPr="00050185" w:rsidRDefault="00100A16" w:rsidP="00050185">
      <w:pPr>
        <w:spacing w:line="360" w:lineRule="auto"/>
        <w:jc w:val="both"/>
        <w:rPr>
          <w:sz w:val="24"/>
          <w:szCs w:val="24"/>
        </w:rPr>
      </w:pPr>
      <w:r>
        <w:rPr>
          <w:sz w:val="24"/>
          <w:szCs w:val="24"/>
        </w:rPr>
        <w:t>Últimamente</w:t>
      </w:r>
      <w:r w:rsidR="0009755A">
        <w:rPr>
          <w:sz w:val="24"/>
          <w:szCs w:val="24"/>
        </w:rPr>
        <w:t xml:space="preserve"> la</w:t>
      </w:r>
      <w:r w:rsidR="00050185" w:rsidRPr="00050185">
        <w:rPr>
          <w:sz w:val="24"/>
          <w:szCs w:val="24"/>
        </w:rPr>
        <w:t xml:space="preserve"> Jurisprudencia le está dando especial importancia a </w:t>
      </w:r>
      <w:r w:rsidR="0009755A">
        <w:rPr>
          <w:sz w:val="24"/>
          <w:szCs w:val="24"/>
        </w:rPr>
        <w:t xml:space="preserve">los casos de la huida, afirma que en los supuestos </w:t>
      </w:r>
      <w:r w:rsidR="00050185" w:rsidRPr="00050185">
        <w:rPr>
          <w:sz w:val="24"/>
          <w:szCs w:val="24"/>
        </w:rPr>
        <w:t xml:space="preserve">en los que se produce esta huida el delito de hurto ya estaría consumado, ya que aunque sea de forma breve, el sujeto ha tenido la disponibilidad de la cosa. Además también se considera tentativa abandonar la cosa durante el momento de la huida.  </w:t>
      </w:r>
    </w:p>
    <w:p w:rsidR="00050185" w:rsidRPr="00050185" w:rsidRDefault="00050185" w:rsidP="00050185">
      <w:pPr>
        <w:pStyle w:val="Prrafodelista"/>
        <w:numPr>
          <w:ilvl w:val="0"/>
          <w:numId w:val="5"/>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Sujeto pillado “in fraganti”: El sujeto es sorprendido cometiendo la conducta pero sin disponer de lo sustraído. Destaco la Sentencia de la Audiencia Provincial de Madrid de 30 de Junio de 2009.</w:t>
      </w:r>
      <w:r w:rsidRPr="00050185">
        <w:rPr>
          <w:rStyle w:val="Refdenotaalpie"/>
          <w:rFonts w:ascii="Times New Roman" w:hAnsi="Times New Roman" w:cs="Times New Roman"/>
          <w:sz w:val="24"/>
          <w:szCs w:val="24"/>
        </w:rPr>
        <w:footnoteReference w:id="45"/>
      </w:r>
    </w:p>
    <w:p w:rsidR="00050185" w:rsidRPr="00050185" w:rsidRDefault="00050185" w:rsidP="00050185">
      <w:pPr>
        <w:pStyle w:val="Prrafodelista"/>
        <w:numPr>
          <w:ilvl w:val="0"/>
          <w:numId w:val="5"/>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lastRenderedPageBreak/>
        <w:t xml:space="preserve">Ocultación de un objeto: En este caso el delito no queda consumado hasta que el autor vuelva a por la cosa sustraída en el lugar donde la ocultó. </w:t>
      </w:r>
    </w:p>
    <w:p w:rsidR="00050185" w:rsidRPr="00050185" w:rsidRDefault="00050185" w:rsidP="00050185">
      <w:pPr>
        <w:pStyle w:val="Prrafodelista"/>
        <w:numPr>
          <w:ilvl w:val="0"/>
          <w:numId w:val="5"/>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Desistimiento voluntario: Tal y como establece el </w:t>
      </w:r>
      <w:r w:rsidR="00100A16" w:rsidRPr="00050185">
        <w:rPr>
          <w:rFonts w:ascii="Times New Roman" w:hAnsi="Times New Roman" w:cs="Times New Roman"/>
          <w:sz w:val="24"/>
          <w:szCs w:val="24"/>
        </w:rPr>
        <w:t>artículo</w:t>
      </w:r>
      <w:r w:rsidRPr="00050185">
        <w:rPr>
          <w:rFonts w:ascii="Times New Roman" w:hAnsi="Times New Roman" w:cs="Times New Roman"/>
          <w:sz w:val="24"/>
          <w:szCs w:val="24"/>
        </w:rPr>
        <w:t xml:space="preserve"> 16.2 del Código Penal</w:t>
      </w:r>
      <w:r w:rsidRPr="00050185">
        <w:rPr>
          <w:rStyle w:val="Refdenotaalpie"/>
          <w:rFonts w:ascii="Times New Roman" w:hAnsi="Times New Roman" w:cs="Times New Roman"/>
          <w:sz w:val="24"/>
          <w:szCs w:val="24"/>
        </w:rPr>
        <w:footnoteReference w:id="46"/>
      </w:r>
      <w:r w:rsidRPr="00050185">
        <w:rPr>
          <w:rFonts w:ascii="Times New Roman" w:hAnsi="Times New Roman" w:cs="Times New Roman"/>
          <w:sz w:val="24"/>
          <w:szCs w:val="24"/>
        </w:rPr>
        <w:t xml:space="preserve">, se </w:t>
      </w:r>
      <w:r w:rsidR="00100A16" w:rsidRPr="00050185">
        <w:rPr>
          <w:rFonts w:ascii="Times New Roman" w:hAnsi="Times New Roman" w:cs="Times New Roman"/>
          <w:sz w:val="24"/>
          <w:szCs w:val="24"/>
        </w:rPr>
        <w:t>prevé</w:t>
      </w:r>
      <w:r w:rsidRPr="00050185">
        <w:rPr>
          <w:rFonts w:ascii="Times New Roman" w:hAnsi="Times New Roman" w:cs="Times New Roman"/>
          <w:sz w:val="24"/>
          <w:szCs w:val="24"/>
        </w:rPr>
        <w:t xml:space="preserve"> la </w:t>
      </w:r>
      <w:r w:rsidR="00100A16" w:rsidRPr="00050185">
        <w:rPr>
          <w:rFonts w:ascii="Times New Roman" w:hAnsi="Times New Roman" w:cs="Times New Roman"/>
          <w:sz w:val="24"/>
          <w:szCs w:val="24"/>
        </w:rPr>
        <w:t>exclusión</w:t>
      </w:r>
      <w:r w:rsidRPr="00050185">
        <w:rPr>
          <w:rFonts w:ascii="Times New Roman" w:hAnsi="Times New Roman" w:cs="Times New Roman"/>
          <w:sz w:val="24"/>
          <w:szCs w:val="24"/>
        </w:rPr>
        <w:t xml:space="preserve"> de la pena en casos en los que existe desistim</w:t>
      </w:r>
      <w:r w:rsidR="00446728">
        <w:rPr>
          <w:rFonts w:ascii="Times New Roman" w:hAnsi="Times New Roman" w:cs="Times New Roman"/>
          <w:sz w:val="24"/>
          <w:szCs w:val="24"/>
        </w:rPr>
        <w:t>iento en una tentativa; esto es</w:t>
      </w:r>
      <w:r w:rsidRPr="00050185">
        <w:rPr>
          <w:rFonts w:ascii="Times New Roman" w:hAnsi="Times New Roman" w:cs="Times New Roman"/>
          <w:sz w:val="24"/>
          <w:szCs w:val="24"/>
        </w:rPr>
        <w:t xml:space="preserve"> cuando de forma voluntaria el autor desiste de cometer la conducta. El desistimiento debe de ser voluntario, eficaz y definitivo. Distinguimos el desistimiento en los dos tipos de tentativa:</w:t>
      </w:r>
    </w:p>
    <w:p w:rsidR="00050185" w:rsidRPr="00050185" w:rsidRDefault="00050185" w:rsidP="00050185">
      <w:pPr>
        <w:pStyle w:val="Prrafodelista"/>
        <w:numPr>
          <w:ilvl w:val="0"/>
          <w:numId w:val="11"/>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Si la tentativa es inacabada, el autor </w:t>
      </w:r>
      <w:r w:rsidR="00100A16" w:rsidRPr="00050185">
        <w:rPr>
          <w:rFonts w:ascii="Times New Roman" w:hAnsi="Times New Roman" w:cs="Times New Roman"/>
          <w:sz w:val="24"/>
          <w:szCs w:val="24"/>
        </w:rPr>
        <w:t>está</w:t>
      </w:r>
      <w:r w:rsidRPr="00050185">
        <w:rPr>
          <w:rFonts w:ascii="Times New Roman" w:hAnsi="Times New Roman" w:cs="Times New Roman"/>
          <w:sz w:val="24"/>
          <w:szCs w:val="24"/>
        </w:rPr>
        <w:t xml:space="preserve"> en una fase del plan en la que </w:t>
      </w:r>
      <w:r w:rsidR="00100A16" w:rsidRPr="00050185">
        <w:rPr>
          <w:rFonts w:ascii="Times New Roman" w:hAnsi="Times New Roman" w:cs="Times New Roman"/>
          <w:sz w:val="24"/>
          <w:szCs w:val="24"/>
        </w:rPr>
        <w:t>aún</w:t>
      </w:r>
      <w:r w:rsidRPr="00050185">
        <w:rPr>
          <w:rFonts w:ascii="Times New Roman" w:hAnsi="Times New Roman" w:cs="Times New Roman"/>
          <w:sz w:val="24"/>
          <w:szCs w:val="24"/>
        </w:rPr>
        <w:t xml:space="preserve"> puede desistir de cometer el acto.</w:t>
      </w:r>
    </w:p>
    <w:p w:rsidR="00050185" w:rsidRPr="00050185" w:rsidRDefault="00050185" w:rsidP="00050185">
      <w:pPr>
        <w:pStyle w:val="Prrafodelista"/>
        <w:numPr>
          <w:ilvl w:val="0"/>
          <w:numId w:val="11"/>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Si la tentativa es acabada, el autor ya no controlaría la fase final del plan, y por lo tanto, ha de intentar recuperar de nuevo el control del plan para que el resultado no se llegue a producir y </w:t>
      </w:r>
      <w:r w:rsidR="00100A16" w:rsidRPr="00050185">
        <w:rPr>
          <w:rFonts w:ascii="Times New Roman" w:hAnsi="Times New Roman" w:cs="Times New Roman"/>
          <w:sz w:val="24"/>
          <w:szCs w:val="24"/>
        </w:rPr>
        <w:t>así</w:t>
      </w:r>
      <w:r w:rsidRPr="00050185">
        <w:rPr>
          <w:rFonts w:ascii="Times New Roman" w:hAnsi="Times New Roman" w:cs="Times New Roman"/>
          <w:sz w:val="24"/>
          <w:szCs w:val="24"/>
        </w:rPr>
        <w:t xml:space="preserve"> no puedan imputarlo.</w:t>
      </w:r>
      <w:r w:rsidRPr="00050185">
        <w:rPr>
          <w:rStyle w:val="Refdenotaalpie"/>
          <w:rFonts w:ascii="Times New Roman" w:hAnsi="Times New Roman" w:cs="Times New Roman"/>
          <w:sz w:val="24"/>
          <w:szCs w:val="24"/>
        </w:rPr>
        <w:footnoteReference w:id="47"/>
      </w:r>
      <w:r w:rsidRPr="00050185">
        <w:rPr>
          <w:rFonts w:ascii="Times New Roman" w:hAnsi="Times New Roman" w:cs="Times New Roman"/>
          <w:sz w:val="24"/>
          <w:szCs w:val="24"/>
        </w:rPr>
        <w:t xml:space="preserve"> Por ejemplo en la Sentencia de la Audiencia Provincial de Vizcaya, de 8 de julio de 2009, nos dice que debemos de atender a las circunstancias </w:t>
      </w:r>
      <w:r w:rsidR="00100A16" w:rsidRPr="00050185">
        <w:rPr>
          <w:rFonts w:ascii="Times New Roman" w:hAnsi="Times New Roman" w:cs="Times New Roman"/>
          <w:sz w:val="24"/>
          <w:szCs w:val="24"/>
        </w:rPr>
        <w:t>específicas</w:t>
      </w:r>
      <w:r w:rsidRPr="00050185">
        <w:rPr>
          <w:rFonts w:ascii="Times New Roman" w:hAnsi="Times New Roman" w:cs="Times New Roman"/>
          <w:sz w:val="24"/>
          <w:szCs w:val="24"/>
        </w:rPr>
        <w:t xml:space="preserve"> que se dan, para saber si el sujeto ha desistido de cometer la conducta de forma voluntaria.</w:t>
      </w:r>
      <w:r w:rsidRPr="00050185">
        <w:rPr>
          <w:rStyle w:val="Refdenotaalpie"/>
          <w:rFonts w:ascii="Times New Roman" w:hAnsi="Times New Roman" w:cs="Times New Roman"/>
          <w:sz w:val="24"/>
          <w:szCs w:val="24"/>
        </w:rPr>
        <w:footnoteReference w:id="48"/>
      </w:r>
    </w:p>
    <w:p w:rsidR="00050185" w:rsidRPr="00050185" w:rsidRDefault="00050185" w:rsidP="00050185">
      <w:pPr>
        <w:spacing w:line="360" w:lineRule="auto"/>
        <w:jc w:val="both"/>
        <w:rPr>
          <w:sz w:val="24"/>
          <w:szCs w:val="24"/>
        </w:rPr>
      </w:pPr>
    </w:p>
    <w:p w:rsidR="00050185" w:rsidRPr="004608E0" w:rsidRDefault="00050185" w:rsidP="00050185">
      <w:pPr>
        <w:spacing w:line="360" w:lineRule="auto"/>
        <w:jc w:val="both"/>
        <w:rPr>
          <w:b/>
          <w:sz w:val="24"/>
          <w:szCs w:val="24"/>
          <w:u w:val="single"/>
        </w:rPr>
      </w:pPr>
      <w:r w:rsidRPr="004608E0">
        <w:rPr>
          <w:b/>
          <w:sz w:val="24"/>
          <w:szCs w:val="24"/>
          <w:u w:val="single"/>
        </w:rPr>
        <w:t>2.5 ANTIJURIDICIDAD, AUTORÍA Y PARTICIPACIÓN.</w:t>
      </w:r>
    </w:p>
    <w:p w:rsidR="00050185" w:rsidRPr="00050185" w:rsidRDefault="00050185" w:rsidP="00050185">
      <w:pPr>
        <w:spacing w:line="360" w:lineRule="auto"/>
        <w:jc w:val="both"/>
        <w:rPr>
          <w:i/>
          <w:sz w:val="24"/>
          <w:szCs w:val="24"/>
        </w:rPr>
      </w:pPr>
      <w:r w:rsidRPr="00050185">
        <w:rPr>
          <w:sz w:val="24"/>
          <w:szCs w:val="24"/>
        </w:rPr>
        <w:t xml:space="preserve">Nos basamos en el </w:t>
      </w:r>
      <w:r w:rsidR="00100A16" w:rsidRPr="00050185">
        <w:rPr>
          <w:b/>
          <w:sz w:val="24"/>
          <w:szCs w:val="24"/>
        </w:rPr>
        <w:t>artículo</w:t>
      </w:r>
      <w:r w:rsidRPr="00050185">
        <w:rPr>
          <w:b/>
          <w:sz w:val="24"/>
          <w:szCs w:val="24"/>
        </w:rPr>
        <w:t xml:space="preserve"> 20.5 del </w:t>
      </w:r>
      <w:r w:rsidR="00100A16" w:rsidRPr="00050185">
        <w:rPr>
          <w:b/>
          <w:sz w:val="24"/>
          <w:szCs w:val="24"/>
        </w:rPr>
        <w:t>Código</w:t>
      </w:r>
      <w:r w:rsidRPr="00050185">
        <w:rPr>
          <w:b/>
          <w:sz w:val="24"/>
          <w:szCs w:val="24"/>
        </w:rPr>
        <w:t xml:space="preserve"> Penal</w:t>
      </w:r>
      <w:r w:rsidRPr="00050185">
        <w:rPr>
          <w:sz w:val="24"/>
          <w:szCs w:val="24"/>
        </w:rPr>
        <w:t xml:space="preserve">, en el que se establece la antijuridicidad de la conducta cuando estamos ante una situación especial. Este </w:t>
      </w:r>
      <w:r w:rsidR="00100A16" w:rsidRPr="00050185">
        <w:rPr>
          <w:sz w:val="24"/>
          <w:szCs w:val="24"/>
        </w:rPr>
        <w:t>artículo</w:t>
      </w:r>
      <w:r w:rsidRPr="00050185">
        <w:rPr>
          <w:sz w:val="24"/>
          <w:szCs w:val="24"/>
        </w:rPr>
        <w:t xml:space="preserve"> dice </w:t>
      </w:r>
      <w:r w:rsidR="00100A16" w:rsidRPr="00050185">
        <w:rPr>
          <w:sz w:val="24"/>
          <w:szCs w:val="24"/>
        </w:rPr>
        <w:t>así</w:t>
      </w:r>
      <w:r w:rsidRPr="00050185">
        <w:rPr>
          <w:sz w:val="24"/>
          <w:szCs w:val="24"/>
        </w:rPr>
        <w:t>: &lt;&lt;</w:t>
      </w:r>
      <w:r w:rsidRPr="00050185">
        <w:rPr>
          <w:i/>
          <w:sz w:val="24"/>
          <w:szCs w:val="24"/>
        </w:rPr>
        <w:t>El que, en estado de necesidad, para evitar un mal propio o ajeno lesione un bien jurídico de otra persona o infrinja un deber, siempre que concurran los siguientes requisitos:</w:t>
      </w:r>
    </w:p>
    <w:p w:rsidR="00050185" w:rsidRPr="00050185" w:rsidRDefault="00050185" w:rsidP="00050185">
      <w:pPr>
        <w:pStyle w:val="Prrafodelista"/>
        <w:numPr>
          <w:ilvl w:val="0"/>
          <w:numId w:val="7"/>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Primero. Que el mal causado no sea mayor que el que se trate de evitar.</w:t>
      </w:r>
    </w:p>
    <w:p w:rsidR="00050185" w:rsidRPr="00050185" w:rsidRDefault="00050185" w:rsidP="00050185">
      <w:pPr>
        <w:pStyle w:val="Prrafodelista"/>
        <w:numPr>
          <w:ilvl w:val="0"/>
          <w:numId w:val="7"/>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Segundo. Que la situación de necesidad no haya sido provocada intencionadamente por el sujeto.</w:t>
      </w:r>
    </w:p>
    <w:p w:rsidR="00050185" w:rsidRPr="00050185" w:rsidRDefault="00050185" w:rsidP="00050185">
      <w:pPr>
        <w:pStyle w:val="Prrafodelista"/>
        <w:numPr>
          <w:ilvl w:val="0"/>
          <w:numId w:val="7"/>
        </w:numPr>
        <w:spacing w:line="360" w:lineRule="auto"/>
        <w:jc w:val="both"/>
        <w:rPr>
          <w:rFonts w:ascii="Times New Roman" w:hAnsi="Times New Roman" w:cs="Times New Roman"/>
          <w:sz w:val="24"/>
          <w:szCs w:val="24"/>
        </w:rPr>
      </w:pPr>
      <w:r w:rsidRPr="00050185">
        <w:rPr>
          <w:rFonts w:ascii="Times New Roman" w:hAnsi="Times New Roman" w:cs="Times New Roman"/>
          <w:i/>
          <w:sz w:val="24"/>
          <w:szCs w:val="24"/>
        </w:rPr>
        <w:lastRenderedPageBreak/>
        <w:t>Tercero. Que el necesitado no tenga, por su oficio o cargo, obligación de sacrificarse</w:t>
      </w:r>
      <w:proofErr w:type="gramStart"/>
      <w:r w:rsidRPr="00050185">
        <w:rPr>
          <w:rFonts w:ascii="Times New Roman" w:hAnsi="Times New Roman" w:cs="Times New Roman"/>
          <w:i/>
          <w:sz w:val="24"/>
          <w:szCs w:val="24"/>
        </w:rPr>
        <w:t>.</w:t>
      </w:r>
      <w:r w:rsidRPr="00050185">
        <w:rPr>
          <w:rFonts w:ascii="Times New Roman" w:hAnsi="Times New Roman" w:cs="Times New Roman"/>
          <w:sz w:val="24"/>
          <w:szCs w:val="24"/>
        </w:rPr>
        <w:t>&gt;</w:t>
      </w:r>
      <w:proofErr w:type="gramEnd"/>
      <w:r w:rsidRPr="00050185">
        <w:rPr>
          <w:rFonts w:ascii="Times New Roman" w:hAnsi="Times New Roman" w:cs="Times New Roman"/>
          <w:sz w:val="24"/>
          <w:szCs w:val="24"/>
        </w:rPr>
        <w:t>&gt;</w:t>
      </w:r>
      <w:r w:rsidRPr="00050185">
        <w:rPr>
          <w:rStyle w:val="Refdenotaalpie"/>
          <w:rFonts w:ascii="Times New Roman" w:hAnsi="Times New Roman" w:cs="Times New Roman"/>
          <w:sz w:val="24"/>
          <w:szCs w:val="24"/>
        </w:rPr>
        <w:footnoteReference w:id="49"/>
      </w:r>
    </w:p>
    <w:p w:rsidR="00050185" w:rsidRPr="00050185" w:rsidRDefault="00050185" w:rsidP="00050185">
      <w:pPr>
        <w:spacing w:line="360" w:lineRule="auto"/>
        <w:jc w:val="both"/>
        <w:rPr>
          <w:sz w:val="24"/>
          <w:szCs w:val="24"/>
        </w:rPr>
      </w:pPr>
      <w:r w:rsidRPr="00050185">
        <w:rPr>
          <w:sz w:val="24"/>
          <w:szCs w:val="24"/>
        </w:rPr>
        <w:t xml:space="preserve">Tal y como podemos extraer de este articulo tiene que existir un estado de necesidad. El sujeto se ve obligado a cometer el hecho para evitar un peligro en el que se encuentra inmerso. Sin embargo, tal y como describe el </w:t>
      </w:r>
      <w:r w:rsidR="00100A16" w:rsidRPr="00050185">
        <w:rPr>
          <w:sz w:val="24"/>
          <w:szCs w:val="24"/>
        </w:rPr>
        <w:t>artículo</w:t>
      </w:r>
      <w:r w:rsidRPr="00050185">
        <w:rPr>
          <w:sz w:val="24"/>
          <w:szCs w:val="24"/>
        </w:rPr>
        <w:t>, el mal causado debe de ser inf</w:t>
      </w:r>
      <w:r w:rsidR="00446728">
        <w:rPr>
          <w:sz w:val="24"/>
          <w:szCs w:val="24"/>
        </w:rPr>
        <w:t xml:space="preserve">erior al que se trata de evitar, ya que si es mayor no estaríamos ante una causa de justificación de la conducta. </w:t>
      </w:r>
    </w:p>
    <w:p w:rsidR="000B44EE" w:rsidRDefault="000B44EE" w:rsidP="00050185">
      <w:pPr>
        <w:spacing w:line="360" w:lineRule="auto"/>
        <w:jc w:val="both"/>
        <w:rPr>
          <w:b/>
          <w:sz w:val="24"/>
          <w:szCs w:val="24"/>
        </w:rPr>
      </w:pPr>
    </w:p>
    <w:p w:rsidR="00050185" w:rsidRPr="00050185" w:rsidRDefault="00100A16" w:rsidP="00050185">
      <w:pPr>
        <w:spacing w:line="360" w:lineRule="auto"/>
        <w:jc w:val="both"/>
        <w:rPr>
          <w:sz w:val="24"/>
          <w:szCs w:val="24"/>
        </w:rPr>
      </w:pPr>
      <w:proofErr w:type="spellStart"/>
      <w:r w:rsidRPr="00050185">
        <w:rPr>
          <w:b/>
          <w:sz w:val="24"/>
          <w:szCs w:val="24"/>
        </w:rPr>
        <w:t>Mapelli</w:t>
      </w:r>
      <w:proofErr w:type="spellEnd"/>
      <w:r>
        <w:rPr>
          <w:b/>
          <w:sz w:val="24"/>
          <w:szCs w:val="24"/>
        </w:rPr>
        <w:t xml:space="preserve"> </w:t>
      </w:r>
      <w:proofErr w:type="spellStart"/>
      <w:r w:rsidRPr="00050185">
        <w:rPr>
          <w:b/>
          <w:sz w:val="24"/>
          <w:szCs w:val="24"/>
        </w:rPr>
        <w:t>Caffarena</w:t>
      </w:r>
      <w:proofErr w:type="spellEnd"/>
      <w:r w:rsidR="00050185" w:rsidRPr="00050185">
        <w:rPr>
          <w:sz w:val="24"/>
          <w:szCs w:val="24"/>
        </w:rPr>
        <w:t xml:space="preserve"> define el estado de necesidad como: &lt;&lt;</w:t>
      </w:r>
      <w:r w:rsidR="00050185" w:rsidRPr="00050185">
        <w:rPr>
          <w:i/>
          <w:sz w:val="24"/>
          <w:szCs w:val="24"/>
        </w:rPr>
        <w:t xml:space="preserve">Una acción lesiva de un bien </w:t>
      </w:r>
      <w:r w:rsidRPr="00050185">
        <w:rPr>
          <w:i/>
          <w:sz w:val="24"/>
          <w:szCs w:val="24"/>
        </w:rPr>
        <w:t>jurídico</w:t>
      </w:r>
      <w:r w:rsidR="00050185" w:rsidRPr="00050185">
        <w:rPr>
          <w:i/>
          <w:sz w:val="24"/>
          <w:szCs w:val="24"/>
        </w:rPr>
        <w:t xml:space="preserve"> que, de no ser por la necesidad de salvar otro de mayor valor, constituiría delito</w:t>
      </w:r>
      <w:proofErr w:type="gramStart"/>
      <w:r w:rsidR="00050185" w:rsidRPr="00050185">
        <w:rPr>
          <w:i/>
          <w:sz w:val="24"/>
          <w:szCs w:val="24"/>
        </w:rPr>
        <w:t>.</w:t>
      </w:r>
      <w:r w:rsidR="00050185" w:rsidRPr="00050185">
        <w:rPr>
          <w:sz w:val="24"/>
          <w:szCs w:val="24"/>
        </w:rPr>
        <w:t>&gt;</w:t>
      </w:r>
      <w:proofErr w:type="gramEnd"/>
      <w:r w:rsidR="00050185" w:rsidRPr="00050185">
        <w:rPr>
          <w:sz w:val="24"/>
          <w:szCs w:val="24"/>
        </w:rPr>
        <w:t>&gt;</w:t>
      </w:r>
      <w:r w:rsidR="00050185" w:rsidRPr="00050185">
        <w:rPr>
          <w:rStyle w:val="Refdenotaalpie"/>
          <w:sz w:val="24"/>
          <w:szCs w:val="24"/>
        </w:rPr>
        <w:footnoteReference w:id="50"/>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Además </w:t>
      </w:r>
      <w:proofErr w:type="spellStart"/>
      <w:r w:rsidRPr="00050185">
        <w:rPr>
          <w:b/>
          <w:sz w:val="24"/>
          <w:szCs w:val="24"/>
        </w:rPr>
        <w:t>Lamarca</w:t>
      </w:r>
      <w:proofErr w:type="spellEnd"/>
      <w:r w:rsidRPr="00050185">
        <w:rPr>
          <w:b/>
          <w:sz w:val="24"/>
          <w:szCs w:val="24"/>
        </w:rPr>
        <w:t xml:space="preserve"> Pérez</w:t>
      </w:r>
      <w:r w:rsidRPr="00050185">
        <w:rPr>
          <w:sz w:val="24"/>
          <w:szCs w:val="24"/>
        </w:rPr>
        <w:t xml:space="preserve"> dice que: &lt;&lt;</w:t>
      </w:r>
      <w:r w:rsidRPr="00050185">
        <w:rPr>
          <w:i/>
          <w:sz w:val="24"/>
          <w:szCs w:val="24"/>
        </w:rPr>
        <w:t xml:space="preserve">Dentro del delito de hurto hay casos especiales, que serían considerados como una </w:t>
      </w:r>
      <w:r w:rsidRPr="00050185">
        <w:rPr>
          <w:i/>
          <w:sz w:val="24"/>
          <w:szCs w:val="24"/>
          <w:u w:val="single"/>
        </w:rPr>
        <w:t>conducta antijurídica</w:t>
      </w:r>
      <w:r w:rsidRPr="00050185">
        <w:rPr>
          <w:i/>
          <w:sz w:val="24"/>
          <w:szCs w:val="24"/>
        </w:rPr>
        <w:t>, como es el caso del “hurto famélico”, como integrante de una eximente de estado de necesidad (completa o incompleta). Se produce cuando una persona se encuentra en una situación de especial gravedad para su vida o su salud, y no cuenta con los suficientes recursos económicos para poder subsistir, por lo que todo ello le obliga a cometer este delito</w:t>
      </w:r>
      <w:proofErr w:type="gramStart"/>
      <w:r w:rsidRPr="00050185">
        <w:rPr>
          <w:i/>
          <w:sz w:val="24"/>
          <w:szCs w:val="24"/>
        </w:rPr>
        <w:t>.</w:t>
      </w:r>
      <w:r w:rsidRPr="00050185">
        <w:rPr>
          <w:sz w:val="24"/>
          <w:szCs w:val="24"/>
        </w:rPr>
        <w:t>&gt;</w:t>
      </w:r>
      <w:proofErr w:type="gramEnd"/>
      <w:r w:rsidRPr="00050185">
        <w:rPr>
          <w:sz w:val="24"/>
          <w:szCs w:val="24"/>
        </w:rPr>
        <w:t>&gt;</w:t>
      </w:r>
      <w:r w:rsidRPr="00050185">
        <w:rPr>
          <w:rStyle w:val="Refdenotaalpie"/>
          <w:sz w:val="24"/>
          <w:szCs w:val="24"/>
        </w:rPr>
        <w:footnoteReference w:id="51"/>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La Jurisprudencia admite en muchos supuestos este “hurto famélico”, por ejemplo</w:t>
      </w:r>
      <w:r w:rsidRPr="00050185">
        <w:rPr>
          <w:b/>
          <w:sz w:val="24"/>
          <w:szCs w:val="24"/>
        </w:rPr>
        <w:t xml:space="preserve"> en su Sentencia de 17 de Septiembre de 2004</w:t>
      </w:r>
      <w:r w:rsidRPr="00050185">
        <w:rPr>
          <w:rStyle w:val="Refdenotaalpie"/>
          <w:b/>
          <w:sz w:val="24"/>
          <w:szCs w:val="24"/>
        </w:rPr>
        <w:footnoteReference w:id="52"/>
      </w:r>
      <w:r w:rsidRPr="00050185">
        <w:rPr>
          <w:b/>
          <w:sz w:val="24"/>
          <w:szCs w:val="24"/>
        </w:rPr>
        <w:t>,</w:t>
      </w:r>
      <w:r w:rsidR="0009755A">
        <w:rPr>
          <w:b/>
          <w:sz w:val="24"/>
          <w:szCs w:val="24"/>
        </w:rPr>
        <w:t xml:space="preserve"> </w:t>
      </w:r>
      <w:r w:rsidRPr="00050185">
        <w:rPr>
          <w:sz w:val="24"/>
          <w:szCs w:val="24"/>
        </w:rPr>
        <w:t xml:space="preserve">lo considera como una causa de </w:t>
      </w:r>
      <w:r w:rsidRPr="00050185">
        <w:rPr>
          <w:sz w:val="24"/>
          <w:szCs w:val="24"/>
        </w:rPr>
        <w:lastRenderedPageBreak/>
        <w:t xml:space="preserve">justificación, pero sólo lo aprueba </w:t>
      </w:r>
      <w:r w:rsidR="00100A16" w:rsidRPr="00050185">
        <w:rPr>
          <w:sz w:val="24"/>
          <w:szCs w:val="24"/>
        </w:rPr>
        <w:t>atendiendo</w:t>
      </w:r>
      <w:r w:rsidRPr="00050185">
        <w:rPr>
          <w:sz w:val="24"/>
          <w:szCs w:val="24"/>
        </w:rPr>
        <w:t xml:space="preserve"> al caso concreto y cuando se den los siguientes requisitos:</w:t>
      </w:r>
    </w:p>
    <w:p w:rsidR="00050185" w:rsidRPr="00050185" w:rsidRDefault="00050185" w:rsidP="00050185">
      <w:pPr>
        <w:pStyle w:val="Prrafodelista"/>
        <w:numPr>
          <w:ilvl w:val="0"/>
          <w:numId w:val="12"/>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Que haya una situación de necesidad </w:t>
      </w:r>
      <w:r w:rsidR="00C62534">
        <w:rPr>
          <w:rFonts w:ascii="Times New Roman" w:hAnsi="Times New Roman" w:cs="Times New Roman"/>
          <w:sz w:val="24"/>
          <w:szCs w:val="24"/>
        </w:rPr>
        <w:t>en la que s</w:t>
      </w:r>
      <w:r w:rsidRPr="00050185">
        <w:rPr>
          <w:rFonts w:ascii="Times New Roman" w:hAnsi="Times New Roman" w:cs="Times New Roman"/>
          <w:sz w:val="24"/>
          <w:szCs w:val="24"/>
        </w:rPr>
        <w:t xml:space="preserve">e provoca un mal para evitar que se produzca otro mayor. </w:t>
      </w:r>
    </w:p>
    <w:p w:rsidR="00050185" w:rsidRPr="00050185" w:rsidRDefault="00050185" w:rsidP="00050185">
      <w:pPr>
        <w:pStyle w:val="Prrafodelista"/>
        <w:numPr>
          <w:ilvl w:val="0"/>
          <w:numId w:val="12"/>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Ausencia de provocación. Esta situación no puede ser provocada de manera </w:t>
      </w:r>
      <w:r w:rsidR="00C62534">
        <w:rPr>
          <w:rFonts w:ascii="Times New Roman" w:hAnsi="Times New Roman" w:cs="Times New Roman"/>
          <w:sz w:val="24"/>
          <w:szCs w:val="24"/>
        </w:rPr>
        <w:t>dolosa. Si se realiza de manera intencional queda fuera del estado de necesidad.</w:t>
      </w:r>
    </w:p>
    <w:p w:rsidR="00050185" w:rsidRPr="00050185" w:rsidRDefault="00050185" w:rsidP="00050185">
      <w:pPr>
        <w:pStyle w:val="Prrafodelista"/>
        <w:numPr>
          <w:ilvl w:val="0"/>
          <w:numId w:val="12"/>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Falta de obligación de sacrificio. </w:t>
      </w:r>
      <w:r w:rsidR="00C62534">
        <w:rPr>
          <w:rFonts w:ascii="Times New Roman" w:hAnsi="Times New Roman" w:cs="Times New Roman"/>
          <w:sz w:val="24"/>
          <w:szCs w:val="24"/>
        </w:rPr>
        <w:t>S</w:t>
      </w:r>
      <w:r w:rsidRPr="00050185">
        <w:rPr>
          <w:rFonts w:ascii="Times New Roman" w:hAnsi="Times New Roman" w:cs="Times New Roman"/>
          <w:sz w:val="24"/>
          <w:szCs w:val="24"/>
        </w:rPr>
        <w:t xml:space="preserve">i se da el caso de que el incumplimiento del deber </w:t>
      </w:r>
      <w:r w:rsidR="00100A16" w:rsidRPr="00050185">
        <w:rPr>
          <w:rFonts w:ascii="Times New Roman" w:hAnsi="Times New Roman" w:cs="Times New Roman"/>
          <w:sz w:val="24"/>
          <w:szCs w:val="24"/>
        </w:rPr>
        <w:t>está</w:t>
      </w:r>
      <w:r w:rsidRPr="00050185">
        <w:rPr>
          <w:rFonts w:ascii="Times New Roman" w:hAnsi="Times New Roman" w:cs="Times New Roman"/>
          <w:sz w:val="24"/>
          <w:szCs w:val="24"/>
        </w:rPr>
        <w:t xml:space="preserve"> justificado, este es</w:t>
      </w:r>
      <w:r w:rsidR="00C62534">
        <w:rPr>
          <w:rFonts w:ascii="Times New Roman" w:hAnsi="Times New Roman" w:cs="Times New Roman"/>
          <w:sz w:val="24"/>
          <w:szCs w:val="24"/>
        </w:rPr>
        <w:t>tado de necesidad quedaría nulo</w:t>
      </w:r>
      <w:r w:rsidRPr="00050185">
        <w:rPr>
          <w:rFonts w:ascii="Times New Roman" w:hAnsi="Times New Roman" w:cs="Times New Roman"/>
          <w:sz w:val="24"/>
          <w:szCs w:val="24"/>
        </w:rPr>
        <w:t>.</w:t>
      </w:r>
      <w:r w:rsidRPr="00050185">
        <w:rPr>
          <w:rStyle w:val="Refdenotaalpie"/>
          <w:rFonts w:ascii="Times New Roman" w:hAnsi="Times New Roman" w:cs="Times New Roman"/>
          <w:sz w:val="24"/>
          <w:szCs w:val="24"/>
        </w:rPr>
        <w:footnoteReference w:id="53"/>
      </w:r>
    </w:p>
    <w:p w:rsidR="00050185" w:rsidRPr="00050185" w:rsidRDefault="00050185" w:rsidP="00050185">
      <w:pPr>
        <w:spacing w:line="360" w:lineRule="auto"/>
        <w:jc w:val="both"/>
        <w:rPr>
          <w:sz w:val="24"/>
          <w:szCs w:val="24"/>
        </w:rPr>
      </w:pPr>
      <w:r w:rsidRPr="00050185">
        <w:rPr>
          <w:sz w:val="24"/>
          <w:szCs w:val="24"/>
        </w:rPr>
        <w:t xml:space="preserve">Sin embargo, nos encontramos con otro ejemplo, como la Sentencia número 7276/2009, de 13 de Julio, de la Audiencia provincial de Valencia, en este caso el acusado rompió la verja de la ventana de la casa de una señora mayor con la intención de sacar el frigorífico lleno de alimentos con intención de hacerlos suyos, pero tuvo que dejarlos en la ventana, porque en ese momento entró la dueña de la vivienda. El abogado del acusado quiso que consideraran este hecho como un “hurto famélico”, pero el Tribunal considero que en ningún caso se podría considerar como “hurto famélico” esta situación en la que el acusado utilizó fuerza en las cosas para adueñarse de los alimentos. </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En un segundo supuesto vemos la Sentencia 903/2010, del 10 de Noviembre de la Audiencia Provincial de Cacereña, en la que una mujer sustrajo comida en un almacén de “Cáritas”. El abogado de la acusada también quiso que el Tribunal lo considerara como un “hurto famélico” observando la naturaleza de los bienes objeto del delito, sin embargo el Tribunal lo rechazó, ya que consideró que la acusada pudo haber utilizado otros medios para pedir ayuda si se encontraba en una situación de necesidad, siendo </w:t>
      </w:r>
      <w:r w:rsidRPr="00050185">
        <w:rPr>
          <w:sz w:val="24"/>
          <w:szCs w:val="24"/>
        </w:rPr>
        <w:lastRenderedPageBreak/>
        <w:t>innecesaria su conducta, y más aun considerando que esta entidad como es “Cáritas” se dedica precisamente a ayudar a las personas sin recursos.</w:t>
      </w:r>
    </w:p>
    <w:p w:rsidR="001300B2" w:rsidRDefault="001300B2"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Como hemos visto, no siempre se va a considerar la conducta como “hurto famélico”, el Tribunal es bastante estricto en estos casos.</w:t>
      </w:r>
    </w:p>
    <w:p w:rsidR="000B44EE" w:rsidRDefault="000B44EE" w:rsidP="00050185">
      <w:pPr>
        <w:spacing w:line="360" w:lineRule="auto"/>
        <w:jc w:val="both"/>
        <w:rPr>
          <w:sz w:val="24"/>
          <w:szCs w:val="24"/>
        </w:rPr>
      </w:pPr>
    </w:p>
    <w:p w:rsidR="001300B2" w:rsidRPr="00050185" w:rsidRDefault="00050185" w:rsidP="00050185">
      <w:pPr>
        <w:spacing w:line="360" w:lineRule="auto"/>
        <w:jc w:val="both"/>
        <w:rPr>
          <w:sz w:val="24"/>
          <w:szCs w:val="24"/>
        </w:rPr>
      </w:pPr>
      <w:r w:rsidRPr="00050185">
        <w:rPr>
          <w:sz w:val="24"/>
          <w:szCs w:val="24"/>
        </w:rPr>
        <w:t xml:space="preserve">Con respecto a la </w:t>
      </w:r>
      <w:r w:rsidRPr="00050185">
        <w:rPr>
          <w:sz w:val="24"/>
          <w:szCs w:val="24"/>
          <w:u w:val="single"/>
        </w:rPr>
        <w:t xml:space="preserve">autoría y </w:t>
      </w:r>
      <w:r w:rsidR="00100A16" w:rsidRPr="00050185">
        <w:rPr>
          <w:sz w:val="24"/>
          <w:szCs w:val="24"/>
          <w:u w:val="single"/>
        </w:rPr>
        <w:t>participación,</w:t>
      </w:r>
      <w:r w:rsidR="00100A16">
        <w:rPr>
          <w:sz w:val="24"/>
          <w:szCs w:val="24"/>
          <w:u w:val="single"/>
        </w:rPr>
        <w:t xml:space="preserve"> </w:t>
      </w:r>
      <w:r w:rsidR="00100A16" w:rsidRPr="00050185">
        <w:rPr>
          <w:b/>
          <w:sz w:val="24"/>
          <w:szCs w:val="24"/>
        </w:rPr>
        <w:t>Pérez</w:t>
      </w:r>
      <w:r w:rsidRPr="00050185">
        <w:rPr>
          <w:b/>
          <w:sz w:val="24"/>
          <w:szCs w:val="24"/>
        </w:rPr>
        <w:t xml:space="preserve"> del Valle</w:t>
      </w:r>
      <w:r w:rsidRPr="00050185">
        <w:rPr>
          <w:sz w:val="24"/>
          <w:szCs w:val="24"/>
        </w:rPr>
        <w:t>, hace unas distinciones:</w:t>
      </w:r>
    </w:p>
    <w:p w:rsidR="00050185" w:rsidRPr="00050185" w:rsidRDefault="00050185" w:rsidP="00050185">
      <w:pPr>
        <w:pStyle w:val="Prrafodelista"/>
        <w:numPr>
          <w:ilvl w:val="0"/>
          <w:numId w:val="13"/>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Autor es quien realiza el hecho por sí solo. Es autor aquel sujeto a quien se imputa el injusto penal cuando sólo él es sujeto del proceso sobre un  hecho.</w:t>
      </w:r>
    </w:p>
    <w:p w:rsidR="00050185" w:rsidRPr="00050185" w:rsidRDefault="00050185" w:rsidP="00050185">
      <w:pPr>
        <w:pStyle w:val="Prrafodelista"/>
        <w:numPr>
          <w:ilvl w:val="0"/>
          <w:numId w:val="13"/>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Coautor es quien realiza el hecho de forma conjunta con otro u otros sujetos de quienes se afirma que son también autores. Se trata de un aporte cuantitativamente relevante (necesario) durante la ejecución del hecho. </w:t>
      </w:r>
    </w:p>
    <w:p w:rsidR="00050185" w:rsidRPr="00050185" w:rsidRDefault="00050185" w:rsidP="00050185">
      <w:pPr>
        <w:pStyle w:val="Prrafodelista"/>
        <w:numPr>
          <w:ilvl w:val="0"/>
          <w:numId w:val="13"/>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Autor mediato es quien comete el hecho por medio de otro a quien utiliza como instrumento. No se trata de una forma de participación.</w:t>
      </w:r>
    </w:p>
    <w:p w:rsidR="00050185" w:rsidRPr="00050185" w:rsidRDefault="00050185" w:rsidP="00050185">
      <w:pPr>
        <w:pStyle w:val="Prrafodelista"/>
        <w:numPr>
          <w:ilvl w:val="0"/>
          <w:numId w:val="13"/>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Es inductor quien determina la decisión del autor para la realización del comportamiento típico. La determinación de la decisión del autor implica, por tanto, no una mera comunicación sobre la posibilidad de cometer el hecho, sino una comunicación que transmita el hecho como ineludible.</w:t>
      </w:r>
    </w:p>
    <w:p w:rsidR="00050185" w:rsidRPr="00050185" w:rsidRDefault="00050185" w:rsidP="00050185">
      <w:pPr>
        <w:pStyle w:val="Prrafodelista"/>
        <w:numPr>
          <w:ilvl w:val="0"/>
          <w:numId w:val="13"/>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rPr>
        <w:t xml:space="preserve">Cooperadores necesarios, son quienes realizan un aporte necesario durante la preparación del delito. </w:t>
      </w:r>
    </w:p>
    <w:p w:rsidR="00050185" w:rsidRPr="00050185" w:rsidRDefault="00050185" w:rsidP="00050185">
      <w:pPr>
        <w:pStyle w:val="Prrafodelista"/>
        <w:numPr>
          <w:ilvl w:val="0"/>
          <w:numId w:val="13"/>
        </w:numPr>
        <w:spacing w:line="360" w:lineRule="auto"/>
        <w:jc w:val="both"/>
        <w:rPr>
          <w:rFonts w:ascii="Times New Roman" w:hAnsi="Times New Roman" w:cs="Times New Roman"/>
          <w:sz w:val="24"/>
          <w:szCs w:val="24"/>
        </w:rPr>
      </w:pPr>
      <w:r w:rsidRPr="00050185">
        <w:rPr>
          <w:rFonts w:ascii="Times New Roman" w:hAnsi="Times New Roman" w:cs="Times New Roman"/>
          <w:i/>
          <w:sz w:val="24"/>
          <w:szCs w:val="24"/>
        </w:rPr>
        <w:t xml:space="preserve">Son </w:t>
      </w:r>
      <w:r w:rsidR="00100A16" w:rsidRPr="00050185">
        <w:rPr>
          <w:rFonts w:ascii="Times New Roman" w:hAnsi="Times New Roman" w:cs="Times New Roman"/>
          <w:i/>
          <w:sz w:val="24"/>
          <w:szCs w:val="24"/>
        </w:rPr>
        <w:t>cómplices</w:t>
      </w:r>
      <w:r w:rsidRPr="00050185">
        <w:rPr>
          <w:rFonts w:ascii="Times New Roman" w:hAnsi="Times New Roman" w:cs="Times New Roman"/>
          <w:i/>
          <w:sz w:val="24"/>
          <w:szCs w:val="24"/>
        </w:rPr>
        <w:t xml:space="preserve"> quienes, no hallándose comprendidos en los anteriores apartados, cooperan a la ejecución del hecho con actos anteriores o simultáneos.</w:t>
      </w:r>
      <w:r w:rsidRPr="00050185">
        <w:rPr>
          <w:rStyle w:val="Refdenotaalpie"/>
          <w:rFonts w:ascii="Times New Roman" w:hAnsi="Times New Roman" w:cs="Times New Roman"/>
          <w:sz w:val="24"/>
          <w:szCs w:val="24"/>
        </w:rPr>
        <w:footnoteReference w:id="54"/>
      </w:r>
    </w:p>
    <w:p w:rsidR="00050185" w:rsidRPr="00050185" w:rsidRDefault="00050185" w:rsidP="00050185">
      <w:pPr>
        <w:spacing w:line="360" w:lineRule="auto"/>
        <w:jc w:val="both"/>
        <w:rPr>
          <w:sz w:val="24"/>
          <w:szCs w:val="24"/>
        </w:rPr>
      </w:pPr>
      <w:r w:rsidRPr="00050185">
        <w:rPr>
          <w:sz w:val="24"/>
          <w:szCs w:val="24"/>
        </w:rPr>
        <w:t>Sin embargo, a pesar de todos los sujetos que pueden aparecer durante la comisión del delito, sin el autor, que es quien domina el hecho, el resultado no se produciría. “</w:t>
      </w:r>
      <w:r w:rsidRPr="00050185">
        <w:rPr>
          <w:i/>
          <w:sz w:val="24"/>
          <w:szCs w:val="24"/>
        </w:rPr>
        <w:t xml:space="preserve">El autor, por tanto, domina conscientemente la causalidad </w:t>
      </w:r>
      <w:r w:rsidR="00100A16" w:rsidRPr="00050185">
        <w:rPr>
          <w:i/>
          <w:sz w:val="24"/>
          <w:szCs w:val="24"/>
        </w:rPr>
        <w:t>típica</w:t>
      </w:r>
      <w:r w:rsidRPr="00050185">
        <w:rPr>
          <w:i/>
          <w:sz w:val="24"/>
          <w:szCs w:val="24"/>
        </w:rPr>
        <w:t xml:space="preserve"> hasta el resultado</w:t>
      </w:r>
      <w:r w:rsidRPr="00050185">
        <w:rPr>
          <w:sz w:val="24"/>
          <w:szCs w:val="24"/>
        </w:rPr>
        <w:t>”.</w:t>
      </w:r>
      <w:r w:rsidRPr="00050185">
        <w:rPr>
          <w:rStyle w:val="Refdenotaalpie"/>
          <w:sz w:val="24"/>
          <w:szCs w:val="24"/>
        </w:rPr>
        <w:footnoteReference w:id="55"/>
      </w:r>
    </w:p>
    <w:p w:rsidR="000B44EE" w:rsidRDefault="000B44EE" w:rsidP="00050185">
      <w:pPr>
        <w:spacing w:line="360" w:lineRule="auto"/>
        <w:jc w:val="both"/>
        <w:rPr>
          <w:b/>
          <w:sz w:val="24"/>
          <w:szCs w:val="24"/>
        </w:rPr>
      </w:pPr>
    </w:p>
    <w:p w:rsidR="00050185" w:rsidRPr="00050185" w:rsidRDefault="00050185" w:rsidP="00050185">
      <w:pPr>
        <w:spacing w:line="360" w:lineRule="auto"/>
        <w:jc w:val="both"/>
        <w:rPr>
          <w:sz w:val="24"/>
          <w:szCs w:val="24"/>
        </w:rPr>
      </w:pPr>
      <w:proofErr w:type="spellStart"/>
      <w:r w:rsidRPr="00050185">
        <w:rPr>
          <w:b/>
          <w:sz w:val="24"/>
          <w:szCs w:val="24"/>
        </w:rPr>
        <w:t>Lamarca</w:t>
      </w:r>
      <w:proofErr w:type="spellEnd"/>
      <w:r w:rsidRPr="00050185">
        <w:rPr>
          <w:b/>
          <w:sz w:val="24"/>
          <w:szCs w:val="24"/>
        </w:rPr>
        <w:t xml:space="preserve"> Pérez</w:t>
      </w:r>
      <w:r w:rsidRPr="00050185">
        <w:rPr>
          <w:sz w:val="24"/>
          <w:szCs w:val="24"/>
        </w:rPr>
        <w:t xml:space="preserve"> se vuelve a pronunciar y diferencia </w:t>
      </w:r>
      <w:r w:rsidR="00100A16" w:rsidRPr="00050185">
        <w:rPr>
          <w:sz w:val="24"/>
          <w:szCs w:val="24"/>
        </w:rPr>
        <w:t>entre autores</w:t>
      </w:r>
      <w:r w:rsidRPr="00050185">
        <w:rPr>
          <w:sz w:val="24"/>
          <w:szCs w:val="24"/>
        </w:rPr>
        <w:t xml:space="preserve"> y partícipes:</w:t>
      </w:r>
    </w:p>
    <w:p w:rsidR="00050185" w:rsidRPr="00050185" w:rsidRDefault="00050185" w:rsidP="00050185">
      <w:pPr>
        <w:spacing w:line="360" w:lineRule="auto"/>
        <w:jc w:val="both"/>
        <w:rPr>
          <w:i/>
          <w:sz w:val="24"/>
          <w:szCs w:val="24"/>
        </w:rPr>
      </w:pPr>
      <w:r w:rsidRPr="00050185">
        <w:rPr>
          <w:i/>
          <w:sz w:val="24"/>
          <w:szCs w:val="24"/>
        </w:rPr>
        <w:t>A) Autor será quien realice el apoderamiento.</w:t>
      </w:r>
    </w:p>
    <w:p w:rsidR="000B44EE" w:rsidRDefault="00050185" w:rsidP="00050185">
      <w:pPr>
        <w:spacing w:line="360" w:lineRule="auto"/>
        <w:jc w:val="both"/>
        <w:rPr>
          <w:sz w:val="24"/>
          <w:szCs w:val="24"/>
        </w:rPr>
      </w:pPr>
      <w:r w:rsidRPr="00050185">
        <w:rPr>
          <w:i/>
          <w:sz w:val="24"/>
          <w:szCs w:val="24"/>
        </w:rPr>
        <w:t>B) Participes serán quienes colaboran con el autor. Cabe también la autoría mediata.</w:t>
      </w:r>
      <w:r w:rsidRPr="00050185">
        <w:rPr>
          <w:rStyle w:val="Refdenotaalpie"/>
          <w:i/>
          <w:sz w:val="24"/>
          <w:szCs w:val="24"/>
        </w:rPr>
        <w:footnoteReference w:id="56"/>
      </w:r>
    </w:p>
    <w:p w:rsidR="00050185" w:rsidRPr="00050185" w:rsidRDefault="00050185" w:rsidP="00050185">
      <w:pPr>
        <w:spacing w:line="360" w:lineRule="auto"/>
        <w:jc w:val="both"/>
        <w:rPr>
          <w:sz w:val="24"/>
          <w:szCs w:val="24"/>
        </w:rPr>
      </w:pPr>
      <w:r w:rsidRPr="00050185">
        <w:rPr>
          <w:sz w:val="24"/>
          <w:szCs w:val="24"/>
        </w:rPr>
        <w:lastRenderedPageBreak/>
        <w:t xml:space="preserve">Por lo tanto, para ella, el autor material del delito de hurto es quien toma la cosa mueble ajena. Se convertiría en autor mediato si utiliza a otra persona (mediante engaños) para conseguir sus fines, o a inimputables (como es el caso de menores de edad para que sean ellos quienes cometan la acción típica). </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Además nos da diferentes opiniones dentro de los supuestos de participación criminal, ya que la Doctrina mayoritaria y la Jurisprudencia de la sala segunda del Tribunal Supremo discrepan. Para la </w:t>
      </w:r>
      <w:r w:rsidRPr="00050185">
        <w:rPr>
          <w:b/>
          <w:sz w:val="24"/>
          <w:szCs w:val="24"/>
        </w:rPr>
        <w:t>Doctrina</w:t>
      </w:r>
      <w:r w:rsidRPr="00050185">
        <w:rPr>
          <w:sz w:val="24"/>
          <w:szCs w:val="24"/>
        </w:rPr>
        <w:t>: &lt;&lt;</w:t>
      </w:r>
      <w:r w:rsidRPr="00050185">
        <w:rPr>
          <w:i/>
          <w:sz w:val="24"/>
          <w:szCs w:val="24"/>
        </w:rPr>
        <w:t xml:space="preserve">Cada uno de los partícipes (conforme a las reglas de la </w:t>
      </w:r>
      <w:proofErr w:type="spellStart"/>
      <w:r w:rsidRPr="00050185">
        <w:rPr>
          <w:i/>
          <w:sz w:val="24"/>
          <w:szCs w:val="24"/>
        </w:rPr>
        <w:t>accesoreidad</w:t>
      </w:r>
      <w:proofErr w:type="spellEnd"/>
      <w:r w:rsidRPr="00050185">
        <w:rPr>
          <w:i/>
          <w:sz w:val="24"/>
          <w:szCs w:val="24"/>
        </w:rPr>
        <w:t xml:space="preserve"> de la participación) debe responder de los concretos actos de autoría o complicidad que en su caso hayan efectuado</w:t>
      </w:r>
      <w:r w:rsidRPr="00050185">
        <w:rPr>
          <w:sz w:val="24"/>
          <w:szCs w:val="24"/>
        </w:rPr>
        <w:t xml:space="preserve">. Sin embargo, para la </w:t>
      </w:r>
      <w:r w:rsidRPr="00050185">
        <w:rPr>
          <w:b/>
          <w:sz w:val="24"/>
          <w:szCs w:val="24"/>
        </w:rPr>
        <w:t>Jurisprudencia</w:t>
      </w:r>
      <w:r w:rsidRPr="00050185">
        <w:rPr>
          <w:sz w:val="24"/>
          <w:szCs w:val="24"/>
        </w:rPr>
        <w:t xml:space="preserve">: </w:t>
      </w:r>
      <w:r w:rsidRPr="00050185">
        <w:rPr>
          <w:i/>
          <w:sz w:val="24"/>
          <w:szCs w:val="24"/>
        </w:rPr>
        <w:t xml:space="preserve">En el ámbito de los delitos patrimoniales todos los participantes responden a título de autor si la distribución de papeles desempeñados por ellos en la dinámica del delito concreto se concertó previamente al hecho, y con independencia de que luego realizasen tareas principales o secundarias, o no llegaran siquiera a participar en el </w:t>
      </w:r>
      <w:r w:rsidR="00100A16" w:rsidRPr="00050185">
        <w:rPr>
          <w:i/>
          <w:sz w:val="24"/>
          <w:szCs w:val="24"/>
        </w:rPr>
        <w:t>hecho.</w:t>
      </w:r>
      <w:r w:rsidR="00100A16" w:rsidRPr="00050185">
        <w:rPr>
          <w:sz w:val="24"/>
          <w:szCs w:val="24"/>
        </w:rPr>
        <w:t xml:space="preserve"> Más</w:t>
      </w:r>
      <w:r w:rsidRPr="00050185">
        <w:rPr>
          <w:sz w:val="24"/>
          <w:szCs w:val="24"/>
        </w:rPr>
        <w:t xml:space="preserve"> recientemente, el </w:t>
      </w:r>
      <w:r w:rsidRPr="00050185">
        <w:rPr>
          <w:b/>
          <w:sz w:val="24"/>
          <w:szCs w:val="24"/>
        </w:rPr>
        <w:t>Tribunal Supremo</w:t>
      </w:r>
      <w:r w:rsidRPr="00050185">
        <w:rPr>
          <w:sz w:val="24"/>
          <w:szCs w:val="24"/>
        </w:rPr>
        <w:t xml:space="preserve"> ha modulado la rigidez de aquella teoría, sustituyéndola por la denominada por Muñoz Conde del dominio funcional de cada uno de</w:t>
      </w:r>
      <w:r w:rsidR="00D129E5">
        <w:rPr>
          <w:sz w:val="24"/>
          <w:szCs w:val="24"/>
        </w:rPr>
        <w:t xml:space="preserve"> los intervinientes de hecho</w:t>
      </w:r>
      <w:proofErr w:type="gramStart"/>
      <w:r w:rsidR="00D129E5">
        <w:rPr>
          <w:sz w:val="24"/>
          <w:szCs w:val="24"/>
        </w:rPr>
        <w:t>.&gt;</w:t>
      </w:r>
      <w:proofErr w:type="gramEnd"/>
      <w:r w:rsidR="00D129E5">
        <w:rPr>
          <w:sz w:val="24"/>
          <w:szCs w:val="24"/>
        </w:rPr>
        <w:t>&gt;</w:t>
      </w:r>
      <w:r w:rsidR="00D129E5">
        <w:rPr>
          <w:rStyle w:val="Refdenotaalpie"/>
          <w:sz w:val="24"/>
          <w:szCs w:val="24"/>
        </w:rPr>
        <w:footnoteReference w:id="57"/>
      </w:r>
    </w:p>
    <w:p w:rsidR="00050185" w:rsidRPr="00050185" w:rsidRDefault="00050185" w:rsidP="00050185">
      <w:pPr>
        <w:spacing w:line="360" w:lineRule="auto"/>
        <w:jc w:val="both"/>
        <w:rPr>
          <w:sz w:val="24"/>
          <w:szCs w:val="24"/>
        </w:rPr>
      </w:pPr>
    </w:p>
    <w:p w:rsidR="00050185" w:rsidRPr="004608E0" w:rsidRDefault="00050185" w:rsidP="00050185">
      <w:pPr>
        <w:spacing w:line="360" w:lineRule="auto"/>
        <w:jc w:val="both"/>
        <w:rPr>
          <w:b/>
          <w:sz w:val="24"/>
          <w:szCs w:val="24"/>
          <w:u w:val="single"/>
        </w:rPr>
      </w:pPr>
      <w:r w:rsidRPr="004608E0">
        <w:rPr>
          <w:b/>
          <w:sz w:val="24"/>
          <w:szCs w:val="24"/>
          <w:u w:val="single"/>
        </w:rPr>
        <w:t>3. DELITO DE ROBO.</w:t>
      </w:r>
    </w:p>
    <w:p w:rsidR="00050185" w:rsidRPr="004608E0" w:rsidRDefault="00050185" w:rsidP="00050185">
      <w:pPr>
        <w:spacing w:line="360" w:lineRule="auto"/>
        <w:jc w:val="both"/>
        <w:rPr>
          <w:b/>
          <w:sz w:val="24"/>
          <w:szCs w:val="24"/>
          <w:u w:val="single"/>
        </w:rPr>
      </w:pPr>
      <w:r w:rsidRPr="004608E0">
        <w:rPr>
          <w:b/>
          <w:sz w:val="24"/>
          <w:szCs w:val="24"/>
          <w:u w:val="single"/>
        </w:rPr>
        <w:t>3.1 PLANTEAMIENTO GENERAL.</w:t>
      </w:r>
    </w:p>
    <w:p w:rsidR="000B44EE" w:rsidRDefault="00050185" w:rsidP="00050185">
      <w:pPr>
        <w:spacing w:line="360" w:lineRule="auto"/>
        <w:jc w:val="both"/>
        <w:rPr>
          <w:sz w:val="24"/>
          <w:szCs w:val="24"/>
        </w:rPr>
      </w:pPr>
      <w:r w:rsidRPr="00050185">
        <w:rPr>
          <w:sz w:val="24"/>
          <w:szCs w:val="24"/>
        </w:rPr>
        <w:t>El delito de robo estaba tipificado en el Código Penal de 1995, pero ahora, con la nueva reforma, este delito ha sufrido algunos cambios, por</w:t>
      </w:r>
      <w:r w:rsidR="00D129E5">
        <w:rPr>
          <w:sz w:val="24"/>
          <w:szCs w:val="24"/>
        </w:rPr>
        <w:t xml:space="preserve"> ejemplo, se ha simplificado </w:t>
      </w:r>
      <w:r w:rsidR="005C7888">
        <w:rPr>
          <w:sz w:val="24"/>
          <w:szCs w:val="24"/>
        </w:rPr>
        <w:t>su concepto y</w:t>
      </w:r>
      <w:r w:rsidRPr="00050185">
        <w:rPr>
          <w:sz w:val="24"/>
          <w:szCs w:val="24"/>
        </w:rPr>
        <w:t xml:space="preserve"> se han incorporado </w:t>
      </w:r>
      <w:r w:rsidR="00100A16" w:rsidRPr="00050185">
        <w:rPr>
          <w:sz w:val="24"/>
          <w:szCs w:val="24"/>
        </w:rPr>
        <w:t>más</w:t>
      </w:r>
      <w:r w:rsidRPr="00050185">
        <w:rPr>
          <w:sz w:val="24"/>
          <w:szCs w:val="24"/>
        </w:rPr>
        <w:t xml:space="preserve"> subtipos agravados, como hemos visto anteriormente. </w:t>
      </w:r>
      <w:r w:rsidR="00100A16" w:rsidRPr="00050185">
        <w:rPr>
          <w:sz w:val="24"/>
          <w:szCs w:val="24"/>
        </w:rPr>
        <w:t>Antes existía del delito de robo con homicidio, con violación, con lesiones,</w:t>
      </w:r>
      <w:r w:rsidR="00D129E5">
        <w:rPr>
          <w:sz w:val="24"/>
          <w:szCs w:val="24"/>
        </w:rPr>
        <w:t xml:space="preserve"> </w:t>
      </w:r>
      <w:r w:rsidR="006B3A42">
        <w:rPr>
          <w:sz w:val="24"/>
          <w:szCs w:val="24"/>
        </w:rPr>
        <w:t>etc.</w:t>
      </w:r>
      <w:r w:rsidR="00100A16" w:rsidRPr="00050185">
        <w:rPr>
          <w:sz w:val="24"/>
          <w:szCs w:val="24"/>
        </w:rPr>
        <w:t xml:space="preserve">, pero ahora se castiga este delito de robo en concurso con todas estas conductas. </w:t>
      </w:r>
      <w:r w:rsidRPr="00050185">
        <w:rPr>
          <w:sz w:val="24"/>
          <w:szCs w:val="24"/>
        </w:rPr>
        <w:t>Pero al igual que se ha simplificado su regulación, por el contrario, se ha ampliado su concepto.</w:t>
      </w:r>
      <w:r w:rsidRPr="00050185">
        <w:rPr>
          <w:rStyle w:val="Refdenotaalpie"/>
          <w:sz w:val="24"/>
          <w:szCs w:val="24"/>
        </w:rPr>
        <w:footnoteReference w:id="58"/>
      </w:r>
    </w:p>
    <w:p w:rsidR="005C7888" w:rsidRDefault="005C7888"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El delito de robo se encuentra regulado en los artículos 237 al 242 del Código Penal. </w:t>
      </w:r>
      <w:r w:rsidRPr="00050185">
        <w:rPr>
          <w:b/>
          <w:sz w:val="24"/>
          <w:szCs w:val="24"/>
        </w:rPr>
        <w:t xml:space="preserve">El artículo 237 del </w:t>
      </w:r>
      <w:r w:rsidR="00100A16" w:rsidRPr="00050185">
        <w:rPr>
          <w:b/>
          <w:sz w:val="24"/>
          <w:szCs w:val="24"/>
        </w:rPr>
        <w:t>Código Penal</w:t>
      </w:r>
      <w:r w:rsidRPr="00050185">
        <w:rPr>
          <w:sz w:val="24"/>
          <w:szCs w:val="24"/>
        </w:rPr>
        <w:t xml:space="preserve"> establece que: &lt;&lt;</w:t>
      </w:r>
      <w:r w:rsidRPr="00050185">
        <w:rPr>
          <w:i/>
          <w:sz w:val="24"/>
          <w:szCs w:val="24"/>
        </w:rPr>
        <w:t xml:space="preserve">Son reos del delito de robo los que, </w:t>
      </w:r>
      <w:r w:rsidRPr="00050185">
        <w:rPr>
          <w:i/>
          <w:sz w:val="24"/>
          <w:szCs w:val="24"/>
        </w:rPr>
        <w:lastRenderedPageBreak/>
        <w:t>con ánimo de lucro, se apoderaren de las cosas muebles ajenas empleando fuerza en las cosas para acceder o abandonar el lugar donde éstas se encuentran o violencia o intimidación en las personas, sea al cometer el delito, para proteger la huida, o sobre los que acudiesen en auxilio de la víctima o que le persiguieren</w:t>
      </w:r>
      <w:r w:rsidRPr="00050185">
        <w:rPr>
          <w:sz w:val="24"/>
          <w:szCs w:val="24"/>
        </w:rPr>
        <w:t>. &gt;&gt;</w:t>
      </w:r>
      <w:r w:rsidRPr="00050185">
        <w:rPr>
          <w:rStyle w:val="Refdenotaalpie"/>
          <w:sz w:val="24"/>
          <w:szCs w:val="24"/>
        </w:rPr>
        <w:footnoteReference w:id="59"/>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Observaremos en cada caso concreto, si estamos ante un tipo agravado o </w:t>
      </w:r>
      <w:r w:rsidR="00100A16" w:rsidRPr="00050185">
        <w:rPr>
          <w:sz w:val="24"/>
          <w:szCs w:val="24"/>
        </w:rPr>
        <w:t>no.</w:t>
      </w:r>
      <w:r w:rsidR="00100A16">
        <w:rPr>
          <w:sz w:val="24"/>
          <w:szCs w:val="24"/>
        </w:rPr>
        <w:t xml:space="preserve"> </w:t>
      </w:r>
      <w:r w:rsidR="00100A16" w:rsidRPr="00050185">
        <w:rPr>
          <w:sz w:val="24"/>
          <w:szCs w:val="24"/>
        </w:rPr>
        <w:t>Además</w:t>
      </w:r>
      <w:r w:rsidRPr="00050185">
        <w:rPr>
          <w:sz w:val="24"/>
          <w:szCs w:val="24"/>
        </w:rPr>
        <w:t xml:space="preserve"> debemos de diferenciar dos tipos de robo; el robo con fuerza en las cosas y el robo con fuerza o intimidación en las personas.</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En los artículos 238, 239, 240 y 241 del CP se castiga el robo con fuerza en las cosas y en el artículo 242 se castiga el robo con fuerza o intimidación en las personas.</w:t>
      </w:r>
      <w:r w:rsidRPr="00050185">
        <w:rPr>
          <w:rStyle w:val="Refdenotaalpie"/>
          <w:sz w:val="24"/>
          <w:szCs w:val="24"/>
        </w:rPr>
        <w:footnoteReference w:id="60"/>
      </w:r>
    </w:p>
    <w:p w:rsidR="000B44EE" w:rsidRDefault="000B44EE" w:rsidP="00050185">
      <w:pPr>
        <w:spacing w:line="360" w:lineRule="auto"/>
        <w:jc w:val="both"/>
        <w:rPr>
          <w:bCs/>
          <w:sz w:val="24"/>
          <w:szCs w:val="24"/>
        </w:rPr>
      </w:pPr>
    </w:p>
    <w:p w:rsidR="001300B2" w:rsidRPr="00050185" w:rsidRDefault="00050185" w:rsidP="00050185">
      <w:pPr>
        <w:spacing w:line="360" w:lineRule="auto"/>
        <w:jc w:val="both"/>
        <w:rPr>
          <w:bCs/>
          <w:sz w:val="24"/>
          <w:szCs w:val="24"/>
        </w:rPr>
      </w:pPr>
      <w:r w:rsidRPr="00050185">
        <w:rPr>
          <w:bCs/>
          <w:sz w:val="24"/>
          <w:szCs w:val="24"/>
        </w:rPr>
        <w:t>A modo de ejemplos dentro de este delito de robo, destaco varias sentencias:</w:t>
      </w:r>
    </w:p>
    <w:p w:rsidR="00050185" w:rsidRPr="00050185" w:rsidRDefault="00050185" w:rsidP="00050185">
      <w:pPr>
        <w:pStyle w:val="Prrafodelista"/>
        <w:numPr>
          <w:ilvl w:val="0"/>
          <w:numId w:val="6"/>
        </w:numPr>
        <w:spacing w:line="360" w:lineRule="auto"/>
        <w:jc w:val="both"/>
        <w:rPr>
          <w:rFonts w:ascii="Times New Roman" w:hAnsi="Times New Roman" w:cs="Times New Roman"/>
          <w:sz w:val="24"/>
          <w:szCs w:val="24"/>
        </w:rPr>
      </w:pPr>
      <w:r w:rsidRPr="00050185">
        <w:rPr>
          <w:rFonts w:ascii="Times New Roman" w:hAnsi="Times New Roman" w:cs="Times New Roman"/>
          <w:bCs/>
          <w:sz w:val="24"/>
          <w:szCs w:val="24"/>
        </w:rPr>
        <w:t xml:space="preserve">Sentencia de TS, 10 de Octubre de 2013. </w:t>
      </w:r>
      <w:r w:rsidRPr="00050185">
        <w:rPr>
          <w:rStyle w:val="Refdenotaalpie"/>
          <w:rFonts w:ascii="Times New Roman" w:hAnsi="Times New Roman" w:cs="Times New Roman"/>
          <w:bCs/>
          <w:sz w:val="24"/>
          <w:szCs w:val="24"/>
        </w:rPr>
        <w:footnoteReference w:id="61"/>
      </w:r>
    </w:p>
    <w:p w:rsidR="00050185" w:rsidRPr="00050185" w:rsidRDefault="00050185" w:rsidP="00050185">
      <w:pPr>
        <w:pStyle w:val="Prrafodelista"/>
        <w:numPr>
          <w:ilvl w:val="0"/>
          <w:numId w:val="6"/>
        </w:numPr>
        <w:spacing w:line="360" w:lineRule="auto"/>
        <w:jc w:val="both"/>
        <w:rPr>
          <w:rFonts w:ascii="Times New Roman" w:hAnsi="Times New Roman" w:cs="Times New Roman"/>
          <w:sz w:val="24"/>
          <w:szCs w:val="24"/>
        </w:rPr>
      </w:pPr>
      <w:r w:rsidRPr="00050185">
        <w:rPr>
          <w:rFonts w:ascii="Times New Roman" w:hAnsi="Times New Roman" w:cs="Times New Roman"/>
          <w:bCs/>
          <w:sz w:val="24"/>
          <w:szCs w:val="24"/>
        </w:rPr>
        <w:t xml:space="preserve">Sentencia de TS, 4 de Junio de 2014. </w:t>
      </w:r>
      <w:r w:rsidRPr="00050185">
        <w:rPr>
          <w:rStyle w:val="Refdenotaalpie"/>
          <w:rFonts w:ascii="Times New Roman" w:hAnsi="Times New Roman" w:cs="Times New Roman"/>
          <w:bCs/>
          <w:sz w:val="24"/>
          <w:szCs w:val="24"/>
        </w:rPr>
        <w:footnoteReference w:id="62"/>
      </w:r>
    </w:p>
    <w:p w:rsidR="00050185" w:rsidRPr="001300B2" w:rsidRDefault="00050185" w:rsidP="00050185">
      <w:pPr>
        <w:pStyle w:val="Prrafodelista"/>
        <w:numPr>
          <w:ilvl w:val="0"/>
          <w:numId w:val="6"/>
        </w:numPr>
        <w:spacing w:line="360" w:lineRule="auto"/>
        <w:jc w:val="both"/>
        <w:rPr>
          <w:rFonts w:ascii="Times New Roman" w:hAnsi="Times New Roman" w:cs="Times New Roman"/>
          <w:sz w:val="24"/>
          <w:szCs w:val="24"/>
        </w:rPr>
      </w:pPr>
      <w:r w:rsidRPr="00050185">
        <w:rPr>
          <w:rFonts w:ascii="Times New Roman" w:hAnsi="Times New Roman" w:cs="Times New Roman"/>
          <w:bCs/>
          <w:sz w:val="24"/>
          <w:szCs w:val="24"/>
        </w:rPr>
        <w:t>Sentencia de TS, 27 de Noviembre de 2013.</w:t>
      </w:r>
      <w:r w:rsidRPr="00050185">
        <w:rPr>
          <w:rStyle w:val="Refdenotaalpie"/>
          <w:rFonts w:ascii="Times New Roman" w:hAnsi="Times New Roman" w:cs="Times New Roman"/>
          <w:bCs/>
          <w:sz w:val="24"/>
          <w:szCs w:val="24"/>
        </w:rPr>
        <w:footnoteReference w:id="63"/>
      </w:r>
    </w:p>
    <w:p w:rsidR="00D129E5" w:rsidRDefault="00D129E5" w:rsidP="00050185">
      <w:pPr>
        <w:spacing w:line="360" w:lineRule="auto"/>
        <w:jc w:val="both"/>
        <w:rPr>
          <w:b/>
          <w:sz w:val="24"/>
          <w:szCs w:val="24"/>
          <w:u w:val="single"/>
        </w:rPr>
      </w:pPr>
    </w:p>
    <w:p w:rsidR="00050185" w:rsidRPr="004608E0" w:rsidRDefault="00050185" w:rsidP="00050185">
      <w:pPr>
        <w:spacing w:line="360" w:lineRule="auto"/>
        <w:jc w:val="both"/>
        <w:rPr>
          <w:b/>
          <w:sz w:val="24"/>
          <w:szCs w:val="24"/>
          <w:u w:val="single"/>
        </w:rPr>
      </w:pPr>
      <w:r w:rsidRPr="004608E0">
        <w:rPr>
          <w:b/>
          <w:sz w:val="24"/>
          <w:szCs w:val="24"/>
          <w:u w:val="single"/>
        </w:rPr>
        <w:t>3.2 ELEMENTOS DEL TIPO.</w:t>
      </w:r>
    </w:p>
    <w:p w:rsidR="000B44EE" w:rsidRDefault="00050185" w:rsidP="00050185">
      <w:pPr>
        <w:spacing w:line="360" w:lineRule="auto"/>
        <w:jc w:val="both"/>
        <w:rPr>
          <w:sz w:val="24"/>
          <w:szCs w:val="24"/>
        </w:rPr>
      </w:pPr>
      <w:r w:rsidRPr="00050185">
        <w:rPr>
          <w:sz w:val="24"/>
          <w:szCs w:val="24"/>
        </w:rPr>
        <w:t xml:space="preserve">El delito de robo tiene muchos elementos de especial importancia, como el bien jurídico, la autoría, el objeto material…que ya vimos anteriormente en el delito de hurto, y que son comunes con él. </w:t>
      </w:r>
    </w:p>
    <w:p w:rsidR="00050185" w:rsidRPr="00050185" w:rsidRDefault="00050185" w:rsidP="00050185">
      <w:pPr>
        <w:spacing w:line="360" w:lineRule="auto"/>
        <w:jc w:val="both"/>
        <w:rPr>
          <w:sz w:val="24"/>
          <w:szCs w:val="24"/>
        </w:rPr>
      </w:pPr>
      <w:r w:rsidRPr="00050185">
        <w:rPr>
          <w:sz w:val="24"/>
          <w:szCs w:val="24"/>
        </w:rPr>
        <w:lastRenderedPageBreak/>
        <w:t>Por el contrario, los elementos que lo diferencian del hurto son la existencia de fuerza en las cosas o violencia o intimidación en las personas.</w:t>
      </w:r>
    </w:p>
    <w:p w:rsidR="000B44EE" w:rsidRDefault="000B44EE" w:rsidP="00050185">
      <w:pPr>
        <w:spacing w:line="360" w:lineRule="auto"/>
        <w:jc w:val="both"/>
        <w:rPr>
          <w:sz w:val="24"/>
          <w:szCs w:val="24"/>
        </w:rPr>
      </w:pPr>
    </w:p>
    <w:p w:rsidR="000B44EE" w:rsidRDefault="00050185" w:rsidP="00050185">
      <w:pPr>
        <w:spacing w:line="360" w:lineRule="auto"/>
        <w:jc w:val="both"/>
        <w:rPr>
          <w:sz w:val="24"/>
          <w:szCs w:val="24"/>
        </w:rPr>
      </w:pPr>
      <w:r w:rsidRPr="00050185">
        <w:rPr>
          <w:sz w:val="24"/>
          <w:szCs w:val="24"/>
        </w:rPr>
        <w:t xml:space="preserve">La intimidación o violencia se pueden ejercer directamente sobre el dueño o poseedor de la cosa o sobre una tercera persona, lo importante es que se consiga doblegar la voluntad de quien tiene la </w:t>
      </w:r>
      <w:r w:rsidR="00100A16" w:rsidRPr="00050185">
        <w:rPr>
          <w:sz w:val="24"/>
          <w:szCs w:val="24"/>
        </w:rPr>
        <w:t>cosa. Así</w:t>
      </w:r>
      <w:r w:rsidRPr="00050185">
        <w:rPr>
          <w:sz w:val="24"/>
          <w:szCs w:val="24"/>
        </w:rPr>
        <w:t xml:space="preserve"> lo observamos en la </w:t>
      </w:r>
      <w:r w:rsidRPr="00050185">
        <w:rPr>
          <w:b/>
          <w:sz w:val="24"/>
          <w:szCs w:val="24"/>
        </w:rPr>
        <w:t xml:space="preserve">Sentencia de la Audiencia provincial de </w:t>
      </w:r>
      <w:r w:rsidR="006B3A42" w:rsidRPr="00050185">
        <w:rPr>
          <w:b/>
          <w:sz w:val="24"/>
          <w:szCs w:val="24"/>
        </w:rPr>
        <w:t>Álava,</w:t>
      </w:r>
      <w:r w:rsidRPr="00050185">
        <w:rPr>
          <w:b/>
          <w:sz w:val="24"/>
          <w:szCs w:val="24"/>
        </w:rPr>
        <w:t xml:space="preserve"> del 28 de Junio de 2001</w:t>
      </w:r>
      <w:r w:rsidRPr="00050185">
        <w:rPr>
          <w:rStyle w:val="Refdenotaalpie"/>
          <w:b/>
          <w:sz w:val="24"/>
          <w:szCs w:val="24"/>
        </w:rPr>
        <w:footnoteReference w:id="64"/>
      </w:r>
      <w:r w:rsidRPr="00050185">
        <w:rPr>
          <w:sz w:val="24"/>
          <w:szCs w:val="24"/>
        </w:rPr>
        <w:t xml:space="preserve">, en la que se ve claramente como el sujeto utiliza medios para intimidar a la </w:t>
      </w:r>
      <w:r w:rsidR="00100A16" w:rsidRPr="00050185">
        <w:rPr>
          <w:sz w:val="24"/>
          <w:szCs w:val="24"/>
        </w:rPr>
        <w:t>víctima</w:t>
      </w:r>
      <w:r w:rsidRPr="00050185">
        <w:rPr>
          <w:sz w:val="24"/>
          <w:szCs w:val="24"/>
        </w:rPr>
        <w:t xml:space="preserve"> y </w:t>
      </w:r>
      <w:r w:rsidR="00100A16" w:rsidRPr="00050185">
        <w:rPr>
          <w:sz w:val="24"/>
          <w:szCs w:val="24"/>
        </w:rPr>
        <w:t>así</w:t>
      </w:r>
      <w:r w:rsidRPr="00050185">
        <w:rPr>
          <w:sz w:val="24"/>
          <w:szCs w:val="24"/>
        </w:rPr>
        <w:t xml:space="preserve"> conseguir su objetivo.</w:t>
      </w:r>
    </w:p>
    <w:p w:rsidR="00050185" w:rsidRPr="00050185" w:rsidRDefault="00050185" w:rsidP="00050185">
      <w:pPr>
        <w:spacing w:line="360" w:lineRule="auto"/>
        <w:jc w:val="both"/>
        <w:rPr>
          <w:sz w:val="24"/>
          <w:szCs w:val="24"/>
        </w:rPr>
      </w:pPr>
      <w:r w:rsidRPr="00050185">
        <w:rPr>
          <w:sz w:val="24"/>
          <w:szCs w:val="24"/>
        </w:rPr>
        <w:t>Como ya hemos podido observar con anterioridad, una de las principales diferencias con el delito de hurto es el empleo de la fuerza, característico en el delito de robo, el hurto, al contrario que éste, se va a basar en el despiste.</w:t>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i/>
          <w:sz w:val="24"/>
          <w:szCs w:val="24"/>
        </w:rPr>
      </w:pPr>
      <w:r w:rsidRPr="00050185">
        <w:rPr>
          <w:sz w:val="24"/>
          <w:szCs w:val="24"/>
        </w:rPr>
        <w:t xml:space="preserve">Según </w:t>
      </w:r>
      <w:r w:rsidRPr="00050185">
        <w:rPr>
          <w:b/>
          <w:sz w:val="24"/>
          <w:szCs w:val="24"/>
        </w:rPr>
        <w:t>Muñoz Conde</w:t>
      </w:r>
      <w:r w:rsidRPr="00050185">
        <w:rPr>
          <w:sz w:val="24"/>
          <w:szCs w:val="24"/>
        </w:rPr>
        <w:t>: &lt;&lt;</w:t>
      </w:r>
      <w:r w:rsidRPr="00050185">
        <w:rPr>
          <w:i/>
          <w:sz w:val="24"/>
          <w:szCs w:val="24"/>
        </w:rPr>
        <w:t xml:space="preserve">El “bien jurídico protegido” es el mismo que en el delito de hurto: la posesión, o en su defecto, la propiedad de las cosas sustraídas. El objeto material es la cosa mueble ajena y se exige </w:t>
      </w:r>
      <w:r w:rsidR="00100A16" w:rsidRPr="00050185">
        <w:rPr>
          <w:i/>
          <w:sz w:val="24"/>
          <w:szCs w:val="24"/>
        </w:rPr>
        <w:t>también</w:t>
      </w:r>
      <w:r w:rsidRPr="00050185">
        <w:rPr>
          <w:i/>
          <w:sz w:val="24"/>
          <w:szCs w:val="24"/>
        </w:rPr>
        <w:t xml:space="preserve"> el elemento subjetivo del ánimo de lucro. </w:t>
      </w:r>
      <w:r w:rsidR="00100A16" w:rsidRPr="00050185">
        <w:rPr>
          <w:i/>
          <w:sz w:val="24"/>
          <w:szCs w:val="24"/>
        </w:rPr>
        <w:t>También</w:t>
      </w:r>
      <w:r w:rsidRPr="00050185">
        <w:rPr>
          <w:i/>
          <w:sz w:val="24"/>
          <w:szCs w:val="24"/>
        </w:rPr>
        <w:t xml:space="preserve"> en la acción hay elementos comunes, el verbo usado por el legislador, al definir el robo no es en esencia diferente al empleado en el hurto: apoderarse-tomar. La diferencia con el hurto estriba en el medio empleado para dicho apoderamiento, pues el hurto se construye precisamente con la no concurrencia de fuerza en las cosas o violencia o intimidación en las personas</w:t>
      </w:r>
      <w:proofErr w:type="gramStart"/>
      <w:r w:rsidRPr="00050185">
        <w:rPr>
          <w:i/>
          <w:sz w:val="24"/>
          <w:szCs w:val="24"/>
        </w:rPr>
        <w:t>.&gt;</w:t>
      </w:r>
      <w:proofErr w:type="gramEnd"/>
      <w:r w:rsidRPr="00050185">
        <w:rPr>
          <w:i/>
          <w:sz w:val="24"/>
          <w:szCs w:val="24"/>
        </w:rPr>
        <w:t>&gt;</w:t>
      </w:r>
      <w:r w:rsidRPr="00050185">
        <w:rPr>
          <w:rStyle w:val="Refdenotaalpie"/>
          <w:i/>
          <w:sz w:val="24"/>
          <w:szCs w:val="24"/>
        </w:rPr>
        <w:footnoteReference w:id="65"/>
      </w:r>
    </w:p>
    <w:p w:rsidR="000B44EE" w:rsidRDefault="000B44EE" w:rsidP="00050185">
      <w:pPr>
        <w:spacing w:line="360" w:lineRule="auto"/>
        <w:jc w:val="both"/>
        <w:rPr>
          <w:b/>
          <w:sz w:val="24"/>
          <w:szCs w:val="24"/>
        </w:rPr>
      </w:pPr>
    </w:p>
    <w:p w:rsidR="00050185" w:rsidRPr="00050185" w:rsidRDefault="00050185" w:rsidP="00050185">
      <w:pPr>
        <w:spacing w:line="360" w:lineRule="auto"/>
        <w:jc w:val="both"/>
        <w:rPr>
          <w:i/>
          <w:sz w:val="24"/>
          <w:szCs w:val="24"/>
        </w:rPr>
      </w:pPr>
      <w:r w:rsidRPr="00050185">
        <w:rPr>
          <w:b/>
          <w:sz w:val="24"/>
          <w:szCs w:val="24"/>
        </w:rPr>
        <w:t xml:space="preserve">De Vicente </w:t>
      </w:r>
      <w:r w:rsidR="00100A16" w:rsidRPr="00050185">
        <w:rPr>
          <w:b/>
          <w:sz w:val="24"/>
          <w:szCs w:val="24"/>
        </w:rPr>
        <w:t>Martínez</w:t>
      </w:r>
      <w:r w:rsidRPr="00050185">
        <w:rPr>
          <w:sz w:val="24"/>
          <w:szCs w:val="24"/>
        </w:rPr>
        <w:t xml:space="preserve"> establece: &lt;&lt;</w:t>
      </w:r>
      <w:r w:rsidRPr="00050185">
        <w:rPr>
          <w:i/>
          <w:sz w:val="24"/>
          <w:szCs w:val="24"/>
        </w:rPr>
        <w:t xml:space="preserve">En el delito de robo </w:t>
      </w:r>
      <w:r w:rsidR="00100A16" w:rsidRPr="00050185">
        <w:rPr>
          <w:i/>
          <w:sz w:val="24"/>
          <w:szCs w:val="24"/>
        </w:rPr>
        <w:t>también</w:t>
      </w:r>
      <w:r w:rsidRPr="00050185">
        <w:rPr>
          <w:i/>
          <w:sz w:val="24"/>
          <w:szCs w:val="24"/>
        </w:rPr>
        <w:t xml:space="preserve"> se da, al igual que en delito de hurto, el </w:t>
      </w:r>
      <w:r w:rsidR="00100A16" w:rsidRPr="00050185">
        <w:rPr>
          <w:i/>
          <w:sz w:val="24"/>
          <w:szCs w:val="24"/>
        </w:rPr>
        <w:t>ánimo</w:t>
      </w:r>
      <w:r w:rsidRPr="00050185">
        <w:rPr>
          <w:i/>
          <w:sz w:val="24"/>
          <w:szCs w:val="24"/>
        </w:rPr>
        <w:t xml:space="preserve"> de lucro, que se define como la intención de obtener una ventaja patrimonial directa del apoderamiento de cosa ajena. Dicho ánimo es compatible con cualquier otro propósito o finalidad ulterior del sujeto distinto del mero </w:t>
      </w:r>
      <w:r w:rsidRPr="00050185">
        <w:rPr>
          <w:i/>
          <w:sz w:val="24"/>
          <w:szCs w:val="24"/>
        </w:rPr>
        <w:lastRenderedPageBreak/>
        <w:t>enriquecimiento. El ánimo de usar una cosa mueble ajena, en la medida en que el sujeto no toma la cosa con la finalidad de hacerla propia, es atípico</w:t>
      </w:r>
      <w:proofErr w:type="gramStart"/>
      <w:r w:rsidRPr="00050185">
        <w:rPr>
          <w:i/>
          <w:sz w:val="24"/>
          <w:szCs w:val="24"/>
        </w:rPr>
        <w:t>.&gt;</w:t>
      </w:r>
      <w:proofErr w:type="gramEnd"/>
      <w:r w:rsidRPr="00050185">
        <w:rPr>
          <w:i/>
          <w:sz w:val="24"/>
          <w:szCs w:val="24"/>
        </w:rPr>
        <w:t>&gt;</w:t>
      </w:r>
      <w:r w:rsidRPr="00050185">
        <w:rPr>
          <w:rStyle w:val="Refdenotaalpie"/>
          <w:i/>
          <w:sz w:val="24"/>
          <w:szCs w:val="24"/>
        </w:rPr>
        <w:footnoteReference w:id="66"/>
      </w:r>
    </w:p>
    <w:p w:rsidR="00050185" w:rsidRPr="00050185" w:rsidRDefault="00050185" w:rsidP="00050185">
      <w:pPr>
        <w:spacing w:line="360" w:lineRule="auto"/>
        <w:jc w:val="both"/>
        <w:rPr>
          <w:sz w:val="24"/>
          <w:szCs w:val="24"/>
        </w:rPr>
      </w:pPr>
    </w:p>
    <w:p w:rsidR="00050185" w:rsidRPr="004608E0" w:rsidRDefault="00050185" w:rsidP="00050185">
      <w:pPr>
        <w:spacing w:line="360" w:lineRule="auto"/>
        <w:jc w:val="both"/>
        <w:rPr>
          <w:b/>
          <w:sz w:val="24"/>
          <w:szCs w:val="24"/>
          <w:u w:val="single"/>
        </w:rPr>
      </w:pPr>
      <w:r w:rsidRPr="004608E0">
        <w:rPr>
          <w:b/>
          <w:sz w:val="24"/>
          <w:szCs w:val="24"/>
          <w:u w:val="single"/>
        </w:rPr>
        <w:t xml:space="preserve">3.3 ROBO CON FUERZA EN LAS COSAS. </w:t>
      </w:r>
    </w:p>
    <w:p w:rsidR="00050185" w:rsidRDefault="00050185" w:rsidP="00050185">
      <w:pPr>
        <w:spacing w:line="360" w:lineRule="auto"/>
        <w:jc w:val="both"/>
        <w:rPr>
          <w:sz w:val="24"/>
          <w:szCs w:val="24"/>
        </w:rPr>
      </w:pPr>
      <w:r w:rsidRPr="004608E0">
        <w:rPr>
          <w:b/>
          <w:sz w:val="24"/>
          <w:szCs w:val="24"/>
          <w:u w:val="single"/>
        </w:rPr>
        <w:t>3.3.1 CONSIDERACIONES GENERALES.</w:t>
      </w:r>
    </w:p>
    <w:p w:rsidR="00050185" w:rsidRPr="00050185" w:rsidRDefault="00050185" w:rsidP="00050185">
      <w:pPr>
        <w:spacing w:line="360" w:lineRule="auto"/>
        <w:jc w:val="both"/>
        <w:rPr>
          <w:i/>
          <w:sz w:val="24"/>
          <w:szCs w:val="24"/>
        </w:rPr>
      </w:pPr>
      <w:r w:rsidRPr="00050185">
        <w:rPr>
          <w:sz w:val="24"/>
          <w:szCs w:val="24"/>
        </w:rPr>
        <w:t xml:space="preserve">Además de en el </w:t>
      </w:r>
      <w:r w:rsidR="00100A16" w:rsidRPr="00050185">
        <w:rPr>
          <w:sz w:val="24"/>
          <w:szCs w:val="24"/>
        </w:rPr>
        <w:t>artículo</w:t>
      </w:r>
      <w:r w:rsidRPr="00050185">
        <w:rPr>
          <w:sz w:val="24"/>
          <w:szCs w:val="24"/>
        </w:rPr>
        <w:t xml:space="preserve"> 237 del </w:t>
      </w:r>
      <w:r w:rsidR="00100A16" w:rsidRPr="00050185">
        <w:rPr>
          <w:sz w:val="24"/>
          <w:szCs w:val="24"/>
        </w:rPr>
        <w:t>Código</w:t>
      </w:r>
      <w:r w:rsidRPr="00050185">
        <w:rPr>
          <w:sz w:val="24"/>
          <w:szCs w:val="24"/>
        </w:rPr>
        <w:t xml:space="preserve"> Penal, la definición de robo con fuerza en las </w:t>
      </w:r>
      <w:r w:rsidR="00100A16" w:rsidRPr="00050185">
        <w:rPr>
          <w:sz w:val="24"/>
          <w:szCs w:val="24"/>
        </w:rPr>
        <w:t>cosas también</w:t>
      </w:r>
      <w:r w:rsidRPr="00050185">
        <w:rPr>
          <w:sz w:val="24"/>
          <w:szCs w:val="24"/>
        </w:rPr>
        <w:t xml:space="preserve"> se encuentra recogida en el </w:t>
      </w:r>
      <w:r w:rsidR="00100A16" w:rsidRPr="00050185">
        <w:rPr>
          <w:b/>
          <w:sz w:val="24"/>
          <w:szCs w:val="24"/>
        </w:rPr>
        <w:t>artículo</w:t>
      </w:r>
      <w:r w:rsidRPr="00050185">
        <w:rPr>
          <w:b/>
          <w:sz w:val="24"/>
          <w:szCs w:val="24"/>
        </w:rPr>
        <w:t xml:space="preserve"> 238 del Código Penal</w:t>
      </w:r>
      <w:r w:rsidRPr="00050185">
        <w:rPr>
          <w:sz w:val="24"/>
          <w:szCs w:val="24"/>
        </w:rPr>
        <w:t>, que queda redactado de la siguiente manera: &lt;&lt;</w:t>
      </w:r>
      <w:r w:rsidRPr="00050185">
        <w:rPr>
          <w:i/>
          <w:sz w:val="24"/>
          <w:szCs w:val="24"/>
        </w:rPr>
        <w:t>Son reos del delito de robo con fuerza en las cosas los que ejecuten el hecho cuando concurra alguna de las circunstancias siguientes:</w:t>
      </w:r>
    </w:p>
    <w:p w:rsidR="00050185" w:rsidRPr="00050185" w:rsidRDefault="00050185" w:rsidP="00050185">
      <w:pPr>
        <w:numPr>
          <w:ilvl w:val="0"/>
          <w:numId w:val="14"/>
        </w:numPr>
        <w:spacing w:after="200" w:line="360" w:lineRule="auto"/>
        <w:jc w:val="both"/>
        <w:rPr>
          <w:i/>
          <w:sz w:val="24"/>
          <w:szCs w:val="24"/>
        </w:rPr>
      </w:pPr>
      <w:proofErr w:type="gramStart"/>
      <w:r w:rsidRPr="00050185">
        <w:rPr>
          <w:b/>
          <w:bCs/>
          <w:i/>
          <w:sz w:val="24"/>
          <w:szCs w:val="24"/>
        </w:rPr>
        <w:t>1.º</w:t>
      </w:r>
      <w:proofErr w:type="gramEnd"/>
      <w:r w:rsidRPr="00050185">
        <w:rPr>
          <w:b/>
          <w:bCs/>
          <w:i/>
          <w:sz w:val="24"/>
          <w:szCs w:val="24"/>
        </w:rPr>
        <w:t> </w:t>
      </w:r>
      <w:r w:rsidRPr="00050185">
        <w:rPr>
          <w:i/>
          <w:sz w:val="24"/>
          <w:szCs w:val="24"/>
        </w:rPr>
        <w:t>Escalamiento.</w:t>
      </w:r>
    </w:p>
    <w:p w:rsidR="00050185" w:rsidRPr="00050185" w:rsidRDefault="00050185" w:rsidP="00050185">
      <w:pPr>
        <w:numPr>
          <w:ilvl w:val="0"/>
          <w:numId w:val="14"/>
        </w:numPr>
        <w:spacing w:after="200" w:line="360" w:lineRule="auto"/>
        <w:jc w:val="both"/>
        <w:rPr>
          <w:i/>
          <w:sz w:val="24"/>
          <w:szCs w:val="24"/>
        </w:rPr>
      </w:pPr>
      <w:proofErr w:type="gramStart"/>
      <w:r w:rsidRPr="00050185">
        <w:rPr>
          <w:b/>
          <w:bCs/>
          <w:i/>
          <w:sz w:val="24"/>
          <w:szCs w:val="24"/>
        </w:rPr>
        <w:t>2.º</w:t>
      </w:r>
      <w:proofErr w:type="gramEnd"/>
      <w:r w:rsidRPr="00050185">
        <w:rPr>
          <w:b/>
          <w:bCs/>
          <w:i/>
          <w:sz w:val="24"/>
          <w:szCs w:val="24"/>
        </w:rPr>
        <w:t> </w:t>
      </w:r>
      <w:r w:rsidRPr="00050185">
        <w:rPr>
          <w:i/>
          <w:sz w:val="24"/>
          <w:szCs w:val="24"/>
        </w:rPr>
        <w:t>Rompimiento de pared, techo o suelo, o fractura de puerta o ventana.</w:t>
      </w:r>
    </w:p>
    <w:p w:rsidR="00050185" w:rsidRPr="00050185" w:rsidRDefault="00050185" w:rsidP="00050185">
      <w:pPr>
        <w:numPr>
          <w:ilvl w:val="0"/>
          <w:numId w:val="14"/>
        </w:numPr>
        <w:spacing w:after="200" w:line="360" w:lineRule="auto"/>
        <w:jc w:val="both"/>
        <w:rPr>
          <w:i/>
          <w:sz w:val="24"/>
          <w:szCs w:val="24"/>
        </w:rPr>
      </w:pPr>
      <w:proofErr w:type="gramStart"/>
      <w:r w:rsidRPr="00050185">
        <w:rPr>
          <w:b/>
          <w:bCs/>
          <w:i/>
          <w:sz w:val="24"/>
          <w:szCs w:val="24"/>
        </w:rPr>
        <w:t>3.º</w:t>
      </w:r>
      <w:proofErr w:type="gramEnd"/>
      <w:r w:rsidRPr="00050185">
        <w:rPr>
          <w:b/>
          <w:bCs/>
          <w:i/>
          <w:sz w:val="24"/>
          <w:szCs w:val="24"/>
        </w:rPr>
        <w:t> </w:t>
      </w:r>
      <w:r w:rsidRPr="00050185">
        <w:rPr>
          <w:i/>
          <w:sz w:val="24"/>
          <w:szCs w:val="24"/>
        </w:rPr>
        <w:t>Fractura de armarios, arcas u otra clase de muebles u objetos cerrados o sellados, o forzamiento de sus cerraduras o descubrimiento de sus claves para sustraer su contenido, sea en el lugar del robo o fuera del mismo.</w:t>
      </w:r>
    </w:p>
    <w:p w:rsidR="00050185" w:rsidRPr="00050185" w:rsidRDefault="00050185" w:rsidP="00050185">
      <w:pPr>
        <w:numPr>
          <w:ilvl w:val="0"/>
          <w:numId w:val="14"/>
        </w:numPr>
        <w:spacing w:after="200" w:line="360" w:lineRule="auto"/>
        <w:jc w:val="both"/>
        <w:rPr>
          <w:i/>
          <w:sz w:val="24"/>
          <w:szCs w:val="24"/>
        </w:rPr>
      </w:pPr>
      <w:proofErr w:type="gramStart"/>
      <w:r w:rsidRPr="00050185">
        <w:rPr>
          <w:b/>
          <w:bCs/>
          <w:i/>
          <w:sz w:val="24"/>
          <w:szCs w:val="24"/>
        </w:rPr>
        <w:t>4.º</w:t>
      </w:r>
      <w:proofErr w:type="gramEnd"/>
      <w:r w:rsidRPr="00050185">
        <w:rPr>
          <w:b/>
          <w:bCs/>
          <w:i/>
          <w:sz w:val="24"/>
          <w:szCs w:val="24"/>
        </w:rPr>
        <w:t> </w:t>
      </w:r>
      <w:r w:rsidRPr="00050185">
        <w:rPr>
          <w:i/>
          <w:sz w:val="24"/>
          <w:szCs w:val="24"/>
        </w:rPr>
        <w:t>Uso de llaves falsas.</w:t>
      </w:r>
    </w:p>
    <w:p w:rsidR="00050185" w:rsidRPr="00050185" w:rsidRDefault="00050185" w:rsidP="00050185">
      <w:pPr>
        <w:numPr>
          <w:ilvl w:val="0"/>
          <w:numId w:val="14"/>
        </w:numPr>
        <w:spacing w:after="200" w:line="360" w:lineRule="auto"/>
        <w:jc w:val="both"/>
        <w:rPr>
          <w:sz w:val="24"/>
          <w:szCs w:val="24"/>
        </w:rPr>
      </w:pPr>
      <w:proofErr w:type="gramStart"/>
      <w:r w:rsidRPr="00050185">
        <w:rPr>
          <w:b/>
          <w:bCs/>
          <w:i/>
          <w:sz w:val="24"/>
          <w:szCs w:val="24"/>
        </w:rPr>
        <w:t>5.º</w:t>
      </w:r>
      <w:proofErr w:type="gramEnd"/>
      <w:r w:rsidRPr="00050185">
        <w:rPr>
          <w:b/>
          <w:bCs/>
          <w:i/>
          <w:sz w:val="24"/>
          <w:szCs w:val="24"/>
        </w:rPr>
        <w:t> </w:t>
      </w:r>
      <w:r w:rsidRPr="00050185">
        <w:rPr>
          <w:i/>
          <w:sz w:val="24"/>
          <w:szCs w:val="24"/>
        </w:rPr>
        <w:t>Inutilización de sistemas específicos de alarma o guarda.</w:t>
      </w:r>
      <w:r w:rsidRPr="00050185">
        <w:rPr>
          <w:sz w:val="24"/>
          <w:szCs w:val="24"/>
        </w:rPr>
        <w:t>&gt;&gt;</w:t>
      </w:r>
      <w:r w:rsidRPr="00050185">
        <w:rPr>
          <w:rStyle w:val="Refdenotaalpie"/>
          <w:sz w:val="24"/>
          <w:szCs w:val="24"/>
        </w:rPr>
        <w:footnoteReference w:id="67"/>
      </w:r>
    </w:p>
    <w:p w:rsidR="00050185" w:rsidRPr="00050185" w:rsidRDefault="00050185" w:rsidP="00050185">
      <w:pPr>
        <w:spacing w:line="360" w:lineRule="auto"/>
        <w:jc w:val="both"/>
        <w:rPr>
          <w:sz w:val="24"/>
          <w:szCs w:val="24"/>
        </w:rPr>
      </w:pPr>
    </w:p>
    <w:p w:rsidR="00050185" w:rsidRPr="00050185" w:rsidRDefault="00050185" w:rsidP="00050185">
      <w:pPr>
        <w:spacing w:line="360" w:lineRule="auto"/>
        <w:jc w:val="both"/>
        <w:rPr>
          <w:sz w:val="24"/>
          <w:szCs w:val="24"/>
        </w:rPr>
      </w:pPr>
      <w:proofErr w:type="spellStart"/>
      <w:r w:rsidRPr="00050CBB">
        <w:rPr>
          <w:b/>
          <w:sz w:val="24"/>
          <w:szCs w:val="24"/>
        </w:rPr>
        <w:t>Terradillos</w:t>
      </w:r>
      <w:proofErr w:type="spellEnd"/>
      <w:r w:rsidRPr="00050CBB">
        <w:rPr>
          <w:b/>
          <w:sz w:val="24"/>
          <w:szCs w:val="24"/>
        </w:rPr>
        <w:t xml:space="preserve"> </w:t>
      </w:r>
      <w:proofErr w:type="spellStart"/>
      <w:r w:rsidRPr="00050CBB">
        <w:rPr>
          <w:b/>
          <w:sz w:val="24"/>
          <w:szCs w:val="24"/>
        </w:rPr>
        <w:t>Basoco</w:t>
      </w:r>
      <w:proofErr w:type="spellEnd"/>
      <w:r w:rsidRPr="00050185">
        <w:rPr>
          <w:sz w:val="24"/>
          <w:szCs w:val="24"/>
        </w:rPr>
        <w:t xml:space="preserve"> nos da una descripción detallada sobre todas estas circunstancias establecidas en el anterior </w:t>
      </w:r>
      <w:r w:rsidR="00100A16" w:rsidRPr="00050185">
        <w:rPr>
          <w:sz w:val="24"/>
          <w:szCs w:val="24"/>
        </w:rPr>
        <w:t>artículo</w:t>
      </w:r>
      <w:r w:rsidRPr="00050185">
        <w:rPr>
          <w:sz w:val="24"/>
          <w:szCs w:val="24"/>
        </w:rPr>
        <w:t xml:space="preserve">. En primer lugar, dice que el escalamiento, tal y como expresamente recoge el </w:t>
      </w:r>
      <w:r w:rsidR="00100A16" w:rsidRPr="00050185">
        <w:rPr>
          <w:sz w:val="24"/>
          <w:szCs w:val="24"/>
        </w:rPr>
        <w:t>artículo</w:t>
      </w:r>
      <w:r w:rsidRPr="00050185">
        <w:rPr>
          <w:sz w:val="24"/>
          <w:szCs w:val="24"/>
        </w:rPr>
        <w:t xml:space="preserve"> 237, si se utiliza con el objetivo de acceder o dejar el lugar donde se halla la cosa, se considera típico, por ejemplo: utilizando unas escaleras. En segundo lugar, la denominada “fractura interna”, en este supuesto hay algunos impedimentos para acceder al espacio en donde se encuentran guardadas las cosas, de modo que el presunto autor ve necesario utilizar la fuerza física para acceder al espacio, por ejemplo: cuando se fuerza una cerradura o se averigua alguna clave. En tercer lugar, el concepto de llaves falsas, que da contenido a la circunstancia número 4, es </w:t>
      </w:r>
      <w:r w:rsidR="00100A16" w:rsidRPr="00050185">
        <w:rPr>
          <w:sz w:val="24"/>
          <w:szCs w:val="24"/>
        </w:rPr>
        <w:t>también</w:t>
      </w:r>
      <w:r w:rsidRPr="00050185">
        <w:rPr>
          <w:sz w:val="24"/>
          <w:szCs w:val="24"/>
        </w:rPr>
        <w:t xml:space="preserve"> normativo. En principio se consideran llaves las tarjetas, magnéticas o perforadas, o los mandos o instrumentos de apertura a distancia tras la entrada en vigor </w:t>
      </w:r>
      <w:r w:rsidRPr="00050185">
        <w:rPr>
          <w:sz w:val="24"/>
          <w:szCs w:val="24"/>
        </w:rPr>
        <w:lastRenderedPageBreak/>
        <w:t xml:space="preserve">de la LO 5/2010, que reforma el párrafo segundo del </w:t>
      </w:r>
      <w:r w:rsidR="00100A16" w:rsidRPr="00050185">
        <w:rPr>
          <w:sz w:val="24"/>
          <w:szCs w:val="24"/>
        </w:rPr>
        <w:t>artículo</w:t>
      </w:r>
      <w:r w:rsidRPr="00050185">
        <w:rPr>
          <w:sz w:val="24"/>
          <w:szCs w:val="24"/>
        </w:rPr>
        <w:t xml:space="preserve"> 239 CP.</w:t>
      </w:r>
      <w:r w:rsidRPr="00050185">
        <w:rPr>
          <w:rStyle w:val="Refdenotaalpie"/>
          <w:sz w:val="24"/>
          <w:szCs w:val="24"/>
        </w:rPr>
        <w:footnoteReference w:id="68"/>
      </w:r>
      <w:r w:rsidRPr="00050185">
        <w:rPr>
          <w:sz w:val="24"/>
          <w:szCs w:val="24"/>
        </w:rPr>
        <w:t xml:space="preserve"> Por </w:t>
      </w:r>
      <w:r w:rsidR="00100A16" w:rsidRPr="00050185">
        <w:rPr>
          <w:sz w:val="24"/>
          <w:szCs w:val="24"/>
        </w:rPr>
        <w:t>último</w:t>
      </w:r>
      <w:r w:rsidRPr="00050185">
        <w:rPr>
          <w:sz w:val="24"/>
          <w:szCs w:val="24"/>
        </w:rPr>
        <w:t xml:space="preserve">, nos encontramos con la circunstancia </w:t>
      </w:r>
      <w:r w:rsidR="00100A16" w:rsidRPr="00050185">
        <w:rPr>
          <w:sz w:val="24"/>
          <w:szCs w:val="24"/>
        </w:rPr>
        <w:t>número</w:t>
      </w:r>
      <w:r w:rsidRPr="00050185">
        <w:rPr>
          <w:sz w:val="24"/>
          <w:szCs w:val="24"/>
        </w:rPr>
        <w:t xml:space="preserve"> 5, la inutilización de sistemas específicos de alarma o guarda, </w:t>
      </w:r>
      <w:r w:rsidR="007D2A31">
        <w:rPr>
          <w:sz w:val="24"/>
          <w:szCs w:val="24"/>
        </w:rPr>
        <w:t>esta circunstancia consiste en que existen unos sistemas de alarma que tienen la finalidad de proteger una propiedad mueble, pero el autor realiza</w:t>
      </w:r>
      <w:r w:rsidRPr="00050185">
        <w:rPr>
          <w:sz w:val="24"/>
          <w:szCs w:val="24"/>
        </w:rPr>
        <w:t xml:space="preserve"> una serie de conductas destinadas a romper</w:t>
      </w:r>
      <w:r w:rsidR="007D2A31">
        <w:rPr>
          <w:sz w:val="24"/>
          <w:szCs w:val="24"/>
        </w:rPr>
        <w:t xml:space="preserve"> estos</w:t>
      </w:r>
      <w:r w:rsidRPr="00050185">
        <w:rPr>
          <w:sz w:val="24"/>
          <w:szCs w:val="24"/>
        </w:rPr>
        <w:t xml:space="preserve"> sistemas.</w:t>
      </w:r>
      <w:r w:rsidRPr="00050185">
        <w:rPr>
          <w:rStyle w:val="Refdenotaalpie"/>
          <w:sz w:val="24"/>
          <w:szCs w:val="24"/>
        </w:rPr>
        <w:footnoteReference w:id="69"/>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El legislador tras la reforma de Código Penal de 2015 amplía el tipo penal cuando se </w:t>
      </w:r>
      <w:r w:rsidR="00100A16" w:rsidRPr="00050185">
        <w:rPr>
          <w:sz w:val="24"/>
          <w:szCs w:val="24"/>
        </w:rPr>
        <w:t>dé</w:t>
      </w:r>
      <w:r w:rsidRPr="00050185">
        <w:rPr>
          <w:sz w:val="24"/>
          <w:szCs w:val="24"/>
        </w:rPr>
        <w:t xml:space="preserve"> el caso en el que se empleen conductas en las que se emplee la fuerza para </w:t>
      </w:r>
      <w:r w:rsidR="00100A16" w:rsidRPr="00050185">
        <w:rPr>
          <w:sz w:val="24"/>
          <w:szCs w:val="24"/>
        </w:rPr>
        <w:t>alejarse del</w:t>
      </w:r>
      <w:r w:rsidRPr="00050185">
        <w:rPr>
          <w:sz w:val="24"/>
          <w:szCs w:val="24"/>
        </w:rPr>
        <w:t xml:space="preserve"> lugar donde se encuentran debidamente protegidas las cosas muebles ajenas.</w:t>
      </w:r>
      <w:r w:rsidRPr="00050185">
        <w:rPr>
          <w:rStyle w:val="Refdenotaalpie"/>
          <w:sz w:val="24"/>
          <w:szCs w:val="24"/>
        </w:rPr>
        <w:footnoteReference w:id="70"/>
      </w:r>
    </w:p>
    <w:p w:rsidR="000B44EE" w:rsidRDefault="000B44EE" w:rsidP="00050185">
      <w:pPr>
        <w:spacing w:line="360" w:lineRule="auto"/>
        <w:jc w:val="both"/>
        <w:rPr>
          <w:sz w:val="24"/>
          <w:szCs w:val="24"/>
        </w:rPr>
      </w:pPr>
    </w:p>
    <w:p w:rsidR="00A12636" w:rsidRDefault="00A12636" w:rsidP="00050185">
      <w:pPr>
        <w:spacing w:line="360" w:lineRule="auto"/>
        <w:jc w:val="both"/>
        <w:rPr>
          <w:sz w:val="24"/>
          <w:szCs w:val="24"/>
        </w:rPr>
      </w:pPr>
      <w:r>
        <w:rPr>
          <w:sz w:val="24"/>
          <w:szCs w:val="24"/>
        </w:rPr>
        <w:t xml:space="preserve">El delito de robo con fuerza en las cosas se ha incrementado </w:t>
      </w:r>
      <w:r w:rsidR="00A42D34">
        <w:rPr>
          <w:sz w:val="24"/>
          <w:szCs w:val="24"/>
        </w:rPr>
        <w:t>y han surgido dos tipos</w:t>
      </w:r>
      <w:r w:rsidR="0059696D">
        <w:rPr>
          <w:rStyle w:val="Refdenotaalpie"/>
          <w:sz w:val="24"/>
          <w:szCs w:val="24"/>
        </w:rPr>
        <w:footnoteReference w:id="71"/>
      </w:r>
      <w:r w:rsidR="00A42D34">
        <w:rPr>
          <w:sz w:val="24"/>
          <w:szCs w:val="24"/>
        </w:rPr>
        <w:t>:</w:t>
      </w:r>
    </w:p>
    <w:p w:rsidR="00A42D34" w:rsidRDefault="00E24534" w:rsidP="00050185">
      <w:pPr>
        <w:spacing w:line="360" w:lineRule="auto"/>
        <w:jc w:val="both"/>
        <w:rPr>
          <w:sz w:val="24"/>
          <w:szCs w:val="24"/>
        </w:rPr>
      </w:pPr>
      <w:r>
        <w:rPr>
          <w:sz w:val="24"/>
          <w:szCs w:val="24"/>
        </w:rPr>
        <w:t>a) La más típica, que consiste en el verbo “acceder”</w:t>
      </w:r>
      <w:r w:rsidR="0059696D">
        <w:rPr>
          <w:sz w:val="24"/>
          <w:szCs w:val="24"/>
        </w:rPr>
        <w:t>, en este caso se emplea</w:t>
      </w:r>
      <w:r>
        <w:rPr>
          <w:sz w:val="24"/>
          <w:szCs w:val="24"/>
        </w:rPr>
        <w:t xml:space="preserve"> la fuerza física para entrar a un lugar a pesar de las medidas establecidas por el dueño para evitarlo.</w:t>
      </w:r>
    </w:p>
    <w:p w:rsidR="00E24534" w:rsidRDefault="00E24534" w:rsidP="00050185">
      <w:pPr>
        <w:spacing w:line="360" w:lineRule="auto"/>
        <w:jc w:val="both"/>
        <w:rPr>
          <w:sz w:val="24"/>
          <w:szCs w:val="24"/>
        </w:rPr>
      </w:pPr>
      <w:r>
        <w:rPr>
          <w:sz w:val="24"/>
          <w:szCs w:val="24"/>
        </w:rPr>
        <w:t>b) La actual, que consiste en el verbo “abandonar”</w:t>
      </w:r>
      <w:r w:rsidR="0059696D">
        <w:rPr>
          <w:sz w:val="24"/>
          <w:szCs w:val="24"/>
        </w:rPr>
        <w:t>, aquí también se ejerce la fuerza física, pero al contrario que la anterior, se utiliza para dejar el lugar una vez conseguidas las cosas.</w:t>
      </w:r>
    </w:p>
    <w:p w:rsidR="00A12636" w:rsidRDefault="00A12636" w:rsidP="00050185">
      <w:pPr>
        <w:spacing w:line="360" w:lineRule="auto"/>
        <w:jc w:val="both"/>
        <w:rPr>
          <w:sz w:val="24"/>
          <w:szCs w:val="24"/>
        </w:rPr>
      </w:pPr>
    </w:p>
    <w:p w:rsidR="007D2A31" w:rsidRDefault="00050185" w:rsidP="00050185">
      <w:pPr>
        <w:spacing w:line="360" w:lineRule="auto"/>
        <w:jc w:val="both"/>
        <w:rPr>
          <w:sz w:val="24"/>
          <w:szCs w:val="24"/>
        </w:rPr>
      </w:pPr>
      <w:r w:rsidRPr="00050185">
        <w:rPr>
          <w:sz w:val="24"/>
          <w:szCs w:val="24"/>
        </w:rPr>
        <w:t xml:space="preserve">Para </w:t>
      </w:r>
      <w:r w:rsidRPr="00050185">
        <w:rPr>
          <w:b/>
          <w:sz w:val="24"/>
          <w:szCs w:val="24"/>
        </w:rPr>
        <w:t>Salinero Alonso</w:t>
      </w:r>
      <w:r w:rsidRPr="00050185">
        <w:rPr>
          <w:sz w:val="24"/>
          <w:szCs w:val="24"/>
        </w:rPr>
        <w:t>: &lt;&lt;</w:t>
      </w:r>
      <w:r w:rsidRPr="00050185">
        <w:rPr>
          <w:i/>
          <w:sz w:val="24"/>
          <w:szCs w:val="24"/>
        </w:rPr>
        <w:t xml:space="preserve">La concurrencia de más de una de las circunstancias del articulo 238 no cambia la calificación del hecho ni comporta agravación de la pena. Pero si puede dar lugar a situaciones de concurso de delitos: </w:t>
      </w:r>
      <w:r w:rsidR="00100A16" w:rsidRPr="00050185">
        <w:rPr>
          <w:i/>
          <w:sz w:val="24"/>
          <w:szCs w:val="24"/>
        </w:rPr>
        <w:t>así</w:t>
      </w:r>
      <w:r w:rsidRPr="00050185">
        <w:rPr>
          <w:i/>
          <w:sz w:val="24"/>
          <w:szCs w:val="24"/>
        </w:rPr>
        <w:t xml:space="preserve"> ocurriría cuando se recurre a manifestaciones de fuerza no dirigidas, objetiva y subjetivamente, a acceder o abandonar el lugar</w:t>
      </w:r>
      <w:proofErr w:type="gramStart"/>
      <w:r w:rsidRPr="00050185">
        <w:rPr>
          <w:i/>
          <w:sz w:val="24"/>
          <w:szCs w:val="24"/>
        </w:rPr>
        <w:t>.&gt;</w:t>
      </w:r>
      <w:proofErr w:type="gramEnd"/>
      <w:r w:rsidRPr="00050185">
        <w:rPr>
          <w:i/>
          <w:sz w:val="24"/>
          <w:szCs w:val="24"/>
        </w:rPr>
        <w:t>&gt;</w:t>
      </w:r>
      <w:r w:rsidRPr="00050185">
        <w:rPr>
          <w:rStyle w:val="Refdenotaalpie"/>
          <w:i/>
          <w:sz w:val="24"/>
          <w:szCs w:val="24"/>
        </w:rPr>
        <w:footnoteReference w:id="72"/>
      </w:r>
    </w:p>
    <w:p w:rsidR="00050185" w:rsidRPr="00050185" w:rsidRDefault="00050185" w:rsidP="00050185">
      <w:pPr>
        <w:spacing w:line="360" w:lineRule="auto"/>
        <w:jc w:val="both"/>
        <w:rPr>
          <w:sz w:val="24"/>
          <w:szCs w:val="24"/>
        </w:rPr>
      </w:pPr>
      <w:r w:rsidRPr="00050185">
        <w:rPr>
          <w:sz w:val="24"/>
          <w:szCs w:val="24"/>
        </w:rPr>
        <w:lastRenderedPageBreak/>
        <w:t>A modo de ejemplo, expongo la Sentencia del Tribunal Supremo de 6 de Julio de 2016.</w:t>
      </w:r>
      <w:r w:rsidRPr="00050185">
        <w:rPr>
          <w:rStyle w:val="Refdenotaalpie"/>
          <w:sz w:val="24"/>
          <w:szCs w:val="24"/>
        </w:rPr>
        <w:footnoteReference w:id="73"/>
      </w:r>
      <w:r w:rsidRPr="00050185">
        <w:rPr>
          <w:sz w:val="24"/>
          <w:szCs w:val="24"/>
        </w:rPr>
        <w:t xml:space="preserve"> En esta sentencia se castiga al sujeto como autor de un delito de robo con fuerza en las cosas, por entrar en la vivienda de otra persona escalando la pared hasta llegar a una ventana que estaba </w:t>
      </w:r>
      <w:r w:rsidR="00100A16" w:rsidRPr="00050185">
        <w:rPr>
          <w:sz w:val="24"/>
          <w:szCs w:val="24"/>
        </w:rPr>
        <w:t>abierta, por</w:t>
      </w:r>
      <w:r w:rsidRPr="00050185">
        <w:rPr>
          <w:sz w:val="24"/>
          <w:szCs w:val="24"/>
        </w:rPr>
        <w:t xml:space="preserve"> la que finalmente, entró al interior del domicilio.</w:t>
      </w:r>
    </w:p>
    <w:p w:rsidR="000B44EE" w:rsidRDefault="000B44EE" w:rsidP="00050185">
      <w:pPr>
        <w:spacing w:line="360" w:lineRule="auto"/>
        <w:jc w:val="both"/>
        <w:rPr>
          <w:sz w:val="24"/>
          <w:szCs w:val="24"/>
        </w:rPr>
      </w:pPr>
    </w:p>
    <w:p w:rsidR="00050185" w:rsidRPr="00050185" w:rsidRDefault="00100A16" w:rsidP="00050185">
      <w:pPr>
        <w:spacing w:line="360" w:lineRule="auto"/>
        <w:jc w:val="both"/>
        <w:rPr>
          <w:sz w:val="24"/>
          <w:szCs w:val="24"/>
        </w:rPr>
      </w:pPr>
      <w:r w:rsidRPr="00050185">
        <w:rPr>
          <w:sz w:val="24"/>
          <w:szCs w:val="24"/>
        </w:rPr>
        <w:t>También</w:t>
      </w:r>
      <w:r w:rsidR="00050185" w:rsidRPr="00050185">
        <w:rPr>
          <w:sz w:val="24"/>
          <w:szCs w:val="24"/>
        </w:rPr>
        <w:t xml:space="preserve"> nos encontramos con la Sentencia de la Audiencia Provincial de Cantabria del 14 de febrero de 2005, en la que se considera “fractura interna” del delito de robo con fuerza en las cosas a la conducta de arrancar de la pared la caja fuerte y abrirla por la fuerza.</w:t>
      </w:r>
      <w:r w:rsidR="00050185" w:rsidRPr="00050185">
        <w:rPr>
          <w:rStyle w:val="Refdenotaalpie"/>
          <w:sz w:val="24"/>
          <w:szCs w:val="24"/>
        </w:rPr>
        <w:footnoteReference w:id="74"/>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De igual forma destaco otra Sentencia de la Audiencia Provincial de Lleida de 21 de noviembre de 2008, en la que el acusado </w:t>
      </w:r>
      <w:r w:rsidR="00100A16" w:rsidRPr="00050185">
        <w:rPr>
          <w:sz w:val="24"/>
          <w:szCs w:val="24"/>
        </w:rPr>
        <w:t>tenía</w:t>
      </w:r>
      <w:r w:rsidRPr="00050185">
        <w:rPr>
          <w:sz w:val="24"/>
          <w:szCs w:val="24"/>
        </w:rPr>
        <w:t xml:space="preserve"> unas llaves de un garaje privado, que le </w:t>
      </w:r>
      <w:r w:rsidR="00100A16" w:rsidRPr="00050185">
        <w:rPr>
          <w:sz w:val="24"/>
          <w:szCs w:val="24"/>
        </w:rPr>
        <w:t>había</w:t>
      </w:r>
      <w:r w:rsidRPr="00050185">
        <w:rPr>
          <w:sz w:val="24"/>
          <w:szCs w:val="24"/>
        </w:rPr>
        <w:t xml:space="preserve"> otorgado el propietario de éste, pero utilizó una llave diferente a la autorizada que </w:t>
      </w:r>
      <w:r w:rsidR="00100A16" w:rsidRPr="00050185">
        <w:rPr>
          <w:sz w:val="24"/>
          <w:szCs w:val="24"/>
        </w:rPr>
        <w:t>también</w:t>
      </w:r>
      <w:r w:rsidRPr="00050185">
        <w:rPr>
          <w:sz w:val="24"/>
          <w:szCs w:val="24"/>
        </w:rPr>
        <w:t xml:space="preserve"> abría el lugar. Como ya hemos visto anteriormente, el concepto de llave falsa abarca todas aquellas utilizadas sin el consentimiento del propietario, las olvidadas, o aquellas que se usan para un fin distinto al autorizado. El propietario, por lo tanto, </w:t>
      </w:r>
      <w:r w:rsidR="00100A16" w:rsidRPr="00050185">
        <w:rPr>
          <w:sz w:val="24"/>
          <w:szCs w:val="24"/>
        </w:rPr>
        <w:t>desconocía</w:t>
      </w:r>
      <w:r w:rsidRPr="00050185">
        <w:rPr>
          <w:sz w:val="24"/>
          <w:szCs w:val="24"/>
        </w:rPr>
        <w:t xml:space="preserve"> la existencia de estas segundas llaves, que estaban en </w:t>
      </w:r>
      <w:r w:rsidR="00100A16" w:rsidRPr="00050185">
        <w:rPr>
          <w:sz w:val="24"/>
          <w:szCs w:val="24"/>
        </w:rPr>
        <w:t>posesión</w:t>
      </w:r>
      <w:r w:rsidRPr="00050185">
        <w:rPr>
          <w:sz w:val="24"/>
          <w:szCs w:val="24"/>
        </w:rPr>
        <w:t xml:space="preserve"> del acusado, por lo que se considera que se tipifica dentro del concepto de fuerza en las cosas.</w:t>
      </w:r>
      <w:r w:rsidRPr="00050185">
        <w:rPr>
          <w:rStyle w:val="Refdenotaalpie"/>
          <w:sz w:val="24"/>
          <w:szCs w:val="24"/>
        </w:rPr>
        <w:footnoteReference w:id="75"/>
      </w:r>
      <w:r w:rsidRPr="00050185">
        <w:rPr>
          <w:sz w:val="24"/>
          <w:szCs w:val="24"/>
        </w:rPr>
        <w:t xml:space="preserve"> </w:t>
      </w:r>
    </w:p>
    <w:p w:rsidR="00CF2B01" w:rsidRDefault="00CF2B01" w:rsidP="00050185">
      <w:pPr>
        <w:spacing w:line="360" w:lineRule="auto"/>
        <w:jc w:val="both"/>
        <w:rPr>
          <w:b/>
          <w:sz w:val="24"/>
          <w:szCs w:val="24"/>
          <w:u w:val="single"/>
        </w:rPr>
      </w:pPr>
    </w:p>
    <w:p w:rsidR="00050185" w:rsidRPr="004608E0" w:rsidRDefault="00050185" w:rsidP="00050185">
      <w:pPr>
        <w:spacing w:line="360" w:lineRule="auto"/>
        <w:jc w:val="both"/>
        <w:rPr>
          <w:b/>
          <w:sz w:val="24"/>
          <w:szCs w:val="24"/>
          <w:u w:val="single"/>
        </w:rPr>
      </w:pPr>
      <w:r w:rsidRPr="004608E0">
        <w:rPr>
          <w:b/>
          <w:sz w:val="24"/>
          <w:szCs w:val="24"/>
          <w:u w:val="single"/>
        </w:rPr>
        <w:t>3.3.2 SUPUESTOS AGRAVADOS.</w:t>
      </w:r>
    </w:p>
    <w:p w:rsidR="00050185" w:rsidRPr="00050185" w:rsidRDefault="00050185" w:rsidP="00050185">
      <w:pPr>
        <w:spacing w:line="360" w:lineRule="auto"/>
        <w:jc w:val="both"/>
        <w:rPr>
          <w:sz w:val="24"/>
          <w:szCs w:val="24"/>
        </w:rPr>
      </w:pPr>
      <w:r w:rsidRPr="00050185">
        <w:rPr>
          <w:sz w:val="24"/>
          <w:szCs w:val="24"/>
        </w:rPr>
        <w:t xml:space="preserve">A continuación vamos a centrarnos en el </w:t>
      </w:r>
      <w:r w:rsidR="00100A16" w:rsidRPr="00050185">
        <w:rPr>
          <w:sz w:val="24"/>
          <w:szCs w:val="24"/>
        </w:rPr>
        <w:t>artículo</w:t>
      </w:r>
      <w:r w:rsidRPr="00050185">
        <w:rPr>
          <w:sz w:val="24"/>
          <w:szCs w:val="24"/>
        </w:rPr>
        <w:t xml:space="preserve"> 240</w:t>
      </w:r>
      <w:r w:rsidR="0059696D">
        <w:rPr>
          <w:sz w:val="24"/>
          <w:szCs w:val="24"/>
        </w:rPr>
        <w:t xml:space="preserve"> y 241</w:t>
      </w:r>
      <w:r w:rsidRPr="00050185">
        <w:rPr>
          <w:sz w:val="24"/>
          <w:szCs w:val="24"/>
        </w:rPr>
        <w:t xml:space="preserve"> del </w:t>
      </w:r>
      <w:r w:rsidR="00100A16" w:rsidRPr="00050185">
        <w:rPr>
          <w:sz w:val="24"/>
          <w:szCs w:val="24"/>
        </w:rPr>
        <w:t>Código</w:t>
      </w:r>
      <w:r w:rsidRPr="00050185">
        <w:rPr>
          <w:sz w:val="24"/>
          <w:szCs w:val="24"/>
        </w:rPr>
        <w:t xml:space="preserve"> Penal, en el que se impone la pena de prisión de dos a cinco años cuando concurran algunas de las circunstancias previstas del </w:t>
      </w:r>
      <w:r w:rsidR="00100A16" w:rsidRPr="00050185">
        <w:rPr>
          <w:sz w:val="24"/>
          <w:szCs w:val="24"/>
        </w:rPr>
        <w:t>artículo</w:t>
      </w:r>
      <w:r w:rsidRPr="00050185">
        <w:rPr>
          <w:sz w:val="24"/>
          <w:szCs w:val="24"/>
        </w:rPr>
        <w:t xml:space="preserve"> 235 del </w:t>
      </w:r>
      <w:r w:rsidR="00100A16" w:rsidRPr="00050185">
        <w:rPr>
          <w:sz w:val="24"/>
          <w:szCs w:val="24"/>
        </w:rPr>
        <w:t>Código</w:t>
      </w:r>
      <w:r w:rsidRPr="00050185">
        <w:rPr>
          <w:sz w:val="24"/>
          <w:szCs w:val="24"/>
        </w:rPr>
        <w:t xml:space="preserve"> Penal.</w:t>
      </w:r>
      <w:r w:rsidRPr="00050185">
        <w:rPr>
          <w:rStyle w:val="Refdenotaalpie"/>
          <w:sz w:val="24"/>
          <w:szCs w:val="24"/>
        </w:rPr>
        <w:footnoteReference w:id="76"/>
      </w:r>
    </w:p>
    <w:p w:rsidR="001300B2" w:rsidRDefault="001300B2" w:rsidP="00050185">
      <w:pPr>
        <w:spacing w:line="360" w:lineRule="auto"/>
        <w:jc w:val="both"/>
        <w:rPr>
          <w:sz w:val="24"/>
          <w:szCs w:val="24"/>
        </w:rPr>
      </w:pPr>
    </w:p>
    <w:p w:rsidR="006458FB" w:rsidRDefault="006458FB" w:rsidP="00050185">
      <w:pPr>
        <w:spacing w:line="360" w:lineRule="auto"/>
        <w:jc w:val="both"/>
        <w:rPr>
          <w:sz w:val="24"/>
          <w:szCs w:val="24"/>
        </w:rPr>
      </w:pPr>
      <w:r>
        <w:rPr>
          <w:sz w:val="24"/>
          <w:szCs w:val="24"/>
        </w:rPr>
        <w:lastRenderedPageBreak/>
        <w:t xml:space="preserve">La Ley Orgánica 1/2015, de 30 de Marzo, </w:t>
      </w:r>
      <w:r w:rsidR="004C6B7E">
        <w:rPr>
          <w:sz w:val="24"/>
          <w:szCs w:val="24"/>
        </w:rPr>
        <w:t>ha establecido</w:t>
      </w:r>
      <w:r>
        <w:rPr>
          <w:sz w:val="24"/>
          <w:szCs w:val="24"/>
        </w:rPr>
        <w:t xml:space="preserve"> una división entre las circunstancias previstas para los hurtos en el </w:t>
      </w:r>
      <w:r w:rsidR="00D87A26">
        <w:rPr>
          <w:sz w:val="24"/>
          <w:szCs w:val="24"/>
        </w:rPr>
        <w:t>artículo</w:t>
      </w:r>
      <w:r>
        <w:rPr>
          <w:sz w:val="24"/>
          <w:szCs w:val="24"/>
        </w:rPr>
        <w:t xml:space="preserve"> 235 CP</w:t>
      </w:r>
      <w:r w:rsidR="004C6B7E">
        <w:rPr>
          <w:sz w:val="24"/>
          <w:szCs w:val="24"/>
        </w:rPr>
        <w:t xml:space="preserve"> y las circunstancias que cualifican las modalidades de robo con fuerza en las cosas. </w:t>
      </w:r>
      <w:r w:rsidR="00DB4A54">
        <w:rPr>
          <w:sz w:val="24"/>
          <w:szCs w:val="24"/>
        </w:rPr>
        <w:t xml:space="preserve">Serán considerados como agravados los supuestos que se encuentren dentro de alguna de las circunstancias del articulo 235 CP, tanto para los delitos de robo del articulo 237 al 239 CP como para los robos cualificados del articulo 241 CP. Se elevan las penas, en el primer caso aplicando el </w:t>
      </w:r>
      <w:r w:rsidR="00D87A26">
        <w:rPr>
          <w:sz w:val="24"/>
          <w:szCs w:val="24"/>
        </w:rPr>
        <w:t>artículo</w:t>
      </w:r>
      <w:r w:rsidR="00DB4A54">
        <w:rPr>
          <w:sz w:val="24"/>
          <w:szCs w:val="24"/>
        </w:rPr>
        <w:t xml:space="preserve"> 240.2 CP, y en el segundo caso, aplicando el </w:t>
      </w:r>
      <w:r w:rsidR="00D87A26">
        <w:rPr>
          <w:sz w:val="24"/>
          <w:szCs w:val="24"/>
        </w:rPr>
        <w:t>artículo</w:t>
      </w:r>
      <w:r w:rsidR="00DB4A54">
        <w:rPr>
          <w:sz w:val="24"/>
          <w:szCs w:val="24"/>
        </w:rPr>
        <w:t xml:space="preserve"> 241.4 CP.</w:t>
      </w:r>
      <w:r w:rsidR="00DB4A54">
        <w:rPr>
          <w:rStyle w:val="Refdenotaalpie"/>
          <w:sz w:val="24"/>
          <w:szCs w:val="24"/>
        </w:rPr>
        <w:footnoteReference w:id="77"/>
      </w:r>
    </w:p>
    <w:p w:rsidR="00CF2B01" w:rsidRDefault="00CF2B01" w:rsidP="00050185">
      <w:pPr>
        <w:spacing w:line="360" w:lineRule="auto"/>
        <w:jc w:val="both"/>
        <w:rPr>
          <w:b/>
          <w:sz w:val="24"/>
          <w:szCs w:val="24"/>
        </w:rPr>
      </w:pPr>
    </w:p>
    <w:p w:rsidR="006458FB" w:rsidRPr="006458FB" w:rsidRDefault="00050185" w:rsidP="00050185">
      <w:pPr>
        <w:spacing w:line="360" w:lineRule="auto"/>
        <w:jc w:val="both"/>
        <w:rPr>
          <w:i/>
          <w:sz w:val="24"/>
          <w:szCs w:val="24"/>
        </w:rPr>
      </w:pPr>
      <w:r w:rsidRPr="00050185">
        <w:rPr>
          <w:b/>
          <w:sz w:val="24"/>
          <w:szCs w:val="24"/>
        </w:rPr>
        <w:t>Muñoz Conde</w:t>
      </w:r>
      <w:r w:rsidRPr="00050185">
        <w:rPr>
          <w:sz w:val="24"/>
          <w:szCs w:val="24"/>
        </w:rPr>
        <w:t xml:space="preserve"> dice que: &lt;&lt;</w:t>
      </w:r>
      <w:r w:rsidRPr="00050185">
        <w:rPr>
          <w:i/>
          <w:sz w:val="24"/>
          <w:szCs w:val="24"/>
        </w:rPr>
        <w:t xml:space="preserve">Al robo con fuerza en las cosas debemos de aplicarle la cualificación específica de cometerse en casa habitada, edificio o local </w:t>
      </w:r>
      <w:r w:rsidR="00100A16" w:rsidRPr="00050185">
        <w:rPr>
          <w:i/>
          <w:sz w:val="24"/>
          <w:szCs w:val="24"/>
        </w:rPr>
        <w:t>abiertos</w:t>
      </w:r>
      <w:r w:rsidRPr="00050185">
        <w:rPr>
          <w:i/>
          <w:sz w:val="24"/>
          <w:szCs w:val="24"/>
        </w:rPr>
        <w:t xml:space="preserve"> al público, o en cualquiera de sus dependencias, en cuyo caso, según el </w:t>
      </w:r>
      <w:r w:rsidR="00100A16" w:rsidRPr="00050185">
        <w:rPr>
          <w:i/>
          <w:sz w:val="24"/>
          <w:szCs w:val="24"/>
        </w:rPr>
        <w:t>artículo</w:t>
      </w:r>
      <w:r w:rsidRPr="00050185">
        <w:rPr>
          <w:i/>
          <w:sz w:val="24"/>
          <w:szCs w:val="24"/>
        </w:rPr>
        <w:t xml:space="preserve"> 241.1, se impondrá la pena de prisión de dos a cinco años (o la prisión de uno a cinco años si los hechos se hubieran cometido en establecimiento abierto al público, o en sus dependencias, pero fuera de las horas de apertura.). El </w:t>
      </w:r>
      <w:r w:rsidR="00100A16" w:rsidRPr="00050185">
        <w:rPr>
          <w:i/>
          <w:sz w:val="24"/>
          <w:szCs w:val="24"/>
        </w:rPr>
        <w:t>artículo</w:t>
      </w:r>
      <w:r w:rsidRPr="00050185">
        <w:rPr>
          <w:i/>
          <w:sz w:val="24"/>
          <w:szCs w:val="24"/>
        </w:rPr>
        <w:t xml:space="preserve"> 241 ofrece en su apartado 2 el concepto de casa habitada.</w:t>
      </w:r>
      <w:r w:rsidRPr="00050185">
        <w:rPr>
          <w:rStyle w:val="Refdenotaalpie"/>
          <w:i/>
          <w:sz w:val="24"/>
          <w:szCs w:val="24"/>
        </w:rPr>
        <w:footnoteReference w:id="78"/>
      </w:r>
      <w:r w:rsidR="001300B2">
        <w:rPr>
          <w:i/>
          <w:sz w:val="24"/>
          <w:szCs w:val="24"/>
        </w:rPr>
        <w:t xml:space="preserve"> </w:t>
      </w:r>
      <w:r w:rsidRPr="00050185">
        <w:rPr>
          <w:i/>
          <w:sz w:val="24"/>
          <w:szCs w:val="24"/>
        </w:rPr>
        <w:t xml:space="preserve">Lo verdaderamente grave es que las personas que habitan la casa se encuentren en ella en el momento en el que se produce la comisión del delito (por ejemplo: durmiendo) o puedan venir o regresar en cualquier momento. Tampoco se puede aplicar esta cualificación si el sujeto tiene acceso a la casa, bien porque trabaja dentro de ella, bien porque ha sido encargado por el propietario para que riegue las plantas, </w:t>
      </w:r>
      <w:r w:rsidR="00100A16" w:rsidRPr="00050185">
        <w:rPr>
          <w:i/>
          <w:sz w:val="24"/>
          <w:szCs w:val="24"/>
        </w:rPr>
        <w:t>recoja</w:t>
      </w:r>
      <w:r w:rsidRPr="00050185">
        <w:rPr>
          <w:i/>
          <w:sz w:val="24"/>
          <w:szCs w:val="24"/>
        </w:rPr>
        <w:t xml:space="preserve"> el correo, </w:t>
      </w:r>
      <w:r w:rsidR="00100A16" w:rsidRPr="00050185">
        <w:rPr>
          <w:i/>
          <w:sz w:val="24"/>
          <w:szCs w:val="24"/>
        </w:rPr>
        <w:t>etc.</w:t>
      </w:r>
      <w:r w:rsidRPr="00050185">
        <w:rPr>
          <w:i/>
          <w:sz w:val="24"/>
          <w:szCs w:val="24"/>
        </w:rPr>
        <w:t xml:space="preserve"> Si el robo se lleva a cabo en edificio o local abiertos al </w:t>
      </w:r>
      <w:r w:rsidR="00100A16" w:rsidRPr="00050185">
        <w:rPr>
          <w:i/>
          <w:sz w:val="24"/>
          <w:szCs w:val="24"/>
        </w:rPr>
        <w:t>público</w:t>
      </w:r>
      <w:r w:rsidRPr="00050185">
        <w:rPr>
          <w:i/>
          <w:sz w:val="24"/>
          <w:szCs w:val="24"/>
        </w:rPr>
        <w:t xml:space="preserve"> o en sus dependencias durante las horas de apertura, las penas son las mismas que en el robo en casa habitada. En el apartado 3 se contiene </w:t>
      </w:r>
      <w:r w:rsidR="00100A16" w:rsidRPr="00050185">
        <w:rPr>
          <w:i/>
          <w:sz w:val="24"/>
          <w:szCs w:val="24"/>
        </w:rPr>
        <w:t>también</w:t>
      </w:r>
      <w:r w:rsidRPr="00050185">
        <w:rPr>
          <w:i/>
          <w:sz w:val="24"/>
          <w:szCs w:val="24"/>
        </w:rPr>
        <w:t xml:space="preserve"> una definición del concepto de “dependencias”, en las que </w:t>
      </w:r>
      <w:r w:rsidR="00100A16" w:rsidRPr="00050185">
        <w:rPr>
          <w:i/>
          <w:sz w:val="24"/>
          <w:szCs w:val="24"/>
        </w:rPr>
        <w:t>también</w:t>
      </w:r>
      <w:r w:rsidRPr="00050185">
        <w:rPr>
          <w:i/>
          <w:sz w:val="24"/>
          <w:szCs w:val="24"/>
        </w:rPr>
        <w:t xml:space="preserve"> </w:t>
      </w:r>
      <w:r w:rsidRPr="00050185">
        <w:rPr>
          <w:i/>
          <w:sz w:val="24"/>
          <w:szCs w:val="24"/>
        </w:rPr>
        <w:lastRenderedPageBreak/>
        <w:t xml:space="preserve">el robo con fuerza en las cosas es castigado más gravemente. </w:t>
      </w:r>
      <w:r w:rsidR="00D87A26" w:rsidRPr="00050185">
        <w:rPr>
          <w:i/>
          <w:sz w:val="24"/>
          <w:szCs w:val="24"/>
        </w:rPr>
        <w:t>Y, por último, el apartado 4 establece una súpe</w:t>
      </w:r>
      <w:r w:rsidR="00D87A26">
        <w:rPr>
          <w:i/>
          <w:sz w:val="24"/>
          <w:szCs w:val="24"/>
        </w:rPr>
        <w:t>r</w:t>
      </w:r>
      <w:r w:rsidR="00D87A26" w:rsidRPr="00050185">
        <w:rPr>
          <w:i/>
          <w:sz w:val="24"/>
          <w:szCs w:val="24"/>
        </w:rPr>
        <w:t xml:space="preserve"> cualificación cuando el robo en casa habitada o edificio o establecimiento abierto al público revista de especial gravedad. &gt;</w:t>
      </w:r>
      <w:r w:rsidRPr="00050185">
        <w:rPr>
          <w:i/>
          <w:sz w:val="24"/>
          <w:szCs w:val="24"/>
        </w:rPr>
        <w:t>&gt;</w:t>
      </w:r>
      <w:r w:rsidRPr="00050185">
        <w:rPr>
          <w:rStyle w:val="Refdenotaalpie"/>
          <w:i/>
          <w:sz w:val="24"/>
          <w:szCs w:val="24"/>
        </w:rPr>
        <w:footnoteReference w:id="79"/>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Con respecto a esto, destaco las siguientes sentencias:</w:t>
      </w:r>
    </w:p>
    <w:p w:rsidR="00050185" w:rsidRPr="00050185" w:rsidRDefault="00050185" w:rsidP="00050185">
      <w:pPr>
        <w:pStyle w:val="Prrafodelista"/>
        <w:numPr>
          <w:ilvl w:val="0"/>
          <w:numId w:val="15"/>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Sentencia del Tribunal Supremo de 21 de Diciembre de 2016</w:t>
      </w:r>
      <w:r w:rsidRPr="00050185">
        <w:rPr>
          <w:rStyle w:val="Refdenotaalpie"/>
          <w:rFonts w:ascii="Times New Roman" w:hAnsi="Times New Roman" w:cs="Times New Roman"/>
          <w:sz w:val="24"/>
          <w:szCs w:val="24"/>
        </w:rPr>
        <w:footnoteReference w:id="80"/>
      </w:r>
      <w:r w:rsidRPr="00050185">
        <w:rPr>
          <w:rFonts w:ascii="Times New Roman" w:hAnsi="Times New Roman" w:cs="Times New Roman"/>
          <w:sz w:val="24"/>
          <w:szCs w:val="24"/>
        </w:rPr>
        <w:t>.</w:t>
      </w:r>
    </w:p>
    <w:p w:rsidR="00050185" w:rsidRPr="00050185" w:rsidRDefault="00050185" w:rsidP="00050185">
      <w:pPr>
        <w:pStyle w:val="Prrafodelista"/>
        <w:numPr>
          <w:ilvl w:val="0"/>
          <w:numId w:val="15"/>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Sentencia del Tribunal Supremo de 11 de Octubre de 2011.</w:t>
      </w:r>
      <w:r w:rsidRPr="00050185">
        <w:rPr>
          <w:rStyle w:val="Refdenotaalpie"/>
          <w:rFonts w:ascii="Times New Roman" w:hAnsi="Times New Roman" w:cs="Times New Roman"/>
          <w:sz w:val="24"/>
          <w:szCs w:val="24"/>
        </w:rPr>
        <w:footnoteReference w:id="81"/>
      </w:r>
    </w:p>
    <w:p w:rsidR="00050185" w:rsidRPr="00050185" w:rsidRDefault="00050185" w:rsidP="00050185">
      <w:pPr>
        <w:pStyle w:val="Prrafodelista"/>
        <w:numPr>
          <w:ilvl w:val="0"/>
          <w:numId w:val="15"/>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Sentencia del Tribunal Supremo de 21 de Junio de 2006.</w:t>
      </w:r>
      <w:r w:rsidRPr="00050185">
        <w:rPr>
          <w:rStyle w:val="Refdenotaalpie"/>
          <w:rFonts w:ascii="Times New Roman" w:hAnsi="Times New Roman" w:cs="Times New Roman"/>
          <w:sz w:val="24"/>
          <w:szCs w:val="24"/>
        </w:rPr>
        <w:footnoteReference w:id="82"/>
      </w:r>
    </w:p>
    <w:p w:rsidR="001300B2" w:rsidRPr="00050185" w:rsidRDefault="00050185" w:rsidP="00050185">
      <w:pPr>
        <w:spacing w:line="360" w:lineRule="auto"/>
        <w:jc w:val="both"/>
        <w:rPr>
          <w:sz w:val="24"/>
          <w:szCs w:val="24"/>
        </w:rPr>
      </w:pPr>
      <w:r w:rsidRPr="00050185">
        <w:rPr>
          <w:sz w:val="24"/>
          <w:szCs w:val="24"/>
        </w:rPr>
        <w:t>Sin embargo, hay algunas notas características que debemos de tener en cuenta</w:t>
      </w:r>
      <w:r w:rsidRPr="00050185">
        <w:rPr>
          <w:rStyle w:val="Refdenotaalpie"/>
          <w:sz w:val="24"/>
          <w:szCs w:val="24"/>
        </w:rPr>
        <w:footnoteReference w:id="83"/>
      </w:r>
      <w:r w:rsidRPr="00050185">
        <w:rPr>
          <w:sz w:val="24"/>
          <w:szCs w:val="24"/>
        </w:rPr>
        <w:t>:</w:t>
      </w:r>
    </w:p>
    <w:p w:rsidR="00050185" w:rsidRPr="00050185" w:rsidRDefault="00050185" w:rsidP="00050185">
      <w:pPr>
        <w:pStyle w:val="Prrafodelista"/>
        <w:numPr>
          <w:ilvl w:val="0"/>
          <w:numId w:val="16"/>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El concepto de “morada” es muy amplio y abarca muchos lugares.</w:t>
      </w:r>
    </w:p>
    <w:p w:rsidR="00050185" w:rsidRPr="00050185" w:rsidRDefault="00050185" w:rsidP="00050185">
      <w:pPr>
        <w:pStyle w:val="Prrafodelista"/>
        <w:numPr>
          <w:ilvl w:val="0"/>
          <w:numId w:val="16"/>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El concepto de casa habitada coincide con el de morada o domicilio </w:t>
      </w:r>
      <w:r w:rsidR="005568E8">
        <w:rPr>
          <w:rFonts w:ascii="Times New Roman" w:hAnsi="Times New Roman" w:cs="Times New Roman"/>
          <w:sz w:val="24"/>
          <w:szCs w:val="24"/>
        </w:rPr>
        <w:t>que comprende el</w:t>
      </w:r>
      <w:r w:rsidRPr="00050185">
        <w:rPr>
          <w:rFonts w:ascii="Times New Roman" w:hAnsi="Times New Roman" w:cs="Times New Roman"/>
          <w:sz w:val="24"/>
          <w:szCs w:val="24"/>
        </w:rPr>
        <w:t xml:space="preserve"> delito de allanamiento de los artículos 202 y ss.</w:t>
      </w:r>
      <w:r w:rsidRPr="00050185">
        <w:rPr>
          <w:rStyle w:val="Refdenotaalpie"/>
          <w:rFonts w:ascii="Times New Roman" w:hAnsi="Times New Roman" w:cs="Times New Roman"/>
          <w:sz w:val="24"/>
          <w:szCs w:val="24"/>
        </w:rPr>
        <w:footnoteReference w:id="84"/>
      </w:r>
      <w:r w:rsidRPr="00050185">
        <w:rPr>
          <w:rFonts w:ascii="Times New Roman" w:hAnsi="Times New Roman" w:cs="Times New Roman"/>
          <w:sz w:val="24"/>
          <w:szCs w:val="24"/>
        </w:rPr>
        <w:t xml:space="preserve"> que en este caso queda absorbido por el robo.</w:t>
      </w:r>
    </w:p>
    <w:p w:rsidR="00050185" w:rsidRDefault="00050185" w:rsidP="00050185">
      <w:pPr>
        <w:pStyle w:val="Prrafodelista"/>
        <w:numPr>
          <w:ilvl w:val="0"/>
          <w:numId w:val="16"/>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El concepto de edificios o locales abiertos al </w:t>
      </w:r>
      <w:r w:rsidR="00100A16" w:rsidRPr="00050185">
        <w:rPr>
          <w:rFonts w:ascii="Times New Roman" w:hAnsi="Times New Roman" w:cs="Times New Roman"/>
          <w:sz w:val="24"/>
          <w:szCs w:val="24"/>
        </w:rPr>
        <w:t>público</w:t>
      </w:r>
      <w:r w:rsidRPr="00050185">
        <w:rPr>
          <w:rFonts w:ascii="Times New Roman" w:hAnsi="Times New Roman" w:cs="Times New Roman"/>
          <w:sz w:val="24"/>
          <w:szCs w:val="24"/>
        </w:rPr>
        <w:t xml:space="preserve"> comprende</w:t>
      </w:r>
      <w:r w:rsidR="005568E8">
        <w:rPr>
          <w:rFonts w:ascii="Times New Roman" w:hAnsi="Times New Roman" w:cs="Times New Roman"/>
          <w:sz w:val="24"/>
          <w:szCs w:val="24"/>
        </w:rPr>
        <w:t xml:space="preserve"> dos tipos de propiedad, tanto</w:t>
      </w:r>
      <w:r w:rsidR="005568E8" w:rsidRPr="005568E8">
        <w:rPr>
          <w:rFonts w:ascii="Times New Roman" w:eastAsia="Times New Roman" w:hAnsi="Times New Roman" w:cs="Times New Roman"/>
          <w:sz w:val="24"/>
          <w:szCs w:val="24"/>
          <w:lang w:eastAsia="es-ES"/>
        </w:rPr>
        <w:t xml:space="preserve"> </w:t>
      </w:r>
      <w:r w:rsidR="005568E8" w:rsidRPr="005568E8">
        <w:rPr>
          <w:rFonts w:ascii="Times New Roman" w:hAnsi="Times New Roman" w:cs="Times New Roman"/>
          <w:sz w:val="24"/>
          <w:szCs w:val="24"/>
        </w:rPr>
        <w:t>pública</w:t>
      </w:r>
      <w:r w:rsidR="005568E8">
        <w:rPr>
          <w:rFonts w:ascii="Times New Roman" w:hAnsi="Times New Roman" w:cs="Times New Roman"/>
          <w:sz w:val="24"/>
          <w:szCs w:val="24"/>
        </w:rPr>
        <w:t xml:space="preserve"> </w:t>
      </w:r>
      <w:r w:rsidR="005568E8" w:rsidRPr="005568E8">
        <w:rPr>
          <w:rFonts w:ascii="Times New Roman" w:hAnsi="Times New Roman" w:cs="Times New Roman"/>
          <w:sz w:val="24"/>
          <w:szCs w:val="24"/>
        </w:rPr>
        <w:t>(Ayuntamientos, Palacios de justicia)</w:t>
      </w:r>
      <w:r w:rsidR="005568E8">
        <w:rPr>
          <w:rFonts w:ascii="Times New Roman" w:hAnsi="Times New Roman" w:cs="Times New Roman"/>
          <w:sz w:val="24"/>
          <w:szCs w:val="24"/>
        </w:rPr>
        <w:t xml:space="preserve"> como</w:t>
      </w:r>
      <w:r w:rsidRPr="00050185">
        <w:rPr>
          <w:rFonts w:ascii="Times New Roman" w:hAnsi="Times New Roman" w:cs="Times New Roman"/>
          <w:sz w:val="24"/>
          <w:szCs w:val="24"/>
        </w:rPr>
        <w:t xml:space="preserve"> privada (un restaurante, una tienda o un comercio), cualquiera que sea la finalidad a la que se </w:t>
      </w:r>
      <w:r w:rsidRPr="00050185">
        <w:rPr>
          <w:rFonts w:ascii="Times New Roman" w:hAnsi="Times New Roman" w:cs="Times New Roman"/>
          <w:sz w:val="24"/>
          <w:szCs w:val="24"/>
        </w:rPr>
        <w:lastRenderedPageBreak/>
        <w:t xml:space="preserve">destinen, ya sea comercial, oficinas, prestación de cualquier servicio público, etc. </w:t>
      </w:r>
    </w:p>
    <w:p w:rsidR="0059696D" w:rsidRPr="0009755A" w:rsidRDefault="0059696D" w:rsidP="0059696D">
      <w:pPr>
        <w:pStyle w:val="Prrafodelista"/>
        <w:spacing w:line="360" w:lineRule="auto"/>
        <w:jc w:val="both"/>
        <w:rPr>
          <w:rFonts w:ascii="Times New Roman" w:hAnsi="Times New Roman" w:cs="Times New Roman"/>
          <w:sz w:val="24"/>
          <w:szCs w:val="24"/>
        </w:rPr>
      </w:pPr>
    </w:p>
    <w:p w:rsidR="00050185" w:rsidRPr="004608E0" w:rsidRDefault="00050185" w:rsidP="00050185">
      <w:pPr>
        <w:spacing w:line="360" w:lineRule="auto"/>
        <w:jc w:val="both"/>
        <w:rPr>
          <w:b/>
          <w:sz w:val="24"/>
          <w:szCs w:val="24"/>
          <w:u w:val="single"/>
        </w:rPr>
      </w:pPr>
      <w:r w:rsidRPr="004608E0">
        <w:rPr>
          <w:b/>
          <w:sz w:val="24"/>
          <w:szCs w:val="24"/>
          <w:u w:val="single"/>
        </w:rPr>
        <w:t>3.4 ROBO CON VIOLENCIA E INTIMIDACIÓN EN LAS PERSONAS.</w:t>
      </w:r>
    </w:p>
    <w:p w:rsidR="00050185" w:rsidRPr="00050185" w:rsidRDefault="00050185" w:rsidP="00050185">
      <w:pPr>
        <w:spacing w:line="360" w:lineRule="auto"/>
        <w:jc w:val="both"/>
        <w:rPr>
          <w:sz w:val="24"/>
          <w:szCs w:val="24"/>
        </w:rPr>
      </w:pPr>
      <w:r w:rsidRPr="004608E0">
        <w:rPr>
          <w:b/>
          <w:sz w:val="24"/>
          <w:szCs w:val="24"/>
          <w:u w:val="single"/>
        </w:rPr>
        <w:t>3.4.1 CONSIDERACIONES GENERALES.</w:t>
      </w:r>
    </w:p>
    <w:p w:rsidR="00050185" w:rsidRPr="00050185" w:rsidRDefault="00050185" w:rsidP="00050185">
      <w:pPr>
        <w:spacing w:line="360" w:lineRule="auto"/>
        <w:jc w:val="both"/>
        <w:rPr>
          <w:sz w:val="24"/>
          <w:szCs w:val="24"/>
        </w:rPr>
      </w:pPr>
      <w:r w:rsidRPr="00050185">
        <w:rPr>
          <w:sz w:val="24"/>
          <w:szCs w:val="24"/>
        </w:rPr>
        <w:t xml:space="preserve">Este tipo de delito de robo viene tipificado en el </w:t>
      </w:r>
      <w:r w:rsidR="00100A16" w:rsidRPr="00050185">
        <w:rPr>
          <w:b/>
          <w:sz w:val="24"/>
          <w:szCs w:val="24"/>
        </w:rPr>
        <w:t>artículo</w:t>
      </w:r>
      <w:r w:rsidRPr="00050185">
        <w:rPr>
          <w:b/>
          <w:sz w:val="24"/>
          <w:szCs w:val="24"/>
        </w:rPr>
        <w:t xml:space="preserve"> 242 del </w:t>
      </w:r>
      <w:r w:rsidR="00100A16" w:rsidRPr="00050185">
        <w:rPr>
          <w:b/>
          <w:sz w:val="24"/>
          <w:szCs w:val="24"/>
        </w:rPr>
        <w:t>Código</w:t>
      </w:r>
      <w:r w:rsidRPr="00050185">
        <w:rPr>
          <w:b/>
          <w:sz w:val="24"/>
          <w:szCs w:val="24"/>
        </w:rPr>
        <w:t xml:space="preserve"> Penal</w:t>
      </w:r>
      <w:r w:rsidRPr="00050185">
        <w:rPr>
          <w:rStyle w:val="Refdenotaalpie"/>
          <w:b/>
          <w:sz w:val="24"/>
          <w:szCs w:val="24"/>
        </w:rPr>
        <w:footnoteReference w:id="85"/>
      </w:r>
      <w:r w:rsidRPr="00050185">
        <w:rPr>
          <w:b/>
          <w:sz w:val="24"/>
          <w:szCs w:val="24"/>
        </w:rPr>
        <w:t xml:space="preserve"> </w:t>
      </w:r>
      <w:r w:rsidRPr="00050185">
        <w:rPr>
          <w:sz w:val="24"/>
          <w:szCs w:val="24"/>
        </w:rPr>
        <w:t xml:space="preserve">(anteriormente fue modificado el apartado 2 de este mismo </w:t>
      </w:r>
      <w:r w:rsidR="00100A16" w:rsidRPr="00050185">
        <w:rPr>
          <w:sz w:val="24"/>
          <w:szCs w:val="24"/>
        </w:rPr>
        <w:t>artículo</w:t>
      </w:r>
      <w:r w:rsidRPr="00050185">
        <w:rPr>
          <w:sz w:val="24"/>
          <w:szCs w:val="24"/>
        </w:rPr>
        <w:t xml:space="preserve">), y queda redactado de la siguiente manera: </w:t>
      </w:r>
    </w:p>
    <w:p w:rsidR="007D2A31" w:rsidRDefault="007D2A31" w:rsidP="00050185">
      <w:pPr>
        <w:spacing w:line="360" w:lineRule="auto"/>
        <w:jc w:val="both"/>
        <w:rPr>
          <w:b/>
          <w:bCs/>
          <w:i/>
          <w:sz w:val="24"/>
          <w:szCs w:val="24"/>
        </w:rPr>
      </w:pPr>
    </w:p>
    <w:p w:rsidR="00050185" w:rsidRPr="00050185" w:rsidRDefault="00050185" w:rsidP="00050185">
      <w:pPr>
        <w:spacing w:line="360" w:lineRule="auto"/>
        <w:jc w:val="both"/>
        <w:rPr>
          <w:i/>
          <w:sz w:val="24"/>
          <w:szCs w:val="24"/>
        </w:rPr>
      </w:pPr>
      <w:r w:rsidRPr="00050185">
        <w:rPr>
          <w:b/>
          <w:bCs/>
          <w:i/>
          <w:sz w:val="24"/>
          <w:szCs w:val="24"/>
        </w:rPr>
        <w:t>1.</w:t>
      </w:r>
      <w:r w:rsidRPr="00050185">
        <w:rPr>
          <w:i/>
          <w:sz w:val="24"/>
          <w:szCs w:val="24"/>
        </w:rPr>
        <w:t> El culpable de robo con violencia o intimidación en las personas será castigado con la pena de prisión de dos a cinco años, sin perjuicio de la que pudiera corresponder a los actos de violencia física que realizase.</w:t>
      </w:r>
    </w:p>
    <w:p w:rsidR="00050185" w:rsidRPr="00050185" w:rsidRDefault="00050185" w:rsidP="00050185">
      <w:pPr>
        <w:spacing w:line="360" w:lineRule="auto"/>
        <w:jc w:val="both"/>
        <w:rPr>
          <w:i/>
          <w:sz w:val="24"/>
          <w:szCs w:val="24"/>
        </w:rPr>
      </w:pPr>
      <w:r w:rsidRPr="00050185">
        <w:rPr>
          <w:b/>
          <w:bCs/>
          <w:i/>
          <w:sz w:val="24"/>
          <w:szCs w:val="24"/>
        </w:rPr>
        <w:t>2. </w:t>
      </w:r>
      <w:r w:rsidRPr="00050185">
        <w:rPr>
          <w:i/>
          <w:sz w:val="24"/>
          <w:szCs w:val="24"/>
        </w:rPr>
        <w:t>Cuando el robo se cometa en casa habitada, edificio o local abiertos al público o en cualquiera de sus dependencias, se impondrá la pena de prisión de tres años y seis meses a cinco años.</w:t>
      </w:r>
    </w:p>
    <w:p w:rsidR="00050185" w:rsidRPr="00050185" w:rsidRDefault="00050185" w:rsidP="00050185">
      <w:pPr>
        <w:spacing w:line="360" w:lineRule="auto"/>
        <w:jc w:val="both"/>
        <w:rPr>
          <w:i/>
          <w:sz w:val="24"/>
          <w:szCs w:val="24"/>
        </w:rPr>
      </w:pPr>
      <w:r w:rsidRPr="00050185">
        <w:rPr>
          <w:b/>
          <w:bCs/>
          <w:i/>
          <w:sz w:val="24"/>
          <w:szCs w:val="24"/>
        </w:rPr>
        <w:t>3.</w:t>
      </w:r>
      <w:r w:rsidRPr="00050185">
        <w:rPr>
          <w:i/>
          <w:sz w:val="24"/>
          <w:szCs w:val="24"/>
        </w:rPr>
        <w:t> Las penas señaladas en los apartados anteriores se impondrán en su mitad superior cuando el delincuente hiciere uso de armas u otros medios igualmente peligrosos, sea al cometer el delito o para proteger la huida, y cuando atacare a los que acudiesen en auxilio de la víctima o a los que le persiguieren.</w:t>
      </w:r>
    </w:p>
    <w:p w:rsidR="00050185" w:rsidRPr="00050185" w:rsidRDefault="00050185" w:rsidP="00050185">
      <w:pPr>
        <w:spacing w:line="360" w:lineRule="auto"/>
        <w:jc w:val="both"/>
        <w:rPr>
          <w:i/>
          <w:sz w:val="24"/>
          <w:szCs w:val="24"/>
        </w:rPr>
      </w:pPr>
      <w:r w:rsidRPr="00050185">
        <w:rPr>
          <w:b/>
          <w:bCs/>
          <w:i/>
          <w:sz w:val="24"/>
          <w:szCs w:val="24"/>
        </w:rPr>
        <w:t>4.</w:t>
      </w:r>
      <w:r w:rsidRPr="00050185">
        <w:rPr>
          <w:i/>
          <w:sz w:val="24"/>
          <w:szCs w:val="24"/>
        </w:rPr>
        <w:t> En atención a la menor entidad de la violencia o intimidación ejercidas y valorando además las restantes circunstancias del hecho, podrá imponerse la pena inferior en grado a la prevista en los apartados anteriores.</w:t>
      </w:r>
    </w:p>
    <w:p w:rsidR="000B44EE" w:rsidRDefault="000B44EE" w:rsidP="00050185">
      <w:pPr>
        <w:spacing w:line="360" w:lineRule="auto"/>
        <w:jc w:val="both"/>
        <w:rPr>
          <w:sz w:val="24"/>
          <w:szCs w:val="24"/>
        </w:rPr>
      </w:pPr>
    </w:p>
    <w:p w:rsidR="00D409B0" w:rsidRDefault="00CC144D" w:rsidP="00050185">
      <w:pPr>
        <w:spacing w:line="360" w:lineRule="auto"/>
        <w:jc w:val="both"/>
        <w:rPr>
          <w:sz w:val="24"/>
          <w:szCs w:val="24"/>
        </w:rPr>
      </w:pPr>
      <w:r w:rsidRPr="00CC144D">
        <w:rPr>
          <w:b/>
          <w:sz w:val="24"/>
          <w:szCs w:val="24"/>
        </w:rPr>
        <w:t>González Rus</w:t>
      </w:r>
      <w:r>
        <w:rPr>
          <w:sz w:val="24"/>
          <w:szCs w:val="24"/>
        </w:rPr>
        <w:t xml:space="preserve"> considera que: &lt;&lt;</w:t>
      </w:r>
      <w:r w:rsidRPr="00CC144D">
        <w:rPr>
          <w:i/>
          <w:sz w:val="24"/>
          <w:szCs w:val="24"/>
        </w:rPr>
        <w:t>Esta violencia o intimidación deben concurrir, por tanto, en el proceso de ejecución del apoderamiento, para lograrlo, facilitarlo, o asegurarlo</w:t>
      </w:r>
      <w:r w:rsidR="00D87A26" w:rsidRPr="00CC144D">
        <w:rPr>
          <w:i/>
          <w:sz w:val="24"/>
          <w:szCs w:val="24"/>
        </w:rPr>
        <w:t>.</w:t>
      </w:r>
      <w:r w:rsidR="00D87A26">
        <w:rPr>
          <w:sz w:val="24"/>
          <w:szCs w:val="24"/>
        </w:rPr>
        <w:t xml:space="preserve"> &gt;</w:t>
      </w:r>
      <w:r>
        <w:rPr>
          <w:sz w:val="24"/>
          <w:szCs w:val="24"/>
        </w:rPr>
        <w:t>&gt;</w:t>
      </w:r>
      <w:r>
        <w:rPr>
          <w:rStyle w:val="Refdenotaalpie"/>
          <w:sz w:val="24"/>
          <w:szCs w:val="24"/>
        </w:rPr>
        <w:footnoteReference w:id="86"/>
      </w:r>
    </w:p>
    <w:p w:rsidR="007D2A31" w:rsidRDefault="007D2A31" w:rsidP="00050185">
      <w:pPr>
        <w:spacing w:line="360" w:lineRule="auto"/>
        <w:jc w:val="both"/>
        <w:rPr>
          <w:sz w:val="24"/>
          <w:szCs w:val="24"/>
        </w:rPr>
      </w:pPr>
    </w:p>
    <w:p w:rsidR="00D409B0" w:rsidRDefault="00D409B0" w:rsidP="00050185">
      <w:pPr>
        <w:spacing w:line="360" w:lineRule="auto"/>
        <w:jc w:val="both"/>
        <w:rPr>
          <w:sz w:val="24"/>
          <w:szCs w:val="24"/>
        </w:rPr>
      </w:pPr>
      <w:r>
        <w:rPr>
          <w:sz w:val="24"/>
          <w:szCs w:val="24"/>
        </w:rPr>
        <w:t xml:space="preserve">Se afirma, </w:t>
      </w:r>
      <w:r w:rsidR="00552FEB">
        <w:rPr>
          <w:sz w:val="24"/>
          <w:szCs w:val="24"/>
        </w:rPr>
        <w:t xml:space="preserve">por tanto, que un delito de hurto o de robo con fuerza en las cosas puede llegar a convertirse en un robo con violencia o intimidación en las personas cuando </w:t>
      </w:r>
      <w:r w:rsidR="00552FEB">
        <w:rPr>
          <w:sz w:val="24"/>
          <w:szCs w:val="24"/>
        </w:rPr>
        <w:lastRenderedPageBreak/>
        <w:t xml:space="preserve">antes de que se </w:t>
      </w:r>
      <w:r w:rsidR="00D87A26">
        <w:rPr>
          <w:sz w:val="24"/>
          <w:szCs w:val="24"/>
        </w:rPr>
        <w:t>produzca</w:t>
      </w:r>
      <w:r w:rsidR="00552FEB">
        <w:rPr>
          <w:sz w:val="24"/>
          <w:szCs w:val="24"/>
        </w:rPr>
        <w:t xml:space="preserve"> el apoderamiento concurra esta violencia o intimidación característica del tipo.</w:t>
      </w:r>
      <w:r w:rsidR="005E0DEB">
        <w:rPr>
          <w:sz w:val="24"/>
          <w:szCs w:val="24"/>
        </w:rPr>
        <w:t xml:space="preserve"> </w:t>
      </w:r>
      <w:r w:rsidR="00D87A26">
        <w:rPr>
          <w:sz w:val="24"/>
          <w:szCs w:val="24"/>
        </w:rPr>
        <w:t>Así</w:t>
      </w:r>
      <w:r w:rsidR="005E0DEB">
        <w:rPr>
          <w:sz w:val="24"/>
          <w:szCs w:val="24"/>
        </w:rPr>
        <w:t xml:space="preserve"> lo vemos en la Sentencia de la Audiencia Provincial de Madrid, de 7 de marzo de 2011.</w:t>
      </w:r>
      <w:r w:rsidR="005E0DEB">
        <w:rPr>
          <w:rStyle w:val="Refdenotaalpie"/>
          <w:sz w:val="24"/>
          <w:szCs w:val="24"/>
        </w:rPr>
        <w:footnoteReference w:id="87"/>
      </w:r>
    </w:p>
    <w:p w:rsidR="00CC144D" w:rsidRDefault="00CC144D"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Con respecto al apartado 3 del </w:t>
      </w:r>
      <w:r w:rsidR="00100A16" w:rsidRPr="00050185">
        <w:rPr>
          <w:sz w:val="24"/>
          <w:szCs w:val="24"/>
        </w:rPr>
        <w:t>artículo</w:t>
      </w:r>
      <w:r w:rsidRPr="00050185">
        <w:rPr>
          <w:sz w:val="24"/>
          <w:szCs w:val="24"/>
        </w:rPr>
        <w:t xml:space="preserve"> 242 del </w:t>
      </w:r>
      <w:r w:rsidR="00100A16" w:rsidRPr="00050185">
        <w:rPr>
          <w:sz w:val="24"/>
          <w:szCs w:val="24"/>
        </w:rPr>
        <w:t>Código</w:t>
      </w:r>
      <w:r w:rsidRPr="00050185">
        <w:rPr>
          <w:sz w:val="24"/>
          <w:szCs w:val="24"/>
        </w:rPr>
        <w:t xml:space="preserve"> Penal, la Jurisprudencia considera que no sólo se castiga utilizar el arma, sino </w:t>
      </w:r>
      <w:r w:rsidR="00100A16" w:rsidRPr="00050185">
        <w:rPr>
          <w:sz w:val="24"/>
          <w:szCs w:val="24"/>
        </w:rPr>
        <w:t>también</w:t>
      </w:r>
      <w:r w:rsidRPr="00050185">
        <w:rPr>
          <w:sz w:val="24"/>
          <w:szCs w:val="24"/>
        </w:rPr>
        <w:t xml:space="preserve"> su exhibición</w:t>
      </w:r>
      <w:r w:rsidR="005568E8">
        <w:rPr>
          <w:sz w:val="24"/>
          <w:szCs w:val="24"/>
        </w:rPr>
        <w:t xml:space="preserve"> </w:t>
      </w:r>
      <w:r w:rsidR="006B3A42">
        <w:rPr>
          <w:sz w:val="24"/>
          <w:szCs w:val="24"/>
        </w:rPr>
        <w:t>pública</w:t>
      </w:r>
      <w:r w:rsidRPr="00050185">
        <w:rPr>
          <w:sz w:val="24"/>
          <w:szCs w:val="24"/>
        </w:rPr>
        <w:t xml:space="preserve"> o </w:t>
      </w:r>
      <w:r w:rsidR="005568E8">
        <w:rPr>
          <w:sz w:val="24"/>
          <w:szCs w:val="24"/>
        </w:rPr>
        <w:t>su uso para intimidar a otras personas provocando miedo</w:t>
      </w:r>
      <w:r w:rsidR="007B7224">
        <w:rPr>
          <w:sz w:val="24"/>
          <w:szCs w:val="24"/>
        </w:rPr>
        <w:t xml:space="preserve"> o angustia</w:t>
      </w:r>
      <w:r w:rsidRPr="00050185">
        <w:rPr>
          <w:sz w:val="24"/>
          <w:szCs w:val="24"/>
        </w:rPr>
        <w:t xml:space="preserve">. Este tipo cualificado </w:t>
      </w:r>
      <w:r w:rsidR="00100A16" w:rsidRPr="00050185">
        <w:rPr>
          <w:sz w:val="24"/>
          <w:szCs w:val="24"/>
        </w:rPr>
        <w:t>también</w:t>
      </w:r>
      <w:r w:rsidRPr="00050185">
        <w:rPr>
          <w:sz w:val="24"/>
          <w:szCs w:val="24"/>
        </w:rPr>
        <w:t xml:space="preserve"> se aplica a aquellos que conozcan que otras personas </w:t>
      </w:r>
      <w:r w:rsidR="007B7224">
        <w:rPr>
          <w:sz w:val="24"/>
          <w:szCs w:val="24"/>
        </w:rPr>
        <w:t>tienen un arma y lo oculten</w:t>
      </w:r>
      <w:r w:rsidRPr="00050185">
        <w:rPr>
          <w:sz w:val="24"/>
          <w:szCs w:val="24"/>
        </w:rPr>
        <w:t>.</w:t>
      </w:r>
      <w:r w:rsidRPr="00050185">
        <w:rPr>
          <w:rStyle w:val="Refdenotaalpie"/>
          <w:sz w:val="24"/>
          <w:szCs w:val="24"/>
        </w:rPr>
        <w:footnoteReference w:id="88"/>
      </w:r>
    </w:p>
    <w:p w:rsidR="0009755A" w:rsidRDefault="0009755A" w:rsidP="00050185">
      <w:pPr>
        <w:spacing w:line="360" w:lineRule="auto"/>
        <w:jc w:val="both"/>
        <w:rPr>
          <w:sz w:val="24"/>
          <w:szCs w:val="24"/>
        </w:rPr>
      </w:pPr>
    </w:p>
    <w:p w:rsidR="007C4B59" w:rsidRPr="00050185" w:rsidRDefault="00050185" w:rsidP="00050185">
      <w:pPr>
        <w:spacing w:line="360" w:lineRule="auto"/>
        <w:jc w:val="both"/>
        <w:rPr>
          <w:sz w:val="24"/>
          <w:szCs w:val="24"/>
        </w:rPr>
      </w:pPr>
      <w:r w:rsidRPr="00050185">
        <w:rPr>
          <w:sz w:val="24"/>
          <w:szCs w:val="24"/>
        </w:rPr>
        <w:t xml:space="preserve">Según </w:t>
      </w:r>
      <w:proofErr w:type="spellStart"/>
      <w:r w:rsidR="00100A16" w:rsidRPr="00050185">
        <w:rPr>
          <w:b/>
          <w:sz w:val="24"/>
          <w:szCs w:val="24"/>
        </w:rPr>
        <w:t>Vazquez</w:t>
      </w:r>
      <w:proofErr w:type="spellEnd"/>
      <w:r w:rsidR="00100A16">
        <w:rPr>
          <w:b/>
          <w:sz w:val="24"/>
          <w:szCs w:val="24"/>
        </w:rPr>
        <w:t xml:space="preserve"> </w:t>
      </w:r>
      <w:proofErr w:type="spellStart"/>
      <w:r w:rsidR="00100A16" w:rsidRPr="00050185">
        <w:rPr>
          <w:b/>
          <w:sz w:val="24"/>
          <w:szCs w:val="24"/>
        </w:rPr>
        <w:t>Gonzalez</w:t>
      </w:r>
      <w:proofErr w:type="spellEnd"/>
      <w:r w:rsidRPr="00050185">
        <w:rPr>
          <w:rStyle w:val="Refdenotaalpie"/>
          <w:b/>
          <w:sz w:val="24"/>
          <w:szCs w:val="24"/>
        </w:rPr>
        <w:footnoteReference w:id="89"/>
      </w:r>
      <w:r w:rsidRPr="00050185">
        <w:rPr>
          <w:sz w:val="24"/>
          <w:szCs w:val="24"/>
        </w:rPr>
        <w:t xml:space="preserve"> se consideran:</w:t>
      </w:r>
    </w:p>
    <w:p w:rsidR="00050185" w:rsidRPr="00050185" w:rsidRDefault="00050185" w:rsidP="00050185">
      <w:pPr>
        <w:pStyle w:val="Prrafodelista"/>
        <w:numPr>
          <w:ilvl w:val="0"/>
          <w:numId w:val="17"/>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u w:val="single"/>
        </w:rPr>
        <w:t>Armas</w:t>
      </w:r>
      <w:r w:rsidRPr="00050185">
        <w:rPr>
          <w:rFonts w:ascii="Times New Roman" w:hAnsi="Times New Roman" w:cs="Times New Roman"/>
          <w:i/>
          <w:sz w:val="24"/>
          <w:szCs w:val="24"/>
        </w:rPr>
        <w:t>: Se requiere que el arma sea objetivamente apta o idónea para producir un daño conforme a su uso natural, además se requiere que las armas de fuego estén operativas y en condiciones de funcionamiento, y armas blancas son por ejemplo: navajas, cuchillos, etc.</w:t>
      </w:r>
    </w:p>
    <w:p w:rsidR="00050185" w:rsidRPr="00050185" w:rsidRDefault="00050185" w:rsidP="00050185">
      <w:pPr>
        <w:pStyle w:val="Prrafodelista"/>
        <w:numPr>
          <w:ilvl w:val="0"/>
          <w:numId w:val="17"/>
        </w:numPr>
        <w:spacing w:line="360" w:lineRule="auto"/>
        <w:jc w:val="both"/>
        <w:rPr>
          <w:rFonts w:ascii="Times New Roman" w:hAnsi="Times New Roman" w:cs="Times New Roman"/>
          <w:i/>
          <w:sz w:val="24"/>
          <w:szCs w:val="24"/>
        </w:rPr>
      </w:pPr>
      <w:r w:rsidRPr="00050185">
        <w:rPr>
          <w:rFonts w:ascii="Times New Roman" w:hAnsi="Times New Roman" w:cs="Times New Roman"/>
          <w:i/>
          <w:sz w:val="24"/>
          <w:szCs w:val="24"/>
          <w:u w:val="single"/>
        </w:rPr>
        <w:t>Medios o instrumentos peligrosos:</w:t>
      </w:r>
      <w:r w:rsidRPr="00050185">
        <w:rPr>
          <w:rFonts w:ascii="Times New Roman" w:hAnsi="Times New Roman" w:cs="Times New Roman"/>
          <w:i/>
          <w:sz w:val="24"/>
          <w:szCs w:val="24"/>
        </w:rPr>
        <w:t xml:space="preserve"> Martillos, destornilladores, jeringuillas, pistola de gas, una piedra de gran tamaño, etc.</w:t>
      </w:r>
    </w:p>
    <w:p w:rsidR="000B44EE" w:rsidRPr="007B7224" w:rsidRDefault="00050185" w:rsidP="007B7224">
      <w:pPr>
        <w:spacing w:line="360" w:lineRule="auto"/>
        <w:ind w:left="360"/>
        <w:jc w:val="both"/>
        <w:rPr>
          <w:i/>
          <w:sz w:val="24"/>
          <w:szCs w:val="24"/>
        </w:rPr>
      </w:pPr>
      <w:r w:rsidRPr="00050185">
        <w:rPr>
          <w:i/>
          <w:sz w:val="24"/>
          <w:szCs w:val="24"/>
        </w:rPr>
        <w:t>Para saber a ciencia cierta si estamos ante un arma u otro instrumento o medio peligroso, debemos acudir al RD 137/1993, de 29 de Enero, por el que se aprueba el Reglamento de Armas en su redacción dada por el RD 540/1994, de 25 de Marzo, por el RD 316/2000, de 3 de Marzo y por el RD 1628/2009, de 30 de Octubre, aunque en el caso de esta agravación, es irrelevante la distinción, ya que ambas tienen la misma función y operatividad.</w:t>
      </w:r>
    </w:p>
    <w:p w:rsidR="007D2A31" w:rsidRDefault="007D2A31"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El robo con violencia o intimidación es un delito d</w:t>
      </w:r>
      <w:r w:rsidR="007B7224">
        <w:rPr>
          <w:sz w:val="24"/>
          <w:szCs w:val="24"/>
        </w:rPr>
        <w:t>e apropiación de bienes muebles, al igual que el robo con fuerza en las cosas, la diferencia es que en este caso se utiliza</w:t>
      </w:r>
      <w:r w:rsidRPr="00050185">
        <w:rPr>
          <w:sz w:val="24"/>
          <w:szCs w:val="24"/>
        </w:rPr>
        <w:t xml:space="preserve"> </w:t>
      </w:r>
      <w:r w:rsidRPr="00050185">
        <w:rPr>
          <w:sz w:val="24"/>
          <w:szCs w:val="24"/>
        </w:rPr>
        <w:lastRenderedPageBreak/>
        <w:t>como medio para conseguirlo, la violencia o intimidación</w:t>
      </w:r>
      <w:r w:rsidR="007B7224">
        <w:rPr>
          <w:sz w:val="24"/>
          <w:szCs w:val="24"/>
        </w:rPr>
        <w:t xml:space="preserve"> en las personas</w:t>
      </w:r>
      <w:r w:rsidR="007D2A31">
        <w:rPr>
          <w:sz w:val="24"/>
          <w:szCs w:val="24"/>
        </w:rPr>
        <w:t>, y no en las cosas</w:t>
      </w:r>
      <w:r w:rsidRPr="00050185">
        <w:rPr>
          <w:sz w:val="24"/>
          <w:szCs w:val="24"/>
        </w:rPr>
        <w:t xml:space="preserve">. El tipo objetivo, viene constituido por la apropiación, al igual que en el hurto, equivale a apoderamiento con disponibilidad, aunque solo sea de manera fugaz. Por lo tanto, puede ocurrir que lo que se </w:t>
      </w:r>
      <w:r w:rsidR="00100A16" w:rsidRPr="00050185">
        <w:rPr>
          <w:sz w:val="24"/>
          <w:szCs w:val="24"/>
        </w:rPr>
        <w:t>inició</w:t>
      </w:r>
      <w:r w:rsidRPr="00050185">
        <w:rPr>
          <w:sz w:val="24"/>
          <w:szCs w:val="24"/>
        </w:rPr>
        <w:t xml:space="preserve"> como hurto o como robo con fuerza en las cosas, </w:t>
      </w:r>
      <w:r w:rsidR="007B7224">
        <w:rPr>
          <w:sz w:val="24"/>
          <w:szCs w:val="24"/>
        </w:rPr>
        <w:t xml:space="preserve">finalice </w:t>
      </w:r>
      <w:r w:rsidRPr="00050185">
        <w:rPr>
          <w:sz w:val="24"/>
          <w:szCs w:val="24"/>
        </w:rPr>
        <w:t>como</w:t>
      </w:r>
      <w:r w:rsidR="007B7224">
        <w:rPr>
          <w:sz w:val="24"/>
          <w:szCs w:val="24"/>
        </w:rPr>
        <w:t xml:space="preserve"> un</w:t>
      </w:r>
      <w:r w:rsidRPr="00050185">
        <w:rPr>
          <w:sz w:val="24"/>
          <w:szCs w:val="24"/>
        </w:rPr>
        <w:t xml:space="preserve"> robo con violencia o intimidación en las personas. Esta </w:t>
      </w:r>
      <w:r w:rsidRPr="00050185">
        <w:rPr>
          <w:b/>
          <w:sz w:val="24"/>
          <w:szCs w:val="24"/>
        </w:rPr>
        <w:t>violencia</w:t>
      </w:r>
      <w:r w:rsidRPr="00050185">
        <w:rPr>
          <w:sz w:val="24"/>
          <w:szCs w:val="24"/>
        </w:rPr>
        <w:t xml:space="preserve"> puede recaer sobre el titular del bien jurídico patrimonial, ya sea dueño o poseedor, para </w:t>
      </w:r>
      <w:r w:rsidR="00100A16" w:rsidRPr="00050185">
        <w:rPr>
          <w:sz w:val="24"/>
          <w:szCs w:val="24"/>
        </w:rPr>
        <w:t>así</w:t>
      </w:r>
      <w:r w:rsidRPr="00050185">
        <w:rPr>
          <w:sz w:val="24"/>
          <w:szCs w:val="24"/>
        </w:rPr>
        <w:t xml:space="preserve"> conseguir doblegar su voluntad y su </w:t>
      </w:r>
      <w:r w:rsidR="00100A16" w:rsidRPr="00050185">
        <w:rPr>
          <w:sz w:val="24"/>
          <w:szCs w:val="24"/>
        </w:rPr>
        <w:t xml:space="preserve">fuerza. </w:t>
      </w:r>
      <w:r w:rsidRPr="00050185">
        <w:rPr>
          <w:sz w:val="24"/>
          <w:szCs w:val="24"/>
        </w:rPr>
        <w:t xml:space="preserve">La </w:t>
      </w:r>
      <w:r w:rsidRPr="00050185">
        <w:rPr>
          <w:b/>
          <w:sz w:val="24"/>
          <w:szCs w:val="24"/>
        </w:rPr>
        <w:t>intimidación</w:t>
      </w:r>
      <w:r w:rsidRPr="00050185">
        <w:rPr>
          <w:sz w:val="24"/>
          <w:szCs w:val="24"/>
        </w:rPr>
        <w:t xml:space="preserve"> empleada,</w:t>
      </w:r>
      <w:r w:rsidR="009A4DB8">
        <w:rPr>
          <w:sz w:val="24"/>
          <w:szCs w:val="24"/>
        </w:rPr>
        <w:t xml:space="preserve"> no es física, sino que</w:t>
      </w:r>
      <w:r w:rsidRPr="00050185">
        <w:rPr>
          <w:sz w:val="24"/>
          <w:szCs w:val="24"/>
        </w:rPr>
        <w:t xml:space="preserve"> es una amenaza para conseguir la obtención inmediata de la cosa.</w:t>
      </w:r>
      <w:r w:rsidRPr="00050185">
        <w:rPr>
          <w:sz w:val="24"/>
          <w:szCs w:val="24"/>
          <w:vertAlign w:val="superscript"/>
        </w:rPr>
        <w:footnoteReference w:id="90"/>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Autores como </w:t>
      </w:r>
      <w:r w:rsidRPr="00050185">
        <w:rPr>
          <w:b/>
          <w:sz w:val="24"/>
          <w:szCs w:val="24"/>
        </w:rPr>
        <w:t xml:space="preserve">Serrano Gómez y Serrano </w:t>
      </w:r>
      <w:r w:rsidR="00100A16" w:rsidRPr="00050185">
        <w:rPr>
          <w:b/>
          <w:sz w:val="24"/>
          <w:szCs w:val="24"/>
        </w:rPr>
        <w:t>Maíllo</w:t>
      </w:r>
      <w:r w:rsidRPr="00050185">
        <w:rPr>
          <w:sz w:val="24"/>
          <w:szCs w:val="24"/>
        </w:rPr>
        <w:t xml:space="preserve"> hacen una diferenciación entre la violencia o intimidación en este tipo de delitos:</w:t>
      </w:r>
    </w:p>
    <w:p w:rsidR="00050185" w:rsidRPr="00050185" w:rsidRDefault="00050185" w:rsidP="00050185">
      <w:pPr>
        <w:spacing w:line="360" w:lineRule="auto"/>
        <w:jc w:val="both"/>
        <w:rPr>
          <w:sz w:val="24"/>
          <w:szCs w:val="24"/>
        </w:rPr>
      </w:pPr>
      <w:r w:rsidRPr="00050185">
        <w:rPr>
          <w:sz w:val="24"/>
          <w:szCs w:val="24"/>
        </w:rPr>
        <w:t>&lt;&lt;</w:t>
      </w:r>
      <w:r w:rsidRPr="00050185">
        <w:rPr>
          <w:i/>
          <w:sz w:val="24"/>
          <w:szCs w:val="24"/>
        </w:rPr>
        <w:t xml:space="preserve">Consideran como </w:t>
      </w:r>
      <w:r w:rsidRPr="00050185">
        <w:rPr>
          <w:b/>
          <w:i/>
          <w:sz w:val="24"/>
          <w:szCs w:val="24"/>
          <w:u w:val="single"/>
        </w:rPr>
        <w:t>violencia</w:t>
      </w:r>
      <w:r w:rsidRPr="00050185">
        <w:rPr>
          <w:i/>
          <w:sz w:val="24"/>
          <w:szCs w:val="24"/>
        </w:rPr>
        <w:t xml:space="preserve"> la fuerza física o “vis absoluta”. Puede recaer tanto sobre el sujeto pasivo propietario de las cosas objeto de depredación, como sobre cualquier otra persona, aunque en este caso, la violencia constituye solo intimidación para el sujeto pasivo de la sustracción. Además es necesario que la violencia tenga especial intensidad en relación con el hecho, de modo que lleve aparejada cierta eficacia sobre el sujeto pasivo, pues de lo contrario la calificación no pasará de mero hurto. Por otro lado, consideran como </w:t>
      </w:r>
      <w:r w:rsidRPr="00050185">
        <w:rPr>
          <w:b/>
          <w:i/>
          <w:sz w:val="24"/>
          <w:szCs w:val="24"/>
          <w:u w:val="single"/>
        </w:rPr>
        <w:t xml:space="preserve">intimidación </w:t>
      </w:r>
      <w:r w:rsidRPr="00050185">
        <w:rPr>
          <w:i/>
          <w:sz w:val="24"/>
          <w:szCs w:val="24"/>
        </w:rPr>
        <w:t xml:space="preserve">la violencia psicológica o “vis compulsiva”. Viene constituida por la comunicación del anuncio de un mal inmediato, grave, personal y posible, que despierte o inspire en el ofendido un sentimiento de miedo, angustia, o desasosiego. En realidad, no es </w:t>
      </w:r>
      <w:r w:rsidR="00100A16" w:rsidRPr="00050185">
        <w:rPr>
          <w:i/>
          <w:sz w:val="24"/>
          <w:szCs w:val="24"/>
        </w:rPr>
        <w:t>más</w:t>
      </w:r>
      <w:r w:rsidRPr="00050185">
        <w:rPr>
          <w:i/>
          <w:sz w:val="24"/>
          <w:szCs w:val="24"/>
        </w:rPr>
        <w:t xml:space="preserve"> que una amenaza encaminada a viciar la libre decisión de la voluntad del sujeto</w:t>
      </w:r>
      <w:proofErr w:type="gramStart"/>
      <w:r w:rsidRPr="00050185">
        <w:rPr>
          <w:i/>
          <w:sz w:val="24"/>
          <w:szCs w:val="24"/>
        </w:rPr>
        <w:t>.&gt;</w:t>
      </w:r>
      <w:proofErr w:type="gramEnd"/>
      <w:r w:rsidRPr="00050185">
        <w:rPr>
          <w:i/>
          <w:sz w:val="24"/>
          <w:szCs w:val="24"/>
        </w:rPr>
        <w:t>&gt;</w:t>
      </w:r>
      <w:r w:rsidRPr="00050185">
        <w:rPr>
          <w:rStyle w:val="Refdenotaalpie"/>
          <w:i/>
          <w:sz w:val="24"/>
          <w:szCs w:val="24"/>
        </w:rPr>
        <w:footnoteReference w:id="91"/>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Sin embargo, tal y como expone </w:t>
      </w:r>
      <w:r w:rsidRPr="00050185">
        <w:rPr>
          <w:b/>
          <w:sz w:val="24"/>
          <w:szCs w:val="24"/>
        </w:rPr>
        <w:t>Muñoz Conde</w:t>
      </w:r>
      <w:r w:rsidRPr="00050185">
        <w:rPr>
          <w:sz w:val="24"/>
          <w:szCs w:val="24"/>
        </w:rPr>
        <w:t>: &lt;&lt;</w:t>
      </w:r>
      <w:r w:rsidRPr="00050185">
        <w:rPr>
          <w:i/>
          <w:sz w:val="24"/>
          <w:szCs w:val="24"/>
        </w:rPr>
        <w:t xml:space="preserve">Hay veces en que puede hablarse de intimidación implícita, en las que, sin intimidarse realmente, al estar el sujeto activo en una posición de </w:t>
      </w:r>
      <w:r w:rsidR="00100A16" w:rsidRPr="00050185">
        <w:rPr>
          <w:i/>
          <w:sz w:val="24"/>
          <w:szCs w:val="24"/>
        </w:rPr>
        <w:t>privilegio</w:t>
      </w:r>
      <w:r w:rsidRPr="00050185">
        <w:rPr>
          <w:i/>
          <w:sz w:val="24"/>
          <w:szCs w:val="24"/>
        </w:rPr>
        <w:t xml:space="preserve"> con respecto al sujeto </w:t>
      </w:r>
      <w:r w:rsidR="00100A16" w:rsidRPr="00050185">
        <w:rPr>
          <w:i/>
          <w:sz w:val="24"/>
          <w:szCs w:val="24"/>
        </w:rPr>
        <w:t>pasivo</w:t>
      </w:r>
      <w:r w:rsidRPr="00050185">
        <w:rPr>
          <w:i/>
          <w:sz w:val="24"/>
          <w:szCs w:val="24"/>
        </w:rPr>
        <w:t xml:space="preserve">, puede éste sentirse intimidado </w:t>
      </w:r>
      <w:r w:rsidRPr="00050185">
        <w:rPr>
          <w:i/>
          <w:sz w:val="24"/>
          <w:szCs w:val="24"/>
        </w:rPr>
        <w:lastRenderedPageBreak/>
        <w:t>por dicho sujeto que se aprovecha de la situación para exigir la entrega de alguna cantidad dineraria, objeto, etc</w:t>
      </w:r>
      <w:proofErr w:type="gramStart"/>
      <w:r w:rsidRPr="00050185">
        <w:rPr>
          <w:i/>
          <w:sz w:val="24"/>
          <w:szCs w:val="24"/>
        </w:rPr>
        <w:t>.&gt;</w:t>
      </w:r>
      <w:proofErr w:type="gramEnd"/>
      <w:r w:rsidRPr="00050185">
        <w:rPr>
          <w:i/>
          <w:sz w:val="24"/>
          <w:szCs w:val="24"/>
        </w:rPr>
        <w:t>&gt;</w:t>
      </w:r>
      <w:r w:rsidRPr="00050185">
        <w:rPr>
          <w:rStyle w:val="Refdenotaalpie"/>
          <w:i/>
          <w:sz w:val="24"/>
          <w:szCs w:val="24"/>
        </w:rPr>
        <w:footnoteReference w:id="92"/>
      </w:r>
    </w:p>
    <w:p w:rsidR="000B44EE" w:rsidRDefault="000B44EE"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Destaco estas sentencias, relacionadas con el delito de robo con violencia e intimidación en las personas:</w:t>
      </w:r>
    </w:p>
    <w:p w:rsidR="00050185" w:rsidRPr="00050185" w:rsidRDefault="00050185" w:rsidP="00050185">
      <w:pPr>
        <w:pStyle w:val="Prrafodelista"/>
        <w:numPr>
          <w:ilvl w:val="0"/>
          <w:numId w:val="20"/>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Sentencia del Tribunal Supremo, 12 de Diciembre de 2011.</w:t>
      </w:r>
      <w:r w:rsidRPr="00050185">
        <w:rPr>
          <w:rStyle w:val="Refdenotaalpie"/>
          <w:rFonts w:ascii="Times New Roman" w:hAnsi="Times New Roman" w:cs="Times New Roman"/>
          <w:sz w:val="24"/>
          <w:szCs w:val="24"/>
        </w:rPr>
        <w:footnoteReference w:id="93"/>
      </w:r>
    </w:p>
    <w:p w:rsidR="00050185" w:rsidRPr="00050185" w:rsidRDefault="00050185" w:rsidP="00050185">
      <w:pPr>
        <w:pStyle w:val="Prrafodelista"/>
        <w:numPr>
          <w:ilvl w:val="0"/>
          <w:numId w:val="20"/>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Sentencia de la Audiencia Provincial de Álava, 28 de Junio de 2001.</w:t>
      </w:r>
      <w:r w:rsidRPr="00050185">
        <w:rPr>
          <w:rStyle w:val="Refdenotaalpie"/>
          <w:rFonts w:ascii="Times New Roman" w:hAnsi="Times New Roman" w:cs="Times New Roman"/>
          <w:sz w:val="24"/>
          <w:szCs w:val="24"/>
        </w:rPr>
        <w:footnoteReference w:id="94"/>
      </w:r>
    </w:p>
    <w:p w:rsidR="00050185" w:rsidRPr="00050185" w:rsidRDefault="00050185" w:rsidP="00050185">
      <w:pPr>
        <w:pStyle w:val="Prrafodelista"/>
        <w:numPr>
          <w:ilvl w:val="0"/>
          <w:numId w:val="20"/>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Sentencia de la Audiencia Provincial de Toledo, 17 de Enero de 2000.</w:t>
      </w:r>
      <w:r w:rsidRPr="00050185">
        <w:rPr>
          <w:rStyle w:val="Refdenotaalpie"/>
          <w:rFonts w:ascii="Times New Roman" w:hAnsi="Times New Roman" w:cs="Times New Roman"/>
          <w:sz w:val="24"/>
          <w:szCs w:val="24"/>
        </w:rPr>
        <w:footnoteReference w:id="95"/>
      </w:r>
    </w:p>
    <w:p w:rsidR="00050185" w:rsidRPr="00050185" w:rsidRDefault="00050185" w:rsidP="00050185">
      <w:pPr>
        <w:spacing w:line="360" w:lineRule="auto"/>
        <w:jc w:val="both"/>
        <w:rPr>
          <w:sz w:val="24"/>
          <w:szCs w:val="24"/>
        </w:rPr>
      </w:pPr>
    </w:p>
    <w:p w:rsidR="00050185" w:rsidRPr="004608E0" w:rsidRDefault="00050185" w:rsidP="00050185">
      <w:pPr>
        <w:spacing w:line="360" w:lineRule="auto"/>
        <w:jc w:val="both"/>
        <w:rPr>
          <w:b/>
          <w:sz w:val="24"/>
          <w:szCs w:val="24"/>
          <w:u w:val="single"/>
        </w:rPr>
      </w:pPr>
      <w:r w:rsidRPr="004608E0">
        <w:rPr>
          <w:b/>
          <w:sz w:val="24"/>
          <w:szCs w:val="24"/>
          <w:u w:val="single"/>
        </w:rPr>
        <w:t>3.4.2 CONSUMACIÓN Y TENTATIVA.</w:t>
      </w:r>
    </w:p>
    <w:p w:rsidR="00050185" w:rsidRPr="00050185" w:rsidRDefault="00050185" w:rsidP="00050185">
      <w:pPr>
        <w:spacing w:line="360" w:lineRule="auto"/>
        <w:jc w:val="both"/>
        <w:rPr>
          <w:sz w:val="24"/>
          <w:szCs w:val="24"/>
        </w:rPr>
      </w:pPr>
      <w:r w:rsidRPr="00050185">
        <w:rPr>
          <w:sz w:val="24"/>
          <w:szCs w:val="24"/>
        </w:rPr>
        <w:t xml:space="preserve">La consumación y tentativa en el delito de robo con violencia e intimidación en las personas es la misma que en el delito de hurto. Esta figura no ha cambiado a lo largo de los años (se mantiene lo mismo que dice la anterior redacción del </w:t>
      </w:r>
      <w:r w:rsidR="00100A16" w:rsidRPr="00050185">
        <w:rPr>
          <w:sz w:val="24"/>
          <w:szCs w:val="24"/>
        </w:rPr>
        <w:t>Código</w:t>
      </w:r>
      <w:r w:rsidRPr="00050185">
        <w:rPr>
          <w:sz w:val="24"/>
          <w:szCs w:val="24"/>
        </w:rPr>
        <w:t xml:space="preserve"> Penal de 1995). Se consuma el delito con la mera disponibilidad de lo sustraído.</w:t>
      </w:r>
      <w:r w:rsidRPr="00050185">
        <w:rPr>
          <w:rStyle w:val="Refdenotaalpie"/>
          <w:sz w:val="24"/>
          <w:szCs w:val="24"/>
        </w:rPr>
        <w:footnoteReference w:id="96"/>
      </w:r>
    </w:p>
    <w:p w:rsidR="004A43FF" w:rsidRDefault="004A43FF"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lastRenderedPageBreak/>
        <w:t xml:space="preserve">El delito de robo con violencia e intimidación se consuma cuando el sujeto activo tiene la disponibilidad sobre la cosa mediante el ejercicio de esa violencia o intimidación típicas. </w:t>
      </w:r>
      <w:r w:rsidR="009A4DB8">
        <w:rPr>
          <w:sz w:val="24"/>
          <w:szCs w:val="24"/>
        </w:rPr>
        <w:t xml:space="preserve">Las conductas que deben de producirse son dos </w:t>
      </w:r>
      <w:r w:rsidRPr="00050185">
        <w:rPr>
          <w:sz w:val="24"/>
          <w:szCs w:val="24"/>
        </w:rPr>
        <w:t>para que este delito quede consumado:</w:t>
      </w:r>
    </w:p>
    <w:p w:rsidR="009A4DB8" w:rsidRDefault="00050185" w:rsidP="00050185">
      <w:pPr>
        <w:pStyle w:val="Prrafodelista"/>
        <w:numPr>
          <w:ilvl w:val="0"/>
          <w:numId w:val="18"/>
        </w:numPr>
        <w:spacing w:line="360" w:lineRule="auto"/>
        <w:jc w:val="both"/>
        <w:rPr>
          <w:rFonts w:ascii="Times New Roman" w:hAnsi="Times New Roman" w:cs="Times New Roman"/>
          <w:sz w:val="24"/>
          <w:szCs w:val="24"/>
        </w:rPr>
      </w:pPr>
      <w:r w:rsidRPr="009A4DB8">
        <w:rPr>
          <w:rFonts w:ascii="Times New Roman" w:hAnsi="Times New Roman" w:cs="Times New Roman"/>
          <w:sz w:val="24"/>
          <w:szCs w:val="24"/>
        </w:rPr>
        <w:t>La</w:t>
      </w:r>
      <w:r w:rsidR="009A4DB8" w:rsidRPr="009A4DB8">
        <w:rPr>
          <w:rFonts w:ascii="Times New Roman" w:hAnsi="Times New Roman" w:cs="Times New Roman"/>
          <w:sz w:val="24"/>
          <w:szCs w:val="24"/>
        </w:rPr>
        <w:t xml:space="preserve"> conducta por la que el autor se apodera de la cosa y dispone de ella.</w:t>
      </w:r>
      <w:r w:rsidRPr="009A4DB8">
        <w:rPr>
          <w:rFonts w:ascii="Times New Roman" w:hAnsi="Times New Roman" w:cs="Times New Roman"/>
          <w:sz w:val="24"/>
          <w:szCs w:val="24"/>
        </w:rPr>
        <w:t xml:space="preserve"> </w:t>
      </w:r>
    </w:p>
    <w:p w:rsidR="00050185" w:rsidRPr="009A4DB8" w:rsidRDefault="00050185" w:rsidP="00050185">
      <w:pPr>
        <w:pStyle w:val="Prrafodelista"/>
        <w:numPr>
          <w:ilvl w:val="0"/>
          <w:numId w:val="18"/>
        </w:numPr>
        <w:spacing w:line="360" w:lineRule="auto"/>
        <w:jc w:val="both"/>
        <w:rPr>
          <w:rFonts w:ascii="Times New Roman" w:hAnsi="Times New Roman" w:cs="Times New Roman"/>
          <w:sz w:val="24"/>
          <w:szCs w:val="24"/>
        </w:rPr>
      </w:pPr>
      <w:r w:rsidRPr="009A4DB8">
        <w:rPr>
          <w:rFonts w:ascii="Times New Roman" w:hAnsi="Times New Roman" w:cs="Times New Roman"/>
          <w:sz w:val="24"/>
          <w:szCs w:val="24"/>
        </w:rPr>
        <w:t xml:space="preserve">Y la que recae sobre el </w:t>
      </w:r>
      <w:r w:rsidR="009A4DB8">
        <w:rPr>
          <w:rFonts w:ascii="Times New Roman" w:hAnsi="Times New Roman" w:cs="Times New Roman"/>
          <w:sz w:val="24"/>
          <w:szCs w:val="24"/>
        </w:rPr>
        <w:t>empleo</w:t>
      </w:r>
      <w:r w:rsidRPr="009A4DB8">
        <w:rPr>
          <w:rFonts w:ascii="Times New Roman" w:hAnsi="Times New Roman" w:cs="Times New Roman"/>
          <w:sz w:val="24"/>
          <w:szCs w:val="24"/>
        </w:rPr>
        <w:t xml:space="preserve"> de la violencia o la intimidación. </w:t>
      </w:r>
    </w:p>
    <w:p w:rsidR="00050185" w:rsidRPr="00050185" w:rsidRDefault="00050185" w:rsidP="00050185">
      <w:pPr>
        <w:spacing w:line="360" w:lineRule="auto"/>
        <w:jc w:val="both"/>
        <w:rPr>
          <w:i/>
          <w:sz w:val="24"/>
          <w:szCs w:val="24"/>
        </w:rPr>
      </w:pPr>
      <w:r w:rsidRPr="00050185">
        <w:rPr>
          <w:sz w:val="24"/>
          <w:szCs w:val="24"/>
        </w:rPr>
        <w:t xml:space="preserve">Como ya hemos visto, y </w:t>
      </w:r>
      <w:r w:rsidR="00100A16" w:rsidRPr="00050185">
        <w:rPr>
          <w:sz w:val="24"/>
          <w:szCs w:val="24"/>
        </w:rPr>
        <w:t>según</w:t>
      </w:r>
      <w:r w:rsidRPr="00050185">
        <w:rPr>
          <w:sz w:val="24"/>
          <w:szCs w:val="24"/>
        </w:rPr>
        <w:t xml:space="preserve"> establece </w:t>
      </w:r>
      <w:r w:rsidRPr="00050185">
        <w:rPr>
          <w:b/>
          <w:sz w:val="24"/>
          <w:szCs w:val="24"/>
        </w:rPr>
        <w:t>Quintero Olivares</w:t>
      </w:r>
      <w:r w:rsidRPr="00050185">
        <w:rPr>
          <w:sz w:val="24"/>
          <w:szCs w:val="24"/>
        </w:rPr>
        <w:t>: &lt;&lt;</w:t>
      </w:r>
      <w:r w:rsidRPr="00050185">
        <w:rPr>
          <w:i/>
          <w:sz w:val="24"/>
          <w:szCs w:val="24"/>
        </w:rPr>
        <w:t xml:space="preserve">El sujeto pasivo de la violencia o </w:t>
      </w:r>
      <w:r w:rsidR="00100A16" w:rsidRPr="00050185">
        <w:rPr>
          <w:i/>
          <w:sz w:val="24"/>
          <w:szCs w:val="24"/>
        </w:rPr>
        <w:t>intimidación</w:t>
      </w:r>
      <w:r w:rsidRPr="00050185">
        <w:rPr>
          <w:i/>
          <w:sz w:val="24"/>
          <w:szCs w:val="24"/>
        </w:rPr>
        <w:t xml:space="preserve"> no solo puede ser la </w:t>
      </w:r>
      <w:r w:rsidR="00100A16" w:rsidRPr="00050185">
        <w:rPr>
          <w:i/>
          <w:sz w:val="24"/>
          <w:szCs w:val="24"/>
        </w:rPr>
        <w:t>víctima</w:t>
      </w:r>
      <w:r w:rsidRPr="00050185">
        <w:rPr>
          <w:i/>
          <w:sz w:val="24"/>
          <w:szCs w:val="24"/>
        </w:rPr>
        <w:t xml:space="preserve"> del delito patrimonial sino </w:t>
      </w:r>
      <w:r w:rsidR="00100A16" w:rsidRPr="00050185">
        <w:rPr>
          <w:i/>
          <w:sz w:val="24"/>
          <w:szCs w:val="24"/>
        </w:rPr>
        <w:t>también</w:t>
      </w:r>
      <w:r w:rsidRPr="00050185">
        <w:rPr>
          <w:i/>
          <w:sz w:val="24"/>
          <w:szCs w:val="24"/>
        </w:rPr>
        <w:t xml:space="preserve"> cualquier persona que se interponga en la </w:t>
      </w:r>
      <w:r w:rsidR="00100A16" w:rsidRPr="00050185">
        <w:rPr>
          <w:i/>
          <w:sz w:val="24"/>
          <w:szCs w:val="24"/>
        </w:rPr>
        <w:t>comisión</w:t>
      </w:r>
      <w:r w:rsidRPr="00050185">
        <w:rPr>
          <w:i/>
          <w:sz w:val="24"/>
          <w:szCs w:val="24"/>
        </w:rPr>
        <w:t xml:space="preserve"> del delito o en la fuga del culpable, incluyendo las que acuden en auxilio de la </w:t>
      </w:r>
      <w:r w:rsidR="00100A16" w:rsidRPr="00050185">
        <w:rPr>
          <w:i/>
          <w:sz w:val="24"/>
          <w:szCs w:val="24"/>
        </w:rPr>
        <w:t>víctima</w:t>
      </w:r>
      <w:r w:rsidRPr="00050185">
        <w:rPr>
          <w:i/>
          <w:sz w:val="24"/>
          <w:szCs w:val="24"/>
        </w:rPr>
        <w:t xml:space="preserve"> o las que persiguieren al autor, siempre y cuando tales medios comisivos se empleen con anterioridad a la </w:t>
      </w:r>
      <w:r w:rsidR="00100A16" w:rsidRPr="00050185">
        <w:rPr>
          <w:i/>
          <w:sz w:val="24"/>
          <w:szCs w:val="24"/>
        </w:rPr>
        <w:t>consumación</w:t>
      </w:r>
      <w:r w:rsidRPr="00050185">
        <w:rPr>
          <w:i/>
          <w:sz w:val="24"/>
          <w:szCs w:val="24"/>
        </w:rPr>
        <w:t xml:space="preserve"> del hecho, que actúa como </w:t>
      </w:r>
      <w:r w:rsidR="00100A16" w:rsidRPr="00050185">
        <w:rPr>
          <w:i/>
          <w:sz w:val="24"/>
          <w:szCs w:val="24"/>
        </w:rPr>
        <w:t>límite</w:t>
      </w:r>
      <w:r w:rsidRPr="00050185">
        <w:rPr>
          <w:i/>
          <w:sz w:val="24"/>
          <w:szCs w:val="24"/>
        </w:rPr>
        <w:t xml:space="preserve"> temporal absoluto</w:t>
      </w:r>
      <w:proofErr w:type="gramStart"/>
      <w:r w:rsidRPr="00050185">
        <w:rPr>
          <w:i/>
          <w:sz w:val="24"/>
          <w:szCs w:val="24"/>
        </w:rPr>
        <w:t>.&gt;</w:t>
      </w:r>
      <w:proofErr w:type="gramEnd"/>
      <w:r w:rsidRPr="00050185">
        <w:rPr>
          <w:i/>
          <w:sz w:val="24"/>
          <w:szCs w:val="24"/>
        </w:rPr>
        <w:t>&gt;</w:t>
      </w:r>
      <w:r w:rsidRPr="00050185">
        <w:rPr>
          <w:rStyle w:val="Refdenotaalpie"/>
          <w:i/>
          <w:sz w:val="24"/>
          <w:szCs w:val="24"/>
        </w:rPr>
        <w:footnoteReference w:id="97"/>
      </w:r>
    </w:p>
    <w:p w:rsidR="004A43FF" w:rsidRDefault="004A43FF"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Destaco la Sentencia del Tribunal Supremo, de 1 de Diciembre de 2005, en la que los acusados no salieron del inmueble porque estaban detenidos por la </w:t>
      </w:r>
      <w:r w:rsidR="00100A16" w:rsidRPr="00050185">
        <w:rPr>
          <w:sz w:val="24"/>
          <w:szCs w:val="24"/>
        </w:rPr>
        <w:t>policía</w:t>
      </w:r>
      <w:r w:rsidRPr="00050185">
        <w:rPr>
          <w:sz w:val="24"/>
          <w:szCs w:val="24"/>
        </w:rPr>
        <w:t xml:space="preserve">, pero dentro de éste tuvieron la disponibilidad de todas las cosas que </w:t>
      </w:r>
      <w:r w:rsidR="00100A16" w:rsidRPr="00050185">
        <w:rPr>
          <w:sz w:val="24"/>
          <w:szCs w:val="24"/>
        </w:rPr>
        <w:t>había</w:t>
      </w:r>
      <w:r w:rsidRPr="00050185">
        <w:rPr>
          <w:sz w:val="24"/>
          <w:szCs w:val="24"/>
        </w:rPr>
        <w:t xml:space="preserve"> dentro del lugar, por lo que se considera como un delito de robo consumado.</w:t>
      </w:r>
      <w:r w:rsidRPr="00050185">
        <w:rPr>
          <w:rStyle w:val="Refdenotaalpie"/>
          <w:sz w:val="24"/>
          <w:szCs w:val="24"/>
        </w:rPr>
        <w:footnoteReference w:id="98"/>
      </w:r>
    </w:p>
    <w:p w:rsidR="004A43FF" w:rsidRDefault="004A43FF" w:rsidP="00050185">
      <w:pPr>
        <w:spacing w:line="360" w:lineRule="auto"/>
        <w:jc w:val="both"/>
        <w:rPr>
          <w:sz w:val="24"/>
          <w:szCs w:val="24"/>
        </w:rPr>
      </w:pPr>
    </w:p>
    <w:p w:rsidR="00050185" w:rsidRPr="00050185" w:rsidRDefault="00050185" w:rsidP="00050185">
      <w:pPr>
        <w:spacing w:line="360" w:lineRule="auto"/>
        <w:jc w:val="both"/>
        <w:rPr>
          <w:sz w:val="24"/>
          <w:szCs w:val="24"/>
        </w:rPr>
      </w:pPr>
      <w:r w:rsidRPr="00050185">
        <w:rPr>
          <w:sz w:val="24"/>
          <w:szCs w:val="24"/>
        </w:rPr>
        <w:t xml:space="preserve">De distinto modo, cuando el autor huye sin llegar a adueñarse del bien, estaríamos ante un delito de robo en grado de </w:t>
      </w:r>
      <w:r w:rsidRPr="00050185">
        <w:rPr>
          <w:i/>
          <w:sz w:val="24"/>
          <w:szCs w:val="24"/>
        </w:rPr>
        <w:t>tentativa inacabada</w:t>
      </w:r>
      <w:r w:rsidRPr="00050185">
        <w:rPr>
          <w:sz w:val="24"/>
          <w:szCs w:val="24"/>
        </w:rPr>
        <w:t xml:space="preserve">, y si además se </w:t>
      </w:r>
      <w:r w:rsidR="00100A16" w:rsidRPr="00050185">
        <w:rPr>
          <w:sz w:val="24"/>
          <w:szCs w:val="24"/>
        </w:rPr>
        <w:t>produce</w:t>
      </w:r>
      <w:r w:rsidRPr="00050185">
        <w:rPr>
          <w:sz w:val="24"/>
          <w:szCs w:val="24"/>
        </w:rPr>
        <w:t xml:space="preserve"> la lesión de la vida, la integridad o la salud, o la seguridad personal junto a esa tentativa, </w:t>
      </w:r>
      <w:r w:rsidR="00100A16" w:rsidRPr="00050185">
        <w:rPr>
          <w:sz w:val="24"/>
          <w:szCs w:val="24"/>
        </w:rPr>
        <w:t>también</w:t>
      </w:r>
      <w:r w:rsidRPr="00050185">
        <w:rPr>
          <w:sz w:val="24"/>
          <w:szCs w:val="24"/>
        </w:rPr>
        <w:t xml:space="preserve"> cabe que se den las reglas de los concursos. Y constituye </w:t>
      </w:r>
      <w:r w:rsidRPr="00050185">
        <w:rPr>
          <w:i/>
          <w:sz w:val="24"/>
          <w:szCs w:val="24"/>
        </w:rPr>
        <w:t>tentativa acabada</w:t>
      </w:r>
      <w:r w:rsidRPr="00050185">
        <w:rPr>
          <w:sz w:val="24"/>
          <w:szCs w:val="24"/>
        </w:rPr>
        <w:t xml:space="preserve"> la situación en la que el autor utiliza la violencia o intimidación y posteriormente huye con el objeto robado, y es detenido sin llegar a conseguir la disponibilidad sobre el mismo.</w:t>
      </w:r>
      <w:r w:rsidRPr="00050185">
        <w:rPr>
          <w:rStyle w:val="Refdenotaalpie"/>
          <w:sz w:val="24"/>
          <w:szCs w:val="24"/>
        </w:rPr>
        <w:footnoteReference w:id="99"/>
      </w:r>
    </w:p>
    <w:p w:rsidR="00050185" w:rsidRDefault="00050185" w:rsidP="00050185">
      <w:pPr>
        <w:spacing w:line="360" w:lineRule="auto"/>
        <w:jc w:val="both"/>
        <w:rPr>
          <w:sz w:val="24"/>
          <w:szCs w:val="24"/>
        </w:rPr>
      </w:pPr>
      <w:r w:rsidRPr="00050185">
        <w:rPr>
          <w:sz w:val="24"/>
          <w:szCs w:val="24"/>
        </w:rPr>
        <w:t>Cabe, por tanto la tentativa, cuando este apoderamiento no se haya consumado, aunque se haya empleado la violencia o intimidación.</w:t>
      </w:r>
    </w:p>
    <w:p w:rsidR="009A4DB8" w:rsidRDefault="009A4DB8" w:rsidP="00050185">
      <w:pPr>
        <w:spacing w:line="360" w:lineRule="auto"/>
        <w:jc w:val="both"/>
        <w:rPr>
          <w:sz w:val="24"/>
          <w:szCs w:val="24"/>
        </w:rPr>
      </w:pPr>
    </w:p>
    <w:p w:rsidR="009A4DB8" w:rsidRPr="00050185" w:rsidRDefault="009A4DB8" w:rsidP="00050185">
      <w:pPr>
        <w:spacing w:line="360" w:lineRule="auto"/>
        <w:jc w:val="both"/>
        <w:rPr>
          <w:sz w:val="24"/>
          <w:szCs w:val="24"/>
        </w:rPr>
      </w:pPr>
      <w:r>
        <w:rPr>
          <w:sz w:val="24"/>
          <w:szCs w:val="24"/>
        </w:rPr>
        <w:lastRenderedPageBreak/>
        <w:t xml:space="preserve">Por lo tanto aunque se emplee la violencia o </w:t>
      </w:r>
      <w:r w:rsidR="006B3A42">
        <w:rPr>
          <w:sz w:val="24"/>
          <w:szCs w:val="24"/>
        </w:rPr>
        <w:t>intimidación</w:t>
      </w:r>
      <w:r>
        <w:rPr>
          <w:sz w:val="24"/>
          <w:szCs w:val="24"/>
        </w:rPr>
        <w:t xml:space="preserve"> lo importante sigue siendo el apoderamiento de la cosa mueble sustraída. No queda consumado si no se dispone totalmente de la cosa.  </w:t>
      </w:r>
    </w:p>
    <w:p w:rsidR="004A43FF" w:rsidRDefault="004A43FF" w:rsidP="00050185">
      <w:pPr>
        <w:spacing w:line="360" w:lineRule="auto"/>
        <w:jc w:val="both"/>
        <w:rPr>
          <w:sz w:val="24"/>
          <w:szCs w:val="24"/>
        </w:rPr>
      </w:pPr>
    </w:p>
    <w:p w:rsidR="00050185" w:rsidRPr="00050185" w:rsidRDefault="00100A16" w:rsidP="00050185">
      <w:pPr>
        <w:spacing w:line="360" w:lineRule="auto"/>
        <w:jc w:val="both"/>
        <w:rPr>
          <w:sz w:val="24"/>
          <w:szCs w:val="24"/>
        </w:rPr>
      </w:pPr>
      <w:r w:rsidRPr="00050185">
        <w:rPr>
          <w:sz w:val="24"/>
          <w:szCs w:val="24"/>
        </w:rPr>
        <w:t>Según</w:t>
      </w:r>
      <w:r w:rsidR="00050185" w:rsidRPr="00050185">
        <w:rPr>
          <w:sz w:val="24"/>
          <w:szCs w:val="24"/>
        </w:rPr>
        <w:t xml:space="preserve"> establece </w:t>
      </w:r>
      <w:r w:rsidR="00050185" w:rsidRPr="00050185">
        <w:rPr>
          <w:b/>
          <w:sz w:val="24"/>
          <w:szCs w:val="24"/>
        </w:rPr>
        <w:t>Muñoz Conde</w:t>
      </w:r>
      <w:r w:rsidR="00050185" w:rsidRPr="00050185">
        <w:rPr>
          <w:sz w:val="24"/>
          <w:szCs w:val="24"/>
        </w:rPr>
        <w:t>: &lt;&lt;</w:t>
      </w:r>
      <w:r w:rsidR="00050185" w:rsidRPr="00050185">
        <w:rPr>
          <w:i/>
          <w:sz w:val="24"/>
          <w:szCs w:val="24"/>
        </w:rPr>
        <w:t>Cabe la tentativa cuando el apoderamiento patrimonial no se ha consumado, aunque se haya empleado la violencia o intimidación y ésta haya dado lugar a un homicidio o a un delito de lesiones, que entrarán en concurso con el robo en grado de tentativa. La consumación del robo con violencia o intimidación requiere, pues, igual que en el hurto o robo con fuerza en las cosas, el apoderamiento de la cosa mueble ajena y su disponibilidad</w:t>
      </w:r>
      <w:proofErr w:type="gramStart"/>
      <w:r w:rsidR="00050185" w:rsidRPr="00050185">
        <w:rPr>
          <w:sz w:val="24"/>
          <w:szCs w:val="24"/>
        </w:rPr>
        <w:t>.&gt;</w:t>
      </w:r>
      <w:proofErr w:type="gramEnd"/>
      <w:r w:rsidR="00050185" w:rsidRPr="00050185">
        <w:rPr>
          <w:sz w:val="24"/>
          <w:szCs w:val="24"/>
        </w:rPr>
        <w:t>&gt;</w:t>
      </w:r>
      <w:r w:rsidR="00050185" w:rsidRPr="00050185">
        <w:rPr>
          <w:rStyle w:val="Refdenotaalpie"/>
          <w:sz w:val="24"/>
          <w:szCs w:val="24"/>
        </w:rPr>
        <w:footnoteReference w:id="100"/>
      </w:r>
    </w:p>
    <w:p w:rsidR="007C4B59" w:rsidRDefault="007C4B59" w:rsidP="00050185">
      <w:pPr>
        <w:spacing w:line="360" w:lineRule="auto"/>
        <w:jc w:val="both"/>
        <w:rPr>
          <w:sz w:val="24"/>
          <w:szCs w:val="24"/>
        </w:rPr>
      </w:pPr>
    </w:p>
    <w:p w:rsidR="00664D2C" w:rsidRDefault="00664D2C" w:rsidP="00050185">
      <w:pPr>
        <w:spacing w:line="360" w:lineRule="auto"/>
        <w:jc w:val="both"/>
        <w:rPr>
          <w:b/>
          <w:sz w:val="24"/>
          <w:szCs w:val="24"/>
          <w:u w:val="single"/>
        </w:rPr>
      </w:pPr>
    </w:p>
    <w:p w:rsidR="00050185" w:rsidRPr="004608E0" w:rsidRDefault="00DE5325" w:rsidP="00050185">
      <w:pPr>
        <w:spacing w:line="360" w:lineRule="auto"/>
        <w:jc w:val="both"/>
        <w:rPr>
          <w:b/>
          <w:sz w:val="24"/>
          <w:szCs w:val="24"/>
          <w:u w:val="single"/>
        </w:rPr>
      </w:pPr>
      <w:r w:rsidRPr="004608E0">
        <w:rPr>
          <w:b/>
          <w:sz w:val="24"/>
          <w:szCs w:val="24"/>
          <w:u w:val="single"/>
        </w:rPr>
        <w:t>4. CONCLUSIONES</w:t>
      </w:r>
      <w:r w:rsidR="00050185" w:rsidRPr="004608E0">
        <w:rPr>
          <w:b/>
          <w:sz w:val="24"/>
          <w:szCs w:val="24"/>
          <w:u w:val="single"/>
        </w:rPr>
        <w:t xml:space="preserve"> FINALES.</w:t>
      </w:r>
    </w:p>
    <w:p w:rsidR="00557EB2" w:rsidRDefault="00557EB2" w:rsidP="00050185">
      <w:pPr>
        <w:spacing w:line="360" w:lineRule="auto"/>
        <w:jc w:val="both"/>
        <w:rPr>
          <w:sz w:val="24"/>
          <w:szCs w:val="24"/>
        </w:rPr>
      </w:pPr>
      <w:r>
        <w:rPr>
          <w:sz w:val="24"/>
          <w:szCs w:val="24"/>
        </w:rPr>
        <w:t>En este trabajo hablo sobre los delitos de hurto y robo, que se clasifican dentro de los delitos patrimoniales.</w:t>
      </w:r>
    </w:p>
    <w:p w:rsidR="000B2604" w:rsidRDefault="000B2604" w:rsidP="00050185">
      <w:pPr>
        <w:spacing w:line="360" w:lineRule="auto"/>
        <w:jc w:val="both"/>
        <w:rPr>
          <w:sz w:val="24"/>
          <w:szCs w:val="24"/>
        </w:rPr>
      </w:pPr>
    </w:p>
    <w:p w:rsidR="00557EB2" w:rsidRDefault="00557EB2" w:rsidP="00050185">
      <w:pPr>
        <w:spacing w:line="360" w:lineRule="auto"/>
        <w:jc w:val="both"/>
        <w:rPr>
          <w:sz w:val="24"/>
          <w:szCs w:val="24"/>
        </w:rPr>
      </w:pPr>
      <w:r>
        <w:rPr>
          <w:sz w:val="24"/>
          <w:szCs w:val="24"/>
        </w:rPr>
        <w:t xml:space="preserve">Dentro de la consumación de estos delitos vamos a diferenciar </w:t>
      </w:r>
      <w:r w:rsidR="00E84328">
        <w:rPr>
          <w:sz w:val="24"/>
          <w:szCs w:val="24"/>
        </w:rPr>
        <w:t>varias</w:t>
      </w:r>
      <w:r>
        <w:rPr>
          <w:sz w:val="24"/>
          <w:szCs w:val="24"/>
        </w:rPr>
        <w:t xml:space="preserve"> teorías</w:t>
      </w:r>
      <w:r w:rsidR="00511B0D">
        <w:rPr>
          <w:sz w:val="24"/>
          <w:szCs w:val="24"/>
        </w:rPr>
        <w:t xml:space="preserve">, como son: teoría de la </w:t>
      </w:r>
      <w:proofErr w:type="spellStart"/>
      <w:r w:rsidR="00511B0D">
        <w:rPr>
          <w:sz w:val="24"/>
          <w:szCs w:val="24"/>
        </w:rPr>
        <w:t>illactio</w:t>
      </w:r>
      <w:proofErr w:type="spellEnd"/>
      <w:r w:rsidR="00511B0D">
        <w:rPr>
          <w:sz w:val="24"/>
          <w:szCs w:val="24"/>
        </w:rPr>
        <w:t xml:space="preserve">, </w:t>
      </w:r>
      <w:proofErr w:type="spellStart"/>
      <w:r w:rsidR="00511B0D">
        <w:rPr>
          <w:sz w:val="24"/>
          <w:szCs w:val="24"/>
        </w:rPr>
        <w:t>locupletatio</w:t>
      </w:r>
      <w:proofErr w:type="spellEnd"/>
      <w:r w:rsidR="00511B0D">
        <w:rPr>
          <w:sz w:val="24"/>
          <w:szCs w:val="24"/>
        </w:rPr>
        <w:t xml:space="preserve">, mera </w:t>
      </w:r>
      <w:proofErr w:type="spellStart"/>
      <w:r w:rsidR="00511B0D">
        <w:rPr>
          <w:sz w:val="24"/>
          <w:szCs w:val="24"/>
        </w:rPr>
        <w:t>contrectatio</w:t>
      </w:r>
      <w:proofErr w:type="spellEnd"/>
      <w:r w:rsidR="00511B0D">
        <w:rPr>
          <w:sz w:val="24"/>
          <w:szCs w:val="24"/>
        </w:rPr>
        <w:t xml:space="preserve">, </w:t>
      </w:r>
      <w:proofErr w:type="spellStart"/>
      <w:r w:rsidR="00511B0D">
        <w:rPr>
          <w:sz w:val="24"/>
          <w:szCs w:val="24"/>
        </w:rPr>
        <w:t>ablatio</w:t>
      </w:r>
      <w:proofErr w:type="spellEnd"/>
      <w:r w:rsidR="00511B0D">
        <w:rPr>
          <w:sz w:val="24"/>
          <w:szCs w:val="24"/>
        </w:rPr>
        <w:t xml:space="preserve"> y la teoría de la disponibilidad. Ésta última es la más usada por nuestra </w:t>
      </w:r>
      <w:r w:rsidR="00F520FB">
        <w:rPr>
          <w:sz w:val="24"/>
          <w:szCs w:val="24"/>
        </w:rPr>
        <w:t xml:space="preserve">jurisprudencia. </w:t>
      </w:r>
    </w:p>
    <w:p w:rsidR="00F520FB" w:rsidRDefault="00F520FB" w:rsidP="00050185">
      <w:pPr>
        <w:spacing w:line="360" w:lineRule="auto"/>
        <w:jc w:val="both"/>
        <w:rPr>
          <w:sz w:val="24"/>
          <w:szCs w:val="24"/>
        </w:rPr>
      </w:pPr>
      <w:r>
        <w:rPr>
          <w:sz w:val="24"/>
          <w:szCs w:val="24"/>
        </w:rPr>
        <w:t>Lo que viene a explicar esta teoría es que el delito se consuma cuando el sujeto llegar a disponer de la cosa sustraída, aunque sea de forma breve.</w:t>
      </w:r>
    </w:p>
    <w:p w:rsidR="00F520FB" w:rsidRDefault="00F520FB" w:rsidP="00050185">
      <w:pPr>
        <w:spacing w:line="360" w:lineRule="auto"/>
        <w:jc w:val="both"/>
        <w:rPr>
          <w:sz w:val="24"/>
          <w:szCs w:val="24"/>
        </w:rPr>
      </w:pPr>
      <w:r>
        <w:rPr>
          <w:sz w:val="24"/>
          <w:szCs w:val="24"/>
        </w:rPr>
        <w:t xml:space="preserve">Además varios autores apoyan esta teoría, </w:t>
      </w:r>
      <w:r w:rsidR="00E84328">
        <w:rPr>
          <w:sz w:val="24"/>
          <w:szCs w:val="24"/>
        </w:rPr>
        <w:t>considerándola la más adecuada.</w:t>
      </w:r>
    </w:p>
    <w:p w:rsidR="00E84328" w:rsidRDefault="00E84328" w:rsidP="00050185">
      <w:pPr>
        <w:spacing w:line="360" w:lineRule="auto"/>
        <w:jc w:val="both"/>
        <w:rPr>
          <w:sz w:val="24"/>
          <w:szCs w:val="24"/>
        </w:rPr>
      </w:pPr>
    </w:p>
    <w:p w:rsidR="00E84328" w:rsidRDefault="00EA3D63" w:rsidP="00050185">
      <w:pPr>
        <w:spacing w:line="360" w:lineRule="auto"/>
        <w:jc w:val="both"/>
        <w:rPr>
          <w:sz w:val="24"/>
          <w:szCs w:val="24"/>
        </w:rPr>
      </w:pPr>
      <w:r>
        <w:rPr>
          <w:sz w:val="24"/>
          <w:szCs w:val="24"/>
        </w:rPr>
        <w:t>Pero, como ya hemos visto a lo largo de todo el trabajo, la consumación no solo consiste en sustraer las cosas a su dueño, sino también a quien la tuviera legítimamente en su poder en el momento de producirse la conducta típica.</w:t>
      </w:r>
    </w:p>
    <w:p w:rsidR="00F520FB" w:rsidRDefault="00EA3D63" w:rsidP="00050185">
      <w:pPr>
        <w:spacing w:line="360" w:lineRule="auto"/>
        <w:jc w:val="both"/>
        <w:rPr>
          <w:sz w:val="24"/>
          <w:szCs w:val="24"/>
        </w:rPr>
      </w:pPr>
      <w:r>
        <w:rPr>
          <w:sz w:val="24"/>
          <w:szCs w:val="24"/>
        </w:rPr>
        <w:t xml:space="preserve"> </w:t>
      </w:r>
    </w:p>
    <w:p w:rsidR="00EA3D63" w:rsidRDefault="00EA3D63" w:rsidP="00050185">
      <w:pPr>
        <w:spacing w:line="360" w:lineRule="auto"/>
        <w:jc w:val="both"/>
        <w:rPr>
          <w:sz w:val="24"/>
          <w:szCs w:val="24"/>
        </w:rPr>
      </w:pPr>
      <w:r>
        <w:rPr>
          <w:sz w:val="24"/>
          <w:szCs w:val="24"/>
        </w:rPr>
        <w:t xml:space="preserve">Sin embargo, dentro de los delitos de hurto y robo también cabe destacar la tentativa como forma imperfecta de ejecución. </w:t>
      </w:r>
    </w:p>
    <w:p w:rsidR="00EA3D63" w:rsidRDefault="00EA3D63" w:rsidP="00050185">
      <w:pPr>
        <w:spacing w:line="360" w:lineRule="auto"/>
        <w:jc w:val="both"/>
        <w:rPr>
          <w:sz w:val="24"/>
          <w:szCs w:val="24"/>
        </w:rPr>
      </w:pPr>
      <w:r>
        <w:rPr>
          <w:sz w:val="24"/>
          <w:szCs w:val="24"/>
        </w:rPr>
        <w:t>Se produce cuando el sujeto no llega a cometer el delito por causas ajenas a su voluntad, o bien porque no ha llegado a realizar todas las conductas</w:t>
      </w:r>
      <w:r w:rsidR="007807BE">
        <w:rPr>
          <w:sz w:val="24"/>
          <w:szCs w:val="24"/>
        </w:rPr>
        <w:t xml:space="preserve"> y por lo tanto no se produce el </w:t>
      </w:r>
      <w:r w:rsidR="007807BE">
        <w:rPr>
          <w:sz w:val="24"/>
          <w:szCs w:val="24"/>
        </w:rPr>
        <w:lastRenderedPageBreak/>
        <w:t>resultado</w:t>
      </w:r>
      <w:r>
        <w:rPr>
          <w:sz w:val="24"/>
          <w:szCs w:val="24"/>
        </w:rPr>
        <w:t xml:space="preserve"> </w:t>
      </w:r>
      <w:r w:rsidR="007807BE">
        <w:rPr>
          <w:sz w:val="24"/>
          <w:szCs w:val="24"/>
        </w:rPr>
        <w:t>(tentativa inacabada), o cuando el autor realiza todos los actos necesarios para cometer el delito, pero el resultado no se produce por causas ajenas a éste (tentativa acabada)</w:t>
      </w:r>
      <w:r w:rsidR="00E84328">
        <w:rPr>
          <w:sz w:val="24"/>
          <w:szCs w:val="24"/>
        </w:rPr>
        <w:t>.</w:t>
      </w:r>
    </w:p>
    <w:p w:rsidR="00E84328" w:rsidRDefault="00E84328" w:rsidP="00050185">
      <w:pPr>
        <w:spacing w:line="360" w:lineRule="auto"/>
        <w:jc w:val="both"/>
        <w:rPr>
          <w:sz w:val="24"/>
          <w:szCs w:val="24"/>
        </w:rPr>
      </w:pPr>
    </w:p>
    <w:p w:rsidR="007807BE" w:rsidRDefault="007807BE" w:rsidP="00050185">
      <w:pPr>
        <w:spacing w:line="360" w:lineRule="auto"/>
        <w:jc w:val="both"/>
        <w:rPr>
          <w:sz w:val="24"/>
          <w:szCs w:val="24"/>
        </w:rPr>
      </w:pPr>
      <w:r>
        <w:rPr>
          <w:sz w:val="24"/>
          <w:szCs w:val="24"/>
        </w:rPr>
        <w:t>En cualquier caso debemos de ver si estamos ante una tentativa, o por el contrario estamos ante un delito consumado, esto a veces resulta difícil sobre todo en ciertos supuestos tipificados dentro de la tentativa, como:</w:t>
      </w:r>
    </w:p>
    <w:p w:rsidR="007807BE" w:rsidRPr="00E229CC" w:rsidRDefault="007807BE" w:rsidP="007807BE">
      <w:pPr>
        <w:pStyle w:val="Prrafodelista"/>
        <w:numPr>
          <w:ilvl w:val="0"/>
          <w:numId w:val="39"/>
        </w:numPr>
        <w:spacing w:line="360" w:lineRule="auto"/>
        <w:jc w:val="both"/>
        <w:rPr>
          <w:rFonts w:ascii="Times New Roman" w:hAnsi="Times New Roman" w:cs="Times New Roman"/>
          <w:sz w:val="24"/>
          <w:szCs w:val="24"/>
        </w:rPr>
      </w:pPr>
      <w:r w:rsidRPr="00E229CC">
        <w:rPr>
          <w:rFonts w:ascii="Times New Roman" w:hAnsi="Times New Roman" w:cs="Times New Roman"/>
          <w:sz w:val="24"/>
          <w:szCs w:val="24"/>
        </w:rPr>
        <w:t xml:space="preserve">Supuesto de fuga. </w:t>
      </w:r>
    </w:p>
    <w:p w:rsidR="007807BE" w:rsidRPr="00E229CC" w:rsidRDefault="007807BE" w:rsidP="007807BE">
      <w:pPr>
        <w:pStyle w:val="Prrafodelista"/>
        <w:numPr>
          <w:ilvl w:val="0"/>
          <w:numId w:val="39"/>
        </w:numPr>
        <w:spacing w:line="360" w:lineRule="auto"/>
        <w:jc w:val="both"/>
        <w:rPr>
          <w:rFonts w:ascii="Times New Roman" w:hAnsi="Times New Roman" w:cs="Times New Roman"/>
          <w:sz w:val="24"/>
          <w:szCs w:val="24"/>
        </w:rPr>
      </w:pPr>
      <w:r w:rsidRPr="00E229CC">
        <w:rPr>
          <w:rFonts w:ascii="Times New Roman" w:hAnsi="Times New Roman" w:cs="Times New Roman"/>
          <w:sz w:val="24"/>
          <w:szCs w:val="24"/>
        </w:rPr>
        <w:t>Sujeto pillado “in fraganti”.</w:t>
      </w:r>
    </w:p>
    <w:p w:rsidR="007807BE" w:rsidRPr="00E229CC" w:rsidRDefault="007807BE" w:rsidP="007807BE">
      <w:pPr>
        <w:pStyle w:val="Prrafodelista"/>
        <w:numPr>
          <w:ilvl w:val="0"/>
          <w:numId w:val="39"/>
        </w:numPr>
        <w:spacing w:line="360" w:lineRule="auto"/>
        <w:jc w:val="both"/>
        <w:rPr>
          <w:rFonts w:ascii="Times New Roman" w:hAnsi="Times New Roman" w:cs="Times New Roman"/>
          <w:sz w:val="24"/>
          <w:szCs w:val="24"/>
        </w:rPr>
      </w:pPr>
      <w:r w:rsidRPr="00E229CC">
        <w:rPr>
          <w:rFonts w:ascii="Times New Roman" w:hAnsi="Times New Roman" w:cs="Times New Roman"/>
          <w:sz w:val="24"/>
          <w:szCs w:val="24"/>
        </w:rPr>
        <w:t xml:space="preserve">Ocultación de un objeto. </w:t>
      </w:r>
    </w:p>
    <w:p w:rsidR="007807BE" w:rsidRPr="00E229CC" w:rsidRDefault="007807BE" w:rsidP="007807BE">
      <w:pPr>
        <w:pStyle w:val="Prrafodelista"/>
        <w:numPr>
          <w:ilvl w:val="0"/>
          <w:numId w:val="39"/>
        </w:numPr>
        <w:spacing w:line="360" w:lineRule="auto"/>
        <w:jc w:val="both"/>
        <w:rPr>
          <w:rFonts w:ascii="Times New Roman" w:hAnsi="Times New Roman" w:cs="Times New Roman"/>
          <w:sz w:val="24"/>
          <w:szCs w:val="24"/>
        </w:rPr>
      </w:pPr>
      <w:r w:rsidRPr="00E229CC">
        <w:rPr>
          <w:rFonts w:ascii="Times New Roman" w:hAnsi="Times New Roman" w:cs="Times New Roman"/>
          <w:sz w:val="24"/>
          <w:szCs w:val="24"/>
        </w:rPr>
        <w:t>Desistimiento voluntario.</w:t>
      </w:r>
    </w:p>
    <w:p w:rsidR="003208C2" w:rsidRDefault="007807BE" w:rsidP="007807BE">
      <w:pPr>
        <w:spacing w:line="360" w:lineRule="auto"/>
        <w:jc w:val="both"/>
        <w:rPr>
          <w:sz w:val="24"/>
          <w:szCs w:val="24"/>
        </w:rPr>
      </w:pPr>
      <w:r>
        <w:rPr>
          <w:sz w:val="24"/>
          <w:szCs w:val="24"/>
        </w:rPr>
        <w:t xml:space="preserve">Por otro lado, dentro del delito de robo nos encontramos con dos tipos: Robo con fuerza en las cosas y Robo con violencia e intimidación en las personas. </w:t>
      </w:r>
    </w:p>
    <w:p w:rsidR="00E84328" w:rsidRDefault="00E84328" w:rsidP="007807BE">
      <w:pPr>
        <w:spacing w:line="360" w:lineRule="auto"/>
        <w:jc w:val="both"/>
        <w:rPr>
          <w:sz w:val="24"/>
          <w:szCs w:val="24"/>
        </w:rPr>
      </w:pPr>
    </w:p>
    <w:p w:rsidR="00381236" w:rsidRDefault="00381236" w:rsidP="007807BE">
      <w:pPr>
        <w:spacing w:line="360" w:lineRule="auto"/>
        <w:jc w:val="both"/>
        <w:rPr>
          <w:sz w:val="24"/>
          <w:szCs w:val="24"/>
        </w:rPr>
      </w:pPr>
      <w:r>
        <w:rPr>
          <w:sz w:val="24"/>
          <w:szCs w:val="24"/>
        </w:rPr>
        <w:t>También</w:t>
      </w:r>
      <w:r w:rsidR="003208C2">
        <w:rPr>
          <w:sz w:val="24"/>
          <w:szCs w:val="24"/>
        </w:rPr>
        <w:t xml:space="preserve"> se pueden dar las reglas de los co</w:t>
      </w:r>
      <w:r>
        <w:rPr>
          <w:sz w:val="24"/>
          <w:szCs w:val="24"/>
        </w:rPr>
        <w:t>ncursos si al cometer estos delitos se producen lesiones a la vida, a la integridad física, etc.</w:t>
      </w:r>
    </w:p>
    <w:p w:rsidR="00E84328" w:rsidRDefault="00E84328" w:rsidP="007807BE">
      <w:pPr>
        <w:spacing w:line="360" w:lineRule="auto"/>
        <w:jc w:val="both"/>
        <w:rPr>
          <w:sz w:val="24"/>
          <w:szCs w:val="24"/>
        </w:rPr>
      </w:pPr>
    </w:p>
    <w:p w:rsidR="00381236" w:rsidRDefault="00381236" w:rsidP="007807BE">
      <w:pPr>
        <w:spacing w:line="360" w:lineRule="auto"/>
        <w:jc w:val="both"/>
        <w:rPr>
          <w:sz w:val="24"/>
          <w:szCs w:val="24"/>
        </w:rPr>
      </w:pPr>
      <w:r>
        <w:rPr>
          <w:sz w:val="24"/>
          <w:szCs w:val="24"/>
        </w:rPr>
        <w:t>Aunque en los delitos de robo hay una especialidad con respecto a la tentativa, y es que el delito quedaría en grado de tentativa y no consumado si el resultado no llega a producirse, aunque se haya empleado la violencia e intimidación.</w:t>
      </w:r>
    </w:p>
    <w:p w:rsidR="00381236" w:rsidRDefault="00AC22AE" w:rsidP="007807BE">
      <w:pPr>
        <w:spacing w:line="360" w:lineRule="auto"/>
        <w:jc w:val="both"/>
        <w:rPr>
          <w:sz w:val="24"/>
          <w:szCs w:val="24"/>
        </w:rPr>
      </w:pPr>
      <w:r>
        <w:rPr>
          <w:sz w:val="24"/>
          <w:szCs w:val="24"/>
        </w:rPr>
        <w:t xml:space="preserve">Por lo tanto, al igual que en el delito de hurto, en ambos tipos de robo  la consumación se origina cuando </w:t>
      </w:r>
      <w:r w:rsidR="00381236">
        <w:rPr>
          <w:sz w:val="24"/>
          <w:szCs w:val="24"/>
        </w:rPr>
        <w:t xml:space="preserve"> </w:t>
      </w:r>
      <w:r>
        <w:rPr>
          <w:sz w:val="24"/>
          <w:szCs w:val="24"/>
        </w:rPr>
        <w:t xml:space="preserve">se llegue a producir la disponibilidad de la cosa, si no se da este requisito quedaría como un delito en grado de tentativa. </w:t>
      </w:r>
    </w:p>
    <w:p w:rsidR="00E84328" w:rsidRDefault="00AC22AE" w:rsidP="007807BE">
      <w:pPr>
        <w:spacing w:line="360" w:lineRule="auto"/>
        <w:jc w:val="both"/>
        <w:rPr>
          <w:sz w:val="24"/>
          <w:szCs w:val="24"/>
        </w:rPr>
      </w:pPr>
      <w:r>
        <w:rPr>
          <w:sz w:val="24"/>
          <w:szCs w:val="24"/>
        </w:rPr>
        <w:t>El delito en grado de tentativa se castiga con  la pena inferior en uno o dos grados, según si estamos ante una tentativa acabada o inacabada.</w:t>
      </w:r>
    </w:p>
    <w:p w:rsidR="00AC22AE" w:rsidRDefault="00AC22AE" w:rsidP="007807BE">
      <w:pPr>
        <w:spacing w:line="360" w:lineRule="auto"/>
        <w:jc w:val="both"/>
        <w:rPr>
          <w:sz w:val="24"/>
          <w:szCs w:val="24"/>
        </w:rPr>
      </w:pPr>
      <w:r>
        <w:rPr>
          <w:sz w:val="24"/>
          <w:szCs w:val="24"/>
        </w:rPr>
        <w:t xml:space="preserve"> </w:t>
      </w:r>
    </w:p>
    <w:p w:rsidR="00AC22AE" w:rsidRDefault="00AC22AE" w:rsidP="007807BE">
      <w:pPr>
        <w:spacing w:line="360" w:lineRule="auto"/>
        <w:jc w:val="both"/>
        <w:rPr>
          <w:sz w:val="24"/>
          <w:szCs w:val="24"/>
        </w:rPr>
      </w:pPr>
      <w:r>
        <w:rPr>
          <w:sz w:val="24"/>
          <w:szCs w:val="24"/>
        </w:rPr>
        <w:t>Para que se pueda afirmar que el delito se ha consumado basta solo con esta disponibilidad, no se requiere que el autor se haya lucrado con la cosa hurtada, o haya obtenido algún beneficio</w:t>
      </w:r>
      <w:r w:rsidR="00E84328">
        <w:rPr>
          <w:sz w:val="24"/>
          <w:szCs w:val="24"/>
        </w:rPr>
        <w:t>.</w:t>
      </w:r>
    </w:p>
    <w:p w:rsidR="00E84328" w:rsidRDefault="00E84328" w:rsidP="007807BE">
      <w:pPr>
        <w:spacing w:line="360" w:lineRule="auto"/>
        <w:jc w:val="both"/>
        <w:rPr>
          <w:sz w:val="24"/>
          <w:szCs w:val="24"/>
        </w:rPr>
      </w:pPr>
    </w:p>
    <w:p w:rsidR="004608E0" w:rsidRDefault="009A607B" w:rsidP="00050185">
      <w:pPr>
        <w:spacing w:line="360" w:lineRule="auto"/>
        <w:jc w:val="both"/>
        <w:rPr>
          <w:sz w:val="24"/>
          <w:szCs w:val="24"/>
        </w:rPr>
      </w:pPr>
      <w:r>
        <w:rPr>
          <w:sz w:val="24"/>
          <w:szCs w:val="24"/>
        </w:rPr>
        <w:t>A modo de conclusión como podemos observar el robo es un delito más grave que el hurto, ya que concurre fuerza en las cosas o violencia e intimidación en las personas, por lo que las penas son más elevadas.</w:t>
      </w:r>
      <w:r w:rsidR="00DE5325">
        <w:rPr>
          <w:sz w:val="24"/>
          <w:szCs w:val="24"/>
        </w:rPr>
        <w:t xml:space="preserve"> Además debemos prestar especial atención a los </w:t>
      </w:r>
      <w:r w:rsidR="00DE5325">
        <w:rPr>
          <w:sz w:val="24"/>
          <w:szCs w:val="24"/>
        </w:rPr>
        <w:lastRenderedPageBreak/>
        <w:t>tipos agravados en estos dos tipos de modalidades, ya que según las circunstancias aplicaremos mayor o menor pena.</w:t>
      </w:r>
    </w:p>
    <w:p w:rsidR="009A607B" w:rsidRDefault="009A607B" w:rsidP="00050185">
      <w:pPr>
        <w:spacing w:line="360" w:lineRule="auto"/>
        <w:jc w:val="both"/>
        <w:rPr>
          <w:sz w:val="24"/>
          <w:szCs w:val="24"/>
        </w:rPr>
      </w:pPr>
    </w:p>
    <w:p w:rsidR="004A43FF" w:rsidRPr="004608E0" w:rsidRDefault="00E84328" w:rsidP="00050185">
      <w:pPr>
        <w:spacing w:line="360" w:lineRule="auto"/>
        <w:jc w:val="both"/>
        <w:rPr>
          <w:b/>
          <w:sz w:val="24"/>
          <w:szCs w:val="24"/>
          <w:u w:val="single"/>
        </w:rPr>
      </w:pPr>
      <w:r w:rsidRPr="004608E0">
        <w:rPr>
          <w:b/>
          <w:sz w:val="24"/>
          <w:szCs w:val="24"/>
          <w:u w:val="single"/>
        </w:rPr>
        <w:t>5. JURISPRUDENCIA</w:t>
      </w:r>
      <w:r w:rsidR="00050185" w:rsidRPr="004608E0">
        <w:rPr>
          <w:b/>
          <w:sz w:val="24"/>
          <w:szCs w:val="24"/>
          <w:u w:val="single"/>
        </w:rPr>
        <w:t xml:space="preserve"> CITADA.</w:t>
      </w:r>
    </w:p>
    <w:p w:rsidR="004A43FF" w:rsidRPr="004608E0" w:rsidRDefault="00050185" w:rsidP="00050185">
      <w:pPr>
        <w:spacing w:line="360" w:lineRule="auto"/>
        <w:jc w:val="both"/>
        <w:rPr>
          <w:b/>
          <w:sz w:val="24"/>
          <w:szCs w:val="24"/>
          <w:u w:val="single"/>
        </w:rPr>
      </w:pPr>
      <w:r w:rsidRPr="004608E0">
        <w:rPr>
          <w:b/>
          <w:sz w:val="24"/>
          <w:szCs w:val="24"/>
          <w:u w:val="single"/>
        </w:rPr>
        <w:t>5.1 JURISPRUDENCIA DEL TRIBUNAL SUPREMO.</w:t>
      </w:r>
    </w:p>
    <w:p w:rsidR="004A43FF" w:rsidRPr="0062434B" w:rsidRDefault="00050185" w:rsidP="004A43FF">
      <w:pPr>
        <w:pStyle w:val="Prrafodelista"/>
        <w:numPr>
          <w:ilvl w:val="0"/>
          <w:numId w:val="34"/>
        </w:numPr>
        <w:spacing w:line="360" w:lineRule="auto"/>
        <w:jc w:val="both"/>
        <w:rPr>
          <w:rFonts w:ascii="Times New Roman" w:hAnsi="Times New Roman" w:cs="Times New Roman"/>
          <w:sz w:val="24"/>
          <w:szCs w:val="24"/>
        </w:rPr>
      </w:pPr>
      <w:r w:rsidRPr="0062434B">
        <w:rPr>
          <w:rFonts w:ascii="Times New Roman" w:hAnsi="Times New Roman" w:cs="Times New Roman"/>
          <w:sz w:val="24"/>
          <w:szCs w:val="24"/>
        </w:rPr>
        <w:t>TS. Sentencia número 1072/2000 de 13 de Junio.</w:t>
      </w:r>
    </w:p>
    <w:p w:rsidR="00E229CC" w:rsidRPr="0062434B" w:rsidRDefault="00E229CC" w:rsidP="0062434B">
      <w:pPr>
        <w:pStyle w:val="Prrafodelista"/>
        <w:numPr>
          <w:ilvl w:val="0"/>
          <w:numId w:val="34"/>
        </w:numPr>
        <w:rPr>
          <w:rFonts w:ascii="Times New Roman" w:hAnsi="Times New Roman" w:cs="Times New Roman"/>
          <w:sz w:val="24"/>
          <w:szCs w:val="24"/>
        </w:rPr>
      </w:pPr>
      <w:r w:rsidRPr="0062434B">
        <w:rPr>
          <w:rFonts w:ascii="Times New Roman" w:hAnsi="Times New Roman" w:cs="Times New Roman"/>
          <w:sz w:val="24"/>
          <w:szCs w:val="24"/>
        </w:rPr>
        <w:t>TS. Sentencia número 1419/2002 de 29 de Julio.</w:t>
      </w:r>
    </w:p>
    <w:p w:rsidR="00E229CC" w:rsidRPr="0062434B" w:rsidRDefault="00E229CC" w:rsidP="00E229CC">
      <w:pPr>
        <w:pStyle w:val="Prrafodelista"/>
        <w:numPr>
          <w:ilvl w:val="0"/>
          <w:numId w:val="34"/>
        </w:numPr>
        <w:spacing w:line="360" w:lineRule="auto"/>
        <w:jc w:val="both"/>
        <w:rPr>
          <w:rFonts w:ascii="Times New Roman" w:hAnsi="Times New Roman" w:cs="Times New Roman"/>
          <w:bCs/>
          <w:sz w:val="24"/>
          <w:szCs w:val="24"/>
        </w:rPr>
      </w:pPr>
      <w:r w:rsidRPr="0062434B">
        <w:rPr>
          <w:rFonts w:ascii="Times New Roman" w:hAnsi="Times New Roman" w:cs="Times New Roman"/>
          <w:bCs/>
          <w:sz w:val="24"/>
          <w:szCs w:val="24"/>
        </w:rPr>
        <w:t>TS. Sentencia número 1465/2006 de 21 de Junio.</w:t>
      </w:r>
    </w:p>
    <w:p w:rsidR="00E229CC" w:rsidRPr="0062434B" w:rsidRDefault="00E229CC" w:rsidP="00E229CC">
      <w:pPr>
        <w:pStyle w:val="Prrafodelista"/>
        <w:numPr>
          <w:ilvl w:val="0"/>
          <w:numId w:val="34"/>
        </w:numPr>
        <w:spacing w:line="360" w:lineRule="auto"/>
        <w:jc w:val="both"/>
        <w:rPr>
          <w:rFonts w:ascii="Times New Roman" w:hAnsi="Times New Roman" w:cs="Times New Roman"/>
          <w:bCs/>
          <w:sz w:val="24"/>
          <w:szCs w:val="24"/>
        </w:rPr>
      </w:pPr>
      <w:r w:rsidRPr="0062434B">
        <w:rPr>
          <w:rFonts w:ascii="Times New Roman" w:hAnsi="Times New Roman" w:cs="Times New Roman"/>
          <w:bCs/>
          <w:sz w:val="24"/>
          <w:szCs w:val="24"/>
        </w:rPr>
        <w:t xml:space="preserve">TS. Sentencia número 1024/2011 de 11 octubre. </w:t>
      </w:r>
    </w:p>
    <w:p w:rsidR="00E229CC" w:rsidRPr="0062434B" w:rsidRDefault="00E229CC" w:rsidP="00E229CC">
      <w:pPr>
        <w:pStyle w:val="Prrafodelista"/>
        <w:numPr>
          <w:ilvl w:val="0"/>
          <w:numId w:val="34"/>
        </w:numPr>
        <w:spacing w:line="360" w:lineRule="auto"/>
        <w:jc w:val="both"/>
        <w:rPr>
          <w:rFonts w:ascii="Times New Roman" w:hAnsi="Times New Roman" w:cs="Times New Roman"/>
          <w:bCs/>
          <w:sz w:val="24"/>
          <w:szCs w:val="24"/>
        </w:rPr>
      </w:pPr>
      <w:r w:rsidRPr="0062434B">
        <w:rPr>
          <w:rFonts w:ascii="Times New Roman" w:hAnsi="Times New Roman" w:cs="Times New Roman"/>
          <w:bCs/>
          <w:sz w:val="24"/>
          <w:szCs w:val="24"/>
        </w:rPr>
        <w:t>TS. Sentencia número 1352/2011 de 12 diciembre.</w:t>
      </w:r>
    </w:p>
    <w:p w:rsidR="004A43FF" w:rsidRPr="0062434B" w:rsidRDefault="00050185" w:rsidP="0062434B">
      <w:pPr>
        <w:pStyle w:val="Prrafodelista"/>
        <w:numPr>
          <w:ilvl w:val="0"/>
          <w:numId w:val="34"/>
        </w:numPr>
        <w:spacing w:line="360" w:lineRule="auto"/>
        <w:jc w:val="both"/>
        <w:rPr>
          <w:rFonts w:ascii="Times New Roman" w:hAnsi="Times New Roman" w:cs="Times New Roman"/>
          <w:sz w:val="24"/>
          <w:szCs w:val="24"/>
        </w:rPr>
      </w:pPr>
      <w:r w:rsidRPr="0062434B">
        <w:rPr>
          <w:rFonts w:ascii="Times New Roman" w:hAnsi="Times New Roman" w:cs="Times New Roman"/>
          <w:bCs/>
          <w:sz w:val="24"/>
          <w:szCs w:val="24"/>
        </w:rPr>
        <w:t>TS. Sentencia número 271/2012 de  9 de abril.</w:t>
      </w:r>
    </w:p>
    <w:p w:rsidR="00050185" w:rsidRPr="0062434B" w:rsidRDefault="00050185" w:rsidP="00050185">
      <w:pPr>
        <w:pStyle w:val="Prrafodelista"/>
        <w:numPr>
          <w:ilvl w:val="0"/>
          <w:numId w:val="34"/>
        </w:numPr>
        <w:spacing w:line="360" w:lineRule="auto"/>
        <w:jc w:val="both"/>
        <w:rPr>
          <w:rFonts w:ascii="Times New Roman" w:hAnsi="Times New Roman" w:cs="Times New Roman"/>
          <w:sz w:val="24"/>
          <w:szCs w:val="24"/>
        </w:rPr>
      </w:pPr>
      <w:r w:rsidRPr="0062434B">
        <w:rPr>
          <w:rFonts w:ascii="Times New Roman" w:hAnsi="Times New Roman" w:cs="Times New Roman"/>
          <w:bCs/>
          <w:sz w:val="24"/>
          <w:szCs w:val="24"/>
        </w:rPr>
        <w:t>TS. Sentencia número 709/2013 de 10 de Octubre.</w:t>
      </w:r>
    </w:p>
    <w:p w:rsidR="00E229CC" w:rsidRPr="0062434B" w:rsidRDefault="00E229CC" w:rsidP="00E229CC">
      <w:pPr>
        <w:pStyle w:val="Prrafodelista"/>
        <w:numPr>
          <w:ilvl w:val="0"/>
          <w:numId w:val="34"/>
        </w:numPr>
        <w:rPr>
          <w:rFonts w:ascii="Times New Roman" w:hAnsi="Times New Roman" w:cs="Times New Roman"/>
          <w:bCs/>
          <w:sz w:val="24"/>
          <w:szCs w:val="24"/>
        </w:rPr>
      </w:pPr>
      <w:r w:rsidRPr="0062434B">
        <w:rPr>
          <w:rFonts w:ascii="Times New Roman" w:hAnsi="Times New Roman" w:cs="Times New Roman"/>
          <w:bCs/>
          <w:sz w:val="24"/>
          <w:szCs w:val="24"/>
        </w:rPr>
        <w:t>TS. Sentencia número 887/2013 de 27 de Noviembre.</w:t>
      </w:r>
    </w:p>
    <w:p w:rsidR="00050185" w:rsidRPr="0062434B" w:rsidRDefault="00050185" w:rsidP="00050185">
      <w:pPr>
        <w:pStyle w:val="Prrafodelista"/>
        <w:numPr>
          <w:ilvl w:val="0"/>
          <w:numId w:val="34"/>
        </w:numPr>
        <w:spacing w:line="360" w:lineRule="auto"/>
        <w:jc w:val="both"/>
        <w:rPr>
          <w:rFonts w:ascii="Times New Roman" w:hAnsi="Times New Roman" w:cs="Times New Roman"/>
          <w:sz w:val="24"/>
          <w:szCs w:val="24"/>
        </w:rPr>
      </w:pPr>
      <w:r w:rsidRPr="0062434B">
        <w:rPr>
          <w:rFonts w:ascii="Times New Roman" w:hAnsi="Times New Roman" w:cs="Times New Roman"/>
          <w:bCs/>
          <w:sz w:val="24"/>
          <w:szCs w:val="24"/>
        </w:rPr>
        <w:t>TS. Sentencia número 459/2014 de 4 de Junio.</w:t>
      </w:r>
    </w:p>
    <w:p w:rsidR="0062434B" w:rsidRPr="0062434B" w:rsidRDefault="00E229CC" w:rsidP="0062434B">
      <w:pPr>
        <w:pStyle w:val="Prrafodelista"/>
        <w:numPr>
          <w:ilvl w:val="0"/>
          <w:numId w:val="34"/>
        </w:numPr>
        <w:spacing w:line="360" w:lineRule="auto"/>
        <w:jc w:val="both"/>
        <w:rPr>
          <w:rFonts w:ascii="Times New Roman" w:hAnsi="Times New Roman" w:cs="Times New Roman"/>
          <w:sz w:val="24"/>
          <w:szCs w:val="24"/>
        </w:rPr>
      </w:pPr>
      <w:r w:rsidRPr="0062434B">
        <w:rPr>
          <w:rFonts w:ascii="Times New Roman" w:hAnsi="Times New Roman" w:cs="Times New Roman"/>
          <w:bCs/>
          <w:sz w:val="24"/>
          <w:szCs w:val="24"/>
        </w:rPr>
        <w:t>TS. Sentencia número 399/2016 de 10 de Mayo.</w:t>
      </w:r>
    </w:p>
    <w:p w:rsidR="00050185" w:rsidRPr="0062434B" w:rsidRDefault="00050185" w:rsidP="0062434B">
      <w:pPr>
        <w:pStyle w:val="Prrafodelista"/>
        <w:numPr>
          <w:ilvl w:val="0"/>
          <w:numId w:val="34"/>
        </w:numPr>
        <w:spacing w:line="360" w:lineRule="auto"/>
        <w:jc w:val="both"/>
        <w:rPr>
          <w:rFonts w:ascii="Times New Roman" w:hAnsi="Times New Roman" w:cs="Times New Roman"/>
          <w:sz w:val="24"/>
          <w:szCs w:val="24"/>
        </w:rPr>
      </w:pPr>
      <w:r w:rsidRPr="0062434B">
        <w:rPr>
          <w:rFonts w:ascii="Times New Roman" w:hAnsi="Times New Roman" w:cs="Times New Roman"/>
          <w:sz w:val="24"/>
          <w:szCs w:val="24"/>
        </w:rPr>
        <w:t xml:space="preserve">TS. Sentencia número 595/2016 de 6 julio. </w:t>
      </w:r>
    </w:p>
    <w:p w:rsidR="00050185" w:rsidRPr="0062434B" w:rsidRDefault="00050185" w:rsidP="00050185">
      <w:pPr>
        <w:pStyle w:val="Prrafodelista"/>
        <w:numPr>
          <w:ilvl w:val="0"/>
          <w:numId w:val="34"/>
        </w:numPr>
        <w:spacing w:line="360" w:lineRule="auto"/>
        <w:jc w:val="both"/>
        <w:rPr>
          <w:rFonts w:ascii="Times New Roman" w:hAnsi="Times New Roman" w:cs="Times New Roman"/>
          <w:sz w:val="24"/>
          <w:szCs w:val="24"/>
        </w:rPr>
      </w:pPr>
      <w:r w:rsidRPr="0062434B">
        <w:rPr>
          <w:rFonts w:ascii="Times New Roman" w:hAnsi="Times New Roman" w:cs="Times New Roman"/>
          <w:sz w:val="24"/>
          <w:szCs w:val="24"/>
        </w:rPr>
        <w:t>TS. Sentencia número 972/2016 de 21 diciembre.</w:t>
      </w:r>
    </w:p>
    <w:p w:rsidR="004A43FF" w:rsidRPr="00050185" w:rsidRDefault="004A43FF" w:rsidP="00050185">
      <w:pPr>
        <w:spacing w:line="360" w:lineRule="auto"/>
        <w:jc w:val="both"/>
        <w:rPr>
          <w:sz w:val="24"/>
          <w:szCs w:val="24"/>
        </w:rPr>
      </w:pPr>
    </w:p>
    <w:p w:rsidR="004A43FF" w:rsidRPr="004608E0" w:rsidRDefault="00050185" w:rsidP="00050185">
      <w:pPr>
        <w:spacing w:line="360" w:lineRule="auto"/>
        <w:jc w:val="both"/>
        <w:rPr>
          <w:b/>
          <w:sz w:val="24"/>
          <w:szCs w:val="24"/>
          <w:u w:val="single"/>
        </w:rPr>
      </w:pPr>
      <w:r w:rsidRPr="004608E0">
        <w:rPr>
          <w:b/>
          <w:sz w:val="24"/>
          <w:szCs w:val="24"/>
          <w:u w:val="single"/>
        </w:rPr>
        <w:t>5.2 JURISPRUDENCIA DE LAS AUDIENCIAS PROVINCIALES.</w:t>
      </w:r>
    </w:p>
    <w:p w:rsidR="0055411D" w:rsidRPr="0055411D" w:rsidRDefault="0062434B" w:rsidP="0055411D">
      <w:pPr>
        <w:pStyle w:val="Prrafodelista"/>
        <w:numPr>
          <w:ilvl w:val="0"/>
          <w:numId w:val="35"/>
        </w:numPr>
        <w:rPr>
          <w:rFonts w:ascii="Times New Roman" w:hAnsi="Times New Roman" w:cs="Times New Roman"/>
          <w:sz w:val="24"/>
          <w:szCs w:val="24"/>
        </w:rPr>
      </w:pPr>
      <w:r w:rsidRPr="0055411D">
        <w:rPr>
          <w:rFonts w:ascii="Times New Roman" w:hAnsi="Times New Roman" w:cs="Times New Roman"/>
          <w:bCs/>
          <w:sz w:val="24"/>
          <w:szCs w:val="24"/>
        </w:rPr>
        <w:t>AP de Segovia. Sentencia número 1/1997 de 16 de Enero.</w:t>
      </w:r>
    </w:p>
    <w:p w:rsidR="0055411D" w:rsidRPr="0055411D" w:rsidRDefault="0062434B" w:rsidP="0055411D">
      <w:pPr>
        <w:pStyle w:val="Prrafodelista"/>
        <w:numPr>
          <w:ilvl w:val="0"/>
          <w:numId w:val="35"/>
        </w:numPr>
        <w:rPr>
          <w:rFonts w:ascii="Times New Roman" w:hAnsi="Times New Roman" w:cs="Times New Roman"/>
          <w:bCs/>
          <w:sz w:val="24"/>
          <w:szCs w:val="24"/>
        </w:rPr>
      </w:pPr>
      <w:r w:rsidRPr="0055411D">
        <w:rPr>
          <w:rFonts w:ascii="Times New Roman" w:hAnsi="Times New Roman" w:cs="Times New Roman"/>
          <w:bCs/>
          <w:sz w:val="24"/>
          <w:szCs w:val="24"/>
        </w:rPr>
        <w:t>AP de Toledo. Sentencia número 1/2000 de 17 enero.</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sz w:val="24"/>
          <w:szCs w:val="24"/>
        </w:rPr>
        <w:t xml:space="preserve">AP </w:t>
      </w:r>
      <w:r w:rsidRPr="0055411D">
        <w:rPr>
          <w:rFonts w:ascii="Times New Roman" w:hAnsi="Times New Roman" w:cs="Times New Roman"/>
          <w:bCs/>
          <w:sz w:val="24"/>
          <w:szCs w:val="24"/>
        </w:rPr>
        <w:t>de Álava. Sentencia número 95/2001 de 28 de Junio.</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bCs/>
          <w:sz w:val="24"/>
          <w:szCs w:val="24"/>
        </w:rPr>
        <w:t xml:space="preserve">AP de Madrid. </w:t>
      </w:r>
      <w:r w:rsidRPr="0055411D">
        <w:rPr>
          <w:rFonts w:ascii="Times New Roman" w:hAnsi="Times New Roman" w:cs="Times New Roman"/>
          <w:sz w:val="24"/>
          <w:szCs w:val="24"/>
        </w:rPr>
        <w:t>Sentencia número 376/2004 de 17 septiembre.</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sz w:val="24"/>
          <w:szCs w:val="24"/>
        </w:rPr>
        <w:t>AP de Cantabria. Sentencia número 2019/2005 de 14 de febrero.</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sz w:val="24"/>
          <w:szCs w:val="24"/>
        </w:rPr>
        <w:t xml:space="preserve">AP de Madrid. </w:t>
      </w:r>
      <w:r w:rsidRPr="0055411D">
        <w:rPr>
          <w:rFonts w:ascii="Times New Roman" w:hAnsi="Times New Roman" w:cs="Times New Roman"/>
          <w:bCs/>
          <w:sz w:val="24"/>
          <w:szCs w:val="24"/>
        </w:rPr>
        <w:t>Sentencia  número 716/2006 de 18 de septiembre.</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sz w:val="24"/>
          <w:szCs w:val="24"/>
        </w:rPr>
        <w:t>AP Lleida. Sentencia  número 413/2008 de 21 de Noviembre.</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bCs/>
          <w:sz w:val="24"/>
          <w:szCs w:val="24"/>
        </w:rPr>
        <w:t xml:space="preserve">AP de Madrid. Sentencia </w:t>
      </w:r>
      <w:r w:rsidRPr="0055411D">
        <w:rPr>
          <w:rFonts w:ascii="Times New Roman" w:hAnsi="Times New Roman" w:cs="Times New Roman"/>
          <w:sz w:val="24"/>
          <w:szCs w:val="24"/>
        </w:rPr>
        <w:t>número 303/2009 de 30 de junio.</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sz w:val="24"/>
          <w:szCs w:val="24"/>
        </w:rPr>
        <w:t>AP de Vizcaya. Sentencia número 764/2009 de 8 de Julio.</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sz w:val="24"/>
          <w:szCs w:val="24"/>
        </w:rPr>
        <w:t>AP de Valencia. Sentencia número 7276/2009 de 13 de Julio.</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sz w:val="24"/>
          <w:szCs w:val="24"/>
        </w:rPr>
        <w:t>AP de Alicante. Sentencia número 177/2010 de 26 de febrero.</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sz w:val="24"/>
          <w:szCs w:val="24"/>
        </w:rPr>
        <w:t>AP de Cacereña. Sentencia número 903/2010 de 10 de Noviembre.</w:t>
      </w:r>
    </w:p>
    <w:p w:rsidR="0062434B" w:rsidRPr="0055411D" w:rsidRDefault="0062434B" w:rsidP="0062434B">
      <w:pPr>
        <w:pStyle w:val="Prrafodelista"/>
        <w:numPr>
          <w:ilvl w:val="0"/>
          <w:numId w:val="35"/>
        </w:numPr>
        <w:rPr>
          <w:rFonts w:ascii="Times New Roman" w:hAnsi="Times New Roman" w:cs="Times New Roman"/>
          <w:sz w:val="24"/>
          <w:szCs w:val="24"/>
        </w:rPr>
      </w:pPr>
      <w:r w:rsidRPr="0055411D">
        <w:rPr>
          <w:rFonts w:ascii="Times New Roman" w:hAnsi="Times New Roman" w:cs="Times New Roman"/>
          <w:sz w:val="24"/>
          <w:szCs w:val="24"/>
        </w:rPr>
        <w:t>AP de Madrid. Sentencia número 82/2011, de 7 de marzo.</w:t>
      </w:r>
    </w:p>
    <w:p w:rsidR="00050185" w:rsidRPr="0055411D" w:rsidRDefault="00050185" w:rsidP="00050185">
      <w:pPr>
        <w:pStyle w:val="Prrafodelista"/>
        <w:numPr>
          <w:ilvl w:val="0"/>
          <w:numId w:val="35"/>
        </w:numPr>
        <w:spacing w:line="360" w:lineRule="auto"/>
        <w:jc w:val="both"/>
        <w:rPr>
          <w:rFonts w:ascii="Times New Roman" w:hAnsi="Times New Roman" w:cs="Times New Roman"/>
          <w:sz w:val="24"/>
          <w:szCs w:val="24"/>
        </w:rPr>
      </w:pPr>
      <w:r w:rsidRPr="0055411D">
        <w:rPr>
          <w:rFonts w:ascii="Times New Roman" w:hAnsi="Times New Roman" w:cs="Times New Roman"/>
          <w:sz w:val="24"/>
          <w:szCs w:val="24"/>
        </w:rPr>
        <w:t>AP de Madrid. Sentencia  número 1186/2012 de 18 de Septiembre.</w:t>
      </w:r>
    </w:p>
    <w:p w:rsidR="00050185" w:rsidRPr="00050185" w:rsidRDefault="00050185" w:rsidP="00050185">
      <w:pPr>
        <w:spacing w:line="360" w:lineRule="auto"/>
        <w:jc w:val="both"/>
        <w:rPr>
          <w:sz w:val="24"/>
          <w:szCs w:val="24"/>
        </w:rPr>
      </w:pPr>
    </w:p>
    <w:p w:rsidR="0055411D" w:rsidRDefault="0055411D" w:rsidP="00050185">
      <w:pPr>
        <w:spacing w:line="360" w:lineRule="auto"/>
        <w:jc w:val="both"/>
        <w:rPr>
          <w:b/>
          <w:sz w:val="24"/>
          <w:szCs w:val="24"/>
          <w:u w:val="single"/>
        </w:rPr>
      </w:pPr>
    </w:p>
    <w:p w:rsidR="00CF64DC" w:rsidRDefault="00CF64DC" w:rsidP="00050185">
      <w:pPr>
        <w:spacing w:line="360" w:lineRule="auto"/>
        <w:jc w:val="both"/>
        <w:rPr>
          <w:b/>
          <w:sz w:val="24"/>
          <w:szCs w:val="24"/>
          <w:u w:val="single"/>
        </w:rPr>
      </w:pPr>
    </w:p>
    <w:p w:rsidR="00050185" w:rsidRPr="004608E0" w:rsidRDefault="00050185" w:rsidP="00050185">
      <w:pPr>
        <w:spacing w:line="360" w:lineRule="auto"/>
        <w:jc w:val="both"/>
        <w:rPr>
          <w:b/>
          <w:sz w:val="24"/>
          <w:szCs w:val="24"/>
          <w:u w:val="single"/>
        </w:rPr>
      </w:pPr>
      <w:r w:rsidRPr="004608E0">
        <w:rPr>
          <w:b/>
          <w:sz w:val="24"/>
          <w:szCs w:val="24"/>
          <w:u w:val="single"/>
        </w:rPr>
        <w:lastRenderedPageBreak/>
        <w:t>6. LEGISLACIÓN.</w:t>
      </w:r>
    </w:p>
    <w:p w:rsidR="00BF59BD" w:rsidRPr="00BF59BD" w:rsidRDefault="00BF59BD" w:rsidP="00BF59BD">
      <w:pPr>
        <w:pStyle w:val="Prrafodelista"/>
        <w:numPr>
          <w:ilvl w:val="0"/>
          <w:numId w:val="37"/>
        </w:numPr>
        <w:rPr>
          <w:rFonts w:ascii="Times New Roman" w:hAnsi="Times New Roman" w:cs="Times New Roman"/>
          <w:sz w:val="24"/>
          <w:szCs w:val="24"/>
        </w:rPr>
      </w:pPr>
      <w:r w:rsidRPr="00BF59BD">
        <w:rPr>
          <w:rFonts w:ascii="Times New Roman" w:hAnsi="Times New Roman" w:cs="Times New Roman"/>
          <w:sz w:val="24"/>
          <w:szCs w:val="24"/>
        </w:rPr>
        <w:t>Ley Orgánica 10/1995, de 23 de Noviembre, del Código Penal</w:t>
      </w:r>
      <w:r w:rsidR="0032550C">
        <w:rPr>
          <w:rFonts w:ascii="Times New Roman" w:hAnsi="Times New Roman" w:cs="Times New Roman"/>
          <w:sz w:val="24"/>
          <w:szCs w:val="24"/>
        </w:rPr>
        <w:t>.</w:t>
      </w:r>
    </w:p>
    <w:p w:rsidR="00BF59BD" w:rsidRPr="00BF59BD" w:rsidRDefault="00BF59BD" w:rsidP="00BF59BD">
      <w:pPr>
        <w:pStyle w:val="Prrafodelista"/>
        <w:numPr>
          <w:ilvl w:val="0"/>
          <w:numId w:val="37"/>
        </w:numPr>
        <w:rPr>
          <w:rFonts w:ascii="Times New Roman" w:hAnsi="Times New Roman" w:cs="Times New Roman"/>
          <w:sz w:val="24"/>
          <w:szCs w:val="24"/>
        </w:rPr>
      </w:pPr>
      <w:r w:rsidRPr="00BF59BD">
        <w:rPr>
          <w:rFonts w:ascii="Times New Roman" w:hAnsi="Times New Roman" w:cs="Times New Roman"/>
          <w:sz w:val="24"/>
          <w:szCs w:val="24"/>
        </w:rPr>
        <w:t xml:space="preserve">Ley </w:t>
      </w:r>
      <w:r w:rsidR="00100A16" w:rsidRPr="00BF59BD">
        <w:rPr>
          <w:rFonts w:ascii="Times New Roman" w:hAnsi="Times New Roman" w:cs="Times New Roman"/>
          <w:sz w:val="24"/>
          <w:szCs w:val="24"/>
        </w:rPr>
        <w:t>Orgánica</w:t>
      </w:r>
      <w:r w:rsidRPr="00BF59BD">
        <w:rPr>
          <w:rFonts w:ascii="Times New Roman" w:hAnsi="Times New Roman" w:cs="Times New Roman"/>
          <w:sz w:val="24"/>
          <w:szCs w:val="24"/>
        </w:rPr>
        <w:t xml:space="preserve"> 1/2015, de 30 de marzo, por la cual se modifica la anterior ley.</w:t>
      </w:r>
    </w:p>
    <w:p w:rsidR="004A43FF" w:rsidRDefault="004A43FF" w:rsidP="00050185">
      <w:pPr>
        <w:spacing w:line="360" w:lineRule="auto"/>
        <w:jc w:val="both"/>
        <w:rPr>
          <w:sz w:val="24"/>
          <w:szCs w:val="24"/>
        </w:rPr>
      </w:pPr>
    </w:p>
    <w:p w:rsidR="00050185" w:rsidRPr="004608E0" w:rsidRDefault="00050185" w:rsidP="00050185">
      <w:pPr>
        <w:spacing w:line="360" w:lineRule="auto"/>
        <w:jc w:val="both"/>
        <w:rPr>
          <w:b/>
          <w:sz w:val="24"/>
          <w:szCs w:val="24"/>
          <w:u w:val="single"/>
        </w:rPr>
      </w:pPr>
      <w:proofErr w:type="gramStart"/>
      <w:r w:rsidRPr="004608E0">
        <w:rPr>
          <w:b/>
          <w:sz w:val="24"/>
          <w:szCs w:val="24"/>
          <w:u w:val="single"/>
        </w:rPr>
        <w:t>7.BIBLIOGRAFÍA</w:t>
      </w:r>
      <w:proofErr w:type="gramEnd"/>
      <w:r w:rsidRPr="004608E0">
        <w:rPr>
          <w:b/>
          <w:sz w:val="24"/>
          <w:szCs w:val="24"/>
          <w:u w:val="single"/>
        </w:rPr>
        <w:t>.</w:t>
      </w:r>
    </w:p>
    <w:p w:rsidR="0055411D" w:rsidRPr="006B3A42" w:rsidRDefault="00050185" w:rsidP="0055411D">
      <w:pPr>
        <w:pStyle w:val="Textonotapie"/>
        <w:numPr>
          <w:ilvl w:val="0"/>
          <w:numId w:val="24"/>
        </w:numPr>
        <w:spacing w:line="360" w:lineRule="auto"/>
        <w:jc w:val="both"/>
        <w:rPr>
          <w:rFonts w:ascii="Times New Roman" w:hAnsi="Times New Roman" w:cs="Times New Roman"/>
          <w:sz w:val="24"/>
          <w:szCs w:val="24"/>
        </w:rPr>
      </w:pPr>
      <w:r w:rsidRPr="006B3A42">
        <w:rPr>
          <w:rFonts w:ascii="Times New Roman" w:hAnsi="Times New Roman" w:cs="Times New Roman"/>
          <w:sz w:val="24"/>
          <w:szCs w:val="24"/>
        </w:rPr>
        <w:t xml:space="preserve">Cuello Contreras, J; </w:t>
      </w:r>
      <w:proofErr w:type="spellStart"/>
      <w:r w:rsidR="00100A16" w:rsidRPr="006B3A42">
        <w:rPr>
          <w:rFonts w:ascii="Times New Roman" w:hAnsi="Times New Roman" w:cs="Times New Roman"/>
          <w:sz w:val="24"/>
          <w:szCs w:val="24"/>
        </w:rPr>
        <w:t>Mapelli</w:t>
      </w:r>
      <w:proofErr w:type="spellEnd"/>
      <w:r w:rsidR="00100A16" w:rsidRPr="006B3A42">
        <w:rPr>
          <w:rFonts w:ascii="Times New Roman" w:hAnsi="Times New Roman" w:cs="Times New Roman"/>
          <w:sz w:val="24"/>
          <w:szCs w:val="24"/>
        </w:rPr>
        <w:t xml:space="preserve"> </w:t>
      </w:r>
      <w:proofErr w:type="spellStart"/>
      <w:r w:rsidR="00100A16" w:rsidRPr="006B3A42">
        <w:rPr>
          <w:rFonts w:ascii="Times New Roman" w:hAnsi="Times New Roman" w:cs="Times New Roman"/>
          <w:sz w:val="24"/>
          <w:szCs w:val="24"/>
        </w:rPr>
        <w:t>Caffarena</w:t>
      </w:r>
      <w:proofErr w:type="spellEnd"/>
      <w:r w:rsidRPr="006B3A42">
        <w:rPr>
          <w:rFonts w:ascii="Times New Roman" w:hAnsi="Times New Roman" w:cs="Times New Roman"/>
          <w:sz w:val="24"/>
          <w:szCs w:val="24"/>
        </w:rPr>
        <w:t>, B. (2016) &lt;&lt;</w:t>
      </w:r>
      <w:r w:rsidRPr="006B3A42">
        <w:rPr>
          <w:rFonts w:ascii="Times New Roman" w:hAnsi="Times New Roman" w:cs="Times New Roman"/>
          <w:i/>
          <w:sz w:val="24"/>
          <w:szCs w:val="24"/>
        </w:rPr>
        <w:t>Curso de Derecho Penal. Parte General</w:t>
      </w:r>
      <w:proofErr w:type="gramStart"/>
      <w:r w:rsidRPr="006B3A42">
        <w:rPr>
          <w:rFonts w:ascii="Times New Roman" w:hAnsi="Times New Roman" w:cs="Times New Roman"/>
          <w:sz w:val="24"/>
          <w:szCs w:val="24"/>
        </w:rPr>
        <w:t>.&gt;</w:t>
      </w:r>
      <w:proofErr w:type="gramEnd"/>
      <w:r w:rsidRPr="006B3A42">
        <w:rPr>
          <w:rFonts w:ascii="Times New Roman" w:hAnsi="Times New Roman" w:cs="Times New Roman"/>
          <w:sz w:val="24"/>
          <w:szCs w:val="24"/>
        </w:rPr>
        <w:t xml:space="preserve">&gt;. Madrid. Ed. </w:t>
      </w:r>
      <w:proofErr w:type="spellStart"/>
      <w:proofErr w:type="gramStart"/>
      <w:r w:rsidRPr="006B3A42">
        <w:rPr>
          <w:rFonts w:ascii="Times New Roman" w:hAnsi="Times New Roman" w:cs="Times New Roman"/>
          <w:sz w:val="24"/>
          <w:szCs w:val="24"/>
        </w:rPr>
        <w:t>Tecnos</w:t>
      </w:r>
      <w:proofErr w:type="spellEnd"/>
      <w:proofErr w:type="gramEnd"/>
      <w:r w:rsidRPr="006B3A42">
        <w:rPr>
          <w:rFonts w:ascii="Times New Roman" w:hAnsi="Times New Roman" w:cs="Times New Roman"/>
          <w:sz w:val="24"/>
          <w:szCs w:val="24"/>
        </w:rPr>
        <w:t>.</w:t>
      </w:r>
    </w:p>
    <w:p w:rsidR="0055411D" w:rsidRPr="006B3A42" w:rsidRDefault="0055411D" w:rsidP="0055411D">
      <w:pPr>
        <w:pStyle w:val="Textonotapie"/>
        <w:spacing w:line="360" w:lineRule="auto"/>
        <w:ind w:left="720"/>
        <w:jc w:val="both"/>
        <w:rPr>
          <w:rFonts w:ascii="Times New Roman" w:hAnsi="Times New Roman" w:cs="Times New Roman"/>
          <w:sz w:val="24"/>
          <w:szCs w:val="24"/>
        </w:rPr>
      </w:pPr>
    </w:p>
    <w:p w:rsidR="0055411D" w:rsidRPr="006B3A42" w:rsidRDefault="0055411D" w:rsidP="0055411D">
      <w:pPr>
        <w:pStyle w:val="Textonotapie"/>
        <w:numPr>
          <w:ilvl w:val="0"/>
          <w:numId w:val="24"/>
        </w:numPr>
        <w:rPr>
          <w:rFonts w:ascii="Times New Roman" w:hAnsi="Times New Roman" w:cs="Times New Roman"/>
          <w:sz w:val="24"/>
          <w:szCs w:val="24"/>
        </w:rPr>
      </w:pPr>
      <w:r w:rsidRPr="006B3A42">
        <w:rPr>
          <w:rFonts w:ascii="Times New Roman" w:hAnsi="Times New Roman" w:cs="Times New Roman"/>
          <w:sz w:val="24"/>
          <w:szCs w:val="24"/>
        </w:rPr>
        <w:t>De Vicente Martínez, R. (2011) &lt;&lt;</w:t>
      </w:r>
      <w:r w:rsidRPr="006B3A42">
        <w:rPr>
          <w:rFonts w:ascii="Times New Roman" w:hAnsi="Times New Roman" w:cs="Times New Roman"/>
          <w:i/>
          <w:sz w:val="24"/>
          <w:szCs w:val="24"/>
        </w:rPr>
        <w:t>Los delitos de robo. Estudio doctrinal introductorio. Problemática jurisprudencial ordenada y sistematizada. Casos prácticos. Normativa reguladora</w:t>
      </w:r>
      <w:r w:rsidRPr="006B3A42">
        <w:rPr>
          <w:rFonts w:ascii="Times New Roman" w:hAnsi="Times New Roman" w:cs="Times New Roman"/>
          <w:sz w:val="24"/>
          <w:szCs w:val="24"/>
        </w:rPr>
        <w:t>&gt;&gt; Barcelona. Ed. Bosch.</w:t>
      </w:r>
    </w:p>
    <w:p w:rsidR="0055411D" w:rsidRPr="006B3A42" w:rsidRDefault="0055411D" w:rsidP="0055411D">
      <w:pPr>
        <w:pStyle w:val="Textonotapie"/>
        <w:spacing w:line="360" w:lineRule="auto"/>
        <w:ind w:left="360"/>
        <w:jc w:val="both"/>
        <w:rPr>
          <w:rFonts w:ascii="Times New Roman" w:hAnsi="Times New Roman" w:cs="Times New Roman"/>
          <w:sz w:val="24"/>
          <w:szCs w:val="24"/>
        </w:rPr>
      </w:pPr>
    </w:p>
    <w:p w:rsidR="00050185" w:rsidRPr="006B3A42" w:rsidRDefault="00050185" w:rsidP="00050185">
      <w:pPr>
        <w:pStyle w:val="Textonotapie"/>
        <w:spacing w:line="360" w:lineRule="auto"/>
        <w:ind w:left="720"/>
        <w:jc w:val="both"/>
        <w:rPr>
          <w:rFonts w:ascii="Times New Roman" w:hAnsi="Times New Roman" w:cs="Times New Roman"/>
          <w:sz w:val="24"/>
          <w:szCs w:val="24"/>
        </w:rPr>
      </w:pPr>
    </w:p>
    <w:p w:rsidR="00050185" w:rsidRPr="006B3A42" w:rsidRDefault="00100A16" w:rsidP="00050185">
      <w:pPr>
        <w:pStyle w:val="Textonotapie"/>
        <w:numPr>
          <w:ilvl w:val="0"/>
          <w:numId w:val="24"/>
        </w:numPr>
        <w:spacing w:line="360" w:lineRule="auto"/>
        <w:jc w:val="both"/>
        <w:rPr>
          <w:rFonts w:ascii="Times New Roman" w:hAnsi="Times New Roman" w:cs="Times New Roman"/>
          <w:sz w:val="24"/>
          <w:szCs w:val="24"/>
        </w:rPr>
      </w:pPr>
      <w:r w:rsidRPr="006B3A42">
        <w:rPr>
          <w:rFonts w:ascii="Times New Roman" w:hAnsi="Times New Roman" w:cs="Times New Roman"/>
          <w:sz w:val="24"/>
          <w:szCs w:val="24"/>
        </w:rPr>
        <w:t>González</w:t>
      </w:r>
      <w:r w:rsidR="00050185" w:rsidRPr="006B3A42">
        <w:rPr>
          <w:rFonts w:ascii="Times New Roman" w:hAnsi="Times New Roman" w:cs="Times New Roman"/>
          <w:sz w:val="24"/>
          <w:szCs w:val="24"/>
        </w:rPr>
        <w:t xml:space="preserve"> </w:t>
      </w:r>
      <w:proofErr w:type="spellStart"/>
      <w:r w:rsidR="00050185" w:rsidRPr="006B3A42">
        <w:rPr>
          <w:rFonts w:ascii="Times New Roman" w:hAnsi="Times New Roman" w:cs="Times New Roman"/>
          <w:sz w:val="24"/>
          <w:szCs w:val="24"/>
        </w:rPr>
        <w:t>Cussac</w:t>
      </w:r>
      <w:proofErr w:type="spellEnd"/>
      <w:r w:rsidR="00050185" w:rsidRPr="006B3A42">
        <w:rPr>
          <w:rFonts w:ascii="Times New Roman" w:hAnsi="Times New Roman" w:cs="Times New Roman"/>
          <w:sz w:val="24"/>
          <w:szCs w:val="24"/>
        </w:rPr>
        <w:t xml:space="preserve">, J.L; </w:t>
      </w:r>
      <w:proofErr w:type="spellStart"/>
      <w:r w:rsidR="00050185" w:rsidRPr="006B3A42">
        <w:rPr>
          <w:rFonts w:ascii="Times New Roman" w:hAnsi="Times New Roman" w:cs="Times New Roman"/>
          <w:sz w:val="24"/>
          <w:szCs w:val="24"/>
        </w:rPr>
        <w:t>Gorriz</w:t>
      </w:r>
      <w:proofErr w:type="spellEnd"/>
      <w:r w:rsidR="00050185" w:rsidRPr="006B3A42">
        <w:rPr>
          <w:rFonts w:ascii="Times New Roman" w:hAnsi="Times New Roman" w:cs="Times New Roman"/>
          <w:sz w:val="24"/>
          <w:szCs w:val="24"/>
        </w:rPr>
        <w:t xml:space="preserve"> Royo, E; </w:t>
      </w:r>
      <w:proofErr w:type="spellStart"/>
      <w:r w:rsidR="00050185" w:rsidRPr="006B3A42">
        <w:rPr>
          <w:rFonts w:ascii="Times New Roman" w:hAnsi="Times New Roman" w:cs="Times New Roman"/>
          <w:sz w:val="24"/>
          <w:szCs w:val="24"/>
        </w:rPr>
        <w:t>Matallin</w:t>
      </w:r>
      <w:proofErr w:type="spellEnd"/>
      <w:r w:rsidR="00050185" w:rsidRPr="006B3A42">
        <w:rPr>
          <w:rFonts w:ascii="Times New Roman" w:hAnsi="Times New Roman" w:cs="Times New Roman"/>
          <w:sz w:val="24"/>
          <w:szCs w:val="24"/>
        </w:rPr>
        <w:t xml:space="preserve"> Evangelio, A. &lt;&lt;</w:t>
      </w:r>
      <w:r w:rsidR="00050185" w:rsidRPr="006B3A42">
        <w:rPr>
          <w:rFonts w:ascii="Times New Roman" w:hAnsi="Times New Roman" w:cs="Times New Roman"/>
          <w:i/>
          <w:sz w:val="24"/>
          <w:szCs w:val="24"/>
        </w:rPr>
        <w:t xml:space="preserve">Comentarios a la reforma del </w:t>
      </w:r>
      <w:r w:rsidRPr="006B3A42">
        <w:rPr>
          <w:rFonts w:ascii="Times New Roman" w:hAnsi="Times New Roman" w:cs="Times New Roman"/>
          <w:i/>
          <w:sz w:val="24"/>
          <w:szCs w:val="24"/>
        </w:rPr>
        <w:t>Código</w:t>
      </w:r>
      <w:r w:rsidR="00050185" w:rsidRPr="006B3A42">
        <w:rPr>
          <w:rFonts w:ascii="Times New Roman" w:hAnsi="Times New Roman" w:cs="Times New Roman"/>
          <w:i/>
          <w:sz w:val="24"/>
          <w:szCs w:val="24"/>
        </w:rPr>
        <w:t xml:space="preserve"> Penal de 2015</w:t>
      </w:r>
      <w:r w:rsidR="00050185" w:rsidRPr="006B3A42">
        <w:rPr>
          <w:rFonts w:ascii="Times New Roman" w:hAnsi="Times New Roman" w:cs="Times New Roman"/>
          <w:sz w:val="24"/>
          <w:szCs w:val="24"/>
        </w:rPr>
        <w:t xml:space="preserve">. </w:t>
      </w:r>
      <w:r w:rsidR="00050185" w:rsidRPr="006B3A42">
        <w:rPr>
          <w:rFonts w:ascii="Times New Roman" w:hAnsi="Times New Roman" w:cs="Times New Roman"/>
          <w:i/>
          <w:sz w:val="24"/>
          <w:szCs w:val="24"/>
        </w:rPr>
        <w:t xml:space="preserve">2ª </w:t>
      </w:r>
      <w:r w:rsidRPr="006B3A42">
        <w:rPr>
          <w:rFonts w:ascii="Times New Roman" w:hAnsi="Times New Roman" w:cs="Times New Roman"/>
          <w:i/>
          <w:sz w:val="24"/>
          <w:szCs w:val="24"/>
        </w:rPr>
        <w:t>Edición</w:t>
      </w:r>
      <w:r w:rsidR="00050185" w:rsidRPr="006B3A42">
        <w:rPr>
          <w:rFonts w:ascii="Times New Roman" w:hAnsi="Times New Roman" w:cs="Times New Roman"/>
          <w:i/>
          <w:sz w:val="24"/>
          <w:szCs w:val="24"/>
        </w:rPr>
        <w:t>.</w:t>
      </w:r>
      <w:r w:rsidR="00050185" w:rsidRPr="006B3A42">
        <w:rPr>
          <w:rFonts w:ascii="Times New Roman" w:hAnsi="Times New Roman" w:cs="Times New Roman"/>
          <w:sz w:val="24"/>
          <w:szCs w:val="24"/>
        </w:rPr>
        <w:t>&gt;&gt; Ed. Tirant lo Blanch</w:t>
      </w:r>
    </w:p>
    <w:p w:rsidR="0055411D" w:rsidRPr="006B3A42" w:rsidRDefault="0055411D" w:rsidP="0055411D">
      <w:pPr>
        <w:pStyle w:val="Textonotapie"/>
        <w:spacing w:line="360" w:lineRule="auto"/>
        <w:jc w:val="both"/>
        <w:rPr>
          <w:rFonts w:ascii="Times New Roman" w:hAnsi="Times New Roman" w:cs="Times New Roman"/>
          <w:sz w:val="24"/>
          <w:szCs w:val="24"/>
        </w:rPr>
      </w:pPr>
    </w:p>
    <w:p w:rsidR="00050185" w:rsidRPr="006B3A42" w:rsidRDefault="00050185" w:rsidP="00050185">
      <w:pPr>
        <w:pStyle w:val="Textonotapie"/>
        <w:numPr>
          <w:ilvl w:val="0"/>
          <w:numId w:val="24"/>
        </w:numPr>
        <w:spacing w:line="360" w:lineRule="auto"/>
        <w:jc w:val="both"/>
        <w:rPr>
          <w:rFonts w:ascii="Times New Roman" w:hAnsi="Times New Roman" w:cs="Times New Roman"/>
          <w:sz w:val="24"/>
          <w:szCs w:val="24"/>
        </w:rPr>
      </w:pPr>
      <w:r w:rsidRPr="006B3A42">
        <w:rPr>
          <w:rFonts w:ascii="Times New Roman" w:hAnsi="Times New Roman" w:cs="Times New Roman"/>
          <w:sz w:val="24"/>
          <w:szCs w:val="24"/>
        </w:rPr>
        <w:t>González Rus, JJ. (1994) &lt;&lt;</w:t>
      </w:r>
      <w:r w:rsidRPr="006B3A42">
        <w:rPr>
          <w:rFonts w:ascii="Times New Roman" w:hAnsi="Times New Roman" w:cs="Times New Roman"/>
          <w:i/>
          <w:sz w:val="24"/>
          <w:szCs w:val="24"/>
        </w:rPr>
        <w:t>La reforma de los delitos económicos y contra el patrimonio. Consideraciones críticas</w:t>
      </w:r>
      <w:proofErr w:type="gramStart"/>
      <w:r w:rsidRPr="006B3A42">
        <w:rPr>
          <w:rFonts w:ascii="Times New Roman" w:hAnsi="Times New Roman" w:cs="Times New Roman"/>
          <w:i/>
          <w:sz w:val="24"/>
          <w:szCs w:val="24"/>
        </w:rPr>
        <w:t>.</w:t>
      </w:r>
      <w:r w:rsidRPr="006B3A42">
        <w:rPr>
          <w:rFonts w:ascii="Times New Roman" w:hAnsi="Times New Roman" w:cs="Times New Roman"/>
          <w:sz w:val="24"/>
          <w:szCs w:val="24"/>
        </w:rPr>
        <w:t>&gt;</w:t>
      </w:r>
      <w:proofErr w:type="gramEnd"/>
      <w:r w:rsidRPr="006B3A42">
        <w:rPr>
          <w:rFonts w:ascii="Times New Roman" w:hAnsi="Times New Roman" w:cs="Times New Roman"/>
          <w:sz w:val="24"/>
          <w:szCs w:val="24"/>
        </w:rPr>
        <w:t>&gt;.</w:t>
      </w:r>
    </w:p>
    <w:p w:rsidR="006B3A42" w:rsidRPr="006B3A42" w:rsidRDefault="006B3A42" w:rsidP="006B3A42">
      <w:pPr>
        <w:pStyle w:val="Prrafodelista"/>
        <w:rPr>
          <w:rFonts w:ascii="Times New Roman" w:hAnsi="Times New Roman" w:cs="Times New Roman"/>
          <w:sz w:val="24"/>
          <w:szCs w:val="24"/>
        </w:rPr>
      </w:pPr>
    </w:p>
    <w:p w:rsidR="006B3A42" w:rsidRPr="006B3A42" w:rsidRDefault="006B3A42" w:rsidP="006B3A42">
      <w:pPr>
        <w:pStyle w:val="Textonotapie"/>
        <w:numPr>
          <w:ilvl w:val="0"/>
          <w:numId w:val="24"/>
        </w:numPr>
        <w:spacing w:line="360" w:lineRule="auto"/>
        <w:jc w:val="both"/>
        <w:rPr>
          <w:rFonts w:ascii="Times New Roman" w:hAnsi="Times New Roman" w:cs="Times New Roman"/>
          <w:sz w:val="24"/>
          <w:szCs w:val="24"/>
        </w:rPr>
      </w:pPr>
      <w:r w:rsidRPr="006B3A42">
        <w:rPr>
          <w:rFonts w:ascii="Times New Roman" w:hAnsi="Times New Roman" w:cs="Times New Roman"/>
          <w:sz w:val="24"/>
          <w:szCs w:val="24"/>
        </w:rPr>
        <w:t>González Rus. (2011) &lt;&lt;Sistema de derecho Penal. Parte Especial. &gt;&gt;.</w:t>
      </w:r>
    </w:p>
    <w:p w:rsidR="006B3A42" w:rsidRPr="006B3A42" w:rsidRDefault="006B3A42" w:rsidP="006B3A42">
      <w:pPr>
        <w:pStyle w:val="Textonotapie"/>
        <w:spacing w:line="360" w:lineRule="auto"/>
        <w:ind w:left="720"/>
        <w:jc w:val="both"/>
        <w:rPr>
          <w:rFonts w:ascii="Times New Roman" w:hAnsi="Times New Roman" w:cs="Times New Roman"/>
          <w:sz w:val="24"/>
          <w:szCs w:val="24"/>
        </w:rPr>
      </w:pPr>
    </w:p>
    <w:p w:rsidR="00050185" w:rsidRPr="00050185" w:rsidRDefault="00050185" w:rsidP="00050185">
      <w:pPr>
        <w:pStyle w:val="Textonotapie"/>
        <w:spacing w:line="360" w:lineRule="auto"/>
        <w:jc w:val="both"/>
        <w:rPr>
          <w:rFonts w:ascii="Times New Roman" w:hAnsi="Times New Roman" w:cs="Times New Roman"/>
          <w:sz w:val="24"/>
          <w:szCs w:val="24"/>
        </w:rPr>
      </w:pPr>
    </w:p>
    <w:p w:rsidR="00050185" w:rsidRDefault="00050185" w:rsidP="00050185">
      <w:pPr>
        <w:pStyle w:val="Textonotapie"/>
        <w:numPr>
          <w:ilvl w:val="0"/>
          <w:numId w:val="24"/>
        </w:numPr>
        <w:spacing w:line="360" w:lineRule="auto"/>
        <w:jc w:val="both"/>
        <w:rPr>
          <w:rFonts w:ascii="Times New Roman" w:hAnsi="Times New Roman" w:cs="Times New Roman"/>
          <w:sz w:val="24"/>
          <w:szCs w:val="24"/>
        </w:rPr>
      </w:pPr>
      <w:proofErr w:type="spellStart"/>
      <w:r w:rsidRPr="00050185">
        <w:rPr>
          <w:rFonts w:ascii="Times New Roman" w:hAnsi="Times New Roman" w:cs="Times New Roman"/>
          <w:sz w:val="24"/>
          <w:szCs w:val="24"/>
        </w:rPr>
        <w:t>Lamarca</w:t>
      </w:r>
      <w:proofErr w:type="spellEnd"/>
      <w:r w:rsidRPr="00050185">
        <w:rPr>
          <w:rFonts w:ascii="Times New Roman" w:hAnsi="Times New Roman" w:cs="Times New Roman"/>
          <w:sz w:val="24"/>
          <w:szCs w:val="24"/>
        </w:rPr>
        <w:t xml:space="preserve"> Pérez, C. (2016) &lt;&lt;</w:t>
      </w:r>
      <w:r w:rsidRPr="00050185">
        <w:rPr>
          <w:rFonts w:ascii="Times New Roman" w:hAnsi="Times New Roman" w:cs="Times New Roman"/>
          <w:i/>
          <w:sz w:val="24"/>
          <w:szCs w:val="24"/>
        </w:rPr>
        <w:t>Delitos. La parte Especial del Derecho Penal</w:t>
      </w:r>
      <w:r w:rsidRPr="00050185">
        <w:rPr>
          <w:rFonts w:ascii="Times New Roman" w:hAnsi="Times New Roman" w:cs="Times New Roman"/>
          <w:sz w:val="24"/>
          <w:szCs w:val="24"/>
        </w:rPr>
        <w:t xml:space="preserve">&gt;&gt;. Madrid, Ed. </w:t>
      </w:r>
      <w:proofErr w:type="spellStart"/>
      <w:r w:rsidRPr="00050185">
        <w:rPr>
          <w:rFonts w:ascii="Times New Roman" w:hAnsi="Times New Roman" w:cs="Times New Roman"/>
          <w:sz w:val="24"/>
          <w:szCs w:val="24"/>
        </w:rPr>
        <w:t>Dykinson</w:t>
      </w:r>
      <w:proofErr w:type="spellEnd"/>
      <w:r w:rsidRPr="00050185">
        <w:rPr>
          <w:rFonts w:ascii="Times New Roman" w:hAnsi="Times New Roman" w:cs="Times New Roman"/>
          <w:sz w:val="24"/>
          <w:szCs w:val="24"/>
        </w:rPr>
        <w:t xml:space="preserve">. </w:t>
      </w:r>
    </w:p>
    <w:p w:rsidR="006B3A42" w:rsidRDefault="006B3A42" w:rsidP="006B3A42">
      <w:pPr>
        <w:pStyle w:val="Prrafodelista"/>
        <w:rPr>
          <w:rFonts w:ascii="Times New Roman" w:hAnsi="Times New Roman" w:cs="Times New Roman"/>
          <w:sz w:val="24"/>
          <w:szCs w:val="24"/>
        </w:rPr>
      </w:pPr>
    </w:p>
    <w:p w:rsidR="006B3A42" w:rsidRPr="006B3A42" w:rsidRDefault="006B3A42" w:rsidP="006B3A42">
      <w:pPr>
        <w:pStyle w:val="Textonotapie"/>
        <w:numPr>
          <w:ilvl w:val="0"/>
          <w:numId w:val="24"/>
        </w:numPr>
        <w:rPr>
          <w:rFonts w:ascii="Times New Roman" w:hAnsi="Times New Roman" w:cs="Times New Roman"/>
          <w:sz w:val="24"/>
          <w:szCs w:val="24"/>
        </w:rPr>
      </w:pPr>
      <w:r w:rsidRPr="006B3A42">
        <w:rPr>
          <w:rFonts w:ascii="Times New Roman" w:hAnsi="Times New Roman" w:cs="Times New Roman"/>
          <w:sz w:val="24"/>
          <w:szCs w:val="24"/>
        </w:rPr>
        <w:t xml:space="preserve">Morillas Cueva, L. (Director); Benítez </w:t>
      </w:r>
      <w:proofErr w:type="spellStart"/>
      <w:r w:rsidRPr="006B3A42">
        <w:rPr>
          <w:rFonts w:ascii="Times New Roman" w:hAnsi="Times New Roman" w:cs="Times New Roman"/>
          <w:sz w:val="24"/>
          <w:szCs w:val="24"/>
        </w:rPr>
        <w:t>Ort</w:t>
      </w:r>
      <w:r>
        <w:rPr>
          <w:rFonts w:ascii="Times New Roman" w:hAnsi="Times New Roman" w:cs="Times New Roman"/>
          <w:sz w:val="24"/>
          <w:szCs w:val="24"/>
        </w:rPr>
        <w:t>úzar</w:t>
      </w:r>
      <w:proofErr w:type="spellEnd"/>
      <w:r>
        <w:rPr>
          <w:rFonts w:ascii="Times New Roman" w:hAnsi="Times New Roman" w:cs="Times New Roman"/>
          <w:sz w:val="24"/>
          <w:szCs w:val="24"/>
        </w:rPr>
        <w:t xml:space="preserve">, I.F; Del Rosal Blasco, B; </w:t>
      </w:r>
      <w:r w:rsidRPr="006B3A42">
        <w:rPr>
          <w:rFonts w:ascii="Times New Roman" w:hAnsi="Times New Roman" w:cs="Times New Roman"/>
          <w:sz w:val="24"/>
          <w:szCs w:val="24"/>
        </w:rPr>
        <w:t xml:space="preserve">Olmedo </w:t>
      </w:r>
      <w:proofErr w:type="spellStart"/>
      <w:r w:rsidRPr="006B3A42">
        <w:rPr>
          <w:rFonts w:ascii="Times New Roman" w:hAnsi="Times New Roman" w:cs="Times New Roman"/>
          <w:sz w:val="24"/>
          <w:szCs w:val="24"/>
        </w:rPr>
        <w:t>Cardenete</w:t>
      </w:r>
      <w:proofErr w:type="spellEnd"/>
      <w:r w:rsidRPr="006B3A42">
        <w:rPr>
          <w:rFonts w:ascii="Times New Roman" w:hAnsi="Times New Roman" w:cs="Times New Roman"/>
          <w:sz w:val="24"/>
          <w:szCs w:val="24"/>
        </w:rPr>
        <w:t>, M; Peris Riera, J; Sainz-Cantero Caparrós, J.E. (2016) &lt;&lt;</w:t>
      </w:r>
      <w:r w:rsidRPr="006B3A42">
        <w:rPr>
          <w:rFonts w:ascii="Times New Roman" w:hAnsi="Times New Roman" w:cs="Times New Roman"/>
          <w:i/>
          <w:sz w:val="24"/>
          <w:szCs w:val="24"/>
        </w:rPr>
        <w:t xml:space="preserve">Sistema de Derecho Penal. Parte Especial. 2ª Edición. &gt;&gt; </w:t>
      </w:r>
      <w:r w:rsidRPr="006B3A42">
        <w:rPr>
          <w:rFonts w:ascii="Times New Roman" w:hAnsi="Times New Roman" w:cs="Times New Roman"/>
          <w:sz w:val="24"/>
          <w:szCs w:val="24"/>
        </w:rPr>
        <w:t xml:space="preserve">Madrid.                      Ed. </w:t>
      </w:r>
      <w:proofErr w:type="spellStart"/>
      <w:r w:rsidRPr="006B3A42">
        <w:rPr>
          <w:rFonts w:ascii="Times New Roman" w:hAnsi="Times New Roman" w:cs="Times New Roman"/>
          <w:sz w:val="24"/>
          <w:szCs w:val="24"/>
        </w:rPr>
        <w:t>Dykinson</w:t>
      </w:r>
      <w:proofErr w:type="spellEnd"/>
      <w:r w:rsidRPr="006B3A42">
        <w:rPr>
          <w:rFonts w:ascii="Times New Roman" w:hAnsi="Times New Roman" w:cs="Times New Roman"/>
          <w:sz w:val="24"/>
          <w:szCs w:val="24"/>
        </w:rPr>
        <w:t xml:space="preserve"> S.L</w:t>
      </w:r>
    </w:p>
    <w:p w:rsidR="006B3A42" w:rsidRPr="00050185" w:rsidRDefault="006B3A42" w:rsidP="006B3A42">
      <w:pPr>
        <w:pStyle w:val="Textonotapie"/>
        <w:spacing w:line="360" w:lineRule="auto"/>
        <w:jc w:val="both"/>
        <w:rPr>
          <w:rFonts w:ascii="Times New Roman" w:hAnsi="Times New Roman" w:cs="Times New Roman"/>
          <w:sz w:val="24"/>
          <w:szCs w:val="24"/>
        </w:rPr>
      </w:pPr>
    </w:p>
    <w:p w:rsidR="00050185" w:rsidRPr="00050185" w:rsidRDefault="00050185" w:rsidP="00050185">
      <w:pPr>
        <w:pStyle w:val="Textonotapie"/>
        <w:spacing w:line="360" w:lineRule="auto"/>
        <w:jc w:val="both"/>
        <w:rPr>
          <w:rFonts w:ascii="Times New Roman" w:hAnsi="Times New Roman" w:cs="Times New Roman"/>
          <w:sz w:val="24"/>
          <w:szCs w:val="24"/>
        </w:rPr>
      </w:pPr>
    </w:p>
    <w:p w:rsidR="00050185" w:rsidRPr="00050185" w:rsidRDefault="00050185" w:rsidP="00050185">
      <w:pPr>
        <w:pStyle w:val="Textonotapie"/>
        <w:numPr>
          <w:ilvl w:val="0"/>
          <w:numId w:val="24"/>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Muñoz Conde, F. (2015) &lt;&lt;</w:t>
      </w:r>
      <w:r w:rsidRPr="00050185">
        <w:rPr>
          <w:rFonts w:ascii="Times New Roman" w:hAnsi="Times New Roman" w:cs="Times New Roman"/>
          <w:i/>
          <w:sz w:val="24"/>
          <w:szCs w:val="24"/>
        </w:rPr>
        <w:t xml:space="preserve">Derecho Penal. Parte Especial. (20ª Edición, revisada y actualizada y puesta al </w:t>
      </w:r>
      <w:r w:rsidR="00100A16" w:rsidRPr="00050185">
        <w:rPr>
          <w:rFonts w:ascii="Times New Roman" w:hAnsi="Times New Roman" w:cs="Times New Roman"/>
          <w:i/>
          <w:sz w:val="24"/>
          <w:szCs w:val="24"/>
        </w:rPr>
        <w:t>día</w:t>
      </w:r>
      <w:r w:rsidRPr="00050185">
        <w:rPr>
          <w:rFonts w:ascii="Times New Roman" w:hAnsi="Times New Roman" w:cs="Times New Roman"/>
          <w:i/>
          <w:sz w:val="24"/>
          <w:szCs w:val="24"/>
        </w:rPr>
        <w:t xml:space="preserve"> conforme a las leyes Orgánicas 1/2015 y 2/2015, de 30 de Marzo)</w:t>
      </w:r>
      <w:r w:rsidRPr="00050185">
        <w:rPr>
          <w:rFonts w:ascii="Times New Roman" w:hAnsi="Times New Roman" w:cs="Times New Roman"/>
          <w:sz w:val="24"/>
          <w:szCs w:val="24"/>
        </w:rPr>
        <w:t xml:space="preserve">&gt;&gt;. Valencia. Ed. Tirant lo </w:t>
      </w:r>
      <w:r w:rsidR="00100A16" w:rsidRPr="00050185">
        <w:rPr>
          <w:rFonts w:ascii="Times New Roman" w:hAnsi="Times New Roman" w:cs="Times New Roman"/>
          <w:sz w:val="24"/>
          <w:szCs w:val="24"/>
        </w:rPr>
        <w:t>Blanch</w:t>
      </w:r>
      <w:r w:rsidRPr="00050185">
        <w:rPr>
          <w:rFonts w:ascii="Times New Roman" w:hAnsi="Times New Roman" w:cs="Times New Roman"/>
          <w:sz w:val="24"/>
          <w:szCs w:val="24"/>
        </w:rPr>
        <w:t>.</w:t>
      </w:r>
    </w:p>
    <w:p w:rsidR="00050185" w:rsidRPr="00050185" w:rsidRDefault="00050185" w:rsidP="00050185">
      <w:pPr>
        <w:pStyle w:val="Textonotapie"/>
        <w:spacing w:line="360" w:lineRule="auto"/>
        <w:jc w:val="both"/>
        <w:rPr>
          <w:rFonts w:ascii="Times New Roman" w:hAnsi="Times New Roman" w:cs="Times New Roman"/>
          <w:sz w:val="24"/>
          <w:szCs w:val="24"/>
        </w:rPr>
      </w:pPr>
    </w:p>
    <w:p w:rsidR="00050185" w:rsidRPr="00050185" w:rsidRDefault="00050185" w:rsidP="00050185">
      <w:pPr>
        <w:pStyle w:val="Textonotapie"/>
        <w:numPr>
          <w:ilvl w:val="0"/>
          <w:numId w:val="24"/>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lastRenderedPageBreak/>
        <w:t xml:space="preserve">Muñoz Cuesta, J; Arroyo de las Heras, A; </w:t>
      </w:r>
      <w:proofErr w:type="spellStart"/>
      <w:r w:rsidRPr="00050185">
        <w:rPr>
          <w:rFonts w:ascii="Times New Roman" w:hAnsi="Times New Roman" w:cs="Times New Roman"/>
          <w:sz w:val="24"/>
          <w:szCs w:val="24"/>
        </w:rPr>
        <w:t>Goyena</w:t>
      </w:r>
      <w:proofErr w:type="spellEnd"/>
      <w:r w:rsidRPr="00050185">
        <w:rPr>
          <w:rFonts w:ascii="Times New Roman" w:hAnsi="Times New Roman" w:cs="Times New Roman"/>
          <w:sz w:val="24"/>
          <w:szCs w:val="24"/>
        </w:rPr>
        <w:t xml:space="preserve"> Huerta, J (1998): &lt;&lt;</w:t>
      </w:r>
      <w:r w:rsidRPr="00050185">
        <w:rPr>
          <w:rFonts w:ascii="Times New Roman" w:hAnsi="Times New Roman" w:cs="Times New Roman"/>
          <w:i/>
          <w:sz w:val="24"/>
          <w:szCs w:val="24"/>
        </w:rPr>
        <w:t>El hurto, el robo y el hurto y robo de uso de vehículos</w:t>
      </w:r>
      <w:proofErr w:type="gramStart"/>
      <w:r w:rsidRPr="00050185">
        <w:rPr>
          <w:rFonts w:ascii="Times New Roman" w:hAnsi="Times New Roman" w:cs="Times New Roman"/>
          <w:i/>
          <w:sz w:val="24"/>
          <w:szCs w:val="24"/>
        </w:rPr>
        <w:t>.</w:t>
      </w:r>
      <w:r w:rsidRPr="00050185">
        <w:rPr>
          <w:rFonts w:ascii="Times New Roman" w:hAnsi="Times New Roman" w:cs="Times New Roman"/>
          <w:sz w:val="24"/>
          <w:szCs w:val="24"/>
        </w:rPr>
        <w:t>&gt;</w:t>
      </w:r>
      <w:proofErr w:type="gramEnd"/>
      <w:r w:rsidRPr="00050185">
        <w:rPr>
          <w:rFonts w:ascii="Times New Roman" w:hAnsi="Times New Roman" w:cs="Times New Roman"/>
          <w:sz w:val="24"/>
          <w:szCs w:val="24"/>
        </w:rPr>
        <w:t>&gt;. Ed. Aranzadi.</w:t>
      </w:r>
    </w:p>
    <w:p w:rsidR="00050185" w:rsidRPr="00050185" w:rsidRDefault="00050185" w:rsidP="00050185">
      <w:pPr>
        <w:pStyle w:val="Textonotapie"/>
        <w:spacing w:line="360" w:lineRule="auto"/>
        <w:jc w:val="both"/>
        <w:rPr>
          <w:rFonts w:ascii="Times New Roman" w:hAnsi="Times New Roman" w:cs="Times New Roman"/>
          <w:sz w:val="24"/>
          <w:szCs w:val="24"/>
        </w:rPr>
      </w:pPr>
    </w:p>
    <w:p w:rsidR="00050185" w:rsidRPr="00050185" w:rsidRDefault="00050185" w:rsidP="00050185">
      <w:pPr>
        <w:pStyle w:val="Textonotapie"/>
        <w:numPr>
          <w:ilvl w:val="0"/>
          <w:numId w:val="24"/>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Pérez del Valle, C. (2016) &lt;&lt;</w:t>
      </w:r>
      <w:r w:rsidRPr="00050185">
        <w:rPr>
          <w:rFonts w:ascii="Times New Roman" w:hAnsi="Times New Roman" w:cs="Times New Roman"/>
          <w:i/>
          <w:sz w:val="24"/>
          <w:szCs w:val="24"/>
        </w:rPr>
        <w:t>Lecciones de Derecho Penal. Parte General</w:t>
      </w:r>
      <w:proofErr w:type="gramStart"/>
      <w:r w:rsidRPr="00050185">
        <w:rPr>
          <w:rFonts w:ascii="Times New Roman" w:hAnsi="Times New Roman" w:cs="Times New Roman"/>
          <w:i/>
          <w:sz w:val="24"/>
          <w:szCs w:val="24"/>
        </w:rPr>
        <w:t>.</w:t>
      </w:r>
      <w:r w:rsidRPr="00050185">
        <w:rPr>
          <w:rFonts w:ascii="Times New Roman" w:hAnsi="Times New Roman" w:cs="Times New Roman"/>
          <w:sz w:val="24"/>
          <w:szCs w:val="24"/>
        </w:rPr>
        <w:t>&gt;</w:t>
      </w:r>
      <w:proofErr w:type="gramEnd"/>
      <w:r w:rsidRPr="00050185">
        <w:rPr>
          <w:rFonts w:ascii="Times New Roman" w:hAnsi="Times New Roman" w:cs="Times New Roman"/>
          <w:sz w:val="24"/>
          <w:szCs w:val="24"/>
        </w:rPr>
        <w:t xml:space="preserve">&gt;. Madrid. Ed. </w:t>
      </w:r>
      <w:proofErr w:type="spellStart"/>
      <w:r w:rsidRPr="00050185">
        <w:rPr>
          <w:rFonts w:ascii="Times New Roman" w:hAnsi="Times New Roman" w:cs="Times New Roman"/>
          <w:sz w:val="24"/>
          <w:szCs w:val="24"/>
        </w:rPr>
        <w:t>Dykinson</w:t>
      </w:r>
      <w:proofErr w:type="spellEnd"/>
      <w:r w:rsidRPr="00050185">
        <w:rPr>
          <w:rFonts w:ascii="Times New Roman" w:hAnsi="Times New Roman" w:cs="Times New Roman"/>
          <w:sz w:val="24"/>
          <w:szCs w:val="24"/>
        </w:rPr>
        <w:t xml:space="preserve"> S.L</w:t>
      </w:r>
      <w:r w:rsidR="0032550C">
        <w:rPr>
          <w:rFonts w:ascii="Times New Roman" w:hAnsi="Times New Roman" w:cs="Times New Roman"/>
          <w:sz w:val="24"/>
          <w:szCs w:val="24"/>
        </w:rPr>
        <w:t>.</w:t>
      </w:r>
    </w:p>
    <w:p w:rsidR="00050185" w:rsidRPr="00050185" w:rsidRDefault="00050185" w:rsidP="00050185">
      <w:pPr>
        <w:pStyle w:val="Textonotapie"/>
        <w:spacing w:line="360" w:lineRule="auto"/>
        <w:jc w:val="both"/>
        <w:rPr>
          <w:rFonts w:ascii="Times New Roman" w:hAnsi="Times New Roman" w:cs="Times New Roman"/>
          <w:sz w:val="24"/>
          <w:szCs w:val="24"/>
        </w:rPr>
      </w:pPr>
    </w:p>
    <w:p w:rsidR="00050185" w:rsidRDefault="00050185" w:rsidP="00050185">
      <w:pPr>
        <w:pStyle w:val="Textonotapie"/>
        <w:numPr>
          <w:ilvl w:val="0"/>
          <w:numId w:val="24"/>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Quintero Olivares, G: &lt;&lt;</w:t>
      </w:r>
      <w:r w:rsidRPr="00050185">
        <w:rPr>
          <w:rFonts w:ascii="Times New Roman" w:hAnsi="Times New Roman" w:cs="Times New Roman"/>
          <w:i/>
          <w:sz w:val="24"/>
          <w:szCs w:val="24"/>
        </w:rPr>
        <w:t>Comentario a la reforma penal de 2015</w:t>
      </w:r>
      <w:r w:rsidRPr="00050185">
        <w:rPr>
          <w:rFonts w:ascii="Times New Roman" w:hAnsi="Times New Roman" w:cs="Times New Roman"/>
          <w:sz w:val="24"/>
          <w:szCs w:val="24"/>
        </w:rPr>
        <w:t>&gt;&gt;. Ed. Thomson Reuters Aranzadi.</w:t>
      </w:r>
    </w:p>
    <w:p w:rsidR="0032550C" w:rsidRPr="00050185" w:rsidRDefault="0032550C" w:rsidP="0032550C">
      <w:pPr>
        <w:pStyle w:val="Textonotapie"/>
        <w:spacing w:line="360" w:lineRule="auto"/>
        <w:jc w:val="both"/>
        <w:rPr>
          <w:rFonts w:ascii="Times New Roman" w:hAnsi="Times New Roman" w:cs="Times New Roman"/>
          <w:sz w:val="24"/>
          <w:szCs w:val="24"/>
        </w:rPr>
      </w:pPr>
    </w:p>
    <w:p w:rsidR="00050185" w:rsidRPr="00050185" w:rsidRDefault="00050185" w:rsidP="00050185">
      <w:pPr>
        <w:pStyle w:val="Textonotapie"/>
        <w:numPr>
          <w:ilvl w:val="0"/>
          <w:numId w:val="24"/>
        </w:numPr>
        <w:spacing w:line="360" w:lineRule="auto"/>
        <w:jc w:val="both"/>
        <w:rPr>
          <w:rFonts w:ascii="Times New Roman" w:hAnsi="Times New Roman" w:cs="Times New Roman"/>
          <w:sz w:val="24"/>
          <w:szCs w:val="24"/>
        </w:rPr>
      </w:pPr>
      <w:r w:rsidRPr="00050185">
        <w:rPr>
          <w:rFonts w:ascii="Times New Roman" w:hAnsi="Times New Roman" w:cs="Times New Roman"/>
          <w:sz w:val="24"/>
          <w:szCs w:val="24"/>
        </w:rPr>
        <w:t xml:space="preserve">Serrano Gómez, A; Serrano </w:t>
      </w:r>
      <w:r w:rsidR="00100A16" w:rsidRPr="00050185">
        <w:rPr>
          <w:rFonts w:ascii="Times New Roman" w:hAnsi="Times New Roman" w:cs="Times New Roman"/>
          <w:sz w:val="24"/>
          <w:szCs w:val="24"/>
        </w:rPr>
        <w:t>Maíllo</w:t>
      </w:r>
      <w:r w:rsidRPr="00050185">
        <w:rPr>
          <w:rFonts w:ascii="Times New Roman" w:hAnsi="Times New Roman" w:cs="Times New Roman"/>
          <w:sz w:val="24"/>
          <w:szCs w:val="24"/>
        </w:rPr>
        <w:t xml:space="preserve">, A; Serrano Tárraga, M.D; Vázquez </w:t>
      </w:r>
      <w:r w:rsidR="00100A16" w:rsidRPr="00050185">
        <w:rPr>
          <w:rFonts w:ascii="Times New Roman" w:hAnsi="Times New Roman" w:cs="Times New Roman"/>
          <w:sz w:val="24"/>
          <w:szCs w:val="24"/>
        </w:rPr>
        <w:t>González</w:t>
      </w:r>
      <w:r w:rsidRPr="00050185">
        <w:rPr>
          <w:rFonts w:ascii="Times New Roman" w:hAnsi="Times New Roman" w:cs="Times New Roman"/>
          <w:sz w:val="24"/>
          <w:szCs w:val="24"/>
        </w:rPr>
        <w:t>, C (2016): &lt;&lt;</w:t>
      </w:r>
      <w:r w:rsidRPr="00050185">
        <w:rPr>
          <w:rFonts w:ascii="Times New Roman" w:hAnsi="Times New Roman" w:cs="Times New Roman"/>
          <w:i/>
          <w:sz w:val="24"/>
          <w:szCs w:val="24"/>
        </w:rPr>
        <w:t>Curso de Derecho penal. Parte Especial</w:t>
      </w:r>
      <w:r w:rsidRPr="00050185">
        <w:rPr>
          <w:rFonts w:ascii="Times New Roman" w:hAnsi="Times New Roman" w:cs="Times New Roman"/>
          <w:sz w:val="24"/>
          <w:szCs w:val="24"/>
        </w:rPr>
        <w:t xml:space="preserve">&gt;&gt;.          Madrid. Ed. </w:t>
      </w:r>
      <w:proofErr w:type="spellStart"/>
      <w:r w:rsidRPr="00050185">
        <w:rPr>
          <w:rFonts w:ascii="Times New Roman" w:hAnsi="Times New Roman" w:cs="Times New Roman"/>
          <w:sz w:val="24"/>
          <w:szCs w:val="24"/>
        </w:rPr>
        <w:t>Uned</w:t>
      </w:r>
      <w:proofErr w:type="spellEnd"/>
      <w:r w:rsidRPr="00050185">
        <w:rPr>
          <w:rFonts w:ascii="Times New Roman" w:hAnsi="Times New Roman" w:cs="Times New Roman"/>
          <w:sz w:val="24"/>
          <w:szCs w:val="24"/>
        </w:rPr>
        <w:t xml:space="preserve">. </w:t>
      </w:r>
    </w:p>
    <w:p w:rsidR="00050185" w:rsidRPr="00050185" w:rsidRDefault="00050185" w:rsidP="00050185">
      <w:pPr>
        <w:pStyle w:val="Textonotapie"/>
        <w:spacing w:line="360" w:lineRule="auto"/>
        <w:ind w:left="720"/>
        <w:jc w:val="both"/>
        <w:rPr>
          <w:rFonts w:ascii="Times New Roman" w:hAnsi="Times New Roman" w:cs="Times New Roman"/>
          <w:sz w:val="24"/>
          <w:szCs w:val="24"/>
        </w:rPr>
      </w:pPr>
    </w:p>
    <w:p w:rsidR="00050185" w:rsidRPr="00050185" w:rsidRDefault="00050185" w:rsidP="00050185">
      <w:pPr>
        <w:pStyle w:val="Textonotapie"/>
        <w:numPr>
          <w:ilvl w:val="0"/>
          <w:numId w:val="24"/>
        </w:numPr>
        <w:spacing w:line="360" w:lineRule="auto"/>
        <w:jc w:val="both"/>
        <w:rPr>
          <w:rFonts w:ascii="Times New Roman" w:hAnsi="Times New Roman" w:cs="Times New Roman"/>
          <w:sz w:val="24"/>
          <w:szCs w:val="24"/>
        </w:rPr>
      </w:pPr>
      <w:proofErr w:type="spellStart"/>
      <w:r w:rsidRPr="00050185">
        <w:rPr>
          <w:rFonts w:ascii="Times New Roman" w:hAnsi="Times New Roman" w:cs="Times New Roman"/>
          <w:sz w:val="24"/>
          <w:szCs w:val="24"/>
        </w:rPr>
        <w:t>Terradillos</w:t>
      </w:r>
      <w:proofErr w:type="spellEnd"/>
      <w:r w:rsidRPr="00050185">
        <w:rPr>
          <w:rFonts w:ascii="Times New Roman" w:hAnsi="Times New Roman" w:cs="Times New Roman"/>
          <w:sz w:val="24"/>
          <w:szCs w:val="24"/>
        </w:rPr>
        <w:t xml:space="preserve"> </w:t>
      </w:r>
      <w:proofErr w:type="spellStart"/>
      <w:r w:rsidRPr="00050185">
        <w:rPr>
          <w:rFonts w:ascii="Times New Roman" w:hAnsi="Times New Roman" w:cs="Times New Roman"/>
          <w:sz w:val="24"/>
          <w:szCs w:val="24"/>
        </w:rPr>
        <w:t>Basoco</w:t>
      </w:r>
      <w:proofErr w:type="spellEnd"/>
      <w:r w:rsidRPr="00050185">
        <w:rPr>
          <w:rFonts w:ascii="Times New Roman" w:hAnsi="Times New Roman" w:cs="Times New Roman"/>
          <w:sz w:val="24"/>
          <w:szCs w:val="24"/>
        </w:rPr>
        <w:t xml:space="preserve">, J. M; Ríos Corbacho, J; </w:t>
      </w:r>
      <w:proofErr w:type="spellStart"/>
      <w:r w:rsidRPr="00050185">
        <w:rPr>
          <w:rFonts w:ascii="Times New Roman" w:hAnsi="Times New Roman" w:cs="Times New Roman"/>
          <w:sz w:val="24"/>
          <w:szCs w:val="24"/>
        </w:rPr>
        <w:t>Acale</w:t>
      </w:r>
      <w:proofErr w:type="spellEnd"/>
      <w:r w:rsidRPr="00050185">
        <w:rPr>
          <w:rFonts w:ascii="Times New Roman" w:hAnsi="Times New Roman" w:cs="Times New Roman"/>
          <w:sz w:val="24"/>
          <w:szCs w:val="24"/>
        </w:rPr>
        <w:t xml:space="preserve"> </w:t>
      </w:r>
      <w:r w:rsidR="00100A16" w:rsidRPr="00050185">
        <w:rPr>
          <w:rFonts w:ascii="Times New Roman" w:hAnsi="Times New Roman" w:cs="Times New Roman"/>
          <w:sz w:val="24"/>
          <w:szCs w:val="24"/>
        </w:rPr>
        <w:t>Sánchez</w:t>
      </w:r>
      <w:r w:rsidRPr="00050185">
        <w:rPr>
          <w:rFonts w:ascii="Times New Roman" w:hAnsi="Times New Roman" w:cs="Times New Roman"/>
          <w:sz w:val="24"/>
          <w:szCs w:val="24"/>
        </w:rPr>
        <w:t xml:space="preserve">, M; Salinero Alonso, C; </w:t>
      </w:r>
      <w:proofErr w:type="spellStart"/>
      <w:r w:rsidRPr="00050185">
        <w:rPr>
          <w:rFonts w:ascii="Times New Roman" w:hAnsi="Times New Roman" w:cs="Times New Roman"/>
          <w:sz w:val="24"/>
          <w:szCs w:val="24"/>
        </w:rPr>
        <w:t>Hava</w:t>
      </w:r>
      <w:proofErr w:type="spellEnd"/>
      <w:r w:rsidRPr="00050185">
        <w:rPr>
          <w:rFonts w:ascii="Times New Roman" w:hAnsi="Times New Roman" w:cs="Times New Roman"/>
          <w:sz w:val="24"/>
          <w:szCs w:val="24"/>
        </w:rPr>
        <w:t xml:space="preserve"> García, E; González Agudelo, G; </w:t>
      </w:r>
      <w:r w:rsidR="00100A16" w:rsidRPr="00050185">
        <w:rPr>
          <w:rFonts w:ascii="Times New Roman" w:hAnsi="Times New Roman" w:cs="Times New Roman"/>
          <w:sz w:val="24"/>
          <w:szCs w:val="24"/>
        </w:rPr>
        <w:t>Rodríguez</w:t>
      </w:r>
      <w:r w:rsidRPr="00050185">
        <w:rPr>
          <w:rFonts w:ascii="Times New Roman" w:hAnsi="Times New Roman" w:cs="Times New Roman"/>
          <w:sz w:val="24"/>
          <w:szCs w:val="24"/>
        </w:rPr>
        <w:t xml:space="preserve"> Mesa, M. J; </w:t>
      </w:r>
      <w:r w:rsidR="00100A16" w:rsidRPr="00050185">
        <w:rPr>
          <w:rFonts w:ascii="Times New Roman" w:hAnsi="Times New Roman" w:cs="Times New Roman"/>
          <w:sz w:val="24"/>
          <w:szCs w:val="24"/>
        </w:rPr>
        <w:t>Rodríguez</w:t>
      </w:r>
      <w:r w:rsidRPr="00050185">
        <w:rPr>
          <w:rFonts w:ascii="Times New Roman" w:hAnsi="Times New Roman" w:cs="Times New Roman"/>
          <w:sz w:val="24"/>
          <w:szCs w:val="24"/>
        </w:rPr>
        <w:t xml:space="preserve"> Moro, L; </w:t>
      </w:r>
      <w:proofErr w:type="spellStart"/>
      <w:r w:rsidRPr="00050185">
        <w:rPr>
          <w:rFonts w:ascii="Times New Roman" w:hAnsi="Times New Roman" w:cs="Times New Roman"/>
          <w:sz w:val="24"/>
          <w:szCs w:val="24"/>
        </w:rPr>
        <w:t>Meini</w:t>
      </w:r>
      <w:proofErr w:type="spellEnd"/>
      <w:r w:rsidRPr="00050185">
        <w:rPr>
          <w:rFonts w:ascii="Times New Roman" w:hAnsi="Times New Roman" w:cs="Times New Roman"/>
          <w:sz w:val="24"/>
          <w:szCs w:val="24"/>
        </w:rPr>
        <w:t xml:space="preserve"> I; Gallardo García, R.M. (2016) &lt;&lt;</w:t>
      </w:r>
      <w:r w:rsidRPr="00050185">
        <w:rPr>
          <w:rFonts w:ascii="Times New Roman" w:hAnsi="Times New Roman" w:cs="Times New Roman"/>
          <w:i/>
          <w:sz w:val="24"/>
          <w:szCs w:val="24"/>
        </w:rPr>
        <w:t>Lecciones y materiales para el estudio del derecho Penal. Derecho penal. Parte Especial. Volumen I. Tomo III. 2ª Edición</w:t>
      </w:r>
      <w:proofErr w:type="gramStart"/>
      <w:r w:rsidRPr="00050185">
        <w:rPr>
          <w:rFonts w:ascii="Times New Roman" w:hAnsi="Times New Roman" w:cs="Times New Roman"/>
          <w:sz w:val="24"/>
          <w:szCs w:val="24"/>
        </w:rPr>
        <w:t>.&gt;</w:t>
      </w:r>
      <w:proofErr w:type="gramEnd"/>
      <w:r w:rsidRPr="00050185">
        <w:rPr>
          <w:rFonts w:ascii="Times New Roman" w:hAnsi="Times New Roman" w:cs="Times New Roman"/>
          <w:sz w:val="24"/>
          <w:szCs w:val="24"/>
        </w:rPr>
        <w:t xml:space="preserve">&gt; Madrid. Ed. </w:t>
      </w:r>
      <w:proofErr w:type="spellStart"/>
      <w:r w:rsidRPr="00050185">
        <w:rPr>
          <w:rFonts w:ascii="Times New Roman" w:hAnsi="Times New Roman" w:cs="Times New Roman"/>
          <w:sz w:val="24"/>
          <w:szCs w:val="24"/>
        </w:rPr>
        <w:t>Iustel</w:t>
      </w:r>
      <w:proofErr w:type="spellEnd"/>
      <w:r w:rsidRPr="00050185">
        <w:rPr>
          <w:rFonts w:ascii="Times New Roman" w:hAnsi="Times New Roman" w:cs="Times New Roman"/>
          <w:sz w:val="24"/>
          <w:szCs w:val="24"/>
        </w:rPr>
        <w:t>.</w:t>
      </w:r>
    </w:p>
    <w:p w:rsidR="00050185" w:rsidRPr="00050185" w:rsidRDefault="00050185" w:rsidP="00050185">
      <w:pPr>
        <w:spacing w:line="360" w:lineRule="auto"/>
        <w:jc w:val="both"/>
        <w:rPr>
          <w:sz w:val="24"/>
          <w:szCs w:val="24"/>
        </w:rPr>
      </w:pPr>
    </w:p>
    <w:p w:rsidR="00050185" w:rsidRPr="00050185" w:rsidRDefault="00050185" w:rsidP="00050185">
      <w:pPr>
        <w:spacing w:line="360" w:lineRule="auto"/>
        <w:jc w:val="both"/>
        <w:rPr>
          <w:sz w:val="24"/>
          <w:szCs w:val="24"/>
        </w:rPr>
      </w:pPr>
    </w:p>
    <w:p w:rsidR="00D406A5" w:rsidRPr="00050185" w:rsidRDefault="00D406A5" w:rsidP="00050185">
      <w:pPr>
        <w:spacing w:line="360" w:lineRule="auto"/>
        <w:jc w:val="both"/>
        <w:rPr>
          <w:sz w:val="24"/>
          <w:szCs w:val="24"/>
        </w:rPr>
      </w:pPr>
    </w:p>
    <w:p w:rsidR="00D406A5" w:rsidRPr="00050185" w:rsidRDefault="00D406A5" w:rsidP="00050185">
      <w:pPr>
        <w:spacing w:line="360" w:lineRule="auto"/>
        <w:jc w:val="both"/>
        <w:rPr>
          <w:sz w:val="24"/>
          <w:szCs w:val="24"/>
        </w:rPr>
      </w:pPr>
    </w:p>
    <w:p w:rsidR="00D406A5" w:rsidRPr="00050185" w:rsidRDefault="00D406A5" w:rsidP="00050185">
      <w:pPr>
        <w:spacing w:line="360" w:lineRule="auto"/>
        <w:jc w:val="both"/>
        <w:rPr>
          <w:sz w:val="24"/>
          <w:szCs w:val="24"/>
        </w:rPr>
      </w:pPr>
    </w:p>
    <w:p w:rsidR="00050185" w:rsidRPr="00050185" w:rsidRDefault="00050185" w:rsidP="00050185">
      <w:pPr>
        <w:spacing w:line="360" w:lineRule="auto"/>
        <w:jc w:val="both"/>
        <w:rPr>
          <w:sz w:val="24"/>
          <w:szCs w:val="24"/>
        </w:rPr>
      </w:pPr>
    </w:p>
    <w:sectPr w:rsidR="00050185" w:rsidRPr="00050185" w:rsidSect="003C25F1">
      <w:footerReference w:type="default" r:id="rId10"/>
      <w:pgSz w:w="11906" w:h="16838"/>
      <w:pgMar w:top="1417" w:right="1701" w:bottom="1417" w:left="1701"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44B6" w:rsidRDefault="00A744B6" w:rsidP="00050185">
      <w:r>
        <w:separator/>
      </w:r>
    </w:p>
  </w:endnote>
  <w:endnote w:type="continuationSeparator" w:id="0">
    <w:p w:rsidR="00A744B6" w:rsidRDefault="00A744B6" w:rsidP="000501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7072658"/>
      <w:docPartObj>
        <w:docPartGallery w:val="Page Numbers (Bottom of Page)"/>
        <w:docPartUnique/>
      </w:docPartObj>
    </w:sdtPr>
    <w:sdtEndPr/>
    <w:sdtContent>
      <w:p w:rsidR="00A744B6" w:rsidRDefault="00A744B6">
        <w:pPr>
          <w:pStyle w:val="Piedepgina"/>
          <w:jc w:val="right"/>
        </w:pPr>
        <w:r>
          <w:fldChar w:fldCharType="begin"/>
        </w:r>
        <w:r>
          <w:instrText>PAGE   \* MERGEFORMAT</w:instrText>
        </w:r>
        <w:r>
          <w:fldChar w:fldCharType="separate"/>
        </w:r>
        <w:r w:rsidR="00BE7D97">
          <w:rPr>
            <w:noProof/>
          </w:rPr>
          <w:t>12</w:t>
        </w:r>
        <w:r>
          <w:fldChar w:fldCharType="end"/>
        </w:r>
      </w:p>
    </w:sdtContent>
  </w:sdt>
  <w:p w:rsidR="00A744B6" w:rsidRDefault="00A744B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44B6" w:rsidRDefault="00A744B6" w:rsidP="00050185">
      <w:r>
        <w:separator/>
      </w:r>
    </w:p>
  </w:footnote>
  <w:footnote w:type="continuationSeparator" w:id="0">
    <w:p w:rsidR="00A744B6" w:rsidRDefault="00A744B6" w:rsidP="00050185">
      <w:r>
        <w:continuationSeparator/>
      </w:r>
    </w:p>
  </w:footnote>
  <w:footnote w:id="1">
    <w:p w:rsidR="00A744B6" w:rsidRPr="00121A2D" w:rsidRDefault="00A744B6" w:rsidP="00050185">
      <w:pPr>
        <w:pStyle w:val="Textonotapie"/>
        <w:jc w:val="both"/>
        <w:rPr>
          <w:rFonts w:ascii="Times New Roman" w:hAnsi="Times New Roman" w:cs="Times New Roman"/>
        </w:rPr>
      </w:pPr>
      <w:r w:rsidRPr="00121A2D">
        <w:rPr>
          <w:rStyle w:val="Refdenotaalpie"/>
          <w:rFonts w:ascii="Times New Roman" w:hAnsi="Times New Roman" w:cs="Times New Roman"/>
        </w:rPr>
        <w:footnoteRef/>
      </w:r>
      <w:r>
        <w:rPr>
          <w:rFonts w:ascii="Times New Roman" w:hAnsi="Times New Roman" w:cs="Times New Roman"/>
        </w:rPr>
        <w:t xml:space="preserve">Muñoz Cuesta, J; Arroyo de las Heras, A; </w:t>
      </w:r>
      <w:proofErr w:type="spellStart"/>
      <w:r>
        <w:rPr>
          <w:rFonts w:ascii="Times New Roman" w:hAnsi="Times New Roman" w:cs="Times New Roman"/>
        </w:rPr>
        <w:t>Goyena</w:t>
      </w:r>
      <w:proofErr w:type="spellEnd"/>
      <w:r>
        <w:rPr>
          <w:rFonts w:ascii="Times New Roman" w:hAnsi="Times New Roman" w:cs="Times New Roman"/>
        </w:rPr>
        <w:t xml:space="preserve"> Huerta, J (1998): &lt;&lt;</w:t>
      </w:r>
      <w:r w:rsidRPr="004560F2">
        <w:rPr>
          <w:rFonts w:ascii="Times New Roman" w:hAnsi="Times New Roman" w:cs="Times New Roman"/>
          <w:i/>
        </w:rPr>
        <w:t>El hurto, el robo y el hurto y robo de uso de vehículos</w:t>
      </w:r>
      <w:proofErr w:type="gramStart"/>
      <w:r w:rsidRPr="004560F2">
        <w:rPr>
          <w:rFonts w:ascii="Times New Roman" w:hAnsi="Times New Roman" w:cs="Times New Roman"/>
          <w:i/>
        </w:rPr>
        <w:t>.</w:t>
      </w:r>
      <w:r>
        <w:rPr>
          <w:rFonts w:ascii="Times New Roman" w:hAnsi="Times New Roman" w:cs="Times New Roman"/>
        </w:rPr>
        <w:t>&gt;</w:t>
      </w:r>
      <w:proofErr w:type="gramEnd"/>
      <w:r>
        <w:rPr>
          <w:rFonts w:ascii="Times New Roman" w:hAnsi="Times New Roman" w:cs="Times New Roman"/>
        </w:rPr>
        <w:t>&gt;. Ed. Aranzadi. p.20 y ss.</w:t>
      </w:r>
    </w:p>
  </w:footnote>
  <w:footnote w:id="2">
    <w:p w:rsidR="00A744B6" w:rsidRPr="004232D6" w:rsidRDefault="00A744B6" w:rsidP="00050185">
      <w:pPr>
        <w:pStyle w:val="Textonotapie"/>
        <w:jc w:val="both"/>
        <w:rPr>
          <w:rFonts w:ascii="Times New Roman" w:hAnsi="Times New Roman" w:cs="Times New Roman"/>
        </w:rPr>
      </w:pPr>
      <w:r w:rsidRPr="004232D6">
        <w:rPr>
          <w:rStyle w:val="Refdenotaalpie"/>
          <w:rFonts w:ascii="Times New Roman" w:hAnsi="Times New Roman" w:cs="Times New Roman"/>
        </w:rPr>
        <w:footnoteRef/>
      </w:r>
      <w:r>
        <w:rPr>
          <w:rFonts w:ascii="Times New Roman" w:hAnsi="Times New Roman" w:cs="Times New Roman"/>
        </w:rPr>
        <w:t xml:space="preserve">González </w:t>
      </w:r>
      <w:proofErr w:type="spellStart"/>
      <w:r>
        <w:rPr>
          <w:rFonts w:ascii="Times New Roman" w:hAnsi="Times New Roman" w:cs="Times New Roman"/>
        </w:rPr>
        <w:t>Cussac</w:t>
      </w:r>
      <w:proofErr w:type="spellEnd"/>
      <w:r>
        <w:rPr>
          <w:rFonts w:ascii="Times New Roman" w:hAnsi="Times New Roman" w:cs="Times New Roman"/>
        </w:rPr>
        <w:t xml:space="preserve">, J.L; </w:t>
      </w:r>
      <w:proofErr w:type="spellStart"/>
      <w:r>
        <w:rPr>
          <w:rFonts w:ascii="Times New Roman" w:hAnsi="Times New Roman" w:cs="Times New Roman"/>
        </w:rPr>
        <w:t>Gorriz</w:t>
      </w:r>
      <w:proofErr w:type="spellEnd"/>
      <w:r>
        <w:rPr>
          <w:rFonts w:ascii="Times New Roman" w:hAnsi="Times New Roman" w:cs="Times New Roman"/>
        </w:rPr>
        <w:t xml:space="preserve"> Royo, E; </w:t>
      </w:r>
      <w:proofErr w:type="spellStart"/>
      <w:r>
        <w:rPr>
          <w:rFonts w:ascii="Times New Roman" w:hAnsi="Times New Roman" w:cs="Times New Roman"/>
        </w:rPr>
        <w:t>Matallin</w:t>
      </w:r>
      <w:proofErr w:type="spellEnd"/>
      <w:r>
        <w:rPr>
          <w:rFonts w:ascii="Times New Roman" w:hAnsi="Times New Roman" w:cs="Times New Roman"/>
        </w:rPr>
        <w:t xml:space="preserve"> Evangelio, A: &lt;&lt;</w:t>
      </w:r>
      <w:r w:rsidRPr="004232D6">
        <w:rPr>
          <w:rFonts w:ascii="Times New Roman" w:hAnsi="Times New Roman" w:cs="Times New Roman"/>
          <w:i/>
        </w:rPr>
        <w:t>Comentarios a la reforma del Código Penal de 2015</w:t>
      </w:r>
      <w:r>
        <w:rPr>
          <w:rFonts w:ascii="Times New Roman" w:hAnsi="Times New Roman" w:cs="Times New Roman"/>
        </w:rPr>
        <w:t xml:space="preserve">. </w:t>
      </w:r>
      <w:r>
        <w:rPr>
          <w:rFonts w:ascii="Times New Roman" w:hAnsi="Times New Roman" w:cs="Times New Roman"/>
          <w:i/>
        </w:rPr>
        <w:t>2ª Edición.</w:t>
      </w:r>
      <w:r>
        <w:rPr>
          <w:rFonts w:ascii="Times New Roman" w:hAnsi="Times New Roman" w:cs="Times New Roman"/>
        </w:rPr>
        <w:t>&gt;&gt; Ed. Tirant lo Blanch</w:t>
      </w:r>
    </w:p>
  </w:footnote>
  <w:footnote w:id="3">
    <w:p w:rsidR="00A744B6" w:rsidRPr="00D12C89" w:rsidRDefault="00A744B6">
      <w:pPr>
        <w:pStyle w:val="Textonotapie"/>
        <w:rPr>
          <w:rFonts w:ascii="Times New Roman" w:hAnsi="Times New Roman" w:cs="Times New Roman"/>
        </w:rPr>
      </w:pPr>
      <w:r w:rsidRPr="00D12C89">
        <w:rPr>
          <w:rStyle w:val="Refdenotaalpie"/>
          <w:rFonts w:ascii="Times New Roman" w:hAnsi="Times New Roman" w:cs="Times New Roman"/>
        </w:rPr>
        <w:footnoteRef/>
      </w:r>
      <w:r w:rsidRPr="00D12C89">
        <w:rPr>
          <w:rFonts w:ascii="Times New Roman" w:hAnsi="Times New Roman" w:cs="Times New Roman"/>
        </w:rPr>
        <w:t xml:space="preserve"> González </w:t>
      </w:r>
      <w:proofErr w:type="spellStart"/>
      <w:r w:rsidRPr="00D12C89">
        <w:rPr>
          <w:rFonts w:ascii="Times New Roman" w:hAnsi="Times New Roman" w:cs="Times New Roman"/>
        </w:rPr>
        <w:t>Cussac</w:t>
      </w:r>
      <w:proofErr w:type="spellEnd"/>
      <w:r w:rsidRPr="00D12C89">
        <w:rPr>
          <w:rFonts w:ascii="Times New Roman" w:hAnsi="Times New Roman" w:cs="Times New Roman"/>
        </w:rPr>
        <w:t xml:space="preserve">, J.L; </w:t>
      </w:r>
      <w:proofErr w:type="spellStart"/>
      <w:r w:rsidRPr="00D12C89">
        <w:rPr>
          <w:rFonts w:ascii="Times New Roman" w:hAnsi="Times New Roman" w:cs="Times New Roman"/>
        </w:rPr>
        <w:t>Gorriz</w:t>
      </w:r>
      <w:proofErr w:type="spellEnd"/>
      <w:r w:rsidRPr="00D12C89">
        <w:rPr>
          <w:rFonts w:ascii="Times New Roman" w:hAnsi="Times New Roman" w:cs="Times New Roman"/>
        </w:rPr>
        <w:t xml:space="preserve"> Royo, E; </w:t>
      </w:r>
      <w:proofErr w:type="spellStart"/>
      <w:r w:rsidRPr="00D12C89">
        <w:rPr>
          <w:rFonts w:ascii="Times New Roman" w:hAnsi="Times New Roman" w:cs="Times New Roman"/>
        </w:rPr>
        <w:t>Matallin</w:t>
      </w:r>
      <w:proofErr w:type="spellEnd"/>
      <w:r w:rsidRPr="00D12C89">
        <w:rPr>
          <w:rFonts w:ascii="Times New Roman" w:hAnsi="Times New Roman" w:cs="Times New Roman"/>
        </w:rPr>
        <w:t xml:space="preserve"> Evangelio, A: &lt;&lt;</w:t>
      </w:r>
      <w:r w:rsidRPr="00D12C89">
        <w:rPr>
          <w:rFonts w:ascii="Times New Roman" w:hAnsi="Times New Roman" w:cs="Times New Roman"/>
          <w:i/>
        </w:rPr>
        <w:t>Comentarios a la reforma del Código Penal de 2015</w:t>
      </w:r>
      <w:r w:rsidRPr="00D12C89">
        <w:rPr>
          <w:rFonts w:ascii="Times New Roman" w:hAnsi="Times New Roman" w:cs="Times New Roman"/>
        </w:rPr>
        <w:t xml:space="preserve">. </w:t>
      </w:r>
      <w:r w:rsidRPr="00D12C89">
        <w:rPr>
          <w:rFonts w:ascii="Times New Roman" w:hAnsi="Times New Roman" w:cs="Times New Roman"/>
          <w:i/>
        </w:rPr>
        <w:t>2ª Edición.</w:t>
      </w:r>
      <w:r w:rsidRPr="00D12C89">
        <w:rPr>
          <w:rFonts w:ascii="Times New Roman" w:hAnsi="Times New Roman" w:cs="Times New Roman"/>
        </w:rPr>
        <w:t>&gt;&gt; Ed. Tirant lo Blanch</w:t>
      </w:r>
    </w:p>
  </w:footnote>
  <w:footnote w:id="4">
    <w:p w:rsidR="00FC2AA2" w:rsidRPr="00FC2AA2" w:rsidRDefault="00FC2AA2">
      <w:pPr>
        <w:pStyle w:val="Textonotapie"/>
        <w:rPr>
          <w:rFonts w:ascii="Times New Roman" w:hAnsi="Times New Roman" w:cs="Times New Roman"/>
        </w:rPr>
      </w:pPr>
      <w:r w:rsidRPr="00FC2AA2">
        <w:rPr>
          <w:rStyle w:val="Refdenotaalpie"/>
          <w:rFonts w:ascii="Times New Roman" w:hAnsi="Times New Roman" w:cs="Times New Roman"/>
        </w:rPr>
        <w:footnoteRef/>
      </w:r>
      <w:r w:rsidRPr="00FC2AA2">
        <w:rPr>
          <w:rFonts w:ascii="Times New Roman" w:hAnsi="Times New Roman" w:cs="Times New Roman"/>
        </w:rPr>
        <w:t xml:space="preserve"> Véase en la Ley Orgánica 1/2015, de 30 de marzo, por la que se modifica la Ley Orgánica 10/1995, de 23 de noviembre, del Código Penal (BOE núm.77, de 31 de Marzo)</w:t>
      </w:r>
    </w:p>
  </w:footnote>
  <w:footnote w:id="5">
    <w:p w:rsidR="00A744B6" w:rsidRPr="00FC2AA2" w:rsidRDefault="00A744B6" w:rsidP="00050185">
      <w:pPr>
        <w:pStyle w:val="Textonotapie"/>
        <w:jc w:val="both"/>
        <w:rPr>
          <w:rFonts w:ascii="Times New Roman" w:hAnsi="Times New Roman" w:cs="Times New Roman"/>
        </w:rPr>
      </w:pPr>
      <w:r w:rsidRPr="00FC2AA2">
        <w:rPr>
          <w:rStyle w:val="Refdenotaalpie"/>
          <w:rFonts w:ascii="Times New Roman" w:hAnsi="Times New Roman" w:cs="Times New Roman"/>
        </w:rPr>
        <w:footnoteRef/>
      </w:r>
      <w:proofErr w:type="spellStart"/>
      <w:r w:rsidRPr="00FC2AA2">
        <w:rPr>
          <w:rFonts w:ascii="Times New Roman" w:hAnsi="Times New Roman" w:cs="Times New Roman"/>
        </w:rPr>
        <w:t>Lamarca</w:t>
      </w:r>
      <w:proofErr w:type="spellEnd"/>
      <w:r w:rsidRPr="00FC2AA2">
        <w:rPr>
          <w:rFonts w:ascii="Times New Roman" w:hAnsi="Times New Roman" w:cs="Times New Roman"/>
        </w:rPr>
        <w:t xml:space="preserve"> Pérez, C. (2016) &lt;&lt;</w:t>
      </w:r>
      <w:r w:rsidRPr="00FC2AA2">
        <w:rPr>
          <w:rFonts w:ascii="Times New Roman" w:hAnsi="Times New Roman" w:cs="Times New Roman"/>
          <w:i/>
        </w:rPr>
        <w:t>Delitos. La parte Especial del Derecho Penal</w:t>
      </w:r>
      <w:r w:rsidRPr="00FC2AA2">
        <w:rPr>
          <w:rFonts w:ascii="Times New Roman" w:hAnsi="Times New Roman" w:cs="Times New Roman"/>
        </w:rPr>
        <w:t xml:space="preserve">&gt;&gt;. Madrid, Ed. </w:t>
      </w:r>
      <w:proofErr w:type="spellStart"/>
      <w:r w:rsidRPr="00FC2AA2">
        <w:rPr>
          <w:rFonts w:ascii="Times New Roman" w:hAnsi="Times New Roman" w:cs="Times New Roman"/>
        </w:rPr>
        <w:t>Dykinson</w:t>
      </w:r>
      <w:proofErr w:type="spellEnd"/>
      <w:r w:rsidRPr="00FC2AA2">
        <w:rPr>
          <w:rFonts w:ascii="Times New Roman" w:hAnsi="Times New Roman" w:cs="Times New Roman"/>
        </w:rPr>
        <w:t xml:space="preserve">. </w:t>
      </w:r>
    </w:p>
    <w:p w:rsidR="00A744B6" w:rsidRPr="00FC2AA2" w:rsidRDefault="00A744B6" w:rsidP="00050185">
      <w:pPr>
        <w:pStyle w:val="Textonotapie"/>
        <w:jc w:val="both"/>
        <w:rPr>
          <w:rFonts w:ascii="Times New Roman" w:hAnsi="Times New Roman" w:cs="Times New Roman"/>
        </w:rPr>
      </w:pPr>
      <w:r w:rsidRPr="00FC2AA2">
        <w:rPr>
          <w:rFonts w:ascii="Times New Roman" w:hAnsi="Times New Roman" w:cs="Times New Roman"/>
        </w:rPr>
        <w:t>p. 332</w:t>
      </w:r>
    </w:p>
  </w:footnote>
  <w:footnote w:id="6">
    <w:p w:rsidR="00A744B6" w:rsidRDefault="00A744B6" w:rsidP="00050185">
      <w:pPr>
        <w:pStyle w:val="Textonotapie"/>
        <w:jc w:val="both"/>
        <w:rPr>
          <w:rFonts w:ascii="Times New Roman" w:hAnsi="Times New Roman" w:cs="Times New Roman"/>
        </w:rPr>
      </w:pPr>
      <w:r w:rsidRPr="00383A82">
        <w:rPr>
          <w:rStyle w:val="Refdenotaalpie"/>
          <w:rFonts w:ascii="Times New Roman" w:hAnsi="Times New Roman" w:cs="Times New Roman"/>
        </w:rPr>
        <w:footnoteRef/>
      </w:r>
      <w:r w:rsidRPr="00383A82">
        <w:rPr>
          <w:rFonts w:ascii="Times New Roman" w:hAnsi="Times New Roman" w:cs="Times New Roman"/>
        </w:rPr>
        <w:t xml:space="preserve">Sentencia nº 1072/2000 de TS, Sala 2ª, de lo Penal, 13 de Junio de 2000. Véase en </w:t>
      </w:r>
      <w:hyperlink r:id="rId1" w:history="1">
        <w:r w:rsidRPr="00383A82">
          <w:rPr>
            <w:rStyle w:val="Hipervnculo"/>
            <w:rFonts w:ascii="Times New Roman" w:hAnsi="Times New Roman" w:cs="Times New Roman"/>
          </w:rPr>
          <w:t>https://supremo.vlex.es/vid/intimidatorio-manifestadas-constriccion-15202160</w:t>
        </w:r>
      </w:hyperlink>
      <w:r w:rsidRPr="00383A82">
        <w:rPr>
          <w:rFonts w:ascii="Times New Roman" w:hAnsi="Times New Roman" w:cs="Times New Roman"/>
        </w:rPr>
        <w:t xml:space="preserve">. </w:t>
      </w:r>
    </w:p>
    <w:p w:rsidR="00A744B6" w:rsidRPr="00383A82" w:rsidRDefault="00A744B6" w:rsidP="00050185">
      <w:pPr>
        <w:pStyle w:val="Textonotapie"/>
        <w:jc w:val="both"/>
        <w:rPr>
          <w:rFonts w:ascii="Times New Roman" w:hAnsi="Times New Roman" w:cs="Times New Roman"/>
        </w:rPr>
      </w:pPr>
      <w:r w:rsidRPr="00383A82">
        <w:rPr>
          <w:rFonts w:ascii="Times New Roman" w:hAnsi="Times New Roman" w:cs="Times New Roman"/>
        </w:rPr>
        <w:t xml:space="preserve">Aquí se analizó el caso de </w:t>
      </w:r>
      <w:r>
        <w:rPr>
          <w:rFonts w:ascii="Times New Roman" w:hAnsi="Times New Roman" w:cs="Times New Roman"/>
        </w:rPr>
        <w:t>dos personas que estaban extrayendo gasolina del depósito de un ciclomotor y que al ser increpados, desde la ventana de su domicilio, por una vecina de un inmueble cercano, le dirigieron frases amenazantes.</w:t>
      </w:r>
    </w:p>
    <w:p w:rsidR="00A744B6" w:rsidRDefault="00A744B6" w:rsidP="00050185">
      <w:pPr>
        <w:pStyle w:val="Textonotapie"/>
        <w:jc w:val="both"/>
      </w:pPr>
    </w:p>
  </w:footnote>
  <w:footnote w:id="7">
    <w:p w:rsidR="00A744B6" w:rsidRDefault="00A744B6" w:rsidP="00050185">
      <w:pPr>
        <w:pStyle w:val="Textonotapie"/>
        <w:jc w:val="both"/>
        <w:rPr>
          <w:rFonts w:ascii="Times New Roman" w:hAnsi="Times New Roman" w:cs="Times New Roman"/>
          <w:bCs/>
        </w:rPr>
      </w:pPr>
      <w:r w:rsidRPr="004662F3">
        <w:rPr>
          <w:rStyle w:val="Refdenotaalpie"/>
          <w:rFonts w:ascii="Times New Roman" w:hAnsi="Times New Roman" w:cs="Times New Roman"/>
        </w:rPr>
        <w:footnoteRef/>
      </w:r>
      <w:r w:rsidRPr="004662F3">
        <w:rPr>
          <w:rFonts w:ascii="Times New Roman" w:hAnsi="Times New Roman" w:cs="Times New Roman"/>
          <w:bCs/>
        </w:rPr>
        <w:t>Sentencia número 271/2012, de TS, Sala 2ª</w:t>
      </w:r>
      <w:r>
        <w:rPr>
          <w:rFonts w:ascii="Times New Roman" w:hAnsi="Times New Roman" w:cs="Times New Roman"/>
          <w:bCs/>
        </w:rPr>
        <w:t>,</w:t>
      </w:r>
      <w:r w:rsidRPr="004662F3">
        <w:rPr>
          <w:rFonts w:ascii="Times New Roman" w:hAnsi="Times New Roman" w:cs="Times New Roman"/>
          <w:bCs/>
        </w:rPr>
        <w:t xml:space="preserve"> de lo Penal,  9 de abril</w:t>
      </w:r>
      <w:r>
        <w:rPr>
          <w:rFonts w:ascii="Times New Roman" w:hAnsi="Times New Roman" w:cs="Times New Roman"/>
          <w:bCs/>
        </w:rPr>
        <w:t xml:space="preserve"> de 2012. Véase en </w:t>
      </w:r>
      <w:hyperlink r:id="rId2" w:history="1">
        <w:r w:rsidRPr="007D606A">
          <w:rPr>
            <w:rStyle w:val="Hipervnculo"/>
            <w:rFonts w:ascii="Times New Roman" w:hAnsi="Times New Roman" w:cs="Times New Roman"/>
            <w:bCs/>
          </w:rPr>
          <w:t>http://www.asesoriayempresas.es/jurisprudencia/JURIDICO/139737/sentencia-ts-271-2012-sala-2-de-9-de-abril-robo-con-violencia-y-hurto</w:t>
        </w:r>
      </w:hyperlink>
      <w:r>
        <w:rPr>
          <w:rFonts w:ascii="Times New Roman" w:hAnsi="Times New Roman" w:cs="Times New Roman"/>
          <w:bCs/>
        </w:rPr>
        <w:t xml:space="preserve">. </w:t>
      </w:r>
    </w:p>
    <w:p w:rsidR="00A744B6" w:rsidRDefault="00A744B6" w:rsidP="00050185">
      <w:pPr>
        <w:pStyle w:val="Textonotapie"/>
        <w:jc w:val="both"/>
        <w:rPr>
          <w:rFonts w:ascii="Times New Roman" w:hAnsi="Times New Roman" w:cs="Times New Roman"/>
          <w:b/>
          <w:bCs/>
        </w:rPr>
      </w:pPr>
      <w:r>
        <w:rPr>
          <w:rFonts w:ascii="Times New Roman" w:hAnsi="Times New Roman" w:cs="Times New Roman"/>
          <w:bCs/>
        </w:rPr>
        <w:t>Aquí se</w:t>
      </w:r>
      <w:r w:rsidRPr="004B1AAA">
        <w:rPr>
          <w:rFonts w:ascii="Times New Roman" w:hAnsi="Times New Roman" w:cs="Times New Roman"/>
          <w:bCs/>
        </w:rPr>
        <w:t xml:space="preserve"> deja sin efecto la condena por este delito y se condena a los acusados como autores de un delito de hurto en grado de tentativa, al tratarse de un supuesto de violencia sobrevenida no orientada a la sustracción del ciclomotor</w:t>
      </w:r>
      <w:r>
        <w:rPr>
          <w:rFonts w:ascii="Times New Roman" w:hAnsi="Times New Roman" w:cs="Times New Roman"/>
          <w:bCs/>
        </w:rPr>
        <w:t>.</w:t>
      </w:r>
    </w:p>
    <w:p w:rsidR="00A744B6" w:rsidRPr="004E402A" w:rsidRDefault="00A744B6" w:rsidP="00050185">
      <w:pPr>
        <w:pStyle w:val="Textonotapie"/>
        <w:jc w:val="both"/>
        <w:rPr>
          <w:rFonts w:ascii="Times New Roman" w:hAnsi="Times New Roman" w:cs="Times New Roman"/>
          <w:b/>
          <w:bCs/>
        </w:rPr>
      </w:pPr>
    </w:p>
  </w:footnote>
  <w:footnote w:id="8">
    <w:p w:rsidR="00A744B6" w:rsidRDefault="00A744B6" w:rsidP="00050185">
      <w:pPr>
        <w:pStyle w:val="Textonotapie"/>
        <w:jc w:val="both"/>
        <w:rPr>
          <w:rFonts w:ascii="Times New Roman" w:hAnsi="Times New Roman" w:cs="Times New Roman"/>
        </w:rPr>
      </w:pPr>
      <w:r w:rsidRPr="00383A82">
        <w:rPr>
          <w:rStyle w:val="Refdenotaalpie"/>
          <w:rFonts w:ascii="Times New Roman" w:hAnsi="Times New Roman" w:cs="Times New Roman"/>
        </w:rPr>
        <w:footnoteRef/>
      </w:r>
      <w:r w:rsidRPr="00383A82">
        <w:rPr>
          <w:rFonts w:ascii="Times New Roman" w:hAnsi="Times New Roman" w:cs="Times New Roman"/>
        </w:rPr>
        <w:t>Véase</w:t>
      </w:r>
      <w:r>
        <w:rPr>
          <w:rFonts w:ascii="Times New Roman" w:hAnsi="Times New Roman" w:cs="Times New Roman"/>
        </w:rPr>
        <w:t xml:space="preserve"> en la</w:t>
      </w:r>
      <w:r w:rsidRPr="00383A82">
        <w:rPr>
          <w:rFonts w:ascii="Times New Roman" w:hAnsi="Times New Roman" w:cs="Times New Roman"/>
        </w:rPr>
        <w:t xml:space="preserve"> Ley Orgánica 1/2015, de 30 de marzo, por la que se modifica la Ley Orgánica 10/1995, de 23 de noviembre, del Código Penal (BOE núm.77, de 31 de Marzo) en concreto </w:t>
      </w:r>
      <w:r>
        <w:rPr>
          <w:rFonts w:ascii="Times New Roman" w:hAnsi="Times New Roman" w:cs="Times New Roman"/>
        </w:rPr>
        <w:t>se modificó este articulo 234 que define el</w:t>
      </w:r>
      <w:r w:rsidRPr="00383A82">
        <w:rPr>
          <w:rFonts w:ascii="Times New Roman" w:hAnsi="Times New Roman" w:cs="Times New Roman"/>
        </w:rPr>
        <w:t xml:space="preserve"> del</w:t>
      </w:r>
      <w:r>
        <w:rPr>
          <w:rFonts w:ascii="Times New Roman" w:hAnsi="Times New Roman" w:cs="Times New Roman"/>
        </w:rPr>
        <w:t>ito</w:t>
      </w:r>
      <w:r w:rsidRPr="00383A82">
        <w:rPr>
          <w:rFonts w:ascii="Times New Roman" w:hAnsi="Times New Roman" w:cs="Times New Roman"/>
        </w:rPr>
        <w:t xml:space="preserve"> de hurto. </w:t>
      </w:r>
    </w:p>
    <w:p w:rsidR="00A744B6" w:rsidRPr="00383A82" w:rsidRDefault="00A744B6" w:rsidP="00050185">
      <w:pPr>
        <w:pStyle w:val="Textonotapie"/>
        <w:jc w:val="both"/>
        <w:rPr>
          <w:rFonts w:ascii="Times New Roman" w:hAnsi="Times New Roman" w:cs="Times New Roman"/>
        </w:rPr>
      </w:pPr>
    </w:p>
  </w:footnote>
  <w:footnote w:id="9">
    <w:p w:rsidR="00A744B6" w:rsidRPr="00CD4030" w:rsidRDefault="00A744B6" w:rsidP="00050185">
      <w:pPr>
        <w:pStyle w:val="Textonotapie"/>
        <w:jc w:val="both"/>
        <w:rPr>
          <w:rFonts w:ascii="Times New Roman" w:hAnsi="Times New Roman" w:cs="Times New Roman"/>
        </w:rPr>
      </w:pPr>
      <w:r w:rsidRPr="00CD4030">
        <w:rPr>
          <w:rStyle w:val="Refdenotaalpie"/>
          <w:rFonts w:ascii="Times New Roman" w:hAnsi="Times New Roman" w:cs="Times New Roman"/>
        </w:rPr>
        <w:footnoteRef/>
      </w:r>
      <w:r>
        <w:rPr>
          <w:rFonts w:ascii="Times New Roman" w:hAnsi="Times New Roman" w:cs="Times New Roman"/>
        </w:rPr>
        <w:t>Muñoz Conde, F. (2015) &lt;&lt;</w:t>
      </w:r>
      <w:r w:rsidRPr="00CD4030">
        <w:rPr>
          <w:rFonts w:ascii="Times New Roman" w:hAnsi="Times New Roman" w:cs="Times New Roman"/>
          <w:i/>
        </w:rPr>
        <w:t>Derecho Penal. Parte Especial. (20ª Edición, revisada y actualizada y puesta al día conforme a las leyes Orgánicas 1/2015 y 2/2015, de 30 de Marzo)</w:t>
      </w:r>
      <w:r>
        <w:rPr>
          <w:rFonts w:ascii="Times New Roman" w:hAnsi="Times New Roman" w:cs="Times New Roman"/>
        </w:rPr>
        <w:t>&gt;&gt;. Valencia, Ed. Tirant lo Blanch. p.324</w:t>
      </w:r>
    </w:p>
  </w:footnote>
  <w:footnote w:id="10">
    <w:p w:rsidR="00A744B6" w:rsidRPr="00604904" w:rsidRDefault="00A744B6" w:rsidP="00050185">
      <w:pPr>
        <w:pStyle w:val="Textonotapie"/>
        <w:jc w:val="both"/>
        <w:rPr>
          <w:rFonts w:ascii="Times New Roman" w:hAnsi="Times New Roman" w:cs="Times New Roman"/>
        </w:rPr>
      </w:pPr>
      <w:r w:rsidRPr="00604904">
        <w:rPr>
          <w:rStyle w:val="Refdenotaalpie"/>
          <w:rFonts w:ascii="Times New Roman" w:hAnsi="Times New Roman" w:cs="Times New Roman"/>
        </w:rPr>
        <w:footnoteRef/>
      </w:r>
      <w:r w:rsidRPr="00604904">
        <w:rPr>
          <w:rFonts w:ascii="Times New Roman" w:hAnsi="Times New Roman" w:cs="Times New Roman"/>
        </w:rPr>
        <w:t xml:space="preserve"> Serrano Gómez, A; Serrano Maíllo, A; Serrano Tárraga, M.D; Vázquez González, C</w:t>
      </w:r>
      <w:r>
        <w:rPr>
          <w:rFonts w:ascii="Times New Roman" w:hAnsi="Times New Roman" w:cs="Times New Roman"/>
        </w:rPr>
        <w:t xml:space="preserve"> (2016): &lt;&lt;</w:t>
      </w:r>
      <w:r w:rsidRPr="00604904">
        <w:rPr>
          <w:rFonts w:ascii="Times New Roman" w:hAnsi="Times New Roman" w:cs="Times New Roman"/>
          <w:i/>
        </w:rPr>
        <w:t>Curso de Derecho penal. Parte Especial</w:t>
      </w:r>
      <w:r>
        <w:rPr>
          <w:rFonts w:ascii="Times New Roman" w:hAnsi="Times New Roman" w:cs="Times New Roman"/>
        </w:rPr>
        <w:t>&gt;&gt;.  Madrid</w:t>
      </w:r>
      <w:r w:rsidRPr="00604904">
        <w:rPr>
          <w:rFonts w:ascii="Times New Roman" w:hAnsi="Times New Roman" w:cs="Times New Roman"/>
        </w:rPr>
        <w:t xml:space="preserve">. Ed. </w:t>
      </w:r>
      <w:proofErr w:type="spellStart"/>
      <w:r w:rsidRPr="00604904">
        <w:rPr>
          <w:rFonts w:ascii="Times New Roman" w:hAnsi="Times New Roman" w:cs="Times New Roman"/>
        </w:rPr>
        <w:t>Uned</w:t>
      </w:r>
      <w:proofErr w:type="spellEnd"/>
      <w:r w:rsidRPr="00604904">
        <w:rPr>
          <w:rFonts w:ascii="Times New Roman" w:hAnsi="Times New Roman" w:cs="Times New Roman"/>
        </w:rPr>
        <w:t xml:space="preserve">.  </w:t>
      </w:r>
      <w:r w:rsidRPr="00604904">
        <w:rPr>
          <w:rFonts w:ascii="Times New Roman" w:hAnsi="Times New Roman" w:cs="Times New Roman"/>
          <w:i/>
        </w:rPr>
        <w:t>Lección 15. Capitulo II.</w:t>
      </w:r>
      <w:r>
        <w:rPr>
          <w:rFonts w:ascii="Times New Roman" w:hAnsi="Times New Roman" w:cs="Times New Roman"/>
          <w:i/>
        </w:rPr>
        <w:t xml:space="preserve"> </w:t>
      </w:r>
      <w:r>
        <w:rPr>
          <w:rFonts w:ascii="Times New Roman" w:hAnsi="Times New Roman" w:cs="Times New Roman"/>
        </w:rPr>
        <w:t>p.267</w:t>
      </w:r>
    </w:p>
    <w:p w:rsidR="00A744B6" w:rsidRPr="00604904" w:rsidRDefault="00A744B6" w:rsidP="00050185">
      <w:pPr>
        <w:pStyle w:val="Textonotapie"/>
        <w:jc w:val="both"/>
        <w:rPr>
          <w:rFonts w:ascii="Times New Roman" w:hAnsi="Times New Roman" w:cs="Times New Roman"/>
        </w:rPr>
      </w:pPr>
    </w:p>
  </w:footnote>
  <w:footnote w:id="11">
    <w:p w:rsidR="00A744B6" w:rsidRPr="00882172" w:rsidRDefault="00A744B6" w:rsidP="00F45A56">
      <w:pPr>
        <w:pStyle w:val="Textonotapie"/>
        <w:jc w:val="both"/>
        <w:rPr>
          <w:rFonts w:ascii="Times New Roman" w:hAnsi="Times New Roman" w:cs="Times New Roman"/>
        </w:rPr>
      </w:pPr>
      <w:r w:rsidRPr="00882172">
        <w:rPr>
          <w:rStyle w:val="Refdenotaalpie"/>
          <w:rFonts w:ascii="Times New Roman" w:hAnsi="Times New Roman" w:cs="Times New Roman"/>
        </w:rPr>
        <w:footnoteRef/>
      </w:r>
      <w:r>
        <w:rPr>
          <w:rFonts w:ascii="Times New Roman" w:hAnsi="Times New Roman" w:cs="Times New Roman"/>
        </w:rPr>
        <w:t xml:space="preserve"> </w:t>
      </w:r>
      <w:r w:rsidRPr="00AB55AD">
        <w:rPr>
          <w:rFonts w:ascii="Times New Roman" w:hAnsi="Times New Roman" w:cs="Times New Roman"/>
          <w:i/>
        </w:rPr>
        <w:t>IBIDEM</w:t>
      </w:r>
      <w:r>
        <w:rPr>
          <w:rFonts w:ascii="Times New Roman" w:hAnsi="Times New Roman" w:cs="Times New Roman"/>
        </w:rPr>
        <w:t xml:space="preserve"> p.268</w:t>
      </w:r>
    </w:p>
  </w:footnote>
  <w:footnote w:id="12">
    <w:p w:rsidR="00F45A56" w:rsidRPr="00F45A56" w:rsidRDefault="00F45A56">
      <w:pPr>
        <w:pStyle w:val="Textonotapie"/>
        <w:rPr>
          <w:rFonts w:ascii="Times New Roman" w:hAnsi="Times New Roman" w:cs="Times New Roman"/>
        </w:rPr>
      </w:pPr>
      <w:r w:rsidRPr="00F45A56">
        <w:rPr>
          <w:rStyle w:val="Refdenotaalpie"/>
          <w:rFonts w:ascii="Times New Roman" w:hAnsi="Times New Roman" w:cs="Times New Roman"/>
        </w:rPr>
        <w:footnoteRef/>
      </w:r>
      <w:r w:rsidRPr="00F45A56">
        <w:rPr>
          <w:rFonts w:ascii="Times New Roman" w:hAnsi="Times New Roman" w:cs="Times New Roman"/>
        </w:rPr>
        <w:t xml:space="preserve"> </w:t>
      </w:r>
      <w:r w:rsidRPr="00F45A56">
        <w:rPr>
          <w:rFonts w:ascii="Times New Roman" w:hAnsi="Times New Roman" w:cs="Times New Roman"/>
          <w:i/>
        </w:rPr>
        <w:t>IBIDEM</w:t>
      </w:r>
      <w:r>
        <w:rPr>
          <w:rFonts w:ascii="Times New Roman" w:hAnsi="Times New Roman" w:cs="Times New Roman"/>
        </w:rPr>
        <w:t xml:space="preserve"> p.269</w:t>
      </w:r>
    </w:p>
  </w:footnote>
  <w:footnote w:id="13">
    <w:p w:rsidR="00A744B6" w:rsidRDefault="00A744B6" w:rsidP="00050185">
      <w:pPr>
        <w:jc w:val="both"/>
      </w:pPr>
      <w:r w:rsidRPr="00A7151E">
        <w:rPr>
          <w:rStyle w:val="Refdenotaalpie"/>
        </w:rPr>
        <w:footnoteRef/>
      </w:r>
      <w:r w:rsidRPr="00A7151E">
        <w:t xml:space="preserve">Muñoz Conde, F. </w:t>
      </w:r>
      <w:r>
        <w:t xml:space="preserve">(2015) </w:t>
      </w:r>
      <w:r w:rsidRPr="00A7151E">
        <w:t>&lt;&lt;</w:t>
      </w:r>
      <w:r w:rsidRPr="00A7151E">
        <w:rPr>
          <w:i/>
        </w:rPr>
        <w:t>Derecho Penal. Parte Especial. (20ª Edición, revisada y actualizada y puesta al día conforme a las leyes Orgánicas 1/2015 y 2/2015, de 30 de Marzo)</w:t>
      </w:r>
      <w:r>
        <w:t>&gt;&gt;. Valencia</w:t>
      </w:r>
      <w:r w:rsidRPr="00A7151E">
        <w:t>. Ed. Tirant lo Blanch. p.324</w:t>
      </w:r>
    </w:p>
    <w:p w:rsidR="00A744B6" w:rsidRPr="00A7151E" w:rsidRDefault="00A744B6" w:rsidP="00050185">
      <w:pPr>
        <w:pStyle w:val="Textonotapie"/>
        <w:jc w:val="both"/>
        <w:rPr>
          <w:rFonts w:ascii="Times New Roman" w:hAnsi="Times New Roman" w:cs="Times New Roman"/>
        </w:rPr>
      </w:pPr>
    </w:p>
  </w:footnote>
  <w:footnote w:id="14">
    <w:p w:rsidR="00A744B6" w:rsidRDefault="00A744B6" w:rsidP="00675BE9">
      <w:pPr>
        <w:pStyle w:val="Textonotapie"/>
        <w:jc w:val="both"/>
        <w:rPr>
          <w:rFonts w:ascii="Times New Roman" w:hAnsi="Times New Roman" w:cs="Times New Roman"/>
        </w:rPr>
      </w:pPr>
      <w:r w:rsidRPr="0038586E">
        <w:rPr>
          <w:rStyle w:val="Refdenotaalpie"/>
          <w:rFonts w:ascii="Times New Roman" w:hAnsi="Times New Roman" w:cs="Times New Roman"/>
        </w:rPr>
        <w:footnoteRef/>
      </w:r>
      <w:r w:rsidRPr="0038586E">
        <w:rPr>
          <w:rFonts w:ascii="Times New Roman" w:hAnsi="Times New Roman" w:cs="Times New Roman"/>
        </w:rPr>
        <w:t xml:space="preserve"> Serrano Gómez, A; Serrano Maíllo, A; Serrano Tárr</w:t>
      </w:r>
      <w:r>
        <w:rPr>
          <w:rFonts w:ascii="Times New Roman" w:hAnsi="Times New Roman" w:cs="Times New Roman"/>
        </w:rPr>
        <w:t>aga, M.D; Vázquez González, C (2016)</w:t>
      </w:r>
      <w:proofErr w:type="gramStart"/>
      <w:r>
        <w:rPr>
          <w:rFonts w:ascii="Times New Roman" w:hAnsi="Times New Roman" w:cs="Times New Roman"/>
        </w:rPr>
        <w:t>:  &lt;</w:t>
      </w:r>
      <w:proofErr w:type="gramEnd"/>
      <w:r>
        <w:rPr>
          <w:rFonts w:ascii="Times New Roman" w:hAnsi="Times New Roman" w:cs="Times New Roman"/>
        </w:rPr>
        <w:t>&lt;</w:t>
      </w:r>
      <w:r w:rsidRPr="0038586E">
        <w:rPr>
          <w:rFonts w:ascii="Times New Roman" w:hAnsi="Times New Roman" w:cs="Times New Roman"/>
          <w:i/>
        </w:rPr>
        <w:t>Curso de Derecho penal. Parte Especial</w:t>
      </w:r>
      <w:r>
        <w:rPr>
          <w:rFonts w:ascii="Times New Roman" w:hAnsi="Times New Roman" w:cs="Times New Roman"/>
        </w:rPr>
        <w:t>&gt;&gt;.  Madrid</w:t>
      </w:r>
      <w:r w:rsidRPr="0038586E">
        <w:rPr>
          <w:rFonts w:ascii="Times New Roman" w:hAnsi="Times New Roman" w:cs="Times New Roman"/>
        </w:rPr>
        <w:t xml:space="preserve">. Ed. </w:t>
      </w:r>
      <w:proofErr w:type="spellStart"/>
      <w:r w:rsidRPr="0038586E">
        <w:rPr>
          <w:rFonts w:ascii="Times New Roman" w:hAnsi="Times New Roman" w:cs="Times New Roman"/>
        </w:rPr>
        <w:t>Uned</w:t>
      </w:r>
      <w:proofErr w:type="spellEnd"/>
      <w:r w:rsidRPr="0038586E">
        <w:rPr>
          <w:rFonts w:ascii="Times New Roman" w:hAnsi="Times New Roman" w:cs="Times New Roman"/>
        </w:rPr>
        <w:t xml:space="preserve">.  </w:t>
      </w:r>
      <w:r w:rsidRPr="0038586E">
        <w:rPr>
          <w:rFonts w:ascii="Times New Roman" w:hAnsi="Times New Roman" w:cs="Times New Roman"/>
          <w:i/>
        </w:rPr>
        <w:t>Lección 15. Capitulo II.</w:t>
      </w:r>
      <w:r w:rsidRPr="0038586E">
        <w:rPr>
          <w:rFonts w:ascii="Times New Roman" w:hAnsi="Times New Roman" w:cs="Times New Roman"/>
        </w:rPr>
        <w:t xml:space="preserve"> p.268</w:t>
      </w:r>
    </w:p>
    <w:p w:rsidR="00A744B6" w:rsidRPr="0038586E" w:rsidRDefault="00A744B6" w:rsidP="00675BE9">
      <w:pPr>
        <w:pStyle w:val="Textonotapie"/>
        <w:jc w:val="both"/>
        <w:rPr>
          <w:rFonts w:ascii="Times New Roman" w:hAnsi="Times New Roman" w:cs="Times New Roman"/>
        </w:rPr>
      </w:pPr>
    </w:p>
  </w:footnote>
  <w:footnote w:id="15">
    <w:p w:rsidR="00A744B6" w:rsidRDefault="00A744B6" w:rsidP="00050185">
      <w:pPr>
        <w:pStyle w:val="Textonotapie"/>
        <w:jc w:val="both"/>
        <w:rPr>
          <w:rFonts w:ascii="Times New Roman" w:hAnsi="Times New Roman" w:cs="Times New Roman"/>
        </w:rPr>
      </w:pPr>
      <w:r w:rsidRPr="00EB46FA">
        <w:rPr>
          <w:rStyle w:val="Refdenotaalpie"/>
          <w:rFonts w:ascii="Times New Roman" w:hAnsi="Times New Roman" w:cs="Times New Roman"/>
        </w:rPr>
        <w:footnoteRef/>
      </w:r>
      <w:r>
        <w:rPr>
          <w:rFonts w:ascii="Times New Roman" w:hAnsi="Times New Roman" w:cs="Times New Roman"/>
        </w:rPr>
        <w:t xml:space="preserve"> </w:t>
      </w:r>
      <w:r w:rsidRPr="00EB46FA">
        <w:rPr>
          <w:rFonts w:ascii="Times New Roman" w:hAnsi="Times New Roman" w:cs="Times New Roman"/>
        </w:rPr>
        <w:t>Véase en la Ley Orgánica 1/2015, de 30 de marzo, por la que se modifica la Ley Orgánica 10/1995, de 23 de noviembre, del Código Penal (BOE núm.77, de 31 de Marzo) en concr</w:t>
      </w:r>
      <w:r>
        <w:rPr>
          <w:rFonts w:ascii="Times New Roman" w:hAnsi="Times New Roman" w:cs="Times New Roman"/>
        </w:rPr>
        <w:t>eto se modificaron los artículos 253 y 254.</w:t>
      </w:r>
    </w:p>
    <w:p w:rsidR="00A744B6" w:rsidRPr="00EB46FA" w:rsidRDefault="00A744B6" w:rsidP="00050185">
      <w:pPr>
        <w:pStyle w:val="Textonotapie"/>
        <w:jc w:val="both"/>
        <w:rPr>
          <w:rFonts w:ascii="Times New Roman" w:hAnsi="Times New Roman" w:cs="Times New Roman"/>
        </w:rPr>
      </w:pPr>
      <w:r w:rsidRPr="00EB46FA">
        <w:rPr>
          <w:rFonts w:ascii="Times New Roman" w:hAnsi="Times New Roman" w:cs="Times New Roman"/>
        </w:rPr>
        <w:t>Se modifica el artículo 253, que queda redactado del siguiente modo:</w:t>
      </w:r>
    </w:p>
    <w:p w:rsidR="00A744B6" w:rsidRPr="00EB46FA" w:rsidRDefault="00A744B6" w:rsidP="00050185">
      <w:pPr>
        <w:pStyle w:val="Textonotapie"/>
        <w:jc w:val="both"/>
        <w:rPr>
          <w:rFonts w:ascii="Times New Roman" w:hAnsi="Times New Roman" w:cs="Times New Roman"/>
          <w:i/>
        </w:rPr>
      </w:pPr>
      <w:r>
        <w:rPr>
          <w:rFonts w:ascii="Times New Roman" w:hAnsi="Times New Roman" w:cs="Times New Roman"/>
        </w:rPr>
        <w:t>&lt;&lt;</w:t>
      </w:r>
      <w:r w:rsidRPr="00EB46FA">
        <w:rPr>
          <w:rFonts w:ascii="Times New Roman" w:hAnsi="Times New Roman" w:cs="Times New Roman"/>
          <w:i/>
        </w:rPr>
        <w:t>1. Serán castigados con las penas del artículo 249 o, en su caso, del artículo 250, salvo que ya estuvieran castigados con una pena más grave en otro precepto de este Código, los que, en perjuicio de otro, se apropiaren para sí o para un tercero, de dinero, efectos, valores o cualquier otra cosa mueble, que hubieran recibido en depósito, comisión, o custodia, o que les hubieran sido confiados en virtud de cualquier otro título que produzca la obligación de entregarlos o devolverlos, o negaren haberlos recibido.</w:t>
      </w:r>
    </w:p>
    <w:p w:rsidR="00A744B6" w:rsidRPr="00EB46FA" w:rsidRDefault="00A744B6" w:rsidP="00050185">
      <w:pPr>
        <w:pStyle w:val="Textonotapie"/>
        <w:jc w:val="both"/>
        <w:rPr>
          <w:rFonts w:ascii="Times New Roman" w:hAnsi="Times New Roman" w:cs="Times New Roman"/>
        </w:rPr>
      </w:pPr>
      <w:r w:rsidRPr="00EB46FA">
        <w:rPr>
          <w:rFonts w:ascii="Times New Roman" w:hAnsi="Times New Roman" w:cs="Times New Roman"/>
          <w:i/>
        </w:rPr>
        <w:t>2. Si la cuantía de lo apropiado no excediere de 400 euros, se impondrá una pena de multa de uno a tres meses</w:t>
      </w:r>
      <w:proofErr w:type="gramStart"/>
      <w:r>
        <w:rPr>
          <w:rFonts w:ascii="Times New Roman" w:hAnsi="Times New Roman" w:cs="Times New Roman"/>
        </w:rPr>
        <w:t>.&gt;</w:t>
      </w:r>
      <w:proofErr w:type="gramEnd"/>
      <w:r>
        <w:rPr>
          <w:rFonts w:ascii="Times New Roman" w:hAnsi="Times New Roman" w:cs="Times New Roman"/>
        </w:rPr>
        <w:t>&gt;</w:t>
      </w:r>
    </w:p>
    <w:p w:rsidR="00A744B6" w:rsidRPr="00EB46FA" w:rsidRDefault="00A744B6" w:rsidP="00050185">
      <w:pPr>
        <w:pStyle w:val="Textonotapie"/>
        <w:jc w:val="both"/>
        <w:rPr>
          <w:rFonts w:ascii="Times New Roman" w:hAnsi="Times New Roman" w:cs="Times New Roman"/>
        </w:rPr>
      </w:pPr>
      <w:r w:rsidRPr="00EB46FA">
        <w:rPr>
          <w:rFonts w:ascii="Times New Roman" w:hAnsi="Times New Roman" w:cs="Times New Roman"/>
        </w:rPr>
        <w:t>Se modifica el artículo 254, que queda redactado como sigue:</w:t>
      </w:r>
    </w:p>
    <w:p w:rsidR="00A744B6" w:rsidRPr="00EB46FA" w:rsidRDefault="00A744B6" w:rsidP="00050185">
      <w:pPr>
        <w:pStyle w:val="Textonotapie"/>
        <w:jc w:val="both"/>
        <w:rPr>
          <w:rFonts w:ascii="Times New Roman" w:hAnsi="Times New Roman" w:cs="Times New Roman"/>
          <w:i/>
        </w:rPr>
      </w:pPr>
      <w:r>
        <w:rPr>
          <w:rFonts w:ascii="Times New Roman" w:hAnsi="Times New Roman" w:cs="Times New Roman"/>
        </w:rPr>
        <w:t>&lt;&lt;</w:t>
      </w:r>
      <w:r w:rsidRPr="00EB46FA">
        <w:rPr>
          <w:rFonts w:ascii="Times New Roman" w:hAnsi="Times New Roman" w:cs="Times New Roman"/>
          <w:i/>
        </w:rPr>
        <w:t>1. Quien, fuera de los supuestos del artículo anterior, se apropiare de una cosa mueble ajena, será castigado con una pena de multa de tres a seis meses. Si se tratara de cosas de valor artístico, histórico, cultural o científico, la pena será de prisión de seis meses a dos años.</w:t>
      </w:r>
    </w:p>
    <w:p w:rsidR="00A744B6" w:rsidRPr="00EB46FA" w:rsidRDefault="00A744B6" w:rsidP="00050185">
      <w:pPr>
        <w:pStyle w:val="Textonotapie"/>
        <w:jc w:val="both"/>
        <w:rPr>
          <w:rFonts w:ascii="Times New Roman" w:hAnsi="Times New Roman" w:cs="Times New Roman"/>
        </w:rPr>
      </w:pPr>
      <w:r w:rsidRPr="00EB46FA">
        <w:rPr>
          <w:rFonts w:ascii="Times New Roman" w:hAnsi="Times New Roman" w:cs="Times New Roman"/>
          <w:i/>
        </w:rPr>
        <w:t>2. Si la cuantía de lo apropiado no excediere de 400 euros, se impondrá una pena de multa de uno a dos meses</w:t>
      </w:r>
      <w:proofErr w:type="gramStart"/>
      <w:r>
        <w:rPr>
          <w:rFonts w:ascii="Times New Roman" w:hAnsi="Times New Roman" w:cs="Times New Roman"/>
        </w:rPr>
        <w:t>.&gt;</w:t>
      </w:r>
      <w:proofErr w:type="gramEnd"/>
      <w:r>
        <w:rPr>
          <w:rFonts w:ascii="Times New Roman" w:hAnsi="Times New Roman" w:cs="Times New Roman"/>
        </w:rPr>
        <w:t>&gt;</w:t>
      </w:r>
    </w:p>
    <w:p w:rsidR="00A744B6" w:rsidRPr="00EB46FA" w:rsidRDefault="00A744B6" w:rsidP="00050185">
      <w:pPr>
        <w:pStyle w:val="Textonotapie"/>
        <w:jc w:val="both"/>
        <w:rPr>
          <w:rFonts w:ascii="Times New Roman" w:hAnsi="Times New Roman" w:cs="Times New Roman"/>
        </w:rPr>
      </w:pPr>
    </w:p>
  </w:footnote>
  <w:footnote w:id="16">
    <w:p w:rsidR="00A744B6" w:rsidRPr="00F05370" w:rsidRDefault="00A744B6" w:rsidP="00050185">
      <w:pPr>
        <w:pStyle w:val="Textonotapie"/>
        <w:jc w:val="both"/>
        <w:rPr>
          <w:rFonts w:ascii="Times New Roman" w:hAnsi="Times New Roman" w:cs="Times New Roman"/>
        </w:rPr>
      </w:pPr>
      <w:r w:rsidRPr="00F05370">
        <w:rPr>
          <w:rStyle w:val="Refdenotaalpie"/>
          <w:rFonts w:ascii="Times New Roman" w:hAnsi="Times New Roman" w:cs="Times New Roman"/>
        </w:rPr>
        <w:footnoteRef/>
      </w:r>
      <w:r w:rsidRPr="00D41D14">
        <w:rPr>
          <w:rFonts w:ascii="Times New Roman" w:hAnsi="Times New Roman" w:cs="Times New Roman"/>
        </w:rPr>
        <w:t xml:space="preserve">Véase en la Ley Orgánica 1/2015, de 30 de marzo, por la que se modifica la Ley Orgánica 10/1995, de 23 de noviembre, del Código Penal (BOE núm.77, de 31 de Marzo) en concreto se modifica </w:t>
      </w:r>
      <w:r>
        <w:rPr>
          <w:rFonts w:ascii="Times New Roman" w:hAnsi="Times New Roman" w:cs="Times New Roman"/>
        </w:rPr>
        <w:t xml:space="preserve"> este artículo 236.</w:t>
      </w:r>
    </w:p>
  </w:footnote>
  <w:footnote w:id="17">
    <w:p w:rsidR="00A744B6" w:rsidRDefault="00A744B6" w:rsidP="00050185">
      <w:pPr>
        <w:pStyle w:val="Textonotapie"/>
        <w:jc w:val="both"/>
        <w:rPr>
          <w:rFonts w:ascii="Times New Roman" w:hAnsi="Times New Roman" w:cs="Times New Roman"/>
        </w:rPr>
      </w:pPr>
      <w:r w:rsidRPr="00C004F3">
        <w:rPr>
          <w:rStyle w:val="Refdenotaalpie"/>
          <w:rFonts w:ascii="Times New Roman" w:hAnsi="Times New Roman" w:cs="Times New Roman"/>
        </w:rPr>
        <w:footnoteRef/>
      </w:r>
      <w:r>
        <w:rPr>
          <w:rFonts w:ascii="Times New Roman" w:hAnsi="Times New Roman" w:cs="Times New Roman"/>
        </w:rPr>
        <w:t>El “</w:t>
      </w:r>
      <w:proofErr w:type="spellStart"/>
      <w:r>
        <w:rPr>
          <w:rFonts w:ascii="Times New Roman" w:hAnsi="Times New Roman" w:cs="Times New Roman"/>
        </w:rPr>
        <w:t>furtum</w:t>
      </w:r>
      <w:proofErr w:type="spellEnd"/>
      <w:r>
        <w:rPr>
          <w:rFonts w:ascii="Times New Roman" w:hAnsi="Times New Roman" w:cs="Times New Roman"/>
        </w:rPr>
        <w:t xml:space="preserve"> </w:t>
      </w:r>
      <w:proofErr w:type="spellStart"/>
      <w:r>
        <w:rPr>
          <w:rFonts w:ascii="Times New Roman" w:hAnsi="Times New Roman" w:cs="Times New Roman"/>
        </w:rPr>
        <w:t>possesionis</w:t>
      </w:r>
      <w:proofErr w:type="spellEnd"/>
      <w:r>
        <w:rPr>
          <w:rFonts w:ascii="Times New Roman" w:hAnsi="Times New Roman" w:cs="Times New Roman"/>
        </w:rPr>
        <w:t>”  surgió en Derecho Romano, y era definido así: &lt;&lt;</w:t>
      </w:r>
      <w:r w:rsidRPr="00C004F3">
        <w:rPr>
          <w:rFonts w:ascii="Times New Roman" w:hAnsi="Times New Roman" w:cs="Times New Roman"/>
        </w:rPr>
        <w:t> </w:t>
      </w:r>
      <w:r w:rsidRPr="00C004F3">
        <w:rPr>
          <w:rFonts w:ascii="Times New Roman" w:hAnsi="Times New Roman" w:cs="Times New Roman"/>
          <w:i/>
        </w:rPr>
        <w:t>Es el perpetrado por el mismo propietario que quita la cosa a alguno que la posee y tiene interés en conservarla, por ejemplo, cuando el deudor propietario sustrae al acreedor pignoraticio la cosa que le entregó en </w:t>
      </w:r>
      <w:r>
        <w:t>prenda,</w:t>
      </w:r>
      <w:r w:rsidRPr="00C004F3">
        <w:rPr>
          <w:rFonts w:ascii="Times New Roman" w:hAnsi="Times New Roman" w:cs="Times New Roman"/>
          <w:i/>
        </w:rPr>
        <w:t xml:space="preserve"> teniendo este último derecho a retenerla hasta la ex</w:t>
      </w:r>
      <w:r>
        <w:rPr>
          <w:rFonts w:ascii="Times New Roman" w:hAnsi="Times New Roman" w:cs="Times New Roman"/>
          <w:i/>
        </w:rPr>
        <w:t>tinción del crédito garantizado</w:t>
      </w:r>
      <w:r>
        <w:rPr>
          <w:rFonts w:ascii="Times New Roman" w:hAnsi="Times New Roman" w:cs="Times New Roman"/>
        </w:rPr>
        <w:t>. &gt;&gt;. En el anterior Código Penal había un modelo de “</w:t>
      </w:r>
      <w:proofErr w:type="spellStart"/>
      <w:r>
        <w:rPr>
          <w:rFonts w:ascii="Times New Roman" w:hAnsi="Times New Roman" w:cs="Times New Roman"/>
        </w:rPr>
        <w:t>furtum</w:t>
      </w:r>
      <w:proofErr w:type="spellEnd"/>
      <w:r>
        <w:rPr>
          <w:rFonts w:ascii="Times New Roman" w:hAnsi="Times New Roman" w:cs="Times New Roman"/>
        </w:rPr>
        <w:t xml:space="preserve"> </w:t>
      </w:r>
      <w:proofErr w:type="spellStart"/>
      <w:r>
        <w:rPr>
          <w:rFonts w:ascii="Times New Roman" w:hAnsi="Times New Roman" w:cs="Times New Roman"/>
        </w:rPr>
        <w:t>possesionis</w:t>
      </w:r>
      <w:proofErr w:type="spellEnd"/>
      <w:r>
        <w:rPr>
          <w:rFonts w:ascii="Times New Roman" w:hAnsi="Times New Roman" w:cs="Times New Roman"/>
        </w:rPr>
        <w:t>” en el delito de estafa, pero a partir de 1980 se incluyó este “</w:t>
      </w:r>
      <w:proofErr w:type="spellStart"/>
      <w:r>
        <w:rPr>
          <w:rFonts w:ascii="Times New Roman" w:hAnsi="Times New Roman" w:cs="Times New Roman"/>
        </w:rPr>
        <w:t>futum</w:t>
      </w:r>
      <w:proofErr w:type="spellEnd"/>
      <w:r>
        <w:rPr>
          <w:rFonts w:ascii="Times New Roman" w:hAnsi="Times New Roman" w:cs="Times New Roman"/>
        </w:rPr>
        <w:t xml:space="preserve"> </w:t>
      </w:r>
      <w:proofErr w:type="spellStart"/>
      <w:r>
        <w:rPr>
          <w:rFonts w:ascii="Times New Roman" w:hAnsi="Times New Roman" w:cs="Times New Roman"/>
        </w:rPr>
        <w:t>possesionis</w:t>
      </w:r>
      <w:proofErr w:type="spellEnd"/>
      <w:r>
        <w:rPr>
          <w:rFonts w:ascii="Times New Roman" w:hAnsi="Times New Roman" w:cs="Times New Roman"/>
        </w:rPr>
        <w:t xml:space="preserve">” en el delito de hurto. </w:t>
      </w:r>
    </w:p>
    <w:p w:rsidR="00A744B6" w:rsidRPr="00C004F3" w:rsidRDefault="00A744B6" w:rsidP="00050185">
      <w:pPr>
        <w:pStyle w:val="Textonotapie"/>
        <w:jc w:val="both"/>
        <w:rPr>
          <w:rFonts w:ascii="Times New Roman" w:hAnsi="Times New Roman" w:cs="Times New Roman"/>
        </w:rPr>
      </w:pPr>
    </w:p>
  </w:footnote>
  <w:footnote w:id="18">
    <w:p w:rsidR="00A744B6" w:rsidRPr="002E30FD" w:rsidRDefault="00A744B6" w:rsidP="00050185">
      <w:pPr>
        <w:pStyle w:val="Textonotapie"/>
        <w:jc w:val="both"/>
        <w:rPr>
          <w:rFonts w:ascii="Times New Roman" w:hAnsi="Times New Roman" w:cs="Times New Roman"/>
        </w:rPr>
      </w:pPr>
      <w:r w:rsidRPr="002E30FD">
        <w:rPr>
          <w:rStyle w:val="Refdenotaalpie"/>
          <w:rFonts w:ascii="Times New Roman" w:hAnsi="Times New Roman" w:cs="Times New Roman"/>
        </w:rPr>
        <w:footnoteRef/>
      </w:r>
      <w:r w:rsidRPr="002E30FD">
        <w:rPr>
          <w:rFonts w:ascii="Times New Roman" w:hAnsi="Times New Roman" w:cs="Times New Roman"/>
        </w:rPr>
        <w:t>Serrano Gómez, A; Serrano Maíllo, A; Serrano Tárraga, M.D; Vázquez González, C</w:t>
      </w:r>
      <w:r>
        <w:rPr>
          <w:rFonts w:ascii="Times New Roman" w:hAnsi="Times New Roman" w:cs="Times New Roman"/>
        </w:rPr>
        <w:t xml:space="preserve"> (2016)</w:t>
      </w:r>
      <w:proofErr w:type="gramStart"/>
      <w:r w:rsidRPr="002E30FD">
        <w:rPr>
          <w:rFonts w:ascii="Times New Roman" w:hAnsi="Times New Roman" w:cs="Times New Roman"/>
        </w:rPr>
        <w:t xml:space="preserve">: </w:t>
      </w:r>
      <w:r>
        <w:rPr>
          <w:rFonts w:ascii="Times New Roman" w:hAnsi="Times New Roman" w:cs="Times New Roman"/>
        </w:rPr>
        <w:t xml:space="preserve"> &lt;</w:t>
      </w:r>
      <w:proofErr w:type="gramEnd"/>
      <w:r>
        <w:rPr>
          <w:rFonts w:ascii="Times New Roman" w:hAnsi="Times New Roman" w:cs="Times New Roman"/>
        </w:rPr>
        <w:t>&lt;</w:t>
      </w:r>
      <w:r w:rsidRPr="002E30FD">
        <w:rPr>
          <w:rFonts w:ascii="Times New Roman" w:hAnsi="Times New Roman" w:cs="Times New Roman"/>
          <w:i/>
        </w:rPr>
        <w:t>Curso de Derecho penal. Parte Especial</w:t>
      </w:r>
      <w:r>
        <w:rPr>
          <w:rFonts w:ascii="Times New Roman" w:hAnsi="Times New Roman" w:cs="Times New Roman"/>
        </w:rPr>
        <w:t>&gt;&gt;.  Madrid</w:t>
      </w:r>
      <w:r w:rsidRPr="002E30FD">
        <w:rPr>
          <w:rFonts w:ascii="Times New Roman" w:hAnsi="Times New Roman" w:cs="Times New Roman"/>
        </w:rPr>
        <w:t xml:space="preserve">. Ed. </w:t>
      </w:r>
      <w:proofErr w:type="spellStart"/>
      <w:r w:rsidRPr="002E30FD">
        <w:rPr>
          <w:rFonts w:ascii="Times New Roman" w:hAnsi="Times New Roman" w:cs="Times New Roman"/>
        </w:rPr>
        <w:t>Uned</w:t>
      </w:r>
      <w:proofErr w:type="spellEnd"/>
      <w:r w:rsidRPr="002E30FD">
        <w:rPr>
          <w:rFonts w:ascii="Times New Roman" w:hAnsi="Times New Roman" w:cs="Times New Roman"/>
        </w:rPr>
        <w:t xml:space="preserve">.  </w:t>
      </w:r>
      <w:r w:rsidRPr="002E30FD">
        <w:rPr>
          <w:rFonts w:ascii="Times New Roman" w:hAnsi="Times New Roman" w:cs="Times New Roman"/>
          <w:i/>
        </w:rPr>
        <w:t>Lección 15. Capitulo II.</w:t>
      </w:r>
      <w:r>
        <w:rPr>
          <w:rFonts w:ascii="Times New Roman" w:hAnsi="Times New Roman" w:cs="Times New Roman"/>
          <w:i/>
        </w:rPr>
        <w:t xml:space="preserve"> </w:t>
      </w:r>
      <w:r>
        <w:rPr>
          <w:rFonts w:ascii="Times New Roman" w:hAnsi="Times New Roman" w:cs="Times New Roman"/>
        </w:rPr>
        <w:t>p.274</w:t>
      </w:r>
    </w:p>
    <w:p w:rsidR="00A744B6" w:rsidRPr="002E30FD" w:rsidRDefault="00A744B6" w:rsidP="00050185">
      <w:pPr>
        <w:pStyle w:val="Textonotapie"/>
        <w:jc w:val="both"/>
        <w:rPr>
          <w:rFonts w:ascii="Times New Roman" w:hAnsi="Times New Roman" w:cs="Times New Roman"/>
        </w:rPr>
      </w:pPr>
    </w:p>
  </w:footnote>
  <w:footnote w:id="19">
    <w:p w:rsidR="00A744B6" w:rsidRPr="004A6C95" w:rsidRDefault="00A744B6" w:rsidP="00050185">
      <w:pPr>
        <w:jc w:val="both"/>
      </w:pPr>
      <w:r w:rsidRPr="004A6C95">
        <w:rPr>
          <w:rStyle w:val="Refdenotaalpie"/>
        </w:rPr>
        <w:footnoteRef/>
      </w:r>
      <w:r w:rsidRPr="004A6C95">
        <w:t xml:space="preserve">Muñoz Conde, F. </w:t>
      </w:r>
      <w:r>
        <w:t xml:space="preserve">(2015) </w:t>
      </w:r>
      <w:r w:rsidRPr="004A6C95">
        <w:t>&lt;&lt;</w:t>
      </w:r>
      <w:r w:rsidRPr="004A6C95">
        <w:rPr>
          <w:i/>
        </w:rPr>
        <w:t>Derecho Penal. Parte Especial. (20ª Edición, revisada y actualizada y puesta al día conforme a las leyes Orgánicas 1/2015 y 2/2015, de 30 de Marzo)</w:t>
      </w:r>
      <w:r>
        <w:t>&gt;&gt;. Valencia. Ed. Tirant lo Blanch. p.329</w:t>
      </w:r>
    </w:p>
  </w:footnote>
  <w:footnote w:id="20">
    <w:p w:rsidR="00A744B6" w:rsidRDefault="00A744B6" w:rsidP="00050185">
      <w:pPr>
        <w:pStyle w:val="Textonotapie"/>
        <w:jc w:val="both"/>
        <w:rPr>
          <w:rFonts w:ascii="Times New Roman" w:hAnsi="Times New Roman" w:cs="Times New Roman"/>
        </w:rPr>
      </w:pPr>
      <w:r w:rsidRPr="00330660">
        <w:rPr>
          <w:rStyle w:val="Refdenotaalpie"/>
          <w:rFonts w:ascii="Times New Roman" w:hAnsi="Times New Roman" w:cs="Times New Roman"/>
        </w:rPr>
        <w:footnoteRef/>
      </w:r>
      <w:proofErr w:type="spellStart"/>
      <w:r>
        <w:rPr>
          <w:rFonts w:ascii="Times New Roman" w:hAnsi="Times New Roman" w:cs="Times New Roman"/>
        </w:rPr>
        <w:t>Lamarca</w:t>
      </w:r>
      <w:proofErr w:type="spellEnd"/>
      <w:r>
        <w:rPr>
          <w:rFonts w:ascii="Times New Roman" w:hAnsi="Times New Roman" w:cs="Times New Roman"/>
        </w:rPr>
        <w:t xml:space="preserve"> Pérez, C. (2016) &lt;&lt;</w:t>
      </w:r>
      <w:r w:rsidRPr="00330660">
        <w:rPr>
          <w:rFonts w:ascii="Times New Roman" w:hAnsi="Times New Roman" w:cs="Times New Roman"/>
          <w:i/>
        </w:rPr>
        <w:t>Delitos. La parte Especial del Derecho Penal</w:t>
      </w:r>
      <w:r>
        <w:rPr>
          <w:rFonts w:ascii="Times New Roman" w:hAnsi="Times New Roman" w:cs="Times New Roman"/>
        </w:rPr>
        <w:t xml:space="preserve">&gt;&gt;. Madrid, ed. </w:t>
      </w:r>
      <w:proofErr w:type="spellStart"/>
      <w:r>
        <w:rPr>
          <w:rFonts w:ascii="Times New Roman" w:hAnsi="Times New Roman" w:cs="Times New Roman"/>
        </w:rPr>
        <w:t>Dykinson</w:t>
      </w:r>
      <w:proofErr w:type="spellEnd"/>
      <w:r>
        <w:rPr>
          <w:rFonts w:ascii="Times New Roman" w:hAnsi="Times New Roman" w:cs="Times New Roman"/>
        </w:rPr>
        <w:t xml:space="preserve">. </w:t>
      </w:r>
    </w:p>
    <w:p w:rsidR="00A744B6" w:rsidRPr="00330660" w:rsidRDefault="00A744B6" w:rsidP="00050185">
      <w:pPr>
        <w:pStyle w:val="Textonotapie"/>
        <w:jc w:val="both"/>
        <w:rPr>
          <w:rFonts w:ascii="Times New Roman" w:hAnsi="Times New Roman" w:cs="Times New Roman"/>
        </w:rPr>
      </w:pPr>
      <w:r>
        <w:rPr>
          <w:rFonts w:ascii="Times New Roman" w:hAnsi="Times New Roman" w:cs="Times New Roman"/>
        </w:rPr>
        <w:t xml:space="preserve"> pp. 332-335</w:t>
      </w:r>
    </w:p>
  </w:footnote>
  <w:footnote w:id="21">
    <w:p w:rsidR="00A744B6" w:rsidRDefault="00A744B6" w:rsidP="00050185">
      <w:pPr>
        <w:pStyle w:val="Textonotapie"/>
        <w:jc w:val="both"/>
        <w:rPr>
          <w:rFonts w:ascii="Times New Roman" w:hAnsi="Times New Roman" w:cs="Times New Roman"/>
          <w:b/>
          <w:bCs/>
        </w:rPr>
      </w:pPr>
      <w:r w:rsidRPr="00970CC7">
        <w:rPr>
          <w:rStyle w:val="Refdenotaalpie"/>
          <w:rFonts w:ascii="Times New Roman" w:hAnsi="Times New Roman" w:cs="Times New Roman"/>
        </w:rPr>
        <w:footnoteRef/>
      </w:r>
      <w:r>
        <w:rPr>
          <w:rFonts w:ascii="Times New Roman" w:hAnsi="Times New Roman" w:cs="Times New Roman"/>
        </w:rPr>
        <w:t xml:space="preserve">Sentencia del </w:t>
      </w:r>
      <w:r w:rsidRPr="00970CC7">
        <w:rPr>
          <w:rFonts w:ascii="Times New Roman" w:hAnsi="Times New Roman" w:cs="Times New Roman"/>
          <w:bCs/>
        </w:rPr>
        <w:t>Tribunal Supremo (Sala de lo Penal, Sección1ª)</w:t>
      </w:r>
      <w:r>
        <w:rPr>
          <w:rFonts w:ascii="Times New Roman" w:hAnsi="Times New Roman" w:cs="Times New Roman"/>
          <w:bCs/>
        </w:rPr>
        <w:t xml:space="preserve"> número 399/2016, de 10 de Mayo (RJ 2016/2247)</w:t>
      </w:r>
    </w:p>
    <w:p w:rsidR="00A744B6" w:rsidRPr="00970CC7" w:rsidRDefault="00A744B6" w:rsidP="00050185">
      <w:pPr>
        <w:pStyle w:val="Textonotapie"/>
        <w:jc w:val="both"/>
        <w:rPr>
          <w:rFonts w:ascii="Times New Roman" w:hAnsi="Times New Roman" w:cs="Times New Roman"/>
        </w:rPr>
      </w:pPr>
      <w:r>
        <w:rPr>
          <w:rFonts w:ascii="Times New Roman" w:hAnsi="Times New Roman" w:cs="Times New Roman"/>
        </w:rPr>
        <w:t xml:space="preserve">Véase en </w:t>
      </w:r>
      <w:hyperlink r:id="rId3" w:history="1">
        <w:r w:rsidRPr="00693920">
          <w:rPr>
            <w:rStyle w:val="Hipervnculo"/>
            <w:rFonts w:ascii="Times New Roman" w:hAnsi="Times New Roman" w:cs="Times New Roman"/>
          </w:rPr>
          <w:t>http://0-aranzadi.aranzadidigital.es.avalos.ujaen.es/maf/app/document?tid=&amp;docguid=Id5d78f80227911e68c04010000000000&amp;base-guids=RJ\2016\2247&amp;fexid=flag-red-juris&amp;fexid=flag-yellow-juris&amp;fexid=flag-blue-juris&amp;fexid=DO-ANA-25&amp;fexid=DO-ANA-23&amp;srguid=i0ad82d9a0000015bd84e6e4f22a89c20&amp;th=Penal&amp;guid=Id0145390b6e311e18b74010000000000&amp;src=withinResuts&amp;spos=6&amp;epos=6</w:t>
        </w:r>
      </w:hyperlink>
    </w:p>
  </w:footnote>
  <w:footnote w:id="22">
    <w:p w:rsidR="00A744B6" w:rsidRPr="00CD5979" w:rsidRDefault="00A744B6" w:rsidP="00050185">
      <w:pPr>
        <w:pStyle w:val="Textonotapie"/>
        <w:jc w:val="both"/>
        <w:rPr>
          <w:rFonts w:ascii="Times New Roman" w:hAnsi="Times New Roman" w:cs="Times New Roman"/>
        </w:rPr>
      </w:pPr>
      <w:r w:rsidRPr="00CD5979">
        <w:rPr>
          <w:rStyle w:val="Refdenotaalpie"/>
          <w:rFonts w:ascii="Times New Roman" w:hAnsi="Times New Roman" w:cs="Times New Roman"/>
        </w:rPr>
        <w:footnoteRef/>
      </w:r>
      <w:r>
        <w:rPr>
          <w:rFonts w:ascii="Times New Roman" w:hAnsi="Times New Roman" w:cs="Times New Roman"/>
        </w:rPr>
        <w:t xml:space="preserve">Cuello Contreras, J; </w:t>
      </w:r>
      <w:proofErr w:type="spellStart"/>
      <w:r>
        <w:rPr>
          <w:rFonts w:ascii="Times New Roman" w:hAnsi="Times New Roman" w:cs="Times New Roman"/>
        </w:rPr>
        <w:t>Mapelli</w:t>
      </w:r>
      <w:proofErr w:type="spellEnd"/>
      <w:r>
        <w:rPr>
          <w:rFonts w:ascii="Times New Roman" w:hAnsi="Times New Roman" w:cs="Times New Roman"/>
        </w:rPr>
        <w:t xml:space="preserve"> </w:t>
      </w:r>
      <w:proofErr w:type="spellStart"/>
      <w:r>
        <w:rPr>
          <w:rFonts w:ascii="Times New Roman" w:hAnsi="Times New Roman" w:cs="Times New Roman"/>
        </w:rPr>
        <w:t>Caffarena</w:t>
      </w:r>
      <w:proofErr w:type="spellEnd"/>
      <w:r>
        <w:rPr>
          <w:rFonts w:ascii="Times New Roman" w:hAnsi="Times New Roman" w:cs="Times New Roman"/>
        </w:rPr>
        <w:t>, B. (2016) &lt;&lt;</w:t>
      </w:r>
      <w:r w:rsidRPr="00CD5979">
        <w:rPr>
          <w:rFonts w:ascii="Times New Roman" w:hAnsi="Times New Roman" w:cs="Times New Roman"/>
          <w:i/>
        </w:rPr>
        <w:t>Curso de Derecho Penal. Parte General</w:t>
      </w:r>
      <w:proofErr w:type="gramStart"/>
      <w:r>
        <w:rPr>
          <w:rFonts w:ascii="Times New Roman" w:hAnsi="Times New Roman" w:cs="Times New Roman"/>
        </w:rPr>
        <w:t>.&gt;</w:t>
      </w:r>
      <w:proofErr w:type="gramEnd"/>
      <w:r>
        <w:rPr>
          <w:rFonts w:ascii="Times New Roman" w:hAnsi="Times New Roman" w:cs="Times New Roman"/>
        </w:rPr>
        <w:t xml:space="preserve">&gt;. Madrid. Ed. </w:t>
      </w:r>
      <w:proofErr w:type="spellStart"/>
      <w:proofErr w:type="gramStart"/>
      <w:r>
        <w:rPr>
          <w:rFonts w:ascii="Times New Roman" w:hAnsi="Times New Roman" w:cs="Times New Roman"/>
        </w:rPr>
        <w:t>Tecnos</w:t>
      </w:r>
      <w:proofErr w:type="spellEnd"/>
      <w:proofErr w:type="gramEnd"/>
      <w:r>
        <w:rPr>
          <w:rFonts w:ascii="Times New Roman" w:hAnsi="Times New Roman" w:cs="Times New Roman"/>
        </w:rPr>
        <w:t>. Pp. 101-102</w:t>
      </w:r>
    </w:p>
  </w:footnote>
  <w:footnote w:id="23">
    <w:p w:rsidR="00A744B6" w:rsidRPr="00732C88" w:rsidRDefault="00A744B6" w:rsidP="00050185">
      <w:pPr>
        <w:pStyle w:val="Textonotapie"/>
        <w:jc w:val="both"/>
        <w:rPr>
          <w:rFonts w:ascii="Times New Roman" w:hAnsi="Times New Roman" w:cs="Times New Roman"/>
        </w:rPr>
      </w:pPr>
      <w:r w:rsidRPr="00732C88">
        <w:rPr>
          <w:rStyle w:val="Refdenotaalpie"/>
          <w:rFonts w:ascii="Times New Roman" w:hAnsi="Times New Roman" w:cs="Times New Roman"/>
        </w:rPr>
        <w:footnoteRef/>
      </w:r>
      <w:r w:rsidRPr="00732C88">
        <w:rPr>
          <w:rFonts w:ascii="Times New Roman" w:hAnsi="Times New Roman" w:cs="Times New Roman"/>
        </w:rPr>
        <w:t>Véase en la Ley Orgánica 10/1995, de 23 de noviembre, del Código Penal (BOE núm.77, de 31 de Marzo</w:t>
      </w:r>
      <w:r>
        <w:rPr>
          <w:rFonts w:ascii="Times New Roman" w:hAnsi="Times New Roman" w:cs="Times New Roman"/>
        </w:rPr>
        <w:t>).</w:t>
      </w:r>
    </w:p>
  </w:footnote>
  <w:footnote w:id="24">
    <w:p w:rsidR="00A744B6" w:rsidRPr="001378A2" w:rsidRDefault="00A744B6" w:rsidP="00050185">
      <w:pPr>
        <w:pStyle w:val="Textonotapie"/>
        <w:jc w:val="both"/>
        <w:rPr>
          <w:rFonts w:ascii="Times New Roman" w:hAnsi="Times New Roman" w:cs="Times New Roman"/>
        </w:rPr>
      </w:pPr>
      <w:r w:rsidRPr="001378A2">
        <w:rPr>
          <w:rStyle w:val="Refdenotaalpie"/>
          <w:rFonts w:ascii="Times New Roman" w:hAnsi="Times New Roman" w:cs="Times New Roman"/>
        </w:rPr>
        <w:footnoteRef/>
      </w:r>
      <w:r w:rsidRPr="001378A2">
        <w:rPr>
          <w:rFonts w:ascii="Times New Roman" w:hAnsi="Times New Roman" w:cs="Times New Roman"/>
        </w:rPr>
        <w:t>Serrano Gómez, A; Serrano Maíllo, A; Serrano Tárraga, M.D; Vázquez González, C</w:t>
      </w:r>
      <w:r>
        <w:rPr>
          <w:rFonts w:ascii="Times New Roman" w:hAnsi="Times New Roman" w:cs="Times New Roman"/>
        </w:rPr>
        <w:t xml:space="preserve"> (2016)</w:t>
      </w:r>
      <w:proofErr w:type="gramStart"/>
      <w:r w:rsidRPr="001378A2">
        <w:rPr>
          <w:rFonts w:ascii="Times New Roman" w:hAnsi="Times New Roman" w:cs="Times New Roman"/>
        </w:rPr>
        <w:t>:</w:t>
      </w:r>
      <w:r>
        <w:rPr>
          <w:rFonts w:ascii="Times New Roman" w:hAnsi="Times New Roman" w:cs="Times New Roman"/>
        </w:rPr>
        <w:t xml:space="preserve">  &lt;</w:t>
      </w:r>
      <w:proofErr w:type="gramEnd"/>
      <w:r>
        <w:rPr>
          <w:rFonts w:ascii="Times New Roman" w:hAnsi="Times New Roman" w:cs="Times New Roman"/>
        </w:rPr>
        <w:t>&lt;</w:t>
      </w:r>
      <w:r w:rsidRPr="001378A2">
        <w:rPr>
          <w:rFonts w:ascii="Times New Roman" w:hAnsi="Times New Roman" w:cs="Times New Roman"/>
          <w:i/>
        </w:rPr>
        <w:t>Curso de Derecho penal. Parte Especial</w:t>
      </w:r>
      <w:r>
        <w:rPr>
          <w:rFonts w:ascii="Times New Roman" w:hAnsi="Times New Roman" w:cs="Times New Roman"/>
        </w:rPr>
        <w:t>&gt;&gt;.  Madrid</w:t>
      </w:r>
      <w:r w:rsidRPr="001378A2">
        <w:rPr>
          <w:rFonts w:ascii="Times New Roman" w:hAnsi="Times New Roman" w:cs="Times New Roman"/>
        </w:rPr>
        <w:t xml:space="preserve">. Ed. </w:t>
      </w:r>
      <w:proofErr w:type="spellStart"/>
      <w:r w:rsidRPr="001378A2">
        <w:rPr>
          <w:rFonts w:ascii="Times New Roman" w:hAnsi="Times New Roman" w:cs="Times New Roman"/>
        </w:rPr>
        <w:t>Uned</w:t>
      </w:r>
      <w:proofErr w:type="spellEnd"/>
      <w:r w:rsidRPr="001378A2">
        <w:rPr>
          <w:rFonts w:ascii="Times New Roman" w:hAnsi="Times New Roman" w:cs="Times New Roman"/>
        </w:rPr>
        <w:t>. pp.268-269</w:t>
      </w:r>
    </w:p>
  </w:footnote>
  <w:footnote w:id="25">
    <w:p w:rsidR="00A744B6" w:rsidRPr="00A47995" w:rsidRDefault="00A744B6" w:rsidP="00050185">
      <w:pPr>
        <w:pStyle w:val="Textonotapie"/>
        <w:jc w:val="both"/>
        <w:rPr>
          <w:rFonts w:ascii="Times New Roman" w:hAnsi="Times New Roman" w:cs="Times New Roman"/>
        </w:rPr>
      </w:pPr>
      <w:r w:rsidRPr="00A47995">
        <w:rPr>
          <w:rStyle w:val="Refdenotaalpie"/>
          <w:rFonts w:ascii="Times New Roman" w:hAnsi="Times New Roman" w:cs="Times New Roman"/>
        </w:rPr>
        <w:footnoteRef/>
      </w:r>
      <w:r w:rsidRPr="00A47995">
        <w:rPr>
          <w:rFonts w:ascii="Times New Roman" w:hAnsi="Times New Roman" w:cs="Times New Roman"/>
        </w:rPr>
        <w:t>González Rus, JJ.</w:t>
      </w:r>
      <w:r>
        <w:rPr>
          <w:rFonts w:ascii="Times New Roman" w:hAnsi="Times New Roman" w:cs="Times New Roman"/>
        </w:rPr>
        <w:t xml:space="preserve"> (1994) </w:t>
      </w:r>
      <w:r w:rsidRPr="00A47995">
        <w:rPr>
          <w:rFonts w:ascii="Times New Roman" w:hAnsi="Times New Roman" w:cs="Times New Roman"/>
        </w:rPr>
        <w:t>&lt;&lt;</w:t>
      </w:r>
      <w:r w:rsidRPr="00A47995">
        <w:rPr>
          <w:rFonts w:ascii="Times New Roman" w:hAnsi="Times New Roman" w:cs="Times New Roman"/>
          <w:i/>
        </w:rPr>
        <w:t>La reforma de los delitos económicos y contra el patrimonio. Consideraciones críticas</w:t>
      </w:r>
      <w:proofErr w:type="gramStart"/>
      <w:r w:rsidRPr="00A47995">
        <w:rPr>
          <w:rFonts w:ascii="Times New Roman" w:hAnsi="Times New Roman" w:cs="Times New Roman"/>
          <w:i/>
        </w:rPr>
        <w:t>.</w:t>
      </w:r>
      <w:r w:rsidRPr="00A47995">
        <w:rPr>
          <w:rFonts w:ascii="Times New Roman" w:hAnsi="Times New Roman" w:cs="Times New Roman"/>
        </w:rPr>
        <w:t>&gt;</w:t>
      </w:r>
      <w:proofErr w:type="gramEnd"/>
      <w:r w:rsidRPr="00A47995">
        <w:rPr>
          <w:rFonts w:ascii="Times New Roman" w:hAnsi="Times New Roman" w:cs="Times New Roman"/>
        </w:rPr>
        <w:t>&gt;</w:t>
      </w:r>
      <w:r>
        <w:rPr>
          <w:rFonts w:ascii="Times New Roman" w:hAnsi="Times New Roman" w:cs="Times New Roman"/>
        </w:rPr>
        <w:t>. PP. 129-190</w:t>
      </w:r>
    </w:p>
  </w:footnote>
  <w:footnote w:id="26">
    <w:p w:rsidR="00A744B6" w:rsidRPr="00B65417" w:rsidRDefault="00A744B6">
      <w:pPr>
        <w:pStyle w:val="Textonotapie"/>
        <w:rPr>
          <w:rFonts w:ascii="Times New Roman" w:hAnsi="Times New Roman" w:cs="Times New Roman"/>
        </w:rPr>
      </w:pPr>
      <w:r w:rsidRPr="00B65417">
        <w:rPr>
          <w:rStyle w:val="Refdenotaalpie"/>
          <w:rFonts w:ascii="Times New Roman" w:hAnsi="Times New Roman" w:cs="Times New Roman"/>
        </w:rPr>
        <w:footnoteRef/>
      </w:r>
      <w:r w:rsidRPr="00B65417">
        <w:rPr>
          <w:rFonts w:ascii="Times New Roman" w:hAnsi="Times New Roman" w:cs="Times New Roman"/>
        </w:rPr>
        <w:t xml:space="preserve"> </w:t>
      </w:r>
      <w:r>
        <w:rPr>
          <w:rFonts w:ascii="Times New Roman" w:hAnsi="Times New Roman" w:cs="Times New Roman"/>
        </w:rPr>
        <w:t xml:space="preserve">Morillas Cueva, L. (Director); Benítez </w:t>
      </w:r>
      <w:proofErr w:type="spellStart"/>
      <w:r>
        <w:rPr>
          <w:rFonts w:ascii="Times New Roman" w:hAnsi="Times New Roman" w:cs="Times New Roman"/>
        </w:rPr>
        <w:t>Ortúzar</w:t>
      </w:r>
      <w:proofErr w:type="spellEnd"/>
      <w:r>
        <w:rPr>
          <w:rFonts w:ascii="Times New Roman" w:hAnsi="Times New Roman" w:cs="Times New Roman"/>
        </w:rPr>
        <w:t xml:space="preserve">, I.F: Del Rosal Blasco, B; Olmedo </w:t>
      </w:r>
      <w:proofErr w:type="spellStart"/>
      <w:r>
        <w:rPr>
          <w:rFonts w:ascii="Times New Roman" w:hAnsi="Times New Roman" w:cs="Times New Roman"/>
        </w:rPr>
        <w:t>Cardenete</w:t>
      </w:r>
      <w:proofErr w:type="spellEnd"/>
      <w:r>
        <w:rPr>
          <w:rFonts w:ascii="Times New Roman" w:hAnsi="Times New Roman" w:cs="Times New Roman"/>
        </w:rPr>
        <w:t>, M; Peris Riera, J; Sainz-Cantero Caparrós, J.E, (2016): &lt;&lt;</w:t>
      </w:r>
      <w:r>
        <w:rPr>
          <w:rFonts w:ascii="Times New Roman" w:hAnsi="Times New Roman" w:cs="Times New Roman"/>
          <w:i/>
        </w:rPr>
        <w:t xml:space="preserve">Sistema de Derecho Penal. Parte Especial. 2ª Edición&gt;&gt;. </w:t>
      </w:r>
      <w:r>
        <w:rPr>
          <w:rFonts w:ascii="Times New Roman" w:hAnsi="Times New Roman" w:cs="Times New Roman"/>
        </w:rPr>
        <w:t xml:space="preserve">Madrid. Ed. </w:t>
      </w:r>
      <w:proofErr w:type="spellStart"/>
      <w:r>
        <w:rPr>
          <w:rFonts w:ascii="Times New Roman" w:hAnsi="Times New Roman" w:cs="Times New Roman"/>
        </w:rPr>
        <w:t>Dykinson</w:t>
      </w:r>
      <w:proofErr w:type="spellEnd"/>
      <w:r>
        <w:rPr>
          <w:rFonts w:ascii="Times New Roman" w:hAnsi="Times New Roman" w:cs="Times New Roman"/>
        </w:rPr>
        <w:t xml:space="preserve"> S.L</w:t>
      </w:r>
    </w:p>
  </w:footnote>
  <w:footnote w:id="27">
    <w:p w:rsidR="00A744B6" w:rsidRPr="00EC5A12" w:rsidRDefault="00A744B6" w:rsidP="00050185">
      <w:pPr>
        <w:pStyle w:val="Textonotapie"/>
        <w:jc w:val="both"/>
        <w:rPr>
          <w:rFonts w:ascii="Times New Roman" w:hAnsi="Times New Roman" w:cs="Times New Roman"/>
        </w:rPr>
      </w:pPr>
      <w:r w:rsidRPr="00EC5A12">
        <w:rPr>
          <w:rStyle w:val="Refdenotaalpie"/>
          <w:rFonts w:ascii="Times New Roman" w:hAnsi="Times New Roman" w:cs="Times New Roman"/>
        </w:rPr>
        <w:footnoteRef/>
      </w:r>
      <w:r w:rsidRPr="00EC5A12">
        <w:rPr>
          <w:rFonts w:ascii="Times New Roman" w:hAnsi="Times New Roman" w:cs="Times New Roman"/>
        </w:rPr>
        <w:t>Cuello Con</w:t>
      </w:r>
      <w:r>
        <w:rPr>
          <w:rFonts w:ascii="Times New Roman" w:hAnsi="Times New Roman" w:cs="Times New Roman"/>
        </w:rPr>
        <w:t xml:space="preserve">treras, J; </w:t>
      </w:r>
      <w:proofErr w:type="spellStart"/>
      <w:r>
        <w:rPr>
          <w:rFonts w:ascii="Times New Roman" w:hAnsi="Times New Roman" w:cs="Times New Roman"/>
        </w:rPr>
        <w:t>Mapelli</w:t>
      </w:r>
      <w:proofErr w:type="spellEnd"/>
      <w:r>
        <w:rPr>
          <w:rFonts w:ascii="Times New Roman" w:hAnsi="Times New Roman" w:cs="Times New Roman"/>
        </w:rPr>
        <w:t xml:space="preserve"> </w:t>
      </w:r>
      <w:proofErr w:type="spellStart"/>
      <w:r>
        <w:rPr>
          <w:rFonts w:ascii="Times New Roman" w:hAnsi="Times New Roman" w:cs="Times New Roman"/>
        </w:rPr>
        <w:t>Caffarena</w:t>
      </w:r>
      <w:proofErr w:type="spellEnd"/>
      <w:r>
        <w:rPr>
          <w:rFonts w:ascii="Times New Roman" w:hAnsi="Times New Roman" w:cs="Times New Roman"/>
        </w:rPr>
        <w:t xml:space="preserve">, B (2016) </w:t>
      </w:r>
      <w:r w:rsidRPr="00EC5A12">
        <w:rPr>
          <w:rFonts w:ascii="Times New Roman" w:hAnsi="Times New Roman" w:cs="Times New Roman"/>
        </w:rPr>
        <w:t>&lt;&lt;</w:t>
      </w:r>
      <w:r w:rsidRPr="00EC5A12">
        <w:rPr>
          <w:rFonts w:ascii="Times New Roman" w:hAnsi="Times New Roman" w:cs="Times New Roman"/>
          <w:i/>
        </w:rPr>
        <w:t>Curso de Derecho Penal. Parte General</w:t>
      </w:r>
      <w:proofErr w:type="gramStart"/>
      <w:r>
        <w:rPr>
          <w:rFonts w:ascii="Times New Roman" w:hAnsi="Times New Roman" w:cs="Times New Roman"/>
        </w:rPr>
        <w:t>.&gt;</w:t>
      </w:r>
      <w:proofErr w:type="gramEnd"/>
      <w:r>
        <w:rPr>
          <w:rFonts w:ascii="Times New Roman" w:hAnsi="Times New Roman" w:cs="Times New Roman"/>
        </w:rPr>
        <w:t xml:space="preserve">&gt;. Madrid. </w:t>
      </w:r>
      <w:r w:rsidRPr="00EC5A12">
        <w:rPr>
          <w:rFonts w:ascii="Times New Roman" w:hAnsi="Times New Roman" w:cs="Times New Roman"/>
        </w:rPr>
        <w:t xml:space="preserve">Ed. </w:t>
      </w:r>
      <w:proofErr w:type="spellStart"/>
      <w:proofErr w:type="gramStart"/>
      <w:r w:rsidRPr="00EC5A12">
        <w:rPr>
          <w:rFonts w:ascii="Times New Roman" w:hAnsi="Times New Roman" w:cs="Times New Roman"/>
        </w:rPr>
        <w:t>Tecnos</w:t>
      </w:r>
      <w:proofErr w:type="spellEnd"/>
      <w:proofErr w:type="gramEnd"/>
      <w:r w:rsidRPr="00EC5A12">
        <w:rPr>
          <w:rFonts w:ascii="Times New Roman" w:hAnsi="Times New Roman" w:cs="Times New Roman"/>
        </w:rPr>
        <w:t xml:space="preserve">. </w:t>
      </w:r>
      <w:r>
        <w:rPr>
          <w:rFonts w:ascii="Times New Roman" w:hAnsi="Times New Roman" w:cs="Times New Roman"/>
        </w:rPr>
        <w:t>p.93</w:t>
      </w:r>
    </w:p>
    <w:p w:rsidR="00A744B6" w:rsidRPr="00EC5A12" w:rsidRDefault="00A744B6" w:rsidP="00050185">
      <w:pPr>
        <w:pStyle w:val="Textonotapie"/>
        <w:jc w:val="both"/>
        <w:rPr>
          <w:rFonts w:ascii="Times New Roman" w:hAnsi="Times New Roman" w:cs="Times New Roman"/>
        </w:rPr>
      </w:pPr>
    </w:p>
  </w:footnote>
  <w:footnote w:id="28">
    <w:p w:rsidR="00A744B6" w:rsidRPr="00B629DF" w:rsidRDefault="00A744B6" w:rsidP="00050185">
      <w:pPr>
        <w:pStyle w:val="Textonotapie"/>
        <w:jc w:val="both"/>
        <w:rPr>
          <w:rFonts w:ascii="Times New Roman" w:hAnsi="Times New Roman" w:cs="Times New Roman"/>
        </w:rPr>
      </w:pPr>
      <w:r w:rsidRPr="00B629DF">
        <w:rPr>
          <w:rStyle w:val="Refdenotaalpie"/>
          <w:rFonts w:ascii="Times New Roman" w:hAnsi="Times New Roman" w:cs="Times New Roman"/>
        </w:rPr>
        <w:footnoteRef/>
      </w:r>
      <w:r>
        <w:rPr>
          <w:rFonts w:ascii="Times New Roman" w:hAnsi="Times New Roman" w:cs="Times New Roman"/>
        </w:rPr>
        <w:t>Pérez del Valle, C (2016): &lt;&lt;</w:t>
      </w:r>
      <w:r w:rsidRPr="00B629DF">
        <w:rPr>
          <w:rFonts w:ascii="Times New Roman" w:hAnsi="Times New Roman" w:cs="Times New Roman"/>
          <w:i/>
        </w:rPr>
        <w:t>Lecciones de Derecho Penal. Parte General</w:t>
      </w:r>
      <w:proofErr w:type="gramStart"/>
      <w:r w:rsidRPr="00B629DF">
        <w:rPr>
          <w:rFonts w:ascii="Times New Roman" w:hAnsi="Times New Roman" w:cs="Times New Roman"/>
          <w:i/>
        </w:rPr>
        <w:t>.</w:t>
      </w:r>
      <w:r>
        <w:rPr>
          <w:rFonts w:ascii="Times New Roman" w:hAnsi="Times New Roman" w:cs="Times New Roman"/>
        </w:rPr>
        <w:t>&gt;</w:t>
      </w:r>
      <w:proofErr w:type="gramEnd"/>
      <w:r>
        <w:rPr>
          <w:rFonts w:ascii="Times New Roman" w:hAnsi="Times New Roman" w:cs="Times New Roman"/>
        </w:rPr>
        <w:t xml:space="preserve">&gt;. Madrid. Ed. </w:t>
      </w:r>
      <w:proofErr w:type="spellStart"/>
      <w:r>
        <w:rPr>
          <w:rFonts w:ascii="Times New Roman" w:hAnsi="Times New Roman" w:cs="Times New Roman"/>
        </w:rPr>
        <w:t>Dykinson</w:t>
      </w:r>
      <w:proofErr w:type="spellEnd"/>
      <w:r>
        <w:rPr>
          <w:rFonts w:ascii="Times New Roman" w:hAnsi="Times New Roman" w:cs="Times New Roman"/>
        </w:rPr>
        <w:t xml:space="preserve"> S.L. p.140</w:t>
      </w:r>
    </w:p>
  </w:footnote>
  <w:footnote w:id="29">
    <w:p w:rsidR="00A744B6" w:rsidRPr="00B629DF" w:rsidRDefault="00A744B6" w:rsidP="00050185">
      <w:pPr>
        <w:jc w:val="both"/>
      </w:pPr>
      <w:r w:rsidRPr="00B629DF">
        <w:rPr>
          <w:rStyle w:val="Refdenotaalpie"/>
        </w:rPr>
        <w:footnoteRef/>
      </w:r>
      <w:r w:rsidRPr="00B629DF">
        <w:t xml:space="preserve"> Muñoz Conde, F.</w:t>
      </w:r>
      <w:r>
        <w:t xml:space="preserve"> (2015)</w:t>
      </w:r>
      <w:r w:rsidRPr="00B629DF">
        <w:t xml:space="preserve"> &lt;&lt;</w:t>
      </w:r>
      <w:r w:rsidRPr="00B629DF">
        <w:rPr>
          <w:i/>
        </w:rPr>
        <w:t>Derecho Penal. Parte Especial. (20ª Edición, revisada y actualizada y puesta al día conforme a las leyes Orgánicas 1/2015 y 2/2015, de 30 de Marzo)</w:t>
      </w:r>
      <w:r>
        <w:t>&gt;&gt;. Valencia. Ed. Tirant lo Blanch. p.331</w:t>
      </w:r>
    </w:p>
    <w:p w:rsidR="00A744B6" w:rsidRPr="00B629DF" w:rsidRDefault="00A744B6" w:rsidP="00050185">
      <w:pPr>
        <w:pStyle w:val="Textonotapie"/>
        <w:rPr>
          <w:rFonts w:ascii="Times New Roman" w:hAnsi="Times New Roman" w:cs="Times New Roman"/>
        </w:rPr>
      </w:pPr>
    </w:p>
  </w:footnote>
  <w:footnote w:id="30">
    <w:p w:rsidR="00A744B6" w:rsidRPr="00817CC3" w:rsidRDefault="00A744B6" w:rsidP="00050185">
      <w:pPr>
        <w:pStyle w:val="Textonotapie"/>
        <w:jc w:val="both"/>
        <w:rPr>
          <w:rFonts w:ascii="Times New Roman" w:hAnsi="Times New Roman" w:cs="Times New Roman"/>
        </w:rPr>
      </w:pPr>
      <w:r w:rsidRPr="00817CC3">
        <w:rPr>
          <w:rStyle w:val="Refdenotaalpie"/>
          <w:rFonts w:ascii="Times New Roman" w:hAnsi="Times New Roman" w:cs="Times New Roman"/>
        </w:rPr>
        <w:footnoteRef/>
      </w:r>
      <w:r w:rsidRPr="00A97CFD">
        <w:rPr>
          <w:rFonts w:ascii="Times New Roman" w:hAnsi="Times New Roman" w:cs="Times New Roman"/>
        </w:rPr>
        <w:t xml:space="preserve">Véase en la Ley Orgánica 1/2015, de 30 de marzo, por la que se modifica la Ley Orgánica 10/1995, de 23 de noviembre, del Código Penal (BOE núm.77, de 31 de Marzo) </w:t>
      </w:r>
      <w:r>
        <w:rPr>
          <w:rFonts w:ascii="Times New Roman" w:hAnsi="Times New Roman" w:cs="Times New Roman"/>
        </w:rPr>
        <w:t>.Algunas de estas agravaciones fueron incorporadas por la LO 1/2015.</w:t>
      </w:r>
    </w:p>
  </w:footnote>
  <w:footnote w:id="31">
    <w:p w:rsidR="00A744B6" w:rsidRPr="00621523" w:rsidRDefault="00A744B6" w:rsidP="00050185">
      <w:pPr>
        <w:pStyle w:val="Textonotapie"/>
        <w:jc w:val="both"/>
        <w:rPr>
          <w:rFonts w:ascii="Times New Roman" w:hAnsi="Times New Roman" w:cs="Times New Roman"/>
        </w:rPr>
      </w:pPr>
      <w:r w:rsidRPr="00621523">
        <w:rPr>
          <w:rStyle w:val="Refdenotaalpie"/>
          <w:rFonts w:ascii="Times New Roman" w:hAnsi="Times New Roman" w:cs="Times New Roman"/>
        </w:rPr>
        <w:footnoteRef/>
      </w:r>
      <w:r w:rsidRPr="00621523">
        <w:rPr>
          <w:rFonts w:ascii="Times New Roman" w:hAnsi="Times New Roman" w:cs="Times New Roman"/>
        </w:rPr>
        <w:t>González</w:t>
      </w:r>
      <w:r>
        <w:rPr>
          <w:rFonts w:ascii="Times New Roman" w:hAnsi="Times New Roman" w:cs="Times New Roman"/>
        </w:rPr>
        <w:t xml:space="preserve"> </w:t>
      </w:r>
      <w:proofErr w:type="spellStart"/>
      <w:r w:rsidRPr="00621523">
        <w:rPr>
          <w:rFonts w:ascii="Times New Roman" w:hAnsi="Times New Roman" w:cs="Times New Roman"/>
        </w:rPr>
        <w:t>Cussac</w:t>
      </w:r>
      <w:proofErr w:type="spellEnd"/>
      <w:r w:rsidRPr="00621523">
        <w:rPr>
          <w:rFonts w:ascii="Times New Roman" w:hAnsi="Times New Roman" w:cs="Times New Roman"/>
        </w:rPr>
        <w:t xml:space="preserve">, J.L; </w:t>
      </w:r>
      <w:proofErr w:type="spellStart"/>
      <w:r w:rsidRPr="00621523">
        <w:rPr>
          <w:rFonts w:ascii="Times New Roman" w:hAnsi="Times New Roman" w:cs="Times New Roman"/>
        </w:rPr>
        <w:t>Gorriz</w:t>
      </w:r>
      <w:proofErr w:type="spellEnd"/>
      <w:r w:rsidRPr="00621523">
        <w:rPr>
          <w:rFonts w:ascii="Times New Roman" w:hAnsi="Times New Roman" w:cs="Times New Roman"/>
        </w:rPr>
        <w:t xml:space="preserve"> Royo, E; </w:t>
      </w:r>
      <w:proofErr w:type="spellStart"/>
      <w:r w:rsidRPr="00621523">
        <w:rPr>
          <w:rFonts w:ascii="Times New Roman" w:hAnsi="Times New Roman" w:cs="Times New Roman"/>
        </w:rPr>
        <w:t>Matallin</w:t>
      </w:r>
      <w:proofErr w:type="spellEnd"/>
      <w:r w:rsidRPr="00621523">
        <w:rPr>
          <w:rFonts w:ascii="Times New Roman" w:hAnsi="Times New Roman" w:cs="Times New Roman"/>
        </w:rPr>
        <w:t xml:space="preserve"> Evangelio, A. &lt;&lt;</w:t>
      </w:r>
      <w:r w:rsidRPr="00621523">
        <w:rPr>
          <w:rFonts w:ascii="Times New Roman" w:hAnsi="Times New Roman" w:cs="Times New Roman"/>
          <w:i/>
        </w:rPr>
        <w:t>Comentarios a la reforma del Código Penal de 2015</w:t>
      </w:r>
      <w:r w:rsidRPr="00621523">
        <w:rPr>
          <w:rFonts w:ascii="Times New Roman" w:hAnsi="Times New Roman" w:cs="Times New Roman"/>
        </w:rPr>
        <w:t xml:space="preserve">. </w:t>
      </w:r>
      <w:r w:rsidRPr="00621523">
        <w:rPr>
          <w:rFonts w:ascii="Times New Roman" w:hAnsi="Times New Roman" w:cs="Times New Roman"/>
          <w:i/>
        </w:rPr>
        <w:t>2ª Edición.</w:t>
      </w:r>
      <w:r w:rsidRPr="00621523">
        <w:rPr>
          <w:rFonts w:ascii="Times New Roman" w:hAnsi="Times New Roman" w:cs="Times New Roman"/>
        </w:rPr>
        <w:t>&gt;&gt; Ed. Tirant lo Blanch</w:t>
      </w:r>
      <w:r>
        <w:rPr>
          <w:rFonts w:ascii="Times New Roman" w:hAnsi="Times New Roman" w:cs="Times New Roman"/>
        </w:rPr>
        <w:t xml:space="preserve"> pp.701-707</w:t>
      </w:r>
    </w:p>
  </w:footnote>
  <w:footnote w:id="32">
    <w:p w:rsidR="00A744B6" w:rsidRPr="00A54AF4" w:rsidRDefault="00A744B6" w:rsidP="00050185">
      <w:pPr>
        <w:jc w:val="both"/>
      </w:pPr>
      <w:r w:rsidRPr="00A54AF4">
        <w:rPr>
          <w:rStyle w:val="Refdenotaalpie"/>
        </w:rPr>
        <w:footnoteRef/>
      </w:r>
      <w:r w:rsidRPr="00A54AF4">
        <w:t>Cuello Con</w:t>
      </w:r>
      <w:r>
        <w:t xml:space="preserve">treras, J; </w:t>
      </w:r>
      <w:proofErr w:type="spellStart"/>
      <w:r>
        <w:t>Mapelli</w:t>
      </w:r>
      <w:proofErr w:type="spellEnd"/>
      <w:r>
        <w:t xml:space="preserve"> </w:t>
      </w:r>
      <w:proofErr w:type="spellStart"/>
      <w:r>
        <w:t>Caffarena</w:t>
      </w:r>
      <w:proofErr w:type="spellEnd"/>
      <w:r>
        <w:t xml:space="preserve">, B (2016) </w:t>
      </w:r>
      <w:r w:rsidRPr="00A54AF4">
        <w:t>&lt;&lt;</w:t>
      </w:r>
      <w:r w:rsidRPr="00A54AF4">
        <w:rPr>
          <w:i/>
        </w:rPr>
        <w:t>Curso de Derecho Penal. Parte General</w:t>
      </w:r>
      <w:proofErr w:type="gramStart"/>
      <w:r w:rsidRPr="00A54AF4">
        <w:t>.&gt;</w:t>
      </w:r>
      <w:proofErr w:type="gramEnd"/>
      <w:r w:rsidRPr="00A54AF4">
        <w:t>&gt;. Madrid</w:t>
      </w:r>
      <w:r>
        <w:t xml:space="preserve">. Ed. </w:t>
      </w:r>
      <w:proofErr w:type="spellStart"/>
      <w:proofErr w:type="gramStart"/>
      <w:r>
        <w:t>Tecnos</w:t>
      </w:r>
      <w:proofErr w:type="spellEnd"/>
      <w:proofErr w:type="gramEnd"/>
      <w:r>
        <w:t>. p.153</w:t>
      </w:r>
    </w:p>
  </w:footnote>
  <w:footnote w:id="33">
    <w:p w:rsidR="00A744B6" w:rsidRPr="004467EF" w:rsidRDefault="00A744B6" w:rsidP="00050185">
      <w:pPr>
        <w:jc w:val="both"/>
      </w:pPr>
      <w:r w:rsidRPr="00E064E4">
        <w:rPr>
          <w:rStyle w:val="Refdenotaalpie"/>
        </w:rPr>
        <w:footnoteRef/>
      </w:r>
      <w:r w:rsidRPr="00E064E4">
        <w:t xml:space="preserve">Muñoz Conde, F. </w:t>
      </w:r>
      <w:r>
        <w:t xml:space="preserve">(2015) </w:t>
      </w:r>
      <w:r w:rsidRPr="00E064E4">
        <w:t>&lt;&lt;</w:t>
      </w:r>
      <w:r w:rsidRPr="00E064E4">
        <w:rPr>
          <w:i/>
        </w:rPr>
        <w:t>Derecho Penal. Parte Especial. (20ª Edición, revisada y actualizada y puesta al día conforme a las leyes Orgánicas 1/2015 y 2/2015, de 30 de Marzo)</w:t>
      </w:r>
      <w:r>
        <w:t>&gt;&gt;. Valencia. Ed. Tirant lo Blanch. p.332</w:t>
      </w:r>
    </w:p>
  </w:footnote>
  <w:footnote w:id="34">
    <w:p w:rsidR="00A744B6" w:rsidRPr="004467EF" w:rsidRDefault="00A744B6" w:rsidP="00050185">
      <w:pPr>
        <w:pStyle w:val="Textonotapie"/>
        <w:jc w:val="both"/>
        <w:rPr>
          <w:rFonts w:ascii="Times New Roman" w:hAnsi="Times New Roman" w:cs="Times New Roman"/>
        </w:rPr>
      </w:pPr>
      <w:r w:rsidRPr="004467EF">
        <w:rPr>
          <w:rStyle w:val="Refdenotaalpie"/>
          <w:rFonts w:ascii="Times New Roman" w:hAnsi="Times New Roman" w:cs="Times New Roman"/>
        </w:rPr>
        <w:footnoteRef/>
      </w:r>
      <w:proofErr w:type="spellStart"/>
      <w:r>
        <w:rPr>
          <w:rFonts w:ascii="Times New Roman" w:hAnsi="Times New Roman" w:cs="Times New Roman"/>
        </w:rPr>
        <w:t>Lamarca</w:t>
      </w:r>
      <w:proofErr w:type="spellEnd"/>
      <w:r>
        <w:rPr>
          <w:rFonts w:ascii="Times New Roman" w:hAnsi="Times New Roman" w:cs="Times New Roman"/>
        </w:rPr>
        <w:t xml:space="preserve"> Pérez, C. (2016) &lt;&lt;</w:t>
      </w:r>
      <w:r w:rsidRPr="004467EF">
        <w:rPr>
          <w:rFonts w:ascii="Times New Roman" w:hAnsi="Times New Roman" w:cs="Times New Roman"/>
          <w:i/>
        </w:rPr>
        <w:t>Delitos. La parte Especial del Derecho Penal</w:t>
      </w:r>
      <w:r>
        <w:rPr>
          <w:rFonts w:ascii="Times New Roman" w:hAnsi="Times New Roman" w:cs="Times New Roman"/>
        </w:rPr>
        <w:t>&gt;&gt;. Madrid. E</w:t>
      </w:r>
      <w:r w:rsidRPr="004467EF">
        <w:rPr>
          <w:rFonts w:ascii="Times New Roman" w:hAnsi="Times New Roman" w:cs="Times New Roman"/>
        </w:rPr>
        <w:t xml:space="preserve">d. </w:t>
      </w:r>
      <w:proofErr w:type="spellStart"/>
      <w:r w:rsidRPr="004467EF">
        <w:rPr>
          <w:rFonts w:ascii="Times New Roman" w:hAnsi="Times New Roman" w:cs="Times New Roman"/>
        </w:rPr>
        <w:t>Dykinson</w:t>
      </w:r>
      <w:proofErr w:type="spellEnd"/>
    </w:p>
  </w:footnote>
  <w:footnote w:id="35">
    <w:p w:rsidR="00A744B6" w:rsidRDefault="00A744B6" w:rsidP="00050185">
      <w:pPr>
        <w:pStyle w:val="Textonotapie"/>
        <w:jc w:val="both"/>
        <w:rPr>
          <w:rFonts w:ascii="Times New Roman" w:hAnsi="Times New Roman" w:cs="Times New Roman"/>
        </w:rPr>
      </w:pPr>
      <w:r>
        <w:rPr>
          <w:rStyle w:val="Refdenotaalpie"/>
        </w:rPr>
        <w:footnoteRef/>
      </w:r>
      <w:r>
        <w:rPr>
          <w:rFonts w:ascii="Times New Roman" w:hAnsi="Times New Roman" w:cs="Times New Roman"/>
        </w:rPr>
        <w:t xml:space="preserve">Sentencia A.P de Madrid, número 1186/2012, de 18 de Septiembre. Véase en </w:t>
      </w:r>
      <w:hyperlink r:id="rId4" w:history="1">
        <w:r w:rsidRPr="00F850D0">
          <w:rPr>
            <w:rStyle w:val="Hipervnculo"/>
            <w:rFonts w:ascii="Times New Roman" w:hAnsi="Times New Roman" w:cs="Times New Roman"/>
          </w:rPr>
          <w:t>http://www.asesoriayempresas.es/jurisprudencia/JURIDICO/151378/sentencia-ap-madrid-1186-2012-de-18-de-septiembre-robo-con-fuerza-en-las-cosas-dilaciones-indeb</w:t>
        </w:r>
      </w:hyperlink>
    </w:p>
    <w:p w:rsidR="00A744B6" w:rsidRPr="00453F38" w:rsidRDefault="00A744B6" w:rsidP="00050185">
      <w:pPr>
        <w:pStyle w:val="Textonotapie"/>
        <w:jc w:val="both"/>
        <w:rPr>
          <w:rFonts w:ascii="Times New Roman" w:hAnsi="Times New Roman" w:cs="Times New Roman"/>
        </w:rPr>
      </w:pPr>
      <w:r>
        <w:rPr>
          <w:rFonts w:ascii="Times New Roman" w:hAnsi="Times New Roman" w:cs="Times New Roman"/>
        </w:rPr>
        <w:t xml:space="preserve">Aquí los imputados se desprenden de lo sustraído en la huida, aunque la disponibilidad del bien determina la inexistencia de tentativa, por lo que se califica como un delito consumado. </w:t>
      </w:r>
    </w:p>
  </w:footnote>
  <w:footnote w:id="36">
    <w:p w:rsidR="00A744B6" w:rsidRDefault="00A744B6" w:rsidP="00050185">
      <w:pPr>
        <w:pStyle w:val="Textonotapie"/>
        <w:jc w:val="both"/>
        <w:rPr>
          <w:rFonts w:ascii="Times New Roman" w:hAnsi="Times New Roman" w:cs="Times New Roman"/>
        </w:rPr>
      </w:pPr>
      <w:r w:rsidRPr="009E0900">
        <w:rPr>
          <w:rStyle w:val="Refdenotaalpie"/>
          <w:rFonts w:ascii="Times New Roman" w:hAnsi="Times New Roman" w:cs="Times New Roman"/>
        </w:rPr>
        <w:footnoteRef/>
      </w:r>
      <w:r>
        <w:rPr>
          <w:rFonts w:ascii="Times New Roman" w:hAnsi="Times New Roman" w:cs="Times New Roman"/>
        </w:rPr>
        <w:t xml:space="preserve">Sentencia número 1419/2002 de TS, Sala 2ª de lo Penal, 29 de Julio de 2002. Véase en </w:t>
      </w:r>
      <w:hyperlink r:id="rId5" w:history="1">
        <w:r w:rsidRPr="00F850D0">
          <w:rPr>
            <w:rStyle w:val="Hipervnculo"/>
            <w:rFonts w:ascii="Times New Roman" w:hAnsi="Times New Roman" w:cs="Times New Roman"/>
          </w:rPr>
          <w:t>https://supremo.vlex.es/vid/robo-fuerza-cosas-17726530</w:t>
        </w:r>
      </w:hyperlink>
    </w:p>
    <w:p w:rsidR="00A744B6" w:rsidRPr="009E0900" w:rsidRDefault="00A744B6" w:rsidP="00050185">
      <w:pPr>
        <w:pStyle w:val="Textonotapie"/>
        <w:jc w:val="both"/>
        <w:rPr>
          <w:rFonts w:ascii="Times New Roman" w:hAnsi="Times New Roman" w:cs="Times New Roman"/>
        </w:rPr>
      </w:pPr>
      <w:r>
        <w:rPr>
          <w:rFonts w:ascii="Times New Roman" w:hAnsi="Times New Roman" w:cs="Times New Roman"/>
        </w:rPr>
        <w:t>Aquí se establece l</w:t>
      </w:r>
      <w:r w:rsidRPr="009E0900">
        <w:rPr>
          <w:rFonts w:ascii="Times New Roman" w:hAnsi="Times New Roman" w:cs="Times New Roman"/>
        </w:rPr>
        <w:t xml:space="preserve">a teoría de la </w:t>
      </w:r>
      <w:proofErr w:type="spellStart"/>
      <w:r w:rsidRPr="009E0900">
        <w:rPr>
          <w:rFonts w:ascii="Times New Roman" w:hAnsi="Times New Roman" w:cs="Times New Roman"/>
        </w:rPr>
        <w:t>illa</w:t>
      </w:r>
      <w:r>
        <w:rPr>
          <w:rFonts w:ascii="Times New Roman" w:hAnsi="Times New Roman" w:cs="Times New Roman"/>
        </w:rPr>
        <w:t>c</w:t>
      </w:r>
      <w:r w:rsidRPr="009E0900">
        <w:rPr>
          <w:rFonts w:ascii="Times New Roman" w:hAnsi="Times New Roman" w:cs="Times New Roman"/>
        </w:rPr>
        <w:t>tio</w:t>
      </w:r>
      <w:proofErr w:type="spellEnd"/>
      <w:r>
        <w:rPr>
          <w:rFonts w:ascii="Times New Roman" w:hAnsi="Times New Roman" w:cs="Times New Roman"/>
        </w:rPr>
        <w:t>, que</w:t>
      </w:r>
      <w:r w:rsidRPr="009E0900">
        <w:rPr>
          <w:rFonts w:ascii="Times New Roman" w:hAnsi="Times New Roman" w:cs="Times New Roman"/>
        </w:rPr>
        <w:t xml:space="preserve"> requiere para la consumación del delito de hurto o robo que el autor o autores hayan logrado poner los objetos del hurto o del robo a buen recaudo</w:t>
      </w:r>
      <w:r>
        <w:rPr>
          <w:rFonts w:ascii="Times New Roman" w:hAnsi="Times New Roman" w:cs="Times New Roman"/>
        </w:rPr>
        <w:t>.</w:t>
      </w:r>
    </w:p>
  </w:footnote>
  <w:footnote w:id="37">
    <w:p w:rsidR="00A744B6" w:rsidRPr="00135453" w:rsidRDefault="00A744B6" w:rsidP="00050185">
      <w:pPr>
        <w:pStyle w:val="Textonotapie"/>
        <w:jc w:val="both"/>
        <w:rPr>
          <w:rFonts w:ascii="Times New Roman" w:hAnsi="Times New Roman" w:cs="Times New Roman"/>
        </w:rPr>
      </w:pPr>
      <w:r w:rsidRPr="00135453">
        <w:rPr>
          <w:rStyle w:val="Refdenotaalpie"/>
          <w:rFonts w:ascii="Times New Roman" w:hAnsi="Times New Roman" w:cs="Times New Roman"/>
        </w:rPr>
        <w:footnoteRef/>
      </w:r>
      <w:r>
        <w:rPr>
          <w:rFonts w:ascii="Times New Roman" w:hAnsi="Times New Roman" w:cs="Times New Roman"/>
        </w:rPr>
        <w:t xml:space="preserve">De </w:t>
      </w:r>
      <w:r w:rsidRPr="00135453">
        <w:rPr>
          <w:rFonts w:ascii="Times New Roman" w:hAnsi="Times New Roman" w:cs="Times New Roman"/>
        </w:rPr>
        <w:t>Vicente Martínez, R.</w:t>
      </w:r>
      <w:r>
        <w:rPr>
          <w:rFonts w:ascii="Times New Roman" w:hAnsi="Times New Roman" w:cs="Times New Roman"/>
        </w:rPr>
        <w:t xml:space="preserve"> (2011)</w:t>
      </w:r>
      <w:r w:rsidRPr="00135453">
        <w:rPr>
          <w:rFonts w:ascii="Times New Roman" w:hAnsi="Times New Roman" w:cs="Times New Roman"/>
        </w:rPr>
        <w:t xml:space="preserve"> &lt;&lt;</w:t>
      </w:r>
      <w:r w:rsidRPr="00135453">
        <w:rPr>
          <w:rFonts w:ascii="Times New Roman" w:hAnsi="Times New Roman" w:cs="Times New Roman"/>
          <w:i/>
        </w:rPr>
        <w:t>Los delitos de robo. Estudio doctrinal introductorio. Problemática jurisprudencial ordenada y sistematizada. Casos prácticos. Normativa reguladora</w:t>
      </w:r>
      <w:r>
        <w:rPr>
          <w:rFonts w:ascii="Times New Roman" w:hAnsi="Times New Roman" w:cs="Times New Roman"/>
        </w:rPr>
        <w:t>&gt;&gt; Barcelona</w:t>
      </w:r>
      <w:r w:rsidRPr="00135453">
        <w:rPr>
          <w:rFonts w:ascii="Times New Roman" w:hAnsi="Times New Roman" w:cs="Times New Roman"/>
        </w:rPr>
        <w:t>.</w:t>
      </w:r>
      <w:r>
        <w:rPr>
          <w:rFonts w:ascii="Times New Roman" w:hAnsi="Times New Roman" w:cs="Times New Roman"/>
        </w:rPr>
        <w:t xml:space="preserve">          </w:t>
      </w:r>
      <w:r w:rsidRPr="00135453">
        <w:rPr>
          <w:rFonts w:ascii="Times New Roman" w:hAnsi="Times New Roman" w:cs="Times New Roman"/>
        </w:rPr>
        <w:t xml:space="preserve"> Ed. Bosch</w:t>
      </w:r>
      <w:r>
        <w:rPr>
          <w:rFonts w:ascii="Times New Roman" w:hAnsi="Times New Roman" w:cs="Times New Roman"/>
        </w:rPr>
        <w:t>. SAP Alicante número 177/2010, de 26 de febrero de 2010. pp.137-138</w:t>
      </w:r>
    </w:p>
  </w:footnote>
  <w:footnote w:id="38">
    <w:p w:rsidR="00A744B6" w:rsidRPr="00B93B5B" w:rsidRDefault="00A744B6" w:rsidP="00050185">
      <w:pPr>
        <w:jc w:val="both"/>
      </w:pPr>
      <w:r w:rsidRPr="00B93B5B">
        <w:rPr>
          <w:rStyle w:val="Refdenotaalpie"/>
        </w:rPr>
        <w:footnoteRef/>
      </w:r>
      <w:r w:rsidRPr="00B93B5B">
        <w:t xml:space="preserve">Véase en la Ley Orgánica 1/2015, de 30 de marzo, por la que se modifica la Ley Orgánica 10/1995, de 23 de noviembre, del Código Penal (BOE </w:t>
      </w:r>
      <w:r>
        <w:t>núm.77, de 31 de Marzo).</w:t>
      </w:r>
    </w:p>
    <w:p w:rsidR="00A744B6" w:rsidRPr="00B93B5B" w:rsidRDefault="00A744B6" w:rsidP="00050185">
      <w:pPr>
        <w:pStyle w:val="Textonotapie"/>
        <w:rPr>
          <w:rFonts w:ascii="Times New Roman" w:hAnsi="Times New Roman" w:cs="Times New Roman"/>
        </w:rPr>
      </w:pPr>
    </w:p>
  </w:footnote>
  <w:footnote w:id="39">
    <w:p w:rsidR="00A744B6" w:rsidRPr="00F3446C" w:rsidRDefault="00A744B6" w:rsidP="00050185">
      <w:pPr>
        <w:jc w:val="both"/>
      </w:pPr>
      <w:r w:rsidRPr="00D06D0C">
        <w:rPr>
          <w:rStyle w:val="Refdenotaalpie"/>
        </w:rPr>
        <w:footnoteRef/>
      </w:r>
      <w:r w:rsidRPr="00D06D0C">
        <w:t xml:space="preserve">Cuello Contreras, J; </w:t>
      </w:r>
      <w:proofErr w:type="spellStart"/>
      <w:r w:rsidRPr="00D06D0C">
        <w:t>Mapelli</w:t>
      </w:r>
      <w:proofErr w:type="spellEnd"/>
      <w:r>
        <w:t xml:space="preserve"> </w:t>
      </w:r>
      <w:proofErr w:type="spellStart"/>
      <w:r w:rsidRPr="00D06D0C">
        <w:t>Caffarena</w:t>
      </w:r>
      <w:proofErr w:type="spellEnd"/>
      <w:r w:rsidRPr="00D06D0C">
        <w:t>, B.</w:t>
      </w:r>
      <w:r>
        <w:t xml:space="preserve"> (2016) </w:t>
      </w:r>
      <w:r w:rsidRPr="00D06D0C">
        <w:t xml:space="preserve"> &lt;&lt;</w:t>
      </w:r>
      <w:r w:rsidRPr="00D06D0C">
        <w:rPr>
          <w:i/>
        </w:rPr>
        <w:t>Curso de Derecho Penal. Parte General</w:t>
      </w:r>
      <w:proofErr w:type="gramStart"/>
      <w:r w:rsidRPr="00D06D0C">
        <w:t>.&gt;</w:t>
      </w:r>
      <w:proofErr w:type="gramEnd"/>
      <w:r w:rsidRPr="00D06D0C">
        <w:t>&gt;. Madrid</w:t>
      </w:r>
      <w:r>
        <w:t xml:space="preserve">. Ed. </w:t>
      </w:r>
      <w:proofErr w:type="spellStart"/>
      <w:proofErr w:type="gramStart"/>
      <w:r>
        <w:t>Tecnos</w:t>
      </w:r>
      <w:proofErr w:type="spellEnd"/>
      <w:proofErr w:type="gramEnd"/>
      <w:r>
        <w:t>. Pp. 150-151</w:t>
      </w:r>
    </w:p>
  </w:footnote>
  <w:footnote w:id="40">
    <w:p w:rsidR="00A744B6" w:rsidRPr="00676908" w:rsidRDefault="00A744B6" w:rsidP="00050185">
      <w:pPr>
        <w:pStyle w:val="Textonotapie"/>
        <w:jc w:val="both"/>
        <w:rPr>
          <w:rFonts w:ascii="Times New Roman" w:hAnsi="Times New Roman" w:cs="Times New Roman"/>
        </w:rPr>
      </w:pPr>
      <w:r w:rsidRPr="00676908">
        <w:rPr>
          <w:rStyle w:val="Refdenotaalpie"/>
          <w:rFonts w:ascii="Times New Roman" w:hAnsi="Times New Roman" w:cs="Times New Roman"/>
        </w:rPr>
        <w:footnoteRef/>
      </w:r>
      <w:r w:rsidRPr="00676908">
        <w:rPr>
          <w:rFonts w:ascii="Times New Roman" w:hAnsi="Times New Roman" w:cs="Times New Roman"/>
        </w:rPr>
        <w:t>Pérez del Valle, C.</w:t>
      </w:r>
      <w:r>
        <w:rPr>
          <w:rFonts w:ascii="Times New Roman" w:hAnsi="Times New Roman" w:cs="Times New Roman"/>
        </w:rPr>
        <w:t xml:space="preserve"> (2016) </w:t>
      </w:r>
      <w:r w:rsidRPr="00676908">
        <w:rPr>
          <w:rFonts w:ascii="Times New Roman" w:hAnsi="Times New Roman" w:cs="Times New Roman"/>
        </w:rPr>
        <w:t xml:space="preserve"> </w:t>
      </w:r>
      <w:r>
        <w:rPr>
          <w:rFonts w:ascii="Times New Roman" w:hAnsi="Times New Roman" w:cs="Times New Roman"/>
        </w:rPr>
        <w:t>&lt;&lt;</w:t>
      </w:r>
      <w:r w:rsidRPr="00676908">
        <w:rPr>
          <w:rFonts w:ascii="Times New Roman" w:hAnsi="Times New Roman" w:cs="Times New Roman"/>
          <w:i/>
        </w:rPr>
        <w:t>Lecciones de Derecho Penal. Parte General</w:t>
      </w:r>
      <w:r>
        <w:rPr>
          <w:rFonts w:ascii="Times New Roman" w:hAnsi="Times New Roman" w:cs="Times New Roman"/>
        </w:rPr>
        <w:t xml:space="preserve">&gt;&gt;. Madrid. Ed. </w:t>
      </w:r>
      <w:proofErr w:type="spellStart"/>
      <w:r>
        <w:rPr>
          <w:rFonts w:ascii="Times New Roman" w:hAnsi="Times New Roman" w:cs="Times New Roman"/>
        </w:rPr>
        <w:t>Dykinson</w:t>
      </w:r>
      <w:proofErr w:type="spellEnd"/>
      <w:r>
        <w:rPr>
          <w:rFonts w:ascii="Times New Roman" w:hAnsi="Times New Roman" w:cs="Times New Roman"/>
        </w:rPr>
        <w:t xml:space="preserve"> S.L pp. 272-273</w:t>
      </w:r>
    </w:p>
  </w:footnote>
  <w:footnote w:id="41">
    <w:p w:rsidR="00A744B6" w:rsidRPr="004E32A5" w:rsidRDefault="00A744B6" w:rsidP="00050185">
      <w:pPr>
        <w:pStyle w:val="Textonotapie"/>
        <w:jc w:val="both"/>
        <w:rPr>
          <w:rFonts w:ascii="Times New Roman" w:hAnsi="Times New Roman" w:cs="Times New Roman"/>
        </w:rPr>
      </w:pPr>
      <w:r w:rsidRPr="004E32A5">
        <w:rPr>
          <w:rStyle w:val="Refdenotaalpie"/>
          <w:rFonts w:ascii="Times New Roman" w:hAnsi="Times New Roman" w:cs="Times New Roman"/>
        </w:rPr>
        <w:footnoteRef/>
      </w:r>
      <w:r w:rsidRPr="004E32A5">
        <w:rPr>
          <w:rFonts w:ascii="Times New Roman" w:hAnsi="Times New Roman" w:cs="Times New Roman"/>
        </w:rPr>
        <w:t>Véase en la Ley Orgánica 1/2015, de 30 de marzo, por la que se modifica la Ley Orgánica 10/1995, de 23 de noviembre, del Código Penal (BOE núm.77, de 31 de Marzo)</w:t>
      </w:r>
      <w:r>
        <w:rPr>
          <w:rFonts w:ascii="Times New Roman" w:hAnsi="Times New Roman" w:cs="Times New Roman"/>
        </w:rPr>
        <w:t>.</w:t>
      </w:r>
    </w:p>
  </w:footnote>
  <w:footnote w:id="42">
    <w:p w:rsidR="00A744B6" w:rsidRDefault="00A744B6" w:rsidP="00050185">
      <w:pPr>
        <w:pStyle w:val="Textonotapie"/>
        <w:jc w:val="both"/>
        <w:rPr>
          <w:rFonts w:ascii="Times New Roman" w:hAnsi="Times New Roman" w:cs="Times New Roman"/>
          <w:bCs/>
        </w:rPr>
      </w:pPr>
      <w:r w:rsidRPr="00C31F28">
        <w:rPr>
          <w:rStyle w:val="Refdenotaalpie"/>
          <w:rFonts w:ascii="Times New Roman" w:hAnsi="Times New Roman" w:cs="Times New Roman"/>
        </w:rPr>
        <w:footnoteRef/>
      </w:r>
      <w:r w:rsidRPr="00C31F28">
        <w:rPr>
          <w:rFonts w:ascii="Times New Roman" w:hAnsi="Times New Roman" w:cs="Times New Roman"/>
          <w:bCs/>
        </w:rPr>
        <w:t>Sentencia A</w:t>
      </w:r>
      <w:r>
        <w:rPr>
          <w:rFonts w:ascii="Times New Roman" w:hAnsi="Times New Roman" w:cs="Times New Roman"/>
          <w:bCs/>
        </w:rPr>
        <w:t>udiencia Provincial de</w:t>
      </w:r>
      <w:r w:rsidRPr="00C31F28">
        <w:rPr>
          <w:rFonts w:ascii="Times New Roman" w:hAnsi="Times New Roman" w:cs="Times New Roman"/>
          <w:bCs/>
        </w:rPr>
        <w:t xml:space="preserve"> Madrid</w:t>
      </w:r>
      <w:r>
        <w:rPr>
          <w:rFonts w:ascii="Times New Roman" w:hAnsi="Times New Roman" w:cs="Times New Roman"/>
          <w:bCs/>
        </w:rPr>
        <w:t xml:space="preserve">, número </w:t>
      </w:r>
      <w:r w:rsidRPr="00C31F28">
        <w:rPr>
          <w:rFonts w:ascii="Times New Roman" w:hAnsi="Times New Roman" w:cs="Times New Roman"/>
          <w:bCs/>
        </w:rPr>
        <w:t xml:space="preserve"> 716/2006</w:t>
      </w:r>
      <w:r>
        <w:rPr>
          <w:rFonts w:ascii="Times New Roman" w:hAnsi="Times New Roman" w:cs="Times New Roman"/>
          <w:bCs/>
        </w:rPr>
        <w:t>,</w:t>
      </w:r>
      <w:r w:rsidRPr="00C31F28">
        <w:rPr>
          <w:rFonts w:ascii="Times New Roman" w:hAnsi="Times New Roman" w:cs="Times New Roman"/>
          <w:bCs/>
        </w:rPr>
        <w:t xml:space="preserve"> de 18 de septiembre</w:t>
      </w:r>
      <w:r>
        <w:rPr>
          <w:rFonts w:ascii="Times New Roman" w:hAnsi="Times New Roman" w:cs="Times New Roman"/>
          <w:bCs/>
        </w:rPr>
        <w:t xml:space="preserve">. Véase en </w:t>
      </w:r>
      <w:hyperlink r:id="rId6" w:history="1">
        <w:r w:rsidRPr="0086229C">
          <w:rPr>
            <w:rStyle w:val="Hipervnculo"/>
            <w:rFonts w:ascii="Times New Roman" w:hAnsi="Times New Roman" w:cs="Times New Roman"/>
            <w:bCs/>
          </w:rPr>
          <w:t>http://www.asesoriayempresas.es/jurisprudencia/JURIDICO/42739/sentencia-ap-madrid-716-2006-de-18-de-septiembre-delito-intentado-de-hurto-en-grado-de-tentativa</w:t>
        </w:r>
      </w:hyperlink>
    </w:p>
    <w:p w:rsidR="00A744B6" w:rsidRPr="00C31F28" w:rsidRDefault="00A744B6" w:rsidP="00050185">
      <w:pPr>
        <w:pStyle w:val="Textonotapie"/>
        <w:jc w:val="both"/>
        <w:rPr>
          <w:rFonts w:ascii="Times New Roman" w:hAnsi="Times New Roman" w:cs="Times New Roman"/>
        </w:rPr>
      </w:pPr>
    </w:p>
  </w:footnote>
  <w:footnote w:id="43">
    <w:p w:rsidR="00A744B6" w:rsidRDefault="00A744B6" w:rsidP="00050185">
      <w:pPr>
        <w:pStyle w:val="Textonotapie"/>
        <w:jc w:val="both"/>
        <w:rPr>
          <w:rFonts w:ascii="Times New Roman" w:hAnsi="Times New Roman" w:cs="Times New Roman"/>
        </w:rPr>
      </w:pPr>
      <w:r w:rsidRPr="00EF0360">
        <w:rPr>
          <w:rStyle w:val="Refdenotaalpie"/>
          <w:rFonts w:ascii="Times New Roman" w:hAnsi="Times New Roman" w:cs="Times New Roman"/>
        </w:rPr>
        <w:footnoteRef/>
      </w:r>
      <w:r>
        <w:rPr>
          <w:rFonts w:ascii="Times New Roman" w:hAnsi="Times New Roman" w:cs="Times New Roman"/>
        </w:rPr>
        <w:t>De Vicente Martínez, R. (2011) &lt;&lt;Los delitos de robo. Estudio Doctrinal introductorio. Problemática jurisprudencial ordenada y sistematizada. Casos prácticos. Normativa reguladora</w:t>
      </w:r>
      <w:proofErr w:type="gramStart"/>
      <w:r>
        <w:rPr>
          <w:rFonts w:ascii="Times New Roman" w:hAnsi="Times New Roman" w:cs="Times New Roman"/>
        </w:rPr>
        <w:t>.&gt;</w:t>
      </w:r>
      <w:proofErr w:type="gramEnd"/>
      <w:r>
        <w:rPr>
          <w:rFonts w:ascii="Times New Roman" w:hAnsi="Times New Roman" w:cs="Times New Roman"/>
        </w:rPr>
        <w:t>&gt; Barcelona.            Ed. Bosch. Pp.50-52</w:t>
      </w:r>
    </w:p>
    <w:p w:rsidR="00A744B6" w:rsidRPr="00EF0360" w:rsidRDefault="00A744B6" w:rsidP="00050185">
      <w:pPr>
        <w:pStyle w:val="Textonotapie"/>
        <w:jc w:val="both"/>
        <w:rPr>
          <w:rFonts w:ascii="Times New Roman" w:hAnsi="Times New Roman" w:cs="Times New Roman"/>
        </w:rPr>
      </w:pPr>
    </w:p>
  </w:footnote>
  <w:footnote w:id="44">
    <w:p w:rsidR="00A744B6" w:rsidRPr="00292A16" w:rsidRDefault="00A744B6" w:rsidP="00050185">
      <w:pPr>
        <w:pStyle w:val="Textonotapie"/>
        <w:jc w:val="both"/>
        <w:rPr>
          <w:rFonts w:ascii="Times New Roman" w:hAnsi="Times New Roman" w:cs="Times New Roman"/>
        </w:rPr>
      </w:pPr>
      <w:r w:rsidRPr="00292A16">
        <w:rPr>
          <w:rStyle w:val="Refdenotaalpie"/>
          <w:rFonts w:ascii="Times New Roman" w:hAnsi="Times New Roman" w:cs="Times New Roman"/>
        </w:rPr>
        <w:footnoteRef/>
      </w:r>
      <w:r>
        <w:rPr>
          <w:rFonts w:ascii="Times New Roman" w:hAnsi="Times New Roman" w:cs="Times New Roman"/>
        </w:rPr>
        <w:t xml:space="preserve"> </w:t>
      </w:r>
      <w:r w:rsidRPr="00FF5A42">
        <w:rPr>
          <w:rFonts w:ascii="Times New Roman" w:hAnsi="Times New Roman" w:cs="Times New Roman"/>
          <w:i/>
        </w:rPr>
        <w:t>IBIDEM</w:t>
      </w:r>
      <w:r>
        <w:rPr>
          <w:rFonts w:ascii="Times New Roman" w:hAnsi="Times New Roman" w:cs="Times New Roman"/>
        </w:rPr>
        <w:t xml:space="preserve"> SAP Segovia número 1/1997, del 16 de Enero de 1997 </w:t>
      </w:r>
      <w:r w:rsidRPr="008A671E">
        <w:rPr>
          <w:rFonts w:ascii="Times New Roman" w:hAnsi="Times New Roman" w:cs="Times New Roman"/>
        </w:rPr>
        <w:t>pp.138</w:t>
      </w:r>
    </w:p>
  </w:footnote>
  <w:footnote w:id="45">
    <w:p w:rsidR="00A744B6" w:rsidRPr="00292A16" w:rsidRDefault="00A744B6" w:rsidP="00050185">
      <w:pPr>
        <w:pStyle w:val="Textonotapie"/>
        <w:jc w:val="both"/>
        <w:rPr>
          <w:rFonts w:ascii="Times New Roman" w:hAnsi="Times New Roman" w:cs="Times New Roman"/>
        </w:rPr>
      </w:pPr>
      <w:r w:rsidRPr="00292A16">
        <w:rPr>
          <w:rStyle w:val="Refdenotaalpie"/>
          <w:rFonts w:ascii="Times New Roman" w:hAnsi="Times New Roman" w:cs="Times New Roman"/>
        </w:rPr>
        <w:footnoteRef/>
      </w:r>
      <w:r w:rsidRPr="00292A16">
        <w:rPr>
          <w:rFonts w:ascii="Times New Roman" w:hAnsi="Times New Roman" w:cs="Times New Roman"/>
        </w:rPr>
        <w:t xml:space="preserve"> </w:t>
      </w:r>
      <w:r>
        <w:rPr>
          <w:rFonts w:ascii="Times New Roman" w:hAnsi="Times New Roman" w:cs="Times New Roman"/>
        </w:rPr>
        <w:t xml:space="preserve">De </w:t>
      </w:r>
      <w:r w:rsidRPr="00292A16">
        <w:rPr>
          <w:rFonts w:ascii="Times New Roman" w:hAnsi="Times New Roman" w:cs="Times New Roman"/>
        </w:rPr>
        <w:t>Vicente Martínez, R.</w:t>
      </w:r>
      <w:r>
        <w:rPr>
          <w:rFonts w:ascii="Times New Roman" w:hAnsi="Times New Roman" w:cs="Times New Roman"/>
        </w:rPr>
        <w:t xml:space="preserve"> (2011) </w:t>
      </w:r>
      <w:r w:rsidRPr="00292A16">
        <w:rPr>
          <w:rFonts w:ascii="Times New Roman" w:hAnsi="Times New Roman" w:cs="Times New Roman"/>
        </w:rPr>
        <w:t xml:space="preserve"> &lt;&lt;</w:t>
      </w:r>
      <w:r w:rsidRPr="00292A16">
        <w:rPr>
          <w:rFonts w:ascii="Times New Roman" w:hAnsi="Times New Roman" w:cs="Times New Roman"/>
          <w:i/>
        </w:rPr>
        <w:t>Los delitos de robo. Estudio doctrinal introductorio. Problemática jurisprudencial ordenada y sistematizada. Casos prácticos. Normativa reguladora</w:t>
      </w:r>
      <w:r>
        <w:rPr>
          <w:rFonts w:ascii="Times New Roman" w:hAnsi="Times New Roman" w:cs="Times New Roman"/>
        </w:rPr>
        <w:t>&gt;&gt; Barcelona</w:t>
      </w:r>
      <w:r w:rsidRPr="00292A16">
        <w:rPr>
          <w:rFonts w:ascii="Times New Roman" w:hAnsi="Times New Roman" w:cs="Times New Roman"/>
        </w:rPr>
        <w:t>.</w:t>
      </w:r>
      <w:r>
        <w:rPr>
          <w:rFonts w:ascii="Times New Roman" w:hAnsi="Times New Roman" w:cs="Times New Roman"/>
        </w:rPr>
        <w:t xml:space="preserve">           </w:t>
      </w:r>
      <w:r w:rsidRPr="00292A16">
        <w:rPr>
          <w:rFonts w:ascii="Times New Roman" w:hAnsi="Times New Roman" w:cs="Times New Roman"/>
        </w:rPr>
        <w:t xml:space="preserve"> Ed. Bosch</w:t>
      </w:r>
      <w:r>
        <w:rPr>
          <w:rFonts w:ascii="Times New Roman" w:hAnsi="Times New Roman" w:cs="Times New Roman"/>
        </w:rPr>
        <w:t>. SAP Madrid número 303/2009, de 30 de junio de 2009</w:t>
      </w:r>
    </w:p>
  </w:footnote>
  <w:footnote w:id="46">
    <w:p w:rsidR="00A744B6" w:rsidRPr="000C0E06" w:rsidRDefault="00A744B6" w:rsidP="00050185">
      <w:pPr>
        <w:pStyle w:val="Textonotapie"/>
        <w:jc w:val="both"/>
        <w:rPr>
          <w:rFonts w:ascii="Times New Roman" w:hAnsi="Times New Roman" w:cs="Times New Roman"/>
        </w:rPr>
      </w:pPr>
      <w:r w:rsidRPr="000C0E06">
        <w:rPr>
          <w:rStyle w:val="Refdenotaalpie"/>
          <w:rFonts w:ascii="Times New Roman" w:hAnsi="Times New Roman" w:cs="Times New Roman"/>
        </w:rPr>
        <w:footnoteRef/>
      </w:r>
      <w:r w:rsidRPr="000C0E06">
        <w:rPr>
          <w:rFonts w:ascii="Times New Roman" w:hAnsi="Times New Roman" w:cs="Times New Roman"/>
        </w:rPr>
        <w:t xml:space="preserve"> Véase en la Ley Orgánica 1/2015, de 30 de marzo, por la que se modifica la Ley Orgánica 10/1995, de 23 de noviembre, del Código Penal (BOE núm.77, de 31 de Marzo)</w:t>
      </w:r>
    </w:p>
  </w:footnote>
  <w:footnote w:id="47">
    <w:p w:rsidR="00A744B6" w:rsidRPr="00676908" w:rsidRDefault="00A744B6" w:rsidP="00050185">
      <w:pPr>
        <w:pStyle w:val="Textonotapie"/>
        <w:jc w:val="both"/>
        <w:rPr>
          <w:rFonts w:ascii="Times New Roman" w:hAnsi="Times New Roman" w:cs="Times New Roman"/>
        </w:rPr>
      </w:pPr>
      <w:r w:rsidRPr="0089583E">
        <w:rPr>
          <w:rStyle w:val="Refdenotaalpie"/>
          <w:rFonts w:ascii="Times New Roman" w:hAnsi="Times New Roman" w:cs="Times New Roman"/>
        </w:rPr>
        <w:footnoteRef/>
      </w:r>
      <w:r w:rsidRPr="00676908">
        <w:rPr>
          <w:rFonts w:ascii="Times New Roman" w:hAnsi="Times New Roman" w:cs="Times New Roman"/>
        </w:rPr>
        <w:t>Pérez del Valle, C.</w:t>
      </w:r>
      <w:r>
        <w:rPr>
          <w:rFonts w:ascii="Times New Roman" w:hAnsi="Times New Roman" w:cs="Times New Roman"/>
        </w:rPr>
        <w:t xml:space="preserve"> (2016) </w:t>
      </w:r>
      <w:r w:rsidRPr="00676908">
        <w:rPr>
          <w:rFonts w:ascii="Times New Roman" w:hAnsi="Times New Roman" w:cs="Times New Roman"/>
        </w:rPr>
        <w:t xml:space="preserve"> </w:t>
      </w:r>
      <w:r>
        <w:rPr>
          <w:rFonts w:ascii="Times New Roman" w:hAnsi="Times New Roman" w:cs="Times New Roman"/>
        </w:rPr>
        <w:t>&lt;&lt;</w:t>
      </w:r>
      <w:r w:rsidRPr="00676908">
        <w:rPr>
          <w:rFonts w:ascii="Times New Roman" w:hAnsi="Times New Roman" w:cs="Times New Roman"/>
          <w:i/>
        </w:rPr>
        <w:t>Lecciones de Derecho Penal. Parte General</w:t>
      </w:r>
      <w:r>
        <w:rPr>
          <w:rFonts w:ascii="Times New Roman" w:hAnsi="Times New Roman" w:cs="Times New Roman"/>
        </w:rPr>
        <w:t xml:space="preserve">&gt;&gt;. Madrid. Ed. </w:t>
      </w:r>
      <w:proofErr w:type="spellStart"/>
      <w:r>
        <w:rPr>
          <w:rFonts w:ascii="Times New Roman" w:hAnsi="Times New Roman" w:cs="Times New Roman"/>
        </w:rPr>
        <w:t>Dykinson</w:t>
      </w:r>
      <w:proofErr w:type="spellEnd"/>
      <w:r>
        <w:rPr>
          <w:rFonts w:ascii="Times New Roman" w:hAnsi="Times New Roman" w:cs="Times New Roman"/>
        </w:rPr>
        <w:t xml:space="preserve"> S.L pp. 273-275</w:t>
      </w:r>
    </w:p>
    <w:p w:rsidR="00A744B6" w:rsidRPr="0089583E" w:rsidRDefault="00A744B6" w:rsidP="00050185">
      <w:pPr>
        <w:pStyle w:val="Textonotapie"/>
        <w:jc w:val="both"/>
        <w:rPr>
          <w:rFonts w:ascii="Times New Roman" w:hAnsi="Times New Roman" w:cs="Times New Roman"/>
        </w:rPr>
      </w:pPr>
    </w:p>
  </w:footnote>
  <w:footnote w:id="48">
    <w:p w:rsidR="00A744B6" w:rsidRPr="006B7737" w:rsidRDefault="00A744B6" w:rsidP="00050185">
      <w:pPr>
        <w:pStyle w:val="Textonotapie"/>
        <w:jc w:val="both"/>
        <w:rPr>
          <w:rFonts w:ascii="Times New Roman" w:hAnsi="Times New Roman" w:cs="Times New Roman"/>
        </w:rPr>
      </w:pPr>
      <w:r w:rsidRPr="006B7737">
        <w:rPr>
          <w:rStyle w:val="Refdenotaalpie"/>
          <w:rFonts w:ascii="Times New Roman" w:hAnsi="Times New Roman" w:cs="Times New Roman"/>
        </w:rPr>
        <w:footnoteRef/>
      </w:r>
      <w:r>
        <w:rPr>
          <w:rFonts w:ascii="Times New Roman" w:hAnsi="Times New Roman" w:cs="Times New Roman"/>
        </w:rPr>
        <w:t xml:space="preserve">De </w:t>
      </w:r>
      <w:r w:rsidRPr="006B7737">
        <w:rPr>
          <w:rFonts w:ascii="Times New Roman" w:hAnsi="Times New Roman" w:cs="Times New Roman"/>
        </w:rPr>
        <w:t xml:space="preserve">Vicente Martínez, R. </w:t>
      </w:r>
      <w:r>
        <w:rPr>
          <w:rFonts w:ascii="Times New Roman" w:hAnsi="Times New Roman" w:cs="Times New Roman"/>
        </w:rPr>
        <w:t xml:space="preserve">(2011) </w:t>
      </w:r>
      <w:r w:rsidRPr="006B7737">
        <w:rPr>
          <w:rFonts w:ascii="Times New Roman" w:hAnsi="Times New Roman" w:cs="Times New Roman"/>
        </w:rPr>
        <w:t xml:space="preserve">&lt;&lt;Los </w:t>
      </w:r>
      <w:r w:rsidRPr="006B7737">
        <w:rPr>
          <w:rFonts w:ascii="Times New Roman" w:hAnsi="Times New Roman" w:cs="Times New Roman"/>
          <w:i/>
        </w:rPr>
        <w:t>delitos de robo. Estudio doctrinal introductorio. Problemática jurisprudencial ordenada y sistematizada. Casos prácticos. Normativa reguladora</w:t>
      </w:r>
      <w:r w:rsidRPr="006B7737">
        <w:rPr>
          <w:rFonts w:ascii="Times New Roman" w:hAnsi="Times New Roman" w:cs="Times New Roman"/>
        </w:rPr>
        <w:t xml:space="preserve">&gt;&gt; </w:t>
      </w:r>
      <w:r>
        <w:rPr>
          <w:rFonts w:ascii="Times New Roman" w:hAnsi="Times New Roman" w:cs="Times New Roman"/>
        </w:rPr>
        <w:t>Barcelona</w:t>
      </w:r>
      <w:r w:rsidRPr="006B7737">
        <w:rPr>
          <w:rFonts w:ascii="Times New Roman" w:hAnsi="Times New Roman" w:cs="Times New Roman"/>
        </w:rPr>
        <w:t>.</w:t>
      </w:r>
      <w:r>
        <w:rPr>
          <w:rFonts w:ascii="Times New Roman" w:hAnsi="Times New Roman" w:cs="Times New Roman"/>
        </w:rPr>
        <w:t xml:space="preserve">         </w:t>
      </w:r>
      <w:r w:rsidRPr="006B7737">
        <w:rPr>
          <w:rFonts w:ascii="Times New Roman" w:hAnsi="Times New Roman" w:cs="Times New Roman"/>
        </w:rPr>
        <w:t xml:space="preserve"> Ed. Bosch</w:t>
      </w:r>
      <w:r>
        <w:rPr>
          <w:rFonts w:ascii="Times New Roman" w:hAnsi="Times New Roman" w:cs="Times New Roman"/>
        </w:rPr>
        <w:t>. SAP Vizcaya número 764/2009, de 8 de Julio de 2009</w:t>
      </w:r>
    </w:p>
  </w:footnote>
  <w:footnote w:id="49">
    <w:p w:rsidR="00A744B6" w:rsidRPr="0030223E" w:rsidRDefault="00A744B6" w:rsidP="00050185">
      <w:pPr>
        <w:pStyle w:val="Textonotapie"/>
        <w:jc w:val="both"/>
        <w:rPr>
          <w:rFonts w:ascii="Times New Roman" w:hAnsi="Times New Roman" w:cs="Times New Roman"/>
        </w:rPr>
      </w:pPr>
      <w:r w:rsidRPr="0030223E">
        <w:rPr>
          <w:rStyle w:val="Refdenotaalpie"/>
          <w:rFonts w:ascii="Times New Roman" w:hAnsi="Times New Roman" w:cs="Times New Roman"/>
        </w:rPr>
        <w:footnoteRef/>
      </w:r>
      <w:r>
        <w:rPr>
          <w:rFonts w:ascii="Times New Roman" w:hAnsi="Times New Roman" w:cs="Times New Roman"/>
        </w:rPr>
        <w:t>Véase en la Ley Organica</w:t>
      </w:r>
      <w:r w:rsidRPr="0030223E">
        <w:rPr>
          <w:rFonts w:ascii="Times New Roman" w:hAnsi="Times New Roman" w:cs="Times New Roman"/>
        </w:rPr>
        <w:t>10/1995, de 23 de noviembre, del Código Penal</w:t>
      </w:r>
      <w:r>
        <w:rPr>
          <w:rFonts w:ascii="Times New Roman" w:hAnsi="Times New Roman" w:cs="Times New Roman"/>
        </w:rPr>
        <w:t>.</w:t>
      </w:r>
    </w:p>
  </w:footnote>
  <w:footnote w:id="50">
    <w:p w:rsidR="00A744B6" w:rsidRPr="00940E96" w:rsidRDefault="00A744B6" w:rsidP="00050185">
      <w:pPr>
        <w:jc w:val="both"/>
      </w:pPr>
      <w:r w:rsidRPr="00940E96">
        <w:rPr>
          <w:rStyle w:val="Refdenotaalpie"/>
        </w:rPr>
        <w:footnoteRef/>
      </w:r>
      <w:r w:rsidRPr="00940E96">
        <w:t xml:space="preserve"> Cuello Contreras, J; </w:t>
      </w:r>
      <w:proofErr w:type="spellStart"/>
      <w:r w:rsidRPr="00940E96">
        <w:t>Mapelli</w:t>
      </w:r>
      <w:proofErr w:type="spellEnd"/>
      <w:r>
        <w:t xml:space="preserve"> </w:t>
      </w:r>
      <w:proofErr w:type="spellStart"/>
      <w:r w:rsidRPr="00940E96">
        <w:t>Caffarena</w:t>
      </w:r>
      <w:proofErr w:type="spellEnd"/>
      <w:r w:rsidRPr="00940E96">
        <w:t>, B.</w:t>
      </w:r>
      <w:r>
        <w:t xml:space="preserve"> (2016) </w:t>
      </w:r>
      <w:r w:rsidRPr="00940E96">
        <w:t xml:space="preserve"> &lt;&lt;</w:t>
      </w:r>
      <w:r w:rsidRPr="00940E96">
        <w:rPr>
          <w:i/>
        </w:rPr>
        <w:t>Curso de Derecho Penal. Parte General</w:t>
      </w:r>
      <w:proofErr w:type="gramStart"/>
      <w:r w:rsidRPr="00940E96">
        <w:t>.&gt;</w:t>
      </w:r>
      <w:proofErr w:type="gramEnd"/>
      <w:r w:rsidRPr="00940E96">
        <w:t>&gt;. Madrid</w:t>
      </w:r>
      <w:r>
        <w:t xml:space="preserve">. Ed. </w:t>
      </w:r>
      <w:proofErr w:type="spellStart"/>
      <w:proofErr w:type="gramStart"/>
      <w:r>
        <w:t>Tecnos</w:t>
      </w:r>
      <w:proofErr w:type="spellEnd"/>
      <w:proofErr w:type="gramEnd"/>
      <w:r>
        <w:t>. p.116</w:t>
      </w:r>
    </w:p>
  </w:footnote>
  <w:footnote w:id="51">
    <w:p w:rsidR="00A744B6" w:rsidRPr="0030223E" w:rsidRDefault="00A744B6" w:rsidP="00050185">
      <w:pPr>
        <w:pStyle w:val="Textonotapie"/>
        <w:rPr>
          <w:rFonts w:ascii="Times New Roman" w:hAnsi="Times New Roman" w:cs="Times New Roman"/>
        </w:rPr>
      </w:pPr>
      <w:r w:rsidRPr="0030223E">
        <w:rPr>
          <w:rStyle w:val="Refdenotaalpie"/>
          <w:rFonts w:ascii="Times New Roman" w:hAnsi="Times New Roman" w:cs="Times New Roman"/>
        </w:rPr>
        <w:footnoteRef/>
      </w:r>
      <w:proofErr w:type="spellStart"/>
      <w:r>
        <w:rPr>
          <w:rFonts w:ascii="Times New Roman" w:hAnsi="Times New Roman" w:cs="Times New Roman"/>
        </w:rPr>
        <w:t>Lamarca</w:t>
      </w:r>
      <w:proofErr w:type="spellEnd"/>
      <w:r>
        <w:rPr>
          <w:rFonts w:ascii="Times New Roman" w:hAnsi="Times New Roman" w:cs="Times New Roman"/>
        </w:rPr>
        <w:t xml:space="preserve"> Pérez, C. (2016) &lt;&lt;</w:t>
      </w:r>
      <w:r w:rsidRPr="0030223E">
        <w:rPr>
          <w:rFonts w:ascii="Times New Roman" w:hAnsi="Times New Roman" w:cs="Times New Roman"/>
          <w:i/>
        </w:rPr>
        <w:t>Delitos. La parte Especial del Derecho Penal</w:t>
      </w:r>
      <w:r>
        <w:rPr>
          <w:rFonts w:ascii="Times New Roman" w:hAnsi="Times New Roman" w:cs="Times New Roman"/>
        </w:rPr>
        <w:t>&gt;&gt;</w:t>
      </w:r>
      <w:r w:rsidRPr="0030223E">
        <w:rPr>
          <w:rFonts w:ascii="Times New Roman" w:hAnsi="Times New Roman" w:cs="Times New Roman"/>
        </w:rPr>
        <w:t xml:space="preserve">. Madrid, ed. </w:t>
      </w:r>
      <w:proofErr w:type="spellStart"/>
      <w:r w:rsidRPr="0030223E">
        <w:rPr>
          <w:rFonts w:ascii="Times New Roman" w:hAnsi="Times New Roman" w:cs="Times New Roman"/>
        </w:rPr>
        <w:t>Dykinson</w:t>
      </w:r>
      <w:proofErr w:type="spellEnd"/>
      <w:r w:rsidRPr="0030223E">
        <w:rPr>
          <w:rFonts w:ascii="Times New Roman" w:hAnsi="Times New Roman" w:cs="Times New Roman"/>
        </w:rPr>
        <w:t xml:space="preserve">. </w:t>
      </w:r>
      <w:r>
        <w:rPr>
          <w:rFonts w:ascii="Times New Roman" w:hAnsi="Times New Roman" w:cs="Times New Roman"/>
        </w:rPr>
        <w:t>p.341</w:t>
      </w:r>
    </w:p>
    <w:p w:rsidR="00A744B6" w:rsidRPr="0030223E" w:rsidRDefault="00A744B6" w:rsidP="00050185">
      <w:pPr>
        <w:pStyle w:val="Textonotapie"/>
        <w:rPr>
          <w:rFonts w:ascii="Times New Roman" w:hAnsi="Times New Roman" w:cs="Times New Roman"/>
        </w:rPr>
      </w:pPr>
    </w:p>
  </w:footnote>
  <w:footnote w:id="52">
    <w:p w:rsidR="00A744B6" w:rsidRDefault="00A744B6" w:rsidP="00050185">
      <w:pPr>
        <w:pStyle w:val="Textonotapie"/>
        <w:rPr>
          <w:rFonts w:ascii="Times New Roman" w:hAnsi="Times New Roman" w:cs="Times New Roman"/>
        </w:rPr>
      </w:pPr>
      <w:r w:rsidRPr="008C6684">
        <w:rPr>
          <w:rStyle w:val="Refdenotaalpie"/>
          <w:rFonts w:ascii="Times New Roman" w:hAnsi="Times New Roman" w:cs="Times New Roman"/>
        </w:rPr>
        <w:footnoteRef/>
      </w:r>
      <w:r>
        <w:rPr>
          <w:rFonts w:ascii="Times New Roman" w:hAnsi="Times New Roman" w:cs="Times New Roman"/>
          <w:bCs/>
        </w:rPr>
        <w:t xml:space="preserve">Sentencia de la </w:t>
      </w:r>
      <w:r w:rsidRPr="008C6684">
        <w:rPr>
          <w:rFonts w:ascii="Times New Roman" w:hAnsi="Times New Roman" w:cs="Times New Roman"/>
          <w:bCs/>
        </w:rPr>
        <w:t>Audiencia Provincial de Madrid (Sección 2ª)</w:t>
      </w:r>
      <w:r>
        <w:rPr>
          <w:rFonts w:ascii="Times New Roman" w:hAnsi="Times New Roman" w:cs="Times New Roman"/>
          <w:bCs/>
        </w:rPr>
        <w:t xml:space="preserve"> </w:t>
      </w:r>
      <w:r w:rsidRPr="008C6684">
        <w:rPr>
          <w:rFonts w:ascii="Times New Roman" w:hAnsi="Times New Roman" w:cs="Times New Roman"/>
        </w:rPr>
        <w:t>núm. 376/2004 de 17 septiembre.</w:t>
      </w:r>
      <w:r>
        <w:rPr>
          <w:rFonts w:ascii="Times New Roman" w:hAnsi="Times New Roman" w:cs="Times New Roman"/>
        </w:rPr>
        <w:t xml:space="preserve"> Véase en </w:t>
      </w:r>
      <w:hyperlink r:id="rId7" w:history="1">
        <w:r w:rsidRPr="00693920">
          <w:rPr>
            <w:rStyle w:val="Hipervnculo"/>
            <w:rFonts w:ascii="Times New Roman" w:hAnsi="Times New Roman" w:cs="Times New Roman"/>
          </w:rPr>
          <w:t>http://0-aranzadi.aranzadidigital.es.avalos.ujaen.es/maf/app/document?tid=&amp;docguid=I5e193030f7b211db8692010000000000&amp;base-guids=ARP\2004\592&amp;fexid=flag-red-juris&amp;fexid=flag-yellow-juris&amp;fexid=flag-blue-juris&amp;fexid=DO-ANA-25&amp;fexid=DO-ANA-23&amp;srguid=i0ad6adc50000015bd805bb87fef62022&amp;th=Penal&amp;guid=Id0145390b6e311e18b74010000000000&amp;src=withinResuts&amp;spos=4&amp;epos=4</w:t>
        </w:r>
      </w:hyperlink>
      <w:r>
        <w:rPr>
          <w:rFonts w:ascii="Times New Roman" w:hAnsi="Times New Roman" w:cs="Times New Roman"/>
        </w:rPr>
        <w:t xml:space="preserve">. </w:t>
      </w:r>
    </w:p>
    <w:p w:rsidR="00A744B6" w:rsidRDefault="00A744B6" w:rsidP="00050185">
      <w:pPr>
        <w:pStyle w:val="Textonotapie"/>
        <w:rPr>
          <w:rFonts w:ascii="Times New Roman" w:hAnsi="Times New Roman" w:cs="Times New Roman"/>
        </w:rPr>
      </w:pPr>
      <w:r>
        <w:rPr>
          <w:rFonts w:ascii="Times New Roman" w:hAnsi="Times New Roman" w:cs="Times New Roman"/>
        </w:rPr>
        <w:t>Aquí se absuelven a las acusadas de un delito de una falta de hurto por el que fueron juzgadas, por concurrir la circunstancia eximente del estado de necesidad.</w:t>
      </w:r>
    </w:p>
    <w:p w:rsidR="00A744B6" w:rsidRDefault="00A744B6" w:rsidP="00050185">
      <w:pPr>
        <w:pStyle w:val="Textonotapie"/>
        <w:rPr>
          <w:rFonts w:ascii="Times New Roman" w:hAnsi="Times New Roman" w:cs="Times New Roman"/>
        </w:rPr>
      </w:pPr>
      <w:r>
        <w:rPr>
          <w:rFonts w:ascii="Times New Roman" w:hAnsi="Times New Roman" w:cs="Times New Roman"/>
        </w:rPr>
        <w:t xml:space="preserve">Esta Sentencia se basa en otra Sentencia de la Sala 2ª del 21/1/1986 (RJ 1986, 163) que nos da una definición de hurto necesario. Véase en </w:t>
      </w:r>
      <w:hyperlink r:id="rId8" w:history="1">
        <w:r w:rsidRPr="00693920">
          <w:rPr>
            <w:rStyle w:val="Hipervnculo"/>
            <w:rFonts w:ascii="Times New Roman" w:hAnsi="Times New Roman" w:cs="Times New Roman"/>
          </w:rPr>
          <w:t>http://0-aranzadi.aranzadidigital.es.avalos.ujaen.es/maf/app/document?infotype=juris&amp;marginal=RJ\1986\163&amp;familyguid=RJ\1986\163&amp;brand-id=wlesp&amp;src=doc&amp;srguid=i0ad6adc50000015bd805bb87fef62022&amp;endChunk=2&amp;startChunk=1&amp;stid=marginal&amp;nstid=marginal&amp;langCites=spa</w:t>
        </w:r>
      </w:hyperlink>
    </w:p>
    <w:p w:rsidR="00A744B6" w:rsidRPr="008C6684" w:rsidRDefault="00A744B6" w:rsidP="00050185">
      <w:pPr>
        <w:pStyle w:val="Textonotapie"/>
        <w:rPr>
          <w:rFonts w:ascii="Times New Roman" w:hAnsi="Times New Roman" w:cs="Times New Roman"/>
        </w:rPr>
      </w:pPr>
      <w:r>
        <w:rPr>
          <w:rFonts w:ascii="Times New Roman" w:hAnsi="Times New Roman" w:cs="Times New Roman"/>
        </w:rPr>
        <w:t>Cito literalmente un extracto de la sentencia del que podemos observar como determina el “estado de necesidad” : &lt;&lt;</w:t>
      </w:r>
      <w:r w:rsidRPr="002C2A31">
        <w:rPr>
          <w:rFonts w:ascii="Times New Roman" w:hAnsi="Times New Roman" w:cs="Times New Roman"/>
          <w:i/>
        </w:rPr>
        <w:t>Y, aun quedando, afortunadamente, distante y relativamente lejanos, los tiempos en los que, para la operación de esta circunstancia se exigía, por este Tribunal, un previo y penoso peregrinar, en demanda de auxilio, por establecimientos, públicos y privados, de beneficencia, así como no se probara que constituían, la penuria, un peligro inminente para la vida, hallándose, el necesitado, al borde de perecer por inanición, la jurisprudencia actual exige para la estimación de esta modalidad de estado de necesidad: realidad, gravedad e inminencia del mal; que se actué a instancias o impulsos del estado de precariedad, penuria o indigencia en el que se halle el sujeto activo o su familia; que no se trate de mera estrechez económica, más o menos agobiante; que se pruebe que se han agotado todos los recursos que, en la esfera personal, profesional y familiar, podía utilizar; que no haya otra solución que la de proceder de modo antijurídico; y que, las cosas o bienes obtenidos, sean aplicados a la satisfacción de las necesidades primarias del reo o a las de su familia, sin que se haya tomado más de lo estrictamente indispensable</w:t>
      </w:r>
      <w:r>
        <w:rPr>
          <w:rFonts w:ascii="Times New Roman" w:hAnsi="Times New Roman" w:cs="Times New Roman"/>
        </w:rPr>
        <w:t>&gt;&gt;</w:t>
      </w:r>
      <w:r w:rsidRPr="002C2A31">
        <w:rPr>
          <w:rFonts w:ascii="Times New Roman" w:hAnsi="Times New Roman" w:cs="Times New Roman"/>
        </w:rPr>
        <w:t>.</w:t>
      </w:r>
    </w:p>
    <w:p w:rsidR="00A744B6" w:rsidRPr="008C6684" w:rsidRDefault="00A744B6" w:rsidP="00050185">
      <w:pPr>
        <w:pStyle w:val="Textonotapie"/>
        <w:jc w:val="both"/>
        <w:rPr>
          <w:rFonts w:ascii="Times New Roman" w:hAnsi="Times New Roman" w:cs="Times New Roman"/>
        </w:rPr>
      </w:pPr>
    </w:p>
  </w:footnote>
  <w:footnote w:id="53">
    <w:p w:rsidR="00A744B6" w:rsidRPr="00676908" w:rsidRDefault="00A744B6" w:rsidP="00050185">
      <w:pPr>
        <w:pStyle w:val="Textonotapie"/>
        <w:jc w:val="both"/>
        <w:rPr>
          <w:rFonts w:ascii="Times New Roman" w:hAnsi="Times New Roman" w:cs="Times New Roman"/>
        </w:rPr>
      </w:pPr>
      <w:r w:rsidRPr="00295877">
        <w:rPr>
          <w:rStyle w:val="Refdenotaalpie"/>
          <w:rFonts w:ascii="Times New Roman" w:hAnsi="Times New Roman" w:cs="Times New Roman"/>
        </w:rPr>
        <w:footnoteRef/>
      </w:r>
      <w:r w:rsidRPr="00676908">
        <w:rPr>
          <w:rFonts w:ascii="Times New Roman" w:hAnsi="Times New Roman" w:cs="Times New Roman"/>
        </w:rPr>
        <w:t xml:space="preserve">Pérez del Valle, C. </w:t>
      </w:r>
      <w:r>
        <w:rPr>
          <w:rFonts w:ascii="Times New Roman" w:hAnsi="Times New Roman" w:cs="Times New Roman"/>
        </w:rPr>
        <w:t>(2016) &lt;&lt;</w:t>
      </w:r>
      <w:r w:rsidRPr="00676908">
        <w:rPr>
          <w:rFonts w:ascii="Times New Roman" w:hAnsi="Times New Roman" w:cs="Times New Roman"/>
          <w:i/>
        </w:rPr>
        <w:t>Lecciones de Derecho Penal. Parte General</w:t>
      </w:r>
      <w:r>
        <w:rPr>
          <w:rFonts w:ascii="Times New Roman" w:hAnsi="Times New Roman" w:cs="Times New Roman"/>
        </w:rPr>
        <w:t xml:space="preserve">&gt;&gt;. Madrid. Ed. </w:t>
      </w:r>
      <w:proofErr w:type="spellStart"/>
      <w:r>
        <w:rPr>
          <w:rFonts w:ascii="Times New Roman" w:hAnsi="Times New Roman" w:cs="Times New Roman"/>
        </w:rPr>
        <w:t>Dykinson</w:t>
      </w:r>
      <w:proofErr w:type="spellEnd"/>
      <w:r>
        <w:rPr>
          <w:rFonts w:ascii="Times New Roman" w:hAnsi="Times New Roman" w:cs="Times New Roman"/>
        </w:rPr>
        <w:t xml:space="preserve"> S.L pp. 176-179</w:t>
      </w:r>
    </w:p>
    <w:p w:rsidR="00A744B6" w:rsidRPr="00295877" w:rsidRDefault="00A744B6" w:rsidP="00050185">
      <w:pPr>
        <w:pStyle w:val="Textonotapie"/>
        <w:rPr>
          <w:rFonts w:ascii="Times New Roman" w:hAnsi="Times New Roman" w:cs="Times New Roman"/>
        </w:rPr>
      </w:pPr>
    </w:p>
  </w:footnote>
  <w:footnote w:id="54">
    <w:p w:rsidR="00A744B6" w:rsidRPr="00DD288F" w:rsidRDefault="00A744B6" w:rsidP="00050185">
      <w:pPr>
        <w:pStyle w:val="Textonotapie"/>
        <w:jc w:val="both"/>
        <w:rPr>
          <w:rFonts w:ascii="Times New Roman" w:hAnsi="Times New Roman" w:cs="Times New Roman"/>
        </w:rPr>
      </w:pPr>
      <w:r>
        <w:rPr>
          <w:rStyle w:val="Refdenotaalpie"/>
        </w:rPr>
        <w:footnoteRef/>
      </w:r>
      <w:r w:rsidRPr="00676908">
        <w:rPr>
          <w:rFonts w:ascii="Times New Roman" w:hAnsi="Times New Roman" w:cs="Times New Roman"/>
        </w:rPr>
        <w:t>Pérez del Valle, C.</w:t>
      </w:r>
      <w:r>
        <w:rPr>
          <w:rFonts w:ascii="Times New Roman" w:hAnsi="Times New Roman" w:cs="Times New Roman"/>
        </w:rPr>
        <w:t xml:space="preserve"> (2016) </w:t>
      </w:r>
      <w:r w:rsidRPr="00676908">
        <w:rPr>
          <w:rFonts w:ascii="Times New Roman" w:hAnsi="Times New Roman" w:cs="Times New Roman"/>
        </w:rPr>
        <w:t xml:space="preserve"> </w:t>
      </w:r>
      <w:r>
        <w:rPr>
          <w:rFonts w:ascii="Times New Roman" w:hAnsi="Times New Roman" w:cs="Times New Roman"/>
        </w:rPr>
        <w:t>&lt;&lt;</w:t>
      </w:r>
      <w:r w:rsidRPr="00676908">
        <w:rPr>
          <w:rFonts w:ascii="Times New Roman" w:hAnsi="Times New Roman" w:cs="Times New Roman"/>
          <w:i/>
        </w:rPr>
        <w:t>Lecciones de Derecho Penal. Parte General</w:t>
      </w:r>
      <w:r>
        <w:rPr>
          <w:rFonts w:ascii="Times New Roman" w:hAnsi="Times New Roman" w:cs="Times New Roman"/>
        </w:rPr>
        <w:t xml:space="preserve">&gt;&gt;. Madrid. Ed. </w:t>
      </w:r>
      <w:proofErr w:type="spellStart"/>
      <w:r>
        <w:rPr>
          <w:rFonts w:ascii="Times New Roman" w:hAnsi="Times New Roman" w:cs="Times New Roman"/>
        </w:rPr>
        <w:t>Dykinson</w:t>
      </w:r>
      <w:proofErr w:type="spellEnd"/>
      <w:r>
        <w:rPr>
          <w:rFonts w:ascii="Times New Roman" w:hAnsi="Times New Roman" w:cs="Times New Roman"/>
        </w:rPr>
        <w:t xml:space="preserve"> S.L pp. 282-287</w:t>
      </w:r>
    </w:p>
  </w:footnote>
  <w:footnote w:id="55">
    <w:p w:rsidR="00A744B6" w:rsidRPr="00E84C53" w:rsidRDefault="00A744B6" w:rsidP="00050185">
      <w:pPr>
        <w:jc w:val="both"/>
      </w:pPr>
      <w:r w:rsidRPr="00E84C53">
        <w:rPr>
          <w:rStyle w:val="Refdenotaalpie"/>
        </w:rPr>
        <w:footnoteRef/>
      </w:r>
      <w:r w:rsidRPr="00E84C53">
        <w:t xml:space="preserve">Cuello Contreras, J; </w:t>
      </w:r>
      <w:proofErr w:type="spellStart"/>
      <w:r w:rsidRPr="00E84C53">
        <w:t>Mapelli</w:t>
      </w:r>
      <w:proofErr w:type="spellEnd"/>
      <w:r>
        <w:t xml:space="preserve"> </w:t>
      </w:r>
      <w:proofErr w:type="spellStart"/>
      <w:r w:rsidRPr="00E84C53">
        <w:t>Caffarena</w:t>
      </w:r>
      <w:proofErr w:type="spellEnd"/>
      <w:r w:rsidRPr="00E84C53">
        <w:t xml:space="preserve">, B. </w:t>
      </w:r>
      <w:r>
        <w:t xml:space="preserve">(2016) </w:t>
      </w:r>
      <w:r w:rsidRPr="00E84C53">
        <w:t>&lt;&lt;</w:t>
      </w:r>
      <w:r w:rsidRPr="00E84C53">
        <w:rPr>
          <w:i/>
        </w:rPr>
        <w:t>Curso de Derecho Penal. Parte General</w:t>
      </w:r>
      <w:proofErr w:type="gramStart"/>
      <w:r w:rsidRPr="00E84C53">
        <w:t>.&gt;</w:t>
      </w:r>
      <w:proofErr w:type="gramEnd"/>
      <w:r w:rsidRPr="00E84C53">
        <w:t>&gt;. Madrid</w:t>
      </w:r>
      <w:r>
        <w:t xml:space="preserve">. Ed. </w:t>
      </w:r>
      <w:proofErr w:type="spellStart"/>
      <w:proofErr w:type="gramStart"/>
      <w:r>
        <w:t>Tecnos</w:t>
      </w:r>
      <w:proofErr w:type="spellEnd"/>
      <w:proofErr w:type="gramEnd"/>
      <w:r>
        <w:t xml:space="preserve">. </w:t>
      </w:r>
    </w:p>
  </w:footnote>
  <w:footnote w:id="56">
    <w:p w:rsidR="00A744B6" w:rsidRPr="00D129E5" w:rsidRDefault="00A744B6" w:rsidP="00050185">
      <w:pPr>
        <w:pStyle w:val="Textonotapie"/>
        <w:jc w:val="both"/>
        <w:rPr>
          <w:rFonts w:ascii="Times New Roman" w:hAnsi="Times New Roman" w:cs="Times New Roman"/>
        </w:rPr>
      </w:pPr>
      <w:r w:rsidRPr="00D129E5">
        <w:rPr>
          <w:rStyle w:val="Refdenotaalpie"/>
          <w:rFonts w:ascii="Times New Roman" w:hAnsi="Times New Roman" w:cs="Times New Roman"/>
        </w:rPr>
        <w:footnoteRef/>
      </w:r>
      <w:proofErr w:type="spellStart"/>
      <w:r w:rsidRPr="00D129E5">
        <w:rPr>
          <w:rFonts w:ascii="Times New Roman" w:hAnsi="Times New Roman" w:cs="Times New Roman"/>
        </w:rPr>
        <w:t>Lamarca</w:t>
      </w:r>
      <w:proofErr w:type="spellEnd"/>
      <w:r w:rsidRPr="00D129E5">
        <w:rPr>
          <w:rFonts w:ascii="Times New Roman" w:hAnsi="Times New Roman" w:cs="Times New Roman"/>
        </w:rPr>
        <w:t xml:space="preserve"> Pérez, C. (2016) &lt;&lt;</w:t>
      </w:r>
      <w:r w:rsidRPr="00D129E5">
        <w:rPr>
          <w:rFonts w:ascii="Times New Roman" w:hAnsi="Times New Roman" w:cs="Times New Roman"/>
          <w:i/>
        </w:rPr>
        <w:t>Delitos. La parte Especial del Derecho Penal</w:t>
      </w:r>
      <w:r w:rsidRPr="00D129E5">
        <w:rPr>
          <w:rFonts w:ascii="Times New Roman" w:hAnsi="Times New Roman" w:cs="Times New Roman"/>
        </w:rPr>
        <w:t xml:space="preserve">&gt;&gt;. Madrid, ed. </w:t>
      </w:r>
      <w:proofErr w:type="spellStart"/>
      <w:r w:rsidRPr="00D129E5">
        <w:rPr>
          <w:rFonts w:ascii="Times New Roman" w:hAnsi="Times New Roman" w:cs="Times New Roman"/>
        </w:rPr>
        <w:t>Dykinson</w:t>
      </w:r>
      <w:proofErr w:type="spellEnd"/>
      <w:r w:rsidRPr="00D129E5">
        <w:rPr>
          <w:rFonts w:ascii="Times New Roman" w:hAnsi="Times New Roman" w:cs="Times New Roman"/>
        </w:rPr>
        <w:t xml:space="preserve">. </w:t>
      </w:r>
    </w:p>
    <w:p w:rsidR="00A744B6" w:rsidRPr="00D129E5" w:rsidRDefault="00A744B6" w:rsidP="00050185">
      <w:pPr>
        <w:pStyle w:val="Textonotapie"/>
        <w:jc w:val="both"/>
        <w:rPr>
          <w:rFonts w:ascii="Times New Roman" w:hAnsi="Times New Roman" w:cs="Times New Roman"/>
        </w:rPr>
      </w:pPr>
      <w:r w:rsidRPr="00D129E5">
        <w:rPr>
          <w:rFonts w:ascii="Times New Roman" w:hAnsi="Times New Roman" w:cs="Times New Roman"/>
        </w:rPr>
        <w:t xml:space="preserve"> p.341</w:t>
      </w:r>
    </w:p>
  </w:footnote>
  <w:footnote w:id="57">
    <w:p w:rsidR="00A744B6" w:rsidRPr="00D129E5" w:rsidRDefault="00A744B6">
      <w:pPr>
        <w:pStyle w:val="Textonotapie"/>
        <w:rPr>
          <w:rFonts w:ascii="Times New Roman" w:hAnsi="Times New Roman" w:cs="Times New Roman"/>
        </w:rPr>
      </w:pPr>
      <w:r w:rsidRPr="00D129E5">
        <w:rPr>
          <w:rStyle w:val="Refdenotaalpie"/>
          <w:rFonts w:ascii="Times New Roman" w:hAnsi="Times New Roman" w:cs="Times New Roman"/>
        </w:rPr>
        <w:footnoteRef/>
      </w:r>
      <w:r w:rsidRPr="00D129E5">
        <w:rPr>
          <w:rFonts w:ascii="Times New Roman" w:hAnsi="Times New Roman" w:cs="Times New Roman"/>
        </w:rPr>
        <w:t xml:space="preserve"> </w:t>
      </w:r>
      <w:r w:rsidRPr="00D129E5">
        <w:rPr>
          <w:rFonts w:ascii="Times New Roman" w:hAnsi="Times New Roman" w:cs="Times New Roman"/>
          <w:i/>
        </w:rPr>
        <w:t>IBIDEM</w:t>
      </w:r>
      <w:r>
        <w:rPr>
          <w:rFonts w:ascii="Times New Roman" w:hAnsi="Times New Roman" w:cs="Times New Roman"/>
        </w:rPr>
        <w:t xml:space="preserve"> p.342</w:t>
      </w:r>
    </w:p>
  </w:footnote>
  <w:footnote w:id="58">
    <w:p w:rsidR="00A744B6" w:rsidRPr="00C141B9" w:rsidRDefault="00A744B6" w:rsidP="00050185">
      <w:pPr>
        <w:pStyle w:val="Textonotapie"/>
        <w:jc w:val="both"/>
        <w:rPr>
          <w:rFonts w:ascii="Times New Roman" w:hAnsi="Times New Roman" w:cs="Times New Roman"/>
        </w:rPr>
      </w:pPr>
      <w:r w:rsidRPr="00D129E5">
        <w:rPr>
          <w:rStyle w:val="Refdenotaalpie"/>
          <w:rFonts w:ascii="Times New Roman" w:hAnsi="Times New Roman" w:cs="Times New Roman"/>
        </w:rPr>
        <w:footnoteRef/>
      </w:r>
      <w:r>
        <w:rPr>
          <w:rFonts w:ascii="Times New Roman" w:hAnsi="Times New Roman" w:cs="Times New Roman"/>
        </w:rPr>
        <w:t xml:space="preserve"> </w:t>
      </w:r>
      <w:r w:rsidRPr="00D129E5">
        <w:rPr>
          <w:rFonts w:ascii="Times New Roman" w:hAnsi="Times New Roman" w:cs="Times New Roman"/>
          <w:i/>
        </w:rPr>
        <w:t>IBIDEM</w:t>
      </w:r>
      <w:r>
        <w:rPr>
          <w:rFonts w:ascii="Times New Roman" w:hAnsi="Times New Roman" w:cs="Times New Roman"/>
        </w:rPr>
        <w:t xml:space="preserve"> P.346</w:t>
      </w:r>
      <w:r w:rsidRPr="00D129E5">
        <w:rPr>
          <w:rFonts w:ascii="Times New Roman" w:hAnsi="Times New Roman" w:cs="Times New Roman"/>
        </w:rPr>
        <w:t xml:space="preserve"> </w:t>
      </w:r>
    </w:p>
    <w:p w:rsidR="00A744B6" w:rsidRPr="00C141B9" w:rsidRDefault="00A744B6" w:rsidP="00050185">
      <w:pPr>
        <w:pStyle w:val="Textonotapie"/>
        <w:jc w:val="both"/>
        <w:rPr>
          <w:rFonts w:ascii="Times New Roman" w:hAnsi="Times New Roman" w:cs="Times New Roman"/>
        </w:rPr>
      </w:pPr>
    </w:p>
  </w:footnote>
  <w:footnote w:id="59">
    <w:p w:rsidR="00A744B6" w:rsidRPr="00D377F8" w:rsidRDefault="00A744B6" w:rsidP="00050185">
      <w:pPr>
        <w:pStyle w:val="Textonotapie"/>
        <w:jc w:val="both"/>
        <w:rPr>
          <w:rFonts w:ascii="Times New Roman" w:hAnsi="Times New Roman" w:cs="Times New Roman"/>
        </w:rPr>
      </w:pPr>
      <w:r w:rsidRPr="00D377F8">
        <w:rPr>
          <w:rStyle w:val="Refdenotaalpie"/>
          <w:rFonts w:ascii="Times New Roman" w:hAnsi="Times New Roman" w:cs="Times New Roman"/>
        </w:rPr>
        <w:footnoteRef/>
      </w:r>
      <w:r w:rsidRPr="00D377F8">
        <w:rPr>
          <w:rFonts w:ascii="Times New Roman" w:hAnsi="Times New Roman" w:cs="Times New Roman"/>
        </w:rPr>
        <w:t xml:space="preserve">Véase en la Ley Orgánica 1/2015, de 30 de marzo, por la que se modifica la Ley Orgánica 10/1995, de 23 de noviembre, del Código Penal (BOE núm.77, de 31 de Marzo) </w:t>
      </w:r>
      <w:r>
        <w:rPr>
          <w:rFonts w:ascii="Times New Roman" w:hAnsi="Times New Roman" w:cs="Times New Roman"/>
        </w:rPr>
        <w:t>en concreto se modifican</w:t>
      </w:r>
      <w:r w:rsidRPr="00D377F8">
        <w:rPr>
          <w:rFonts w:ascii="Times New Roman" w:hAnsi="Times New Roman" w:cs="Times New Roman"/>
        </w:rPr>
        <w:t xml:space="preserve"> los artículos</w:t>
      </w:r>
      <w:r>
        <w:rPr>
          <w:rFonts w:ascii="Times New Roman" w:hAnsi="Times New Roman" w:cs="Times New Roman"/>
        </w:rPr>
        <w:t xml:space="preserve">237, 240, 241 y el apartado número 2 del artículo 242 </w:t>
      </w:r>
      <w:r w:rsidRPr="00D377F8">
        <w:rPr>
          <w:rFonts w:ascii="Times New Roman" w:hAnsi="Times New Roman" w:cs="Times New Roman"/>
        </w:rPr>
        <w:t xml:space="preserve"> por el cual se agravan las penas de los delitos</w:t>
      </w:r>
      <w:r>
        <w:rPr>
          <w:rFonts w:ascii="Times New Roman" w:hAnsi="Times New Roman" w:cs="Times New Roman"/>
        </w:rPr>
        <w:t xml:space="preserve"> de robo</w:t>
      </w:r>
      <w:r w:rsidRPr="00D377F8">
        <w:rPr>
          <w:rFonts w:ascii="Times New Roman" w:hAnsi="Times New Roman" w:cs="Times New Roman"/>
        </w:rPr>
        <w:t xml:space="preserve">. </w:t>
      </w:r>
    </w:p>
  </w:footnote>
  <w:footnote w:id="60">
    <w:p w:rsidR="00A744B6" w:rsidRPr="00532756" w:rsidRDefault="00A744B6" w:rsidP="00050185">
      <w:pPr>
        <w:pStyle w:val="Textonotapie"/>
        <w:jc w:val="both"/>
        <w:rPr>
          <w:rFonts w:ascii="Times New Roman" w:hAnsi="Times New Roman" w:cs="Times New Roman"/>
        </w:rPr>
      </w:pPr>
      <w:r w:rsidRPr="00532756">
        <w:rPr>
          <w:rStyle w:val="Refdenotaalpie"/>
          <w:rFonts w:ascii="Times New Roman" w:hAnsi="Times New Roman" w:cs="Times New Roman"/>
        </w:rPr>
        <w:footnoteRef/>
      </w:r>
      <w:r>
        <w:rPr>
          <w:rFonts w:ascii="Times New Roman" w:hAnsi="Times New Roman" w:cs="Times New Roman"/>
        </w:rPr>
        <w:t>Prestamos atención al apartado número dos del artículo 242 del CP, ya que ha sido previamente modificado, por la reforma del Código Penal de 2015</w:t>
      </w:r>
    </w:p>
  </w:footnote>
  <w:footnote w:id="61">
    <w:p w:rsidR="00A744B6" w:rsidRDefault="00A744B6" w:rsidP="00050185">
      <w:pPr>
        <w:pStyle w:val="Textonotapie"/>
        <w:jc w:val="both"/>
        <w:rPr>
          <w:rFonts w:ascii="Times New Roman" w:hAnsi="Times New Roman" w:cs="Times New Roman"/>
          <w:bCs/>
        </w:rPr>
      </w:pPr>
      <w:r w:rsidRPr="00704D10">
        <w:rPr>
          <w:rStyle w:val="Refdenotaalpie"/>
          <w:rFonts w:ascii="Times New Roman" w:hAnsi="Times New Roman" w:cs="Times New Roman"/>
        </w:rPr>
        <w:footnoteRef/>
      </w:r>
      <w:r w:rsidRPr="00704D10">
        <w:rPr>
          <w:rFonts w:ascii="Times New Roman" w:hAnsi="Times New Roman" w:cs="Times New Roman"/>
          <w:bCs/>
        </w:rPr>
        <w:t>Sentencia nº 709/2013 de TS, Sala 2ª, de lo Penal, 10 de Octubre de 2013</w:t>
      </w:r>
      <w:r>
        <w:rPr>
          <w:rFonts w:ascii="Times New Roman" w:hAnsi="Times New Roman" w:cs="Times New Roman"/>
          <w:bCs/>
        </w:rPr>
        <w:t xml:space="preserve">. Véase en </w:t>
      </w:r>
      <w:hyperlink r:id="rId9" w:history="1">
        <w:r w:rsidRPr="00970727">
          <w:rPr>
            <w:rStyle w:val="Hipervnculo"/>
            <w:rFonts w:ascii="Times New Roman" w:hAnsi="Times New Roman" w:cs="Times New Roman"/>
            <w:bCs/>
          </w:rPr>
          <w:t>https://supremo.vlex.es/vid/474524814</w:t>
        </w:r>
      </w:hyperlink>
    </w:p>
    <w:p w:rsidR="00A744B6" w:rsidRPr="00704D10" w:rsidRDefault="00A744B6" w:rsidP="00050185">
      <w:pPr>
        <w:pStyle w:val="Textonotapie"/>
        <w:jc w:val="both"/>
        <w:rPr>
          <w:rFonts w:ascii="Times New Roman" w:hAnsi="Times New Roman" w:cs="Times New Roman"/>
        </w:rPr>
      </w:pPr>
      <w:r>
        <w:rPr>
          <w:rFonts w:ascii="Times New Roman" w:hAnsi="Times New Roman" w:cs="Times New Roman"/>
          <w:bCs/>
        </w:rPr>
        <w:t>Aquí se castiga a los sujetos como autores de un delito de robo con violencia del artículo 242.1 del CP, en concurso con un delito de lesiones.</w:t>
      </w:r>
    </w:p>
  </w:footnote>
  <w:footnote w:id="62">
    <w:p w:rsidR="00A744B6" w:rsidRDefault="00A744B6" w:rsidP="00050185">
      <w:pPr>
        <w:pStyle w:val="Textonotapie"/>
        <w:jc w:val="both"/>
        <w:rPr>
          <w:rFonts w:ascii="Times New Roman" w:hAnsi="Times New Roman" w:cs="Times New Roman"/>
          <w:bCs/>
        </w:rPr>
      </w:pPr>
      <w:r w:rsidRPr="005875CF">
        <w:rPr>
          <w:rStyle w:val="Refdenotaalpie"/>
          <w:rFonts w:ascii="Times New Roman" w:hAnsi="Times New Roman" w:cs="Times New Roman"/>
        </w:rPr>
        <w:footnoteRef/>
      </w:r>
      <w:r w:rsidRPr="005875CF">
        <w:rPr>
          <w:rFonts w:ascii="Times New Roman" w:hAnsi="Times New Roman" w:cs="Times New Roman"/>
          <w:bCs/>
        </w:rPr>
        <w:t>Sentencia nº 459/2014 de TS, Sala 2ª, de lo Penal, 4 de Junio de 2014</w:t>
      </w:r>
      <w:r>
        <w:rPr>
          <w:rFonts w:ascii="Times New Roman" w:hAnsi="Times New Roman" w:cs="Times New Roman"/>
          <w:bCs/>
        </w:rPr>
        <w:t xml:space="preserve">. </w:t>
      </w:r>
    </w:p>
    <w:p w:rsidR="00A744B6" w:rsidRPr="00130A6B" w:rsidRDefault="00A744B6" w:rsidP="00050185">
      <w:pPr>
        <w:pStyle w:val="Textonotapie"/>
        <w:jc w:val="both"/>
        <w:rPr>
          <w:rFonts w:ascii="Times New Roman" w:hAnsi="Times New Roman" w:cs="Times New Roman"/>
          <w:bCs/>
        </w:rPr>
      </w:pPr>
      <w:r>
        <w:rPr>
          <w:rFonts w:ascii="Times New Roman" w:hAnsi="Times New Roman" w:cs="Times New Roman"/>
          <w:bCs/>
        </w:rPr>
        <w:t xml:space="preserve">Véase en </w:t>
      </w:r>
      <w:hyperlink r:id="rId10" w:history="1">
        <w:r w:rsidRPr="00970727">
          <w:rPr>
            <w:rStyle w:val="Hipervnculo"/>
            <w:rFonts w:ascii="Times New Roman" w:hAnsi="Times New Roman" w:cs="Times New Roman"/>
            <w:bCs/>
          </w:rPr>
          <w:t>https://supremo.vlex.es/vid/-516234434?_ga=2.240529155.148699714.1493737179-713098328.1493550593</w:t>
        </w:r>
      </w:hyperlink>
      <w:r>
        <w:rPr>
          <w:rFonts w:ascii="Times New Roman" w:hAnsi="Times New Roman" w:cs="Times New Roman"/>
          <w:bCs/>
        </w:rPr>
        <w:t xml:space="preserve">. Aquí se establece un delito de robo con violencia o intimidación en concurso con un delito de allanamiento de morada </w:t>
      </w:r>
    </w:p>
    <w:p w:rsidR="00A744B6" w:rsidRPr="005875CF" w:rsidRDefault="00A744B6" w:rsidP="00050185">
      <w:pPr>
        <w:pStyle w:val="Textonotapie"/>
        <w:jc w:val="both"/>
        <w:rPr>
          <w:rFonts w:ascii="Times New Roman" w:hAnsi="Times New Roman" w:cs="Times New Roman"/>
        </w:rPr>
      </w:pPr>
    </w:p>
  </w:footnote>
  <w:footnote w:id="63">
    <w:p w:rsidR="00A744B6" w:rsidRDefault="00A744B6" w:rsidP="00050185">
      <w:pPr>
        <w:pStyle w:val="Textonotapie"/>
        <w:jc w:val="both"/>
        <w:rPr>
          <w:rFonts w:ascii="Times New Roman" w:hAnsi="Times New Roman" w:cs="Times New Roman"/>
          <w:bCs/>
        </w:rPr>
      </w:pPr>
      <w:r w:rsidRPr="00130A6B">
        <w:rPr>
          <w:rStyle w:val="Refdenotaalpie"/>
          <w:rFonts w:ascii="Times New Roman" w:hAnsi="Times New Roman" w:cs="Times New Roman"/>
        </w:rPr>
        <w:footnoteRef/>
      </w:r>
      <w:r w:rsidRPr="00130A6B">
        <w:rPr>
          <w:rFonts w:ascii="Times New Roman" w:hAnsi="Times New Roman" w:cs="Times New Roman"/>
          <w:bCs/>
        </w:rPr>
        <w:t>Sentencia nº 887/2013 de TS, Sala 2ª, de lo Penal, 27 de Noviembre de 2013</w:t>
      </w:r>
      <w:r>
        <w:rPr>
          <w:rFonts w:ascii="Times New Roman" w:hAnsi="Times New Roman" w:cs="Times New Roman"/>
          <w:bCs/>
        </w:rPr>
        <w:t xml:space="preserve">. Véase en </w:t>
      </w:r>
      <w:hyperlink r:id="rId11" w:history="1">
        <w:r w:rsidRPr="00970727">
          <w:rPr>
            <w:rStyle w:val="Hipervnculo"/>
            <w:rFonts w:ascii="Times New Roman" w:hAnsi="Times New Roman" w:cs="Times New Roman"/>
            <w:bCs/>
          </w:rPr>
          <w:t>https://supremo.vlex.es/vid/-481795922?_ga=2.127223054.202665213.1493739967-713098328.1493550593</w:t>
        </w:r>
      </w:hyperlink>
      <w:r>
        <w:rPr>
          <w:rFonts w:ascii="Times New Roman" w:hAnsi="Times New Roman" w:cs="Times New Roman"/>
          <w:bCs/>
        </w:rPr>
        <w:t>.</w:t>
      </w:r>
    </w:p>
    <w:p w:rsidR="00A744B6" w:rsidRPr="00130A6B" w:rsidRDefault="00A744B6" w:rsidP="00050185">
      <w:pPr>
        <w:pStyle w:val="Textonotapie"/>
        <w:jc w:val="both"/>
        <w:rPr>
          <w:rFonts w:ascii="Times New Roman" w:hAnsi="Times New Roman" w:cs="Times New Roman"/>
        </w:rPr>
      </w:pPr>
      <w:r>
        <w:rPr>
          <w:rFonts w:ascii="Times New Roman" w:hAnsi="Times New Roman" w:cs="Times New Roman"/>
          <w:bCs/>
        </w:rPr>
        <w:t>Aquí se castiga al sujeto como autor de un delito de robo con violencia e intimidación en las personas haciendo uso de un medio peligroso en concurso con un delito de detención ilegal.</w:t>
      </w:r>
    </w:p>
    <w:p w:rsidR="00A744B6" w:rsidRPr="00130A6B" w:rsidRDefault="00A744B6" w:rsidP="00050185">
      <w:pPr>
        <w:pStyle w:val="Textonotapie"/>
        <w:jc w:val="both"/>
        <w:rPr>
          <w:rFonts w:ascii="Times New Roman" w:hAnsi="Times New Roman" w:cs="Times New Roman"/>
        </w:rPr>
      </w:pPr>
    </w:p>
  </w:footnote>
  <w:footnote w:id="64">
    <w:p w:rsidR="00A744B6" w:rsidRPr="00FA4728" w:rsidRDefault="00A744B6" w:rsidP="00CF2B01">
      <w:pPr>
        <w:pStyle w:val="Textonotapie"/>
        <w:rPr>
          <w:rFonts w:ascii="Times New Roman" w:hAnsi="Times New Roman" w:cs="Times New Roman"/>
          <w:bCs/>
        </w:rPr>
      </w:pPr>
      <w:r w:rsidRPr="0075579D">
        <w:rPr>
          <w:rStyle w:val="Refdenotaalpie"/>
          <w:rFonts w:ascii="Times New Roman" w:hAnsi="Times New Roman" w:cs="Times New Roman"/>
        </w:rPr>
        <w:footnoteRef/>
      </w:r>
      <w:r>
        <w:rPr>
          <w:rFonts w:ascii="Times New Roman" w:hAnsi="Times New Roman" w:cs="Times New Roman"/>
        </w:rPr>
        <w:t xml:space="preserve">Sentencia de la </w:t>
      </w:r>
      <w:r w:rsidRPr="0075579D">
        <w:rPr>
          <w:rFonts w:ascii="Times New Roman" w:hAnsi="Times New Roman" w:cs="Times New Roman"/>
          <w:bCs/>
        </w:rPr>
        <w:t>Audiencia Provincial de Álava (Sección 2ª)</w:t>
      </w:r>
      <w:r>
        <w:rPr>
          <w:rFonts w:ascii="Times New Roman" w:hAnsi="Times New Roman" w:cs="Times New Roman"/>
          <w:bCs/>
        </w:rPr>
        <w:t xml:space="preserve"> con número 95/2001 de 28 de Junio. Véase en </w:t>
      </w:r>
      <w:hyperlink r:id="rId12" w:history="1">
        <w:r w:rsidRPr="00693920">
          <w:rPr>
            <w:rStyle w:val="Hipervnculo"/>
            <w:rFonts w:ascii="Times New Roman" w:hAnsi="Times New Roman" w:cs="Times New Roman"/>
            <w:bCs/>
          </w:rPr>
          <w:t>http://0-aranzadi.aranzadidigital.es.avalos.ujaen.es/maf/app/document?tid=&amp;docguid=I135c2d00fe2311db8df80000846fb0e8&amp;base-guids=ARP\2002\51&amp;fexid=flag-red-juris&amp;fexid=flag-yellow-juris&amp;fexid=flag-blue-juris&amp;fexid=DO-ANA-25&amp;fexid=DO-ANA-23&amp;srguid=i0ad82d9b0000015bd86ae866e937cac0&amp;th=Penal&amp;guid=Id0145390b6e311e18b74010000000000&amp;src=withinResuts&amp;spos=35&amp;epos=35</w:t>
        </w:r>
      </w:hyperlink>
    </w:p>
  </w:footnote>
  <w:footnote w:id="65">
    <w:p w:rsidR="00A744B6" w:rsidRPr="00EA6E3C" w:rsidRDefault="00A744B6" w:rsidP="00CF2B01">
      <w:r w:rsidRPr="00743E98">
        <w:rPr>
          <w:rStyle w:val="Refdenotaalpie"/>
        </w:rPr>
        <w:footnoteRef/>
      </w:r>
      <w:r w:rsidRPr="00743E98">
        <w:t xml:space="preserve"> Muñoz Conde, F. </w:t>
      </w:r>
      <w:r>
        <w:t xml:space="preserve">(2015) </w:t>
      </w:r>
      <w:r w:rsidRPr="00743E98">
        <w:t>&lt;&lt;</w:t>
      </w:r>
      <w:r w:rsidRPr="00743E98">
        <w:rPr>
          <w:i/>
        </w:rPr>
        <w:t>Derecho Penal. Parte Especial. (20ª Edición, revisada y actualizada y puesta al día conforme a las leyes Orgánicas 1/2015 y 2/2015, de 30 de Marzo)</w:t>
      </w:r>
      <w:r>
        <w:t>&gt;&gt;. Valencia, Ed. Tirant lo Blanch. p.341</w:t>
      </w:r>
    </w:p>
  </w:footnote>
  <w:footnote w:id="66">
    <w:p w:rsidR="00A744B6" w:rsidRPr="00412EBA" w:rsidRDefault="00A744B6" w:rsidP="00050185">
      <w:pPr>
        <w:pStyle w:val="Textonotapie"/>
        <w:jc w:val="both"/>
        <w:rPr>
          <w:rFonts w:ascii="Times New Roman" w:hAnsi="Times New Roman" w:cs="Times New Roman"/>
        </w:rPr>
      </w:pPr>
      <w:r w:rsidRPr="00412EBA">
        <w:rPr>
          <w:rStyle w:val="Refdenotaalpie"/>
          <w:rFonts w:ascii="Times New Roman" w:hAnsi="Times New Roman" w:cs="Times New Roman"/>
        </w:rPr>
        <w:footnoteRef/>
      </w:r>
      <w:r>
        <w:rPr>
          <w:rFonts w:ascii="Times New Roman" w:hAnsi="Times New Roman" w:cs="Times New Roman"/>
        </w:rPr>
        <w:t>De Vicente Martínez, R. (2011) &lt;&lt;</w:t>
      </w:r>
      <w:r w:rsidRPr="00B372FC">
        <w:rPr>
          <w:rFonts w:ascii="Times New Roman" w:hAnsi="Times New Roman" w:cs="Times New Roman"/>
          <w:i/>
        </w:rPr>
        <w:t>Los delitos de robo. Estudio doctrinal introductorio. Problemática jurisprudencial ordenada y sistematizada. Casos prácticos. Normativa reguladora</w:t>
      </w:r>
      <w:proofErr w:type="gramStart"/>
      <w:r w:rsidRPr="00B372FC">
        <w:rPr>
          <w:rFonts w:ascii="Times New Roman" w:hAnsi="Times New Roman" w:cs="Times New Roman"/>
          <w:i/>
        </w:rPr>
        <w:t>.</w:t>
      </w:r>
      <w:r>
        <w:rPr>
          <w:rFonts w:ascii="Times New Roman" w:hAnsi="Times New Roman" w:cs="Times New Roman"/>
        </w:rPr>
        <w:t>&gt;</w:t>
      </w:r>
      <w:proofErr w:type="gramEnd"/>
      <w:r>
        <w:rPr>
          <w:rFonts w:ascii="Times New Roman" w:hAnsi="Times New Roman" w:cs="Times New Roman"/>
        </w:rPr>
        <w:t>&gt; Barcelona.         Ed. Bosch pp.48-49</w:t>
      </w:r>
    </w:p>
  </w:footnote>
  <w:footnote w:id="67">
    <w:p w:rsidR="00A744B6" w:rsidRPr="00EA6E3C" w:rsidRDefault="00A744B6" w:rsidP="00050185">
      <w:pPr>
        <w:pStyle w:val="Textonotapie"/>
        <w:jc w:val="both"/>
        <w:rPr>
          <w:rFonts w:ascii="Times New Roman" w:hAnsi="Times New Roman" w:cs="Times New Roman"/>
        </w:rPr>
      </w:pPr>
      <w:r w:rsidRPr="00EA6E3C">
        <w:rPr>
          <w:rStyle w:val="Refdenotaalpie"/>
          <w:rFonts w:ascii="Times New Roman" w:hAnsi="Times New Roman" w:cs="Times New Roman"/>
        </w:rPr>
        <w:footnoteRef/>
      </w:r>
      <w:r w:rsidRPr="00EA6E3C">
        <w:rPr>
          <w:rFonts w:ascii="Times New Roman" w:hAnsi="Times New Roman" w:cs="Times New Roman"/>
        </w:rPr>
        <w:t xml:space="preserve"> Véase en la Ley Orgánica 10/1995, de 23 de noviembre, del Código Pen</w:t>
      </w:r>
      <w:r>
        <w:rPr>
          <w:rFonts w:ascii="Times New Roman" w:hAnsi="Times New Roman" w:cs="Times New Roman"/>
        </w:rPr>
        <w:t>al.</w:t>
      </w:r>
    </w:p>
    <w:p w:rsidR="00A744B6" w:rsidRPr="00EA6E3C" w:rsidRDefault="00A744B6" w:rsidP="00050185">
      <w:pPr>
        <w:pStyle w:val="Textonotapie"/>
        <w:jc w:val="both"/>
        <w:rPr>
          <w:rFonts w:ascii="Times New Roman" w:hAnsi="Times New Roman" w:cs="Times New Roman"/>
        </w:rPr>
      </w:pPr>
    </w:p>
  </w:footnote>
  <w:footnote w:id="68">
    <w:p w:rsidR="00A744B6" w:rsidRDefault="00A744B6" w:rsidP="00050185">
      <w:pPr>
        <w:pStyle w:val="Textonotapie"/>
        <w:jc w:val="both"/>
        <w:rPr>
          <w:rFonts w:ascii="Times New Roman" w:hAnsi="Times New Roman" w:cs="Times New Roman"/>
        </w:rPr>
      </w:pPr>
      <w:r w:rsidRPr="00CC3413">
        <w:rPr>
          <w:rStyle w:val="Refdenotaalpie"/>
          <w:rFonts w:ascii="Times New Roman" w:hAnsi="Times New Roman" w:cs="Times New Roman"/>
        </w:rPr>
        <w:footnoteRef/>
      </w:r>
      <w:r w:rsidRPr="00CC3413">
        <w:rPr>
          <w:rFonts w:ascii="Times New Roman" w:hAnsi="Times New Roman" w:cs="Times New Roman"/>
        </w:rPr>
        <w:t xml:space="preserve"> Véase en Ley Orgánica 5/2010, de 22 de junio, por la que se modifica la Ley Orgánica 10/1995, de 23</w:t>
      </w:r>
      <w:r>
        <w:rPr>
          <w:rFonts w:ascii="Times New Roman" w:hAnsi="Times New Roman" w:cs="Times New Roman"/>
        </w:rPr>
        <w:t xml:space="preserve"> de noviembre, del Código Penal, </w:t>
      </w:r>
      <w:r w:rsidRPr="00CC3413">
        <w:rPr>
          <w:rFonts w:ascii="Times New Roman" w:hAnsi="Times New Roman" w:cs="Times New Roman"/>
        </w:rPr>
        <w:t>en concre</w:t>
      </w:r>
      <w:r>
        <w:rPr>
          <w:rFonts w:ascii="Times New Roman" w:hAnsi="Times New Roman" w:cs="Times New Roman"/>
        </w:rPr>
        <w:t>to se modificó este articulo 239</w:t>
      </w:r>
      <w:r w:rsidRPr="00CC3413">
        <w:rPr>
          <w:rFonts w:ascii="Times New Roman" w:hAnsi="Times New Roman" w:cs="Times New Roman"/>
        </w:rPr>
        <w:t>.</w:t>
      </w:r>
    </w:p>
    <w:p w:rsidR="00A744B6" w:rsidRPr="00CC3413" w:rsidRDefault="00A744B6" w:rsidP="00050185">
      <w:pPr>
        <w:pStyle w:val="Textonotapie"/>
        <w:jc w:val="both"/>
        <w:rPr>
          <w:rFonts w:ascii="Times New Roman" w:hAnsi="Times New Roman" w:cs="Times New Roman"/>
        </w:rPr>
      </w:pPr>
    </w:p>
  </w:footnote>
  <w:footnote w:id="69">
    <w:p w:rsidR="00A744B6" w:rsidRDefault="00A744B6" w:rsidP="00050185">
      <w:pPr>
        <w:pStyle w:val="Textonotapie"/>
        <w:jc w:val="both"/>
        <w:rPr>
          <w:rFonts w:ascii="Times New Roman" w:hAnsi="Times New Roman" w:cs="Times New Roman"/>
        </w:rPr>
      </w:pPr>
      <w:r w:rsidRPr="002F3EC8">
        <w:rPr>
          <w:rStyle w:val="Refdenotaalpie"/>
          <w:rFonts w:ascii="Times New Roman" w:hAnsi="Times New Roman" w:cs="Times New Roman"/>
        </w:rPr>
        <w:footnoteRef/>
      </w:r>
      <w:proofErr w:type="spellStart"/>
      <w:r>
        <w:rPr>
          <w:rFonts w:ascii="Times New Roman" w:hAnsi="Times New Roman" w:cs="Times New Roman"/>
        </w:rPr>
        <w:t>Terradillos</w:t>
      </w:r>
      <w:proofErr w:type="spellEnd"/>
      <w:r>
        <w:rPr>
          <w:rFonts w:ascii="Times New Roman" w:hAnsi="Times New Roman" w:cs="Times New Roman"/>
        </w:rPr>
        <w:t xml:space="preserve"> </w:t>
      </w:r>
      <w:proofErr w:type="spellStart"/>
      <w:r>
        <w:rPr>
          <w:rFonts w:ascii="Times New Roman" w:hAnsi="Times New Roman" w:cs="Times New Roman"/>
        </w:rPr>
        <w:t>Basoco</w:t>
      </w:r>
      <w:proofErr w:type="spellEnd"/>
      <w:r>
        <w:rPr>
          <w:rFonts w:ascii="Times New Roman" w:hAnsi="Times New Roman" w:cs="Times New Roman"/>
        </w:rPr>
        <w:t xml:space="preserve">, J. M; Ríos Corbacho, J; </w:t>
      </w:r>
      <w:proofErr w:type="spellStart"/>
      <w:r>
        <w:rPr>
          <w:rFonts w:ascii="Times New Roman" w:hAnsi="Times New Roman" w:cs="Times New Roman"/>
        </w:rPr>
        <w:t>Acale</w:t>
      </w:r>
      <w:proofErr w:type="spellEnd"/>
      <w:r>
        <w:rPr>
          <w:rFonts w:ascii="Times New Roman" w:hAnsi="Times New Roman" w:cs="Times New Roman"/>
        </w:rPr>
        <w:t xml:space="preserve"> Sánchez, M; Salinero Alonso, C; </w:t>
      </w:r>
      <w:proofErr w:type="spellStart"/>
      <w:r>
        <w:rPr>
          <w:rFonts w:ascii="Times New Roman" w:hAnsi="Times New Roman" w:cs="Times New Roman"/>
        </w:rPr>
        <w:t>Hava</w:t>
      </w:r>
      <w:proofErr w:type="spellEnd"/>
      <w:r>
        <w:rPr>
          <w:rFonts w:ascii="Times New Roman" w:hAnsi="Times New Roman" w:cs="Times New Roman"/>
        </w:rPr>
        <w:t xml:space="preserve"> García, E; González Agudelo, G; Rodríguez Mesa, M.J; Rodríguez Moro, L; </w:t>
      </w:r>
      <w:proofErr w:type="spellStart"/>
      <w:r>
        <w:rPr>
          <w:rFonts w:ascii="Times New Roman" w:hAnsi="Times New Roman" w:cs="Times New Roman"/>
        </w:rPr>
        <w:t>Meini</w:t>
      </w:r>
      <w:proofErr w:type="spellEnd"/>
      <w:r>
        <w:rPr>
          <w:rFonts w:ascii="Times New Roman" w:hAnsi="Times New Roman" w:cs="Times New Roman"/>
        </w:rPr>
        <w:t xml:space="preserve"> I; Gallardo García, R.M. (2016) &lt;&lt;</w:t>
      </w:r>
      <w:r w:rsidRPr="001C5823">
        <w:rPr>
          <w:rFonts w:ascii="Times New Roman" w:hAnsi="Times New Roman" w:cs="Times New Roman"/>
          <w:i/>
        </w:rPr>
        <w:t>Lecciones y materiales para el estudio del derecho Penal. Derecho penal. Parte Especial. Volumen I. Tomo III. 2ª Edición</w:t>
      </w:r>
      <w:proofErr w:type="gramStart"/>
      <w:r>
        <w:rPr>
          <w:rFonts w:ascii="Times New Roman" w:hAnsi="Times New Roman" w:cs="Times New Roman"/>
        </w:rPr>
        <w:t>.&gt;</w:t>
      </w:r>
      <w:proofErr w:type="gramEnd"/>
      <w:r>
        <w:rPr>
          <w:rFonts w:ascii="Times New Roman" w:hAnsi="Times New Roman" w:cs="Times New Roman"/>
        </w:rPr>
        <w:t xml:space="preserve">&gt; Madrid. Ed. </w:t>
      </w:r>
      <w:proofErr w:type="spellStart"/>
      <w:r>
        <w:rPr>
          <w:rFonts w:ascii="Times New Roman" w:hAnsi="Times New Roman" w:cs="Times New Roman"/>
        </w:rPr>
        <w:t>Iustel</w:t>
      </w:r>
      <w:proofErr w:type="spellEnd"/>
      <w:r>
        <w:rPr>
          <w:rFonts w:ascii="Times New Roman" w:hAnsi="Times New Roman" w:cs="Times New Roman"/>
        </w:rPr>
        <w:t>. Pp. 376-378</w:t>
      </w:r>
    </w:p>
    <w:p w:rsidR="00A744B6" w:rsidRPr="002F3EC8" w:rsidRDefault="00A744B6" w:rsidP="00050185">
      <w:pPr>
        <w:pStyle w:val="Textonotapie"/>
        <w:rPr>
          <w:rFonts w:ascii="Times New Roman" w:hAnsi="Times New Roman" w:cs="Times New Roman"/>
        </w:rPr>
      </w:pPr>
    </w:p>
  </w:footnote>
  <w:footnote w:id="70">
    <w:p w:rsidR="00A744B6" w:rsidRDefault="00A744B6" w:rsidP="00050185">
      <w:pPr>
        <w:pStyle w:val="Textonotapie"/>
        <w:rPr>
          <w:rFonts w:ascii="Times New Roman" w:hAnsi="Times New Roman" w:cs="Times New Roman"/>
        </w:rPr>
      </w:pPr>
      <w:r w:rsidRPr="001C5823">
        <w:rPr>
          <w:rStyle w:val="Refdenotaalpie"/>
          <w:rFonts w:ascii="Times New Roman" w:hAnsi="Times New Roman" w:cs="Times New Roman"/>
        </w:rPr>
        <w:footnoteRef/>
      </w:r>
      <w:r w:rsidRPr="001C5823">
        <w:rPr>
          <w:rFonts w:ascii="Times New Roman" w:hAnsi="Times New Roman" w:cs="Times New Roman"/>
        </w:rPr>
        <w:t xml:space="preserve"> Serrano Gómez, A; Serrano Maíllo, A; Serrano Tárr</w:t>
      </w:r>
      <w:r>
        <w:rPr>
          <w:rFonts w:ascii="Times New Roman" w:hAnsi="Times New Roman" w:cs="Times New Roman"/>
        </w:rPr>
        <w:t>aga, M.D; Vázquez González, C (2016): &lt;&lt;</w:t>
      </w:r>
      <w:r w:rsidRPr="001C5823">
        <w:rPr>
          <w:rFonts w:ascii="Times New Roman" w:hAnsi="Times New Roman" w:cs="Times New Roman"/>
          <w:i/>
        </w:rPr>
        <w:t>Curso de Derecho penal. Parte Especial</w:t>
      </w:r>
      <w:r>
        <w:rPr>
          <w:rFonts w:ascii="Times New Roman" w:hAnsi="Times New Roman" w:cs="Times New Roman"/>
        </w:rPr>
        <w:t>&gt;&gt;.  Madrid</w:t>
      </w:r>
      <w:r w:rsidRPr="001C5823">
        <w:rPr>
          <w:rFonts w:ascii="Times New Roman" w:hAnsi="Times New Roman" w:cs="Times New Roman"/>
        </w:rPr>
        <w:t xml:space="preserve">. Ed. </w:t>
      </w:r>
      <w:proofErr w:type="spellStart"/>
      <w:r w:rsidRPr="001C5823">
        <w:rPr>
          <w:rFonts w:ascii="Times New Roman" w:hAnsi="Times New Roman" w:cs="Times New Roman"/>
        </w:rPr>
        <w:t>Uned</w:t>
      </w:r>
      <w:proofErr w:type="spellEnd"/>
      <w:r w:rsidRPr="001C5823">
        <w:rPr>
          <w:rFonts w:ascii="Times New Roman" w:hAnsi="Times New Roman" w:cs="Times New Roman"/>
        </w:rPr>
        <w:t xml:space="preserve">.  </w:t>
      </w:r>
    </w:p>
    <w:p w:rsidR="00A744B6" w:rsidRPr="00A068AF" w:rsidRDefault="00A744B6" w:rsidP="00050185">
      <w:pPr>
        <w:pStyle w:val="Textonotapie"/>
        <w:rPr>
          <w:rFonts w:ascii="Times New Roman" w:hAnsi="Times New Roman" w:cs="Times New Roman"/>
        </w:rPr>
      </w:pPr>
    </w:p>
  </w:footnote>
  <w:footnote w:id="71">
    <w:p w:rsidR="00A744B6" w:rsidRPr="0059696D" w:rsidRDefault="00A744B6">
      <w:pPr>
        <w:pStyle w:val="Textonotapie"/>
        <w:rPr>
          <w:rFonts w:ascii="Times New Roman" w:hAnsi="Times New Roman" w:cs="Times New Roman"/>
        </w:rPr>
      </w:pPr>
      <w:r w:rsidRPr="0059696D">
        <w:rPr>
          <w:rStyle w:val="Refdenotaalpie"/>
          <w:rFonts w:ascii="Times New Roman" w:hAnsi="Times New Roman" w:cs="Times New Roman"/>
        </w:rPr>
        <w:footnoteRef/>
      </w:r>
      <w:r w:rsidRPr="0059696D">
        <w:rPr>
          <w:rFonts w:ascii="Times New Roman" w:hAnsi="Times New Roman" w:cs="Times New Roman"/>
        </w:rPr>
        <w:t xml:space="preserve"> Morillas Cueva, L. (Director); Benítez </w:t>
      </w:r>
      <w:proofErr w:type="spellStart"/>
      <w:r w:rsidRPr="0059696D">
        <w:rPr>
          <w:rFonts w:ascii="Times New Roman" w:hAnsi="Times New Roman" w:cs="Times New Roman"/>
        </w:rPr>
        <w:t>Ortúzar</w:t>
      </w:r>
      <w:proofErr w:type="spellEnd"/>
      <w:r w:rsidRPr="0059696D">
        <w:rPr>
          <w:rFonts w:ascii="Times New Roman" w:hAnsi="Times New Roman" w:cs="Times New Roman"/>
        </w:rPr>
        <w:t xml:space="preserve">, I.F: Del Rosal Blasco, B; Olmedo </w:t>
      </w:r>
      <w:proofErr w:type="spellStart"/>
      <w:r w:rsidRPr="0059696D">
        <w:rPr>
          <w:rFonts w:ascii="Times New Roman" w:hAnsi="Times New Roman" w:cs="Times New Roman"/>
        </w:rPr>
        <w:t>Cardenete</w:t>
      </w:r>
      <w:proofErr w:type="spellEnd"/>
      <w:r w:rsidRPr="0059696D">
        <w:rPr>
          <w:rFonts w:ascii="Times New Roman" w:hAnsi="Times New Roman" w:cs="Times New Roman"/>
        </w:rPr>
        <w:t xml:space="preserve">, M; Peris Riera, J; Sainz-Cantero Caparrós, J.E, (2016): &lt;&lt;Sistema de Derecho Penal. Parte Especial. 2ª Edición&gt;&gt;. Madrid. Ed. </w:t>
      </w:r>
      <w:proofErr w:type="spellStart"/>
      <w:r w:rsidRPr="0059696D">
        <w:rPr>
          <w:rFonts w:ascii="Times New Roman" w:hAnsi="Times New Roman" w:cs="Times New Roman"/>
        </w:rPr>
        <w:t>Dykinson</w:t>
      </w:r>
      <w:proofErr w:type="spellEnd"/>
      <w:r w:rsidRPr="0059696D">
        <w:rPr>
          <w:rFonts w:ascii="Times New Roman" w:hAnsi="Times New Roman" w:cs="Times New Roman"/>
        </w:rPr>
        <w:t xml:space="preserve"> S.L</w:t>
      </w:r>
    </w:p>
  </w:footnote>
  <w:footnote w:id="72">
    <w:p w:rsidR="00A744B6" w:rsidRPr="00A068AF" w:rsidRDefault="00A744B6" w:rsidP="00050185">
      <w:pPr>
        <w:pStyle w:val="Textonotapie"/>
        <w:rPr>
          <w:rFonts w:ascii="Times New Roman" w:hAnsi="Times New Roman" w:cs="Times New Roman"/>
        </w:rPr>
      </w:pPr>
      <w:r w:rsidRPr="00A068AF">
        <w:rPr>
          <w:rStyle w:val="Refdenotaalpie"/>
          <w:rFonts w:ascii="Times New Roman" w:hAnsi="Times New Roman" w:cs="Times New Roman"/>
        </w:rPr>
        <w:footnoteRef/>
      </w:r>
      <w:proofErr w:type="spellStart"/>
      <w:r w:rsidRPr="00A068AF">
        <w:rPr>
          <w:rFonts w:ascii="Times New Roman" w:hAnsi="Times New Roman" w:cs="Times New Roman"/>
        </w:rPr>
        <w:t>Terradillos</w:t>
      </w:r>
      <w:proofErr w:type="spellEnd"/>
      <w:r>
        <w:rPr>
          <w:rFonts w:ascii="Times New Roman" w:hAnsi="Times New Roman" w:cs="Times New Roman"/>
        </w:rPr>
        <w:t xml:space="preserve"> </w:t>
      </w:r>
      <w:proofErr w:type="spellStart"/>
      <w:r w:rsidRPr="00A068AF">
        <w:rPr>
          <w:rFonts w:ascii="Times New Roman" w:hAnsi="Times New Roman" w:cs="Times New Roman"/>
        </w:rPr>
        <w:t>Basoco</w:t>
      </w:r>
      <w:proofErr w:type="spellEnd"/>
      <w:r w:rsidRPr="00A068AF">
        <w:rPr>
          <w:rFonts w:ascii="Times New Roman" w:hAnsi="Times New Roman" w:cs="Times New Roman"/>
        </w:rPr>
        <w:t xml:space="preserve">, J. M; Ríos Corbacho, J; </w:t>
      </w:r>
      <w:proofErr w:type="spellStart"/>
      <w:r w:rsidRPr="00A068AF">
        <w:rPr>
          <w:rFonts w:ascii="Times New Roman" w:hAnsi="Times New Roman" w:cs="Times New Roman"/>
        </w:rPr>
        <w:t>Acale</w:t>
      </w:r>
      <w:proofErr w:type="spellEnd"/>
      <w:r>
        <w:rPr>
          <w:rFonts w:ascii="Times New Roman" w:hAnsi="Times New Roman" w:cs="Times New Roman"/>
        </w:rPr>
        <w:t xml:space="preserve"> </w:t>
      </w:r>
      <w:r w:rsidRPr="00A068AF">
        <w:rPr>
          <w:rFonts w:ascii="Times New Roman" w:hAnsi="Times New Roman" w:cs="Times New Roman"/>
        </w:rPr>
        <w:t xml:space="preserve">Sánchez, M; Salinero Alonso, C; </w:t>
      </w:r>
      <w:proofErr w:type="spellStart"/>
      <w:r w:rsidRPr="00A068AF">
        <w:rPr>
          <w:rFonts w:ascii="Times New Roman" w:hAnsi="Times New Roman" w:cs="Times New Roman"/>
        </w:rPr>
        <w:t>Hava</w:t>
      </w:r>
      <w:proofErr w:type="spellEnd"/>
      <w:r w:rsidRPr="00A068AF">
        <w:rPr>
          <w:rFonts w:ascii="Times New Roman" w:hAnsi="Times New Roman" w:cs="Times New Roman"/>
        </w:rPr>
        <w:t xml:space="preserve"> García, E; González Agudelo, G; Rodríguez Mesa, M.J; Rodríguez Moro, L; </w:t>
      </w:r>
      <w:proofErr w:type="spellStart"/>
      <w:r w:rsidRPr="00A068AF">
        <w:rPr>
          <w:rFonts w:ascii="Times New Roman" w:hAnsi="Times New Roman" w:cs="Times New Roman"/>
        </w:rPr>
        <w:t>Meini</w:t>
      </w:r>
      <w:proofErr w:type="spellEnd"/>
      <w:r w:rsidRPr="00A068AF">
        <w:rPr>
          <w:rFonts w:ascii="Times New Roman" w:hAnsi="Times New Roman" w:cs="Times New Roman"/>
        </w:rPr>
        <w:t xml:space="preserve"> I; Gallardo García, R.M. </w:t>
      </w:r>
      <w:r>
        <w:rPr>
          <w:rFonts w:ascii="Times New Roman" w:hAnsi="Times New Roman" w:cs="Times New Roman"/>
        </w:rPr>
        <w:t xml:space="preserve">(2016) </w:t>
      </w:r>
      <w:r w:rsidRPr="00A068AF">
        <w:rPr>
          <w:rFonts w:ascii="Times New Roman" w:hAnsi="Times New Roman" w:cs="Times New Roman"/>
        </w:rPr>
        <w:t>&lt;&lt;</w:t>
      </w:r>
      <w:r w:rsidRPr="00A068AF">
        <w:rPr>
          <w:rFonts w:ascii="Times New Roman" w:hAnsi="Times New Roman" w:cs="Times New Roman"/>
          <w:i/>
        </w:rPr>
        <w:t>Lecciones y materiales para el estudio del derecho Penal. Derecho penal. Parte Especial. Volumen I. Tomo III. 2ª Edición</w:t>
      </w:r>
      <w:proofErr w:type="gramStart"/>
      <w:r w:rsidRPr="00A068AF">
        <w:rPr>
          <w:rFonts w:ascii="Times New Roman" w:hAnsi="Times New Roman" w:cs="Times New Roman"/>
          <w:i/>
        </w:rPr>
        <w:t>.</w:t>
      </w:r>
      <w:r>
        <w:rPr>
          <w:rFonts w:ascii="Times New Roman" w:hAnsi="Times New Roman" w:cs="Times New Roman"/>
        </w:rPr>
        <w:t>&gt;</w:t>
      </w:r>
      <w:proofErr w:type="gramEnd"/>
      <w:r>
        <w:rPr>
          <w:rFonts w:ascii="Times New Roman" w:hAnsi="Times New Roman" w:cs="Times New Roman"/>
        </w:rPr>
        <w:t>&gt; Madrid</w:t>
      </w:r>
      <w:r w:rsidRPr="00A068AF">
        <w:rPr>
          <w:rFonts w:ascii="Times New Roman" w:hAnsi="Times New Roman" w:cs="Times New Roman"/>
        </w:rPr>
        <w:t xml:space="preserve">. Ed. </w:t>
      </w:r>
      <w:proofErr w:type="spellStart"/>
      <w:r w:rsidRPr="00A068AF">
        <w:rPr>
          <w:rFonts w:ascii="Times New Roman" w:hAnsi="Times New Roman" w:cs="Times New Roman"/>
        </w:rPr>
        <w:t>Iustel</w:t>
      </w:r>
      <w:proofErr w:type="spellEnd"/>
      <w:r w:rsidRPr="00A068AF">
        <w:rPr>
          <w:rFonts w:ascii="Times New Roman" w:hAnsi="Times New Roman" w:cs="Times New Roman"/>
        </w:rPr>
        <w:t>. Pp.</w:t>
      </w:r>
      <w:r>
        <w:rPr>
          <w:rFonts w:ascii="Times New Roman" w:hAnsi="Times New Roman" w:cs="Times New Roman"/>
        </w:rPr>
        <w:t xml:space="preserve"> 380</w:t>
      </w:r>
    </w:p>
  </w:footnote>
  <w:footnote w:id="73">
    <w:p w:rsidR="00A744B6" w:rsidRDefault="00A744B6" w:rsidP="00050185">
      <w:pPr>
        <w:pStyle w:val="Textonotapie"/>
        <w:rPr>
          <w:rFonts w:ascii="Times New Roman" w:hAnsi="Times New Roman" w:cs="Times New Roman"/>
        </w:rPr>
      </w:pPr>
      <w:r w:rsidRPr="005917AF">
        <w:rPr>
          <w:rStyle w:val="Refdenotaalpie"/>
          <w:rFonts w:ascii="Times New Roman" w:hAnsi="Times New Roman" w:cs="Times New Roman"/>
        </w:rPr>
        <w:footnoteRef/>
      </w:r>
      <w:r>
        <w:rPr>
          <w:rFonts w:ascii="Times New Roman" w:hAnsi="Times New Roman" w:cs="Times New Roman"/>
        </w:rPr>
        <w:t xml:space="preserve">Sentencia del </w:t>
      </w:r>
      <w:r w:rsidRPr="005917AF">
        <w:rPr>
          <w:rFonts w:ascii="Times New Roman" w:hAnsi="Times New Roman" w:cs="Times New Roman"/>
          <w:bCs/>
        </w:rPr>
        <w:t>Tribunal Supremo (Sala de lo Penal, Sección1ª)</w:t>
      </w:r>
      <w:r>
        <w:rPr>
          <w:rFonts w:ascii="Times New Roman" w:hAnsi="Times New Roman" w:cs="Times New Roman"/>
        </w:rPr>
        <w:t xml:space="preserve"> núm. </w:t>
      </w:r>
      <w:r w:rsidRPr="005917AF">
        <w:rPr>
          <w:rFonts w:ascii="Times New Roman" w:hAnsi="Times New Roman" w:cs="Times New Roman"/>
        </w:rPr>
        <w:t>595/2016 de 6 julio. RJ 2016\3369</w:t>
      </w:r>
      <w:r>
        <w:rPr>
          <w:rFonts w:ascii="Times New Roman" w:hAnsi="Times New Roman" w:cs="Times New Roman"/>
        </w:rPr>
        <w:t xml:space="preserve">. Véase en </w:t>
      </w:r>
      <w:hyperlink r:id="rId13" w:history="1">
        <w:r w:rsidRPr="00F30ED4">
          <w:rPr>
            <w:rStyle w:val="Hipervnculo"/>
            <w:rFonts w:ascii="Times New Roman" w:hAnsi="Times New Roman" w:cs="Times New Roman"/>
          </w:rPr>
          <w:t>http://0-aranzadi.aranzadidigital.es.avalos.ujaen.es/maf/app/document?tid=&amp;docguid=Ia5fa1b304dc011e69acb010000000000&amp;base-guids=RJ\2016\3369&amp;fexid=flag-red-juris&amp;fexid=flag-yellow-juris&amp;fexid=flag-blue-juris&amp;fexid=DO-ANA-25&amp;fexid=DO-ANA-23&amp;srguid=i0ad82d9b0000015bf7d45cd0a5d52dc8&amp;th=Penal&amp;guid=Id0145390b6e311e18b74010000000000&amp;src=withinResuts&amp;spos=49&amp;epos=49</w:t>
        </w:r>
      </w:hyperlink>
    </w:p>
    <w:p w:rsidR="00A744B6" w:rsidRPr="005917AF" w:rsidRDefault="00A744B6" w:rsidP="00050185">
      <w:pPr>
        <w:pStyle w:val="Textonotapie"/>
        <w:rPr>
          <w:rFonts w:ascii="Times New Roman" w:hAnsi="Times New Roman" w:cs="Times New Roman"/>
        </w:rPr>
      </w:pPr>
    </w:p>
  </w:footnote>
  <w:footnote w:id="74">
    <w:p w:rsidR="00A744B6" w:rsidRPr="00AB7E26" w:rsidRDefault="00A744B6" w:rsidP="00050185">
      <w:pPr>
        <w:pStyle w:val="Textonotapie"/>
        <w:rPr>
          <w:rFonts w:ascii="Times New Roman" w:hAnsi="Times New Roman" w:cs="Times New Roman"/>
        </w:rPr>
      </w:pPr>
      <w:r w:rsidRPr="00AB7E26">
        <w:rPr>
          <w:rStyle w:val="Refdenotaalpie"/>
          <w:rFonts w:ascii="Times New Roman" w:hAnsi="Times New Roman" w:cs="Times New Roman"/>
        </w:rPr>
        <w:footnoteRef/>
      </w:r>
      <w:r w:rsidRPr="00AB7E26">
        <w:rPr>
          <w:rFonts w:ascii="Times New Roman" w:hAnsi="Times New Roman" w:cs="Times New Roman"/>
        </w:rPr>
        <w:t xml:space="preserve"> </w:t>
      </w:r>
      <w:r>
        <w:rPr>
          <w:rFonts w:ascii="Times New Roman" w:hAnsi="Times New Roman" w:cs="Times New Roman"/>
        </w:rPr>
        <w:t xml:space="preserve">De </w:t>
      </w:r>
      <w:r w:rsidRPr="00AB7E26">
        <w:rPr>
          <w:rFonts w:ascii="Times New Roman" w:hAnsi="Times New Roman" w:cs="Times New Roman"/>
        </w:rPr>
        <w:t xml:space="preserve">Vicente Martínez, R. </w:t>
      </w:r>
      <w:r>
        <w:rPr>
          <w:rFonts w:ascii="Times New Roman" w:hAnsi="Times New Roman" w:cs="Times New Roman"/>
        </w:rPr>
        <w:t xml:space="preserve">(2011) </w:t>
      </w:r>
      <w:r w:rsidRPr="00AB7E26">
        <w:rPr>
          <w:rFonts w:ascii="Times New Roman" w:hAnsi="Times New Roman" w:cs="Times New Roman"/>
        </w:rPr>
        <w:t>&lt;&lt;</w:t>
      </w:r>
      <w:r w:rsidRPr="00AB7E26">
        <w:rPr>
          <w:rFonts w:ascii="Times New Roman" w:hAnsi="Times New Roman" w:cs="Times New Roman"/>
          <w:i/>
        </w:rPr>
        <w:t>Los</w:t>
      </w:r>
      <w:r w:rsidRPr="00AB7E26">
        <w:rPr>
          <w:rFonts w:ascii="Times New Roman" w:hAnsi="Times New Roman" w:cs="Times New Roman"/>
        </w:rPr>
        <w:t xml:space="preserve"> </w:t>
      </w:r>
      <w:r w:rsidRPr="00AB7E26">
        <w:rPr>
          <w:rFonts w:ascii="Times New Roman" w:hAnsi="Times New Roman" w:cs="Times New Roman"/>
          <w:i/>
        </w:rPr>
        <w:t>delitos de robo. Estudio doctrinal introductorio. Problemática jurisprudencial ordenada y sistematizada. Casos prácticos. Normativa reguladora</w:t>
      </w:r>
      <w:r>
        <w:rPr>
          <w:rFonts w:ascii="Times New Roman" w:hAnsi="Times New Roman" w:cs="Times New Roman"/>
        </w:rPr>
        <w:t>&gt;&gt; Barcelona</w:t>
      </w:r>
      <w:r w:rsidRPr="00AB7E26">
        <w:rPr>
          <w:rFonts w:ascii="Times New Roman" w:hAnsi="Times New Roman" w:cs="Times New Roman"/>
        </w:rPr>
        <w:t>.</w:t>
      </w:r>
      <w:r>
        <w:rPr>
          <w:rFonts w:ascii="Times New Roman" w:hAnsi="Times New Roman" w:cs="Times New Roman"/>
        </w:rPr>
        <w:t xml:space="preserve">         </w:t>
      </w:r>
      <w:r w:rsidRPr="00AB7E26">
        <w:rPr>
          <w:rFonts w:ascii="Times New Roman" w:hAnsi="Times New Roman" w:cs="Times New Roman"/>
        </w:rPr>
        <w:t xml:space="preserve"> Ed. Bosch</w:t>
      </w:r>
      <w:r>
        <w:rPr>
          <w:rFonts w:ascii="Times New Roman" w:hAnsi="Times New Roman" w:cs="Times New Roman"/>
        </w:rPr>
        <w:t>. SAP Cantabria número 2019/2005 del 14 de febrero de 2005</w:t>
      </w:r>
    </w:p>
  </w:footnote>
  <w:footnote w:id="75">
    <w:p w:rsidR="00A744B6" w:rsidRPr="00FF5A57" w:rsidRDefault="00A744B6" w:rsidP="00050185">
      <w:pPr>
        <w:pStyle w:val="Textonotapie"/>
        <w:jc w:val="both"/>
        <w:rPr>
          <w:rFonts w:ascii="Times New Roman" w:hAnsi="Times New Roman" w:cs="Times New Roman"/>
        </w:rPr>
      </w:pPr>
      <w:r w:rsidRPr="00FF5A57">
        <w:rPr>
          <w:rStyle w:val="Refdenotaalpie"/>
          <w:rFonts w:ascii="Times New Roman" w:hAnsi="Times New Roman" w:cs="Times New Roman"/>
        </w:rPr>
        <w:footnoteRef/>
      </w:r>
      <w:r w:rsidRPr="00FF5A57">
        <w:rPr>
          <w:rFonts w:ascii="Times New Roman" w:hAnsi="Times New Roman" w:cs="Times New Roman"/>
        </w:rPr>
        <w:t xml:space="preserve"> </w:t>
      </w:r>
      <w:r>
        <w:rPr>
          <w:rFonts w:ascii="Times New Roman" w:hAnsi="Times New Roman" w:cs="Times New Roman"/>
        </w:rPr>
        <w:t xml:space="preserve">De </w:t>
      </w:r>
      <w:r w:rsidRPr="00FF5A57">
        <w:rPr>
          <w:rFonts w:ascii="Times New Roman" w:hAnsi="Times New Roman" w:cs="Times New Roman"/>
        </w:rPr>
        <w:t xml:space="preserve">Vicente Martínez, R. </w:t>
      </w:r>
      <w:r>
        <w:rPr>
          <w:rFonts w:ascii="Times New Roman" w:hAnsi="Times New Roman" w:cs="Times New Roman"/>
        </w:rPr>
        <w:t xml:space="preserve">(2011) </w:t>
      </w:r>
      <w:r w:rsidRPr="00FF5A57">
        <w:rPr>
          <w:rFonts w:ascii="Times New Roman" w:hAnsi="Times New Roman" w:cs="Times New Roman"/>
        </w:rPr>
        <w:t>&lt;&lt;</w:t>
      </w:r>
      <w:r w:rsidRPr="00FF5A57">
        <w:rPr>
          <w:rFonts w:ascii="Times New Roman" w:hAnsi="Times New Roman" w:cs="Times New Roman"/>
          <w:i/>
        </w:rPr>
        <w:t>Los delitos de robo. Estudio doctrinal introductorio. Problemática jurisprudencial ordenada y sistematizada. Casos prácticos. Normativa reguladora</w:t>
      </w:r>
      <w:r>
        <w:rPr>
          <w:rFonts w:ascii="Times New Roman" w:hAnsi="Times New Roman" w:cs="Times New Roman"/>
        </w:rPr>
        <w:t>&gt;&gt; Barcelona</w:t>
      </w:r>
      <w:r w:rsidRPr="00FF5A57">
        <w:rPr>
          <w:rFonts w:ascii="Times New Roman" w:hAnsi="Times New Roman" w:cs="Times New Roman"/>
        </w:rPr>
        <w:t>.</w:t>
      </w:r>
      <w:r>
        <w:rPr>
          <w:rFonts w:ascii="Times New Roman" w:hAnsi="Times New Roman" w:cs="Times New Roman"/>
        </w:rPr>
        <w:t xml:space="preserve">         </w:t>
      </w:r>
      <w:r w:rsidRPr="00FF5A57">
        <w:rPr>
          <w:rFonts w:ascii="Times New Roman" w:hAnsi="Times New Roman" w:cs="Times New Roman"/>
        </w:rPr>
        <w:t xml:space="preserve"> Ed. Bosch</w:t>
      </w:r>
      <w:r>
        <w:rPr>
          <w:rFonts w:ascii="Times New Roman" w:hAnsi="Times New Roman" w:cs="Times New Roman"/>
        </w:rPr>
        <w:t>. SAP Lleida número 413/2008 del 21 de Noviembre de 2008</w:t>
      </w:r>
    </w:p>
  </w:footnote>
  <w:footnote w:id="76">
    <w:p w:rsidR="00A744B6" w:rsidRPr="00F03036" w:rsidRDefault="00A744B6" w:rsidP="00050185">
      <w:pPr>
        <w:pStyle w:val="Textonotapie"/>
        <w:jc w:val="both"/>
        <w:rPr>
          <w:rFonts w:ascii="Times New Roman" w:hAnsi="Times New Roman" w:cs="Times New Roman"/>
        </w:rPr>
      </w:pPr>
      <w:r w:rsidRPr="00F03036">
        <w:rPr>
          <w:rStyle w:val="Refdenotaalpie"/>
          <w:rFonts w:ascii="Times New Roman" w:hAnsi="Times New Roman" w:cs="Times New Roman"/>
        </w:rPr>
        <w:footnoteRef/>
      </w:r>
      <w:r w:rsidRPr="00F03036">
        <w:rPr>
          <w:rFonts w:ascii="Times New Roman" w:hAnsi="Times New Roman" w:cs="Times New Roman"/>
        </w:rPr>
        <w:t xml:space="preserve"> Véase en la Ley Orgánica 1/2015, de 30 de marzo, por la que se modifica la Ley Orgánica 10/1995, de 23 de noviembre, del Código Penal (BOE núm.77, de 31 de Marzo) en concr</w:t>
      </w:r>
      <w:r>
        <w:rPr>
          <w:rFonts w:ascii="Times New Roman" w:hAnsi="Times New Roman" w:cs="Times New Roman"/>
        </w:rPr>
        <w:t>eto se modificó el apartado 2 de este articulo 240.</w:t>
      </w:r>
    </w:p>
  </w:footnote>
  <w:footnote w:id="77">
    <w:p w:rsidR="00A744B6" w:rsidRPr="00DB4A54" w:rsidRDefault="00A744B6">
      <w:pPr>
        <w:pStyle w:val="Textonotapie"/>
        <w:rPr>
          <w:rFonts w:ascii="Times New Roman" w:hAnsi="Times New Roman" w:cs="Times New Roman"/>
        </w:rPr>
      </w:pPr>
      <w:r w:rsidRPr="00DB4A54">
        <w:rPr>
          <w:rStyle w:val="Refdenotaalpie"/>
          <w:rFonts w:ascii="Times New Roman" w:hAnsi="Times New Roman" w:cs="Times New Roman"/>
        </w:rPr>
        <w:footnoteRef/>
      </w:r>
      <w:r w:rsidRPr="00DB4A54">
        <w:rPr>
          <w:rFonts w:ascii="Times New Roman" w:hAnsi="Times New Roman" w:cs="Times New Roman"/>
        </w:rPr>
        <w:t xml:space="preserve"> Morillas Cueva, L. (Director); Benítez </w:t>
      </w:r>
      <w:proofErr w:type="spellStart"/>
      <w:r w:rsidRPr="00DB4A54">
        <w:rPr>
          <w:rFonts w:ascii="Times New Roman" w:hAnsi="Times New Roman" w:cs="Times New Roman"/>
        </w:rPr>
        <w:t>Ortúzar</w:t>
      </w:r>
      <w:proofErr w:type="spellEnd"/>
      <w:r w:rsidRPr="00DB4A54">
        <w:rPr>
          <w:rFonts w:ascii="Times New Roman" w:hAnsi="Times New Roman" w:cs="Times New Roman"/>
        </w:rPr>
        <w:t xml:space="preserve">, I.F: Del Rosal Blasco, B; Olmedo </w:t>
      </w:r>
      <w:proofErr w:type="spellStart"/>
      <w:r w:rsidRPr="00DB4A54">
        <w:rPr>
          <w:rFonts w:ascii="Times New Roman" w:hAnsi="Times New Roman" w:cs="Times New Roman"/>
        </w:rPr>
        <w:t>Cardenete</w:t>
      </w:r>
      <w:proofErr w:type="spellEnd"/>
      <w:r w:rsidRPr="00DB4A54">
        <w:rPr>
          <w:rFonts w:ascii="Times New Roman" w:hAnsi="Times New Roman" w:cs="Times New Roman"/>
        </w:rPr>
        <w:t xml:space="preserve">, M; Peris Riera, J; Sainz-Cantero Caparrós, J.E, (2016): &lt;&lt;Sistema de Derecho Penal. Parte Especial. 2ª Edición&gt;&gt;. Madrid. Ed. </w:t>
      </w:r>
      <w:proofErr w:type="spellStart"/>
      <w:r w:rsidRPr="00DB4A54">
        <w:rPr>
          <w:rFonts w:ascii="Times New Roman" w:hAnsi="Times New Roman" w:cs="Times New Roman"/>
        </w:rPr>
        <w:t>Dykinson</w:t>
      </w:r>
      <w:proofErr w:type="spellEnd"/>
      <w:r w:rsidRPr="00DB4A54">
        <w:rPr>
          <w:rFonts w:ascii="Times New Roman" w:hAnsi="Times New Roman" w:cs="Times New Roman"/>
        </w:rPr>
        <w:t xml:space="preserve"> S.L</w:t>
      </w:r>
      <w:r>
        <w:rPr>
          <w:rFonts w:ascii="Times New Roman" w:hAnsi="Times New Roman" w:cs="Times New Roman"/>
        </w:rPr>
        <w:t>. pp.457</w:t>
      </w:r>
    </w:p>
  </w:footnote>
  <w:footnote w:id="78">
    <w:p w:rsidR="00A744B6" w:rsidRDefault="00A744B6" w:rsidP="00050185">
      <w:pPr>
        <w:pStyle w:val="Textonotapie"/>
        <w:jc w:val="both"/>
        <w:rPr>
          <w:rFonts w:ascii="Times New Roman" w:hAnsi="Times New Roman" w:cs="Times New Roman"/>
        </w:rPr>
      </w:pPr>
      <w:r w:rsidRPr="00291F45">
        <w:rPr>
          <w:rStyle w:val="Refdenotaalpie"/>
          <w:rFonts w:ascii="Times New Roman" w:hAnsi="Times New Roman" w:cs="Times New Roman"/>
        </w:rPr>
        <w:footnoteRef/>
      </w:r>
      <w:r w:rsidRPr="00291F45">
        <w:rPr>
          <w:rFonts w:ascii="Times New Roman" w:hAnsi="Times New Roman" w:cs="Times New Roman"/>
        </w:rPr>
        <w:t xml:space="preserve"> Véase en la Ley Orgánica 1/2015, de 30 de marzo, por la que se modifica la Ley Orgánica 10/1995, de 23 de noviembre, del Código Penal (BOE núm.77, de 31 de Marzo) en concreto se modificó e</w:t>
      </w:r>
      <w:r>
        <w:rPr>
          <w:rFonts w:ascii="Times New Roman" w:hAnsi="Times New Roman" w:cs="Times New Roman"/>
        </w:rPr>
        <w:t>l artículo 241</w:t>
      </w:r>
      <w:r w:rsidRPr="00291F45">
        <w:rPr>
          <w:rFonts w:ascii="Times New Roman" w:hAnsi="Times New Roman" w:cs="Times New Roman"/>
        </w:rPr>
        <w:t>.</w:t>
      </w:r>
      <w:r>
        <w:rPr>
          <w:rFonts w:ascii="Times New Roman" w:hAnsi="Times New Roman" w:cs="Times New Roman"/>
        </w:rPr>
        <w:t xml:space="preserve"> Este articulo dice así:</w:t>
      </w:r>
    </w:p>
    <w:p w:rsidR="00A744B6" w:rsidRPr="00291F45" w:rsidRDefault="00A744B6" w:rsidP="00050185">
      <w:pPr>
        <w:pStyle w:val="Textonotapie"/>
        <w:jc w:val="both"/>
        <w:rPr>
          <w:rFonts w:ascii="Times New Roman" w:hAnsi="Times New Roman" w:cs="Times New Roman"/>
          <w:i/>
        </w:rPr>
      </w:pPr>
      <w:r>
        <w:rPr>
          <w:rFonts w:ascii="Times New Roman" w:hAnsi="Times New Roman" w:cs="Times New Roman"/>
          <w:b/>
          <w:bCs/>
        </w:rPr>
        <w:t>&lt;&lt;</w:t>
      </w:r>
      <w:r w:rsidRPr="00291F45">
        <w:rPr>
          <w:rFonts w:ascii="Times New Roman" w:hAnsi="Times New Roman" w:cs="Times New Roman"/>
          <w:b/>
          <w:bCs/>
        </w:rPr>
        <w:t>1. </w:t>
      </w:r>
      <w:r w:rsidRPr="00291F45">
        <w:rPr>
          <w:rFonts w:ascii="Times New Roman" w:hAnsi="Times New Roman" w:cs="Times New Roman"/>
          <w:i/>
        </w:rPr>
        <w:t>El robo cometido en casa habitada, edificio o local abiertos al público, o en cualquiera de sus dependencias, se castigará con una pena de prisión de dos a cinco años.</w:t>
      </w:r>
    </w:p>
    <w:p w:rsidR="00A744B6" w:rsidRPr="00291F45" w:rsidRDefault="00A744B6" w:rsidP="00050185">
      <w:pPr>
        <w:pStyle w:val="Textonotapie"/>
        <w:jc w:val="both"/>
        <w:rPr>
          <w:rFonts w:ascii="Times New Roman" w:hAnsi="Times New Roman" w:cs="Times New Roman"/>
          <w:i/>
        </w:rPr>
      </w:pPr>
      <w:r w:rsidRPr="00291F45">
        <w:rPr>
          <w:rFonts w:ascii="Times New Roman" w:hAnsi="Times New Roman" w:cs="Times New Roman"/>
          <w:i/>
        </w:rPr>
        <w:t>Si los hechos se hubieran cometido en un establecimiento abierto al público, o en cualquiera de sus dependencias, fuera de las horas de apertura, se impondrá una pena de prisión de uno a cinco años.</w:t>
      </w:r>
    </w:p>
    <w:p w:rsidR="00A744B6" w:rsidRPr="00291F45" w:rsidRDefault="00A744B6" w:rsidP="00050185">
      <w:pPr>
        <w:pStyle w:val="Textonotapie"/>
        <w:jc w:val="both"/>
        <w:rPr>
          <w:rFonts w:ascii="Times New Roman" w:hAnsi="Times New Roman" w:cs="Times New Roman"/>
          <w:i/>
        </w:rPr>
      </w:pPr>
      <w:r w:rsidRPr="00291F45">
        <w:rPr>
          <w:rFonts w:ascii="Times New Roman" w:hAnsi="Times New Roman" w:cs="Times New Roman"/>
          <w:b/>
          <w:bCs/>
          <w:i/>
        </w:rPr>
        <w:t>2. </w:t>
      </w:r>
      <w:r w:rsidRPr="00291F45">
        <w:rPr>
          <w:rFonts w:ascii="Times New Roman" w:hAnsi="Times New Roman" w:cs="Times New Roman"/>
          <w:i/>
        </w:rPr>
        <w:t>Se considera casa habitada todo albergue que constituya morada de una o más personas, aunque accidentalmente se encuentren ausentes de ella cuando el robo tenga lugar.</w:t>
      </w:r>
    </w:p>
    <w:p w:rsidR="00A744B6" w:rsidRPr="00291F45" w:rsidRDefault="00A744B6" w:rsidP="00050185">
      <w:pPr>
        <w:pStyle w:val="Textonotapie"/>
        <w:jc w:val="both"/>
        <w:rPr>
          <w:rFonts w:ascii="Times New Roman" w:hAnsi="Times New Roman" w:cs="Times New Roman"/>
          <w:i/>
        </w:rPr>
      </w:pPr>
      <w:r w:rsidRPr="00291F45">
        <w:rPr>
          <w:rFonts w:ascii="Times New Roman" w:hAnsi="Times New Roman" w:cs="Times New Roman"/>
          <w:b/>
          <w:bCs/>
          <w:i/>
        </w:rPr>
        <w:t>3. </w:t>
      </w:r>
      <w:r w:rsidRPr="00291F45">
        <w:rPr>
          <w:rFonts w:ascii="Times New Roman" w:hAnsi="Times New Roman" w:cs="Times New Roman"/>
          <w:i/>
        </w:rPr>
        <w:t>Se consideran dependencias de casa habitada o de edificio o local abiertos al público, sus patios, garajes y demás departamentos o sitios cercados y contiguos al edificio y en comunicación interior con él, y con el cual formen una unidad física.</w:t>
      </w:r>
    </w:p>
    <w:p w:rsidR="00A744B6" w:rsidRPr="00FA4728" w:rsidRDefault="00A744B6" w:rsidP="00050185">
      <w:pPr>
        <w:pStyle w:val="Textonotapie"/>
        <w:jc w:val="both"/>
        <w:rPr>
          <w:rFonts w:ascii="Times New Roman" w:hAnsi="Times New Roman" w:cs="Times New Roman"/>
        </w:rPr>
      </w:pPr>
      <w:r w:rsidRPr="00291F45">
        <w:rPr>
          <w:rFonts w:ascii="Times New Roman" w:hAnsi="Times New Roman" w:cs="Times New Roman"/>
          <w:b/>
          <w:bCs/>
          <w:i/>
        </w:rPr>
        <w:t>4. </w:t>
      </w:r>
      <w:r w:rsidRPr="00291F45">
        <w:rPr>
          <w:rFonts w:ascii="Times New Roman" w:hAnsi="Times New Roman" w:cs="Times New Roman"/>
          <w:i/>
        </w:rPr>
        <w:t>Se impondrá una pena de dos a seis años de prisión cuando los hechos a que se refieren los apartados anteriores revistan especial gravedad, atendiendo a la forma de comisión del delito o a los perjuicios ocasionados y, en todo caso, cuando concurra alguna de las circunstancias expresadas en el artículo 235.</w:t>
      </w:r>
      <w:r>
        <w:rPr>
          <w:rFonts w:ascii="Times New Roman" w:hAnsi="Times New Roman" w:cs="Times New Roman"/>
        </w:rPr>
        <w:t>&gt;&gt;</w:t>
      </w:r>
    </w:p>
  </w:footnote>
  <w:footnote w:id="79">
    <w:p w:rsidR="00A744B6" w:rsidRPr="00FA4728" w:rsidRDefault="00A744B6" w:rsidP="00050185">
      <w:pPr>
        <w:pStyle w:val="Textonotapie"/>
        <w:rPr>
          <w:rFonts w:ascii="Times New Roman" w:hAnsi="Times New Roman" w:cs="Times New Roman"/>
        </w:rPr>
      </w:pPr>
      <w:r w:rsidRPr="006A66D0">
        <w:rPr>
          <w:rStyle w:val="Refdenotaalpie"/>
          <w:rFonts w:ascii="Times New Roman" w:hAnsi="Times New Roman" w:cs="Times New Roman"/>
        </w:rPr>
        <w:footnoteRef/>
      </w:r>
      <w:r w:rsidRPr="006A66D0">
        <w:rPr>
          <w:rFonts w:ascii="Times New Roman" w:hAnsi="Times New Roman" w:cs="Times New Roman"/>
        </w:rPr>
        <w:t xml:space="preserve"> Muñoz Conde, F.</w:t>
      </w:r>
      <w:r>
        <w:rPr>
          <w:rFonts w:ascii="Times New Roman" w:hAnsi="Times New Roman" w:cs="Times New Roman"/>
        </w:rPr>
        <w:t xml:space="preserve"> (2015)</w:t>
      </w:r>
      <w:r w:rsidRPr="006A66D0">
        <w:rPr>
          <w:rFonts w:ascii="Times New Roman" w:hAnsi="Times New Roman" w:cs="Times New Roman"/>
        </w:rPr>
        <w:t xml:space="preserve"> &lt;&lt;</w:t>
      </w:r>
      <w:r w:rsidRPr="006A66D0">
        <w:rPr>
          <w:rFonts w:ascii="Times New Roman" w:hAnsi="Times New Roman" w:cs="Times New Roman"/>
          <w:i/>
        </w:rPr>
        <w:t>Derecho Penal. Parte Especial. (20ª Edición, revisada y actualizada y puesta al día conforme a las leyes Orgánicas 1/2015 y 2/2015, de 30 de Marzo)</w:t>
      </w:r>
      <w:r>
        <w:rPr>
          <w:rFonts w:ascii="Times New Roman" w:hAnsi="Times New Roman" w:cs="Times New Roman"/>
        </w:rPr>
        <w:t>&gt;&gt;. Valencia. Ed. Tirant lo Blanch. Pp. 348-350</w:t>
      </w:r>
    </w:p>
  </w:footnote>
  <w:footnote w:id="80">
    <w:p w:rsidR="00A744B6" w:rsidRPr="002B22A2" w:rsidRDefault="00A744B6" w:rsidP="00050185">
      <w:pPr>
        <w:pStyle w:val="Textonotapie"/>
        <w:rPr>
          <w:rFonts w:ascii="Times New Roman" w:hAnsi="Times New Roman" w:cs="Times New Roman"/>
        </w:rPr>
      </w:pPr>
      <w:r w:rsidRPr="002B22A2">
        <w:rPr>
          <w:rStyle w:val="Refdenotaalpie"/>
          <w:rFonts w:ascii="Times New Roman" w:hAnsi="Times New Roman" w:cs="Times New Roman"/>
        </w:rPr>
        <w:footnoteRef/>
      </w:r>
      <w:r>
        <w:rPr>
          <w:rFonts w:ascii="Times New Roman" w:hAnsi="Times New Roman" w:cs="Times New Roman"/>
        </w:rPr>
        <w:t xml:space="preserve">Sentencia del </w:t>
      </w:r>
      <w:r w:rsidRPr="002B22A2">
        <w:rPr>
          <w:rFonts w:ascii="Times New Roman" w:hAnsi="Times New Roman" w:cs="Times New Roman"/>
          <w:bCs/>
        </w:rPr>
        <w:t>Tribunal Supremo (Sala de lo Penal, Sección1ª)</w:t>
      </w:r>
      <w:r w:rsidRPr="002B22A2">
        <w:rPr>
          <w:rFonts w:ascii="Times New Roman" w:hAnsi="Times New Roman" w:cs="Times New Roman"/>
        </w:rPr>
        <w:t xml:space="preserve"> núm. 972/2016 de 21 diciembre. RJ 2016\6281</w:t>
      </w:r>
      <w:r>
        <w:rPr>
          <w:rFonts w:ascii="Times New Roman" w:hAnsi="Times New Roman" w:cs="Times New Roman"/>
        </w:rPr>
        <w:t xml:space="preserve">. Véase en </w:t>
      </w:r>
      <w:hyperlink r:id="rId14" w:history="1">
        <w:r w:rsidRPr="00F30ED4">
          <w:rPr>
            <w:rStyle w:val="Hipervnculo"/>
            <w:rFonts w:ascii="Times New Roman" w:hAnsi="Times New Roman" w:cs="Times New Roman"/>
          </w:rPr>
          <w:t>http://0-aranzadi.aranzadidigital.es.avalos.ujaen.es/maf/app/document?tid=&amp;docguid=Ic6dd6860ddef11e6a5f8010000000000&amp;base-guids=RJ\2016\6281&amp;fexid=flag-red-juris&amp;fexid=flag-yellow-juris&amp;fexid=flag-blue-juris&amp;fexid=DO-ANA-25&amp;fexid=DO-ANA-23&amp;srguid=i0ad82d9a0000015bf7fe4ada734d888d&amp;th=Penal&amp;guid=Id0145390b6e311e18b74010000000000&amp;src=withinResuts&amp;spos=1&amp;epos=1</w:t>
        </w:r>
      </w:hyperlink>
    </w:p>
  </w:footnote>
  <w:footnote w:id="81">
    <w:p w:rsidR="00A744B6" w:rsidRDefault="00A744B6" w:rsidP="00050185">
      <w:pPr>
        <w:pStyle w:val="Textonotapie"/>
        <w:rPr>
          <w:rFonts w:ascii="Times New Roman" w:hAnsi="Times New Roman" w:cs="Times New Roman"/>
        </w:rPr>
      </w:pPr>
      <w:r w:rsidRPr="002B22A2">
        <w:rPr>
          <w:rStyle w:val="Refdenotaalpie"/>
          <w:rFonts w:ascii="Times New Roman" w:hAnsi="Times New Roman" w:cs="Times New Roman"/>
        </w:rPr>
        <w:footnoteRef/>
      </w:r>
      <w:r>
        <w:rPr>
          <w:rFonts w:ascii="Times New Roman" w:hAnsi="Times New Roman" w:cs="Times New Roman"/>
        </w:rPr>
        <w:t xml:space="preserve">Sentencia del </w:t>
      </w:r>
      <w:r w:rsidRPr="002B22A2">
        <w:rPr>
          <w:rFonts w:ascii="Times New Roman" w:hAnsi="Times New Roman" w:cs="Times New Roman"/>
          <w:bCs/>
        </w:rPr>
        <w:t>Tribunal Supremo (Sala de lo Penal, Sección1ª)</w:t>
      </w:r>
      <w:r w:rsidRPr="002B22A2">
        <w:rPr>
          <w:rFonts w:ascii="Times New Roman" w:hAnsi="Times New Roman" w:cs="Times New Roman"/>
        </w:rPr>
        <w:t xml:space="preserve"> núm. 1024/2011 de 11 octubre. RJ 2011\7483</w:t>
      </w:r>
      <w:r>
        <w:rPr>
          <w:rFonts w:ascii="Times New Roman" w:hAnsi="Times New Roman" w:cs="Times New Roman"/>
        </w:rPr>
        <w:t xml:space="preserve">. Véase en </w:t>
      </w:r>
      <w:hyperlink r:id="rId15" w:history="1">
        <w:r w:rsidRPr="00F30ED4">
          <w:rPr>
            <w:rStyle w:val="Hipervnculo"/>
            <w:rFonts w:ascii="Times New Roman" w:hAnsi="Times New Roman" w:cs="Times New Roman"/>
          </w:rPr>
          <w:t>http://0-aranzadi.aranzadidigital.es.avalos.ujaen.es/maf/app/document?tid=&amp;docguid=I7c2711f0075711e1a742010000000000&amp;base-guids=RJ\2011\7483&amp;fexid=flag-red-juris&amp;fexid=flag-yellow-juris&amp;fexid=flag-blue-juris&amp;fexid=DO-ANA-25&amp;fexid=DO-ANA-23&amp;srguid=i0ad82d9a0000015bf7fe4ada734d888d&amp;th=Penal&amp;guid=Id0145390b6e311e18b74010000000000&amp;src=withinResuts&amp;spos=128&amp;epos=128</w:t>
        </w:r>
      </w:hyperlink>
    </w:p>
    <w:p w:rsidR="00A744B6" w:rsidRDefault="00A744B6" w:rsidP="00050185">
      <w:pPr>
        <w:pStyle w:val="Textonotapie"/>
      </w:pPr>
    </w:p>
  </w:footnote>
  <w:footnote w:id="82">
    <w:p w:rsidR="00A744B6" w:rsidRPr="00FF5A57" w:rsidRDefault="00A744B6" w:rsidP="00050185">
      <w:pPr>
        <w:pStyle w:val="Textonotapie"/>
        <w:rPr>
          <w:rFonts w:ascii="Times New Roman" w:hAnsi="Times New Roman" w:cs="Times New Roman"/>
        </w:rPr>
      </w:pPr>
      <w:r w:rsidRPr="00FF5A57">
        <w:rPr>
          <w:rStyle w:val="Refdenotaalpie"/>
          <w:rFonts w:ascii="Times New Roman" w:hAnsi="Times New Roman" w:cs="Times New Roman"/>
        </w:rPr>
        <w:footnoteRef/>
      </w:r>
      <w:r w:rsidRPr="00FF5A57">
        <w:rPr>
          <w:rFonts w:ascii="Times New Roman" w:hAnsi="Times New Roman" w:cs="Times New Roman"/>
        </w:rPr>
        <w:t xml:space="preserve"> </w:t>
      </w:r>
      <w:r>
        <w:rPr>
          <w:rFonts w:ascii="Times New Roman" w:hAnsi="Times New Roman" w:cs="Times New Roman"/>
        </w:rPr>
        <w:t xml:space="preserve">De </w:t>
      </w:r>
      <w:r w:rsidRPr="00FF5A57">
        <w:rPr>
          <w:rFonts w:ascii="Times New Roman" w:hAnsi="Times New Roman" w:cs="Times New Roman"/>
        </w:rPr>
        <w:t xml:space="preserve">Vicente Martínez, R. </w:t>
      </w:r>
      <w:r>
        <w:rPr>
          <w:rFonts w:ascii="Times New Roman" w:hAnsi="Times New Roman" w:cs="Times New Roman"/>
        </w:rPr>
        <w:t xml:space="preserve">(2011) </w:t>
      </w:r>
      <w:r w:rsidRPr="00FF5A57">
        <w:rPr>
          <w:rFonts w:ascii="Times New Roman" w:hAnsi="Times New Roman" w:cs="Times New Roman"/>
        </w:rPr>
        <w:t>&lt;&lt;</w:t>
      </w:r>
      <w:r w:rsidRPr="00FF5A57">
        <w:rPr>
          <w:rFonts w:ascii="Times New Roman" w:hAnsi="Times New Roman" w:cs="Times New Roman"/>
          <w:i/>
        </w:rPr>
        <w:t>Los delitos de robo. Estudio doctrinal introductorio. Problemática jurisprudencial ordenada y sistematizada. Casos prácticos. Normativa reguladora</w:t>
      </w:r>
      <w:r>
        <w:rPr>
          <w:rFonts w:ascii="Times New Roman" w:hAnsi="Times New Roman" w:cs="Times New Roman"/>
        </w:rPr>
        <w:t>&gt;&gt; Barcelona</w:t>
      </w:r>
      <w:r w:rsidRPr="00FF5A57">
        <w:rPr>
          <w:rFonts w:ascii="Times New Roman" w:hAnsi="Times New Roman" w:cs="Times New Roman"/>
        </w:rPr>
        <w:t>.</w:t>
      </w:r>
      <w:r>
        <w:rPr>
          <w:rFonts w:ascii="Times New Roman" w:hAnsi="Times New Roman" w:cs="Times New Roman"/>
        </w:rPr>
        <w:t xml:space="preserve">         </w:t>
      </w:r>
      <w:r w:rsidRPr="00FF5A57">
        <w:rPr>
          <w:rFonts w:ascii="Times New Roman" w:hAnsi="Times New Roman" w:cs="Times New Roman"/>
        </w:rPr>
        <w:t xml:space="preserve"> Ed. Bosch</w:t>
      </w:r>
      <w:r>
        <w:rPr>
          <w:rFonts w:ascii="Times New Roman" w:hAnsi="Times New Roman" w:cs="Times New Roman"/>
        </w:rPr>
        <w:t>. Sentencia del Tribunal Supremo número 1465/2006, de 21 de Junio de 2006.</w:t>
      </w:r>
    </w:p>
  </w:footnote>
  <w:footnote w:id="83">
    <w:p w:rsidR="00A744B6" w:rsidRPr="007F2745" w:rsidRDefault="00A744B6" w:rsidP="00050185">
      <w:pPr>
        <w:pStyle w:val="Textonotapie"/>
        <w:rPr>
          <w:rFonts w:ascii="Times New Roman" w:hAnsi="Times New Roman" w:cs="Times New Roman"/>
        </w:rPr>
      </w:pPr>
      <w:r w:rsidRPr="007F2745">
        <w:rPr>
          <w:rStyle w:val="Refdenotaalpie"/>
          <w:rFonts w:ascii="Times New Roman" w:hAnsi="Times New Roman" w:cs="Times New Roman"/>
        </w:rPr>
        <w:footnoteRef/>
      </w:r>
      <w:r w:rsidRPr="007F2745">
        <w:rPr>
          <w:rFonts w:ascii="Times New Roman" w:hAnsi="Times New Roman" w:cs="Times New Roman"/>
        </w:rPr>
        <w:t xml:space="preserve"> Serrano Gómez, A; Serrano Maíllo, A; Serrano Tárraga, M.D; Vázquez González, C</w:t>
      </w:r>
      <w:r>
        <w:rPr>
          <w:rFonts w:ascii="Times New Roman" w:hAnsi="Times New Roman" w:cs="Times New Roman"/>
        </w:rPr>
        <w:t xml:space="preserve"> (2016)</w:t>
      </w:r>
      <w:proofErr w:type="gramStart"/>
      <w:r>
        <w:rPr>
          <w:rFonts w:ascii="Times New Roman" w:hAnsi="Times New Roman" w:cs="Times New Roman"/>
        </w:rPr>
        <w:t>:  &lt;</w:t>
      </w:r>
      <w:proofErr w:type="gramEnd"/>
      <w:r>
        <w:rPr>
          <w:rFonts w:ascii="Times New Roman" w:hAnsi="Times New Roman" w:cs="Times New Roman"/>
        </w:rPr>
        <w:t>&lt;</w:t>
      </w:r>
      <w:r w:rsidRPr="007F2745">
        <w:rPr>
          <w:rFonts w:ascii="Times New Roman" w:hAnsi="Times New Roman" w:cs="Times New Roman"/>
          <w:i/>
        </w:rPr>
        <w:t>Curso de Derecho penal. Parte Especial</w:t>
      </w:r>
      <w:r>
        <w:rPr>
          <w:rFonts w:ascii="Times New Roman" w:hAnsi="Times New Roman" w:cs="Times New Roman"/>
        </w:rPr>
        <w:t>&gt;&gt;.  Madrid</w:t>
      </w:r>
      <w:r w:rsidRPr="007F2745">
        <w:rPr>
          <w:rFonts w:ascii="Times New Roman" w:hAnsi="Times New Roman" w:cs="Times New Roman"/>
        </w:rPr>
        <w:t xml:space="preserve">. Ed. </w:t>
      </w:r>
      <w:proofErr w:type="spellStart"/>
      <w:r w:rsidRPr="007F2745">
        <w:rPr>
          <w:rFonts w:ascii="Times New Roman" w:hAnsi="Times New Roman" w:cs="Times New Roman"/>
        </w:rPr>
        <w:t>Uned</w:t>
      </w:r>
      <w:proofErr w:type="spellEnd"/>
      <w:r w:rsidRPr="007F2745">
        <w:rPr>
          <w:rFonts w:ascii="Times New Roman" w:hAnsi="Times New Roman" w:cs="Times New Roman"/>
        </w:rPr>
        <w:t>.</w:t>
      </w:r>
    </w:p>
  </w:footnote>
  <w:footnote w:id="84">
    <w:p w:rsidR="00A744B6" w:rsidRPr="00EF4C19" w:rsidRDefault="00A744B6" w:rsidP="00050185">
      <w:pPr>
        <w:pStyle w:val="Textonotapie"/>
        <w:rPr>
          <w:rFonts w:ascii="Times New Roman" w:hAnsi="Times New Roman" w:cs="Times New Roman"/>
        </w:rPr>
      </w:pPr>
      <w:r w:rsidRPr="003F036D">
        <w:rPr>
          <w:rStyle w:val="Refdenotaalpie"/>
          <w:rFonts w:ascii="Times New Roman" w:hAnsi="Times New Roman" w:cs="Times New Roman"/>
        </w:rPr>
        <w:footnoteRef/>
      </w:r>
      <w:r w:rsidRPr="003F036D">
        <w:rPr>
          <w:rFonts w:ascii="Times New Roman" w:hAnsi="Times New Roman" w:cs="Times New Roman"/>
        </w:rPr>
        <w:t xml:space="preserve"> Véase en la Ley Orgánica 1/2015, de 30 de marzo, por la que se modifica la Ley Orgánica 10/1995, de 23 de noviembre, del Código Penal (BOE núm.77, de 31 de Marzo) en concreto se </w:t>
      </w:r>
      <w:r>
        <w:rPr>
          <w:rFonts w:ascii="Times New Roman" w:hAnsi="Times New Roman" w:cs="Times New Roman"/>
        </w:rPr>
        <w:t>modificó el artículo 203. Sin embargo los artículos 202 y 204 no fueron  modificados, los podemos ver en la Ley Orgánica 10/1995, de 23 de noviembre del Código Penal.</w:t>
      </w:r>
    </w:p>
  </w:footnote>
  <w:footnote w:id="85">
    <w:p w:rsidR="00A744B6" w:rsidRPr="007B08D4" w:rsidRDefault="00A744B6" w:rsidP="00050185">
      <w:pPr>
        <w:pStyle w:val="Textonotapie"/>
        <w:jc w:val="both"/>
        <w:rPr>
          <w:rFonts w:ascii="Times New Roman" w:hAnsi="Times New Roman" w:cs="Times New Roman"/>
        </w:rPr>
      </w:pPr>
      <w:r w:rsidRPr="007B08D4">
        <w:rPr>
          <w:rStyle w:val="Refdenotaalpie"/>
          <w:rFonts w:ascii="Times New Roman" w:hAnsi="Times New Roman" w:cs="Times New Roman"/>
        </w:rPr>
        <w:footnoteRef/>
      </w:r>
      <w:r w:rsidRPr="007B08D4">
        <w:rPr>
          <w:rFonts w:ascii="Times New Roman" w:hAnsi="Times New Roman" w:cs="Times New Roman"/>
        </w:rPr>
        <w:t>Véase en la Ley Orgánica 1/2015, de 30 de marzo, por la que se modifica la Ley Orgánica 10/1995, de 23 de noviembre, del Código Penal (BOE núm.77, de 31 de Marzo) en conc</w:t>
      </w:r>
      <w:r>
        <w:rPr>
          <w:rFonts w:ascii="Times New Roman" w:hAnsi="Times New Roman" w:cs="Times New Roman"/>
        </w:rPr>
        <w:t>reto se modificó el apartado 2 del artículo 242</w:t>
      </w:r>
      <w:r w:rsidRPr="007B08D4">
        <w:rPr>
          <w:rFonts w:ascii="Times New Roman" w:hAnsi="Times New Roman" w:cs="Times New Roman"/>
        </w:rPr>
        <w:t>.</w:t>
      </w:r>
    </w:p>
    <w:p w:rsidR="00A744B6" w:rsidRDefault="00A744B6" w:rsidP="00050185">
      <w:pPr>
        <w:pStyle w:val="Textonotapie"/>
      </w:pPr>
    </w:p>
  </w:footnote>
  <w:footnote w:id="86">
    <w:p w:rsidR="00A744B6" w:rsidRPr="00D409B0" w:rsidRDefault="00A744B6">
      <w:pPr>
        <w:pStyle w:val="Textonotapie"/>
        <w:rPr>
          <w:rFonts w:ascii="Times New Roman" w:hAnsi="Times New Roman" w:cs="Times New Roman"/>
        </w:rPr>
      </w:pPr>
      <w:r w:rsidRPr="00D409B0">
        <w:rPr>
          <w:rStyle w:val="Refdenotaalpie"/>
          <w:rFonts w:ascii="Times New Roman" w:hAnsi="Times New Roman" w:cs="Times New Roman"/>
        </w:rPr>
        <w:footnoteRef/>
      </w:r>
      <w:r w:rsidRPr="00D409B0">
        <w:rPr>
          <w:rFonts w:ascii="Times New Roman" w:hAnsi="Times New Roman" w:cs="Times New Roman"/>
        </w:rPr>
        <w:t xml:space="preserve"> González Rus. (2011) &lt;&lt;</w:t>
      </w:r>
      <w:r w:rsidRPr="00D409B0">
        <w:rPr>
          <w:rFonts w:ascii="Times New Roman" w:hAnsi="Times New Roman" w:cs="Times New Roman"/>
          <w:i/>
        </w:rPr>
        <w:t>Sistema de derecho Penal. Parte Especial.</w:t>
      </w:r>
      <w:r w:rsidRPr="00D409B0">
        <w:rPr>
          <w:rFonts w:ascii="Times New Roman" w:hAnsi="Times New Roman" w:cs="Times New Roman"/>
        </w:rPr>
        <w:t xml:space="preserve"> &gt;&gt; </w:t>
      </w:r>
      <w:r w:rsidRPr="00D409B0">
        <w:rPr>
          <w:rFonts w:ascii="Times New Roman" w:hAnsi="Times New Roman" w:cs="Times New Roman"/>
          <w:i/>
        </w:rPr>
        <w:t>Delitos contra el patrimonio y contra el orden socioeconómico (III). Los robos.</w:t>
      </w:r>
    </w:p>
  </w:footnote>
  <w:footnote w:id="87">
    <w:p w:rsidR="00A744B6" w:rsidRDefault="00A744B6">
      <w:pPr>
        <w:pStyle w:val="Textonotapie"/>
        <w:rPr>
          <w:rFonts w:ascii="Times New Roman" w:hAnsi="Times New Roman" w:cs="Times New Roman"/>
        </w:rPr>
      </w:pPr>
      <w:r w:rsidRPr="005E0DEB">
        <w:rPr>
          <w:rStyle w:val="Refdenotaalpie"/>
          <w:rFonts w:ascii="Times New Roman" w:hAnsi="Times New Roman" w:cs="Times New Roman"/>
        </w:rPr>
        <w:footnoteRef/>
      </w:r>
      <w:r w:rsidRPr="005E0DEB">
        <w:rPr>
          <w:rFonts w:ascii="Times New Roman" w:hAnsi="Times New Roman" w:cs="Times New Roman"/>
        </w:rPr>
        <w:t xml:space="preserve"> S</w:t>
      </w:r>
      <w:r>
        <w:rPr>
          <w:rFonts w:ascii="Times New Roman" w:hAnsi="Times New Roman" w:cs="Times New Roman"/>
        </w:rPr>
        <w:t xml:space="preserve">entencia de la Audiencia provincial de Madrid número 82/2011, de 7 de marzo de 2011. Véase en </w:t>
      </w:r>
      <w:hyperlink r:id="rId16" w:history="1">
        <w:r w:rsidRPr="007E3BFD">
          <w:rPr>
            <w:rStyle w:val="Hipervnculo"/>
            <w:rFonts w:ascii="Times New Roman" w:hAnsi="Times New Roman" w:cs="Times New Roman"/>
          </w:rPr>
          <w:t>http://www.poderjudicial.es/search/contenidos.action?action=contentpdf&amp;databasematch=AN&amp;reference=5981864&amp;links=&amp;optimize=20110526&amp;publicinterface=true</w:t>
        </w:r>
      </w:hyperlink>
    </w:p>
    <w:p w:rsidR="00A744B6" w:rsidRPr="005E0DEB" w:rsidRDefault="00A744B6">
      <w:pPr>
        <w:pStyle w:val="Textonotapie"/>
        <w:rPr>
          <w:rFonts w:ascii="Times New Roman" w:hAnsi="Times New Roman" w:cs="Times New Roman"/>
        </w:rPr>
      </w:pPr>
    </w:p>
  </w:footnote>
  <w:footnote w:id="88">
    <w:p w:rsidR="00A744B6" w:rsidRPr="00872E3C" w:rsidRDefault="00A744B6" w:rsidP="00050185">
      <w:pPr>
        <w:pStyle w:val="Textonotapie"/>
        <w:jc w:val="both"/>
        <w:rPr>
          <w:rFonts w:ascii="Times New Roman" w:hAnsi="Times New Roman" w:cs="Times New Roman"/>
        </w:rPr>
      </w:pPr>
      <w:r w:rsidRPr="00872E3C">
        <w:rPr>
          <w:rStyle w:val="Refdenotaalpie"/>
          <w:rFonts w:ascii="Times New Roman" w:hAnsi="Times New Roman" w:cs="Times New Roman"/>
        </w:rPr>
        <w:footnoteRef/>
      </w:r>
      <w:r w:rsidRPr="00872E3C">
        <w:rPr>
          <w:rFonts w:ascii="Times New Roman" w:hAnsi="Times New Roman" w:cs="Times New Roman"/>
        </w:rPr>
        <w:t xml:space="preserve">Muñoz Conde, F. </w:t>
      </w:r>
      <w:r>
        <w:rPr>
          <w:rFonts w:ascii="Times New Roman" w:hAnsi="Times New Roman" w:cs="Times New Roman"/>
        </w:rPr>
        <w:t xml:space="preserve">(2015) </w:t>
      </w:r>
      <w:r w:rsidRPr="00872E3C">
        <w:rPr>
          <w:rFonts w:ascii="Times New Roman" w:hAnsi="Times New Roman" w:cs="Times New Roman"/>
        </w:rPr>
        <w:t>&lt;&lt;</w:t>
      </w:r>
      <w:r w:rsidRPr="00872E3C">
        <w:rPr>
          <w:rFonts w:ascii="Times New Roman" w:hAnsi="Times New Roman" w:cs="Times New Roman"/>
          <w:i/>
        </w:rPr>
        <w:t>Derecho Penal. Parte Especial. (20ª Edición, revisada y actualizada y puesta al día conforme a las leyes Orgánicas 1/2015 y 2/2015, de 30 de Marzo)</w:t>
      </w:r>
      <w:r>
        <w:rPr>
          <w:rFonts w:ascii="Times New Roman" w:hAnsi="Times New Roman" w:cs="Times New Roman"/>
        </w:rPr>
        <w:t>&gt;&gt;. Valencia. Ed. Tirant lo Blanch. pp.356-357</w:t>
      </w:r>
    </w:p>
    <w:p w:rsidR="00A744B6" w:rsidRPr="00872E3C" w:rsidRDefault="00A744B6" w:rsidP="00050185">
      <w:pPr>
        <w:pStyle w:val="Textonotapie"/>
        <w:jc w:val="both"/>
        <w:rPr>
          <w:rFonts w:ascii="Times New Roman" w:hAnsi="Times New Roman" w:cs="Times New Roman"/>
        </w:rPr>
      </w:pPr>
    </w:p>
  </w:footnote>
  <w:footnote w:id="89">
    <w:p w:rsidR="00A744B6" w:rsidRPr="00177F41" w:rsidRDefault="00A744B6" w:rsidP="00050185">
      <w:pPr>
        <w:pStyle w:val="Textonotapie"/>
        <w:jc w:val="both"/>
        <w:rPr>
          <w:rFonts w:ascii="Times New Roman" w:hAnsi="Times New Roman" w:cs="Times New Roman"/>
        </w:rPr>
      </w:pPr>
      <w:r w:rsidRPr="00177F41">
        <w:rPr>
          <w:rStyle w:val="Refdenotaalpie"/>
          <w:rFonts w:ascii="Times New Roman" w:hAnsi="Times New Roman" w:cs="Times New Roman"/>
        </w:rPr>
        <w:footnoteRef/>
      </w:r>
      <w:r w:rsidRPr="00177F41">
        <w:rPr>
          <w:rFonts w:ascii="Times New Roman" w:hAnsi="Times New Roman" w:cs="Times New Roman"/>
        </w:rPr>
        <w:t>Serrano Gómez, A; Serrano Maíllo, A; Serrano Tárraga, M.D; Vázquez González, C</w:t>
      </w:r>
      <w:r>
        <w:rPr>
          <w:rFonts w:ascii="Times New Roman" w:hAnsi="Times New Roman" w:cs="Times New Roman"/>
        </w:rPr>
        <w:t xml:space="preserve"> (2016)</w:t>
      </w:r>
      <w:proofErr w:type="gramStart"/>
      <w:r>
        <w:rPr>
          <w:rFonts w:ascii="Times New Roman" w:hAnsi="Times New Roman" w:cs="Times New Roman"/>
        </w:rPr>
        <w:t>:  &lt;</w:t>
      </w:r>
      <w:proofErr w:type="gramEnd"/>
      <w:r>
        <w:rPr>
          <w:rFonts w:ascii="Times New Roman" w:hAnsi="Times New Roman" w:cs="Times New Roman"/>
        </w:rPr>
        <w:t>&lt;</w:t>
      </w:r>
      <w:r w:rsidRPr="00177F41">
        <w:rPr>
          <w:rFonts w:ascii="Times New Roman" w:hAnsi="Times New Roman" w:cs="Times New Roman"/>
          <w:i/>
        </w:rPr>
        <w:t>Curso de Derecho penal. Parte Especial</w:t>
      </w:r>
      <w:r>
        <w:rPr>
          <w:rFonts w:ascii="Times New Roman" w:hAnsi="Times New Roman" w:cs="Times New Roman"/>
        </w:rPr>
        <w:t>&gt;&gt;.  Madrid</w:t>
      </w:r>
      <w:r w:rsidRPr="00177F41">
        <w:rPr>
          <w:rFonts w:ascii="Times New Roman" w:hAnsi="Times New Roman" w:cs="Times New Roman"/>
        </w:rPr>
        <w:t xml:space="preserve">. Ed. </w:t>
      </w:r>
      <w:proofErr w:type="spellStart"/>
      <w:r w:rsidRPr="00177F41">
        <w:rPr>
          <w:rFonts w:ascii="Times New Roman" w:hAnsi="Times New Roman" w:cs="Times New Roman"/>
        </w:rPr>
        <w:t>Uned</w:t>
      </w:r>
      <w:proofErr w:type="spellEnd"/>
      <w:r w:rsidRPr="00177F41">
        <w:rPr>
          <w:rFonts w:ascii="Times New Roman" w:hAnsi="Times New Roman" w:cs="Times New Roman"/>
        </w:rPr>
        <w:t xml:space="preserve">.  </w:t>
      </w:r>
      <w:r>
        <w:rPr>
          <w:rFonts w:ascii="Times New Roman" w:hAnsi="Times New Roman" w:cs="Times New Roman"/>
        </w:rPr>
        <w:t>Pp.283-284</w:t>
      </w:r>
    </w:p>
    <w:p w:rsidR="00A744B6" w:rsidRDefault="00A744B6" w:rsidP="00050185">
      <w:pPr>
        <w:pStyle w:val="Textonotapie"/>
        <w:jc w:val="both"/>
      </w:pPr>
    </w:p>
  </w:footnote>
  <w:footnote w:id="90">
    <w:p w:rsidR="00A744B6" w:rsidRDefault="00A744B6" w:rsidP="00050185">
      <w:pPr>
        <w:pStyle w:val="Textonotapie"/>
        <w:jc w:val="both"/>
        <w:rPr>
          <w:rFonts w:ascii="Times New Roman" w:hAnsi="Times New Roman" w:cs="Times New Roman"/>
        </w:rPr>
      </w:pPr>
      <w:r w:rsidRPr="005E1648">
        <w:rPr>
          <w:rStyle w:val="Refdenotaalpie"/>
          <w:rFonts w:ascii="Times New Roman" w:hAnsi="Times New Roman" w:cs="Times New Roman"/>
        </w:rPr>
        <w:footnoteRef/>
      </w:r>
      <w:proofErr w:type="spellStart"/>
      <w:r w:rsidRPr="005E1648">
        <w:rPr>
          <w:rFonts w:ascii="Times New Roman" w:hAnsi="Times New Roman" w:cs="Times New Roman"/>
        </w:rPr>
        <w:t>Terradillos</w:t>
      </w:r>
      <w:proofErr w:type="spellEnd"/>
      <w:r>
        <w:rPr>
          <w:rFonts w:ascii="Times New Roman" w:hAnsi="Times New Roman" w:cs="Times New Roman"/>
        </w:rPr>
        <w:t xml:space="preserve"> </w:t>
      </w:r>
      <w:proofErr w:type="spellStart"/>
      <w:r w:rsidRPr="005E1648">
        <w:rPr>
          <w:rFonts w:ascii="Times New Roman" w:hAnsi="Times New Roman" w:cs="Times New Roman"/>
        </w:rPr>
        <w:t>Basoco</w:t>
      </w:r>
      <w:proofErr w:type="spellEnd"/>
      <w:r w:rsidRPr="005E1648">
        <w:rPr>
          <w:rFonts w:ascii="Times New Roman" w:hAnsi="Times New Roman" w:cs="Times New Roman"/>
        </w:rPr>
        <w:t xml:space="preserve">, J. M; Ríos Corbacho, J; </w:t>
      </w:r>
      <w:proofErr w:type="spellStart"/>
      <w:r w:rsidRPr="005E1648">
        <w:rPr>
          <w:rFonts w:ascii="Times New Roman" w:hAnsi="Times New Roman" w:cs="Times New Roman"/>
        </w:rPr>
        <w:t>Acale</w:t>
      </w:r>
      <w:proofErr w:type="spellEnd"/>
      <w:r>
        <w:rPr>
          <w:rFonts w:ascii="Times New Roman" w:hAnsi="Times New Roman" w:cs="Times New Roman"/>
        </w:rPr>
        <w:t xml:space="preserve"> </w:t>
      </w:r>
      <w:r w:rsidRPr="005E1648">
        <w:rPr>
          <w:rFonts w:ascii="Times New Roman" w:hAnsi="Times New Roman" w:cs="Times New Roman"/>
        </w:rPr>
        <w:t xml:space="preserve">Sánchez, M; Salinero Alonso, C; </w:t>
      </w:r>
      <w:proofErr w:type="spellStart"/>
      <w:r w:rsidRPr="005E1648">
        <w:rPr>
          <w:rFonts w:ascii="Times New Roman" w:hAnsi="Times New Roman" w:cs="Times New Roman"/>
        </w:rPr>
        <w:t>Hava</w:t>
      </w:r>
      <w:proofErr w:type="spellEnd"/>
      <w:r w:rsidRPr="005E1648">
        <w:rPr>
          <w:rFonts w:ascii="Times New Roman" w:hAnsi="Times New Roman" w:cs="Times New Roman"/>
        </w:rPr>
        <w:t xml:space="preserve"> García, E; González Agudelo, G; Rodríguez Mesa, M.J; Rodríguez Moro, L; </w:t>
      </w:r>
      <w:proofErr w:type="spellStart"/>
      <w:r w:rsidRPr="005E1648">
        <w:rPr>
          <w:rFonts w:ascii="Times New Roman" w:hAnsi="Times New Roman" w:cs="Times New Roman"/>
        </w:rPr>
        <w:t>Meini</w:t>
      </w:r>
      <w:proofErr w:type="spellEnd"/>
      <w:r w:rsidRPr="005E1648">
        <w:rPr>
          <w:rFonts w:ascii="Times New Roman" w:hAnsi="Times New Roman" w:cs="Times New Roman"/>
        </w:rPr>
        <w:t xml:space="preserve"> I; Gallardo García, R.M. </w:t>
      </w:r>
      <w:r>
        <w:rPr>
          <w:rFonts w:ascii="Times New Roman" w:hAnsi="Times New Roman" w:cs="Times New Roman"/>
        </w:rPr>
        <w:t xml:space="preserve">(2016) </w:t>
      </w:r>
      <w:r w:rsidRPr="005E1648">
        <w:rPr>
          <w:rFonts w:ascii="Times New Roman" w:hAnsi="Times New Roman" w:cs="Times New Roman"/>
        </w:rPr>
        <w:t>&lt;&lt;</w:t>
      </w:r>
      <w:r w:rsidRPr="005E1648">
        <w:rPr>
          <w:rFonts w:ascii="Times New Roman" w:hAnsi="Times New Roman" w:cs="Times New Roman"/>
          <w:i/>
        </w:rPr>
        <w:t>Lecciones y materiales para el estudio del derecho Penal. Derecho penal. Parte Especial. Volumen I. Tomo III. 2ª Edición</w:t>
      </w:r>
      <w:proofErr w:type="gramStart"/>
      <w:r w:rsidRPr="005E1648">
        <w:rPr>
          <w:rFonts w:ascii="Times New Roman" w:hAnsi="Times New Roman" w:cs="Times New Roman"/>
          <w:i/>
        </w:rPr>
        <w:t>.</w:t>
      </w:r>
      <w:r w:rsidRPr="005E1648">
        <w:rPr>
          <w:rFonts w:ascii="Times New Roman" w:hAnsi="Times New Roman" w:cs="Times New Roman"/>
        </w:rPr>
        <w:t>&gt;</w:t>
      </w:r>
      <w:proofErr w:type="gramEnd"/>
      <w:r w:rsidRPr="005E1648">
        <w:rPr>
          <w:rFonts w:ascii="Times New Roman" w:hAnsi="Times New Roman" w:cs="Times New Roman"/>
        </w:rPr>
        <w:t>&gt; Madrid</w:t>
      </w:r>
      <w:r>
        <w:rPr>
          <w:rFonts w:ascii="Times New Roman" w:hAnsi="Times New Roman" w:cs="Times New Roman"/>
        </w:rPr>
        <w:t xml:space="preserve">. Ed. </w:t>
      </w:r>
      <w:proofErr w:type="spellStart"/>
      <w:r>
        <w:rPr>
          <w:rFonts w:ascii="Times New Roman" w:hAnsi="Times New Roman" w:cs="Times New Roman"/>
        </w:rPr>
        <w:t>Iustel</w:t>
      </w:r>
      <w:proofErr w:type="spellEnd"/>
      <w:r>
        <w:rPr>
          <w:rFonts w:ascii="Times New Roman" w:hAnsi="Times New Roman" w:cs="Times New Roman"/>
        </w:rPr>
        <w:t>. Pp. 380-381</w:t>
      </w:r>
    </w:p>
    <w:p w:rsidR="00A744B6" w:rsidRPr="007B08D4" w:rsidRDefault="00A744B6" w:rsidP="00050185">
      <w:pPr>
        <w:pStyle w:val="Textonotapie"/>
        <w:jc w:val="both"/>
        <w:rPr>
          <w:rFonts w:ascii="Times New Roman" w:hAnsi="Times New Roman" w:cs="Times New Roman"/>
        </w:rPr>
      </w:pPr>
    </w:p>
  </w:footnote>
  <w:footnote w:id="91">
    <w:p w:rsidR="00A744B6" w:rsidRDefault="00A744B6" w:rsidP="00050185">
      <w:pPr>
        <w:pStyle w:val="Textonotapie"/>
        <w:jc w:val="both"/>
        <w:rPr>
          <w:rFonts w:ascii="Times New Roman" w:hAnsi="Times New Roman" w:cs="Times New Roman"/>
        </w:rPr>
      </w:pPr>
      <w:r w:rsidRPr="00177F41">
        <w:rPr>
          <w:rStyle w:val="Refdenotaalpie"/>
          <w:rFonts w:ascii="Times New Roman" w:hAnsi="Times New Roman" w:cs="Times New Roman"/>
        </w:rPr>
        <w:footnoteRef/>
      </w:r>
      <w:r w:rsidRPr="00177F41">
        <w:rPr>
          <w:rFonts w:ascii="Times New Roman" w:hAnsi="Times New Roman" w:cs="Times New Roman"/>
        </w:rPr>
        <w:t xml:space="preserve"> Serrano Gómez, A; Serrano Maíllo, A; Serrano Tárraga, M.D; Vázquez González, C</w:t>
      </w:r>
      <w:r>
        <w:rPr>
          <w:rFonts w:ascii="Times New Roman" w:hAnsi="Times New Roman" w:cs="Times New Roman"/>
        </w:rPr>
        <w:t xml:space="preserve"> (2016)</w:t>
      </w:r>
      <w:proofErr w:type="gramStart"/>
      <w:r w:rsidRPr="00177F41">
        <w:rPr>
          <w:rFonts w:ascii="Times New Roman" w:hAnsi="Times New Roman" w:cs="Times New Roman"/>
        </w:rPr>
        <w:t xml:space="preserve">: </w:t>
      </w:r>
      <w:r>
        <w:rPr>
          <w:rFonts w:ascii="Times New Roman" w:hAnsi="Times New Roman" w:cs="Times New Roman"/>
        </w:rPr>
        <w:t xml:space="preserve"> &lt;</w:t>
      </w:r>
      <w:proofErr w:type="gramEnd"/>
      <w:r>
        <w:rPr>
          <w:rFonts w:ascii="Times New Roman" w:hAnsi="Times New Roman" w:cs="Times New Roman"/>
        </w:rPr>
        <w:t>&lt;</w:t>
      </w:r>
      <w:r w:rsidRPr="00177F41">
        <w:rPr>
          <w:rFonts w:ascii="Times New Roman" w:hAnsi="Times New Roman" w:cs="Times New Roman"/>
          <w:i/>
        </w:rPr>
        <w:t>Curso de Derecho penal. Parte Especial</w:t>
      </w:r>
      <w:r>
        <w:rPr>
          <w:rFonts w:ascii="Times New Roman" w:hAnsi="Times New Roman" w:cs="Times New Roman"/>
        </w:rPr>
        <w:t>&gt;&gt;.  Madrid</w:t>
      </w:r>
      <w:r w:rsidRPr="00177F41">
        <w:rPr>
          <w:rFonts w:ascii="Times New Roman" w:hAnsi="Times New Roman" w:cs="Times New Roman"/>
        </w:rPr>
        <w:t xml:space="preserve">. Ed. </w:t>
      </w:r>
      <w:proofErr w:type="spellStart"/>
      <w:r w:rsidRPr="00177F41">
        <w:rPr>
          <w:rFonts w:ascii="Times New Roman" w:hAnsi="Times New Roman" w:cs="Times New Roman"/>
        </w:rPr>
        <w:t>Uned</w:t>
      </w:r>
      <w:proofErr w:type="spellEnd"/>
      <w:r w:rsidRPr="00177F41">
        <w:rPr>
          <w:rFonts w:ascii="Times New Roman" w:hAnsi="Times New Roman" w:cs="Times New Roman"/>
        </w:rPr>
        <w:t xml:space="preserve">.  </w:t>
      </w:r>
      <w:r>
        <w:rPr>
          <w:rFonts w:ascii="Times New Roman" w:hAnsi="Times New Roman" w:cs="Times New Roman"/>
        </w:rPr>
        <w:t>P. 281</w:t>
      </w:r>
    </w:p>
    <w:p w:rsidR="00A744B6" w:rsidRPr="00FA4728" w:rsidRDefault="00A744B6" w:rsidP="00050185">
      <w:pPr>
        <w:pStyle w:val="Textonotapie"/>
        <w:jc w:val="both"/>
        <w:rPr>
          <w:rFonts w:ascii="Times New Roman" w:hAnsi="Times New Roman" w:cs="Times New Roman"/>
        </w:rPr>
      </w:pPr>
    </w:p>
  </w:footnote>
  <w:footnote w:id="92">
    <w:p w:rsidR="00A744B6" w:rsidRDefault="00A744B6" w:rsidP="00050185">
      <w:pPr>
        <w:pStyle w:val="Textonotapie"/>
        <w:jc w:val="both"/>
        <w:rPr>
          <w:rFonts w:ascii="Times New Roman" w:hAnsi="Times New Roman" w:cs="Times New Roman"/>
        </w:rPr>
      </w:pPr>
      <w:r w:rsidRPr="00BE26A3">
        <w:rPr>
          <w:rStyle w:val="Refdenotaalpie"/>
          <w:rFonts w:ascii="Times New Roman" w:hAnsi="Times New Roman" w:cs="Times New Roman"/>
        </w:rPr>
        <w:footnoteRef/>
      </w:r>
      <w:r w:rsidRPr="00BE26A3">
        <w:rPr>
          <w:rFonts w:ascii="Times New Roman" w:hAnsi="Times New Roman" w:cs="Times New Roman"/>
        </w:rPr>
        <w:t xml:space="preserve"> Muñoz Conde, F. </w:t>
      </w:r>
      <w:r>
        <w:rPr>
          <w:rFonts w:ascii="Times New Roman" w:hAnsi="Times New Roman" w:cs="Times New Roman"/>
        </w:rPr>
        <w:t xml:space="preserve">(2015) </w:t>
      </w:r>
      <w:r w:rsidRPr="00BE26A3">
        <w:rPr>
          <w:rFonts w:ascii="Times New Roman" w:hAnsi="Times New Roman" w:cs="Times New Roman"/>
        </w:rPr>
        <w:t>&lt;&lt;</w:t>
      </w:r>
      <w:r w:rsidRPr="00BE26A3">
        <w:rPr>
          <w:rFonts w:ascii="Times New Roman" w:hAnsi="Times New Roman" w:cs="Times New Roman"/>
          <w:i/>
        </w:rPr>
        <w:t>Derecho Penal. Parte Especial. (20ª Edición, revisada y actualizada y puesta al día conforme a las leyes Orgánicas 1/2015 y 2/2015, de 30 de Marzo)</w:t>
      </w:r>
      <w:r w:rsidRPr="00BE26A3">
        <w:rPr>
          <w:rFonts w:ascii="Times New Roman" w:hAnsi="Times New Roman" w:cs="Times New Roman"/>
        </w:rPr>
        <w:t>&gt;&gt;. Valencia</w:t>
      </w:r>
      <w:r>
        <w:rPr>
          <w:rFonts w:ascii="Times New Roman" w:hAnsi="Times New Roman" w:cs="Times New Roman"/>
        </w:rPr>
        <w:t>. Ed. Tirant lo Blanch. p.353</w:t>
      </w:r>
    </w:p>
    <w:p w:rsidR="00A744B6" w:rsidRPr="00FA4728" w:rsidRDefault="00A744B6" w:rsidP="00050185">
      <w:pPr>
        <w:pStyle w:val="Textonotapie"/>
        <w:rPr>
          <w:rFonts w:ascii="Times New Roman" w:hAnsi="Times New Roman" w:cs="Times New Roman"/>
        </w:rPr>
      </w:pPr>
    </w:p>
  </w:footnote>
  <w:footnote w:id="93">
    <w:p w:rsidR="00A744B6" w:rsidRDefault="00A744B6" w:rsidP="00050185">
      <w:pPr>
        <w:pStyle w:val="Textonotapie"/>
      </w:pPr>
      <w:r w:rsidRPr="00DB46DE">
        <w:rPr>
          <w:rStyle w:val="Refdenotaalpie"/>
          <w:rFonts w:ascii="Times New Roman" w:hAnsi="Times New Roman" w:cs="Times New Roman"/>
        </w:rPr>
        <w:footnoteRef/>
      </w:r>
      <w:r>
        <w:rPr>
          <w:rFonts w:ascii="Times New Roman" w:hAnsi="Times New Roman" w:cs="Times New Roman"/>
        </w:rPr>
        <w:t xml:space="preserve">Sentencia del </w:t>
      </w:r>
      <w:r w:rsidRPr="00DB46DE">
        <w:rPr>
          <w:rFonts w:ascii="Times New Roman" w:hAnsi="Times New Roman" w:cs="Times New Roman"/>
          <w:bCs/>
        </w:rPr>
        <w:t>Tribunal Supremo (Sala de lo Penal, Sección1ª)</w:t>
      </w:r>
      <w:r w:rsidRPr="00DB46DE">
        <w:rPr>
          <w:rFonts w:ascii="Times New Roman" w:hAnsi="Times New Roman" w:cs="Times New Roman"/>
        </w:rPr>
        <w:t xml:space="preserve"> núm. 1352/2011 de 12 diciembre. RJ 2012\448</w:t>
      </w:r>
      <w:r>
        <w:t xml:space="preserve">. Véase en </w:t>
      </w:r>
      <w:hyperlink r:id="rId17" w:history="1">
        <w:r w:rsidRPr="000F3884">
          <w:rPr>
            <w:rStyle w:val="Hipervnculo"/>
          </w:rPr>
          <w:t>http://0-aranzadi.aranzadidigital.es.avalos.ujaen.es/maf/app/document?tid=&amp;docguid=I4ae2ba90580111e1bcf4010000000000&amp;base-guids=RJ\2012\448&amp;fexid=flag-red-juris&amp;fexid=flag-yellow-juris&amp;fexid=flag-blue-juris&amp;fexid=DO-ANA-25&amp;fexid=DO-ANA-23&amp;srguid=i0ad6adc60000015bfd40fc16b6c69730&amp;th=Penal&amp;guid=Id0145390b6e311e18b74010000000000&amp;src=withinResuts&amp;spos=3&amp;epos=3</w:t>
        </w:r>
      </w:hyperlink>
    </w:p>
    <w:p w:rsidR="00A744B6" w:rsidRDefault="00A744B6" w:rsidP="00050185">
      <w:pPr>
        <w:pStyle w:val="Textonotapie"/>
      </w:pPr>
    </w:p>
  </w:footnote>
  <w:footnote w:id="94">
    <w:p w:rsidR="00A744B6" w:rsidRPr="00DB46DE" w:rsidRDefault="00A744B6" w:rsidP="00050185">
      <w:pPr>
        <w:pStyle w:val="Textonotapie"/>
        <w:rPr>
          <w:rFonts w:ascii="Times New Roman" w:hAnsi="Times New Roman" w:cs="Times New Roman"/>
        </w:rPr>
      </w:pPr>
      <w:r w:rsidRPr="00DB46DE">
        <w:rPr>
          <w:rStyle w:val="Refdenotaalpie"/>
          <w:rFonts w:ascii="Times New Roman" w:hAnsi="Times New Roman" w:cs="Times New Roman"/>
        </w:rPr>
        <w:footnoteRef/>
      </w:r>
      <w:r>
        <w:rPr>
          <w:rFonts w:ascii="Times New Roman" w:hAnsi="Times New Roman" w:cs="Times New Roman"/>
        </w:rPr>
        <w:t xml:space="preserve">Sentencia de la </w:t>
      </w:r>
      <w:r w:rsidRPr="00DB46DE">
        <w:rPr>
          <w:rFonts w:ascii="Times New Roman" w:hAnsi="Times New Roman" w:cs="Times New Roman"/>
          <w:bCs/>
        </w:rPr>
        <w:t>Audiencia Provincial de Álava (Sección 2ª)</w:t>
      </w:r>
      <w:r w:rsidRPr="00DB46DE">
        <w:rPr>
          <w:rFonts w:ascii="Times New Roman" w:hAnsi="Times New Roman" w:cs="Times New Roman"/>
        </w:rPr>
        <w:t xml:space="preserve"> núm. 95/2001 de 28 junio. ARP 2002\51</w:t>
      </w:r>
      <w:r>
        <w:rPr>
          <w:rFonts w:ascii="Times New Roman" w:hAnsi="Times New Roman" w:cs="Times New Roman"/>
        </w:rPr>
        <w:t xml:space="preserve">. Véase en </w:t>
      </w:r>
      <w:hyperlink r:id="rId18" w:history="1">
        <w:r w:rsidRPr="000F3884">
          <w:rPr>
            <w:rStyle w:val="Hipervnculo"/>
            <w:rFonts w:ascii="Times New Roman" w:hAnsi="Times New Roman" w:cs="Times New Roman"/>
          </w:rPr>
          <w:t>http://0-aranzadi.aranzadidigital.es.avalos.ujaen.es/maf/app/document?tid=&amp;docguid=I135c2d00fe2311db8df80000846fb0e8&amp;base-guids=ARP\2002\51&amp;fexid=flag-red-juris&amp;fexid=flag-yellow-juris&amp;fexid=flag-blue-juris&amp;fexid=DO-ANA-25&amp;fexid=DO-ANA-23&amp;srguid=i0ad6adc60000015bfd40fc16b6c69730&amp;th=Penal&amp;guid=Id0145390b6e311e18b74010000000000&amp;src=withinResuts&amp;spos=35&amp;epos=35</w:t>
        </w:r>
      </w:hyperlink>
    </w:p>
  </w:footnote>
  <w:footnote w:id="95">
    <w:p w:rsidR="00A744B6" w:rsidRDefault="00A744B6" w:rsidP="00050185">
      <w:pPr>
        <w:pStyle w:val="Textonotapie"/>
        <w:rPr>
          <w:rFonts w:ascii="Times New Roman" w:hAnsi="Times New Roman" w:cs="Times New Roman"/>
        </w:rPr>
      </w:pPr>
      <w:r w:rsidRPr="00D441E2">
        <w:rPr>
          <w:rStyle w:val="Refdenotaalpie"/>
          <w:rFonts w:ascii="Times New Roman" w:hAnsi="Times New Roman" w:cs="Times New Roman"/>
        </w:rPr>
        <w:footnoteRef/>
      </w:r>
      <w:r>
        <w:rPr>
          <w:rFonts w:ascii="Times New Roman" w:hAnsi="Times New Roman" w:cs="Times New Roman"/>
        </w:rPr>
        <w:t xml:space="preserve">Sentencia de la </w:t>
      </w:r>
      <w:r w:rsidRPr="00D441E2">
        <w:rPr>
          <w:rFonts w:ascii="Times New Roman" w:hAnsi="Times New Roman" w:cs="Times New Roman"/>
          <w:bCs/>
        </w:rPr>
        <w:t>Audiencia Provincial de Toledo (Sección 1ª)</w:t>
      </w:r>
      <w:r w:rsidRPr="00D441E2">
        <w:rPr>
          <w:rFonts w:ascii="Times New Roman" w:hAnsi="Times New Roman" w:cs="Times New Roman"/>
        </w:rPr>
        <w:t xml:space="preserve"> núm. 1/2000 de 17 enero. ARP 2000\15</w:t>
      </w:r>
      <w:r>
        <w:rPr>
          <w:rFonts w:ascii="Times New Roman" w:hAnsi="Times New Roman" w:cs="Times New Roman"/>
        </w:rPr>
        <w:t xml:space="preserve">. Véase en </w:t>
      </w:r>
      <w:hyperlink r:id="rId19" w:history="1">
        <w:r w:rsidRPr="000F3884">
          <w:rPr>
            <w:rStyle w:val="Hipervnculo"/>
            <w:rFonts w:ascii="Times New Roman" w:hAnsi="Times New Roman" w:cs="Times New Roman"/>
          </w:rPr>
          <w:t>http://0-aranzadi.aranzadidigital.es.avalos.ujaen.es/maf/app/document?tid=&amp;docguid=Id7414270f49e11dba7bd010000000000&amp;base-guids=ARP\2000\15&amp;fexid=flag-red-juris&amp;fexid=flag-yellow-juris&amp;fexid=flag-blue-juris&amp;fexid=DO-ANA-25&amp;fexid=DO-ANA-23&amp;srguid=i0ad6adc60000015bfd40fc16b6c69730&amp;th=Penal&amp;guid=Id0145390b6e311e18b74010000000000&amp;src=withinResuts&amp;spos=37&amp;epos=37</w:t>
        </w:r>
      </w:hyperlink>
    </w:p>
    <w:p w:rsidR="00A744B6" w:rsidRDefault="00A744B6" w:rsidP="00050185">
      <w:pPr>
        <w:pStyle w:val="Textonotapie"/>
      </w:pPr>
    </w:p>
  </w:footnote>
  <w:footnote w:id="96">
    <w:p w:rsidR="00A744B6" w:rsidRPr="007D10D8" w:rsidRDefault="00A744B6" w:rsidP="00050185">
      <w:pPr>
        <w:pStyle w:val="Textonotapie"/>
        <w:rPr>
          <w:rFonts w:ascii="Times New Roman" w:hAnsi="Times New Roman" w:cs="Times New Roman"/>
        </w:rPr>
      </w:pPr>
      <w:r w:rsidRPr="007D10D8">
        <w:rPr>
          <w:rStyle w:val="Refdenotaalpie"/>
          <w:rFonts w:ascii="Times New Roman" w:hAnsi="Times New Roman" w:cs="Times New Roman"/>
        </w:rPr>
        <w:footnoteRef/>
      </w:r>
      <w:r>
        <w:rPr>
          <w:rFonts w:ascii="Times New Roman" w:hAnsi="Times New Roman" w:cs="Times New Roman"/>
        </w:rPr>
        <w:t xml:space="preserve">Muñoz Cuesta, J; Arroyo de las Heras, A; </w:t>
      </w:r>
      <w:proofErr w:type="spellStart"/>
      <w:r>
        <w:rPr>
          <w:rFonts w:ascii="Times New Roman" w:hAnsi="Times New Roman" w:cs="Times New Roman"/>
        </w:rPr>
        <w:t>Goyena</w:t>
      </w:r>
      <w:proofErr w:type="spellEnd"/>
      <w:r>
        <w:rPr>
          <w:rFonts w:ascii="Times New Roman" w:hAnsi="Times New Roman" w:cs="Times New Roman"/>
        </w:rPr>
        <w:t xml:space="preserve"> Huerta, J. (1998) &lt;&lt;</w:t>
      </w:r>
      <w:r w:rsidRPr="007D10D8">
        <w:rPr>
          <w:rFonts w:ascii="Times New Roman" w:hAnsi="Times New Roman" w:cs="Times New Roman"/>
          <w:i/>
        </w:rPr>
        <w:t>El Hurto, el Robo y el Hurto y Robo de uso de vehículos</w:t>
      </w:r>
      <w:r>
        <w:rPr>
          <w:rFonts w:ascii="Times New Roman" w:hAnsi="Times New Roman" w:cs="Times New Roman"/>
        </w:rPr>
        <w:t>&gt;&gt;. Ed. Aranzadi. P.159</w:t>
      </w:r>
    </w:p>
  </w:footnote>
  <w:footnote w:id="97">
    <w:p w:rsidR="00A744B6" w:rsidRPr="00D54DA6" w:rsidRDefault="00A744B6" w:rsidP="00050185">
      <w:pPr>
        <w:pStyle w:val="Textonotapie"/>
        <w:jc w:val="both"/>
        <w:rPr>
          <w:rFonts w:ascii="Times New Roman" w:hAnsi="Times New Roman" w:cs="Times New Roman"/>
        </w:rPr>
      </w:pPr>
      <w:r w:rsidRPr="00D54DA6">
        <w:rPr>
          <w:rStyle w:val="Refdenotaalpie"/>
          <w:rFonts w:ascii="Times New Roman" w:hAnsi="Times New Roman" w:cs="Times New Roman"/>
        </w:rPr>
        <w:footnoteRef/>
      </w:r>
      <w:r>
        <w:rPr>
          <w:rFonts w:ascii="Times New Roman" w:hAnsi="Times New Roman" w:cs="Times New Roman"/>
        </w:rPr>
        <w:t>Quintero Olivares, G: &lt;&lt;</w:t>
      </w:r>
      <w:r w:rsidRPr="00D54DA6">
        <w:rPr>
          <w:rFonts w:ascii="Times New Roman" w:hAnsi="Times New Roman" w:cs="Times New Roman"/>
          <w:i/>
        </w:rPr>
        <w:t>Comentario a la reforma penal de 2015</w:t>
      </w:r>
      <w:r>
        <w:rPr>
          <w:rFonts w:ascii="Times New Roman" w:hAnsi="Times New Roman" w:cs="Times New Roman"/>
        </w:rPr>
        <w:t>&gt;&gt;. Ed. Thomson Reuters Aranzadi. pp.482-483</w:t>
      </w:r>
    </w:p>
  </w:footnote>
  <w:footnote w:id="98">
    <w:p w:rsidR="00A744B6" w:rsidRPr="00EE040A" w:rsidRDefault="00A744B6" w:rsidP="00050185">
      <w:pPr>
        <w:pStyle w:val="Textonotapie"/>
        <w:jc w:val="both"/>
        <w:rPr>
          <w:rFonts w:ascii="Times New Roman" w:hAnsi="Times New Roman" w:cs="Times New Roman"/>
        </w:rPr>
      </w:pPr>
      <w:r w:rsidRPr="00EE040A">
        <w:rPr>
          <w:rStyle w:val="Refdenotaalpie"/>
          <w:rFonts w:ascii="Times New Roman" w:hAnsi="Times New Roman" w:cs="Times New Roman"/>
        </w:rPr>
        <w:footnoteRef/>
      </w:r>
      <w:r w:rsidRPr="00EE040A">
        <w:rPr>
          <w:rFonts w:ascii="Times New Roman" w:hAnsi="Times New Roman" w:cs="Times New Roman"/>
        </w:rPr>
        <w:t xml:space="preserve"> </w:t>
      </w:r>
      <w:r>
        <w:rPr>
          <w:rFonts w:ascii="Times New Roman" w:hAnsi="Times New Roman" w:cs="Times New Roman"/>
        </w:rPr>
        <w:t xml:space="preserve">De </w:t>
      </w:r>
      <w:r w:rsidRPr="00EE040A">
        <w:rPr>
          <w:rFonts w:ascii="Times New Roman" w:hAnsi="Times New Roman" w:cs="Times New Roman"/>
        </w:rPr>
        <w:t>Vicente Martínez, R.</w:t>
      </w:r>
      <w:r>
        <w:rPr>
          <w:rFonts w:ascii="Times New Roman" w:hAnsi="Times New Roman" w:cs="Times New Roman"/>
        </w:rPr>
        <w:t xml:space="preserve"> (2011) </w:t>
      </w:r>
      <w:r w:rsidRPr="00EE040A">
        <w:rPr>
          <w:rFonts w:ascii="Times New Roman" w:hAnsi="Times New Roman" w:cs="Times New Roman"/>
        </w:rPr>
        <w:t xml:space="preserve"> &lt;&lt;</w:t>
      </w:r>
      <w:r w:rsidRPr="00EE040A">
        <w:rPr>
          <w:rFonts w:ascii="Times New Roman" w:hAnsi="Times New Roman" w:cs="Times New Roman"/>
          <w:i/>
        </w:rPr>
        <w:t>Los delitos de robo. Estudio doctrinal introductorio. Problemática jurisprudencial ordenada y sistematizada. Casos prácticos. Normativa reguladora</w:t>
      </w:r>
      <w:r>
        <w:rPr>
          <w:rFonts w:ascii="Times New Roman" w:hAnsi="Times New Roman" w:cs="Times New Roman"/>
        </w:rPr>
        <w:t>&gt;&gt; Barcelona</w:t>
      </w:r>
      <w:r w:rsidRPr="00EE040A">
        <w:rPr>
          <w:rFonts w:ascii="Times New Roman" w:hAnsi="Times New Roman" w:cs="Times New Roman"/>
        </w:rPr>
        <w:t>.</w:t>
      </w:r>
      <w:r>
        <w:rPr>
          <w:rFonts w:ascii="Times New Roman" w:hAnsi="Times New Roman" w:cs="Times New Roman"/>
        </w:rPr>
        <w:t xml:space="preserve">         </w:t>
      </w:r>
      <w:r w:rsidRPr="00EE040A">
        <w:rPr>
          <w:rFonts w:ascii="Times New Roman" w:hAnsi="Times New Roman" w:cs="Times New Roman"/>
        </w:rPr>
        <w:t xml:space="preserve"> Ed. Bosch</w:t>
      </w:r>
      <w:r>
        <w:rPr>
          <w:rFonts w:ascii="Times New Roman" w:hAnsi="Times New Roman" w:cs="Times New Roman"/>
        </w:rPr>
        <w:t xml:space="preserve">. pp.339. STS de 1 de diciembre de 2005. </w:t>
      </w:r>
    </w:p>
  </w:footnote>
  <w:footnote w:id="99">
    <w:p w:rsidR="00A744B6" w:rsidRPr="00CF5F81" w:rsidRDefault="00A744B6" w:rsidP="00050185">
      <w:pPr>
        <w:pStyle w:val="Textonotapie"/>
        <w:jc w:val="both"/>
        <w:rPr>
          <w:rFonts w:ascii="Times New Roman" w:hAnsi="Times New Roman" w:cs="Times New Roman"/>
        </w:rPr>
      </w:pPr>
      <w:r w:rsidRPr="00CF5F81">
        <w:rPr>
          <w:rStyle w:val="Refdenotaalpie"/>
          <w:rFonts w:ascii="Times New Roman" w:hAnsi="Times New Roman" w:cs="Times New Roman"/>
        </w:rPr>
        <w:footnoteRef/>
      </w:r>
      <w:proofErr w:type="spellStart"/>
      <w:r>
        <w:rPr>
          <w:rFonts w:ascii="Times New Roman" w:hAnsi="Times New Roman" w:cs="Times New Roman"/>
        </w:rPr>
        <w:t>Lamarca</w:t>
      </w:r>
      <w:proofErr w:type="spellEnd"/>
      <w:r>
        <w:rPr>
          <w:rFonts w:ascii="Times New Roman" w:hAnsi="Times New Roman" w:cs="Times New Roman"/>
        </w:rPr>
        <w:t xml:space="preserve"> Pérez, C. (2016) &lt;&lt;</w:t>
      </w:r>
      <w:r w:rsidRPr="00CF5F81">
        <w:rPr>
          <w:rFonts w:ascii="Times New Roman" w:hAnsi="Times New Roman" w:cs="Times New Roman"/>
          <w:i/>
        </w:rPr>
        <w:t>Delitos. La parte Especial del Derecho Penal</w:t>
      </w:r>
      <w:r>
        <w:rPr>
          <w:rFonts w:ascii="Times New Roman" w:hAnsi="Times New Roman" w:cs="Times New Roman"/>
        </w:rPr>
        <w:t>&gt;&gt;</w:t>
      </w:r>
      <w:r w:rsidRPr="00CF5F81">
        <w:rPr>
          <w:rFonts w:ascii="Times New Roman" w:hAnsi="Times New Roman" w:cs="Times New Roman"/>
        </w:rPr>
        <w:t xml:space="preserve">. Madrid, ed. </w:t>
      </w:r>
      <w:proofErr w:type="spellStart"/>
      <w:r w:rsidRPr="00CF5F81">
        <w:rPr>
          <w:rFonts w:ascii="Times New Roman" w:hAnsi="Times New Roman" w:cs="Times New Roman"/>
        </w:rPr>
        <w:t>Dykinson</w:t>
      </w:r>
      <w:proofErr w:type="spellEnd"/>
      <w:r w:rsidRPr="00CF5F81">
        <w:rPr>
          <w:rFonts w:ascii="Times New Roman" w:hAnsi="Times New Roman" w:cs="Times New Roman"/>
        </w:rPr>
        <w:t xml:space="preserve">. </w:t>
      </w:r>
    </w:p>
  </w:footnote>
  <w:footnote w:id="100">
    <w:p w:rsidR="00A744B6" w:rsidRDefault="00A744B6" w:rsidP="00050185">
      <w:pPr>
        <w:pStyle w:val="Textonotapie"/>
        <w:jc w:val="both"/>
      </w:pPr>
      <w:r>
        <w:rPr>
          <w:rStyle w:val="Refdenotaalpie"/>
        </w:rPr>
        <w:footnoteRef/>
      </w:r>
      <w:r>
        <w:rPr>
          <w:rFonts w:ascii="Times New Roman" w:hAnsi="Times New Roman" w:cs="Times New Roman"/>
        </w:rPr>
        <w:t>Muñoz Conde, F. (2015) &lt;&lt;</w:t>
      </w:r>
      <w:r w:rsidRPr="00CD4030">
        <w:rPr>
          <w:rFonts w:ascii="Times New Roman" w:hAnsi="Times New Roman" w:cs="Times New Roman"/>
          <w:i/>
        </w:rPr>
        <w:t>Derecho Penal. Parte Especial. (20ª Edición, revisada y actualizada y puesta al día conforme a las leyes Orgánicas 1/2015 y 2/2015, de 30 de Marzo)</w:t>
      </w:r>
      <w:r>
        <w:rPr>
          <w:rFonts w:ascii="Times New Roman" w:hAnsi="Times New Roman" w:cs="Times New Roman"/>
        </w:rPr>
        <w:t>&gt;&gt;. Valencia. Ed. Tirant lo Blanch</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03504"/>
    <w:multiLevelType w:val="hybridMultilevel"/>
    <w:tmpl w:val="17163030"/>
    <w:lvl w:ilvl="0" w:tplc="F77C086A">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ECD75CE"/>
    <w:multiLevelType w:val="multilevel"/>
    <w:tmpl w:val="734EF14C"/>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4C45A0C"/>
    <w:multiLevelType w:val="hybridMultilevel"/>
    <w:tmpl w:val="AB2AE926"/>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3">
    <w:nsid w:val="15FF1435"/>
    <w:multiLevelType w:val="hybridMultilevel"/>
    <w:tmpl w:val="E7B25D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C8B2C30"/>
    <w:multiLevelType w:val="hybridMultilevel"/>
    <w:tmpl w:val="4384951E"/>
    <w:lvl w:ilvl="0" w:tplc="768AF316">
      <w:start w:val="2"/>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D766A98"/>
    <w:multiLevelType w:val="hybridMultilevel"/>
    <w:tmpl w:val="2B5835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0336BBA"/>
    <w:multiLevelType w:val="hybridMultilevel"/>
    <w:tmpl w:val="1398F592"/>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7">
    <w:nsid w:val="20522AE5"/>
    <w:multiLevelType w:val="hybridMultilevel"/>
    <w:tmpl w:val="AC6095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2E14CB2"/>
    <w:multiLevelType w:val="hybridMultilevel"/>
    <w:tmpl w:val="02888966"/>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nsid w:val="29AD02E1"/>
    <w:multiLevelType w:val="hybridMultilevel"/>
    <w:tmpl w:val="284C4FB8"/>
    <w:lvl w:ilvl="0" w:tplc="F77C086A">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9FE404E"/>
    <w:multiLevelType w:val="hybridMultilevel"/>
    <w:tmpl w:val="70BEA71E"/>
    <w:lvl w:ilvl="0" w:tplc="0C0A000F">
      <w:start w:val="1"/>
      <w:numFmt w:val="decimal"/>
      <w:lvlText w:val="%1."/>
      <w:lvlJc w:val="left"/>
      <w:pPr>
        <w:ind w:left="1560" w:hanging="360"/>
      </w:pPr>
    </w:lvl>
    <w:lvl w:ilvl="1" w:tplc="0C0A0019" w:tentative="1">
      <w:start w:val="1"/>
      <w:numFmt w:val="lowerLetter"/>
      <w:lvlText w:val="%2."/>
      <w:lvlJc w:val="left"/>
      <w:pPr>
        <w:ind w:left="2280" w:hanging="360"/>
      </w:pPr>
    </w:lvl>
    <w:lvl w:ilvl="2" w:tplc="0C0A001B" w:tentative="1">
      <w:start w:val="1"/>
      <w:numFmt w:val="lowerRoman"/>
      <w:lvlText w:val="%3."/>
      <w:lvlJc w:val="right"/>
      <w:pPr>
        <w:ind w:left="3000" w:hanging="180"/>
      </w:pPr>
    </w:lvl>
    <w:lvl w:ilvl="3" w:tplc="0C0A000F" w:tentative="1">
      <w:start w:val="1"/>
      <w:numFmt w:val="decimal"/>
      <w:lvlText w:val="%4."/>
      <w:lvlJc w:val="left"/>
      <w:pPr>
        <w:ind w:left="3720" w:hanging="360"/>
      </w:pPr>
    </w:lvl>
    <w:lvl w:ilvl="4" w:tplc="0C0A0019" w:tentative="1">
      <w:start w:val="1"/>
      <w:numFmt w:val="lowerLetter"/>
      <w:lvlText w:val="%5."/>
      <w:lvlJc w:val="left"/>
      <w:pPr>
        <w:ind w:left="4440" w:hanging="360"/>
      </w:pPr>
    </w:lvl>
    <w:lvl w:ilvl="5" w:tplc="0C0A001B" w:tentative="1">
      <w:start w:val="1"/>
      <w:numFmt w:val="lowerRoman"/>
      <w:lvlText w:val="%6."/>
      <w:lvlJc w:val="right"/>
      <w:pPr>
        <w:ind w:left="5160" w:hanging="180"/>
      </w:pPr>
    </w:lvl>
    <w:lvl w:ilvl="6" w:tplc="0C0A000F" w:tentative="1">
      <w:start w:val="1"/>
      <w:numFmt w:val="decimal"/>
      <w:lvlText w:val="%7."/>
      <w:lvlJc w:val="left"/>
      <w:pPr>
        <w:ind w:left="5880" w:hanging="360"/>
      </w:pPr>
    </w:lvl>
    <w:lvl w:ilvl="7" w:tplc="0C0A0019" w:tentative="1">
      <w:start w:val="1"/>
      <w:numFmt w:val="lowerLetter"/>
      <w:lvlText w:val="%8."/>
      <w:lvlJc w:val="left"/>
      <w:pPr>
        <w:ind w:left="6600" w:hanging="360"/>
      </w:pPr>
    </w:lvl>
    <w:lvl w:ilvl="8" w:tplc="0C0A001B" w:tentative="1">
      <w:start w:val="1"/>
      <w:numFmt w:val="lowerRoman"/>
      <w:lvlText w:val="%9."/>
      <w:lvlJc w:val="right"/>
      <w:pPr>
        <w:ind w:left="7320" w:hanging="180"/>
      </w:pPr>
    </w:lvl>
  </w:abstractNum>
  <w:abstractNum w:abstractNumId="11">
    <w:nsid w:val="2F9F1505"/>
    <w:multiLevelType w:val="multilevel"/>
    <w:tmpl w:val="4966420C"/>
    <w:lvl w:ilvl="0">
      <w:start w:val="2"/>
      <w:numFmt w:val="decimal"/>
      <w:lvlText w:val="%1"/>
      <w:lvlJc w:val="left"/>
      <w:pPr>
        <w:ind w:left="480" w:hanging="480"/>
      </w:pPr>
      <w:rPr>
        <w:rFonts w:hint="default"/>
        <w:u w:val="none"/>
      </w:rPr>
    </w:lvl>
    <w:lvl w:ilvl="1">
      <w:start w:val="4"/>
      <w:numFmt w:val="decimal"/>
      <w:lvlText w:val="%1.%2"/>
      <w:lvlJc w:val="left"/>
      <w:pPr>
        <w:ind w:left="1012" w:hanging="480"/>
      </w:pPr>
      <w:rPr>
        <w:rFonts w:hint="default"/>
        <w:u w:val="none"/>
      </w:rPr>
    </w:lvl>
    <w:lvl w:ilvl="2">
      <w:start w:val="1"/>
      <w:numFmt w:val="decimal"/>
      <w:lvlText w:val="%1.%2.%3"/>
      <w:lvlJc w:val="left"/>
      <w:pPr>
        <w:ind w:left="1784" w:hanging="720"/>
      </w:pPr>
      <w:rPr>
        <w:rFonts w:hint="default"/>
        <w:u w:val="none"/>
      </w:rPr>
    </w:lvl>
    <w:lvl w:ilvl="3">
      <w:start w:val="1"/>
      <w:numFmt w:val="decimal"/>
      <w:lvlText w:val="%1.%2.%3.%4"/>
      <w:lvlJc w:val="left"/>
      <w:pPr>
        <w:ind w:left="2316" w:hanging="720"/>
      </w:pPr>
      <w:rPr>
        <w:rFonts w:hint="default"/>
        <w:u w:val="none"/>
      </w:rPr>
    </w:lvl>
    <w:lvl w:ilvl="4">
      <w:start w:val="1"/>
      <w:numFmt w:val="decimal"/>
      <w:lvlText w:val="%1.%2.%3.%4.%5"/>
      <w:lvlJc w:val="left"/>
      <w:pPr>
        <w:ind w:left="3208" w:hanging="1080"/>
      </w:pPr>
      <w:rPr>
        <w:rFonts w:hint="default"/>
        <w:u w:val="none"/>
      </w:rPr>
    </w:lvl>
    <w:lvl w:ilvl="5">
      <w:start w:val="1"/>
      <w:numFmt w:val="decimal"/>
      <w:lvlText w:val="%1.%2.%3.%4.%5.%6"/>
      <w:lvlJc w:val="left"/>
      <w:pPr>
        <w:ind w:left="3740" w:hanging="1080"/>
      </w:pPr>
      <w:rPr>
        <w:rFonts w:hint="default"/>
        <w:u w:val="none"/>
      </w:rPr>
    </w:lvl>
    <w:lvl w:ilvl="6">
      <w:start w:val="1"/>
      <w:numFmt w:val="decimal"/>
      <w:lvlText w:val="%1.%2.%3.%4.%5.%6.%7"/>
      <w:lvlJc w:val="left"/>
      <w:pPr>
        <w:ind w:left="4632" w:hanging="1440"/>
      </w:pPr>
      <w:rPr>
        <w:rFonts w:hint="default"/>
        <w:u w:val="none"/>
      </w:rPr>
    </w:lvl>
    <w:lvl w:ilvl="7">
      <w:start w:val="1"/>
      <w:numFmt w:val="decimal"/>
      <w:lvlText w:val="%1.%2.%3.%4.%5.%6.%7.%8"/>
      <w:lvlJc w:val="left"/>
      <w:pPr>
        <w:ind w:left="5164" w:hanging="1440"/>
      </w:pPr>
      <w:rPr>
        <w:rFonts w:hint="default"/>
        <w:u w:val="none"/>
      </w:rPr>
    </w:lvl>
    <w:lvl w:ilvl="8">
      <w:start w:val="1"/>
      <w:numFmt w:val="decimal"/>
      <w:lvlText w:val="%1.%2.%3.%4.%5.%6.%7.%8.%9"/>
      <w:lvlJc w:val="left"/>
      <w:pPr>
        <w:ind w:left="6056" w:hanging="1800"/>
      </w:pPr>
      <w:rPr>
        <w:rFonts w:hint="default"/>
        <w:u w:val="none"/>
      </w:rPr>
    </w:lvl>
  </w:abstractNum>
  <w:abstractNum w:abstractNumId="12">
    <w:nsid w:val="34FE41C7"/>
    <w:multiLevelType w:val="hybridMultilevel"/>
    <w:tmpl w:val="12CEB5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6447FED"/>
    <w:multiLevelType w:val="hybridMultilevel"/>
    <w:tmpl w:val="D464AE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82F248D"/>
    <w:multiLevelType w:val="hybridMultilevel"/>
    <w:tmpl w:val="AB3CCA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89F586C"/>
    <w:multiLevelType w:val="hybridMultilevel"/>
    <w:tmpl w:val="AAB2DA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98F621D"/>
    <w:multiLevelType w:val="hybridMultilevel"/>
    <w:tmpl w:val="B7C0F8FA"/>
    <w:lvl w:ilvl="0" w:tplc="F77C086A">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9DD1D86"/>
    <w:multiLevelType w:val="hybridMultilevel"/>
    <w:tmpl w:val="AEE879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A7C5C73"/>
    <w:multiLevelType w:val="multilevel"/>
    <w:tmpl w:val="DAC67E2C"/>
    <w:lvl w:ilvl="0">
      <w:start w:val="2"/>
      <w:numFmt w:val="decimal"/>
      <w:lvlText w:val="%1"/>
      <w:lvlJc w:val="left"/>
      <w:pPr>
        <w:ind w:left="360" w:hanging="360"/>
      </w:pPr>
      <w:rPr>
        <w:rFonts w:hint="default"/>
        <w:u w:val="non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680" w:hanging="1800"/>
      </w:pPr>
      <w:rPr>
        <w:rFonts w:hint="default"/>
        <w:u w:val="none"/>
      </w:rPr>
    </w:lvl>
  </w:abstractNum>
  <w:abstractNum w:abstractNumId="19">
    <w:nsid w:val="3A882FF0"/>
    <w:multiLevelType w:val="hybridMultilevel"/>
    <w:tmpl w:val="D6A65A8A"/>
    <w:lvl w:ilvl="0" w:tplc="0C0A0001">
      <w:start w:val="1"/>
      <w:numFmt w:val="bullet"/>
      <w:lvlText w:val=""/>
      <w:lvlJc w:val="left"/>
      <w:pPr>
        <w:ind w:left="825" w:hanging="360"/>
      </w:pPr>
      <w:rPr>
        <w:rFonts w:ascii="Symbol" w:hAnsi="Symbol" w:hint="default"/>
      </w:rPr>
    </w:lvl>
    <w:lvl w:ilvl="1" w:tplc="0C0A0003" w:tentative="1">
      <w:start w:val="1"/>
      <w:numFmt w:val="bullet"/>
      <w:lvlText w:val="o"/>
      <w:lvlJc w:val="left"/>
      <w:pPr>
        <w:ind w:left="1545" w:hanging="360"/>
      </w:pPr>
      <w:rPr>
        <w:rFonts w:ascii="Courier New" w:hAnsi="Courier New" w:cs="Courier New" w:hint="default"/>
      </w:rPr>
    </w:lvl>
    <w:lvl w:ilvl="2" w:tplc="0C0A0005" w:tentative="1">
      <w:start w:val="1"/>
      <w:numFmt w:val="bullet"/>
      <w:lvlText w:val=""/>
      <w:lvlJc w:val="left"/>
      <w:pPr>
        <w:ind w:left="2265" w:hanging="360"/>
      </w:pPr>
      <w:rPr>
        <w:rFonts w:ascii="Wingdings" w:hAnsi="Wingdings" w:hint="default"/>
      </w:rPr>
    </w:lvl>
    <w:lvl w:ilvl="3" w:tplc="0C0A0001" w:tentative="1">
      <w:start w:val="1"/>
      <w:numFmt w:val="bullet"/>
      <w:lvlText w:val=""/>
      <w:lvlJc w:val="left"/>
      <w:pPr>
        <w:ind w:left="2985" w:hanging="360"/>
      </w:pPr>
      <w:rPr>
        <w:rFonts w:ascii="Symbol" w:hAnsi="Symbol" w:hint="default"/>
      </w:rPr>
    </w:lvl>
    <w:lvl w:ilvl="4" w:tplc="0C0A0003" w:tentative="1">
      <w:start w:val="1"/>
      <w:numFmt w:val="bullet"/>
      <w:lvlText w:val="o"/>
      <w:lvlJc w:val="left"/>
      <w:pPr>
        <w:ind w:left="3705" w:hanging="360"/>
      </w:pPr>
      <w:rPr>
        <w:rFonts w:ascii="Courier New" w:hAnsi="Courier New" w:cs="Courier New" w:hint="default"/>
      </w:rPr>
    </w:lvl>
    <w:lvl w:ilvl="5" w:tplc="0C0A0005" w:tentative="1">
      <w:start w:val="1"/>
      <w:numFmt w:val="bullet"/>
      <w:lvlText w:val=""/>
      <w:lvlJc w:val="left"/>
      <w:pPr>
        <w:ind w:left="4425" w:hanging="360"/>
      </w:pPr>
      <w:rPr>
        <w:rFonts w:ascii="Wingdings" w:hAnsi="Wingdings" w:hint="default"/>
      </w:rPr>
    </w:lvl>
    <w:lvl w:ilvl="6" w:tplc="0C0A0001" w:tentative="1">
      <w:start w:val="1"/>
      <w:numFmt w:val="bullet"/>
      <w:lvlText w:val=""/>
      <w:lvlJc w:val="left"/>
      <w:pPr>
        <w:ind w:left="5145" w:hanging="360"/>
      </w:pPr>
      <w:rPr>
        <w:rFonts w:ascii="Symbol" w:hAnsi="Symbol" w:hint="default"/>
      </w:rPr>
    </w:lvl>
    <w:lvl w:ilvl="7" w:tplc="0C0A0003" w:tentative="1">
      <w:start w:val="1"/>
      <w:numFmt w:val="bullet"/>
      <w:lvlText w:val="o"/>
      <w:lvlJc w:val="left"/>
      <w:pPr>
        <w:ind w:left="5865" w:hanging="360"/>
      </w:pPr>
      <w:rPr>
        <w:rFonts w:ascii="Courier New" w:hAnsi="Courier New" w:cs="Courier New" w:hint="default"/>
      </w:rPr>
    </w:lvl>
    <w:lvl w:ilvl="8" w:tplc="0C0A0005" w:tentative="1">
      <w:start w:val="1"/>
      <w:numFmt w:val="bullet"/>
      <w:lvlText w:val=""/>
      <w:lvlJc w:val="left"/>
      <w:pPr>
        <w:ind w:left="6585" w:hanging="360"/>
      </w:pPr>
      <w:rPr>
        <w:rFonts w:ascii="Wingdings" w:hAnsi="Wingdings" w:hint="default"/>
      </w:rPr>
    </w:lvl>
  </w:abstractNum>
  <w:abstractNum w:abstractNumId="20">
    <w:nsid w:val="3BDC1786"/>
    <w:multiLevelType w:val="hybridMultilevel"/>
    <w:tmpl w:val="57ACC25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DEC35F9"/>
    <w:multiLevelType w:val="hybridMultilevel"/>
    <w:tmpl w:val="9B488CE2"/>
    <w:lvl w:ilvl="0" w:tplc="F77C086A">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3E131719"/>
    <w:multiLevelType w:val="hybridMultilevel"/>
    <w:tmpl w:val="9A704A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9C72AF2"/>
    <w:multiLevelType w:val="multilevel"/>
    <w:tmpl w:val="9FF05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AE508DB"/>
    <w:multiLevelType w:val="hybridMultilevel"/>
    <w:tmpl w:val="F85C65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4C3F40A9"/>
    <w:multiLevelType w:val="hybridMultilevel"/>
    <w:tmpl w:val="A67A10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5224741"/>
    <w:multiLevelType w:val="hybridMultilevel"/>
    <w:tmpl w:val="8E12AF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6926B60"/>
    <w:multiLevelType w:val="hybridMultilevel"/>
    <w:tmpl w:val="253819F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5A542472"/>
    <w:multiLevelType w:val="hybridMultilevel"/>
    <w:tmpl w:val="66AE89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EFC3867"/>
    <w:multiLevelType w:val="hybridMultilevel"/>
    <w:tmpl w:val="704A50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648F14C6"/>
    <w:multiLevelType w:val="hybridMultilevel"/>
    <w:tmpl w:val="2C46FA4E"/>
    <w:lvl w:ilvl="0" w:tplc="0C0A000F">
      <w:start w:val="1"/>
      <w:numFmt w:val="decimal"/>
      <w:lvlText w:val="%1."/>
      <w:lvlJc w:val="left"/>
      <w:pPr>
        <w:ind w:left="780" w:hanging="360"/>
      </w:p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31">
    <w:nsid w:val="65A82362"/>
    <w:multiLevelType w:val="hybridMultilevel"/>
    <w:tmpl w:val="4378CB22"/>
    <w:lvl w:ilvl="0" w:tplc="F77C086A">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9565016"/>
    <w:multiLevelType w:val="hybridMultilevel"/>
    <w:tmpl w:val="3CE229E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AC3196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BC36E71"/>
    <w:multiLevelType w:val="hybridMultilevel"/>
    <w:tmpl w:val="A9DE332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70280B9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27E0A44"/>
    <w:multiLevelType w:val="hybridMultilevel"/>
    <w:tmpl w:val="F58481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72C84552"/>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77D4A01"/>
    <w:multiLevelType w:val="hybridMultilevel"/>
    <w:tmpl w:val="8FC63052"/>
    <w:lvl w:ilvl="0" w:tplc="F77C086A">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4"/>
  </w:num>
  <w:num w:numId="2">
    <w:abstractNumId w:val="4"/>
  </w:num>
  <w:num w:numId="3">
    <w:abstractNumId w:val="5"/>
  </w:num>
  <w:num w:numId="4">
    <w:abstractNumId w:val="22"/>
  </w:num>
  <w:num w:numId="5">
    <w:abstractNumId w:val="12"/>
  </w:num>
  <w:num w:numId="6">
    <w:abstractNumId w:val="28"/>
  </w:num>
  <w:num w:numId="7">
    <w:abstractNumId w:val="9"/>
  </w:num>
  <w:num w:numId="8">
    <w:abstractNumId w:val="6"/>
  </w:num>
  <w:num w:numId="9">
    <w:abstractNumId w:val="17"/>
  </w:num>
  <w:num w:numId="10">
    <w:abstractNumId w:val="3"/>
  </w:num>
  <w:num w:numId="11">
    <w:abstractNumId w:val="8"/>
  </w:num>
  <w:num w:numId="12">
    <w:abstractNumId w:val="20"/>
  </w:num>
  <w:num w:numId="13">
    <w:abstractNumId w:val="25"/>
  </w:num>
  <w:num w:numId="14">
    <w:abstractNumId w:val="23"/>
  </w:num>
  <w:num w:numId="15">
    <w:abstractNumId w:val="2"/>
  </w:num>
  <w:num w:numId="16">
    <w:abstractNumId w:val="13"/>
  </w:num>
  <w:num w:numId="17">
    <w:abstractNumId w:val="24"/>
  </w:num>
  <w:num w:numId="18">
    <w:abstractNumId w:val="30"/>
  </w:num>
  <w:num w:numId="19">
    <w:abstractNumId w:val="36"/>
  </w:num>
  <w:num w:numId="20">
    <w:abstractNumId w:val="7"/>
  </w:num>
  <w:num w:numId="21">
    <w:abstractNumId w:val="15"/>
  </w:num>
  <w:num w:numId="22">
    <w:abstractNumId w:val="32"/>
  </w:num>
  <w:num w:numId="23">
    <w:abstractNumId w:val="10"/>
  </w:num>
  <w:num w:numId="24">
    <w:abstractNumId w:val="0"/>
  </w:num>
  <w:num w:numId="25">
    <w:abstractNumId w:val="19"/>
  </w:num>
  <w:num w:numId="26">
    <w:abstractNumId w:val="29"/>
  </w:num>
  <w:num w:numId="27">
    <w:abstractNumId w:val="27"/>
  </w:num>
  <w:num w:numId="28">
    <w:abstractNumId w:val="33"/>
  </w:num>
  <w:num w:numId="29">
    <w:abstractNumId w:val="37"/>
  </w:num>
  <w:num w:numId="30">
    <w:abstractNumId w:val="1"/>
  </w:num>
  <w:num w:numId="31">
    <w:abstractNumId w:val="35"/>
  </w:num>
  <w:num w:numId="32">
    <w:abstractNumId w:val="18"/>
  </w:num>
  <w:num w:numId="33">
    <w:abstractNumId w:val="11"/>
  </w:num>
  <w:num w:numId="34">
    <w:abstractNumId w:val="21"/>
  </w:num>
  <w:num w:numId="35">
    <w:abstractNumId w:val="38"/>
  </w:num>
  <w:num w:numId="36">
    <w:abstractNumId w:val="34"/>
  </w:num>
  <w:num w:numId="37">
    <w:abstractNumId w:val="16"/>
  </w:num>
  <w:num w:numId="38">
    <w:abstractNumId w:val="31"/>
  </w:num>
  <w:num w:numId="3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08453E"/>
    <w:rsid w:val="0000596D"/>
    <w:rsid w:val="00050185"/>
    <w:rsid w:val="00050CBB"/>
    <w:rsid w:val="00072608"/>
    <w:rsid w:val="0008453E"/>
    <w:rsid w:val="0009755A"/>
    <w:rsid w:val="000B16DD"/>
    <w:rsid w:val="000B2604"/>
    <w:rsid w:val="000B44EE"/>
    <w:rsid w:val="00100A16"/>
    <w:rsid w:val="00102AB0"/>
    <w:rsid w:val="001300B2"/>
    <w:rsid w:val="00144175"/>
    <w:rsid w:val="001523DF"/>
    <w:rsid w:val="001651B2"/>
    <w:rsid w:val="001674EC"/>
    <w:rsid w:val="00181EDB"/>
    <w:rsid w:val="00276295"/>
    <w:rsid w:val="002C1C03"/>
    <w:rsid w:val="002E0367"/>
    <w:rsid w:val="002E6211"/>
    <w:rsid w:val="003208C2"/>
    <w:rsid w:val="0032550C"/>
    <w:rsid w:val="00381236"/>
    <w:rsid w:val="003C25F1"/>
    <w:rsid w:val="0043646B"/>
    <w:rsid w:val="00446728"/>
    <w:rsid w:val="004572A8"/>
    <w:rsid w:val="004608E0"/>
    <w:rsid w:val="00462AF9"/>
    <w:rsid w:val="004A43FF"/>
    <w:rsid w:val="004C6B7E"/>
    <w:rsid w:val="004E402A"/>
    <w:rsid w:val="00511B0D"/>
    <w:rsid w:val="00552FEB"/>
    <w:rsid w:val="0055411D"/>
    <w:rsid w:val="005568E8"/>
    <w:rsid w:val="00557EB2"/>
    <w:rsid w:val="0059696D"/>
    <w:rsid w:val="005C7888"/>
    <w:rsid w:val="005E0DEB"/>
    <w:rsid w:val="005E53E8"/>
    <w:rsid w:val="00604EDE"/>
    <w:rsid w:val="0062434B"/>
    <w:rsid w:val="006458FB"/>
    <w:rsid w:val="006470BB"/>
    <w:rsid w:val="00664D2C"/>
    <w:rsid w:val="0066634B"/>
    <w:rsid w:val="00675BE9"/>
    <w:rsid w:val="00682ED9"/>
    <w:rsid w:val="00692F72"/>
    <w:rsid w:val="006B3A42"/>
    <w:rsid w:val="006B40C4"/>
    <w:rsid w:val="00706022"/>
    <w:rsid w:val="00714A8E"/>
    <w:rsid w:val="0072133A"/>
    <w:rsid w:val="0074392C"/>
    <w:rsid w:val="00775BEF"/>
    <w:rsid w:val="007807BE"/>
    <w:rsid w:val="007B7224"/>
    <w:rsid w:val="007C12C9"/>
    <w:rsid w:val="007C4B59"/>
    <w:rsid w:val="007D2A31"/>
    <w:rsid w:val="00885BB4"/>
    <w:rsid w:val="00893C79"/>
    <w:rsid w:val="008A671E"/>
    <w:rsid w:val="008E1780"/>
    <w:rsid w:val="00935F0F"/>
    <w:rsid w:val="00936840"/>
    <w:rsid w:val="00982AF2"/>
    <w:rsid w:val="009A4BF6"/>
    <w:rsid w:val="009A4DB8"/>
    <w:rsid w:val="009A607B"/>
    <w:rsid w:val="009C44D0"/>
    <w:rsid w:val="00A12636"/>
    <w:rsid w:val="00A234D5"/>
    <w:rsid w:val="00A42D34"/>
    <w:rsid w:val="00A52907"/>
    <w:rsid w:val="00A57D1B"/>
    <w:rsid w:val="00A744B6"/>
    <w:rsid w:val="00A96634"/>
    <w:rsid w:val="00AB55AD"/>
    <w:rsid w:val="00AC22AE"/>
    <w:rsid w:val="00B132CD"/>
    <w:rsid w:val="00B645B7"/>
    <w:rsid w:val="00B65417"/>
    <w:rsid w:val="00B72498"/>
    <w:rsid w:val="00B9129F"/>
    <w:rsid w:val="00BE7D97"/>
    <w:rsid w:val="00BF59BD"/>
    <w:rsid w:val="00C62534"/>
    <w:rsid w:val="00C951E2"/>
    <w:rsid w:val="00CA2ACD"/>
    <w:rsid w:val="00CC144D"/>
    <w:rsid w:val="00CF2B01"/>
    <w:rsid w:val="00CF64DC"/>
    <w:rsid w:val="00D114D2"/>
    <w:rsid w:val="00D129E5"/>
    <w:rsid w:val="00D12C89"/>
    <w:rsid w:val="00D406A5"/>
    <w:rsid w:val="00D409B0"/>
    <w:rsid w:val="00D5404E"/>
    <w:rsid w:val="00D87A26"/>
    <w:rsid w:val="00DB0FAD"/>
    <w:rsid w:val="00DB4A54"/>
    <w:rsid w:val="00DE5325"/>
    <w:rsid w:val="00E229CC"/>
    <w:rsid w:val="00E24534"/>
    <w:rsid w:val="00E352E5"/>
    <w:rsid w:val="00E3686C"/>
    <w:rsid w:val="00E84328"/>
    <w:rsid w:val="00E93C52"/>
    <w:rsid w:val="00EA3D63"/>
    <w:rsid w:val="00F23877"/>
    <w:rsid w:val="00F44DDC"/>
    <w:rsid w:val="00F45A56"/>
    <w:rsid w:val="00F520FB"/>
    <w:rsid w:val="00FC2AA2"/>
    <w:rsid w:val="00FF5A4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5"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B0FAD"/>
  </w:style>
  <w:style w:type="paragraph" w:styleId="Ttulo1">
    <w:name w:val="heading 1"/>
    <w:basedOn w:val="Normal"/>
    <w:next w:val="Normal"/>
    <w:link w:val="Ttulo1Car"/>
    <w:uiPriority w:val="9"/>
    <w:qFormat/>
    <w:rsid w:val="00DB0FAD"/>
    <w:pPr>
      <w:keepNext/>
      <w:outlineLvl w:val="0"/>
    </w:pPr>
    <w:rPr>
      <w:rFonts w:ascii="Arial" w:hAnsi="Arial"/>
      <w:outline/>
      <w:color w:val="000000"/>
      <w:sz w:val="96"/>
    </w:rPr>
  </w:style>
  <w:style w:type="paragraph" w:styleId="Ttulo2">
    <w:name w:val="heading 2"/>
    <w:basedOn w:val="Normal"/>
    <w:next w:val="Normal"/>
    <w:link w:val="Ttulo2Car"/>
    <w:uiPriority w:val="9"/>
    <w:qFormat/>
    <w:rsid w:val="00DB0FAD"/>
    <w:pPr>
      <w:keepNext/>
      <w:outlineLvl w:val="1"/>
    </w:pPr>
    <w:rPr>
      <w:rFonts w:ascii="Arial" w:hAnsi="Arial"/>
      <w:color w:val="C0C0C0"/>
      <w:sz w:val="56"/>
    </w:rPr>
  </w:style>
  <w:style w:type="paragraph" w:styleId="Ttulo3">
    <w:name w:val="heading 3"/>
    <w:basedOn w:val="Normal"/>
    <w:next w:val="Normal"/>
    <w:qFormat/>
    <w:rsid w:val="00DB0FAD"/>
    <w:pPr>
      <w:keepNext/>
      <w:jc w:val="center"/>
      <w:outlineLvl w:val="2"/>
    </w:pPr>
    <w:rPr>
      <w:rFonts w:ascii="NewBskvll BT" w:hAnsi="NewBskvll BT"/>
      <w:i/>
      <w:sz w:val="24"/>
    </w:rPr>
  </w:style>
  <w:style w:type="paragraph" w:styleId="Ttulo4">
    <w:name w:val="heading 4"/>
    <w:basedOn w:val="Normal"/>
    <w:next w:val="Normal"/>
    <w:qFormat/>
    <w:rsid w:val="00DB0FAD"/>
    <w:pPr>
      <w:keepNext/>
      <w:jc w:val="center"/>
      <w:outlineLvl w:val="3"/>
    </w:pPr>
    <w:rPr>
      <w:rFonts w:ascii="Arial" w:hAnsi="Arial"/>
      <w:sz w:val="32"/>
    </w:rPr>
  </w:style>
  <w:style w:type="paragraph" w:styleId="Ttulo5">
    <w:name w:val="heading 5"/>
    <w:basedOn w:val="Normal"/>
    <w:next w:val="Normal"/>
    <w:qFormat/>
    <w:rsid w:val="00DB0FAD"/>
    <w:pPr>
      <w:keepNext/>
      <w:outlineLvl w:val="4"/>
    </w:pPr>
    <w:rPr>
      <w:rFonts w:ascii="Arial" w:hAnsi="Arial"/>
      <w:b/>
      <w:sz w:val="32"/>
      <w:u w:val="single"/>
    </w:rPr>
  </w:style>
  <w:style w:type="paragraph" w:styleId="Ttulo6">
    <w:name w:val="heading 6"/>
    <w:basedOn w:val="Normal"/>
    <w:next w:val="Normal"/>
    <w:qFormat/>
    <w:rsid w:val="00DB0FAD"/>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DB0FAD"/>
    <w:pPr>
      <w:jc w:val="center"/>
    </w:pPr>
    <w:rPr>
      <w:sz w:val="48"/>
    </w:rPr>
  </w:style>
  <w:style w:type="paragraph" w:styleId="Textoindependiente2">
    <w:name w:val="Body Text 2"/>
    <w:basedOn w:val="Normal"/>
    <w:rsid w:val="00DB0FAD"/>
    <w:pPr>
      <w:jc w:val="center"/>
    </w:pPr>
    <w:rPr>
      <w:rFonts w:ascii="Arial" w:hAnsi="Arial"/>
      <w:smallCaps/>
      <w:sz w:val="52"/>
    </w:rPr>
  </w:style>
  <w:style w:type="paragraph" w:styleId="Textodeglobo">
    <w:name w:val="Balloon Text"/>
    <w:basedOn w:val="Normal"/>
    <w:link w:val="TextodegloboCar"/>
    <w:uiPriority w:val="99"/>
    <w:rsid w:val="008E1780"/>
    <w:rPr>
      <w:rFonts w:ascii="Tahoma" w:hAnsi="Tahoma" w:cs="Tahoma"/>
      <w:sz w:val="16"/>
      <w:szCs w:val="16"/>
    </w:rPr>
  </w:style>
  <w:style w:type="character" w:customStyle="1" w:styleId="TextodegloboCar">
    <w:name w:val="Texto de globo Car"/>
    <w:basedOn w:val="Fuentedeprrafopredeter"/>
    <w:link w:val="Textodeglobo"/>
    <w:uiPriority w:val="99"/>
    <w:rsid w:val="008E1780"/>
    <w:rPr>
      <w:rFonts w:ascii="Tahoma" w:hAnsi="Tahoma" w:cs="Tahoma"/>
      <w:sz w:val="16"/>
      <w:szCs w:val="16"/>
    </w:rPr>
  </w:style>
  <w:style w:type="paragraph" w:styleId="Textonotapie">
    <w:name w:val="footnote text"/>
    <w:basedOn w:val="Normal"/>
    <w:link w:val="TextonotapieCar"/>
    <w:uiPriority w:val="99"/>
    <w:unhideWhenUsed/>
    <w:rsid w:val="00050185"/>
    <w:rPr>
      <w:rFonts w:asciiTheme="minorHAnsi" w:eastAsiaTheme="minorHAnsi" w:hAnsiTheme="minorHAnsi" w:cstheme="minorBidi"/>
      <w:lang w:eastAsia="en-US"/>
    </w:rPr>
  </w:style>
  <w:style w:type="character" w:customStyle="1" w:styleId="TextonotapieCar">
    <w:name w:val="Texto nota pie Car"/>
    <w:basedOn w:val="Fuentedeprrafopredeter"/>
    <w:link w:val="Textonotapie"/>
    <w:uiPriority w:val="99"/>
    <w:rsid w:val="00050185"/>
    <w:rPr>
      <w:rFonts w:asciiTheme="minorHAnsi" w:eastAsiaTheme="minorHAnsi" w:hAnsiTheme="minorHAnsi" w:cstheme="minorBidi"/>
      <w:lang w:eastAsia="en-US"/>
    </w:rPr>
  </w:style>
  <w:style w:type="character" w:styleId="Refdenotaalpie">
    <w:name w:val="footnote reference"/>
    <w:basedOn w:val="Fuentedeprrafopredeter"/>
    <w:uiPriority w:val="99"/>
    <w:unhideWhenUsed/>
    <w:rsid w:val="00050185"/>
    <w:rPr>
      <w:vertAlign w:val="superscript"/>
    </w:rPr>
  </w:style>
  <w:style w:type="paragraph" w:styleId="Prrafodelista">
    <w:name w:val="List Paragraph"/>
    <w:basedOn w:val="Normal"/>
    <w:uiPriority w:val="34"/>
    <w:qFormat/>
    <w:rsid w:val="00050185"/>
    <w:pPr>
      <w:spacing w:after="200" w:line="276" w:lineRule="auto"/>
      <w:ind w:left="720"/>
      <w:contextualSpacing/>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unhideWhenUsed/>
    <w:rsid w:val="00050185"/>
    <w:rPr>
      <w:color w:val="0000FF" w:themeColor="hyperlink"/>
      <w:u w:val="single"/>
    </w:rPr>
  </w:style>
  <w:style w:type="character" w:customStyle="1" w:styleId="Ttulo1Car">
    <w:name w:val="Título 1 Car"/>
    <w:basedOn w:val="Fuentedeprrafopredeter"/>
    <w:link w:val="Ttulo1"/>
    <w:uiPriority w:val="9"/>
    <w:rsid w:val="00050185"/>
    <w:rPr>
      <w:rFonts w:ascii="Arial" w:hAnsi="Arial"/>
      <w:outline/>
      <w:color w:val="000000"/>
      <w:sz w:val="96"/>
    </w:rPr>
  </w:style>
  <w:style w:type="character" w:customStyle="1" w:styleId="Ttulo2Car">
    <w:name w:val="Título 2 Car"/>
    <w:basedOn w:val="Fuentedeprrafopredeter"/>
    <w:link w:val="Ttulo2"/>
    <w:uiPriority w:val="9"/>
    <w:rsid w:val="00050185"/>
    <w:rPr>
      <w:rFonts w:ascii="Arial" w:hAnsi="Arial"/>
      <w:color w:val="C0C0C0"/>
      <w:sz w:val="56"/>
    </w:rPr>
  </w:style>
  <w:style w:type="paragraph" w:styleId="NormalWeb">
    <w:name w:val="Normal (Web)"/>
    <w:basedOn w:val="Normal"/>
    <w:uiPriority w:val="99"/>
    <w:unhideWhenUsed/>
    <w:rsid w:val="00050185"/>
    <w:pPr>
      <w:spacing w:after="200" w:line="276" w:lineRule="auto"/>
    </w:pPr>
    <w:rPr>
      <w:rFonts w:eastAsiaTheme="minorHAnsi"/>
      <w:sz w:val="24"/>
      <w:szCs w:val="24"/>
      <w:lang w:eastAsia="en-US"/>
    </w:rPr>
  </w:style>
  <w:style w:type="paragraph" w:styleId="Encabezado">
    <w:name w:val="header"/>
    <w:basedOn w:val="Normal"/>
    <w:link w:val="EncabezadoCar"/>
    <w:rsid w:val="003C25F1"/>
    <w:pPr>
      <w:tabs>
        <w:tab w:val="center" w:pos="4252"/>
        <w:tab w:val="right" w:pos="8504"/>
      </w:tabs>
    </w:pPr>
  </w:style>
  <w:style w:type="character" w:customStyle="1" w:styleId="EncabezadoCar">
    <w:name w:val="Encabezado Car"/>
    <w:basedOn w:val="Fuentedeprrafopredeter"/>
    <w:link w:val="Encabezado"/>
    <w:rsid w:val="003C25F1"/>
  </w:style>
  <w:style w:type="paragraph" w:styleId="Piedepgina">
    <w:name w:val="footer"/>
    <w:basedOn w:val="Normal"/>
    <w:link w:val="PiedepginaCar"/>
    <w:uiPriority w:val="99"/>
    <w:rsid w:val="003C25F1"/>
    <w:pPr>
      <w:tabs>
        <w:tab w:val="center" w:pos="4252"/>
        <w:tab w:val="right" w:pos="8504"/>
      </w:tabs>
    </w:pPr>
  </w:style>
  <w:style w:type="character" w:customStyle="1" w:styleId="PiedepginaCar">
    <w:name w:val="Pie de página Car"/>
    <w:basedOn w:val="Fuentedeprrafopredeter"/>
    <w:link w:val="Piedepgina"/>
    <w:uiPriority w:val="99"/>
    <w:rsid w:val="003C25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8" Type="http://schemas.openxmlformats.org/officeDocument/2006/relationships/hyperlink" Target="http://0-aranzadi.aranzadidigital.es.avalos.ujaen.es/maf/app/document?infotype=juris&amp;marginal=RJ\1986\163&amp;familyguid=RJ\1986\163&amp;brand-id=wlesp&amp;src=doc&amp;srguid=i0ad6adc50000015bd805bb87fef62022&amp;endChunk=2&amp;startChunk=1&amp;stid=marginal&amp;nstid=marginal&amp;langCites=spa" TargetMode="External"/><Relationship Id="rId13" Type="http://schemas.openxmlformats.org/officeDocument/2006/relationships/hyperlink" Target="http://0-aranzadi.aranzadidigital.es.avalos.ujaen.es/maf/app/document?tid=&amp;docguid=Ia5fa1b304dc011e69acb010000000000&amp;base-guids=RJ\2016\3369&amp;fexid=flag-red-juris&amp;fexid=flag-yellow-juris&amp;fexid=flag-blue-juris&amp;fexid=DO-ANA-25&amp;fexid=DO-ANA-23&amp;srguid=i0ad82d9b0000015bf7d45cd0a5d52dc8&amp;th=Penal&amp;guid=Id0145390b6e311e18b74010000000000&amp;src=withinResuts&amp;spos=49&amp;epos=49" TargetMode="External"/><Relationship Id="rId18" Type="http://schemas.openxmlformats.org/officeDocument/2006/relationships/hyperlink" Target="http://0-aranzadi.aranzadidigital.es.avalos.ujaen.es/maf/app/document?tid=&amp;docguid=I135c2d00fe2311db8df80000846fb0e8&amp;base-guids=ARP\2002\51&amp;fexid=flag-red-juris&amp;fexid=flag-yellow-juris&amp;fexid=flag-blue-juris&amp;fexid=DO-ANA-25&amp;fexid=DO-ANA-23&amp;srguid=i0ad6adc60000015bfd40fc16b6c69730&amp;th=Penal&amp;guid=Id0145390b6e311e18b74010000000000&amp;src=withinResuts&amp;spos=35&amp;epos=35" TargetMode="External"/><Relationship Id="rId3" Type="http://schemas.openxmlformats.org/officeDocument/2006/relationships/hyperlink" Target="http://0-aranzadi.aranzadidigital.es.avalos.ujaen.es/maf/app/document?tid=&amp;docguid=Id5d78f80227911e68c04010000000000&amp;base-guids=RJ\2016\2247&amp;fexid=flag-red-juris&amp;fexid=flag-yellow-juris&amp;fexid=flag-blue-juris&amp;fexid=DO-ANA-25&amp;fexid=DO-ANA-23&amp;srguid=i0ad82d9a0000015bd84e6e4f22a89c20&amp;th=Penal&amp;guid=Id0145390b6e311e18b74010000000000&amp;src=withinResuts&amp;spos=6&amp;epos=6" TargetMode="External"/><Relationship Id="rId7" Type="http://schemas.openxmlformats.org/officeDocument/2006/relationships/hyperlink" Target="http://0-aranzadi.aranzadidigital.es.avalos.ujaen.es/maf/app/document?tid=&amp;docguid=I5e193030f7b211db8692010000000000&amp;base-guids=ARP\2004\592&amp;fexid=flag-red-juris&amp;fexid=flag-yellow-juris&amp;fexid=flag-blue-juris&amp;fexid=DO-ANA-25&amp;fexid=DO-ANA-23&amp;srguid=i0ad6adc50000015bd805bb87fef62022&amp;th=Penal&amp;guid=Id0145390b6e311e18b74010000000000&amp;src=withinResuts&amp;spos=4&amp;epos=4" TargetMode="External"/><Relationship Id="rId12" Type="http://schemas.openxmlformats.org/officeDocument/2006/relationships/hyperlink" Target="http://0-aranzadi.aranzadidigital.es.avalos.ujaen.es/maf/app/document?tid=&amp;docguid=I135c2d00fe2311db8df80000846fb0e8&amp;base-guids=ARP\2002\51&amp;fexid=flag-red-juris&amp;fexid=flag-yellow-juris&amp;fexid=flag-blue-juris&amp;fexid=DO-ANA-25&amp;fexid=DO-ANA-23&amp;srguid=i0ad82d9b0000015bd86ae866e937cac0&amp;th=Penal&amp;guid=Id0145390b6e311e18b74010000000000&amp;src=withinResuts&amp;spos=35&amp;epos=35" TargetMode="External"/><Relationship Id="rId17" Type="http://schemas.openxmlformats.org/officeDocument/2006/relationships/hyperlink" Target="http://0-aranzadi.aranzadidigital.es.avalos.ujaen.es/maf/app/document?tid=&amp;docguid=I4ae2ba90580111e1bcf4010000000000&amp;base-guids=RJ\2012\448&amp;fexid=flag-red-juris&amp;fexid=flag-yellow-juris&amp;fexid=flag-blue-juris&amp;fexid=DO-ANA-25&amp;fexid=DO-ANA-23&amp;srguid=i0ad6adc60000015bfd40fc16b6c69730&amp;th=Penal&amp;guid=Id0145390b6e311e18b74010000000000&amp;src=withinResuts&amp;spos=3&amp;epos=3" TargetMode="External"/><Relationship Id="rId2" Type="http://schemas.openxmlformats.org/officeDocument/2006/relationships/hyperlink" Target="http://www.asesoriayempresas.es/jurisprudencia/JURIDICO/139737/sentencia-ts-271-2012-sala-2-de-9-de-abril-robo-con-violencia-y-hurto" TargetMode="External"/><Relationship Id="rId16" Type="http://schemas.openxmlformats.org/officeDocument/2006/relationships/hyperlink" Target="http://www.poderjudicial.es/search/contenidos.action?action=contentpdf&amp;databasematch=AN&amp;reference=5981864&amp;links=&amp;optimize=20110526&amp;publicinterface=true" TargetMode="External"/><Relationship Id="rId1" Type="http://schemas.openxmlformats.org/officeDocument/2006/relationships/hyperlink" Target="https://supremo.vlex.es/vid/intimidatorio-manifestadas-constriccion-15202160" TargetMode="External"/><Relationship Id="rId6" Type="http://schemas.openxmlformats.org/officeDocument/2006/relationships/hyperlink" Target="http://www.asesoriayempresas.es/jurisprudencia/JURIDICO/42739/sentencia-ap-madrid-716-2006-de-18-de-septiembre-delito-intentado-de-hurto-en-grado-de-tentativa" TargetMode="External"/><Relationship Id="rId11" Type="http://schemas.openxmlformats.org/officeDocument/2006/relationships/hyperlink" Target="https://supremo.vlex.es/vid/-481795922?_ga=2.127223054.202665213.1493739967-713098328.1493550593" TargetMode="External"/><Relationship Id="rId5" Type="http://schemas.openxmlformats.org/officeDocument/2006/relationships/hyperlink" Target="https://supremo.vlex.es/vid/robo-fuerza-cosas-17726530" TargetMode="External"/><Relationship Id="rId15" Type="http://schemas.openxmlformats.org/officeDocument/2006/relationships/hyperlink" Target="http://0-aranzadi.aranzadidigital.es.avalos.ujaen.es/maf/app/document?tid=&amp;docguid=I7c2711f0075711e1a742010000000000&amp;base-guids=RJ\2011\7483&amp;fexid=flag-red-juris&amp;fexid=flag-yellow-juris&amp;fexid=flag-blue-juris&amp;fexid=DO-ANA-25&amp;fexid=DO-ANA-23&amp;srguid=i0ad82d9a0000015bf7fe4ada734d888d&amp;th=Penal&amp;guid=Id0145390b6e311e18b74010000000000&amp;src=withinResuts&amp;spos=128&amp;epos=128" TargetMode="External"/><Relationship Id="rId10" Type="http://schemas.openxmlformats.org/officeDocument/2006/relationships/hyperlink" Target="https://supremo.vlex.es/vid/-516234434?_ga=2.240529155.148699714.1493737179-713098328.1493550593" TargetMode="External"/><Relationship Id="rId19" Type="http://schemas.openxmlformats.org/officeDocument/2006/relationships/hyperlink" Target="http://0-aranzadi.aranzadidigital.es.avalos.ujaen.es/maf/app/document?tid=&amp;docguid=Id7414270f49e11dba7bd010000000000&amp;base-guids=ARP\2000\15&amp;fexid=flag-red-juris&amp;fexid=flag-yellow-juris&amp;fexid=flag-blue-juris&amp;fexid=DO-ANA-25&amp;fexid=DO-ANA-23&amp;srguid=i0ad6adc60000015bfd40fc16b6c69730&amp;th=Penal&amp;guid=Id0145390b6e311e18b74010000000000&amp;src=withinResuts&amp;spos=37&amp;epos=37" TargetMode="External"/><Relationship Id="rId4" Type="http://schemas.openxmlformats.org/officeDocument/2006/relationships/hyperlink" Target="http://www.asesoriayempresas.es/jurisprudencia/JURIDICO/151378/sentencia-ap-madrid-1186-2012-de-18-de-septiembre-robo-con-fuerza-en-las-cosas-dilaciones-indeb" TargetMode="External"/><Relationship Id="rId9" Type="http://schemas.openxmlformats.org/officeDocument/2006/relationships/hyperlink" Target="https://supremo.vlex.es/vid/474524814" TargetMode="External"/><Relationship Id="rId14" Type="http://schemas.openxmlformats.org/officeDocument/2006/relationships/hyperlink" Target="http://0-aranzadi.aranzadidigital.es.avalos.ujaen.es/maf/app/document?tid=&amp;docguid=Ic6dd6860ddef11e6a5f8010000000000&amp;base-guids=RJ\2016\6281&amp;fexid=flag-red-juris&amp;fexid=flag-yellow-juris&amp;fexid=flag-blue-juris&amp;fexid=DO-ANA-25&amp;fexid=DO-ANA-23&amp;srguid=i0ad82d9a0000015bf7fe4ada734d888d&amp;th=Penal&amp;guid=Id0145390b6e311e18b74010000000000&amp;src=withinResuts&amp;spos=1&amp;epos=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630A5F-3C5B-454B-B4DC-BF8A99E2E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510</TotalTime>
  <Pages>43</Pages>
  <Words>11176</Words>
  <Characters>55745</Characters>
  <Application>Microsoft Office Word</Application>
  <DocSecurity>0</DocSecurity>
  <Lines>464</Lines>
  <Paragraphs>133</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66788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Windows User</cp:lastModifiedBy>
  <cp:revision>21</cp:revision>
  <cp:lastPrinted>2014-04-29T09:22:00Z</cp:lastPrinted>
  <dcterms:created xsi:type="dcterms:W3CDTF">2017-05-22T13:19:00Z</dcterms:created>
  <dcterms:modified xsi:type="dcterms:W3CDTF">2017-05-31T18:42:00Z</dcterms:modified>
</cp:coreProperties>
</file>