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F25" w:rsidRPr="00274631" w:rsidRDefault="00301E30" w:rsidP="00274631">
      <w:pPr>
        <w:spacing w:line="360" w:lineRule="auto"/>
        <w:ind w:left="8222" w:hanging="8222"/>
        <w:jc w:val="both"/>
        <w:rPr>
          <w:rFonts w:ascii="Times New Roman" w:hAnsi="Times New Roman" w:cs="Times New Roman"/>
          <w:sz w:val="24"/>
          <w:szCs w:val="24"/>
        </w:rPr>
      </w:pPr>
      <w:r w:rsidRPr="00274631">
        <w:rPr>
          <w:rFonts w:ascii="Times New Roman" w:hAnsi="Times New Roman" w:cs="Times New Roman"/>
          <w:sz w:val="24"/>
          <w:szCs w:val="24"/>
        </w:rPr>
        <w:t>Índice</w:t>
      </w:r>
    </w:p>
    <w:p w:rsidR="003F1D26" w:rsidRPr="00274631" w:rsidRDefault="003F1D26" w:rsidP="00274631">
      <w:pPr>
        <w:spacing w:line="360" w:lineRule="auto"/>
        <w:jc w:val="both"/>
        <w:rPr>
          <w:rFonts w:ascii="Times New Roman" w:hAnsi="Times New Roman" w:cs="Times New Roman"/>
          <w:sz w:val="24"/>
          <w:szCs w:val="24"/>
        </w:rPr>
      </w:pPr>
    </w:p>
    <w:p w:rsidR="003F1D26" w:rsidRDefault="00301E30"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derecho de igualdad </w:t>
      </w:r>
      <w:r w:rsidR="00D8051B">
        <w:rPr>
          <w:rFonts w:ascii="Times New Roman" w:hAnsi="Times New Roman" w:cs="Times New Roman"/>
          <w:sz w:val="24"/>
          <w:szCs w:val="24"/>
        </w:rPr>
        <w:t xml:space="preserve">en la actualidad                                                                         </w:t>
      </w:r>
      <w:r w:rsidR="00274631">
        <w:rPr>
          <w:rFonts w:ascii="Times New Roman" w:hAnsi="Times New Roman" w:cs="Times New Roman"/>
          <w:sz w:val="24"/>
          <w:szCs w:val="24"/>
        </w:rPr>
        <w:t>3</w:t>
      </w:r>
    </w:p>
    <w:p w:rsidR="0069401F" w:rsidRPr="00274631" w:rsidRDefault="0069401F" w:rsidP="0069401F">
      <w:pPr>
        <w:pStyle w:val="Prrafodelista"/>
        <w:numPr>
          <w:ilvl w:val="1"/>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La igualdad formal del artículo 14 de la Constitución Española</w:t>
      </w:r>
      <w:r w:rsidR="00D260CD">
        <w:rPr>
          <w:rFonts w:ascii="Times New Roman" w:hAnsi="Times New Roman" w:cs="Times New Roman"/>
          <w:sz w:val="24"/>
          <w:szCs w:val="24"/>
        </w:rPr>
        <w:t xml:space="preserve">                             4</w:t>
      </w:r>
    </w:p>
    <w:p w:rsidR="00301E30" w:rsidRPr="00274631" w:rsidRDefault="00D8051B" w:rsidP="00274631">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Protección multinivel del derecho de igualdad                                                              </w:t>
      </w:r>
      <w:r w:rsidR="00D260CD">
        <w:rPr>
          <w:rFonts w:ascii="Times New Roman" w:hAnsi="Times New Roman" w:cs="Times New Roman"/>
          <w:sz w:val="24"/>
          <w:szCs w:val="24"/>
        </w:rPr>
        <w:t>8</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Ámbito Universal, la Organización de Naciones Unidas</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8</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Ámbito Europeo</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10</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Ámbito Español</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14</w:t>
      </w:r>
    </w:p>
    <w:p w:rsidR="00301E30" w:rsidRPr="00274631" w:rsidRDefault="00D8051B" w:rsidP="00274631">
      <w:pPr>
        <w:pStyle w:val="Prrafodelista"/>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Modalidades de discriminación desde una perspectiva constitucional </w:t>
      </w:r>
      <w:r w:rsidR="00D260CD">
        <w:rPr>
          <w:rFonts w:ascii="Times New Roman" w:hAnsi="Times New Roman" w:cs="Times New Roman"/>
          <w:sz w:val="24"/>
          <w:szCs w:val="24"/>
        </w:rPr>
        <w:t>y estatutaria    14</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Derecho a la no discriminación por razón de nacionalidad</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14</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Derecho a la no discriminación por razón de raza</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15</w:t>
      </w:r>
    </w:p>
    <w:p w:rsidR="00301E30" w:rsidRP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Derecho a la no discriminación por motivos religiosos</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17</w:t>
      </w:r>
    </w:p>
    <w:p w:rsidR="00274631" w:rsidRDefault="00301E30"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Derecho a la no discriminación por razón de lengua</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 xml:space="preserve">                              18</w:t>
      </w:r>
    </w:p>
    <w:p w:rsidR="00301E30" w:rsidRPr="00274631" w:rsidRDefault="00CF1E6F" w:rsidP="00274631">
      <w:pPr>
        <w:pStyle w:val="Prrafodelista"/>
        <w:numPr>
          <w:ilvl w:val="1"/>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5664">
        <w:rPr>
          <w:rFonts w:ascii="Times New Roman" w:hAnsi="Times New Roman" w:cs="Times New Roman"/>
          <w:sz w:val="24"/>
          <w:szCs w:val="24"/>
        </w:rPr>
        <w:t xml:space="preserve">Derecho </w:t>
      </w:r>
      <w:r w:rsidR="00274631">
        <w:rPr>
          <w:rFonts w:ascii="Times New Roman" w:hAnsi="Times New Roman" w:cs="Times New Roman"/>
          <w:sz w:val="24"/>
          <w:szCs w:val="24"/>
        </w:rPr>
        <w:t xml:space="preserve">a la no discriminación por razón de opción sexual   </w:t>
      </w:r>
      <w:r>
        <w:rPr>
          <w:rFonts w:ascii="Times New Roman" w:hAnsi="Times New Roman" w:cs="Times New Roman"/>
          <w:sz w:val="24"/>
          <w:szCs w:val="24"/>
        </w:rPr>
        <w:t xml:space="preserve">                              </w:t>
      </w:r>
      <w:r w:rsidR="00D260CD">
        <w:rPr>
          <w:rFonts w:ascii="Times New Roman" w:hAnsi="Times New Roman" w:cs="Times New Roman"/>
          <w:sz w:val="24"/>
          <w:szCs w:val="24"/>
        </w:rPr>
        <w:t>19</w:t>
      </w:r>
      <w:r w:rsidR="00274631">
        <w:rPr>
          <w:rFonts w:ascii="Times New Roman" w:hAnsi="Times New Roman" w:cs="Times New Roman"/>
          <w:sz w:val="24"/>
          <w:szCs w:val="24"/>
        </w:rPr>
        <w:t xml:space="preserve">    </w:t>
      </w:r>
    </w:p>
    <w:p w:rsidR="00301E30" w:rsidRPr="00274631" w:rsidRDefault="00301E30"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Introducción a la evolución de la igualdad y la no discriminación por sexos     </w:t>
      </w:r>
      <w:r w:rsidR="00274631">
        <w:rPr>
          <w:rFonts w:ascii="Times New Roman" w:hAnsi="Times New Roman" w:cs="Times New Roman"/>
          <w:sz w:val="24"/>
          <w:szCs w:val="24"/>
        </w:rPr>
        <w:t xml:space="preserve">         </w:t>
      </w:r>
      <w:r w:rsidR="00D260CD">
        <w:rPr>
          <w:rFonts w:ascii="Times New Roman" w:hAnsi="Times New Roman" w:cs="Times New Roman"/>
          <w:sz w:val="24"/>
          <w:szCs w:val="24"/>
        </w:rPr>
        <w:t>21</w:t>
      </w:r>
    </w:p>
    <w:p w:rsidR="00301E30" w:rsidRPr="00274631" w:rsidRDefault="00301E30"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Materia de igualdad de oportunidades entre hombres y mujeres, </w:t>
      </w:r>
      <w:r w:rsidR="00274631">
        <w:rPr>
          <w:rFonts w:ascii="Times New Roman" w:hAnsi="Times New Roman" w:cs="Times New Roman"/>
          <w:sz w:val="24"/>
          <w:szCs w:val="24"/>
        </w:rPr>
        <w:t xml:space="preserve">                          </w:t>
      </w:r>
    </w:p>
    <w:p w:rsidR="00301E30" w:rsidRPr="00274631" w:rsidRDefault="00301E30"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normativa </w:t>
      </w:r>
      <w:r w:rsidR="006145DD" w:rsidRPr="00274631">
        <w:rPr>
          <w:rFonts w:ascii="Times New Roman" w:hAnsi="Times New Roman" w:cs="Times New Roman"/>
          <w:sz w:val="24"/>
          <w:szCs w:val="24"/>
        </w:rPr>
        <w:t>comunitaria</w:t>
      </w:r>
      <w:r w:rsidRPr="00274631">
        <w:rPr>
          <w:rFonts w:ascii="Times New Roman" w:hAnsi="Times New Roman" w:cs="Times New Roman"/>
          <w:sz w:val="24"/>
          <w:szCs w:val="24"/>
        </w:rPr>
        <w:t xml:space="preserve"> y nacional</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23</w:t>
      </w:r>
    </w:p>
    <w:p w:rsidR="006145DD" w:rsidRPr="00274631" w:rsidRDefault="006145DD"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Normativa Comunitaria</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23</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igualdad de oportunidades entre el hombre y la mujer a nivel</w:t>
      </w:r>
    </w:p>
    <w:p w:rsidR="006145DD" w:rsidRPr="00274631" w:rsidRDefault="006145DD" w:rsidP="00274631">
      <w:pPr>
        <w:pStyle w:val="Prrafodelista"/>
        <w:spacing w:line="360" w:lineRule="auto"/>
        <w:ind w:left="1800"/>
        <w:jc w:val="both"/>
        <w:rPr>
          <w:rFonts w:ascii="Times New Roman" w:hAnsi="Times New Roman" w:cs="Times New Roman"/>
          <w:sz w:val="24"/>
          <w:szCs w:val="24"/>
        </w:rPr>
      </w:pPr>
      <w:r w:rsidRPr="00274631">
        <w:rPr>
          <w:rFonts w:ascii="Times New Roman" w:hAnsi="Times New Roman" w:cs="Times New Roman"/>
          <w:sz w:val="24"/>
          <w:szCs w:val="24"/>
        </w:rPr>
        <w:t>Europeo</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24</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Las directivas europeas</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24</w:t>
      </w:r>
      <w:r w:rsidR="00274631">
        <w:rPr>
          <w:rFonts w:ascii="Times New Roman" w:hAnsi="Times New Roman" w:cs="Times New Roman"/>
          <w:sz w:val="24"/>
          <w:szCs w:val="24"/>
        </w:rPr>
        <w:t xml:space="preserve">                     </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Resoluciones del Consejo</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27</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Recomendaciones e informes de la Comisión</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28</w:t>
      </w:r>
    </w:p>
    <w:p w:rsidR="006145DD" w:rsidRPr="00274631" w:rsidRDefault="006145DD"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Normativa Nacional</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30</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Constitución Española, artículo 14</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30</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igualdad de sexo en el ámbito jurídico civil</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30</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igualdad de sexo en el ámbito jurídico laboral</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31</w:t>
      </w:r>
    </w:p>
    <w:p w:rsidR="006145DD" w:rsidRPr="00274631" w:rsidRDefault="006145DD" w:rsidP="00274631">
      <w:pPr>
        <w:pStyle w:val="Prrafodelista"/>
        <w:numPr>
          <w:ilvl w:val="3"/>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La conciliación laboral</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31</w:t>
      </w:r>
    </w:p>
    <w:p w:rsidR="006145DD" w:rsidRPr="00274631" w:rsidRDefault="006145DD" w:rsidP="00274631">
      <w:pPr>
        <w:pStyle w:val="Prrafodelista"/>
        <w:numPr>
          <w:ilvl w:val="3"/>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La suspensión del contrato por paternidad</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34</w:t>
      </w:r>
    </w:p>
    <w:p w:rsidR="006145DD" w:rsidRPr="00274631" w:rsidRDefault="006145DD" w:rsidP="00274631">
      <w:pPr>
        <w:pStyle w:val="Prrafodelista"/>
        <w:numPr>
          <w:ilvl w:val="2"/>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Consecuencias penales de la discriminación por razón de sexo</w:t>
      </w:r>
      <w:r w:rsidR="000451CC">
        <w:rPr>
          <w:rFonts w:ascii="Times New Roman" w:hAnsi="Times New Roman" w:cs="Times New Roman"/>
          <w:sz w:val="24"/>
          <w:szCs w:val="24"/>
        </w:rPr>
        <w:t xml:space="preserve">                 34</w:t>
      </w:r>
    </w:p>
    <w:p w:rsidR="006145DD" w:rsidRPr="00274631" w:rsidRDefault="00FD1E25"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Instituciones y legislación en materia de igualdad de oportunidades entre el </w:t>
      </w:r>
      <w:r w:rsidR="00274631">
        <w:rPr>
          <w:rFonts w:ascii="Times New Roman" w:hAnsi="Times New Roman" w:cs="Times New Roman"/>
          <w:sz w:val="24"/>
          <w:szCs w:val="24"/>
        </w:rPr>
        <w:t xml:space="preserve">  </w:t>
      </w:r>
    </w:p>
    <w:p w:rsidR="00FD1E25" w:rsidRPr="00274631" w:rsidRDefault="00FD1E25" w:rsidP="00274631">
      <w:pPr>
        <w:pStyle w:val="Prrafodelista"/>
        <w:spacing w:line="360" w:lineRule="auto"/>
        <w:jc w:val="both"/>
        <w:rPr>
          <w:rFonts w:ascii="Times New Roman" w:hAnsi="Times New Roman" w:cs="Times New Roman"/>
          <w:sz w:val="24"/>
          <w:szCs w:val="24"/>
        </w:rPr>
      </w:pPr>
      <w:proofErr w:type="gramStart"/>
      <w:r w:rsidRPr="00274631">
        <w:rPr>
          <w:rFonts w:ascii="Times New Roman" w:hAnsi="Times New Roman" w:cs="Times New Roman"/>
          <w:sz w:val="24"/>
          <w:szCs w:val="24"/>
        </w:rPr>
        <w:t>hombre</w:t>
      </w:r>
      <w:proofErr w:type="gramEnd"/>
      <w:r w:rsidRPr="00274631">
        <w:rPr>
          <w:rFonts w:ascii="Times New Roman" w:hAnsi="Times New Roman" w:cs="Times New Roman"/>
          <w:sz w:val="24"/>
          <w:szCs w:val="24"/>
        </w:rPr>
        <w:t xml:space="preserve"> y la mujer</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35</w:t>
      </w:r>
    </w:p>
    <w:p w:rsidR="00FD1E25" w:rsidRPr="00274631" w:rsidRDefault="00FD1E25"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Observatorio de la Igualdad de oportunidades entre mujeres y hombres</w:t>
      </w:r>
      <w:r w:rsidR="000451CC">
        <w:rPr>
          <w:rFonts w:ascii="Times New Roman" w:hAnsi="Times New Roman" w:cs="Times New Roman"/>
          <w:sz w:val="24"/>
          <w:szCs w:val="24"/>
        </w:rPr>
        <w:t xml:space="preserve">              35</w:t>
      </w:r>
    </w:p>
    <w:p w:rsidR="00FD1E25" w:rsidRPr="00274631" w:rsidRDefault="00FD1E25"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 Acuerdo de Consejo de Ministros por el que se acuerdan medidas para </w:t>
      </w:r>
      <w:r w:rsidR="000451CC">
        <w:rPr>
          <w:rFonts w:ascii="Times New Roman" w:hAnsi="Times New Roman" w:cs="Times New Roman"/>
          <w:sz w:val="24"/>
          <w:szCs w:val="24"/>
        </w:rPr>
        <w:t xml:space="preserve">              36</w:t>
      </w:r>
    </w:p>
    <w:p w:rsidR="00FD1E25" w:rsidRPr="00274631" w:rsidRDefault="00FD1E25" w:rsidP="00274631">
      <w:pPr>
        <w:pStyle w:val="Prrafodelista"/>
        <w:spacing w:line="360" w:lineRule="auto"/>
        <w:ind w:left="1080"/>
        <w:jc w:val="both"/>
        <w:rPr>
          <w:rFonts w:ascii="Times New Roman" w:hAnsi="Times New Roman" w:cs="Times New Roman"/>
          <w:sz w:val="24"/>
          <w:szCs w:val="24"/>
        </w:rPr>
      </w:pPr>
      <w:r w:rsidRPr="00274631">
        <w:rPr>
          <w:rFonts w:ascii="Times New Roman" w:hAnsi="Times New Roman" w:cs="Times New Roman"/>
          <w:sz w:val="24"/>
          <w:szCs w:val="24"/>
        </w:rPr>
        <w:t xml:space="preserve"> </w:t>
      </w:r>
      <w:proofErr w:type="gramStart"/>
      <w:r w:rsidRPr="00274631">
        <w:rPr>
          <w:rFonts w:ascii="Times New Roman" w:hAnsi="Times New Roman" w:cs="Times New Roman"/>
          <w:sz w:val="24"/>
          <w:szCs w:val="24"/>
        </w:rPr>
        <w:t>favorecer</w:t>
      </w:r>
      <w:proofErr w:type="gramEnd"/>
      <w:r w:rsidRPr="00274631">
        <w:rPr>
          <w:rFonts w:ascii="Times New Roman" w:hAnsi="Times New Roman" w:cs="Times New Roman"/>
          <w:sz w:val="24"/>
          <w:szCs w:val="24"/>
        </w:rPr>
        <w:t xml:space="preserve"> la igualdad entre mujeres  y hombres</w:t>
      </w:r>
      <w:r w:rsidR="009B4926" w:rsidRPr="00274631">
        <w:rPr>
          <w:rFonts w:ascii="Times New Roman" w:hAnsi="Times New Roman" w:cs="Times New Roman"/>
          <w:sz w:val="24"/>
          <w:szCs w:val="24"/>
        </w:rPr>
        <w:t>.</w:t>
      </w:r>
    </w:p>
    <w:p w:rsidR="00FD1E25" w:rsidRPr="00274631" w:rsidRDefault="00FD1E25"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Delegación del Gobierno para la Violencia de Género</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37</w:t>
      </w:r>
    </w:p>
    <w:p w:rsidR="009B4926" w:rsidRPr="00274631" w:rsidRDefault="00FD1E25"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Real Decreto 253/2006, por el que se establecen las funciones, el régimen</w:t>
      </w:r>
      <w:r w:rsidR="009B4926" w:rsidRPr="00274631">
        <w:rPr>
          <w:rFonts w:ascii="Times New Roman" w:hAnsi="Times New Roman" w:cs="Times New Roman"/>
          <w:sz w:val="24"/>
          <w:szCs w:val="24"/>
        </w:rPr>
        <w:t xml:space="preserve"> de  </w:t>
      </w:r>
      <w:r w:rsidRPr="00274631">
        <w:rPr>
          <w:rFonts w:ascii="Times New Roman" w:hAnsi="Times New Roman" w:cs="Times New Roman"/>
          <w:sz w:val="24"/>
          <w:szCs w:val="24"/>
        </w:rPr>
        <w:t xml:space="preserve">funcionamiento y la composición del observatorio estatal de la violencia </w:t>
      </w:r>
    </w:p>
    <w:p w:rsidR="00FD1E25" w:rsidRPr="00274631" w:rsidRDefault="00FD1E25" w:rsidP="00274631">
      <w:pPr>
        <w:pStyle w:val="Prrafodelista"/>
        <w:spacing w:line="360" w:lineRule="auto"/>
        <w:ind w:left="1080"/>
        <w:jc w:val="both"/>
        <w:rPr>
          <w:rFonts w:ascii="Times New Roman" w:hAnsi="Times New Roman" w:cs="Times New Roman"/>
          <w:sz w:val="24"/>
          <w:szCs w:val="24"/>
        </w:rPr>
      </w:pPr>
      <w:proofErr w:type="gramStart"/>
      <w:r w:rsidRPr="00274631">
        <w:rPr>
          <w:rFonts w:ascii="Times New Roman" w:hAnsi="Times New Roman" w:cs="Times New Roman"/>
          <w:sz w:val="24"/>
          <w:szCs w:val="24"/>
        </w:rPr>
        <w:t>sobre</w:t>
      </w:r>
      <w:proofErr w:type="gramEnd"/>
      <w:r w:rsidRPr="00274631">
        <w:rPr>
          <w:rFonts w:ascii="Times New Roman" w:hAnsi="Times New Roman" w:cs="Times New Roman"/>
          <w:sz w:val="24"/>
          <w:szCs w:val="24"/>
        </w:rPr>
        <w:t xml:space="preserve"> la mujer</w:t>
      </w:r>
      <w:r w:rsidR="00274631">
        <w:rPr>
          <w:rFonts w:ascii="Times New Roman" w:hAnsi="Times New Roman" w:cs="Times New Roman"/>
          <w:sz w:val="24"/>
          <w:szCs w:val="24"/>
        </w:rPr>
        <w:t xml:space="preserve">                                                                            </w:t>
      </w:r>
      <w:r w:rsidR="000451CC">
        <w:rPr>
          <w:rFonts w:ascii="Times New Roman" w:hAnsi="Times New Roman" w:cs="Times New Roman"/>
          <w:sz w:val="24"/>
          <w:szCs w:val="24"/>
        </w:rPr>
        <w:t xml:space="preserve">                              39</w:t>
      </w:r>
    </w:p>
    <w:p w:rsidR="00274631" w:rsidRDefault="007F70D3"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Ley Orgánica 3/2007, de 22 de Marzo, para la igualdad efectiva de mujeres </w:t>
      </w:r>
    </w:p>
    <w:p w:rsidR="007F70D3" w:rsidRPr="00274631" w:rsidRDefault="007F70D3" w:rsidP="00274631">
      <w:pPr>
        <w:pStyle w:val="Prrafodelista"/>
        <w:spacing w:line="360" w:lineRule="auto"/>
        <w:jc w:val="both"/>
        <w:rPr>
          <w:rFonts w:ascii="Times New Roman" w:hAnsi="Times New Roman" w:cs="Times New Roman"/>
          <w:sz w:val="24"/>
          <w:szCs w:val="24"/>
        </w:rPr>
      </w:pPr>
      <w:proofErr w:type="gramStart"/>
      <w:r w:rsidRPr="00274631">
        <w:rPr>
          <w:rFonts w:ascii="Times New Roman" w:hAnsi="Times New Roman" w:cs="Times New Roman"/>
          <w:sz w:val="24"/>
          <w:szCs w:val="24"/>
        </w:rPr>
        <w:t>y</w:t>
      </w:r>
      <w:proofErr w:type="gramEnd"/>
      <w:r w:rsidR="009B4926" w:rsidRPr="00274631">
        <w:rPr>
          <w:rFonts w:ascii="Times New Roman" w:hAnsi="Times New Roman" w:cs="Times New Roman"/>
          <w:sz w:val="24"/>
          <w:szCs w:val="24"/>
        </w:rPr>
        <w:t xml:space="preserve"> </w:t>
      </w:r>
      <w:r w:rsidRPr="00274631">
        <w:rPr>
          <w:rFonts w:ascii="Times New Roman" w:hAnsi="Times New Roman" w:cs="Times New Roman"/>
          <w:sz w:val="24"/>
          <w:szCs w:val="24"/>
        </w:rPr>
        <w:t xml:space="preserve">hombres </w:t>
      </w:r>
      <w:r w:rsidR="00274631">
        <w:rPr>
          <w:rFonts w:ascii="Times New Roman" w:hAnsi="Times New Roman" w:cs="Times New Roman"/>
          <w:sz w:val="24"/>
          <w:szCs w:val="24"/>
        </w:rPr>
        <w:t xml:space="preserve">                                                                                       </w:t>
      </w:r>
      <w:r w:rsidR="00891E68">
        <w:rPr>
          <w:rFonts w:ascii="Times New Roman" w:hAnsi="Times New Roman" w:cs="Times New Roman"/>
          <w:sz w:val="24"/>
          <w:szCs w:val="24"/>
        </w:rPr>
        <w:t xml:space="preserve">                              40</w:t>
      </w:r>
    </w:p>
    <w:p w:rsidR="007F70D3" w:rsidRPr="00274631" w:rsidRDefault="007F70D3"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Introducción</w:t>
      </w:r>
      <w:r w:rsidR="00274631">
        <w:rPr>
          <w:rFonts w:ascii="Times New Roman" w:hAnsi="Times New Roman" w:cs="Times New Roman"/>
          <w:sz w:val="24"/>
          <w:szCs w:val="24"/>
        </w:rPr>
        <w:t xml:space="preserve">                                                                                         </w:t>
      </w:r>
      <w:r w:rsidR="00891E68">
        <w:rPr>
          <w:rFonts w:ascii="Times New Roman" w:hAnsi="Times New Roman" w:cs="Times New Roman"/>
          <w:sz w:val="24"/>
          <w:szCs w:val="24"/>
        </w:rPr>
        <w:t xml:space="preserve">                   40</w:t>
      </w:r>
    </w:p>
    <w:p w:rsidR="007F70D3" w:rsidRPr="00274631" w:rsidRDefault="007F70D3"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Discriminación directa e indirecta</w:t>
      </w:r>
      <w:r w:rsidR="00274631">
        <w:rPr>
          <w:rFonts w:ascii="Times New Roman" w:hAnsi="Times New Roman" w:cs="Times New Roman"/>
          <w:sz w:val="24"/>
          <w:szCs w:val="24"/>
        </w:rPr>
        <w:t xml:space="preserve">                                           </w:t>
      </w:r>
      <w:r w:rsidR="00891E68">
        <w:rPr>
          <w:rFonts w:ascii="Times New Roman" w:hAnsi="Times New Roman" w:cs="Times New Roman"/>
          <w:sz w:val="24"/>
          <w:szCs w:val="24"/>
        </w:rPr>
        <w:t xml:space="preserve">                              41</w:t>
      </w:r>
    </w:p>
    <w:p w:rsidR="007F70D3" w:rsidRPr="00274631" w:rsidRDefault="007F70D3"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Acoso sexual y acoso por razón de sexo</w:t>
      </w:r>
      <w:r w:rsidR="00274631">
        <w:rPr>
          <w:rFonts w:ascii="Times New Roman" w:hAnsi="Times New Roman" w:cs="Times New Roman"/>
          <w:sz w:val="24"/>
          <w:szCs w:val="24"/>
        </w:rPr>
        <w:t xml:space="preserve">                                   </w:t>
      </w:r>
      <w:r w:rsidR="00891E68">
        <w:rPr>
          <w:rFonts w:ascii="Times New Roman" w:hAnsi="Times New Roman" w:cs="Times New Roman"/>
          <w:sz w:val="24"/>
          <w:szCs w:val="24"/>
        </w:rPr>
        <w:t xml:space="preserve">                              41</w:t>
      </w:r>
    </w:p>
    <w:p w:rsidR="007F70D3" w:rsidRPr="00274631" w:rsidRDefault="007F70D3" w:rsidP="00274631">
      <w:pPr>
        <w:pStyle w:val="Prrafodelista"/>
        <w:numPr>
          <w:ilvl w:val="1"/>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Políticas públicas para la igualdad</w:t>
      </w:r>
      <w:r w:rsidR="00274631">
        <w:rPr>
          <w:rFonts w:ascii="Times New Roman" w:hAnsi="Times New Roman" w:cs="Times New Roman"/>
          <w:sz w:val="24"/>
          <w:szCs w:val="24"/>
        </w:rPr>
        <w:t xml:space="preserve">                                            </w:t>
      </w:r>
      <w:r w:rsidR="00795633">
        <w:rPr>
          <w:rFonts w:ascii="Times New Roman" w:hAnsi="Times New Roman" w:cs="Times New Roman"/>
          <w:sz w:val="24"/>
          <w:szCs w:val="24"/>
        </w:rPr>
        <w:t xml:space="preserve">                              43</w:t>
      </w:r>
    </w:p>
    <w:p w:rsidR="007F70D3" w:rsidRPr="00274631" w:rsidRDefault="007F70D3"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Opinión y resumen</w:t>
      </w:r>
      <w:r w:rsidR="00274631">
        <w:rPr>
          <w:rFonts w:ascii="Times New Roman" w:hAnsi="Times New Roman" w:cs="Times New Roman"/>
          <w:sz w:val="24"/>
          <w:szCs w:val="24"/>
        </w:rPr>
        <w:t xml:space="preserve">                                                                          </w:t>
      </w:r>
      <w:r w:rsidR="00795633">
        <w:rPr>
          <w:rFonts w:ascii="Times New Roman" w:hAnsi="Times New Roman" w:cs="Times New Roman"/>
          <w:sz w:val="24"/>
          <w:szCs w:val="24"/>
        </w:rPr>
        <w:t xml:space="preserve">                              44</w:t>
      </w:r>
    </w:p>
    <w:p w:rsidR="0026571E" w:rsidRPr="00274631" w:rsidRDefault="0026571E" w:rsidP="00274631">
      <w:pPr>
        <w:pStyle w:val="Prrafodelista"/>
        <w:numPr>
          <w:ilvl w:val="0"/>
          <w:numId w:val="3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Bibliografía</w:t>
      </w:r>
      <w:r w:rsidR="00274631" w:rsidRPr="00274631">
        <w:rPr>
          <w:rFonts w:ascii="Times New Roman" w:hAnsi="Times New Roman" w:cs="Times New Roman"/>
          <w:sz w:val="24"/>
          <w:szCs w:val="24"/>
        </w:rPr>
        <w:t xml:space="preserve">                                                                                                               </w:t>
      </w:r>
      <w:r w:rsidR="00274631">
        <w:rPr>
          <w:rFonts w:ascii="Times New Roman" w:hAnsi="Times New Roman" w:cs="Times New Roman"/>
          <w:sz w:val="24"/>
          <w:szCs w:val="24"/>
        </w:rPr>
        <w:t xml:space="preserve">    </w:t>
      </w:r>
      <w:r w:rsidR="00795633">
        <w:rPr>
          <w:rFonts w:ascii="Times New Roman" w:hAnsi="Times New Roman" w:cs="Times New Roman"/>
          <w:sz w:val="24"/>
          <w:szCs w:val="24"/>
        </w:rPr>
        <w:t>46</w:t>
      </w:r>
    </w:p>
    <w:p w:rsidR="00FD1E25" w:rsidRPr="00274631" w:rsidRDefault="00FD1E25" w:rsidP="00274631">
      <w:pPr>
        <w:spacing w:line="360" w:lineRule="auto"/>
        <w:jc w:val="both"/>
        <w:rPr>
          <w:rFonts w:ascii="Times New Roman" w:hAnsi="Times New Roman" w:cs="Times New Roman"/>
          <w:sz w:val="24"/>
          <w:szCs w:val="24"/>
        </w:rPr>
      </w:pPr>
    </w:p>
    <w:p w:rsidR="00FD1E25" w:rsidRPr="00274631" w:rsidRDefault="00FD1E25" w:rsidP="00274631">
      <w:pPr>
        <w:pStyle w:val="Prrafodelista"/>
        <w:spacing w:line="360" w:lineRule="auto"/>
        <w:ind w:left="1080"/>
        <w:jc w:val="both"/>
        <w:rPr>
          <w:rFonts w:ascii="Times New Roman" w:hAnsi="Times New Roman" w:cs="Times New Roman"/>
          <w:sz w:val="24"/>
          <w:szCs w:val="24"/>
        </w:rPr>
      </w:pPr>
    </w:p>
    <w:p w:rsidR="00FD1E25" w:rsidRPr="00274631" w:rsidRDefault="00FD1E25" w:rsidP="00274631">
      <w:pPr>
        <w:pStyle w:val="Prrafodelista"/>
        <w:spacing w:line="360" w:lineRule="auto"/>
        <w:ind w:left="1080"/>
        <w:jc w:val="both"/>
        <w:rPr>
          <w:rFonts w:ascii="Times New Roman" w:hAnsi="Times New Roman" w:cs="Times New Roman"/>
          <w:sz w:val="24"/>
          <w:szCs w:val="24"/>
        </w:rPr>
      </w:pPr>
    </w:p>
    <w:p w:rsidR="00FD1E25" w:rsidRPr="00274631" w:rsidRDefault="00FD1E25" w:rsidP="00274631">
      <w:pPr>
        <w:pStyle w:val="Prrafodelista"/>
        <w:spacing w:line="360" w:lineRule="auto"/>
        <w:ind w:left="1080"/>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3F1D26" w:rsidRPr="00274631" w:rsidRDefault="003F1D26" w:rsidP="00274631">
      <w:pPr>
        <w:spacing w:line="360" w:lineRule="auto"/>
        <w:jc w:val="both"/>
        <w:rPr>
          <w:rFonts w:ascii="Times New Roman" w:hAnsi="Times New Roman" w:cs="Times New Roman"/>
          <w:sz w:val="24"/>
          <w:szCs w:val="24"/>
        </w:rPr>
      </w:pPr>
    </w:p>
    <w:p w:rsidR="00274631" w:rsidRDefault="00274631" w:rsidP="00274631">
      <w:pPr>
        <w:spacing w:line="360" w:lineRule="auto"/>
        <w:jc w:val="both"/>
        <w:rPr>
          <w:rFonts w:ascii="Times New Roman" w:hAnsi="Times New Roman" w:cs="Times New Roman"/>
          <w:sz w:val="24"/>
          <w:szCs w:val="24"/>
        </w:rPr>
      </w:pPr>
    </w:p>
    <w:p w:rsidR="00301E30" w:rsidRPr="00274631" w:rsidRDefault="007F70D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Derecho de Igualdad</w:t>
      </w:r>
      <w:r w:rsidR="00CF1E6F">
        <w:rPr>
          <w:rFonts w:ascii="Times New Roman" w:hAnsi="Times New Roman" w:cs="Times New Roman"/>
          <w:sz w:val="24"/>
          <w:szCs w:val="24"/>
        </w:rPr>
        <w:t xml:space="preserve"> y no discriminación</w:t>
      </w:r>
      <w:r w:rsidRPr="00274631">
        <w:rPr>
          <w:rFonts w:ascii="Times New Roman" w:hAnsi="Times New Roman" w:cs="Times New Roman"/>
          <w:sz w:val="24"/>
          <w:szCs w:val="24"/>
        </w:rPr>
        <w:t>, y el avance legislativo de los derechos de las mujeres en la búsqueda de la igualdad con el hombre.</w:t>
      </w:r>
    </w:p>
    <w:p w:rsidR="003F1D26" w:rsidRPr="00274631" w:rsidRDefault="003F1D26" w:rsidP="00274631">
      <w:pPr>
        <w:spacing w:line="360" w:lineRule="auto"/>
        <w:jc w:val="both"/>
        <w:rPr>
          <w:rFonts w:ascii="Times New Roman" w:hAnsi="Times New Roman" w:cs="Times New Roman"/>
          <w:sz w:val="24"/>
          <w:szCs w:val="24"/>
        </w:rPr>
      </w:pPr>
    </w:p>
    <w:p w:rsidR="00687423" w:rsidRPr="00274631" w:rsidRDefault="006D0F25" w:rsidP="00274631">
      <w:pPr>
        <w:pStyle w:val="Prrafodelista"/>
        <w:numPr>
          <w:ilvl w:val="0"/>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derecho de Igualdad </w:t>
      </w:r>
      <w:r w:rsidR="00D8051B">
        <w:rPr>
          <w:rFonts w:ascii="Times New Roman" w:hAnsi="Times New Roman" w:cs="Times New Roman"/>
          <w:sz w:val="24"/>
          <w:szCs w:val="24"/>
        </w:rPr>
        <w:t>en la actualidad</w:t>
      </w:r>
    </w:p>
    <w:p w:rsidR="00687423" w:rsidRPr="00274631" w:rsidRDefault="001F1B5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En nuestro ordenamiento, </w:t>
      </w:r>
      <w:r w:rsidR="00687423" w:rsidRPr="00274631">
        <w:rPr>
          <w:rFonts w:ascii="Times New Roman" w:hAnsi="Times New Roman" w:cs="Times New Roman"/>
          <w:sz w:val="24"/>
          <w:szCs w:val="24"/>
        </w:rPr>
        <w:t xml:space="preserve">el derecho de igualdad y no discriminación se haya en el artículo </w:t>
      </w:r>
      <w:r w:rsidRPr="00274631">
        <w:rPr>
          <w:rFonts w:ascii="Times New Roman" w:hAnsi="Times New Roman" w:cs="Times New Roman"/>
          <w:sz w:val="24"/>
          <w:szCs w:val="24"/>
        </w:rPr>
        <w:t>14 de la Constitución Española, que se encuentra en el capítulo segundo, del título primero de ésta.</w:t>
      </w:r>
    </w:p>
    <w:p w:rsidR="00F75EC7" w:rsidRPr="00274631" w:rsidRDefault="004F334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Éste artículo dice así </w:t>
      </w:r>
      <w:r w:rsidR="00F75EC7" w:rsidRPr="00274631">
        <w:rPr>
          <w:rFonts w:ascii="Times New Roman" w:hAnsi="Times New Roman" w:cs="Times New Roman"/>
          <w:sz w:val="24"/>
          <w:szCs w:val="24"/>
        </w:rPr>
        <w:t>“</w:t>
      </w:r>
      <w:r w:rsidR="00F75EC7" w:rsidRPr="00274631">
        <w:rPr>
          <w:rFonts w:ascii="Times New Roman" w:hAnsi="Times New Roman" w:cs="Times New Roman"/>
          <w:i/>
          <w:sz w:val="24"/>
          <w:szCs w:val="24"/>
        </w:rPr>
        <w:t xml:space="preserve">Los españoles son iguales ante la ley, sin que pueda prevalecer discriminación alguna por razón de nacimiento, raza, sexo, religión, opinión o cualquier otra condición o circunstancia social.” </w:t>
      </w:r>
    </w:p>
    <w:p w:rsidR="00BC1B0A" w:rsidRPr="00274631" w:rsidRDefault="00F75EC7"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 xml:space="preserve">En la actualidad, la igualdad es un tema candente, muy recurrido, y así queda expresado por </w:t>
      </w:r>
      <w:r w:rsidR="00DB5F5D" w:rsidRPr="00274631">
        <w:rPr>
          <w:rFonts w:ascii="Times New Roman" w:hAnsi="Times New Roman" w:cs="Times New Roman"/>
          <w:sz w:val="24"/>
          <w:szCs w:val="24"/>
        </w:rPr>
        <w:t>Soberanes Díez, J.María “</w:t>
      </w:r>
      <w:r w:rsidR="00DB5F5D" w:rsidRPr="00274631">
        <w:rPr>
          <w:rFonts w:ascii="Times New Roman" w:hAnsi="Times New Roman" w:cs="Times New Roman"/>
          <w:i/>
          <w:sz w:val="24"/>
          <w:szCs w:val="24"/>
        </w:rPr>
        <w:t>Actualmente, es común escuchar,</w:t>
      </w:r>
      <w:r w:rsidR="00433512" w:rsidRPr="00274631">
        <w:rPr>
          <w:rFonts w:ascii="Times New Roman" w:hAnsi="Times New Roman" w:cs="Times New Roman"/>
          <w:i/>
          <w:sz w:val="24"/>
          <w:szCs w:val="24"/>
        </w:rPr>
        <w:t xml:space="preserve"> </w:t>
      </w:r>
      <w:r w:rsidR="00DB5F5D" w:rsidRPr="00274631">
        <w:rPr>
          <w:rFonts w:ascii="Times New Roman" w:hAnsi="Times New Roman" w:cs="Times New Roman"/>
          <w:i/>
          <w:sz w:val="24"/>
          <w:szCs w:val="24"/>
        </w:rPr>
        <w:t>en los medios de comunicación, en discursos políticos, como proyectos de campaña electoral o planes de gobierno e incluso en conversaciones coloquiales, el tema de la igualdad. Todos hablan de igualdad, Parece ser un tópico actual e importante, y en verdad lo es, -siempre la ha sido- , la igualdad es un aspecto innato a la condición humana y ha sido objeto de estudio de diferentes disciplinas, como la sociología, la política, la filosofía y naturalmente el derecho”</w:t>
      </w:r>
      <w:r w:rsidR="00DB5F5D" w:rsidRPr="00274631">
        <w:rPr>
          <w:rStyle w:val="Refdenotaalpie"/>
          <w:rFonts w:ascii="Times New Roman" w:hAnsi="Times New Roman" w:cs="Times New Roman"/>
          <w:i/>
          <w:sz w:val="24"/>
          <w:szCs w:val="24"/>
        </w:rPr>
        <w:footnoteReference w:id="1"/>
      </w:r>
    </w:p>
    <w:p w:rsidR="00247C4D" w:rsidRPr="00274631" w:rsidRDefault="00FF04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Son numerosas las noticias a nivel mundial, los sucesos, en los que la igualdad y la no discriminación son violadas de forma flagrante, y según nos situemos en una zona del mundo o en otra, el tipo de discriminación</w:t>
      </w:r>
      <w:r w:rsidR="00274631">
        <w:rPr>
          <w:rFonts w:ascii="Times New Roman" w:hAnsi="Times New Roman" w:cs="Times New Roman"/>
          <w:sz w:val="24"/>
          <w:szCs w:val="24"/>
        </w:rPr>
        <w:t xml:space="preserve"> más habitual cambia, varí</w:t>
      </w:r>
      <w:r w:rsidRPr="00274631">
        <w:rPr>
          <w:rFonts w:ascii="Times New Roman" w:hAnsi="Times New Roman" w:cs="Times New Roman"/>
          <w:sz w:val="24"/>
          <w:szCs w:val="24"/>
        </w:rPr>
        <w:t>a, pues la cultura y las tradiciones de los diferentes pueblos que forman el mundo provocan que estas se transformen según hablemos de una zona geográfica o de otra.</w:t>
      </w:r>
    </w:p>
    <w:p w:rsidR="00FF04EE" w:rsidRPr="00274631" w:rsidRDefault="00FF04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 España, de un modo general, suele ser habitual la discriminación contra personas o colectivos estigmatizados como: inmigrantes, gitanos, homosexuales, gente sin hogar y otros ciudadanos por motivos de diversidad religiosa o social.</w:t>
      </w:r>
      <w:r w:rsidR="008E1090" w:rsidRPr="00274631">
        <w:rPr>
          <w:rFonts w:ascii="Times New Roman" w:hAnsi="Times New Roman" w:cs="Times New Roman"/>
          <w:sz w:val="24"/>
          <w:szCs w:val="24"/>
        </w:rPr>
        <w:t xml:space="preserve"> Por ello se la ha pedido que cuente con un registro que de forma especial recabe estos delitos, registro que tienen todos los países </w:t>
      </w:r>
      <w:r w:rsidR="008E1090" w:rsidRPr="00274631">
        <w:rPr>
          <w:rFonts w:ascii="Times New Roman" w:hAnsi="Times New Roman" w:cs="Times New Roman"/>
          <w:sz w:val="24"/>
          <w:szCs w:val="24"/>
        </w:rPr>
        <w:lastRenderedPageBreak/>
        <w:t>europeos a excepción de cinco. En España en los últimos años se está creando un caldo de cultivo peligroso que provoca que los delitos por motivo de discriminación vayan en aumento.</w:t>
      </w:r>
    </w:p>
    <w:p w:rsidR="00BC1B0A" w:rsidRPr="00274631" w:rsidRDefault="00BC1B0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Y es la igualdad de género unos de los temas que más polémica causa hoy en día, debido al auge de la mujer en campos como el laboral, en el que hasta no hace muchos años, en España, no estaba socialmente bien visto por muchos sectores de la sociedad, que ésta formara parte este ámbito. Es por ello, que a la hora de hablar sobre igualdad y no discriminación me he centrado más en este aspecto después de intentar enfocar todos los demás tipos de discriminación de una forma más general.</w:t>
      </w:r>
    </w:p>
    <w:p w:rsidR="00DF51CD" w:rsidRDefault="00DF51C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último, en esta breve introducción, hacer referencia a la igualdad como derecho humano, como un principio básico de estos, y es que más allá de las diferencias innegables que existen entre todos los seres humanos -por rasgos físicos como la altura, el color de la piel, la cultura- el disfrutar de una serie de derechos básicos por todos ellos los iguala como personas.</w:t>
      </w:r>
    </w:p>
    <w:p w:rsidR="00E16372" w:rsidRDefault="002D1397"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1.1</w:t>
      </w:r>
      <w:r w:rsidR="00E16372" w:rsidRPr="00E16372">
        <w:rPr>
          <w:rFonts w:ascii="Times New Roman" w:hAnsi="Times New Roman" w:cs="Times New Roman"/>
          <w:sz w:val="24"/>
          <w:szCs w:val="24"/>
        </w:rPr>
        <w:t>. La igualdad formal del artículo 14 de la Constitución española.</w:t>
      </w:r>
    </w:p>
    <w:p w:rsidR="00E16372" w:rsidRDefault="00E16372"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Los antecedentes primeros que conservamos del principio de igualdad nos remontan a la Constitución de 1931, donde en su artículo 2 declaraba la igualdad ante la ley de todos los españoles, y más adelante, en su artículo 25 se recogían las prohibiciones de discriminación por determinadas circunstancias, entre ellas el sexo.</w:t>
      </w:r>
      <w:r w:rsidR="00361743">
        <w:rPr>
          <w:rStyle w:val="Refdenotaalpie"/>
          <w:rFonts w:ascii="Times New Roman" w:hAnsi="Times New Roman" w:cs="Times New Roman"/>
          <w:sz w:val="24"/>
          <w:szCs w:val="24"/>
        </w:rPr>
        <w:footnoteReference w:id="2"/>
      </w:r>
    </w:p>
    <w:p w:rsidR="00361743" w:rsidRDefault="00361743"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al derecho comparado, sus antecedentes los encontramos en el artículo 3 de la Constitución italiana de 1947 y en el artículo 3 de la Constitución alemana de 1949, por citar algunos ejemplos.</w:t>
      </w:r>
    </w:p>
    <w:p w:rsidR="00361743" w:rsidRDefault="002D1397"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hubo problemas en el proceso de aprobación del actual artículo 14, ya que no generó controversias de especial consideración, debido a que el texto aprobado por las Cortes fue idéntico casi en su totalidad al presentado en el Anteproyecto, con una única salvedad, y es que en el Anteproyecto se citaba que “todos los españoles son iguales ante la ley, sin discriminación por razón de…”, y en el texto que se quedó como definitivo se plasmó que </w:t>
      </w:r>
      <w:r>
        <w:rPr>
          <w:rFonts w:ascii="Times New Roman" w:hAnsi="Times New Roman" w:cs="Times New Roman"/>
          <w:sz w:val="24"/>
          <w:szCs w:val="24"/>
        </w:rPr>
        <w:lastRenderedPageBreak/>
        <w:t xml:space="preserve">“los españoles son iguales ante la ley, sin que pueda prevalecer discriminación alguna por razón de…” </w:t>
      </w:r>
      <w:r>
        <w:rPr>
          <w:rStyle w:val="Refdenotaalpie"/>
          <w:rFonts w:ascii="Times New Roman" w:hAnsi="Times New Roman" w:cs="Times New Roman"/>
          <w:sz w:val="24"/>
          <w:szCs w:val="24"/>
        </w:rPr>
        <w:footnoteReference w:id="3"/>
      </w:r>
    </w:p>
    <w:p w:rsidR="002D1397" w:rsidRDefault="002D1397"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De la interpretación de dicho artículo cabe resaltar entre las causas que ocasionan discriminación las que se producen en función del sexo de las personas, donde se establece como primera premisas tanto las producidas de una manera directa como las producidas de una manera indirecta, y se incluyen tratamientos formalmente no discriminatorios pero de los cuales se derivan consecuencias desiguales, por ello la promulgación del artículo 14 introdujo grandes aportaciones, aunque no por ello se libró de importantes críticas, pues en su elaboración no participó ninguna mujer, lo que motivó que un sector de las mismas se reunieran y formaran la Plataforma de Organizaciones Feministas, quienes denunciaron la exclusión de las mujeres en diferentes preceptos del texto constitucional.</w:t>
      </w:r>
      <w:r>
        <w:rPr>
          <w:rStyle w:val="Refdenotaalpie"/>
          <w:rFonts w:ascii="Times New Roman" w:hAnsi="Times New Roman" w:cs="Times New Roman"/>
          <w:sz w:val="24"/>
          <w:szCs w:val="24"/>
        </w:rPr>
        <w:footnoteReference w:id="4"/>
      </w:r>
    </w:p>
    <w:p w:rsidR="008758F5" w:rsidRDefault="008758F5"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Profundizando un poco en el artículo 14, en su análisis, que encontramos en la cabecera del Capítulo II del Título I, cuyo articulado se distribuye en dos secciones y que dicho artículo las precede pero no se incluye en ninguna de ellas, máxime ni siquiera utiliza la expresión “derecho a la igualdad” ni ninguna otra parecida, pero sin embargo todos los preceptos que lo siguen aluden a la igualdad como elemento del derecho que consagran, y ésta afirmación se constata con la interpretación de locuciones como son “todos tienen derecho”, “toda persona tiene derecho” o “todos los españoles tienen derecho” así como de otras maneras y </w:t>
      </w:r>
      <w:proofErr w:type="spellStart"/>
      <w:r>
        <w:rPr>
          <w:rFonts w:ascii="Times New Roman" w:hAnsi="Times New Roman" w:cs="Times New Roman"/>
          <w:sz w:val="24"/>
          <w:szCs w:val="24"/>
        </w:rPr>
        <w:t>fómulas</w:t>
      </w:r>
      <w:proofErr w:type="spellEnd"/>
      <w:r>
        <w:rPr>
          <w:rFonts w:ascii="Times New Roman" w:hAnsi="Times New Roman" w:cs="Times New Roman"/>
          <w:sz w:val="24"/>
          <w:szCs w:val="24"/>
        </w:rPr>
        <w:t xml:space="preserve"> impersonales como pueden ser “se reconoce” y “se garantiza” que se refieren a un determinado derecho</w:t>
      </w:r>
      <w:r>
        <w:rPr>
          <w:rStyle w:val="Refdenotaalpie"/>
          <w:rFonts w:ascii="Times New Roman" w:hAnsi="Times New Roman" w:cs="Times New Roman"/>
          <w:sz w:val="24"/>
          <w:szCs w:val="24"/>
        </w:rPr>
        <w:footnoteReference w:id="5"/>
      </w:r>
    </w:p>
    <w:p w:rsidR="00453A4E" w:rsidRDefault="00453A4E"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Una interpretación sistemática de la Constitución Española, nos acerca a confirmar que la igualdad, entendida en forma de valor, es plasmada en el numeral 1-1º, y como un principio en sus artículos 9-2º y 14</w:t>
      </w:r>
      <w:r w:rsidR="00643D0B">
        <w:rPr>
          <w:rFonts w:ascii="Times New Roman" w:hAnsi="Times New Roman" w:cs="Times New Roman"/>
          <w:sz w:val="24"/>
          <w:szCs w:val="24"/>
        </w:rPr>
        <w:t>, si bien, eso sí, con manifestaciones diferentes.</w:t>
      </w:r>
    </w:p>
    <w:p w:rsidR="00453A4E" w:rsidRDefault="00453A4E"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Así mismo, se puede decir con precisión que el artículo 14 contiene dos cláusulas distintas, la primera, general, en la que dice </w:t>
      </w:r>
      <w:r w:rsidRPr="00453A4E">
        <w:rPr>
          <w:rFonts w:ascii="Times New Roman" w:hAnsi="Times New Roman" w:cs="Times New Roman"/>
          <w:i/>
          <w:sz w:val="24"/>
          <w:szCs w:val="24"/>
        </w:rPr>
        <w:t>“todos son iguales ante la ley”</w:t>
      </w:r>
      <w:r>
        <w:rPr>
          <w:rFonts w:ascii="Times New Roman" w:hAnsi="Times New Roman" w:cs="Times New Roman"/>
          <w:sz w:val="24"/>
          <w:szCs w:val="24"/>
        </w:rPr>
        <w:t xml:space="preserve"> que viene a prohibir cualquier trato diferente que se pueda conside</w:t>
      </w:r>
      <w:r w:rsidR="00EF5664">
        <w:rPr>
          <w:rFonts w:ascii="Times New Roman" w:hAnsi="Times New Roman" w:cs="Times New Roman"/>
          <w:sz w:val="24"/>
          <w:szCs w:val="24"/>
        </w:rPr>
        <w:t xml:space="preserve">rar irrazonable, y la segunda, </w:t>
      </w:r>
      <w:r>
        <w:rPr>
          <w:rFonts w:ascii="Times New Roman" w:hAnsi="Times New Roman" w:cs="Times New Roman"/>
          <w:sz w:val="24"/>
          <w:szCs w:val="24"/>
        </w:rPr>
        <w:t>la denominada de “</w:t>
      </w:r>
      <w:r>
        <w:rPr>
          <w:rFonts w:ascii="Times New Roman" w:hAnsi="Times New Roman" w:cs="Times New Roman"/>
          <w:i/>
          <w:sz w:val="24"/>
          <w:szCs w:val="24"/>
        </w:rPr>
        <w:t xml:space="preserve">no discriminación” </w:t>
      </w:r>
      <w:r>
        <w:rPr>
          <w:rFonts w:ascii="Times New Roman" w:hAnsi="Times New Roman" w:cs="Times New Roman"/>
          <w:sz w:val="24"/>
          <w:szCs w:val="24"/>
        </w:rPr>
        <w:t>que agrega el nuevo concepto de la discriminación, ocasionada por una serie de categorías concretas como puede ser el nacimiento, el sexo, la religión, la opinión así como cualquier otra circunstancia personal o social. Todas ellas se consideran categorías preocupantes, por ello, la aplicación de diferencias de trato en base a esos criterios surge desde el inicio con una necesidad imperiosa de examen más estricto y dotado de la presunción inicial de ilegitimidad.</w:t>
      </w:r>
      <w:r w:rsidR="00643D0B">
        <w:rPr>
          <w:rStyle w:val="Refdenotaalpie"/>
          <w:rFonts w:ascii="Times New Roman" w:hAnsi="Times New Roman" w:cs="Times New Roman"/>
          <w:sz w:val="24"/>
          <w:szCs w:val="24"/>
        </w:rPr>
        <w:footnoteReference w:id="6"/>
      </w:r>
    </w:p>
    <w:p w:rsidR="004C4EA0" w:rsidRDefault="004C4EA0"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Ello que da constatado al ver que el legislador ha intentado conectar los dos </w:t>
      </w:r>
      <w:proofErr w:type="spellStart"/>
      <w:r>
        <w:rPr>
          <w:rFonts w:ascii="Times New Roman" w:hAnsi="Times New Roman" w:cs="Times New Roman"/>
          <w:sz w:val="24"/>
          <w:szCs w:val="24"/>
        </w:rPr>
        <w:t>atrtículos</w:t>
      </w:r>
      <w:proofErr w:type="spellEnd"/>
      <w:r>
        <w:rPr>
          <w:rFonts w:ascii="Times New Roman" w:hAnsi="Times New Roman" w:cs="Times New Roman"/>
          <w:sz w:val="24"/>
          <w:szCs w:val="24"/>
        </w:rPr>
        <w:t xml:space="preserve"> constitucionales, el 9-2º y el 14, la igualdad forma con la real y efectiva, lo cual ha tenido como repercusión y aterrizaje en diferentes leyes nacionales, algunas, relacionadas con la familia y con los grupos en situación de vulnerabilidad, como la ley 3/1989 de 3 de marzo, que ampliaba a dieciséis semanas el permiso por maternidad o la ley 39/1999, de 5 de Noviembre, de conciliación de la vida familiar y laboral de las personas trabajadoras</w:t>
      </w:r>
      <w:r w:rsidR="00C96C9F">
        <w:rPr>
          <w:rFonts w:ascii="Times New Roman" w:hAnsi="Times New Roman" w:cs="Times New Roman"/>
          <w:sz w:val="24"/>
          <w:szCs w:val="24"/>
        </w:rPr>
        <w:t>, o la ley 51/2003, de 2 de Diciembre, de igualdad de oportunidades, no discriminación y accesibilidad universal de las personas con discapacidad.</w:t>
      </w:r>
    </w:p>
    <w:p w:rsidR="00E253AF" w:rsidRDefault="00C96C9F"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desde un nivel jurisprudencial, destaca que el Tribunal Constitucional ha definido el principio de igualdad como la prohibición de toda diferencia de trato que carezca de una justificación objetiva y razonable, y también ha afirmado el carácter vinculante de dicho principio tanto como para la persona del legislador (igualdad en la ley) como para los órganos aplicadores del Derecho (igualdad en la aplicación de la ley) y los particulares (igualdad horizontal). A la par, el Tribunal Constitucional ha establecido una serie de criterios que permiten distinguir entre una diferencia de trato justificada y una discriminatoria y, por lo </w:t>
      </w:r>
      <w:r>
        <w:rPr>
          <w:rFonts w:ascii="Times New Roman" w:hAnsi="Times New Roman" w:cs="Times New Roman"/>
          <w:sz w:val="24"/>
          <w:szCs w:val="24"/>
        </w:rPr>
        <w:lastRenderedPageBreak/>
        <w:t xml:space="preserve">consiguiente, constitucionalmente inadmisible. También ha otorgado a las condiciones personales explícitamente pronunciadas en el artículo 14, el tratamiento de “categorías sospechosas de discriminación”, de tal modo que cualquier trato de desigualdad basado en alguna de estas circunstancias debe ser sometido a una observación y a un escrutinio especialmente riguroso, necesitándose un plus de fundamentación en su objetividad y razonabilidad para aprobar el test de constitucionalidad, por otro lado, ha admitido cautelosamente la compatibilidad de las leyes singulares con el principio de igualdad, y ha defendido a su vez la necesidad de hacer una interpretación dinámica de la igualdad formal del artículo 14 para compatibilizarla con la igualdad del artículo 9-2º, lo que ha conllevado a la validez de medidas positivas </w:t>
      </w:r>
      <w:r w:rsidR="00E253AF">
        <w:rPr>
          <w:rFonts w:ascii="Times New Roman" w:hAnsi="Times New Roman" w:cs="Times New Roman"/>
          <w:sz w:val="24"/>
          <w:szCs w:val="24"/>
        </w:rPr>
        <w:t>y de discriminación inversa en relación a grupos sociales desfavorecidos.</w:t>
      </w:r>
    </w:p>
    <w:p w:rsidR="00E253AF" w:rsidRDefault="00E253AF" w:rsidP="00643D0B">
      <w:pPr>
        <w:spacing w:line="360" w:lineRule="auto"/>
        <w:jc w:val="both"/>
        <w:rPr>
          <w:rFonts w:ascii="Times New Roman" w:hAnsi="Times New Roman" w:cs="Times New Roman"/>
          <w:sz w:val="24"/>
          <w:szCs w:val="24"/>
        </w:rPr>
      </w:pPr>
      <w:r>
        <w:rPr>
          <w:rFonts w:ascii="Times New Roman" w:hAnsi="Times New Roman" w:cs="Times New Roman"/>
          <w:sz w:val="24"/>
          <w:szCs w:val="24"/>
        </w:rPr>
        <w:t>Ante esta dicotomía, es nutrida la jurisprudencia que refleja por una parte supuestos de desigualdad ante la ley, y por otra son varias las sentencias dictadas en concordancia con diferentes desigualdades y discriminaciones, tanto directas como indirectas, y las cuales se expondrán más adelante en el capítulo dedicado a los diferentes tipos de discriminación.</w:t>
      </w:r>
    </w:p>
    <w:p w:rsidR="00D200E2" w:rsidRDefault="00E253AF"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En el caso de supuestos de desigualdades producidos ante la ley, son de gran importancia dos sentencias producidas en al año 2004, la primera de ellas tiene que ver con un tratamiento económico distinto entre trabajadores/as, como es la STC 27/2004</w:t>
      </w:r>
      <w:r>
        <w:rPr>
          <w:rStyle w:val="Refdenotaalpie"/>
          <w:rFonts w:ascii="Times New Roman" w:hAnsi="Times New Roman" w:cs="Times New Roman"/>
          <w:sz w:val="24"/>
          <w:szCs w:val="24"/>
        </w:rPr>
        <w:footnoteReference w:id="7"/>
      </w:r>
      <w:r w:rsidR="000F68CD">
        <w:rPr>
          <w:rFonts w:ascii="Times New Roman" w:hAnsi="Times New Roman" w:cs="Times New Roman"/>
          <w:sz w:val="24"/>
          <w:szCs w:val="24"/>
        </w:rPr>
        <w:t>, y una segunda, en relación con la diferencia de trato entre personal laboral fijo y temporal, la STC 104/2004</w:t>
      </w:r>
      <w:r w:rsidR="000F68CD">
        <w:rPr>
          <w:rStyle w:val="Refdenotaalpie"/>
          <w:rFonts w:ascii="Times New Roman" w:hAnsi="Times New Roman" w:cs="Times New Roman"/>
          <w:sz w:val="24"/>
          <w:szCs w:val="24"/>
        </w:rPr>
        <w:footnoteReference w:id="8"/>
      </w:r>
      <w:r w:rsidR="00D200E2">
        <w:rPr>
          <w:rFonts w:ascii="Times New Roman" w:hAnsi="Times New Roman" w:cs="Times New Roman"/>
          <w:sz w:val="24"/>
          <w:szCs w:val="24"/>
        </w:rPr>
        <w:t>.</w:t>
      </w:r>
    </w:p>
    <w:p w:rsidR="00D200E2" w:rsidRPr="00274631" w:rsidRDefault="00D200E2" w:rsidP="00274631">
      <w:pPr>
        <w:spacing w:line="360" w:lineRule="auto"/>
        <w:jc w:val="both"/>
        <w:rPr>
          <w:rFonts w:ascii="Times New Roman" w:hAnsi="Times New Roman" w:cs="Times New Roman"/>
          <w:sz w:val="24"/>
          <w:szCs w:val="24"/>
        </w:rPr>
      </w:pPr>
    </w:p>
    <w:p w:rsidR="00C1431C" w:rsidRPr="00274631" w:rsidRDefault="00D8051B" w:rsidP="00274631">
      <w:pPr>
        <w:pStyle w:val="Prrafode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Protección multinivel del derecho de igualdad</w:t>
      </w:r>
    </w:p>
    <w:p w:rsidR="00B81F1B" w:rsidRPr="00274631" w:rsidRDefault="00C1431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declaración universal de derechos humanos, en sus artículos 1 y 2 hace referencia a la igualdad de los seres humanos desde su nacimiento así como al acogimiento de todos ellos a una serie de derechos y libertades por las que no pueden ser discriminados por distinción alguna de raza, color, sexo, idioma, religión, opinión política o de cualquier otra índole, origen nacional o social, posición económica, nacimiento o cualquier otra condición</w:t>
      </w:r>
      <w:r w:rsidR="004F3343" w:rsidRPr="00274631">
        <w:rPr>
          <w:rFonts w:ascii="Times New Roman" w:hAnsi="Times New Roman" w:cs="Times New Roman"/>
          <w:sz w:val="24"/>
          <w:szCs w:val="24"/>
        </w:rPr>
        <w:t>.</w:t>
      </w:r>
    </w:p>
    <w:p w:rsidR="001E5DD7" w:rsidRPr="00274631" w:rsidRDefault="004F3343"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Ámbito universal</w:t>
      </w:r>
      <w:r w:rsidR="00971171" w:rsidRPr="00274631">
        <w:rPr>
          <w:rFonts w:ascii="Times New Roman" w:hAnsi="Times New Roman" w:cs="Times New Roman"/>
          <w:sz w:val="24"/>
          <w:szCs w:val="24"/>
        </w:rPr>
        <w:t>, la Organización de Naciones Unidas</w:t>
      </w:r>
      <w:r w:rsidR="001E5DD7" w:rsidRPr="00274631">
        <w:rPr>
          <w:rFonts w:ascii="Times New Roman" w:hAnsi="Times New Roman" w:cs="Times New Roman"/>
          <w:sz w:val="24"/>
          <w:szCs w:val="24"/>
        </w:rPr>
        <w:t>.</w:t>
      </w:r>
    </w:p>
    <w:p w:rsidR="004F3343" w:rsidRDefault="004F334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La Organización de Naciones Unidas (ONU) constituye el mayor organismo internacional dedicado al mantenimiento de la paz y a la prestación de ayuda humanitaria. Desde el 24 de Octubre de 1945, mediante una carta de principios firmada por 51 países, las Naciones Unidas se impusieron una serie de propósitos entre los que caben destacar el mantenimiento de la paz y la seguridad internacionales y la realización de cooperación internacional en la solución de problemas internacionales y en el desarrollo y estímulo del </w:t>
      </w:r>
      <w:r w:rsidR="001E5DD7" w:rsidRPr="00274631">
        <w:rPr>
          <w:rFonts w:ascii="Times New Roman" w:hAnsi="Times New Roman" w:cs="Times New Roman"/>
          <w:sz w:val="24"/>
          <w:szCs w:val="24"/>
        </w:rPr>
        <w:t>respeto de los Derechos Humanos.</w:t>
      </w:r>
    </w:p>
    <w:p w:rsidR="005B4D2E" w:rsidRDefault="005B4D2E"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Son múltiples los tratados, pactos, cumbres, declaraciones, etcétera, que han sido realizados cuyo fin era el respeto a los derechos humanos, y en especial, que los principios de igualdad y no discriminación se vean reconocidos, lo que redundará en todos los órdenes de la vida civil y en las relaciones familiares y de pareja, y llegados a este punto, la década de los 40 supuso el inicio de una gran variedad de instrumentos, tanto constitutivos como declarativos, que han marcado medidas y compromisos encaminados al logro de los principios de igualdad y no discriminación, y que progresivamente han ido avanzando hasta la actualidad.</w:t>
      </w:r>
    </w:p>
    <w:p w:rsidR="005B4D2E" w:rsidRPr="00274631" w:rsidRDefault="005B4D2E"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Citaremos primero la Carta de las Naciones Unidas</w:t>
      </w:r>
      <w:r>
        <w:rPr>
          <w:rStyle w:val="Refdenotaalpie"/>
          <w:rFonts w:ascii="Times New Roman" w:hAnsi="Times New Roman" w:cs="Times New Roman"/>
          <w:sz w:val="24"/>
          <w:szCs w:val="24"/>
        </w:rPr>
        <w:footnoteReference w:id="9"/>
      </w:r>
      <w:r w:rsidR="0097568C">
        <w:rPr>
          <w:rFonts w:ascii="Times New Roman" w:hAnsi="Times New Roman" w:cs="Times New Roman"/>
          <w:sz w:val="24"/>
          <w:szCs w:val="24"/>
        </w:rPr>
        <w:t>, que puede considerarse como el principio de internacionalización de los Derechos Humanos</w:t>
      </w:r>
      <w:r w:rsidR="0097568C">
        <w:rPr>
          <w:rStyle w:val="Refdenotaalpie"/>
          <w:rFonts w:ascii="Times New Roman" w:hAnsi="Times New Roman" w:cs="Times New Roman"/>
          <w:sz w:val="24"/>
          <w:szCs w:val="24"/>
        </w:rPr>
        <w:footnoteReference w:id="10"/>
      </w:r>
      <w:r w:rsidR="0097568C">
        <w:rPr>
          <w:rFonts w:ascii="Times New Roman" w:hAnsi="Times New Roman" w:cs="Times New Roman"/>
          <w:sz w:val="24"/>
          <w:szCs w:val="24"/>
        </w:rPr>
        <w:t xml:space="preserve">. La promulgación de dicho </w:t>
      </w:r>
      <w:r w:rsidR="0097568C">
        <w:rPr>
          <w:rFonts w:ascii="Times New Roman" w:hAnsi="Times New Roman" w:cs="Times New Roman"/>
          <w:sz w:val="24"/>
          <w:szCs w:val="24"/>
        </w:rPr>
        <w:lastRenderedPageBreak/>
        <w:t xml:space="preserve">elemento es fundamental para reconocer que la igualdad y los derechos inherentes al ser humano, sin distinción de sexo, </w:t>
      </w:r>
      <w:proofErr w:type="gramStart"/>
      <w:r w:rsidR="0097568C">
        <w:rPr>
          <w:rFonts w:ascii="Times New Roman" w:hAnsi="Times New Roman" w:cs="Times New Roman"/>
          <w:sz w:val="24"/>
          <w:szCs w:val="24"/>
        </w:rPr>
        <w:t>es</w:t>
      </w:r>
      <w:proofErr w:type="gramEnd"/>
      <w:r w:rsidR="0097568C">
        <w:rPr>
          <w:rFonts w:ascii="Times New Roman" w:hAnsi="Times New Roman" w:cs="Times New Roman"/>
          <w:sz w:val="24"/>
          <w:szCs w:val="24"/>
        </w:rPr>
        <w:t xml:space="preserve"> la base de la libertad, la paz y la justicia en el mundo</w:t>
      </w:r>
    </w:p>
    <w:p w:rsidR="00971171" w:rsidRPr="00274631" w:rsidRDefault="0097117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Su Asamblea General proclamó en 1948 los derechos y libertades fundamentales para todos, entre estos el derecho a la vida, la libertad, la igualdad… a través de la Declaración Universal de Derechos Humanos, que sentó las bases para la formulación de numerosas convenciones y declaraciones sobre derechos humanos.</w:t>
      </w:r>
    </w:p>
    <w:p w:rsidR="00971171" w:rsidRPr="00274631" w:rsidRDefault="0097117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Algunas de las más importantes declaraciones son por ejemplo las convenciones para la eliminación de la discriminación racial y la discriminación contra la mujer</w:t>
      </w:r>
      <w:r w:rsidR="00E450E1">
        <w:rPr>
          <w:rStyle w:val="Refdenotaalpie"/>
          <w:rFonts w:ascii="Times New Roman" w:hAnsi="Times New Roman" w:cs="Times New Roman"/>
          <w:sz w:val="24"/>
          <w:szCs w:val="24"/>
        </w:rPr>
        <w:footnoteReference w:id="11"/>
      </w:r>
      <w:r w:rsidRPr="00274631">
        <w:rPr>
          <w:rFonts w:ascii="Times New Roman" w:hAnsi="Times New Roman" w:cs="Times New Roman"/>
          <w:sz w:val="24"/>
          <w:szCs w:val="24"/>
        </w:rPr>
        <w:t xml:space="preserve"> o las convenciones sobre los derechos del niño.</w:t>
      </w:r>
    </w:p>
    <w:p w:rsidR="00971171" w:rsidRPr="00274631" w:rsidRDefault="0097117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Estos derechos a los que hemos hecho alusión anteriormente son jurídicamente vinculantes en virtud de dos pactos internacionales en los que la mayoría de los estados forman parte. El primero de los pactos trata sobre derechos económicos, sociales y culturales mientras que el segundo aborda los temas civiles y políticos, ambos junto a la Declaración Universal de Derechos Humanos constituyen la Carta Internacional de Derechos Humanos.</w:t>
      </w:r>
    </w:p>
    <w:p w:rsidR="0097568C" w:rsidRDefault="0097568C" w:rsidP="00274631">
      <w:pPr>
        <w:spacing w:line="360" w:lineRule="auto"/>
        <w:jc w:val="both"/>
        <w:rPr>
          <w:rFonts w:ascii="Times New Roman" w:hAnsi="Times New Roman" w:cs="Times New Roman"/>
          <w:sz w:val="24"/>
          <w:szCs w:val="24"/>
        </w:rPr>
      </w:pPr>
    </w:p>
    <w:p w:rsidR="00971171" w:rsidRPr="00274631" w:rsidRDefault="0097117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Órganos </w:t>
      </w:r>
      <w:r w:rsidR="00A26257" w:rsidRPr="00274631">
        <w:rPr>
          <w:rFonts w:ascii="Times New Roman" w:hAnsi="Times New Roman" w:cs="Times New Roman"/>
          <w:sz w:val="24"/>
          <w:szCs w:val="24"/>
        </w:rPr>
        <w:t>que forman parte de la ONU:</w:t>
      </w:r>
    </w:p>
    <w:p w:rsidR="002B1D3A" w:rsidRPr="00274631" w:rsidRDefault="002B1D3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Dentro de las Naciones Unidas podemos distinguir entre órganos creados por la Carta Internacional de Derechos Humanos y los creados a través de tratados.</w:t>
      </w:r>
    </w:p>
    <w:p w:rsidR="002B1D3A" w:rsidRPr="00274631" w:rsidRDefault="002B1D3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Destacan dentro de los creados en virtud de la Carta, el Consejo de Derechos Humanos compuesto por 47 Estados Miembros y la Subcomisión de promoción y protección de los derechos humanos.</w:t>
      </w:r>
    </w:p>
    <w:p w:rsidR="008A7EA6" w:rsidRPr="00274631" w:rsidRDefault="002B1D3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su parte, los órganos creados a través de tratados y cuyas resoluciones o informes son vinculantes para los Estados firmantes, son</w:t>
      </w:r>
      <w:r w:rsidR="008A7EA6" w:rsidRPr="00274631">
        <w:rPr>
          <w:rFonts w:ascii="Times New Roman" w:hAnsi="Times New Roman" w:cs="Times New Roman"/>
          <w:sz w:val="24"/>
          <w:szCs w:val="24"/>
        </w:rPr>
        <w:t>:</w:t>
      </w:r>
    </w:p>
    <w:p w:rsidR="008A7EA6" w:rsidRPr="00274631"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2B1D3A" w:rsidRPr="00274631">
        <w:rPr>
          <w:rFonts w:ascii="Times New Roman" w:hAnsi="Times New Roman" w:cs="Times New Roman"/>
          <w:sz w:val="24"/>
          <w:szCs w:val="24"/>
        </w:rPr>
        <w:t>l Comité con</w:t>
      </w:r>
      <w:r w:rsidRPr="00274631">
        <w:rPr>
          <w:rFonts w:ascii="Times New Roman" w:hAnsi="Times New Roman" w:cs="Times New Roman"/>
          <w:sz w:val="24"/>
          <w:szCs w:val="24"/>
        </w:rPr>
        <w:t>tra la Tortura</w:t>
      </w:r>
    </w:p>
    <w:p w:rsidR="008A7EA6" w:rsidRPr="00274631"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7E396E" w:rsidRPr="00274631">
        <w:rPr>
          <w:rFonts w:ascii="Times New Roman" w:hAnsi="Times New Roman" w:cs="Times New Roman"/>
          <w:sz w:val="24"/>
          <w:szCs w:val="24"/>
        </w:rPr>
        <w:t>l Comité de Derechos Econ</w:t>
      </w:r>
      <w:r w:rsidRPr="00274631">
        <w:rPr>
          <w:rFonts w:ascii="Times New Roman" w:hAnsi="Times New Roman" w:cs="Times New Roman"/>
          <w:sz w:val="24"/>
          <w:szCs w:val="24"/>
        </w:rPr>
        <w:t>ómicos, Sociales y Culturales</w:t>
      </w:r>
    </w:p>
    <w:p w:rsidR="008A7EA6" w:rsidRPr="00274631"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7E396E" w:rsidRPr="00274631">
        <w:rPr>
          <w:rFonts w:ascii="Times New Roman" w:hAnsi="Times New Roman" w:cs="Times New Roman"/>
          <w:sz w:val="24"/>
          <w:szCs w:val="24"/>
        </w:rPr>
        <w:t>l Comité para la Eliminación de la D</w:t>
      </w:r>
      <w:r w:rsidRPr="00274631">
        <w:rPr>
          <w:rFonts w:ascii="Times New Roman" w:hAnsi="Times New Roman" w:cs="Times New Roman"/>
          <w:sz w:val="24"/>
          <w:szCs w:val="24"/>
        </w:rPr>
        <w:t>iscriminación contra la Mujer</w:t>
      </w:r>
      <w:r w:rsidR="00E450E1">
        <w:rPr>
          <w:rStyle w:val="Refdenotaalpie"/>
          <w:rFonts w:ascii="Times New Roman" w:hAnsi="Times New Roman" w:cs="Times New Roman"/>
          <w:sz w:val="24"/>
          <w:szCs w:val="24"/>
        </w:rPr>
        <w:footnoteReference w:id="12"/>
      </w:r>
    </w:p>
    <w:p w:rsidR="008A7EA6" w:rsidRPr="00274631"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w:t>
      </w:r>
      <w:r w:rsidR="007E396E" w:rsidRPr="00274631">
        <w:rPr>
          <w:rFonts w:ascii="Times New Roman" w:hAnsi="Times New Roman" w:cs="Times New Roman"/>
          <w:sz w:val="24"/>
          <w:szCs w:val="24"/>
        </w:rPr>
        <w:t>l Comité para la Eliminació</w:t>
      </w:r>
      <w:r w:rsidRPr="00274631">
        <w:rPr>
          <w:rFonts w:ascii="Times New Roman" w:hAnsi="Times New Roman" w:cs="Times New Roman"/>
          <w:sz w:val="24"/>
          <w:szCs w:val="24"/>
        </w:rPr>
        <w:t>n de la Discriminación Racial</w:t>
      </w:r>
    </w:p>
    <w:p w:rsidR="008A7EA6" w:rsidRPr="00274631"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7E396E" w:rsidRPr="00274631">
        <w:rPr>
          <w:rFonts w:ascii="Times New Roman" w:hAnsi="Times New Roman" w:cs="Times New Roman"/>
          <w:sz w:val="24"/>
          <w:szCs w:val="24"/>
        </w:rPr>
        <w:t>l Com</w:t>
      </w:r>
      <w:r w:rsidRPr="00274631">
        <w:rPr>
          <w:rFonts w:ascii="Times New Roman" w:hAnsi="Times New Roman" w:cs="Times New Roman"/>
          <w:sz w:val="24"/>
          <w:szCs w:val="24"/>
        </w:rPr>
        <w:t xml:space="preserve">ité de los Derechos del Niño </w:t>
      </w:r>
    </w:p>
    <w:p w:rsidR="002B1D3A" w:rsidRDefault="008A7EA6" w:rsidP="00274631">
      <w:pPr>
        <w:pStyle w:val="Prrafodelista"/>
        <w:numPr>
          <w:ilvl w:val="0"/>
          <w:numId w:val="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7E396E" w:rsidRPr="00274631">
        <w:rPr>
          <w:rFonts w:ascii="Times New Roman" w:hAnsi="Times New Roman" w:cs="Times New Roman"/>
          <w:sz w:val="24"/>
          <w:szCs w:val="24"/>
        </w:rPr>
        <w:t>l Comité de Derechos Humanos.</w:t>
      </w:r>
    </w:p>
    <w:p w:rsidR="00E450E1" w:rsidRPr="00E450E1" w:rsidRDefault="0097568C" w:rsidP="00E450E1">
      <w:pPr>
        <w:spacing w:line="360" w:lineRule="auto"/>
        <w:jc w:val="both"/>
        <w:rPr>
          <w:rFonts w:ascii="Times New Roman" w:hAnsi="Times New Roman" w:cs="Times New Roman"/>
          <w:sz w:val="24"/>
          <w:szCs w:val="24"/>
        </w:rPr>
      </w:pPr>
      <w:r>
        <w:rPr>
          <w:rFonts w:ascii="Times New Roman" w:hAnsi="Times New Roman" w:cs="Times New Roman"/>
          <w:sz w:val="24"/>
          <w:szCs w:val="24"/>
        </w:rPr>
        <w:t>Años después, la Declaración Universal de los Derechos Humanos fue, y sigue siendo un referente, en relación al reconocimiento y a la aplicación del principio de igualdad y así, ya desde su preámbulo</w:t>
      </w:r>
      <w:r>
        <w:rPr>
          <w:rStyle w:val="Refdenotaalpie"/>
          <w:rFonts w:ascii="Times New Roman" w:hAnsi="Times New Roman" w:cs="Times New Roman"/>
          <w:sz w:val="24"/>
          <w:szCs w:val="24"/>
        </w:rPr>
        <w:footnoteReference w:id="13"/>
      </w:r>
      <w:r w:rsidR="00E450E1">
        <w:rPr>
          <w:rFonts w:ascii="Times New Roman" w:hAnsi="Times New Roman" w:cs="Times New Roman"/>
          <w:sz w:val="24"/>
          <w:szCs w:val="24"/>
        </w:rPr>
        <w:t>, se considera que la libertad, la paz y la justicia en el mundo tiene por base el reconocimiento de la dignidad intrínseca y de los derechos iguales e inalienables de todos los miembros de la familia humana.</w:t>
      </w:r>
    </w:p>
    <w:p w:rsidR="007E396E"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7E396E" w:rsidRPr="00274631">
        <w:rPr>
          <w:rFonts w:ascii="Times New Roman" w:hAnsi="Times New Roman" w:cs="Times New Roman"/>
          <w:sz w:val="24"/>
          <w:szCs w:val="24"/>
        </w:rPr>
        <w:t>Ámbito Europeo</w:t>
      </w:r>
    </w:p>
    <w:p w:rsidR="00862A88" w:rsidRDefault="00862A88" w:rsidP="00862A88">
      <w:pPr>
        <w:spacing w:line="360" w:lineRule="auto"/>
        <w:jc w:val="both"/>
        <w:rPr>
          <w:rFonts w:ascii="Times New Roman" w:hAnsi="Times New Roman" w:cs="Times New Roman"/>
          <w:sz w:val="24"/>
          <w:szCs w:val="24"/>
        </w:rPr>
      </w:pPr>
      <w:r>
        <w:rPr>
          <w:rFonts w:ascii="Times New Roman" w:hAnsi="Times New Roman" w:cs="Times New Roman"/>
          <w:sz w:val="24"/>
          <w:szCs w:val="24"/>
        </w:rPr>
        <w:t>Los intereses económicos, como es ya bien sabido, fueron los que propiciaron el acercamiento de los países europeos que conformaron la Comunidad Económica Europea</w:t>
      </w:r>
      <w:r>
        <w:rPr>
          <w:rStyle w:val="Refdenotaalpie"/>
          <w:rFonts w:ascii="Times New Roman" w:hAnsi="Times New Roman" w:cs="Times New Roman"/>
          <w:sz w:val="24"/>
          <w:szCs w:val="24"/>
        </w:rPr>
        <w:footnoteReference w:id="14"/>
      </w:r>
      <w:r>
        <w:rPr>
          <w:rFonts w:ascii="Times New Roman" w:hAnsi="Times New Roman" w:cs="Times New Roman"/>
          <w:sz w:val="24"/>
          <w:szCs w:val="24"/>
        </w:rPr>
        <w:t>, más que los sociales o culturales, por ello en sus inicios solo existía una idea de igualdad en lo referente al ámbito social de los derechos sociales básicos que sirven como instrumento fundamental para el cumplimiento de los objetivos económicos.</w:t>
      </w:r>
    </w:p>
    <w:p w:rsidR="00862A88" w:rsidRPr="00862A88" w:rsidRDefault="00862A88" w:rsidP="00862A88">
      <w:pPr>
        <w:spacing w:line="360" w:lineRule="auto"/>
        <w:jc w:val="both"/>
        <w:rPr>
          <w:rFonts w:ascii="Times New Roman" w:hAnsi="Times New Roman" w:cs="Times New Roman"/>
          <w:sz w:val="24"/>
          <w:szCs w:val="24"/>
        </w:rPr>
      </w:pPr>
      <w:r>
        <w:rPr>
          <w:rFonts w:ascii="Times New Roman" w:hAnsi="Times New Roman" w:cs="Times New Roman"/>
          <w:sz w:val="24"/>
          <w:szCs w:val="24"/>
        </w:rPr>
        <w:t>Las primeras referencias sobre el principio de igualdad no recogen este principio de forma generalizada a toda la ciudadanía europea, tan solo existen manifestaciones fragmentarias en el Tratado Constitutivo de la Comunidad Económica Europea</w:t>
      </w:r>
      <w:r>
        <w:rPr>
          <w:rStyle w:val="Refdenotaalpie"/>
          <w:rFonts w:ascii="Times New Roman" w:hAnsi="Times New Roman" w:cs="Times New Roman"/>
          <w:sz w:val="24"/>
          <w:szCs w:val="24"/>
        </w:rPr>
        <w:footnoteReference w:id="15"/>
      </w:r>
      <w:r>
        <w:rPr>
          <w:rFonts w:ascii="Times New Roman" w:hAnsi="Times New Roman" w:cs="Times New Roman"/>
          <w:sz w:val="24"/>
          <w:szCs w:val="24"/>
        </w:rPr>
        <w:t>, y más concretamente en su artículo número 7, el cual hace referencia de una forma genérica a la discriminación por razón de nacionalidad, aunque en su artículo 119 por ejemplo, hace referencia a la igualdad retributiva entre sexos para un mismo trabajo</w:t>
      </w:r>
      <w:r>
        <w:rPr>
          <w:rStyle w:val="Refdenotaalpie"/>
          <w:rFonts w:ascii="Times New Roman" w:hAnsi="Times New Roman" w:cs="Times New Roman"/>
          <w:sz w:val="24"/>
          <w:szCs w:val="24"/>
        </w:rPr>
        <w:footnoteReference w:id="16"/>
      </w:r>
      <w:r>
        <w:rPr>
          <w:rFonts w:ascii="Times New Roman" w:hAnsi="Times New Roman" w:cs="Times New Roman"/>
          <w:sz w:val="24"/>
          <w:szCs w:val="24"/>
        </w:rPr>
        <w:t>.</w:t>
      </w:r>
    </w:p>
    <w:p w:rsidR="008A7EA6" w:rsidRPr="00274631" w:rsidRDefault="00E061C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El Convenio Europeo de Derechos Humanos de 1950</w:t>
      </w:r>
      <w:r w:rsidR="009B483B">
        <w:rPr>
          <w:rStyle w:val="Refdenotaalpie"/>
          <w:rFonts w:ascii="Times New Roman" w:hAnsi="Times New Roman" w:cs="Times New Roman"/>
          <w:sz w:val="24"/>
          <w:szCs w:val="24"/>
        </w:rPr>
        <w:footnoteReference w:id="17"/>
      </w:r>
      <w:r w:rsidRPr="00274631">
        <w:rPr>
          <w:rFonts w:ascii="Times New Roman" w:hAnsi="Times New Roman" w:cs="Times New Roman"/>
          <w:sz w:val="24"/>
          <w:szCs w:val="24"/>
        </w:rPr>
        <w:t xml:space="preserve"> junto al Consejo de Europa establecen una serie de protecciones a través de unos órganos que anteriormente el Convenio Europeo hab</w:t>
      </w:r>
      <w:r w:rsidR="008A7EA6" w:rsidRPr="00274631">
        <w:rPr>
          <w:rFonts w:ascii="Times New Roman" w:hAnsi="Times New Roman" w:cs="Times New Roman"/>
          <w:sz w:val="24"/>
          <w:szCs w:val="24"/>
        </w:rPr>
        <w:t>ía creado, estos órganos son:</w:t>
      </w:r>
    </w:p>
    <w:p w:rsidR="008A7EA6" w:rsidRPr="00274631" w:rsidRDefault="00E061CA" w:rsidP="00274631">
      <w:pPr>
        <w:pStyle w:val="Prrafodelista"/>
        <w:numPr>
          <w:ilvl w:val="0"/>
          <w:numId w:val="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Comité de Mi</w:t>
      </w:r>
      <w:r w:rsidR="008A7EA6" w:rsidRPr="00274631">
        <w:rPr>
          <w:rFonts w:ascii="Times New Roman" w:hAnsi="Times New Roman" w:cs="Times New Roman"/>
          <w:sz w:val="24"/>
          <w:szCs w:val="24"/>
        </w:rPr>
        <w:t>nistros del Consejo de Europa</w:t>
      </w:r>
    </w:p>
    <w:p w:rsidR="008A7EA6" w:rsidRPr="00274631" w:rsidRDefault="008A7EA6" w:rsidP="00274631">
      <w:pPr>
        <w:pStyle w:val="Prrafodelista"/>
        <w:numPr>
          <w:ilvl w:val="0"/>
          <w:numId w:val="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w:t>
      </w:r>
      <w:r w:rsidR="00E061CA" w:rsidRPr="00274631">
        <w:rPr>
          <w:rFonts w:ascii="Times New Roman" w:hAnsi="Times New Roman" w:cs="Times New Roman"/>
          <w:sz w:val="24"/>
          <w:szCs w:val="24"/>
        </w:rPr>
        <w:t xml:space="preserve">a Comisión </w:t>
      </w:r>
      <w:r w:rsidRPr="00274631">
        <w:rPr>
          <w:rFonts w:ascii="Times New Roman" w:hAnsi="Times New Roman" w:cs="Times New Roman"/>
          <w:sz w:val="24"/>
          <w:szCs w:val="24"/>
        </w:rPr>
        <w:t>Europea de los Derechos Humanos</w:t>
      </w:r>
    </w:p>
    <w:p w:rsidR="008A7EA6" w:rsidRPr="00274631" w:rsidRDefault="008A7EA6" w:rsidP="00274631">
      <w:pPr>
        <w:pStyle w:val="Prrafodelista"/>
        <w:numPr>
          <w:ilvl w:val="0"/>
          <w:numId w:val="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E061CA" w:rsidRPr="00274631">
        <w:rPr>
          <w:rFonts w:ascii="Times New Roman" w:hAnsi="Times New Roman" w:cs="Times New Roman"/>
          <w:sz w:val="24"/>
          <w:szCs w:val="24"/>
        </w:rPr>
        <w:t>l Tribunal Euro</w:t>
      </w:r>
      <w:r w:rsidRPr="00274631">
        <w:rPr>
          <w:rFonts w:ascii="Times New Roman" w:hAnsi="Times New Roman" w:cs="Times New Roman"/>
          <w:sz w:val="24"/>
          <w:szCs w:val="24"/>
        </w:rPr>
        <w:t xml:space="preserve">peo de los Derechos Humanos </w:t>
      </w:r>
    </w:p>
    <w:p w:rsidR="005133B5" w:rsidRPr="00274631" w:rsidRDefault="008A7EA6" w:rsidP="00274631">
      <w:pPr>
        <w:pStyle w:val="Prrafodelista"/>
        <w:numPr>
          <w:ilvl w:val="0"/>
          <w:numId w:val="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w:t>
      </w:r>
      <w:r w:rsidR="00E061CA" w:rsidRPr="00274631">
        <w:rPr>
          <w:rFonts w:ascii="Times New Roman" w:hAnsi="Times New Roman" w:cs="Times New Roman"/>
          <w:sz w:val="24"/>
          <w:szCs w:val="24"/>
        </w:rPr>
        <w:t xml:space="preserve">l Comité Europeo para la Prevención de la Tortura y </w:t>
      </w:r>
      <w:r w:rsidR="005133B5" w:rsidRPr="00274631">
        <w:rPr>
          <w:rFonts w:ascii="Times New Roman" w:hAnsi="Times New Roman" w:cs="Times New Roman"/>
          <w:sz w:val="24"/>
          <w:szCs w:val="24"/>
        </w:rPr>
        <w:t>los Tratos o Castigos Inhumanos.</w:t>
      </w:r>
    </w:p>
    <w:p w:rsidR="00E061CA" w:rsidRPr="00274631" w:rsidRDefault="00E061C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Con los dispuesto por el Convenio Europeo, si un individuo de cualquiera de los Estados Miembros consideraba que alguno de sus derechos había sido vulnerado podía recurrir a la comisión, sin perjudicar a la posibilidad que el propio convenio preveía </w:t>
      </w:r>
      <w:r w:rsidR="00DD068D" w:rsidRPr="00274631">
        <w:rPr>
          <w:rFonts w:ascii="Times New Roman" w:hAnsi="Times New Roman" w:cs="Times New Roman"/>
          <w:sz w:val="24"/>
          <w:szCs w:val="24"/>
        </w:rPr>
        <w:t xml:space="preserve">de que un Estado Miembro pudiera denunciar a otro Estado Miembro ante la comisión, por la violación de los derechos reconocidos en este. </w:t>
      </w:r>
    </w:p>
    <w:p w:rsidR="005133B5" w:rsidRPr="00274631" w:rsidRDefault="005133B5"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Para que la reclamación individual ante la Comisión pueda proceder, el ciudadano antes debía agotar las vías legales y todos los recursos que se establecían en la legislación de su Estado, sin poder recurrir directamente ante la Comisión mediante la presentación de la correspondiente demanda. Una vez recibida, ésta podía admitirla o rechazarla</w:t>
      </w:r>
      <w:r w:rsidR="005B16AE" w:rsidRPr="00274631">
        <w:rPr>
          <w:rFonts w:ascii="Times New Roman" w:hAnsi="Times New Roman" w:cs="Times New Roman"/>
          <w:sz w:val="24"/>
          <w:szCs w:val="24"/>
        </w:rPr>
        <w:t>.</w:t>
      </w:r>
    </w:p>
    <w:p w:rsidR="005B16AE" w:rsidRPr="00274631" w:rsidRDefault="005B16A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diferentes motivos de rechazo eran, la presentación de demanda de forma anónima, el que fuese idéntica a otra demanda anterior ya examinada por la Comisión, presentarla fuera de plazo; el no haber agotado todos los recursos internos que se establecen en la legislación interna; o por haberse presentado transcurridos seis meses desde la resolución previa.</w:t>
      </w:r>
    </w:p>
    <w:p w:rsidR="005B16AE" w:rsidRPr="00274631" w:rsidRDefault="005B16A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Si se admitía la demanda, era examinada por la Comisión y los representantes de las partes, para intentar llegar a un acuerdo, si se lograba, se </w:t>
      </w:r>
      <w:r w:rsidR="00433512" w:rsidRPr="00274631">
        <w:rPr>
          <w:rFonts w:ascii="Times New Roman" w:hAnsi="Times New Roman" w:cs="Times New Roman"/>
          <w:sz w:val="24"/>
          <w:szCs w:val="24"/>
        </w:rPr>
        <w:t>elaboraban</w:t>
      </w:r>
      <w:r w:rsidRPr="00274631">
        <w:rPr>
          <w:rFonts w:ascii="Times New Roman" w:hAnsi="Times New Roman" w:cs="Times New Roman"/>
          <w:sz w:val="24"/>
          <w:szCs w:val="24"/>
        </w:rPr>
        <w:t xml:space="preserve"> un</w:t>
      </w:r>
      <w:r w:rsidR="00433512" w:rsidRPr="00274631">
        <w:rPr>
          <w:rFonts w:ascii="Times New Roman" w:hAnsi="Times New Roman" w:cs="Times New Roman"/>
          <w:sz w:val="24"/>
          <w:szCs w:val="24"/>
        </w:rPr>
        <w:t>os</w:t>
      </w:r>
      <w:r w:rsidRPr="00274631">
        <w:rPr>
          <w:rFonts w:ascii="Times New Roman" w:hAnsi="Times New Roman" w:cs="Times New Roman"/>
          <w:sz w:val="24"/>
          <w:szCs w:val="24"/>
        </w:rPr>
        <w:t xml:space="preserve"> informe</w:t>
      </w:r>
      <w:r w:rsidR="00433512" w:rsidRPr="00274631">
        <w:rPr>
          <w:rFonts w:ascii="Times New Roman" w:hAnsi="Times New Roman" w:cs="Times New Roman"/>
          <w:sz w:val="24"/>
          <w:szCs w:val="24"/>
        </w:rPr>
        <w:t>s</w:t>
      </w:r>
      <w:r w:rsidRPr="00274631">
        <w:rPr>
          <w:rFonts w:ascii="Times New Roman" w:hAnsi="Times New Roman" w:cs="Times New Roman"/>
          <w:sz w:val="24"/>
          <w:szCs w:val="24"/>
        </w:rPr>
        <w:t xml:space="preserve"> que se hacía llegar a los Estados interesados y al Comité de Ministros del Consejo.</w:t>
      </w:r>
    </w:p>
    <w:p w:rsidR="005B16AE" w:rsidRPr="00274631" w:rsidRDefault="005B16A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estados, una vez recibida la notificación, tenían la posibilidad de hacer llegar el asunto ante el Tribunal Europeo de Derechos Humanos, para que fuera este órgano el que se encargara de resolver, mediante sentencia, inapelable y de obligado cumplimiento para los Estados afectado.</w:t>
      </w:r>
    </w:p>
    <w:p w:rsidR="005B16AE" w:rsidRPr="00274631" w:rsidRDefault="005B16A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De no llevar el asunto ante el Tribunal Europeo de Derechos Humanos, era el Comité de Ministros quien podía decidir si había existido o no violación del Convenio de Roma.</w:t>
      </w:r>
    </w:p>
    <w:p w:rsidR="005B16AE" w:rsidRPr="00274631" w:rsidRDefault="005B16A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Protocolo 11 de la Convención Europea de Derechos Humanos.</w:t>
      </w:r>
    </w:p>
    <w:p w:rsidR="005B16AE" w:rsidRPr="00274631" w:rsidRDefault="001D2998"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Entra en vigor el 1 de Noviembre de 1998, es la mayor reforma producida en el sistema europeo de protección de los derechos humanos desde que se creara en 1950.</w:t>
      </w:r>
    </w:p>
    <w:p w:rsidR="001D2998" w:rsidRPr="00274631" w:rsidRDefault="001D2998"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Tiene una nueva corte, la Corte Europea de Derechos Humanos, y un nuevo procedimiento, por lo que da lugar a la desaparición de la Comisión Europea de Derechos Humanos.</w:t>
      </w:r>
    </w:p>
    <w:p w:rsidR="001D2998" w:rsidRPr="00274631" w:rsidRDefault="001D2998"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nueva Corte, reemplaza por tanto a la anterior corte (tribunal) y a la Comisión, por lo que se produce la fusión de ambos organismos en uno nuevo. La jurisdicción de esta Corte engloba todos los asuntos concernientes a la interpretación y aplicación de la convención y protocolos, tanto en los litigios entre estados como en las demandas individuales</w:t>
      </w:r>
      <w:r w:rsidR="00094D58" w:rsidRPr="00274631">
        <w:rPr>
          <w:rFonts w:ascii="Times New Roman" w:hAnsi="Times New Roman" w:cs="Times New Roman"/>
          <w:sz w:val="24"/>
          <w:szCs w:val="24"/>
        </w:rPr>
        <w:t>.</w:t>
      </w:r>
    </w:p>
    <w:p w:rsidR="00094D58" w:rsidRDefault="00094D58"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último añadir, que las funciones del Comité de Ministros se reducen a la</w:t>
      </w:r>
      <w:r w:rsidR="006D0F25" w:rsidRPr="00274631">
        <w:rPr>
          <w:rFonts w:ascii="Times New Roman" w:hAnsi="Times New Roman" w:cs="Times New Roman"/>
          <w:sz w:val="24"/>
          <w:szCs w:val="24"/>
        </w:rPr>
        <w:t xml:space="preserve"> de vigilancia del cumplimiento</w:t>
      </w:r>
      <w:r w:rsidRPr="00274631">
        <w:rPr>
          <w:rFonts w:ascii="Times New Roman" w:hAnsi="Times New Roman" w:cs="Times New Roman"/>
          <w:sz w:val="24"/>
          <w:szCs w:val="24"/>
        </w:rPr>
        <w:t xml:space="preserve"> de las sentencias de la Corte Europea de Derechos Humanos.</w:t>
      </w:r>
    </w:p>
    <w:p w:rsidR="009B483B" w:rsidRDefault="009B483B"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Existen autoras contrarias al tratamiento que el principio de igualdad recibe en el seno del Convenio Europeo de Derechos Humanos, al señalar que el artículo 14 de este instrumento carece de eficacia autónoma, ya que no existe la posibilidad de invocar tal derecho con independencia del ejercicio de otro derecho fundamental, puesto que no se reconoce categoría de derecho fundamental al derecho de igualdad entre hombres y mujeres, limitándose a garantizar que en el ejercicio de determinados derechos civiles y políticos no se discrimine a nadie, lamentando que el artículo 13 del actual Tratado de Ámsterdam, reproduzca el mismo esquema, es decir, ausencia de carácter autónomo y efectos indirectos.</w:t>
      </w:r>
      <w:r>
        <w:rPr>
          <w:rStyle w:val="Refdenotaalpie"/>
          <w:rFonts w:ascii="Times New Roman" w:hAnsi="Times New Roman" w:cs="Times New Roman"/>
          <w:sz w:val="24"/>
          <w:szCs w:val="24"/>
        </w:rPr>
        <w:footnoteReference w:id="18"/>
      </w:r>
    </w:p>
    <w:p w:rsidR="006E1703" w:rsidRDefault="006E1703"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Otro instrumento de aplicación es la Carta Social Europea</w:t>
      </w:r>
      <w:r>
        <w:rPr>
          <w:rStyle w:val="Refdenotaalpie"/>
          <w:rFonts w:ascii="Times New Roman" w:hAnsi="Times New Roman" w:cs="Times New Roman"/>
          <w:sz w:val="24"/>
          <w:szCs w:val="24"/>
        </w:rPr>
        <w:footnoteReference w:id="19"/>
      </w:r>
      <w:r>
        <w:rPr>
          <w:rFonts w:ascii="Times New Roman" w:hAnsi="Times New Roman" w:cs="Times New Roman"/>
          <w:sz w:val="24"/>
          <w:szCs w:val="24"/>
        </w:rPr>
        <w:t xml:space="preserve"> y entre los artículos que en mayor medida inciden sobre esto, cabe destacar los artículos 4-1º que refleja el derecho de los trabajadores de ambos sexos a una remuneración igual por un trabajo de igual valor, y el artículo 8 que incluye en derecho a la no discriminación de la mujer por su condición biológica.</w:t>
      </w:r>
    </w:p>
    <w:p w:rsidR="006E1703" w:rsidRDefault="006E1703"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otra parte el Protocolo Adicional a la Carta Social Europea</w:t>
      </w:r>
      <w:r>
        <w:rPr>
          <w:rStyle w:val="Refdenotaalpie"/>
          <w:rFonts w:ascii="Times New Roman" w:hAnsi="Times New Roman" w:cs="Times New Roman"/>
          <w:sz w:val="24"/>
          <w:szCs w:val="24"/>
        </w:rPr>
        <w:footnoteReference w:id="20"/>
      </w:r>
      <w:r>
        <w:rPr>
          <w:rFonts w:ascii="Times New Roman" w:hAnsi="Times New Roman" w:cs="Times New Roman"/>
          <w:sz w:val="24"/>
          <w:szCs w:val="24"/>
        </w:rPr>
        <w:t xml:space="preserve">, también prevé el principio de igualdad de oportunidades entre el hombre y la  mujer y de igualdad de trato en lo referente a la ocupación de empleo. En la carta no aparece ninguna mención sobre discriminación por razón de orientación sexual, a excepción de lo previsto en la parte II del Protocolo Adicional a la Carta Social Europea, en donde se contempla el principio de igualdad con </w:t>
      </w:r>
      <w:r w:rsidR="00B76A35">
        <w:rPr>
          <w:rFonts w:ascii="Times New Roman" w:hAnsi="Times New Roman" w:cs="Times New Roman"/>
          <w:sz w:val="24"/>
          <w:szCs w:val="24"/>
        </w:rPr>
        <w:t>cláusulas</w:t>
      </w:r>
      <w:r>
        <w:rPr>
          <w:rFonts w:ascii="Times New Roman" w:hAnsi="Times New Roman" w:cs="Times New Roman"/>
          <w:sz w:val="24"/>
          <w:szCs w:val="24"/>
        </w:rPr>
        <w:t xml:space="preserve"> de interdicción de discriminación sexual</w:t>
      </w:r>
      <w:r>
        <w:rPr>
          <w:rStyle w:val="Refdenotaalpie"/>
          <w:rFonts w:ascii="Times New Roman" w:hAnsi="Times New Roman" w:cs="Times New Roman"/>
          <w:sz w:val="24"/>
          <w:szCs w:val="24"/>
        </w:rPr>
        <w:footnoteReference w:id="21"/>
      </w:r>
      <w:r>
        <w:rPr>
          <w:rFonts w:ascii="Times New Roman" w:hAnsi="Times New Roman" w:cs="Times New Roman"/>
          <w:sz w:val="24"/>
          <w:szCs w:val="24"/>
        </w:rPr>
        <w:t>.</w:t>
      </w:r>
    </w:p>
    <w:p w:rsidR="00626FCC" w:rsidRDefault="00626FCC"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En lo referente a la jurisprudencia comunitaria, se ha configurado una fórmula concreta de los principios de igualdad y no discriminación en cualquiera de los campos, dado que las directivas llevadas a cabo como un importante activismo llevado a cabo por el TJCE, han permitido que con el transcurso del tiempo, la igualdad entre los sexos se considere un auténtico derecho fundamental europeo, como consecuencia de la modificación del artículo 119 del Tratado de Ámsterdam</w:t>
      </w:r>
      <w:r>
        <w:rPr>
          <w:rStyle w:val="Refdenotaalpie"/>
          <w:rFonts w:ascii="Times New Roman" w:hAnsi="Times New Roman" w:cs="Times New Roman"/>
          <w:sz w:val="24"/>
          <w:szCs w:val="24"/>
        </w:rPr>
        <w:footnoteReference w:id="22"/>
      </w:r>
    </w:p>
    <w:p w:rsidR="00B81F1B" w:rsidRDefault="00626FCC"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La jurisprudencia del Tribunal de Justicia ha intentado avanzar en la igualdad material, y por ello ha tenido que sistematizar algunos conceptos como el de discriminación indirecta o discriminaciones ocultas, para poder llegar a detectar la igualdad por encima de desigualdades aparentes, y con frecuencia se ha mencionado la STC de 30 de Abril de 1998 que conoce la cuestión prejudicial acerca de la interpretación de la legislación a la que se acoge una empresa para negarse a una evaluación anual por estar la trabajadora, ese año de baja maternal, todo ello en relación con el apartado 3º del artículo 2 y del artículo 5 de la Directiva 76/207/CEE</w:t>
      </w:r>
      <w:r>
        <w:rPr>
          <w:rStyle w:val="Refdenotaalpie"/>
          <w:rFonts w:ascii="Times New Roman" w:hAnsi="Times New Roman" w:cs="Times New Roman"/>
          <w:sz w:val="24"/>
          <w:szCs w:val="24"/>
        </w:rPr>
        <w:footnoteReference w:id="23"/>
      </w:r>
      <w:r w:rsidR="00FB6C94">
        <w:rPr>
          <w:rFonts w:ascii="Times New Roman" w:hAnsi="Times New Roman" w:cs="Times New Roman"/>
          <w:sz w:val="24"/>
          <w:szCs w:val="24"/>
        </w:rPr>
        <w:t>. La sentencia dice que no puede marginarse a la mujer de su derecho a ser calificada anualmente por el hecho de haber estado de baja maternal</w:t>
      </w:r>
      <w:r w:rsidR="00FB6C94">
        <w:rPr>
          <w:rStyle w:val="Refdenotaalpie"/>
          <w:rFonts w:ascii="Times New Roman" w:hAnsi="Times New Roman" w:cs="Times New Roman"/>
          <w:sz w:val="24"/>
          <w:szCs w:val="24"/>
        </w:rPr>
        <w:footnoteReference w:id="24"/>
      </w:r>
      <w:r w:rsidR="00FB6C94">
        <w:rPr>
          <w:rFonts w:ascii="Times New Roman" w:hAnsi="Times New Roman" w:cs="Times New Roman"/>
          <w:sz w:val="24"/>
          <w:szCs w:val="24"/>
        </w:rPr>
        <w:t>.</w:t>
      </w:r>
    </w:p>
    <w:p w:rsidR="000B1029" w:rsidRPr="00274631" w:rsidRDefault="000B1029" w:rsidP="00274631">
      <w:pPr>
        <w:spacing w:line="360" w:lineRule="auto"/>
        <w:jc w:val="both"/>
        <w:rPr>
          <w:rFonts w:ascii="Times New Roman" w:hAnsi="Times New Roman" w:cs="Times New Roman"/>
          <w:sz w:val="24"/>
          <w:szCs w:val="24"/>
        </w:rPr>
      </w:pPr>
    </w:p>
    <w:p w:rsidR="00094D58"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 </w:t>
      </w:r>
      <w:r w:rsidR="008A7EA6" w:rsidRPr="00274631">
        <w:rPr>
          <w:rFonts w:ascii="Times New Roman" w:hAnsi="Times New Roman" w:cs="Times New Roman"/>
          <w:sz w:val="24"/>
          <w:szCs w:val="24"/>
        </w:rPr>
        <w:t>Ámbito Español</w:t>
      </w:r>
    </w:p>
    <w:p w:rsidR="008A7EA6" w:rsidRPr="00274631" w:rsidRDefault="008A7EA6"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En cuanto a la referencia que encontramos en nuestro ordenamiento sobre los derechos humanos, decir que hay </w:t>
      </w:r>
      <w:r w:rsidR="002B0C64" w:rsidRPr="00274631">
        <w:rPr>
          <w:rFonts w:ascii="Times New Roman" w:hAnsi="Times New Roman" w:cs="Times New Roman"/>
          <w:sz w:val="24"/>
          <w:szCs w:val="24"/>
        </w:rPr>
        <w:t>diversas</w:t>
      </w:r>
      <w:r w:rsidRPr="00274631">
        <w:rPr>
          <w:rFonts w:ascii="Times New Roman" w:hAnsi="Times New Roman" w:cs="Times New Roman"/>
          <w:sz w:val="24"/>
          <w:szCs w:val="24"/>
        </w:rPr>
        <w:t xml:space="preserve"> referencias a estos en nuestra Constitución Española, haciendo hincapié en su especial protección. </w:t>
      </w:r>
    </w:p>
    <w:p w:rsidR="008A7EA6" w:rsidRPr="00274631" w:rsidRDefault="008A7EA6"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Podemos citar, no obstante, por su especial relevancia en este ámbito, el artículo 10.2 de la Constitución, en el cual se establece lo siguiente.</w:t>
      </w:r>
    </w:p>
    <w:p w:rsidR="008A7EA6" w:rsidRDefault="008A7EA6"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w:t>
      </w:r>
      <w:r w:rsidRPr="00274631">
        <w:rPr>
          <w:rFonts w:ascii="Times New Roman" w:hAnsi="Times New Roman" w:cs="Times New Roman"/>
          <w:i/>
          <w:sz w:val="24"/>
          <w:szCs w:val="24"/>
        </w:rPr>
        <w:t xml:space="preserve">Las normas relativas a los derechos fundamentales y a las libertades que la Constitución reconoce, se interpretarán de conformidad con la Declaración Universal de Derechos Humanos y los tratados y acuerdos internacionales sobre las mismas </w:t>
      </w:r>
      <w:r w:rsidR="00B1167A" w:rsidRPr="00274631">
        <w:rPr>
          <w:rFonts w:ascii="Times New Roman" w:hAnsi="Times New Roman" w:cs="Times New Roman"/>
          <w:i/>
          <w:sz w:val="24"/>
          <w:szCs w:val="24"/>
        </w:rPr>
        <w:t>materias ratificados por España”</w:t>
      </w:r>
    </w:p>
    <w:p w:rsidR="00626FCC" w:rsidRPr="00274631" w:rsidRDefault="00626FCC" w:rsidP="00274631">
      <w:pPr>
        <w:spacing w:line="360" w:lineRule="auto"/>
        <w:jc w:val="both"/>
        <w:rPr>
          <w:rFonts w:ascii="Times New Roman" w:hAnsi="Times New Roman" w:cs="Times New Roman"/>
          <w:i/>
          <w:sz w:val="24"/>
          <w:szCs w:val="24"/>
        </w:rPr>
      </w:pPr>
    </w:p>
    <w:p w:rsidR="008A7EA6" w:rsidRPr="00274631" w:rsidRDefault="00D260CD" w:rsidP="00274631">
      <w:pPr>
        <w:pStyle w:val="Prrafodelista"/>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Modalidades de discriminación desde una perspectiva constitucional y estatutaria</w:t>
      </w:r>
    </w:p>
    <w:p w:rsidR="00B81F1B" w:rsidRPr="00274631" w:rsidRDefault="00B81F1B" w:rsidP="00274631">
      <w:pPr>
        <w:pStyle w:val="Prrafodelista"/>
        <w:spacing w:line="360" w:lineRule="auto"/>
        <w:jc w:val="both"/>
        <w:rPr>
          <w:rFonts w:ascii="Times New Roman" w:hAnsi="Times New Roman" w:cs="Times New Roman"/>
          <w:sz w:val="24"/>
          <w:szCs w:val="24"/>
        </w:rPr>
      </w:pPr>
    </w:p>
    <w:p w:rsidR="00040B67" w:rsidRPr="00274631" w:rsidRDefault="00301E30"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w:t>
      </w:r>
      <w:r w:rsidR="00040B67" w:rsidRPr="00274631">
        <w:rPr>
          <w:rFonts w:ascii="Times New Roman" w:hAnsi="Times New Roman" w:cs="Times New Roman"/>
          <w:sz w:val="24"/>
          <w:szCs w:val="24"/>
        </w:rPr>
        <w:t>erecho a la no discriminación por razón de nacionalidad</w:t>
      </w:r>
    </w:p>
    <w:p w:rsidR="00040B67" w:rsidRPr="00274631" w:rsidRDefault="00040B6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 un derecho que viene reconocido en las principales Declaraciones Internaciones de Derechos Humanos</w:t>
      </w:r>
      <w:r w:rsidR="00A867A7" w:rsidRPr="00274631">
        <w:rPr>
          <w:rFonts w:ascii="Times New Roman" w:hAnsi="Times New Roman" w:cs="Times New Roman"/>
          <w:sz w:val="24"/>
          <w:szCs w:val="24"/>
        </w:rPr>
        <w:t xml:space="preserve"> por una cuádruple vía:</w:t>
      </w:r>
    </w:p>
    <w:p w:rsidR="00A867A7" w:rsidRPr="00274631" w:rsidRDefault="00A867A7" w:rsidP="00274631">
      <w:pPr>
        <w:pStyle w:val="Prrafodelista"/>
        <w:numPr>
          <w:ilvl w:val="0"/>
          <w:numId w:val="1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Igualdad</w:t>
      </w:r>
    </w:p>
    <w:p w:rsidR="00A867A7" w:rsidRPr="00274631" w:rsidRDefault="00A867A7" w:rsidP="00274631">
      <w:pPr>
        <w:pStyle w:val="Prrafodelista"/>
        <w:numPr>
          <w:ilvl w:val="0"/>
          <w:numId w:val="1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Libertad</w:t>
      </w:r>
    </w:p>
    <w:p w:rsidR="00A867A7" w:rsidRPr="00274631" w:rsidRDefault="00A867A7" w:rsidP="00274631">
      <w:pPr>
        <w:pStyle w:val="Prrafodelista"/>
        <w:numPr>
          <w:ilvl w:val="0"/>
          <w:numId w:val="1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Seguridad Personal</w:t>
      </w:r>
    </w:p>
    <w:p w:rsidR="00A867A7" w:rsidRPr="00274631" w:rsidRDefault="00A867A7" w:rsidP="00274631">
      <w:pPr>
        <w:pStyle w:val="Prrafodelista"/>
        <w:numPr>
          <w:ilvl w:val="0"/>
          <w:numId w:val="1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no discriminación por razón de nacionalidad</w:t>
      </w:r>
    </w:p>
    <w:p w:rsidR="00A867A7" w:rsidRPr="00274631" w:rsidRDefault="00A867A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concepto de extranjería ha ido variando con el paso del tiempo, antiguamente se consideraba extranjero a aquel que no formaba parte de tu comunidad ciudadana o religiosa. Los romanos consideraban extranjeros a todos aquellos que no estaban dentro de los límites del imperio. </w:t>
      </w:r>
    </w:p>
    <w:p w:rsidR="00A867A7" w:rsidRPr="00274631" w:rsidRDefault="00A867A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Su delimitación clara se va a producir con la implantación del Estado como forma de organización del poder político, primeramente en Europa y posteriormente pasando al resto del mundo. En la actualidad, la extranjería viene dada por diversos factores, y es que se ha visto aumentado el número de extranjeros en países desarrollados debido al hambre, la falta </w:t>
      </w:r>
      <w:r w:rsidRPr="00274631">
        <w:rPr>
          <w:rFonts w:ascii="Times New Roman" w:hAnsi="Times New Roman" w:cs="Times New Roman"/>
          <w:sz w:val="24"/>
          <w:szCs w:val="24"/>
        </w:rPr>
        <w:lastRenderedPageBreak/>
        <w:t>de recursos, etc... Que se produce en los países menos desarrollados y potentes económicamente hablando.</w:t>
      </w:r>
    </w:p>
    <w:p w:rsidR="00A867A7" w:rsidRPr="00274631" w:rsidRDefault="00A867A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tanto el sujeto activo</w:t>
      </w:r>
      <w:r w:rsidR="00B81F1B" w:rsidRPr="00274631">
        <w:rPr>
          <w:rFonts w:ascii="Times New Roman" w:hAnsi="Times New Roman" w:cs="Times New Roman"/>
          <w:sz w:val="24"/>
          <w:szCs w:val="24"/>
        </w:rPr>
        <w:t xml:space="preserve"> de este tipo de discriminación puede ser:</w:t>
      </w:r>
    </w:p>
    <w:p w:rsidR="00A867A7" w:rsidRPr="00274631" w:rsidRDefault="00A867A7" w:rsidP="00274631">
      <w:pPr>
        <w:pStyle w:val="Prrafodelista"/>
        <w:numPr>
          <w:ilvl w:val="0"/>
          <w:numId w:val="19"/>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nacionales de un país extranjero</w:t>
      </w:r>
    </w:p>
    <w:p w:rsidR="00A867A7" w:rsidRPr="00274631" w:rsidRDefault="00A867A7" w:rsidP="00274631">
      <w:pPr>
        <w:pStyle w:val="Prrafodelista"/>
        <w:numPr>
          <w:ilvl w:val="0"/>
          <w:numId w:val="19"/>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apátridas</w:t>
      </w:r>
    </w:p>
    <w:p w:rsidR="00A867A7" w:rsidRPr="00274631" w:rsidRDefault="00F339F3" w:rsidP="00274631">
      <w:pPr>
        <w:pStyle w:val="Prrafodelista"/>
        <w:numPr>
          <w:ilvl w:val="0"/>
          <w:numId w:val="19"/>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grupos étnicos y minorías raciales, culturales y religiosas provenientes de un país extranjero y que no gozan de la nacionalidad del país donde se refugian.</w:t>
      </w:r>
    </w:p>
    <w:p w:rsidR="00F339F3" w:rsidRPr="00274631" w:rsidRDefault="00F339F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objeto que se persigue es la igualdad de trato entre el nacional y el extranjero, su último fundamento radica en la dignidad de la persona mientras que su principal lo encontramos en la seguridad jurídica. En el ámbito Europeo los extranjeros poseen los derechos reconocidos en el Convenio de Roma.</w:t>
      </w:r>
    </w:p>
    <w:p w:rsidR="00F339F3" w:rsidRDefault="00F339F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finalidad del Derecho de Extranjería consiste en definir en qué medida el extranjero puede realizar intereses privados e integrarse jurídicamente en la comunidad en que se halla. Por lo tanto el Derecho de Extranjería se desarrolla dentro del marco general del Derecho Interno</w:t>
      </w:r>
      <w:r w:rsidR="00295FD9">
        <w:rPr>
          <w:rFonts w:ascii="Times New Roman" w:hAnsi="Times New Roman" w:cs="Times New Roman"/>
          <w:sz w:val="24"/>
          <w:szCs w:val="24"/>
        </w:rPr>
        <w:t>.</w:t>
      </w:r>
    </w:p>
    <w:p w:rsidR="00295FD9" w:rsidRPr="00274631" w:rsidRDefault="00295FD9"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Una de las Sentencias más famosas en cuanto al ámbito de la discriminación por razón de nacionalidad es la del caso Gaygusuz contra Austria</w:t>
      </w:r>
      <w:r>
        <w:rPr>
          <w:rStyle w:val="Refdenotaalpie"/>
          <w:rFonts w:ascii="Times New Roman" w:hAnsi="Times New Roman" w:cs="Times New Roman"/>
          <w:sz w:val="24"/>
          <w:szCs w:val="24"/>
        </w:rPr>
        <w:footnoteReference w:id="25"/>
      </w:r>
      <w:r w:rsidR="00900786">
        <w:rPr>
          <w:rFonts w:ascii="Times New Roman" w:hAnsi="Times New Roman" w:cs="Times New Roman"/>
          <w:sz w:val="24"/>
          <w:szCs w:val="24"/>
        </w:rPr>
        <w:t>.</w:t>
      </w:r>
    </w:p>
    <w:p w:rsidR="001E5445" w:rsidRPr="00274631" w:rsidRDefault="00301E30"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1E5445" w:rsidRPr="00274631">
        <w:rPr>
          <w:rFonts w:ascii="Times New Roman" w:hAnsi="Times New Roman" w:cs="Times New Roman"/>
          <w:sz w:val="24"/>
          <w:szCs w:val="24"/>
        </w:rPr>
        <w:t>Derecho a la no discriminación por razón de raza</w:t>
      </w:r>
    </w:p>
    <w:p w:rsidR="00724520" w:rsidRPr="00274631" w:rsidRDefault="0072452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Este derecho, el de no ser discriminado por razón de raza, se puede definir como el Derecho Humano en virtud del cual el sujeto titular del mismo reclama del Estado y de los miembros de la sociedad no tener un menoscabo en el ejercicio de sus derechos fundamentales por razón de su sexo, y, recibiendo un trato político, económico y social igual al que recibe el resto de la sociedad.</w:t>
      </w:r>
    </w:p>
    <w:p w:rsidR="00B81F1B" w:rsidRPr="00274631" w:rsidRDefault="0072452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Por lo tanto podemos denominar discriminación por razón de raza toda restricción, distinción o exclusión basada en motivos de raza. En el mundo actual una de las manifestaciones más </w:t>
      </w:r>
      <w:r w:rsidRPr="00274631">
        <w:rPr>
          <w:rFonts w:ascii="Times New Roman" w:hAnsi="Times New Roman" w:cs="Times New Roman"/>
          <w:sz w:val="24"/>
          <w:szCs w:val="24"/>
        </w:rPr>
        <w:lastRenderedPageBreak/>
        <w:t>significativas de esta discriminación racial la encontramos en Suráfrica, donde al nacer, cada ciudadano es etiquetado con una categoría dependiendo d</w:t>
      </w:r>
      <w:r w:rsidR="00A26257" w:rsidRPr="00274631">
        <w:rPr>
          <w:rFonts w:ascii="Times New Roman" w:hAnsi="Times New Roman" w:cs="Times New Roman"/>
          <w:sz w:val="24"/>
          <w:szCs w:val="24"/>
        </w:rPr>
        <w:t>e color de su piel.</w:t>
      </w:r>
    </w:p>
    <w:p w:rsidR="00724520" w:rsidRPr="00274631" w:rsidRDefault="00724520" w:rsidP="00274631">
      <w:pPr>
        <w:pStyle w:val="Prrafodelista"/>
        <w:numPr>
          <w:ilvl w:val="0"/>
          <w:numId w:val="2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Categoría A: Blanco</w:t>
      </w:r>
    </w:p>
    <w:p w:rsidR="00724520" w:rsidRPr="00274631" w:rsidRDefault="00724520" w:rsidP="00274631">
      <w:pPr>
        <w:pStyle w:val="Prrafodelista"/>
        <w:numPr>
          <w:ilvl w:val="0"/>
          <w:numId w:val="2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Categoría B: Mestizo</w:t>
      </w:r>
    </w:p>
    <w:p w:rsidR="00724520" w:rsidRPr="00274631" w:rsidRDefault="00724520" w:rsidP="00274631">
      <w:pPr>
        <w:pStyle w:val="Prrafodelista"/>
        <w:numPr>
          <w:ilvl w:val="0"/>
          <w:numId w:val="2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Categoría C: Indio</w:t>
      </w:r>
    </w:p>
    <w:p w:rsidR="00724520" w:rsidRPr="00274631" w:rsidRDefault="00724520" w:rsidP="00274631">
      <w:pPr>
        <w:pStyle w:val="Prrafodelista"/>
        <w:numPr>
          <w:ilvl w:val="0"/>
          <w:numId w:val="2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Categoría D: Negro</w:t>
      </w:r>
    </w:p>
    <w:p w:rsidR="00EF5DCA" w:rsidRDefault="0072452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Son por tanto, sujetos activos, las personas individuales en función de su raza o color, las distintas razas, los pueblos integrados por una determinada raza, las minorías (sobre todo las étnicas), los grupos de población de origen extranjero y en particular los trabajadores migrantes y por último la familia.</w:t>
      </w:r>
    </w:p>
    <w:p w:rsidR="00900786" w:rsidRPr="00274631" w:rsidRDefault="00900786"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Un caso de discriminación por razón de raza fue el ocurrido en España, concretamente en la estación de ferrocarril de Valladolid, con STC del Tribunal Constitucional 13/2001 de 29 de Enero</w:t>
      </w:r>
      <w:r>
        <w:rPr>
          <w:rStyle w:val="Refdenotaalpie"/>
          <w:rFonts w:ascii="Times New Roman" w:hAnsi="Times New Roman" w:cs="Times New Roman"/>
          <w:sz w:val="24"/>
          <w:szCs w:val="24"/>
        </w:rPr>
        <w:footnoteReference w:id="26"/>
      </w:r>
      <w:r>
        <w:rPr>
          <w:rFonts w:ascii="Times New Roman" w:hAnsi="Times New Roman" w:cs="Times New Roman"/>
          <w:sz w:val="24"/>
          <w:szCs w:val="24"/>
        </w:rPr>
        <w:t>.</w:t>
      </w:r>
    </w:p>
    <w:p w:rsidR="00724520" w:rsidRPr="00274631" w:rsidRDefault="00EF5DC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bien protegido de la personalidad en este derecho es la igualdad, y a través de esta, la dignidad de la persona. El fundamento último, como en el resto de Derechos Humanos, radica en la dignidad de la persona humana, y el fundamento inmediato radica en la </w:t>
      </w:r>
      <w:r w:rsidR="00AA3304" w:rsidRPr="00274631">
        <w:rPr>
          <w:rFonts w:ascii="Times New Roman" w:hAnsi="Times New Roman" w:cs="Times New Roman"/>
          <w:sz w:val="24"/>
          <w:szCs w:val="24"/>
        </w:rPr>
        <w:t>seguridad jurídica entendida como el pacífico disfrute del ejercicio de los Derechos Humanos en un régimen de igualdad.</w:t>
      </w:r>
      <w:r w:rsidR="00724520" w:rsidRPr="00274631">
        <w:rPr>
          <w:rFonts w:ascii="Times New Roman" w:hAnsi="Times New Roman" w:cs="Times New Roman"/>
          <w:sz w:val="24"/>
          <w:szCs w:val="24"/>
        </w:rPr>
        <w:t xml:space="preserve"> </w:t>
      </w:r>
    </w:p>
    <w:p w:rsidR="001E5445" w:rsidRPr="00274631" w:rsidRDefault="001E5445"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derecho a la no discriminación por razón de raza, color u origen étnico está reconocido en los principales textos de Derechos Humanos a través de una cuádruple vía:</w:t>
      </w:r>
    </w:p>
    <w:p w:rsidR="001E5445" w:rsidRPr="00274631" w:rsidRDefault="001E5445" w:rsidP="00274631">
      <w:pPr>
        <w:pStyle w:val="Prrafodelista"/>
        <w:numPr>
          <w:ilvl w:val="0"/>
          <w:numId w:val="2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Igualdad</w:t>
      </w:r>
    </w:p>
    <w:p w:rsidR="001E5445" w:rsidRPr="00274631" w:rsidRDefault="001E5445" w:rsidP="00274631">
      <w:pPr>
        <w:pStyle w:val="Prrafodelista"/>
        <w:numPr>
          <w:ilvl w:val="0"/>
          <w:numId w:val="2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Libertad</w:t>
      </w:r>
    </w:p>
    <w:p w:rsidR="001E5445" w:rsidRPr="00274631" w:rsidRDefault="001E5445" w:rsidP="00274631">
      <w:pPr>
        <w:pStyle w:val="Prrafodelista"/>
        <w:numPr>
          <w:ilvl w:val="0"/>
          <w:numId w:val="2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Seguridad Social</w:t>
      </w:r>
    </w:p>
    <w:p w:rsidR="001E5445" w:rsidRPr="00274631" w:rsidRDefault="001E5445" w:rsidP="00274631">
      <w:pPr>
        <w:pStyle w:val="Prrafodelista"/>
        <w:numPr>
          <w:ilvl w:val="0"/>
          <w:numId w:val="2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no discriminación por razón de raza</w:t>
      </w:r>
    </w:p>
    <w:p w:rsidR="001E5445" w:rsidRPr="00274631" w:rsidRDefault="001E5445"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discriminación por motivos raciales o étn</w:t>
      </w:r>
      <w:r w:rsidR="00D74C06" w:rsidRPr="00274631">
        <w:rPr>
          <w:rFonts w:ascii="Times New Roman" w:hAnsi="Times New Roman" w:cs="Times New Roman"/>
          <w:sz w:val="24"/>
          <w:szCs w:val="24"/>
        </w:rPr>
        <w:t xml:space="preserve">icos llevó a la humanidad a sangrientas persecuciones y al crecimiento de las sociedades esclavistas. Bajo el prejuicio racial diferentes </w:t>
      </w:r>
      <w:r w:rsidR="00D74C06" w:rsidRPr="00274631">
        <w:rPr>
          <w:rFonts w:ascii="Times New Roman" w:hAnsi="Times New Roman" w:cs="Times New Roman"/>
          <w:sz w:val="24"/>
          <w:szCs w:val="24"/>
        </w:rPr>
        <w:lastRenderedPageBreak/>
        <w:t xml:space="preserve">grupos étnicos fueron esclavizados, e imperios como el Egipcio y el Romano, y más contemporáneamente los Imperios Occidentales crecieron amparados en </w:t>
      </w:r>
      <w:proofErr w:type="gramStart"/>
      <w:r w:rsidR="00D74C06" w:rsidRPr="00274631">
        <w:rPr>
          <w:rFonts w:ascii="Times New Roman" w:hAnsi="Times New Roman" w:cs="Times New Roman"/>
          <w:sz w:val="24"/>
          <w:szCs w:val="24"/>
        </w:rPr>
        <w:t>la teorías</w:t>
      </w:r>
      <w:proofErr w:type="gramEnd"/>
      <w:r w:rsidR="00D74C06" w:rsidRPr="00274631">
        <w:rPr>
          <w:rFonts w:ascii="Times New Roman" w:hAnsi="Times New Roman" w:cs="Times New Roman"/>
          <w:sz w:val="24"/>
          <w:szCs w:val="24"/>
        </w:rPr>
        <w:t xml:space="preserve"> de la superioridad racial.</w:t>
      </w:r>
    </w:p>
    <w:p w:rsidR="00724520" w:rsidRPr="00274631" w:rsidRDefault="0072452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Las principales razones que han llevado al reconocimiento de la igualdad racial han sido en buena parte históricas, el holocausto nazi y el proceso descolonizador pusieron de relieve esta importante cuestión.</w:t>
      </w:r>
    </w:p>
    <w:p w:rsidR="00AA3304" w:rsidRDefault="00AA330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 a través de este derecho donde se reconoce la igualdad de los individuos y grupos raciales frente a la ley y se garantiza que las razones de la diversidad racial no sean un obstáculo para el goce y disfrute de los demás derechos fundamentales. La no discriminación por motivos raciales responde a la necesidad de la universalización de todos los derechos y los valores más elementales a los que los hombres aspiran y tienen su punto de partida en el ejercicio del derecho a la igualdad.</w:t>
      </w:r>
    </w:p>
    <w:p w:rsidR="00CF6EA7" w:rsidRPr="00274631" w:rsidRDefault="00CF6EA7"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Así queda también estipulado en la STC 214/1991, de 22 de Octubre</w:t>
      </w:r>
      <w:r>
        <w:rPr>
          <w:rStyle w:val="Refdenotaalpie"/>
          <w:rFonts w:ascii="Times New Roman" w:hAnsi="Times New Roman" w:cs="Times New Roman"/>
          <w:sz w:val="24"/>
          <w:szCs w:val="24"/>
        </w:rPr>
        <w:footnoteReference w:id="27"/>
      </w:r>
    </w:p>
    <w:p w:rsidR="001B4534"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1B4534" w:rsidRPr="00274631">
        <w:rPr>
          <w:rFonts w:ascii="Times New Roman" w:hAnsi="Times New Roman" w:cs="Times New Roman"/>
          <w:sz w:val="24"/>
          <w:szCs w:val="24"/>
        </w:rPr>
        <w:t>El derecho a la no discriminación por motivos de religión</w:t>
      </w:r>
    </w:p>
    <w:p w:rsidR="001B4534" w:rsidRPr="00274631" w:rsidRDefault="001B453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Hoy en día no son pocas personas en el mundo a las que se las discrimina por pertenecer a una comunidad religiosa o por tener una serie de creencias. Se les limita de manera indebida el disfrute de sus derechos civiles, culturales, económicos y sociales. Sufriendo un serie de actos de discriminación que acaban afectando en campos como puede ser el acceso a los servicios de salud, a cargos públicos o a la educación pública.</w:t>
      </w:r>
    </w:p>
    <w:p w:rsidR="00BE5D62" w:rsidRPr="00274631" w:rsidRDefault="001B453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Las Naciones Unidas se han encargado de este problema prácticamente desde su nacimiento y fundación, y la prohibición de la discriminación religiosa está consagrada en los principales tratados internaciones de Derechos Humanos. Es por ello, que los Estados deben</w:t>
      </w:r>
      <w:r w:rsidR="00BE5D62" w:rsidRPr="00274631">
        <w:rPr>
          <w:rFonts w:ascii="Times New Roman" w:hAnsi="Times New Roman" w:cs="Times New Roman"/>
          <w:sz w:val="24"/>
          <w:szCs w:val="24"/>
        </w:rPr>
        <w:t>:</w:t>
      </w:r>
    </w:p>
    <w:p w:rsidR="001B4534" w:rsidRPr="00274631" w:rsidRDefault="00BE5D62" w:rsidP="00274631">
      <w:pPr>
        <w:pStyle w:val="Prrafodelista"/>
        <w:numPr>
          <w:ilvl w:val="0"/>
          <w:numId w:val="2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w:t>
      </w:r>
      <w:r w:rsidR="001B4534" w:rsidRPr="00274631">
        <w:rPr>
          <w:rFonts w:ascii="Times New Roman" w:hAnsi="Times New Roman" w:cs="Times New Roman"/>
          <w:sz w:val="24"/>
          <w:szCs w:val="24"/>
        </w:rPr>
        <w:t>bstenerse de discriminar a las personas o grupos en base a su religión</w:t>
      </w:r>
    </w:p>
    <w:p w:rsidR="00BE5D62" w:rsidRPr="00274631" w:rsidRDefault="00BE5D62" w:rsidP="00274631">
      <w:pPr>
        <w:pStyle w:val="Prrafodelista"/>
        <w:numPr>
          <w:ilvl w:val="0"/>
          <w:numId w:val="2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Deber de prohibir ese tipo de discriminación, incluyendo la discriminación por parte de actores no estatales.</w:t>
      </w:r>
    </w:p>
    <w:p w:rsidR="00BE5D62" w:rsidRDefault="00BE5D62" w:rsidP="00274631">
      <w:pPr>
        <w:pStyle w:val="Prrafodelista"/>
        <w:numPr>
          <w:ilvl w:val="0"/>
          <w:numId w:val="2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Deben adoptar todas las medidas que sean necesarias, para que en su territorio, toda persona pueda disfrutar de todos los Derechos Humanos sin ningún tipo de discriminación.</w:t>
      </w:r>
    </w:p>
    <w:p w:rsidR="00CF6EA7" w:rsidRPr="00CF6EA7" w:rsidRDefault="00CF6EA7" w:rsidP="00CF6EA7">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En cuanto a la jurisprudencia dentro de este supuesto, he encontrado una Sentencia del Tribunal Constitucional, STC 19/1985</w:t>
      </w:r>
      <w:r>
        <w:rPr>
          <w:rStyle w:val="Refdenotaalpie"/>
          <w:rFonts w:ascii="Times New Roman" w:hAnsi="Times New Roman" w:cs="Times New Roman"/>
          <w:sz w:val="24"/>
          <w:szCs w:val="24"/>
        </w:rPr>
        <w:footnoteReference w:id="28"/>
      </w:r>
      <w:r>
        <w:rPr>
          <w:rFonts w:ascii="Times New Roman" w:hAnsi="Times New Roman" w:cs="Times New Roman"/>
          <w:sz w:val="24"/>
          <w:szCs w:val="24"/>
        </w:rPr>
        <w:t>.</w:t>
      </w:r>
    </w:p>
    <w:p w:rsidR="00B81F1B" w:rsidRPr="00274631" w:rsidRDefault="00B81F1B" w:rsidP="00274631">
      <w:pPr>
        <w:pStyle w:val="Prrafodelista"/>
        <w:spacing w:line="360" w:lineRule="auto"/>
        <w:jc w:val="both"/>
        <w:rPr>
          <w:rFonts w:ascii="Times New Roman" w:hAnsi="Times New Roman" w:cs="Times New Roman"/>
          <w:sz w:val="24"/>
          <w:szCs w:val="24"/>
        </w:rPr>
      </w:pPr>
    </w:p>
    <w:p w:rsidR="002B0C64"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2B0C64" w:rsidRPr="00274631">
        <w:rPr>
          <w:rFonts w:ascii="Times New Roman" w:hAnsi="Times New Roman" w:cs="Times New Roman"/>
          <w:sz w:val="24"/>
          <w:szCs w:val="24"/>
        </w:rPr>
        <w:t>El derecho a la no discriminación por razón de lengua</w:t>
      </w:r>
    </w:p>
    <w:p w:rsidR="00E43EC0" w:rsidRPr="00274631" w:rsidRDefault="001B453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w:t>
      </w:r>
      <w:r w:rsidR="00E43EC0" w:rsidRPr="00274631">
        <w:rPr>
          <w:rFonts w:ascii="Times New Roman" w:hAnsi="Times New Roman" w:cs="Times New Roman"/>
          <w:sz w:val="24"/>
          <w:szCs w:val="24"/>
        </w:rPr>
        <w:t xml:space="preserve"> derecho a la no discriminación por razón de lengua es un derecho que se puede definir como el derecho específico, derivado del derecho a la no discriminación, a su vez, es una concreción del derecho a la igualdad, por virtud del cual los pueblos y minorías lingüísticas tienen la facultad de utilizar y desarrollar su propia lengua, en todos los ámbitos de la vida social.</w:t>
      </w:r>
    </w:p>
    <w:p w:rsidR="00B1167A" w:rsidRPr="00274631" w:rsidRDefault="002B0C6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 un derecho que está reconocido en las principales declaraciones internacionales de Derechos Humanos de manera implícita y explícita. Este derecho es una confluencia al reconocimiento de diferentes derechos, como son:</w:t>
      </w:r>
    </w:p>
    <w:p w:rsidR="002B0C64" w:rsidRPr="00274631" w:rsidRDefault="002B0C64" w:rsidP="00274631">
      <w:pPr>
        <w:pStyle w:val="Prrafodelista"/>
        <w:numPr>
          <w:ilvl w:val="0"/>
          <w:numId w:val="1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igualdad</w:t>
      </w:r>
    </w:p>
    <w:p w:rsidR="0095673C" w:rsidRPr="00274631" w:rsidRDefault="0095673C" w:rsidP="00274631">
      <w:pPr>
        <w:pStyle w:val="Prrafodelista"/>
        <w:numPr>
          <w:ilvl w:val="0"/>
          <w:numId w:val="1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educación</w:t>
      </w:r>
    </w:p>
    <w:p w:rsidR="0095673C" w:rsidRPr="00274631" w:rsidRDefault="0095673C" w:rsidP="00274631">
      <w:pPr>
        <w:pStyle w:val="Prrafodelista"/>
        <w:numPr>
          <w:ilvl w:val="0"/>
          <w:numId w:val="1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libertad de pensamiento</w:t>
      </w:r>
    </w:p>
    <w:p w:rsidR="002B0C64" w:rsidRPr="00274631" w:rsidRDefault="002B0C64" w:rsidP="00274631">
      <w:pPr>
        <w:pStyle w:val="Prrafodelista"/>
        <w:numPr>
          <w:ilvl w:val="0"/>
          <w:numId w:val="1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cultura</w:t>
      </w:r>
    </w:p>
    <w:p w:rsidR="002B0C64" w:rsidRPr="00274631" w:rsidRDefault="002B0C64" w:rsidP="00274631">
      <w:pPr>
        <w:pStyle w:val="Prrafodelista"/>
        <w:numPr>
          <w:ilvl w:val="0"/>
          <w:numId w:val="1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expresarse en</w:t>
      </w:r>
      <w:r w:rsidR="00E43EC0" w:rsidRPr="00274631">
        <w:rPr>
          <w:rFonts w:ascii="Times New Roman" w:hAnsi="Times New Roman" w:cs="Times New Roman"/>
          <w:sz w:val="24"/>
          <w:szCs w:val="24"/>
        </w:rPr>
        <w:t xml:space="preserve"> </w:t>
      </w:r>
      <w:r w:rsidRPr="00274631">
        <w:rPr>
          <w:rFonts w:ascii="Times New Roman" w:hAnsi="Times New Roman" w:cs="Times New Roman"/>
          <w:sz w:val="24"/>
          <w:szCs w:val="24"/>
        </w:rPr>
        <w:t>su propia lengua</w:t>
      </w:r>
    </w:p>
    <w:p w:rsidR="002B0C64" w:rsidRDefault="00E43EC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la actualidad, los organismos regionales europeo ponen un especial énfasis en la necesidad de proteger la diversidad lingüística europeo como bien cultural común. El objeto de</w:t>
      </w:r>
      <w:r w:rsidR="0095673C" w:rsidRPr="00274631">
        <w:rPr>
          <w:rFonts w:ascii="Times New Roman" w:hAnsi="Times New Roman" w:cs="Times New Roman"/>
          <w:sz w:val="24"/>
          <w:szCs w:val="24"/>
        </w:rPr>
        <w:t xml:space="preserve"> este derecho lo podemos hallar en la conversación y desarrollo de las diversas lenguas existentes, y su último fundamento lo encontraos en la dignidad de la persona humana, por ende, su fundamento inmediato está en la necesidad de preservar las diversas lenguas</w:t>
      </w:r>
    </w:p>
    <w:p w:rsidR="00E930C7" w:rsidRPr="00274631" w:rsidRDefault="00E930C7"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España últimamente los casos de discriminación por razón de lengua han ido en aumento, debido a los tiempos políticos y sociales en los que vivimos, con un país cada vez más dividido y por la aparición de nacionalismos a gran escala, como sucede en Cataluña y en el País Vasco, ambas comunidades con una lengua propia, por lo que </w:t>
      </w:r>
      <w:r w:rsidR="0097768D">
        <w:rPr>
          <w:rFonts w:ascii="Times New Roman" w:hAnsi="Times New Roman" w:cs="Times New Roman"/>
          <w:sz w:val="24"/>
          <w:szCs w:val="24"/>
        </w:rPr>
        <w:t xml:space="preserve">este tipo de discriminación suele tener como objetivo a los ciudadanos de dichas comunidades. </w:t>
      </w:r>
      <w:proofErr w:type="gramStart"/>
      <w:r w:rsidR="0097768D">
        <w:rPr>
          <w:rFonts w:ascii="Times New Roman" w:hAnsi="Times New Roman" w:cs="Times New Roman"/>
          <w:sz w:val="24"/>
          <w:szCs w:val="24"/>
        </w:rPr>
        <w:t>Existe</w:t>
      </w:r>
      <w:proofErr w:type="gramEnd"/>
      <w:r w:rsidR="0097768D">
        <w:rPr>
          <w:rFonts w:ascii="Times New Roman" w:hAnsi="Times New Roman" w:cs="Times New Roman"/>
          <w:sz w:val="24"/>
          <w:szCs w:val="24"/>
        </w:rPr>
        <w:t xml:space="preserve"> casos de imposibilidad de acceso al empleo por cuestiones relacionadas </w:t>
      </w:r>
      <w:r w:rsidR="00C91DC6">
        <w:rPr>
          <w:rFonts w:ascii="Times New Roman" w:hAnsi="Times New Roman" w:cs="Times New Roman"/>
          <w:sz w:val="24"/>
          <w:szCs w:val="24"/>
        </w:rPr>
        <w:t>con la lengu</w:t>
      </w:r>
      <w:r w:rsidR="0097768D">
        <w:rPr>
          <w:rFonts w:ascii="Times New Roman" w:hAnsi="Times New Roman" w:cs="Times New Roman"/>
          <w:sz w:val="24"/>
          <w:szCs w:val="24"/>
        </w:rPr>
        <w:t>a como es el caso de la Sentencia del Tribunal Superior de Justicia de Asturias,  de 16 de Noviembre de 2012</w:t>
      </w:r>
      <w:r w:rsidR="0097768D">
        <w:rPr>
          <w:rStyle w:val="Refdenotaalpie"/>
          <w:rFonts w:ascii="Times New Roman" w:hAnsi="Times New Roman" w:cs="Times New Roman"/>
          <w:sz w:val="24"/>
          <w:szCs w:val="24"/>
        </w:rPr>
        <w:footnoteReference w:id="29"/>
      </w:r>
      <w:r w:rsidR="0097768D">
        <w:rPr>
          <w:rFonts w:ascii="Times New Roman" w:hAnsi="Times New Roman" w:cs="Times New Roman"/>
          <w:sz w:val="24"/>
          <w:szCs w:val="24"/>
        </w:rPr>
        <w:t>.</w:t>
      </w:r>
    </w:p>
    <w:p w:rsidR="0095673C"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95673C" w:rsidRPr="00274631">
        <w:rPr>
          <w:rFonts w:ascii="Times New Roman" w:hAnsi="Times New Roman" w:cs="Times New Roman"/>
          <w:sz w:val="24"/>
          <w:szCs w:val="24"/>
        </w:rPr>
        <w:t xml:space="preserve">Derecho a la no discriminación por razón de opción sexual </w:t>
      </w:r>
    </w:p>
    <w:p w:rsidR="00040B67" w:rsidRPr="00274631" w:rsidRDefault="0095673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Podemos definir los derechos de os homosexuales como aquel tipo o clases de </w:t>
      </w:r>
      <w:r w:rsidR="00274631">
        <w:rPr>
          <w:rFonts w:ascii="Times New Roman" w:hAnsi="Times New Roman" w:cs="Times New Roman"/>
          <w:sz w:val="24"/>
          <w:szCs w:val="24"/>
        </w:rPr>
        <w:t>D</w:t>
      </w:r>
      <w:r w:rsidR="00040B67" w:rsidRPr="00274631">
        <w:rPr>
          <w:rFonts w:ascii="Times New Roman" w:hAnsi="Times New Roman" w:cs="Times New Roman"/>
          <w:sz w:val="24"/>
          <w:szCs w:val="24"/>
        </w:rPr>
        <w:t>erechos H</w:t>
      </w:r>
      <w:r w:rsidRPr="00274631">
        <w:rPr>
          <w:rFonts w:ascii="Times New Roman" w:hAnsi="Times New Roman" w:cs="Times New Roman"/>
          <w:sz w:val="24"/>
          <w:szCs w:val="24"/>
        </w:rPr>
        <w:t>umanos</w:t>
      </w:r>
      <w:r w:rsidR="00040B67" w:rsidRPr="00274631">
        <w:rPr>
          <w:rFonts w:ascii="Times New Roman" w:hAnsi="Times New Roman" w:cs="Times New Roman"/>
          <w:sz w:val="24"/>
          <w:szCs w:val="24"/>
        </w:rPr>
        <w:t xml:space="preserve"> en situación integrados por el conjunto de los Derechos Humanos en general. Su Sujeto activo es toda persona, se mujer u hombre, al igual que los grupos sociales integrados por personas homosexuales.</w:t>
      </w:r>
    </w:p>
    <w:p w:rsidR="00040B67" w:rsidRPr="00274631" w:rsidRDefault="00040B6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Su fundamento no es otro que a dignidad de la persona humana.</w:t>
      </w:r>
    </w:p>
    <w:p w:rsidR="0095673C" w:rsidRPr="00274631" w:rsidRDefault="0095673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No existe en las principales Declaraciones de Derechos Humanos un reconocimiento explícito de los derechos de las personas homosexuales, pero si existe un reconocimiento implícito a través de una cuádruple vía:</w:t>
      </w:r>
    </w:p>
    <w:p w:rsidR="0095673C" w:rsidRPr="00274631" w:rsidRDefault="0095673C" w:rsidP="00274631">
      <w:pPr>
        <w:pStyle w:val="Prrafodelista"/>
        <w:numPr>
          <w:ilvl w:val="0"/>
          <w:numId w:val="1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Reconocimiento del genérico Derecho de Igualdad</w:t>
      </w:r>
    </w:p>
    <w:p w:rsidR="0095673C" w:rsidRPr="00274631" w:rsidRDefault="0095673C" w:rsidP="00274631">
      <w:pPr>
        <w:pStyle w:val="Prrafodelista"/>
        <w:numPr>
          <w:ilvl w:val="0"/>
          <w:numId w:val="1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Reconocimiento del Derecho a la Libertad</w:t>
      </w:r>
    </w:p>
    <w:p w:rsidR="0095673C" w:rsidRPr="00274631" w:rsidRDefault="0095673C" w:rsidP="00274631">
      <w:pPr>
        <w:pStyle w:val="Prrafodelista"/>
        <w:numPr>
          <w:ilvl w:val="0"/>
          <w:numId w:val="1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Seguridad</w:t>
      </w:r>
    </w:p>
    <w:p w:rsidR="0095673C" w:rsidRPr="00274631" w:rsidRDefault="0095673C" w:rsidP="00274631">
      <w:pPr>
        <w:pStyle w:val="Prrafodelista"/>
        <w:numPr>
          <w:ilvl w:val="0"/>
          <w:numId w:val="1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 a la Integridad Moral</w:t>
      </w:r>
    </w:p>
    <w:p w:rsidR="0095673C" w:rsidRPr="00274631" w:rsidRDefault="0095673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Desde épocas muy antiguas la homosexualidad ha sido castigada de una forma muy severa. Caso excepcional la homosexualidad entre varones, que se dio de forma institucionalizada en la Antigua Grecia, no existiendo datos sobre la homosexualidad femenina.</w:t>
      </w:r>
    </w:p>
    <w:p w:rsidR="0095673C" w:rsidRDefault="0095673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En España, en 1930 no hay alusiones directas a la homosexualidad, ni siquiera con la Ley de vagos y maleantes de 1933, y no fue hasta 1954 con la reforma de los artículos 2 y 6 de la ley anteriormente nombrada, el momento en el que se empieza a perseguir la homosexualidad y se castiga.</w:t>
      </w:r>
    </w:p>
    <w:p w:rsidR="0097768D" w:rsidRDefault="0097768D" w:rsidP="00274631">
      <w:pPr>
        <w:spacing w:line="360" w:lineRule="auto"/>
        <w:jc w:val="both"/>
        <w:rPr>
          <w:rFonts w:ascii="Times New Roman" w:hAnsi="Times New Roman" w:cs="Times New Roman"/>
          <w:i/>
          <w:sz w:val="24"/>
          <w:szCs w:val="24"/>
        </w:rPr>
      </w:pPr>
      <w:r>
        <w:rPr>
          <w:rFonts w:ascii="Times New Roman" w:hAnsi="Times New Roman" w:cs="Times New Roman"/>
          <w:sz w:val="24"/>
          <w:szCs w:val="24"/>
        </w:rPr>
        <w:t>En la Constitución española la igualdad es entendida como valor, como principio y como derecho fundamental. En cuanto a su naturaleza jurídica, siguiendo el criterio de Remedio Sánchez Ferriz: “</w:t>
      </w:r>
      <w:r>
        <w:rPr>
          <w:rFonts w:ascii="Times New Roman" w:hAnsi="Times New Roman" w:cs="Times New Roman"/>
          <w:i/>
          <w:sz w:val="24"/>
          <w:szCs w:val="24"/>
        </w:rPr>
        <w:t>Hoy ya parece generalmente aceptada la idea de que con el artículo 14 no estamos en presencia de un auténtico y autónomo derecho fundamental. Por ello se suele decir que el art</w:t>
      </w:r>
      <w:r w:rsidR="00300CD6">
        <w:rPr>
          <w:rFonts w:ascii="Times New Roman" w:hAnsi="Times New Roman" w:cs="Times New Roman"/>
          <w:i/>
          <w:sz w:val="24"/>
          <w:szCs w:val="24"/>
        </w:rPr>
        <w:t>ículo 14 de la</w:t>
      </w:r>
      <w:r>
        <w:rPr>
          <w:rFonts w:ascii="Times New Roman" w:hAnsi="Times New Roman" w:cs="Times New Roman"/>
          <w:i/>
          <w:sz w:val="24"/>
          <w:szCs w:val="24"/>
        </w:rPr>
        <w:t xml:space="preserve"> Constitución Española </w:t>
      </w:r>
      <w:r w:rsidR="00300CD6">
        <w:rPr>
          <w:rFonts w:ascii="Times New Roman" w:hAnsi="Times New Roman" w:cs="Times New Roman"/>
          <w:i/>
          <w:sz w:val="24"/>
          <w:szCs w:val="24"/>
        </w:rPr>
        <w:t xml:space="preserve">se consagra un principio constitucional, un </w:t>
      </w:r>
      <w:proofErr w:type="spellStart"/>
      <w:r w:rsidR="00300CD6">
        <w:rPr>
          <w:rFonts w:ascii="Times New Roman" w:hAnsi="Times New Roman" w:cs="Times New Roman"/>
          <w:i/>
          <w:sz w:val="24"/>
          <w:szCs w:val="24"/>
        </w:rPr>
        <w:t>principiogeneral</w:t>
      </w:r>
      <w:proofErr w:type="spellEnd"/>
      <w:r w:rsidR="00300CD6">
        <w:rPr>
          <w:rFonts w:ascii="Times New Roman" w:hAnsi="Times New Roman" w:cs="Times New Roman"/>
          <w:i/>
          <w:sz w:val="24"/>
          <w:szCs w:val="24"/>
        </w:rPr>
        <w:t xml:space="preserve"> del derecho, susceptible de inspirar todo el sistema de derechos y libertades”</w:t>
      </w:r>
      <w:r w:rsidR="00300CD6">
        <w:rPr>
          <w:rStyle w:val="Refdenotaalpie"/>
          <w:rFonts w:ascii="Times New Roman" w:hAnsi="Times New Roman" w:cs="Times New Roman"/>
          <w:i/>
          <w:sz w:val="24"/>
          <w:szCs w:val="24"/>
        </w:rPr>
        <w:footnoteReference w:id="30"/>
      </w:r>
      <w:r w:rsidR="00300CD6">
        <w:rPr>
          <w:rFonts w:ascii="Times New Roman" w:hAnsi="Times New Roman" w:cs="Times New Roman"/>
          <w:i/>
          <w:sz w:val="24"/>
          <w:szCs w:val="24"/>
        </w:rPr>
        <w:t>.</w:t>
      </w:r>
    </w:p>
    <w:p w:rsidR="006A5620" w:rsidRPr="00300CD6" w:rsidRDefault="00300CD6"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Pese a las manifestaciones del TJCE, el actual Tratado de Ámsterdam, artículo 13,  se manifiesta la necesidad de “</w:t>
      </w:r>
      <w:r>
        <w:rPr>
          <w:rFonts w:ascii="Times New Roman" w:hAnsi="Times New Roman" w:cs="Times New Roman"/>
          <w:i/>
          <w:sz w:val="24"/>
          <w:szCs w:val="24"/>
        </w:rPr>
        <w:t xml:space="preserve">adoptar medidas adecuadas para la lucha contra la discriminación por motivos de sexo, de origen racial o étnico, religión o convicciones, discapacidad, edad u orientación sexual”. </w:t>
      </w:r>
      <w:r>
        <w:rPr>
          <w:rFonts w:ascii="Times New Roman" w:hAnsi="Times New Roman" w:cs="Times New Roman"/>
          <w:sz w:val="24"/>
          <w:szCs w:val="24"/>
        </w:rPr>
        <w:t>Es sólo un primer paso, mediante el cual, “permitirá” al consejo de Europa adoptar, en determinadas circunstancias, las medidas necesarias para la supresión de diferentes formas de discriminación, entre otras la basada en la orientación sexual.</w:t>
      </w:r>
    </w:p>
    <w:p w:rsidR="00B81F1B" w:rsidRDefault="00040B6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Hoy en día, sigue existiendo parte de reticencia entre algunas personas contra los homosexuales, pero conforme transcurren los años, es innegable el hecho de que cada vez más parte de la sociedad ve esta opción sexual como una más.</w:t>
      </w:r>
    </w:p>
    <w:p w:rsidR="006A5620" w:rsidRDefault="006A5620"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Sólo dos casos son los que enmarcan la jurisprudencia del TJCE:</w:t>
      </w:r>
    </w:p>
    <w:p w:rsidR="006A5620" w:rsidRDefault="006A5620" w:rsidP="006A5620">
      <w:pPr>
        <w:pStyle w:val="Prrafodelista"/>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Sentencia del Tribunal de Justicia de 30 de Abril de 1996 (Caso P contra S y Cornwall County Council</w:t>
      </w:r>
      <w:r w:rsidR="0004488E">
        <w:rPr>
          <w:rFonts w:ascii="Times New Roman" w:hAnsi="Times New Roman" w:cs="Times New Roman"/>
          <w:sz w:val="24"/>
          <w:szCs w:val="24"/>
        </w:rPr>
        <w:t>)</w:t>
      </w:r>
      <w:r>
        <w:rPr>
          <w:rStyle w:val="Refdenotaalpie"/>
          <w:rFonts w:ascii="Times New Roman" w:hAnsi="Times New Roman" w:cs="Times New Roman"/>
          <w:sz w:val="24"/>
          <w:szCs w:val="24"/>
        </w:rPr>
        <w:footnoteReference w:id="31"/>
      </w:r>
    </w:p>
    <w:p w:rsidR="006A5620" w:rsidRDefault="006A5620" w:rsidP="006A5620">
      <w:pPr>
        <w:pStyle w:val="Prrafodelista"/>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Sentencia del Tribunal de Justicia de 17 de Febrero de 1998 (Caso Lisa Jacqueline Grant contra South-West Trains Ltd).</w:t>
      </w:r>
      <w:r>
        <w:rPr>
          <w:rStyle w:val="Refdenotaalpie"/>
          <w:rFonts w:ascii="Times New Roman" w:hAnsi="Times New Roman" w:cs="Times New Roman"/>
          <w:sz w:val="24"/>
          <w:szCs w:val="24"/>
        </w:rPr>
        <w:footnoteReference w:id="32"/>
      </w:r>
    </w:p>
    <w:p w:rsidR="0082609C" w:rsidRPr="006A5620" w:rsidRDefault="0082609C" w:rsidP="0082609C">
      <w:pPr>
        <w:pStyle w:val="Prrafodelista"/>
        <w:spacing w:line="360" w:lineRule="auto"/>
        <w:jc w:val="both"/>
        <w:rPr>
          <w:rFonts w:ascii="Times New Roman" w:hAnsi="Times New Roman" w:cs="Times New Roman"/>
          <w:sz w:val="24"/>
          <w:szCs w:val="24"/>
        </w:rPr>
      </w:pPr>
    </w:p>
    <w:p w:rsidR="00094D58" w:rsidRPr="00274631" w:rsidRDefault="00433512" w:rsidP="00274631">
      <w:pPr>
        <w:pStyle w:val="Prrafodelista"/>
        <w:numPr>
          <w:ilvl w:val="0"/>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w:t>
      </w:r>
      <w:r w:rsidR="00E271EE" w:rsidRPr="00274631">
        <w:rPr>
          <w:rFonts w:ascii="Times New Roman" w:hAnsi="Times New Roman" w:cs="Times New Roman"/>
          <w:sz w:val="24"/>
          <w:szCs w:val="24"/>
        </w:rPr>
        <w:t xml:space="preserve">ntroducción a la evolución de la igualdad y la no discriminación por sexos </w:t>
      </w:r>
    </w:p>
    <w:p w:rsidR="00E271EE" w:rsidRPr="00274631" w:rsidRDefault="00E271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la antigua roma sólo se reconocía la existencia de derechos a los hombres que fuesen adultos y que no fueran esclavos. Solo ellos eran considerados ciudadanos. La reivindicación de los derechos de la mujer tiene una historia teóricamente reciente, y es que no es hasta la Revolución Francesa cuando se proclama el principio de igualdad, y años después, en la segunda mitad del siglo XIX cuando se empezara a hacer efectiva esta lucha</w:t>
      </w:r>
    </w:p>
    <w:p w:rsidR="00E271EE" w:rsidRPr="00274631" w:rsidRDefault="00E271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Se crean movimientos de mujeres, clubes, en diferentes zonas de la geografía, teniendo mayor auge en un principio en países como Estados Unidos y Francia. Movimientos cuyas primeras reivindicaciones se centraban en el sufragio y en la igualdad de derechos con los hombres. Y es en la década de 1930 cuando en varios países de occidente llega el voto femenino. En España se concretó en 1933, tras largos años de lucha por él. </w:t>
      </w:r>
    </w:p>
    <w:p w:rsidR="00D85FE9" w:rsidRPr="00274631" w:rsidRDefault="00D85FE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Otra de las primeras reivindicaciones del colectivo femenino fue el derecho a la educación, entre 1850 y 1875 se permite el ingreso de mujeres inglesas a grados secundarios y universitarios. A principios del siglo XX se les brinda la oportunidad de ingresas en alguna profesiones. También para estas fechas se empiezan a crear las primeras Convenciones Internaciones sobre los derechos de la mujer en el matrimonio, al divorcio y a la tutela de los hijos menores.</w:t>
      </w:r>
    </w:p>
    <w:p w:rsidR="00D85FE9" w:rsidRPr="00274631" w:rsidRDefault="00D85FE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 en 1967 cuando se aprueba la Declaración sobre la eliminación de la discriminación contra la mujer, la que anuncia los principios de los derechos para la mujer en pie de igualdad con el hombre, señalando medidas para el cumplimiento de estos y para su anterior aplicación en diferentes países.</w:t>
      </w:r>
    </w:p>
    <w:p w:rsidR="004D3823" w:rsidRPr="00274631" w:rsidRDefault="004D382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En el ámbito interno de los Estados, una primera dimensión de la igualdad ante la ley tiene sus antecedentes en la Declaración de Independencia de los Estados Unidos en 1776 y en la Revolución Francesa en 1789, siendo asumida luego por el constitucionalismo clásico y </w:t>
      </w:r>
      <w:r w:rsidRPr="00274631">
        <w:rPr>
          <w:rFonts w:ascii="Times New Roman" w:hAnsi="Times New Roman" w:cs="Times New Roman"/>
          <w:sz w:val="24"/>
          <w:szCs w:val="24"/>
        </w:rPr>
        <w:lastRenderedPageBreak/>
        <w:t>contemporáneo por el cual se reconoce la igual naturaleza y atributos esenciales a todos los seres humanos.</w:t>
      </w:r>
      <w:r w:rsidRPr="00274631">
        <w:rPr>
          <w:rStyle w:val="Refdenotaalpie"/>
          <w:rFonts w:ascii="Times New Roman" w:hAnsi="Times New Roman" w:cs="Times New Roman"/>
          <w:sz w:val="24"/>
          <w:szCs w:val="24"/>
        </w:rPr>
        <w:footnoteReference w:id="33"/>
      </w:r>
    </w:p>
    <w:p w:rsidR="00433512" w:rsidRPr="00274631" w:rsidRDefault="0043351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Podemos clasificar los diferentes derechos que hay ido consiguiendo la mujer en su lucha por una igualdad real, en:</w:t>
      </w:r>
    </w:p>
    <w:p w:rsidR="00433512" w:rsidRPr="00274631" w:rsidRDefault="00433512" w:rsidP="00274631">
      <w:pPr>
        <w:pStyle w:val="Prrafodelista"/>
        <w:numPr>
          <w:ilvl w:val="0"/>
          <w:numId w:val="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Derechos de primera generación</w:t>
      </w:r>
    </w:p>
    <w:p w:rsidR="00433512" w:rsidRPr="00274631" w:rsidRDefault="00433512" w:rsidP="00274631">
      <w:pPr>
        <w:pStyle w:val="Prrafodelista"/>
        <w:numPr>
          <w:ilvl w:val="0"/>
          <w:numId w:val="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vida</w:t>
      </w:r>
    </w:p>
    <w:p w:rsidR="00433512" w:rsidRPr="00274631" w:rsidRDefault="00433512" w:rsidP="00274631">
      <w:pPr>
        <w:pStyle w:val="Prrafodelista"/>
        <w:numPr>
          <w:ilvl w:val="0"/>
          <w:numId w:val="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integridad</w:t>
      </w:r>
    </w:p>
    <w:p w:rsidR="00433512" w:rsidRPr="00274631" w:rsidRDefault="00433512" w:rsidP="00274631">
      <w:pPr>
        <w:pStyle w:val="Prrafodelista"/>
        <w:numPr>
          <w:ilvl w:val="0"/>
          <w:numId w:val="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libertad psicofísica</w:t>
      </w:r>
    </w:p>
    <w:p w:rsidR="00433512" w:rsidRPr="00274631" w:rsidRDefault="00433512" w:rsidP="00274631">
      <w:pPr>
        <w:pStyle w:val="Prrafodelista"/>
        <w:numPr>
          <w:ilvl w:val="0"/>
          <w:numId w:val="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 la participación política</w:t>
      </w:r>
    </w:p>
    <w:p w:rsidR="00433512" w:rsidRPr="00274631" w:rsidRDefault="00433512" w:rsidP="00274631">
      <w:pPr>
        <w:pStyle w:val="Prrafodelista"/>
        <w:numPr>
          <w:ilvl w:val="0"/>
          <w:numId w:val="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Derechos de segunda generación</w:t>
      </w:r>
    </w:p>
    <w:p w:rsidR="00433512" w:rsidRPr="00274631" w:rsidRDefault="00433512" w:rsidP="00274631">
      <w:pPr>
        <w:pStyle w:val="Prrafodelista"/>
        <w:numPr>
          <w:ilvl w:val="0"/>
          <w:numId w:val="9"/>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acceso a un trabajo</w:t>
      </w:r>
    </w:p>
    <w:p w:rsidR="00433512" w:rsidRPr="00274631" w:rsidRDefault="00433512" w:rsidP="00274631">
      <w:pPr>
        <w:pStyle w:val="Prrafodelista"/>
        <w:numPr>
          <w:ilvl w:val="0"/>
          <w:numId w:val="9"/>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Un salario digno</w:t>
      </w:r>
    </w:p>
    <w:p w:rsidR="00433512" w:rsidRPr="00274631" w:rsidRDefault="00433512" w:rsidP="00274631">
      <w:pPr>
        <w:pStyle w:val="Prrafodelista"/>
        <w:numPr>
          <w:ilvl w:val="0"/>
          <w:numId w:val="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Derechos de tercera generación</w:t>
      </w:r>
    </w:p>
    <w:p w:rsidR="00433512" w:rsidRPr="00274631" w:rsidRDefault="00433512" w:rsidP="00274631">
      <w:pPr>
        <w:pStyle w:val="Prrafodelista"/>
        <w:numPr>
          <w:ilvl w:val="0"/>
          <w:numId w:val="1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desarrollo</w:t>
      </w:r>
    </w:p>
    <w:p w:rsidR="00433512" w:rsidRPr="00274631" w:rsidRDefault="00433512" w:rsidP="00274631">
      <w:pPr>
        <w:pStyle w:val="Prrafodelista"/>
        <w:numPr>
          <w:ilvl w:val="0"/>
          <w:numId w:val="1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autodeterminación</w:t>
      </w:r>
    </w:p>
    <w:p w:rsidR="00433512" w:rsidRPr="00274631" w:rsidRDefault="0043351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Desde la perspectiva de los derechos de primera generación, los Estados deben garantizarlos, en aplicación y desarrollo de las disposiciones legales </w:t>
      </w:r>
      <w:r w:rsidR="00550073" w:rsidRPr="00274631">
        <w:rPr>
          <w:rFonts w:ascii="Times New Roman" w:hAnsi="Times New Roman" w:cs="Times New Roman"/>
          <w:sz w:val="24"/>
          <w:szCs w:val="24"/>
        </w:rPr>
        <w:t>en igualdad de condiciones que los hombres. Es indispensable la consideración del principio de igualdad entre hombres y mujeres para lograr una conexión entre derechos como el derecho al voto y el derecho a la participación política.</w:t>
      </w:r>
      <w:r w:rsidR="0082609C">
        <w:rPr>
          <w:rFonts w:ascii="Times New Roman" w:hAnsi="Times New Roman" w:cs="Times New Roman"/>
          <w:sz w:val="24"/>
          <w:szCs w:val="24"/>
        </w:rPr>
        <w:t xml:space="preserve"> En la actualidad, los derechos y libertades políticos para las mujeres se encuentran recogidos en textos nacionales e internacionales, más en la práctica asistimos a una mínima representación por parte de las mujeres en la esfera de la política y en los altos puestos de poder. Para ello no habría más que revisar las estadísticas de los puestos que ocupan mujeres en los gobiernos del mundo.</w:t>
      </w:r>
    </w:p>
    <w:p w:rsidR="00550073" w:rsidRPr="00274631" w:rsidRDefault="0055007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Desde la orientación de los Derechos Humanos de segunda generación, o derechos económicos, sociales y culturales, la mujer tiene acceso a la educación, a la salud y a un tratamiento especial para los casos de maternidad, incluso una serie de derechos específicos relativos a su trabajo n los relativos a aquellos que le garantizan el sostenimiento del empleo en épocas de embarazo.</w:t>
      </w:r>
    </w:p>
    <w:p w:rsidR="00550073" w:rsidRPr="00274631" w:rsidRDefault="0055007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Desde el plano de los Derechos Humanos de tercera generación, la mujer tiene derecho a que se le dispense un tratamiento digno por aquél que sea su marido, con la penalización del maltrato y del abuso sexual, </w:t>
      </w:r>
      <w:r w:rsidR="002B0C64" w:rsidRPr="00274631">
        <w:rPr>
          <w:rFonts w:ascii="Times New Roman" w:hAnsi="Times New Roman" w:cs="Times New Roman"/>
          <w:sz w:val="24"/>
          <w:szCs w:val="24"/>
        </w:rPr>
        <w:t>tiene derecho al aborto y a que el Estado le garantice las específicas seguridades de salud para ello. En último término los derechos de la mujer se conectan con el derecho al medio ambiente y el derecho a la paz.</w:t>
      </w:r>
      <w:r w:rsidR="00247C4D">
        <w:rPr>
          <w:rFonts w:ascii="Times New Roman" w:hAnsi="Times New Roman" w:cs="Times New Roman"/>
          <w:sz w:val="24"/>
          <w:szCs w:val="24"/>
        </w:rPr>
        <w:t xml:space="preserve"> El presente nos muestra proyectos generados a través de la solidaridad como potencial a tener en </w:t>
      </w:r>
      <w:r w:rsidR="000451CC">
        <w:rPr>
          <w:rFonts w:ascii="Times New Roman" w:hAnsi="Times New Roman" w:cs="Times New Roman"/>
          <w:sz w:val="24"/>
          <w:szCs w:val="24"/>
        </w:rPr>
        <w:t>cuenta</w:t>
      </w:r>
      <w:r w:rsidR="00247C4D">
        <w:rPr>
          <w:rFonts w:ascii="Times New Roman" w:hAnsi="Times New Roman" w:cs="Times New Roman"/>
          <w:sz w:val="24"/>
          <w:szCs w:val="24"/>
        </w:rPr>
        <w:t xml:space="preserve"> para la construcción de una sociedad más justa entre hombres mujeres.</w:t>
      </w:r>
    </w:p>
    <w:p w:rsidR="00B81F1B" w:rsidRPr="00274631" w:rsidRDefault="00D85FE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más importante es la Convención sobre la eliminación de todas las formas de discriminación contra la mujer, aprobado por la Asamblea General de la ONU, el 18 de Diciembre de 1979. De estas importantes acciones realizadas para promover y proteger los derechos de la mujer se han visto complementadas por el principio de igualdad que inspira l</w:t>
      </w:r>
      <w:r w:rsidR="00ED3A12" w:rsidRPr="00274631">
        <w:rPr>
          <w:rFonts w:ascii="Times New Roman" w:hAnsi="Times New Roman" w:cs="Times New Roman"/>
          <w:sz w:val="24"/>
          <w:szCs w:val="24"/>
        </w:rPr>
        <w:t>a Carta de las Naciones Unidas.</w:t>
      </w:r>
    </w:p>
    <w:p w:rsidR="007B3C17" w:rsidRPr="00274631" w:rsidRDefault="007B3C1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Como caso reciente, la Sentencia del Tribunal Supremo desestimando un recurso de casación, en un caso de discriminación por razón de una empresa sita en Canarias, STS de 14 de Mayo de 2014</w:t>
      </w:r>
    </w:p>
    <w:p w:rsidR="00ED3A12" w:rsidRPr="00274631" w:rsidRDefault="00ED3A12" w:rsidP="00274631">
      <w:pPr>
        <w:spacing w:line="360" w:lineRule="auto"/>
        <w:jc w:val="both"/>
        <w:rPr>
          <w:rFonts w:ascii="Times New Roman" w:hAnsi="Times New Roman" w:cs="Times New Roman"/>
          <w:sz w:val="24"/>
          <w:szCs w:val="24"/>
        </w:rPr>
      </w:pPr>
    </w:p>
    <w:p w:rsidR="00094D58" w:rsidRPr="00274631" w:rsidRDefault="00094D58" w:rsidP="00274631">
      <w:pPr>
        <w:pStyle w:val="Prrafodelista"/>
        <w:numPr>
          <w:ilvl w:val="0"/>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Materia de igualdad de oportunidades entre hombres y mujeres, normativa nacional y comunitaria.</w:t>
      </w:r>
    </w:p>
    <w:p w:rsidR="00B81F1B" w:rsidRPr="00274631" w:rsidRDefault="00B81F1B" w:rsidP="00274631">
      <w:pPr>
        <w:pStyle w:val="Prrafodelista"/>
        <w:spacing w:line="360" w:lineRule="auto"/>
        <w:jc w:val="both"/>
        <w:rPr>
          <w:rFonts w:ascii="Times New Roman" w:hAnsi="Times New Roman" w:cs="Times New Roman"/>
          <w:sz w:val="24"/>
          <w:szCs w:val="24"/>
        </w:rPr>
      </w:pPr>
    </w:p>
    <w:p w:rsidR="009D1D43"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9D1D43" w:rsidRPr="00274631">
        <w:rPr>
          <w:rFonts w:ascii="Times New Roman" w:hAnsi="Times New Roman" w:cs="Times New Roman"/>
          <w:sz w:val="24"/>
          <w:szCs w:val="24"/>
        </w:rPr>
        <w:t xml:space="preserve">Normativa Comunitaria </w:t>
      </w:r>
    </w:p>
    <w:p w:rsidR="00247C4D" w:rsidRPr="00274631" w:rsidRDefault="009D1D4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Derecho Comunitario engloba tanto el Derecho Originario como el Derecho Derivado, el primero lo forman los tratados constituyentes y de reforma, y que se han asumidos por los países miembros quienes pudieron negociarlos y ratificar de forma voluntaria, mientras que el Derecho Derivado está compuesto por los actos normativos unilateralmente adoptados por las instituciones comunitarias en aplicación de los tratados, y que lo integran, reglamentos, directivas, decisiones, recomendacio</w:t>
      </w:r>
      <w:r w:rsidR="000813EE" w:rsidRPr="00274631">
        <w:rPr>
          <w:rFonts w:ascii="Times New Roman" w:hAnsi="Times New Roman" w:cs="Times New Roman"/>
          <w:sz w:val="24"/>
          <w:szCs w:val="24"/>
        </w:rPr>
        <w:t>nes y dic</w:t>
      </w:r>
      <w:r w:rsidRPr="00274631">
        <w:rPr>
          <w:rFonts w:ascii="Times New Roman" w:hAnsi="Times New Roman" w:cs="Times New Roman"/>
          <w:sz w:val="24"/>
          <w:szCs w:val="24"/>
        </w:rPr>
        <w:t>támenes.</w:t>
      </w:r>
    </w:p>
    <w:p w:rsidR="009D1D43" w:rsidRPr="00274631" w:rsidRDefault="009D1D4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primeros, los reglamentos, son obligatorios en todos sus elementos y directamente aplicables a los Estados Comunitarios, y se publican en el Diario Oficial de la Unión Europea (DOUE), las directivas por su parte vinculas al Estado o Estados a los que van dirigidos, siendo estos Estados libres de decidir la forma o medios a utilizar para conseguir dichas finalidades, y se public</w:t>
      </w:r>
      <w:r w:rsidR="00081AEB" w:rsidRPr="00274631">
        <w:rPr>
          <w:rFonts w:ascii="Times New Roman" w:hAnsi="Times New Roman" w:cs="Times New Roman"/>
          <w:sz w:val="24"/>
          <w:szCs w:val="24"/>
        </w:rPr>
        <w:t>an al igual que los reglamentos en el DOUE.</w:t>
      </w:r>
    </w:p>
    <w:p w:rsidR="00081AEB" w:rsidRPr="00274631" w:rsidRDefault="00081AE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Las decisiones por su parte son obligatorias en todos sus elementos para aquel que sea su destinatario, y como diferencia con los reglamentos, no tienen alcance general, debido a que se dirigen unos sujetos individuales, también se publican en el Diario Oficial de la Unión Europea.</w:t>
      </w:r>
    </w:p>
    <w:p w:rsidR="00081AEB" w:rsidRPr="00274631" w:rsidRDefault="00081AE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Las recomendaciones son sugerencias de las instituciones comunitarias a los Estados miembros para que actúen de una determinada forma en una materia concreta mientras que los dictámenes son manifestaciones de opinión sobre una cuestión en particular, como las recomendaciones, no son vinculantes.</w:t>
      </w:r>
    </w:p>
    <w:p w:rsidR="009546B3" w:rsidRDefault="00B81F1B"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9546B3" w:rsidRPr="00274631">
        <w:rPr>
          <w:rFonts w:ascii="Times New Roman" w:hAnsi="Times New Roman" w:cs="Times New Roman"/>
          <w:sz w:val="24"/>
          <w:szCs w:val="24"/>
        </w:rPr>
        <w:t xml:space="preserve">La igualdad de oportunidades entre el hombre y la mujer a nivel europeo </w:t>
      </w:r>
    </w:p>
    <w:p w:rsidR="00247C4D" w:rsidRPr="00247C4D" w:rsidRDefault="00247C4D" w:rsidP="00247C4D">
      <w:pPr>
        <w:spacing w:line="360" w:lineRule="auto"/>
        <w:jc w:val="both"/>
        <w:rPr>
          <w:rFonts w:ascii="Times New Roman" w:hAnsi="Times New Roman" w:cs="Times New Roman"/>
          <w:sz w:val="24"/>
          <w:szCs w:val="24"/>
        </w:rPr>
      </w:pPr>
      <w:r>
        <w:rPr>
          <w:rFonts w:ascii="Times New Roman" w:hAnsi="Times New Roman" w:cs="Times New Roman"/>
          <w:sz w:val="24"/>
          <w:szCs w:val="24"/>
        </w:rPr>
        <w:t>El concepto de derechos humanos encuentra sus antecedentes en el derecho natural y posteriormente se sustenta en la teoría del contrato social. Las manifestaciones contemporáneas de la idea de derechos surgen con John Locke y las primeras cartas de Derechos.</w:t>
      </w:r>
      <w:r>
        <w:rPr>
          <w:rStyle w:val="Refdenotaalpie"/>
          <w:rFonts w:ascii="Times New Roman" w:hAnsi="Times New Roman" w:cs="Times New Roman"/>
          <w:sz w:val="24"/>
          <w:szCs w:val="24"/>
        </w:rPr>
        <w:footnoteReference w:id="34"/>
      </w:r>
    </w:p>
    <w:p w:rsidR="00081AEB" w:rsidRPr="00274631" w:rsidRDefault="00081AE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cuanto al tema que vamos a tratar en este apartado, la igualdad de oportunidades entre el hombre y la mujer debe suponer en primer lugar una igualdad de trato y un respeto a la dignidad humana en general, que en muchas ocasiones suele mezclarse con el concepto de protección a la mujer por ser la parte menos favorecida en la realidad social.</w:t>
      </w:r>
      <w:r w:rsidR="00FB75AD">
        <w:rPr>
          <w:rStyle w:val="Refdenotaalpie"/>
          <w:rFonts w:ascii="Times New Roman" w:hAnsi="Times New Roman" w:cs="Times New Roman"/>
          <w:sz w:val="24"/>
          <w:szCs w:val="24"/>
        </w:rPr>
        <w:footnoteReference w:id="35"/>
      </w:r>
    </w:p>
    <w:p w:rsidR="000813EE" w:rsidRPr="00274631" w:rsidRDefault="000813EE"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Las directivas europeas</w:t>
      </w:r>
    </w:p>
    <w:p w:rsidR="009546B3" w:rsidRPr="00274631" w:rsidRDefault="009546B3"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Esta máxima general se ha desarrollado en cantidad de disposiciones de derecho derivado, como por ejemplo las directivas, aquí alguna de las más importantes:</w:t>
      </w:r>
    </w:p>
    <w:p w:rsidR="009546B3" w:rsidRPr="00274631" w:rsidRDefault="009546B3" w:rsidP="00274631">
      <w:pPr>
        <w:pStyle w:val="Prrafodelista"/>
        <w:numPr>
          <w:ilvl w:val="0"/>
          <w:numId w:val="1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La Directiva 75/117/CEE, de 10 de Febrero de 1975, relativa a la aproximación de legislaciones de los Estados miembros, en la cual se refiere al principio de igualdad de retribución entre los trabajadores y las trabajadoras y que implicó la eliminación de </w:t>
      </w:r>
      <w:r w:rsidRPr="00274631">
        <w:rPr>
          <w:rFonts w:ascii="Times New Roman" w:hAnsi="Times New Roman" w:cs="Times New Roman"/>
          <w:sz w:val="24"/>
          <w:szCs w:val="24"/>
        </w:rPr>
        <w:lastRenderedPageBreak/>
        <w:t>cualquier discriminación por razones de sexo relacionada con el conjunto de condiciones de la retribución de igual trabajo.</w:t>
      </w:r>
      <w:r w:rsidR="00FB75AD">
        <w:rPr>
          <w:rStyle w:val="Refdenotaalpie"/>
          <w:rFonts w:ascii="Times New Roman" w:hAnsi="Times New Roman" w:cs="Times New Roman"/>
          <w:sz w:val="24"/>
          <w:szCs w:val="24"/>
        </w:rPr>
        <w:footnoteReference w:id="36"/>
      </w:r>
      <w:r w:rsidRPr="00274631">
        <w:rPr>
          <w:rFonts w:ascii="Times New Roman" w:hAnsi="Times New Roman" w:cs="Times New Roman"/>
          <w:sz w:val="24"/>
          <w:szCs w:val="24"/>
        </w:rPr>
        <w:t xml:space="preserve"> </w:t>
      </w:r>
    </w:p>
    <w:p w:rsidR="009C4A1A" w:rsidRPr="00274631" w:rsidRDefault="009546B3" w:rsidP="00274631">
      <w:pPr>
        <w:pStyle w:val="Prrafodelista"/>
        <w:numPr>
          <w:ilvl w:val="0"/>
          <w:numId w:val="1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Directiva 76/207/CEE, de 9 de Febrero de 1976, que se refiere a la aplicación del principio de igualdad de trato entre hombres y mujeres en lo que se refiere al acceso al empleo, a la formación</w:t>
      </w:r>
      <w:r w:rsidR="009C4A1A" w:rsidRPr="00274631">
        <w:rPr>
          <w:rFonts w:ascii="Times New Roman" w:hAnsi="Times New Roman" w:cs="Times New Roman"/>
          <w:sz w:val="24"/>
          <w:szCs w:val="24"/>
        </w:rPr>
        <w:t xml:space="preserve"> y a las promociones profesionales, y a las condiciones de trabajo. También definió el principio de igualdad de trato en el sentido de ausencia de toda discriminación por razón de sexo, tanto de forma indirecta como indirectamente, refiriéndose en particular al estado matrimonial o familiar. Esta directiva también se aplicó al acceso a todas las clases y niveles de orientación profesional, formación, perfeccionamiento y reciclado profesionales, y en cuanto a lo concerniente a las condiciones de trabajo y despido se contemplaban las </w:t>
      </w:r>
      <w:r w:rsidR="00FB75AD">
        <w:rPr>
          <w:rFonts w:ascii="Times New Roman" w:hAnsi="Times New Roman" w:cs="Times New Roman"/>
          <w:sz w:val="24"/>
          <w:szCs w:val="24"/>
        </w:rPr>
        <w:t xml:space="preserve">mismas para hombres y mujeres. </w:t>
      </w:r>
      <w:r w:rsidR="00FB75AD">
        <w:rPr>
          <w:rStyle w:val="Refdenotaalpie"/>
          <w:rFonts w:ascii="Times New Roman" w:hAnsi="Times New Roman" w:cs="Times New Roman"/>
          <w:sz w:val="24"/>
          <w:szCs w:val="24"/>
        </w:rPr>
        <w:footnoteReference w:id="37"/>
      </w:r>
    </w:p>
    <w:p w:rsidR="00E43EC0" w:rsidRPr="00274631" w:rsidRDefault="00E43EC0" w:rsidP="00274631">
      <w:pPr>
        <w:pStyle w:val="Prrafodelista"/>
        <w:spacing w:line="360" w:lineRule="auto"/>
        <w:jc w:val="both"/>
        <w:rPr>
          <w:rFonts w:ascii="Times New Roman" w:hAnsi="Times New Roman" w:cs="Times New Roman"/>
          <w:sz w:val="24"/>
          <w:szCs w:val="24"/>
        </w:rPr>
      </w:pPr>
    </w:p>
    <w:p w:rsidR="009C4A1A" w:rsidRPr="00274631" w:rsidRDefault="009C4A1A" w:rsidP="00274631">
      <w:pPr>
        <w:pStyle w:val="Prrafodelista"/>
        <w:numPr>
          <w:ilvl w:val="0"/>
          <w:numId w:val="1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Directiva 79/7/CEE, de 19 de Diciembre de 1978, referente a la aplicación progresiva del principio de igualdad de trato entre hombres y mujeres en materia de Seguridad Social. Dirigida a la población activa, incluidos los trabajadores con su actividad interrumpida por enfermedad, accidente, desempleo involuntario y para las personas que busquen empleo, así como para trabajadores jubilados e inválidos.</w:t>
      </w:r>
    </w:p>
    <w:p w:rsidR="000451CC" w:rsidRDefault="000451CC" w:rsidP="00274631">
      <w:pPr>
        <w:spacing w:line="360" w:lineRule="auto"/>
        <w:jc w:val="both"/>
        <w:rPr>
          <w:rFonts w:ascii="Times New Roman" w:hAnsi="Times New Roman" w:cs="Times New Roman"/>
          <w:sz w:val="24"/>
          <w:szCs w:val="24"/>
        </w:rPr>
      </w:pPr>
    </w:p>
    <w:p w:rsidR="009C4A1A" w:rsidRPr="00274631" w:rsidRDefault="009C4A1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Supone la no discriminación por sexo en relación al ámbito de aplicación de los regímenes y las condiciones de acceso a los mismos; la obligación de contribuir y el cálculo de las contribuciones y al cálculo de las prestaciones y las condiciones de duración y de mantenimiento del derecho a las prestaciones.</w:t>
      </w:r>
      <w:r w:rsidR="00FB75AD">
        <w:rPr>
          <w:rStyle w:val="Refdenotaalpie"/>
          <w:rFonts w:ascii="Times New Roman" w:hAnsi="Times New Roman" w:cs="Times New Roman"/>
          <w:sz w:val="24"/>
          <w:szCs w:val="24"/>
        </w:rPr>
        <w:footnoteReference w:id="38"/>
      </w:r>
    </w:p>
    <w:p w:rsidR="008C3A88" w:rsidRDefault="008C3A88" w:rsidP="00274631">
      <w:pPr>
        <w:pStyle w:val="Prrafodelista"/>
        <w:numPr>
          <w:ilvl w:val="0"/>
          <w:numId w:val="1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Directiva 92/85/CEE, de 19 de Octubre de 1992, que se refiere a la aplicación de medidas para facilitar la mejora de la seguridad y la salud en el trabajo de las trabajadoras embarazas</w:t>
      </w:r>
      <w:r w:rsidR="00BE1354" w:rsidRPr="00274631">
        <w:rPr>
          <w:rFonts w:ascii="Times New Roman" w:hAnsi="Times New Roman" w:cs="Times New Roman"/>
          <w:sz w:val="24"/>
          <w:szCs w:val="24"/>
        </w:rPr>
        <w:t xml:space="preserve"> que hayan dado a luz o en periodo de lactancia. También regula la exposición de las trabajadoras, en estas situaciones, a riesgos que deberán evitarse mediante la adopción provisional de medidas para sus condiciones de trabajo, cuando el traslado a otra actividad  fuese imposible, las trabajadoras disfrutarán de baja laboral durante todo el periodo considerado necesario para la protección de su seguridad y salud. Queda prohibido el despido de las mujeres por razones inherentes a su estado durante el periodo que abarca el embarazo hasta el final de su baja. En caso de despido, el empresario deberá dar por escrito motivos justificados.</w:t>
      </w:r>
    </w:p>
    <w:p w:rsidR="000B1029" w:rsidRPr="00274631" w:rsidRDefault="000B1029" w:rsidP="000B1029">
      <w:pPr>
        <w:pStyle w:val="Prrafodelista"/>
        <w:spacing w:line="360" w:lineRule="auto"/>
        <w:jc w:val="both"/>
        <w:rPr>
          <w:rFonts w:ascii="Times New Roman" w:hAnsi="Times New Roman" w:cs="Times New Roman"/>
          <w:sz w:val="24"/>
          <w:szCs w:val="24"/>
        </w:rPr>
      </w:pPr>
    </w:p>
    <w:p w:rsidR="006375ED" w:rsidRPr="00274631" w:rsidRDefault="00BE1354" w:rsidP="00274631">
      <w:pPr>
        <w:pStyle w:val="Prrafodelista"/>
        <w:numPr>
          <w:ilvl w:val="0"/>
          <w:numId w:val="1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97/80/CE, relativa a la carga de la prueb</w:t>
      </w:r>
      <w:r w:rsidR="006375ED" w:rsidRPr="00274631">
        <w:rPr>
          <w:rFonts w:ascii="Times New Roman" w:hAnsi="Times New Roman" w:cs="Times New Roman"/>
          <w:sz w:val="24"/>
          <w:szCs w:val="24"/>
        </w:rPr>
        <w:t>a en l</w:t>
      </w:r>
      <w:r w:rsidRPr="00274631">
        <w:rPr>
          <w:rFonts w:ascii="Times New Roman" w:hAnsi="Times New Roman" w:cs="Times New Roman"/>
          <w:sz w:val="24"/>
          <w:szCs w:val="24"/>
        </w:rPr>
        <w:t>o</w:t>
      </w:r>
      <w:r w:rsidR="006375ED" w:rsidRPr="00274631">
        <w:rPr>
          <w:rFonts w:ascii="Times New Roman" w:hAnsi="Times New Roman" w:cs="Times New Roman"/>
          <w:sz w:val="24"/>
          <w:szCs w:val="24"/>
        </w:rPr>
        <w:t>s</w:t>
      </w:r>
      <w:r w:rsidRPr="00274631">
        <w:rPr>
          <w:rFonts w:ascii="Times New Roman" w:hAnsi="Times New Roman" w:cs="Times New Roman"/>
          <w:sz w:val="24"/>
          <w:szCs w:val="24"/>
        </w:rPr>
        <w:t xml:space="preserve"> casos de discriminación basada en el sexo. Definió las discriminaciones indirectas por razón de sexo</w:t>
      </w:r>
      <w:r w:rsidR="006375ED" w:rsidRPr="00274631">
        <w:rPr>
          <w:rFonts w:ascii="Times New Roman" w:hAnsi="Times New Roman" w:cs="Times New Roman"/>
          <w:sz w:val="24"/>
          <w:szCs w:val="24"/>
        </w:rPr>
        <w:t>. Esta directiva extendió su ámbito de aplicación a las situaciones cubiertas por el artículo 119, y a todas las citadas anteriormente, a cualquier procedimiento civil o administrativo relativo a los sectores públicos o privado. No se aplicó a los procedimientos penales, salvo que así los dispusieran los Estados miembros. El objetivo de esta directiva consistió en garantizar una mayor eficacia de las medidas adoptadas por los Estados miembros para que cualquier persona que se considerasen perjudicadas por la no aplicación, con respecto a ellas, del principio de igualdad, pudieran hacer valer sus derechos ante los órganos jurisdiccionales después de haber recurrido, en su caso, a otros órganos competentes.</w:t>
      </w:r>
      <w:r w:rsidR="00AC1973">
        <w:rPr>
          <w:rStyle w:val="Refdenotaalpie"/>
          <w:rFonts w:ascii="Times New Roman" w:hAnsi="Times New Roman" w:cs="Times New Roman"/>
          <w:sz w:val="24"/>
          <w:szCs w:val="24"/>
        </w:rPr>
        <w:footnoteReference w:id="39"/>
      </w:r>
    </w:p>
    <w:p w:rsidR="00E43EC0" w:rsidRDefault="00E43EC0" w:rsidP="00274631">
      <w:pPr>
        <w:pStyle w:val="Prrafodelista"/>
        <w:spacing w:line="360" w:lineRule="auto"/>
        <w:jc w:val="both"/>
        <w:rPr>
          <w:rFonts w:ascii="Times New Roman" w:hAnsi="Times New Roman" w:cs="Times New Roman"/>
          <w:sz w:val="24"/>
          <w:szCs w:val="24"/>
        </w:rPr>
      </w:pPr>
    </w:p>
    <w:p w:rsidR="000B1029" w:rsidRPr="00274631" w:rsidRDefault="000B1029" w:rsidP="00274631">
      <w:pPr>
        <w:pStyle w:val="Prrafodelista"/>
        <w:spacing w:line="360" w:lineRule="auto"/>
        <w:jc w:val="both"/>
        <w:rPr>
          <w:rFonts w:ascii="Times New Roman" w:hAnsi="Times New Roman" w:cs="Times New Roman"/>
          <w:sz w:val="24"/>
          <w:szCs w:val="24"/>
        </w:rPr>
      </w:pPr>
    </w:p>
    <w:p w:rsidR="00E43EC0" w:rsidRPr="00274631" w:rsidRDefault="006375ED" w:rsidP="00274631">
      <w:pPr>
        <w:pStyle w:val="Prrafodelista"/>
        <w:numPr>
          <w:ilvl w:val="0"/>
          <w:numId w:val="1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Directiva 97/81/CE, de 15 de Diciembre de 1997, tiene por finalidad apoyar la posibilidad de que las mujeres puedan trabajar a tiempo parcial, cuando las circunstancias familiares así lo exigieran o durante el periodo previo a la jubilación. </w:t>
      </w:r>
    </w:p>
    <w:p w:rsidR="00E43EC0" w:rsidRPr="00274631" w:rsidRDefault="00E43EC0" w:rsidP="00274631">
      <w:pPr>
        <w:pStyle w:val="Prrafodelista"/>
        <w:spacing w:line="360" w:lineRule="auto"/>
        <w:jc w:val="both"/>
        <w:rPr>
          <w:rFonts w:ascii="Times New Roman" w:hAnsi="Times New Roman" w:cs="Times New Roman"/>
          <w:sz w:val="24"/>
          <w:szCs w:val="24"/>
        </w:rPr>
      </w:pPr>
    </w:p>
    <w:p w:rsidR="00E43EC0" w:rsidRPr="00274631" w:rsidRDefault="00E43EC0" w:rsidP="00274631">
      <w:pPr>
        <w:pStyle w:val="Prrafodelista"/>
        <w:spacing w:line="360" w:lineRule="auto"/>
        <w:jc w:val="both"/>
        <w:rPr>
          <w:rFonts w:ascii="Times New Roman" w:hAnsi="Times New Roman" w:cs="Times New Roman"/>
          <w:sz w:val="24"/>
          <w:szCs w:val="24"/>
        </w:rPr>
      </w:pPr>
    </w:p>
    <w:p w:rsidR="000813EE" w:rsidRPr="00274631" w:rsidRDefault="006375ED" w:rsidP="00274631">
      <w:pPr>
        <w:pStyle w:val="Prrafodelista"/>
        <w:numPr>
          <w:ilvl w:val="0"/>
          <w:numId w:val="1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Desde el 15 de Agosto de 2009, las Directivas 75/117/CEE, 76/207/CEE y 97/80/CE quedaron derogadas por la Directiva 2006/54/CE del Parlamento Europeo y del Consejo, de 5 de Julio de 2006, relativa a la aplicaci</w:t>
      </w:r>
      <w:r w:rsidR="000813EE" w:rsidRPr="00274631">
        <w:rPr>
          <w:rFonts w:ascii="Times New Roman" w:hAnsi="Times New Roman" w:cs="Times New Roman"/>
          <w:sz w:val="24"/>
          <w:szCs w:val="24"/>
        </w:rPr>
        <w:t>ón del Principio de Igualdad de Oportunidades e Igualdad de Trato entre Hombres y Mujeres en Asuntos de Empleo y Ocupación</w:t>
      </w:r>
    </w:p>
    <w:p w:rsidR="000813EE" w:rsidRPr="00274631" w:rsidRDefault="000813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directiva de 2006 refunde las anteriores directivas, reuniendo en un mismo texto las principales disposiciones existentes en este ámbito, así como ciertas novedades que se derivan de la jurisprudencia del Tribunal de Justicia de la Unión Europea.</w:t>
      </w:r>
    </w:p>
    <w:p w:rsidR="00E43EC0" w:rsidRPr="00274631" w:rsidRDefault="000813E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tanto, la Directiva 2006/54/CE tiene por objeto garantizar la aplicación del principio de igualdad de oportunidades e igualdad de trato entre hombres y mujeres en asuntos de empleo y ocupación, por ello contiene disposiciones destinadas a aplicar el principio de igualdad de trato en lo que se refiere a temas como: el acceso a empleo, incluida promoción y formación profesional, las condiciones de trabajo, incluida la retribución y los regímenes profesionales de Seguridad Social.</w:t>
      </w:r>
      <w:r w:rsidR="00AC1973">
        <w:rPr>
          <w:rStyle w:val="Refdenotaalpie"/>
          <w:rFonts w:ascii="Times New Roman" w:hAnsi="Times New Roman" w:cs="Times New Roman"/>
          <w:sz w:val="24"/>
          <w:szCs w:val="24"/>
        </w:rPr>
        <w:footnoteReference w:id="40"/>
      </w:r>
    </w:p>
    <w:p w:rsidR="000813EE" w:rsidRPr="00274631" w:rsidRDefault="000813EE"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Resoluciones del Consejo</w:t>
      </w:r>
    </w:p>
    <w:p w:rsidR="000813EE" w:rsidRPr="00274631" w:rsidRDefault="00C812D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Otro tipo de normas, pertenecientes al Derecho Comunitario derivado que han desarrollado la máxima general de la igualdad de trato entre hombres y mujeres son las resoluciones, algunas de las más importantes son:</w:t>
      </w:r>
    </w:p>
    <w:p w:rsidR="00C812DA" w:rsidRPr="00274631" w:rsidRDefault="00C812DA" w:rsidP="00274631">
      <w:pPr>
        <w:pStyle w:val="Prrafodelista"/>
        <w:numPr>
          <w:ilvl w:val="0"/>
          <w:numId w:val="1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Resolución del Consejo de 12 de Julio de 1982, sobre la promoción de igualdad de oportunidades para la mujer. Reivindica en periodos de crisis económica, la intensificación de la promoción de la igualdad de trato, porque es la mujer la más desfavorecida en cuanto al trato en estas circunstancias.</w:t>
      </w:r>
    </w:p>
    <w:p w:rsidR="00E43EC0" w:rsidRPr="00274631" w:rsidRDefault="00E43EC0" w:rsidP="00274631">
      <w:pPr>
        <w:pStyle w:val="Prrafodelista"/>
        <w:spacing w:line="360" w:lineRule="auto"/>
        <w:jc w:val="both"/>
        <w:rPr>
          <w:rFonts w:ascii="Times New Roman" w:hAnsi="Times New Roman" w:cs="Times New Roman"/>
          <w:sz w:val="24"/>
          <w:szCs w:val="24"/>
        </w:rPr>
      </w:pPr>
    </w:p>
    <w:p w:rsidR="00C812DA" w:rsidRPr="00274631" w:rsidRDefault="00C812DA" w:rsidP="00274631">
      <w:pPr>
        <w:pStyle w:val="Prrafodelista"/>
        <w:numPr>
          <w:ilvl w:val="0"/>
          <w:numId w:val="1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Resolución del Consejo de 24 de Julio de 1986, relativa al fomento de la igualdad de oportunidades para mujeres, considerando la información y consulta a los trabajadores de empresas de estructura complejo, y en partículas a las transnacionales.</w:t>
      </w:r>
    </w:p>
    <w:p w:rsidR="00E43EC0" w:rsidRPr="00274631" w:rsidRDefault="00E43EC0" w:rsidP="00274631">
      <w:pPr>
        <w:pStyle w:val="Prrafodelista"/>
        <w:spacing w:line="360" w:lineRule="auto"/>
        <w:jc w:val="both"/>
        <w:rPr>
          <w:rFonts w:ascii="Times New Roman" w:hAnsi="Times New Roman" w:cs="Times New Roman"/>
          <w:sz w:val="24"/>
          <w:szCs w:val="24"/>
        </w:rPr>
      </w:pPr>
    </w:p>
    <w:p w:rsidR="00E43EC0" w:rsidRPr="00274631" w:rsidRDefault="00E43EC0" w:rsidP="00274631">
      <w:pPr>
        <w:pStyle w:val="Prrafodelista"/>
        <w:spacing w:line="360" w:lineRule="auto"/>
        <w:jc w:val="both"/>
        <w:rPr>
          <w:rFonts w:ascii="Times New Roman" w:hAnsi="Times New Roman" w:cs="Times New Roman"/>
          <w:sz w:val="24"/>
          <w:szCs w:val="24"/>
        </w:rPr>
      </w:pPr>
    </w:p>
    <w:p w:rsidR="00C812DA" w:rsidRPr="00274631" w:rsidRDefault="00C812DA" w:rsidP="00274631">
      <w:pPr>
        <w:pStyle w:val="Prrafodelista"/>
        <w:numPr>
          <w:ilvl w:val="0"/>
          <w:numId w:val="1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 Resolución del Consejo de 22 de Junio de 1994, relativa a la promoción de la igualdad de oportunidades para hombres y mujeres mediante la acción de los fondos estructurales europeos.</w:t>
      </w:r>
    </w:p>
    <w:p w:rsidR="00C812DA" w:rsidRPr="00274631" w:rsidRDefault="00C812D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Recodando que la promoción de esta igualdad de oportunidades para hombres y para mujeres en el mercado de trabajo constituye uno de los objetivos de la Unión Europea</w:t>
      </w:r>
    </w:p>
    <w:p w:rsidR="00C812DA" w:rsidRPr="00274631" w:rsidRDefault="00C812DA"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Recomendaciones e informes de la Comisión</w:t>
      </w:r>
    </w:p>
    <w:p w:rsidR="00C812DA" w:rsidRPr="00274631" w:rsidRDefault="00C812D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No constituyen normativa directamente aplicable, pero sí pertenecen al conjunto del Derecho comunitario derivado las recomendaciones e informes de la Comisión, que son actos de carácter político, no vinculantes para los Estados, pero con mucha repercusión social.</w:t>
      </w:r>
    </w:p>
    <w:p w:rsidR="00C812DA" w:rsidRPr="00274631" w:rsidRDefault="0038694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Podemos citar algunas de las más importantes, como son:</w:t>
      </w:r>
    </w:p>
    <w:p w:rsidR="00386941" w:rsidRPr="00274631" w:rsidRDefault="0038694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La Recomendación 92/131/CEE, de la Comisión, de 27 de Noviembre de 1991, sobre la protección de la dignidad de las mujeres y los hombres en el trabajo. Recomendando a los Estados miembros que adopten medidas para impulsar la toma de conciencia sobre la inaceptabilidad de los comportamientos de carácter sexual y de cualquier otro comportamiento relacionado con el sexo que </w:t>
      </w:r>
      <w:proofErr w:type="gramStart"/>
      <w:r w:rsidRPr="00274631">
        <w:rPr>
          <w:rFonts w:ascii="Times New Roman" w:hAnsi="Times New Roman" w:cs="Times New Roman"/>
          <w:sz w:val="24"/>
          <w:szCs w:val="24"/>
        </w:rPr>
        <w:t>dañen</w:t>
      </w:r>
      <w:proofErr w:type="gramEnd"/>
      <w:r w:rsidRPr="00274631">
        <w:rPr>
          <w:rFonts w:ascii="Times New Roman" w:hAnsi="Times New Roman" w:cs="Times New Roman"/>
          <w:sz w:val="24"/>
          <w:szCs w:val="24"/>
        </w:rPr>
        <w:t xml:space="preserve"> la dignidad de la persona, de</w:t>
      </w:r>
      <w:r w:rsidR="000B1029">
        <w:rPr>
          <w:rFonts w:ascii="Times New Roman" w:hAnsi="Times New Roman" w:cs="Times New Roman"/>
          <w:sz w:val="24"/>
          <w:szCs w:val="24"/>
        </w:rPr>
        <w:t>finiendo además el acoso sexual</w:t>
      </w:r>
      <w:r w:rsidR="000B1029">
        <w:rPr>
          <w:rStyle w:val="Refdenotaalpie"/>
          <w:rFonts w:ascii="Times New Roman" w:hAnsi="Times New Roman" w:cs="Times New Roman"/>
          <w:sz w:val="24"/>
          <w:szCs w:val="24"/>
        </w:rPr>
        <w:footnoteReference w:id="41"/>
      </w:r>
      <w:r w:rsidR="000B1029">
        <w:rPr>
          <w:rFonts w:ascii="Times New Roman" w:hAnsi="Times New Roman" w:cs="Times New Roman"/>
          <w:sz w:val="24"/>
          <w:szCs w:val="24"/>
        </w:rPr>
        <w:t>.</w:t>
      </w:r>
    </w:p>
    <w:p w:rsidR="00386941" w:rsidRPr="00274631" w:rsidRDefault="0038694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estados miembros deben tomar medidas para poner en práctica en el sector público el Código de Conducta de la Comisión. Recoge en un anexo medidas para combatir el acoso sexual y su objetivo es proporcionar una orientación práctica a los empresarios.</w:t>
      </w:r>
    </w:p>
    <w:p w:rsidR="00386941" w:rsidRPr="00274631" w:rsidRDefault="0038694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Informe Anual 1997, de la Comisión, de 13 de mayo de 1998, sobre la igualdad de oportunidades entre las mujeres y los hombres en la Unión Europea, siendo de gran importancia porque recoge las iniciativas más recientes en este te</w:t>
      </w:r>
      <w:r w:rsidR="00762AA2" w:rsidRPr="00274631">
        <w:rPr>
          <w:rFonts w:ascii="Times New Roman" w:hAnsi="Times New Roman" w:cs="Times New Roman"/>
          <w:sz w:val="24"/>
          <w:szCs w:val="24"/>
        </w:rPr>
        <w:t>ma, en su contenido podemos ver:</w:t>
      </w:r>
    </w:p>
    <w:p w:rsidR="00762AA2"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w:t>
      </w:r>
      <w:r w:rsidR="00762AA2" w:rsidRPr="00274631">
        <w:rPr>
          <w:rFonts w:ascii="Times New Roman" w:hAnsi="Times New Roman" w:cs="Times New Roman"/>
          <w:sz w:val="24"/>
          <w:szCs w:val="24"/>
        </w:rPr>
        <w:t>Junio de 1997, se aprueba el Tratado de Ámsterdam, que da a la Comunidad nuevas competencias en materia de igualdad y de lucha contra la discriminación, y su nuevo artículo 141 da a la igualdad de trato un fundamento jurídico específico.</w:t>
      </w:r>
    </w:p>
    <w:p w:rsidR="00762AA2"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w:t>
      </w:r>
      <w:r w:rsidR="00762AA2" w:rsidRPr="00274631">
        <w:rPr>
          <w:rFonts w:ascii="Times New Roman" w:hAnsi="Times New Roman" w:cs="Times New Roman"/>
          <w:sz w:val="24"/>
          <w:szCs w:val="24"/>
        </w:rPr>
        <w:t>Establece una nueva estrategia para el empleo y la igualdad de oportunidades</w:t>
      </w:r>
    </w:p>
    <w:p w:rsidR="00762AA2"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w:t>
      </w:r>
      <w:r w:rsidR="00762AA2" w:rsidRPr="00274631">
        <w:rPr>
          <w:rFonts w:ascii="Times New Roman" w:hAnsi="Times New Roman" w:cs="Times New Roman"/>
          <w:sz w:val="24"/>
          <w:szCs w:val="24"/>
        </w:rPr>
        <w:t xml:space="preserve">Por último, la transversalidad es un enfoque </w:t>
      </w:r>
      <w:r w:rsidRPr="00274631">
        <w:rPr>
          <w:rFonts w:ascii="Times New Roman" w:hAnsi="Times New Roman" w:cs="Times New Roman"/>
          <w:sz w:val="24"/>
          <w:szCs w:val="24"/>
        </w:rPr>
        <w:t>que consiste en integrar la dimensión de la igualdad de oportunidades en todas las áreas políticas fundamentales y, entre los ejemplos de ella se sitúan los fondos estructurales.</w:t>
      </w:r>
    </w:p>
    <w:p w:rsidR="009637E1"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Aparece una nueva iniciativa para llevar esto a cabo, la llamada Empleo-</w:t>
      </w:r>
      <w:proofErr w:type="spellStart"/>
      <w:r w:rsidRPr="00274631">
        <w:rPr>
          <w:rFonts w:ascii="Times New Roman" w:hAnsi="Times New Roman" w:cs="Times New Roman"/>
          <w:sz w:val="24"/>
          <w:szCs w:val="24"/>
        </w:rPr>
        <w:t>Now</w:t>
      </w:r>
      <w:proofErr w:type="spellEnd"/>
      <w:r w:rsidRPr="00274631">
        <w:rPr>
          <w:rFonts w:ascii="Times New Roman" w:hAnsi="Times New Roman" w:cs="Times New Roman"/>
          <w:sz w:val="24"/>
          <w:szCs w:val="24"/>
        </w:rPr>
        <w:t>, que tiene como una de sus prioridades la lucha contra la segregación vertical, que supone la formación de mujeres para los puestos directivos superiores, y contra la segregación horizontal, que supone la apertura de los sectores tradicionalmente reservados a los hombres.</w:t>
      </w:r>
    </w:p>
    <w:p w:rsidR="009637E1"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Esta iniciativa será sustituida en 2007 por el programa </w:t>
      </w:r>
      <w:proofErr w:type="spellStart"/>
      <w:r w:rsidRPr="00274631">
        <w:rPr>
          <w:rFonts w:ascii="Times New Roman" w:hAnsi="Times New Roman" w:cs="Times New Roman"/>
          <w:sz w:val="24"/>
          <w:szCs w:val="24"/>
        </w:rPr>
        <w:t>Progress</w:t>
      </w:r>
      <w:proofErr w:type="spellEnd"/>
      <w:r w:rsidRPr="00274631">
        <w:rPr>
          <w:rFonts w:ascii="Times New Roman" w:hAnsi="Times New Roman" w:cs="Times New Roman"/>
          <w:sz w:val="24"/>
          <w:szCs w:val="24"/>
        </w:rPr>
        <w:t>, dedicado al empleo y la solidaridad social, Aprobado por la Decisión nº 1677/2006/CE, con un presupuesto de 743 millones de euros en 7 años.</w:t>
      </w:r>
    </w:p>
    <w:p w:rsidR="009637E1"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Este programa se divide en cinco secciones: Empleo, Protección e inclusión social, Condiciones de trabajo, No discriminación y diversidad y por último Igualdad de género.</w:t>
      </w:r>
    </w:p>
    <w:p w:rsidR="009637E1" w:rsidRPr="00274631" w:rsidRDefault="009637E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Entre sus principales objetivos cabe remarcar dos de ellos, el apoyar y controlar la aplicación de la legislación comunitaria, y el de fomentar la creación de redes, el aprendizaje mutuo, la determinación y la difusión</w:t>
      </w:r>
      <w:r w:rsidR="00CD1098" w:rsidRPr="00274631">
        <w:rPr>
          <w:rFonts w:ascii="Times New Roman" w:hAnsi="Times New Roman" w:cs="Times New Roman"/>
          <w:sz w:val="24"/>
          <w:szCs w:val="24"/>
        </w:rPr>
        <w:t xml:space="preserve"> de buenas prácticas y de enfoques innovadores a escala europea.</w:t>
      </w:r>
    </w:p>
    <w:p w:rsidR="00E43EC0" w:rsidRPr="00274631" w:rsidRDefault="00CD1098"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Por último, nombrar algunos organismos que ejercen un gran papel a nivel europeo, como son el Instituto Europeo de Igualdad de Género, la Red Europea de Mujeres Directivas y el Comité para la Igualdad de Oportunidades entre </w:t>
      </w:r>
      <w:r w:rsidR="00ED3A12" w:rsidRPr="00274631">
        <w:rPr>
          <w:rFonts w:ascii="Times New Roman" w:hAnsi="Times New Roman" w:cs="Times New Roman"/>
          <w:sz w:val="24"/>
          <w:szCs w:val="24"/>
        </w:rPr>
        <w:t>Hombres y Mujeres.</w:t>
      </w:r>
    </w:p>
    <w:p w:rsidR="00CD1098" w:rsidRPr="00274631" w:rsidRDefault="00B81F1B" w:rsidP="00274631">
      <w:pPr>
        <w:pStyle w:val="Prrafodelista"/>
        <w:numPr>
          <w:ilvl w:val="1"/>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CD1098" w:rsidRPr="00274631">
        <w:rPr>
          <w:rFonts w:ascii="Times New Roman" w:hAnsi="Times New Roman" w:cs="Times New Roman"/>
          <w:sz w:val="24"/>
          <w:szCs w:val="24"/>
        </w:rPr>
        <w:t>Normativa Nacional</w:t>
      </w:r>
    </w:p>
    <w:p w:rsidR="00B81F1B" w:rsidRPr="00274631" w:rsidRDefault="00B81F1B" w:rsidP="00274631">
      <w:pPr>
        <w:pStyle w:val="Prrafodelista"/>
        <w:spacing w:line="360" w:lineRule="auto"/>
        <w:jc w:val="both"/>
        <w:rPr>
          <w:rFonts w:ascii="Times New Roman" w:hAnsi="Times New Roman" w:cs="Times New Roman"/>
          <w:sz w:val="24"/>
          <w:szCs w:val="24"/>
        </w:rPr>
      </w:pPr>
    </w:p>
    <w:p w:rsidR="00CD1098" w:rsidRPr="00274631" w:rsidRDefault="00CD1098"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Constitución Española, Artículo 14.</w:t>
      </w:r>
    </w:p>
    <w:p w:rsidR="00E63ABB" w:rsidRPr="00274631" w:rsidRDefault="00E63ABB"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Expresa este artículo 14 de forma literal “</w:t>
      </w:r>
      <w:r w:rsidRPr="00274631">
        <w:rPr>
          <w:rFonts w:ascii="Times New Roman" w:hAnsi="Times New Roman" w:cs="Times New Roman"/>
          <w:i/>
          <w:sz w:val="24"/>
          <w:szCs w:val="24"/>
        </w:rPr>
        <w:t>Los españoles son iguales ante la ley, sin que pueda prevalecer discriminación alguna por razón de nacimiento, raza, sexo, religión, opinión o cualquier otra condición o circunstancia personal o social”</w:t>
      </w:r>
    </w:p>
    <w:p w:rsidR="00E63ABB" w:rsidRPr="00274631" w:rsidRDefault="00E63AB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Es un derecho fundamental, y como tal tiene protección jurisdiccional especial, en acuerdo al artículo 53.2 de la Constitución, por el que cualquier ciudadano podrá recabar la tutela de las libertades y derechos, ante los tribunales ordinarios y por un procedimiento basado en los principios de preferencia y sumariedad. Y dado el caso, a través del recurso de amparo ante el Tribunal Constitucional.</w:t>
      </w:r>
    </w:p>
    <w:p w:rsidR="00E63ABB" w:rsidRPr="00F60200" w:rsidRDefault="00E63ABB"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El defensor del pueblo es situado en el artículo 54, designado por las Cortes Generales para la defensa de los derechos y que además deberá supervisar a la administración.</w:t>
      </w:r>
      <w:r w:rsidR="00F60200">
        <w:rPr>
          <w:rFonts w:ascii="Times New Roman" w:hAnsi="Times New Roman" w:cs="Times New Roman"/>
          <w:sz w:val="24"/>
          <w:szCs w:val="24"/>
        </w:rPr>
        <w:t xml:space="preserve"> “</w:t>
      </w:r>
      <w:r w:rsidR="00F60200">
        <w:rPr>
          <w:rFonts w:ascii="Times New Roman" w:hAnsi="Times New Roman" w:cs="Times New Roman"/>
          <w:i/>
          <w:sz w:val="24"/>
          <w:szCs w:val="24"/>
        </w:rPr>
        <w:t>El buen estado de salud de una nación democrática se comprueba no tanto por el elenco de derecho y libertades que el ordenamiento jurídico reconoces a sus ciudadanos como por el nivel de garantía y protección que de los mismos se establece mediante diversos organismos de control sobre los distintos poderes del Estado encargados de velar, de una u otra manera, por su cumplimiento y desarrollo”.</w:t>
      </w:r>
      <w:r w:rsidR="00F60200">
        <w:rPr>
          <w:rStyle w:val="Refdenotaalpie"/>
          <w:rFonts w:ascii="Times New Roman" w:hAnsi="Times New Roman" w:cs="Times New Roman"/>
          <w:i/>
          <w:sz w:val="24"/>
          <w:szCs w:val="24"/>
        </w:rPr>
        <w:footnoteReference w:id="42"/>
      </w:r>
    </w:p>
    <w:p w:rsidR="00E63ABB" w:rsidRPr="00274631" w:rsidRDefault="00E63AB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otro lado, “</w:t>
      </w:r>
      <w:r w:rsidRPr="00274631">
        <w:rPr>
          <w:rFonts w:ascii="Times New Roman" w:hAnsi="Times New Roman" w:cs="Times New Roman"/>
          <w:i/>
          <w:sz w:val="24"/>
          <w:szCs w:val="24"/>
        </w:rPr>
        <w:t>la igualdad también es un valor superior del ordenamiento jurídico, junto a la libertad, la justicia y el pluralismo político”</w:t>
      </w:r>
      <w:r w:rsidRPr="00274631">
        <w:rPr>
          <w:rFonts w:ascii="Times New Roman" w:hAnsi="Times New Roman" w:cs="Times New Roman"/>
          <w:sz w:val="24"/>
          <w:szCs w:val="24"/>
        </w:rPr>
        <w:t xml:space="preserve"> proclamado en el artículo primero de la Constitución</w:t>
      </w:r>
      <w:r w:rsidR="00CC2C91" w:rsidRPr="00274631">
        <w:rPr>
          <w:rFonts w:ascii="Times New Roman" w:hAnsi="Times New Roman" w:cs="Times New Roman"/>
          <w:sz w:val="24"/>
          <w:szCs w:val="24"/>
        </w:rPr>
        <w:t>, y tanto como un derecho fundamental y como un valor superior tiene sus manifestaciones por escrito con conceptos absolutos como pue</w:t>
      </w:r>
      <w:r w:rsidR="00274631">
        <w:rPr>
          <w:rFonts w:ascii="Times New Roman" w:hAnsi="Times New Roman" w:cs="Times New Roman"/>
          <w:sz w:val="24"/>
          <w:szCs w:val="24"/>
        </w:rPr>
        <w:t>d</w:t>
      </w:r>
      <w:r w:rsidR="00CC2C91" w:rsidRPr="00274631">
        <w:rPr>
          <w:rFonts w:ascii="Times New Roman" w:hAnsi="Times New Roman" w:cs="Times New Roman"/>
          <w:sz w:val="24"/>
          <w:szCs w:val="24"/>
        </w:rPr>
        <w:t>en ser, todos, nadie, los ciudadanos o los españoles.</w:t>
      </w:r>
    </w:p>
    <w:p w:rsidR="00CC2C91" w:rsidRPr="00274631" w:rsidRDefault="00CC2C91"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igualdad de sexo en el ámbito jurídico-civil</w:t>
      </w:r>
    </w:p>
    <w:p w:rsidR="00CC2C91" w:rsidRPr="00274631" w:rsidRDefault="00CC2C91"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En la esfera del derecho privado existen diferentes leyes en donde quedan enmarcadas la intención del legislador por lograr esa igua</w:t>
      </w:r>
      <w:r w:rsidR="00F60200">
        <w:rPr>
          <w:rFonts w:ascii="Times New Roman" w:hAnsi="Times New Roman" w:cs="Times New Roman"/>
          <w:sz w:val="24"/>
          <w:szCs w:val="24"/>
        </w:rPr>
        <w:t>ldad entre el hombre y la mujer.</w:t>
      </w:r>
      <w:r w:rsidR="00F60200">
        <w:rPr>
          <w:rStyle w:val="Refdenotaalpie"/>
          <w:rFonts w:ascii="Times New Roman" w:hAnsi="Times New Roman" w:cs="Times New Roman"/>
          <w:sz w:val="24"/>
          <w:szCs w:val="24"/>
        </w:rPr>
        <w:footnoteReference w:id="43"/>
      </w:r>
    </w:p>
    <w:p w:rsidR="00CC2C91" w:rsidRPr="00274631" w:rsidRDefault="00CC2C91"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Por lo que respecta al código civil, el artículo 66 dice así “</w:t>
      </w:r>
      <w:r w:rsidRPr="00274631">
        <w:rPr>
          <w:rFonts w:ascii="Times New Roman" w:hAnsi="Times New Roman" w:cs="Times New Roman"/>
          <w:i/>
          <w:sz w:val="24"/>
          <w:szCs w:val="24"/>
        </w:rPr>
        <w:t>Los cónyuges son iguales en derechos y deberes”</w:t>
      </w:r>
      <w:r w:rsidRPr="00274631">
        <w:rPr>
          <w:rFonts w:ascii="Times New Roman" w:hAnsi="Times New Roman" w:cs="Times New Roman"/>
          <w:sz w:val="24"/>
          <w:szCs w:val="24"/>
        </w:rPr>
        <w:t xml:space="preserve"> y el 67 expresa “</w:t>
      </w:r>
      <w:r w:rsidRPr="00274631">
        <w:rPr>
          <w:rFonts w:ascii="Times New Roman" w:hAnsi="Times New Roman" w:cs="Times New Roman"/>
          <w:i/>
          <w:sz w:val="24"/>
          <w:szCs w:val="24"/>
        </w:rPr>
        <w:t>Los cónyuges deben respetarse y ayudarse mutuamente y actuar en interés de la familia”</w:t>
      </w:r>
    </w:p>
    <w:p w:rsidR="00CC2C91" w:rsidRPr="00274631" w:rsidRDefault="00CC2C91"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las medidas provisionales por demanda de nulidad, separación o divorcio también se observa la igualdad de los cónyuges a la hora de responder en la medida de sus posibilidades, por ejemplo, en la manutención de los hijos, conforme al artículo 102 y siguientes del Código Civil.</w:t>
      </w:r>
    </w:p>
    <w:p w:rsidR="00CC2C91" w:rsidRPr="00274631" w:rsidRDefault="001128BE"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 igualdad de sexo en el ámbito jurídico laboral.</w:t>
      </w:r>
    </w:p>
    <w:p w:rsidR="00B81F1B" w:rsidRPr="00274631" w:rsidRDefault="00B81F1B" w:rsidP="00274631">
      <w:pPr>
        <w:pStyle w:val="Prrafodelista"/>
        <w:spacing w:line="360" w:lineRule="auto"/>
        <w:ind w:left="1080"/>
        <w:jc w:val="both"/>
        <w:rPr>
          <w:rFonts w:ascii="Times New Roman" w:hAnsi="Times New Roman" w:cs="Times New Roman"/>
          <w:sz w:val="24"/>
          <w:szCs w:val="24"/>
        </w:rPr>
      </w:pPr>
    </w:p>
    <w:p w:rsidR="00400A8B" w:rsidRPr="00274631" w:rsidRDefault="00B81F1B" w:rsidP="00274631">
      <w:pPr>
        <w:pStyle w:val="Prrafodelista"/>
        <w:numPr>
          <w:ilvl w:val="3"/>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400A8B" w:rsidRPr="00274631">
        <w:rPr>
          <w:rFonts w:ascii="Times New Roman" w:hAnsi="Times New Roman" w:cs="Times New Roman"/>
          <w:sz w:val="24"/>
          <w:szCs w:val="24"/>
        </w:rPr>
        <w:t>La conciliación laboral</w:t>
      </w:r>
    </w:p>
    <w:p w:rsidR="001128BE" w:rsidRPr="00274631" w:rsidRDefault="001128BE"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el Real Decreto Legislativo 1/1995, de 24 de Marzo, quedó citado en su artículo 4  los derechos laborales, mencionándose en él los básicos, como son:</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Trabajo y libre elección de profesión u oficio</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Libre sindicación</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Negociación colectiva</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Adopción de medidas de conflicto colectivo</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Huelga</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Reunión</w:t>
      </w:r>
    </w:p>
    <w:p w:rsidR="001128BE" w:rsidRPr="00274631" w:rsidRDefault="001128BE" w:rsidP="00274631">
      <w:pPr>
        <w:pStyle w:val="Prrafodelista"/>
        <w:numPr>
          <w:ilvl w:val="0"/>
          <w:numId w:val="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Participación en la empresa</w:t>
      </w:r>
    </w:p>
    <w:p w:rsidR="001128BE" w:rsidRPr="00274631" w:rsidRDefault="001128BE" w:rsidP="00274631">
      <w:pPr>
        <w:spacing w:line="360" w:lineRule="auto"/>
        <w:jc w:val="both"/>
        <w:rPr>
          <w:rFonts w:ascii="Times New Roman" w:hAnsi="Times New Roman" w:cs="Times New Roman"/>
          <w:sz w:val="24"/>
          <w:szCs w:val="24"/>
        </w:rPr>
      </w:pPr>
    </w:p>
    <w:p w:rsidR="001128BE" w:rsidRPr="00274631" w:rsidRDefault="001128BE" w:rsidP="0069401F">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 xml:space="preserve">             En su segunda párrafo se sitúan los derechos de los trabajadores en la relación de trabajo, donde queda señalado expresamente por una redacción recibida por Real Decreto 3/2012, de 10 de Febrero, de medidas urgentes para la reforma del mercado laboral, “</w:t>
      </w:r>
      <w:r w:rsidRPr="00274631">
        <w:rPr>
          <w:rFonts w:ascii="Times New Roman" w:hAnsi="Times New Roman" w:cs="Times New Roman"/>
          <w:i/>
          <w:sz w:val="24"/>
          <w:szCs w:val="24"/>
        </w:rPr>
        <w:t>a no ser discriminados directa o indirectamente para el empleo, o una vez empleados, por razones de sexo, estado civil, edad dentro de los límites marcados por esta ley, origen racial o étnico, condición social, religión o convicciones, ideas políticas, orientación sexual, afiliación o no a un sindicato, así como por razón de lengua, dentro del Estado español</w:t>
      </w:r>
      <w:r w:rsidR="00F75EC7" w:rsidRPr="00274631">
        <w:rPr>
          <w:rFonts w:ascii="Times New Roman" w:hAnsi="Times New Roman" w:cs="Times New Roman"/>
          <w:i/>
          <w:sz w:val="24"/>
          <w:szCs w:val="24"/>
        </w:rPr>
        <w:t>. Tampoco podrán ser discriminados por razón de discapacidad, siempre que se hallasen en condiciones de aptitud para desempeñar el trabajo o empleo que se trate”</w:t>
      </w:r>
    </w:p>
    <w:p w:rsidR="00F75EC7" w:rsidRDefault="00F75EC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ello, de una forma genérica reconoce todos los derechos tanto al hombre como la mujer, en el concepto absoluto de “</w:t>
      </w:r>
      <w:r w:rsidRPr="00274631">
        <w:rPr>
          <w:rFonts w:ascii="Times New Roman" w:hAnsi="Times New Roman" w:cs="Times New Roman"/>
          <w:i/>
          <w:sz w:val="24"/>
          <w:szCs w:val="24"/>
        </w:rPr>
        <w:t>los trabajadores</w:t>
      </w:r>
      <w:r w:rsidR="007C7B3B" w:rsidRPr="00274631">
        <w:rPr>
          <w:rFonts w:ascii="Times New Roman" w:hAnsi="Times New Roman" w:cs="Times New Roman"/>
          <w:sz w:val="24"/>
          <w:szCs w:val="24"/>
        </w:rPr>
        <w:t>”, y de una manera expresa se reconoce,  como y se ha mencionó anteriormente la no discriminación en el ámbito laboral.</w:t>
      </w:r>
    </w:p>
    <w:p w:rsidR="0069401F" w:rsidRPr="00274631" w:rsidRDefault="0069401F"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Son muchas las situaciones donde esta igualdad no se ve clara, debido a la forma de ver temas de ámbito sexual en los que comúnmente la dignidad de la mujer se ve atacada sin ser apreciable de forma clara por los hombres que la rodean, numerosas sentencias sobre abusos </w:t>
      </w:r>
      <w:r>
        <w:rPr>
          <w:rFonts w:ascii="Times New Roman" w:hAnsi="Times New Roman" w:cs="Times New Roman"/>
          <w:sz w:val="24"/>
          <w:szCs w:val="24"/>
        </w:rPr>
        <w:lastRenderedPageBreak/>
        <w:t>sexuales y acoso sexual en el trabajo se producen desde entonces, sirva como ejemplo la Sentencia 224/1999, de 13 de Diciembre de 1999, sobre acoso sexual en el trabajo</w:t>
      </w:r>
      <w:r>
        <w:rPr>
          <w:rStyle w:val="Refdenotaalpie"/>
          <w:rFonts w:ascii="Times New Roman" w:hAnsi="Times New Roman" w:cs="Times New Roman"/>
          <w:sz w:val="24"/>
          <w:szCs w:val="24"/>
        </w:rPr>
        <w:footnoteReference w:id="44"/>
      </w:r>
      <w:r>
        <w:rPr>
          <w:rFonts w:ascii="Times New Roman" w:hAnsi="Times New Roman" w:cs="Times New Roman"/>
          <w:sz w:val="24"/>
          <w:szCs w:val="24"/>
        </w:rPr>
        <w:t>.</w:t>
      </w:r>
    </w:p>
    <w:p w:rsidR="00400A8B" w:rsidRPr="00274631" w:rsidRDefault="00400A8B"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Cabe también mencionar en su artículo 17.1, sobra la no discriminación en las relaciones laborales, que dice así por la redacción de la ley 30/2005, de 17 de Septiembre “</w:t>
      </w:r>
      <w:r w:rsidRPr="00274631">
        <w:rPr>
          <w:rFonts w:ascii="Times New Roman" w:hAnsi="Times New Roman" w:cs="Times New Roman"/>
          <w:i/>
          <w:sz w:val="24"/>
          <w:szCs w:val="24"/>
        </w:rPr>
        <w:t xml:space="preserve">Se entenderán nulos y sin efecto los preceptos reglamentarios, las </w:t>
      </w:r>
      <w:r w:rsidR="00274631" w:rsidRPr="00274631">
        <w:rPr>
          <w:rFonts w:ascii="Times New Roman" w:hAnsi="Times New Roman" w:cs="Times New Roman"/>
          <w:i/>
          <w:sz w:val="24"/>
          <w:szCs w:val="24"/>
        </w:rPr>
        <w:t>cláusulas</w:t>
      </w:r>
      <w:r w:rsidRPr="00274631">
        <w:rPr>
          <w:rFonts w:ascii="Times New Roman" w:hAnsi="Times New Roman" w:cs="Times New Roman"/>
          <w:i/>
          <w:sz w:val="24"/>
          <w:szCs w:val="24"/>
        </w:rPr>
        <w:t xml:space="preserve"> de los convenios colectivos, los pactos individuales y las decisiones unilaterales del empresario que del lugar en el empleo, así como en materia de retribuciones, jornada y demás condiciones de trabajo, a situaciones de discriminación directa o indirecta desfavorables por razón de edad o discapacidad o a situaciones de discriminación directa o indirecta por razón de sexo, origen, incluido el racial o étnico, estado civil, condición social, religión o convicciones, ideas políticas, orientación o condición sexual, adhesión o no a sindicatos y a sus acuerdos , vínculos de parentesco con personas pertenecientes o relacionadas con la empresa y lengua dentro del Estado español”.</w:t>
      </w:r>
    </w:p>
    <w:p w:rsidR="00400A8B" w:rsidRPr="00274631" w:rsidRDefault="00BA0BF6" w:rsidP="00274631">
      <w:pPr>
        <w:spacing w:line="360" w:lineRule="auto"/>
        <w:jc w:val="both"/>
        <w:rPr>
          <w:rFonts w:ascii="Times New Roman" w:hAnsi="Times New Roman" w:cs="Times New Roman"/>
          <w:i/>
          <w:sz w:val="24"/>
          <w:szCs w:val="24"/>
        </w:rPr>
      </w:pPr>
      <w:r>
        <w:rPr>
          <w:rFonts w:ascii="Times New Roman" w:hAnsi="Times New Roman" w:cs="Times New Roman"/>
          <w:sz w:val="24"/>
          <w:szCs w:val="24"/>
        </w:rPr>
        <w:t>El</w:t>
      </w:r>
      <w:r w:rsidR="00400A8B" w:rsidRPr="00274631">
        <w:rPr>
          <w:rFonts w:ascii="Times New Roman" w:hAnsi="Times New Roman" w:cs="Times New Roman"/>
          <w:sz w:val="24"/>
          <w:szCs w:val="24"/>
        </w:rPr>
        <w:t xml:space="preserve"> artículo 28 por su parte consagra un principio como es el de igual remuneración a igual trabajo sin discriminación de sexo “</w:t>
      </w:r>
      <w:r w:rsidR="00400A8B" w:rsidRPr="00274631">
        <w:rPr>
          <w:rFonts w:ascii="Times New Roman" w:hAnsi="Times New Roman" w:cs="Times New Roman"/>
          <w:i/>
          <w:sz w:val="24"/>
          <w:szCs w:val="24"/>
        </w:rPr>
        <w:t xml:space="preserve">Un empresario está obligado a pagar por la prestación de un trabajo de igual valor la misma retribución, </w:t>
      </w:r>
      <w:r w:rsidR="00B51E7A" w:rsidRPr="00274631">
        <w:rPr>
          <w:rFonts w:ascii="Times New Roman" w:hAnsi="Times New Roman" w:cs="Times New Roman"/>
          <w:i/>
          <w:sz w:val="24"/>
          <w:szCs w:val="24"/>
        </w:rPr>
        <w:t>satisfecha directa o indirectamente, y cualquiera que sea la naturaleza de la misma, salarial o extrasalarial, sin que pueda producirse discriminación alguna por razón de sexo en ninguno de los elementos o condiciones de aquella”.</w:t>
      </w:r>
    </w:p>
    <w:p w:rsidR="00B51E7A" w:rsidRPr="00274631" w:rsidRDefault="00B51E7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Al igual, la LO 3/2007 introduce un nuevo apartado, en su artículo 34 del Estatuto de Trabajadores estableciendo el derecho de adoptar la duración y distribución de la jornada de trabajo para poder hacer efectivo su derecho a la conciliación de la vida personal. En su artículo 37.4 se recoge el caso de la lactancia en las trabajadoras con hijo menor de 9 meses, ya sea hijo por nacimiento, adopción o acogimiento, y al derecho de tener una hora de ausencia del trabajo que podrán dividir en dos fracciones. Quien ejerza este derecho por su voluntad, podrá sustituirlo por una reducción en su jornada, de media hora, con la misma finalidad o incluso acumularlo en jornadas completas.</w:t>
      </w:r>
    </w:p>
    <w:p w:rsidR="002A33AC" w:rsidRPr="00274631" w:rsidRDefault="00B51E7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Este último permiso es un derecho individual que puede ser elegido s</w:t>
      </w:r>
      <w:r w:rsidR="002A33AC" w:rsidRPr="00274631">
        <w:rPr>
          <w:rFonts w:ascii="Times New Roman" w:hAnsi="Times New Roman" w:cs="Times New Roman"/>
          <w:sz w:val="24"/>
          <w:szCs w:val="24"/>
        </w:rPr>
        <w:t>ólo por uno de los dos progenitores en caso de que ambos trabajasen. (Artículo modificado por la Ley 3/2012, de 6 de Julio)</w:t>
      </w:r>
    </w:p>
    <w:p w:rsidR="002A33AC" w:rsidRPr="00274631" w:rsidRDefault="002A33A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esta misma ley, se modifica el artículo 37.5 del estatuto de los trabajadores concerniente al tema de la reducción de jornada, para los casos de aquellas personan que estén a cargo directo de un menor de 8 años o una persona discapacitada sin una actividad retribuida, dando un derecho de reducción de jornada diaria acompañado de una reducción de salario proporcional. Igual derecho posee aquél que deba encargarse por tema de enfermedad grave, durante la hospitalización  y el tratamiento continuado del menor de 18 años que así lo precise.</w:t>
      </w:r>
    </w:p>
    <w:p w:rsidR="00806BE2" w:rsidRPr="00274631" w:rsidRDefault="002A33AC"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La reducción de jornada es también un derecho individual, al que pueden </w:t>
      </w:r>
      <w:r w:rsidR="00274631" w:rsidRPr="00274631">
        <w:rPr>
          <w:rFonts w:ascii="Times New Roman" w:hAnsi="Times New Roman" w:cs="Times New Roman"/>
          <w:sz w:val="24"/>
          <w:szCs w:val="24"/>
        </w:rPr>
        <w:t>acogerse</w:t>
      </w:r>
      <w:r w:rsidRPr="00274631">
        <w:rPr>
          <w:rFonts w:ascii="Times New Roman" w:hAnsi="Times New Roman" w:cs="Times New Roman"/>
          <w:sz w:val="24"/>
          <w:szCs w:val="24"/>
        </w:rPr>
        <w:t xml:space="preserve"> tanto hombres como mujeres, y que en el caso de que </w:t>
      </w:r>
      <w:r w:rsidR="00806BE2" w:rsidRPr="00274631">
        <w:rPr>
          <w:rFonts w:ascii="Times New Roman" w:hAnsi="Times New Roman" w:cs="Times New Roman"/>
          <w:sz w:val="24"/>
          <w:szCs w:val="24"/>
        </w:rPr>
        <w:t>dos o más trabajadores ejercieran este derecho sobre la misma persona el empresario podría limitarlo por cuestiones del buen funcionamiento de su empresa.</w:t>
      </w:r>
    </w:p>
    <w:p w:rsidR="00806BE2"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w:t>
      </w:r>
      <w:r w:rsidR="00806BE2" w:rsidRPr="00274631">
        <w:rPr>
          <w:rFonts w:ascii="Times New Roman" w:hAnsi="Times New Roman" w:cs="Times New Roman"/>
          <w:sz w:val="24"/>
          <w:szCs w:val="24"/>
        </w:rPr>
        <w:t xml:space="preserve"> la LO 1/2004, de 28 de Diciembre, de Medidas de </w:t>
      </w:r>
      <w:r w:rsidR="00274631" w:rsidRPr="00274631">
        <w:rPr>
          <w:rFonts w:ascii="Times New Roman" w:hAnsi="Times New Roman" w:cs="Times New Roman"/>
          <w:sz w:val="24"/>
          <w:szCs w:val="24"/>
        </w:rPr>
        <w:t>Protección</w:t>
      </w:r>
      <w:r w:rsidR="00806BE2" w:rsidRPr="00274631">
        <w:rPr>
          <w:rFonts w:ascii="Times New Roman" w:hAnsi="Times New Roman" w:cs="Times New Roman"/>
          <w:sz w:val="24"/>
          <w:szCs w:val="24"/>
        </w:rPr>
        <w:t xml:space="preserve"> Integral contra la Violencia de Género, se introduce un nuevo apartado 7 en el artículo 37 del Estatuto de los Trabajadores, con un contenido que hace mención a las trabajadoras víctimas de violencia de género, incluyendo un derecho de reducción de jornada de trabajo con su reducción de salario proporcional, o a la reordenación del tiempo de su trabajo en cualquiera de las formas que la empresa pudiera utilizar.</w:t>
      </w:r>
    </w:p>
    <w:p w:rsidR="00B51E7A" w:rsidRPr="00274631" w:rsidRDefault="0078368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Por último, cabe destacar como artículo referente en cuanto al á</w:t>
      </w:r>
      <w:r w:rsidR="006C1FF2" w:rsidRPr="00274631">
        <w:rPr>
          <w:rFonts w:ascii="Times New Roman" w:hAnsi="Times New Roman" w:cs="Times New Roman"/>
          <w:sz w:val="24"/>
          <w:szCs w:val="24"/>
        </w:rPr>
        <w:t>m</w:t>
      </w:r>
      <w:r w:rsidRPr="00274631">
        <w:rPr>
          <w:rFonts w:ascii="Times New Roman" w:hAnsi="Times New Roman" w:cs="Times New Roman"/>
          <w:sz w:val="24"/>
          <w:szCs w:val="24"/>
        </w:rPr>
        <w:t xml:space="preserve">bito jurídico laboral que afecte al sistema de igualdad entre hombres y mujeres el artículo 48, que en su apartado 4 nos abarca el tema del supuesto de parto, con una suspensión ininterrumpida de 16 semanas, ampliable en caso de partos múltiples, y que pueden ser distribuidas a opción de la interesada siempre y cuando 6 de ellas sean después de dar a luz. En caso de fallecimiento de la madre el otro progenitor podrá hacer uso de la totalidad o de la parte que le quedara a la madre </w:t>
      </w:r>
      <w:r w:rsidR="006C1FF2" w:rsidRPr="00274631">
        <w:rPr>
          <w:rFonts w:ascii="Times New Roman" w:hAnsi="Times New Roman" w:cs="Times New Roman"/>
          <w:sz w:val="24"/>
          <w:szCs w:val="24"/>
        </w:rPr>
        <w:t>de suspensión.</w:t>
      </w:r>
    </w:p>
    <w:p w:rsidR="006C1FF2" w:rsidRPr="00274631" w:rsidRDefault="006C1FF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Estos periodos pueden ser compartidos entre progenitores, y en el caso que por cuestiones profesionales la madre no pudiera suspender su actividad profesional será el padre el que disfrute de este derecho.</w:t>
      </w:r>
    </w:p>
    <w:p w:rsidR="006C1FF2" w:rsidRPr="00274631" w:rsidRDefault="006C1FF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Para los casos especiales como puede ser el caso de parto prematuro y en los que el recién nacido precise tras su nacimiento de un tiempo de hospitalización, ese tiempo, con un máximo de 13 semanas, será ampliado al ya anteriormente dicho de 16 semanas. En los casos de adopción o acogimiento el periodo de 16 semanas ininterrumpido es igual, con la misma regla para los casos en que ambos supuestos sean múltiples.</w:t>
      </w:r>
    </w:p>
    <w:p w:rsidR="006C1FF2" w:rsidRPr="00274631" w:rsidRDefault="006C1FF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caso de que ambos progenitores trabajasen, el periodo de suspensión de distribuirá a elección de los interesados</w:t>
      </w:r>
      <w:r w:rsidR="00651FA4" w:rsidRPr="00274631">
        <w:rPr>
          <w:rFonts w:ascii="Times New Roman" w:hAnsi="Times New Roman" w:cs="Times New Roman"/>
          <w:sz w:val="24"/>
          <w:szCs w:val="24"/>
        </w:rPr>
        <w:t>, siempre y cuando no se exceda el límite antes indicado pudiendo incluso disfrutarse de forma simultánea.</w:t>
      </w:r>
      <w:r w:rsidR="00544986" w:rsidRPr="00274631">
        <w:rPr>
          <w:rFonts w:ascii="Times New Roman" w:hAnsi="Times New Roman" w:cs="Times New Roman"/>
          <w:sz w:val="24"/>
          <w:szCs w:val="24"/>
        </w:rPr>
        <w:t xml:space="preserve"> Los periodos a los que he hecho referencia pueden disfrutarse tanto en régimen de jornada completa como a tiempo parcial, siempre previo acuerdo con el empresario.</w:t>
      </w:r>
    </w:p>
    <w:p w:rsidR="00544986" w:rsidRPr="00274631" w:rsidRDefault="00B81F1B" w:rsidP="00274631">
      <w:pPr>
        <w:pStyle w:val="Prrafodelista"/>
        <w:numPr>
          <w:ilvl w:val="3"/>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544986" w:rsidRPr="00274631">
        <w:rPr>
          <w:rFonts w:ascii="Times New Roman" w:hAnsi="Times New Roman" w:cs="Times New Roman"/>
          <w:sz w:val="24"/>
          <w:szCs w:val="24"/>
        </w:rPr>
        <w:t>La suspensión del contrato por Paternidad</w:t>
      </w:r>
    </w:p>
    <w:p w:rsidR="00544986" w:rsidRPr="00274631" w:rsidRDefault="00544986"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los supuestos antes mencionados de nacimiento de hijo, adopción o acogimiento, según el artículo 45.1 d) el trabajador tendrá derecho a la suspensión del contrato durante 13 días, esta suspensión es independiente del disfrute compartido de los periodos de descanso por maternidad antes mencionados.</w:t>
      </w:r>
    </w:p>
    <w:p w:rsidR="006E36CF" w:rsidRPr="00274631" w:rsidRDefault="006E36CF"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También indica esta ley que el trabajador deberá comunicar al empresario, con la debida antelación, el ejercicio de este derecho, cuyos términos están establecidos en los convenios colectivos.</w:t>
      </w:r>
    </w:p>
    <w:p w:rsidR="006E36CF" w:rsidRPr="00274631" w:rsidRDefault="006E36CF" w:rsidP="00274631">
      <w:pPr>
        <w:pStyle w:val="Prrafodelista"/>
        <w:numPr>
          <w:ilvl w:val="2"/>
          <w:numId w:val="2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Consecuencias penales de la discriminación por razón de sexo.</w:t>
      </w:r>
    </w:p>
    <w:p w:rsidR="006E36CF" w:rsidRPr="00274631" w:rsidRDefault="006E36CF"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más relevante es la agravante recogida en el artículo 22.4 del Código Penal cuyo tenor literal es “</w:t>
      </w:r>
      <w:r w:rsidRPr="00274631">
        <w:rPr>
          <w:rFonts w:ascii="Times New Roman" w:hAnsi="Times New Roman" w:cs="Times New Roman"/>
          <w:i/>
          <w:sz w:val="24"/>
          <w:szCs w:val="24"/>
        </w:rPr>
        <w:t>Es circunstancia agravante: Cometer el delito por motivos racistas, antisemitas u otra clase de discriminación referente a la ideología, religión, creencias de la víctima, etnia, raza o nación a la que pertenezca, su sexo, orientación o identidad sexual, la enfermedad que padezca o su discapacidad” (</w:t>
      </w:r>
      <w:r w:rsidRPr="00274631">
        <w:rPr>
          <w:rFonts w:ascii="Times New Roman" w:hAnsi="Times New Roman" w:cs="Times New Roman"/>
          <w:sz w:val="24"/>
          <w:szCs w:val="24"/>
        </w:rPr>
        <w:t>LO 5/2010, de 22 de Junio)</w:t>
      </w:r>
    </w:p>
    <w:p w:rsidR="00544986" w:rsidRPr="00274631" w:rsidRDefault="006E36CF"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consonancia con la Recomendación 92/131/CEE, de la Comisión, de 27 de noviembre de 1991, podemos señalar el apartado de delito de acoso sexual que lo encontramos en nuestro Código Penal en el artículo 184, modificado por la LO 15/2003, y dice así:</w:t>
      </w:r>
    </w:p>
    <w:p w:rsidR="007232C2" w:rsidRPr="00274631" w:rsidRDefault="006E36CF"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w:t>
      </w:r>
      <w:r w:rsidRPr="00274631">
        <w:rPr>
          <w:rFonts w:ascii="Times New Roman" w:hAnsi="Times New Roman" w:cs="Times New Roman"/>
          <w:i/>
          <w:sz w:val="24"/>
          <w:szCs w:val="24"/>
        </w:rPr>
        <w:t xml:space="preserve">El que solicitare favores sexuales de naturaleza sexual, para sí o para un tercero, en el ámbito de una relación laboral, docente o de prestación de servicios, continuada o habitual, y con tal comportamiento provocare a la víctima una situación objetiva </w:t>
      </w:r>
      <w:r w:rsidR="007232C2" w:rsidRPr="00274631">
        <w:rPr>
          <w:rFonts w:ascii="Times New Roman" w:hAnsi="Times New Roman" w:cs="Times New Roman"/>
          <w:i/>
          <w:sz w:val="24"/>
          <w:szCs w:val="24"/>
        </w:rPr>
        <w:t xml:space="preserve">y gravemente </w:t>
      </w:r>
      <w:r w:rsidR="007232C2" w:rsidRPr="00274631">
        <w:rPr>
          <w:rFonts w:ascii="Times New Roman" w:hAnsi="Times New Roman" w:cs="Times New Roman"/>
          <w:i/>
          <w:sz w:val="24"/>
          <w:szCs w:val="24"/>
        </w:rPr>
        <w:lastRenderedPageBreak/>
        <w:t>intimidatoria, hostil o humillante, será castigado, como autor de acoso sexual, con la pena de prisión de 3 a 5 meses o multa de 6 a 10 meses. Si el culpable del acoso sexual hubiera cometido el hecho prevaliéndose de una situación de superioridad laboral, docente o jerárquica, o con el anuncio expreso o tácito de causar a la víctima un mal relacionado con las legítimas expectativas que aquella pueda tener en el ámbito de la indicada relación, la pena será de prisión de 5 a 7 meses o multa de 10 a 14 meses.”</w:t>
      </w:r>
    </w:p>
    <w:p w:rsidR="007232C2" w:rsidRPr="00274631" w:rsidRDefault="007232C2" w:rsidP="00274631">
      <w:pPr>
        <w:spacing w:line="360" w:lineRule="auto"/>
        <w:jc w:val="both"/>
        <w:rPr>
          <w:rFonts w:ascii="Times New Roman" w:hAnsi="Times New Roman" w:cs="Times New Roman"/>
          <w:i/>
          <w:sz w:val="24"/>
          <w:szCs w:val="24"/>
        </w:rPr>
      </w:pPr>
      <w:r w:rsidRPr="00274631">
        <w:rPr>
          <w:rFonts w:ascii="Times New Roman" w:hAnsi="Times New Roman" w:cs="Times New Roman"/>
          <w:i/>
          <w:sz w:val="24"/>
          <w:szCs w:val="24"/>
        </w:rPr>
        <w:t xml:space="preserve">Otros artículos con referencia al tema que aquí trato son los </w:t>
      </w:r>
      <w:r w:rsidR="00053ED0" w:rsidRPr="00274631">
        <w:rPr>
          <w:rFonts w:ascii="Times New Roman" w:hAnsi="Times New Roman" w:cs="Times New Roman"/>
          <w:i/>
          <w:sz w:val="24"/>
          <w:szCs w:val="24"/>
        </w:rPr>
        <w:t>encontrados en el Título XXI “Delitos contra la Constitución”, en su capítulo IV “De los delitos relativos al ejercicio de los derechos fundamentales y libertades públicas” en su sección 1ª “De los delitos cometidos con ocasión del ejercicio de los derechos fundamentales y las libertades públicas garantizados por la ley”, como son:</w:t>
      </w:r>
    </w:p>
    <w:p w:rsidR="00053ED0" w:rsidRPr="00274631" w:rsidRDefault="00053ED0" w:rsidP="00274631">
      <w:pPr>
        <w:pStyle w:val="Prrafodelista"/>
        <w:numPr>
          <w:ilvl w:val="0"/>
          <w:numId w:val="4"/>
        </w:numPr>
        <w:spacing w:line="360" w:lineRule="auto"/>
        <w:jc w:val="both"/>
        <w:rPr>
          <w:rFonts w:ascii="Times New Roman" w:hAnsi="Times New Roman" w:cs="Times New Roman"/>
          <w:i/>
          <w:sz w:val="24"/>
          <w:szCs w:val="24"/>
        </w:rPr>
      </w:pPr>
      <w:r w:rsidRPr="00274631">
        <w:rPr>
          <w:rFonts w:ascii="Times New Roman" w:hAnsi="Times New Roman" w:cs="Times New Roman"/>
          <w:i/>
          <w:sz w:val="24"/>
          <w:szCs w:val="24"/>
        </w:rPr>
        <w:t>Artículo 510.1: Provocar a la discriminación contra grupos por su sexo u orientación sexual</w:t>
      </w:r>
    </w:p>
    <w:p w:rsidR="00053ED0" w:rsidRPr="00274631" w:rsidRDefault="00053ED0" w:rsidP="00274631">
      <w:pPr>
        <w:pStyle w:val="Prrafodelista"/>
        <w:numPr>
          <w:ilvl w:val="0"/>
          <w:numId w:val="4"/>
        </w:numPr>
        <w:spacing w:line="360" w:lineRule="auto"/>
        <w:jc w:val="both"/>
        <w:rPr>
          <w:rFonts w:ascii="Times New Roman" w:hAnsi="Times New Roman" w:cs="Times New Roman"/>
          <w:i/>
          <w:sz w:val="24"/>
          <w:szCs w:val="24"/>
        </w:rPr>
      </w:pPr>
      <w:r w:rsidRPr="00274631">
        <w:rPr>
          <w:rFonts w:ascii="Times New Roman" w:hAnsi="Times New Roman" w:cs="Times New Roman"/>
          <w:i/>
          <w:sz w:val="24"/>
          <w:szCs w:val="24"/>
        </w:rPr>
        <w:t>Artículo 512: Denegar un derecho o prestación por razón de su sexo u orientación sexual por persona que ejerza actividades profesionales o empresariales.</w:t>
      </w:r>
    </w:p>
    <w:p w:rsidR="00053ED0" w:rsidRPr="00274631" w:rsidRDefault="00053ED0" w:rsidP="00274631">
      <w:pPr>
        <w:pStyle w:val="Prrafodelista"/>
        <w:numPr>
          <w:ilvl w:val="0"/>
          <w:numId w:val="4"/>
        </w:numPr>
        <w:spacing w:line="360" w:lineRule="auto"/>
        <w:jc w:val="both"/>
        <w:rPr>
          <w:rFonts w:ascii="Times New Roman" w:hAnsi="Times New Roman" w:cs="Times New Roman"/>
          <w:i/>
          <w:sz w:val="24"/>
          <w:szCs w:val="24"/>
        </w:rPr>
      </w:pPr>
      <w:r w:rsidRPr="00274631">
        <w:rPr>
          <w:rFonts w:ascii="Times New Roman" w:hAnsi="Times New Roman" w:cs="Times New Roman"/>
          <w:i/>
          <w:sz w:val="24"/>
          <w:szCs w:val="24"/>
        </w:rPr>
        <w:t>Art</w:t>
      </w:r>
      <w:r w:rsidR="006D0F25" w:rsidRPr="00274631">
        <w:rPr>
          <w:rFonts w:ascii="Times New Roman" w:hAnsi="Times New Roman" w:cs="Times New Roman"/>
          <w:i/>
          <w:sz w:val="24"/>
          <w:szCs w:val="24"/>
        </w:rPr>
        <w:t>ículo 515.5: Asociaciones ilícitas que tengan por objeto promover la discriminación, el odio y la violencia contra grupos por razón de su sexo.</w:t>
      </w:r>
    </w:p>
    <w:p w:rsidR="006D0F25" w:rsidRPr="00274631" w:rsidRDefault="006D0F25" w:rsidP="00274631">
      <w:pPr>
        <w:pStyle w:val="Prrafodelista"/>
        <w:numPr>
          <w:ilvl w:val="0"/>
          <w:numId w:val="4"/>
        </w:numPr>
        <w:spacing w:line="360" w:lineRule="auto"/>
        <w:jc w:val="both"/>
        <w:rPr>
          <w:rFonts w:ascii="Times New Roman" w:hAnsi="Times New Roman" w:cs="Times New Roman"/>
          <w:i/>
          <w:sz w:val="24"/>
          <w:szCs w:val="24"/>
        </w:rPr>
      </w:pPr>
      <w:r w:rsidRPr="00274631">
        <w:rPr>
          <w:rFonts w:ascii="Times New Roman" w:hAnsi="Times New Roman" w:cs="Times New Roman"/>
          <w:i/>
          <w:sz w:val="24"/>
          <w:szCs w:val="24"/>
        </w:rPr>
        <w:t>Artículo 517: Agravante del delito del artículo 515.5 anterior mente nombrado para los presidentes, fundadores y directores de tales asociaciones.</w:t>
      </w:r>
    </w:p>
    <w:p w:rsidR="00B81F1B" w:rsidRPr="00274631" w:rsidRDefault="00B81F1B" w:rsidP="00274631">
      <w:pPr>
        <w:pStyle w:val="Prrafodelista"/>
        <w:spacing w:line="360" w:lineRule="auto"/>
        <w:jc w:val="both"/>
        <w:rPr>
          <w:rFonts w:ascii="Times New Roman" w:hAnsi="Times New Roman" w:cs="Times New Roman"/>
          <w:i/>
          <w:sz w:val="24"/>
          <w:szCs w:val="24"/>
        </w:rPr>
      </w:pPr>
    </w:p>
    <w:p w:rsidR="00BE5D62" w:rsidRPr="00274631" w:rsidRDefault="00B81F1B" w:rsidP="00274631">
      <w:pPr>
        <w:pStyle w:val="Prrafodelista"/>
        <w:numPr>
          <w:ilvl w:val="0"/>
          <w:numId w:val="2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Instituciones y legislación en materia de igualdad de oportunidades entre el hombre y la mujer</w:t>
      </w:r>
    </w:p>
    <w:p w:rsidR="00B81F1B" w:rsidRPr="00274631" w:rsidRDefault="00B81F1B" w:rsidP="00274631">
      <w:pPr>
        <w:pStyle w:val="Prrafodelista"/>
        <w:spacing w:line="360" w:lineRule="auto"/>
        <w:ind w:left="360"/>
        <w:jc w:val="both"/>
        <w:rPr>
          <w:rFonts w:ascii="Times New Roman" w:hAnsi="Times New Roman" w:cs="Times New Roman"/>
          <w:sz w:val="24"/>
          <w:szCs w:val="24"/>
        </w:rPr>
      </w:pPr>
    </w:p>
    <w:p w:rsidR="00BE5D62" w:rsidRPr="00274631" w:rsidRDefault="00B81F1B" w:rsidP="00274631">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BE5D62" w:rsidRPr="00274631">
        <w:rPr>
          <w:rFonts w:ascii="Times New Roman" w:hAnsi="Times New Roman" w:cs="Times New Roman"/>
          <w:sz w:val="24"/>
          <w:szCs w:val="24"/>
        </w:rPr>
        <w:t>Observatorio de la Igualdad de Oportunidades entre Mujeres y Hombres</w:t>
      </w:r>
    </w:p>
    <w:p w:rsidR="00BE5D62" w:rsidRPr="00274631" w:rsidRDefault="00084981"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El Observatorio de la Igualdad de Oportunidades entre Mujeres y Hombres</w:t>
      </w:r>
      <w:r>
        <w:rPr>
          <w:rStyle w:val="Refdenotaalpie"/>
          <w:rFonts w:ascii="Times New Roman" w:hAnsi="Times New Roman" w:cs="Times New Roman"/>
          <w:sz w:val="24"/>
          <w:szCs w:val="24"/>
        </w:rPr>
        <w:footnoteReference w:id="45"/>
      </w:r>
      <w:r>
        <w:rPr>
          <w:rFonts w:ascii="Times New Roman" w:hAnsi="Times New Roman" w:cs="Times New Roman"/>
          <w:sz w:val="24"/>
          <w:szCs w:val="24"/>
        </w:rPr>
        <w:t xml:space="preserve"> t</w:t>
      </w:r>
      <w:r w:rsidR="00BE5D62" w:rsidRPr="00274631">
        <w:rPr>
          <w:rFonts w:ascii="Times New Roman" w:hAnsi="Times New Roman" w:cs="Times New Roman"/>
          <w:sz w:val="24"/>
          <w:szCs w:val="24"/>
        </w:rPr>
        <w:t>iene por objeto la construcción de un sistema de información con capacidad para reconocer la situación de mujeres, respecto a la de los hombres, y el efecto que han provocado las políticas institucionales puestas en marcha, para promover la participación de las mujeres, en todos los ámbitos, en un plano de igualdad.</w:t>
      </w:r>
    </w:p>
    <w:p w:rsidR="00B81F1B" w:rsidRPr="00274631" w:rsidRDefault="00B81F1B" w:rsidP="00274631">
      <w:pPr>
        <w:spacing w:line="360" w:lineRule="auto"/>
        <w:jc w:val="both"/>
        <w:rPr>
          <w:rFonts w:ascii="Times New Roman" w:hAnsi="Times New Roman" w:cs="Times New Roman"/>
          <w:sz w:val="24"/>
          <w:szCs w:val="24"/>
        </w:rPr>
      </w:pPr>
    </w:p>
    <w:p w:rsidR="00BE5D62" w:rsidRPr="00274631" w:rsidRDefault="00BE5D62"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Este observatorio se encuentra actualmente en el Ministerio de Sanidad</w:t>
      </w:r>
      <w:r w:rsidR="00800171">
        <w:rPr>
          <w:rFonts w:ascii="Times New Roman" w:hAnsi="Times New Roman" w:cs="Times New Roman"/>
          <w:sz w:val="24"/>
          <w:szCs w:val="24"/>
        </w:rPr>
        <w:t>, Servicios Sociales e Igualdad</w:t>
      </w:r>
      <w:r w:rsidRPr="00274631">
        <w:rPr>
          <w:rFonts w:ascii="Times New Roman" w:hAnsi="Times New Roman" w:cs="Times New Roman"/>
          <w:sz w:val="24"/>
          <w:szCs w:val="24"/>
        </w:rPr>
        <w:t>, y tiene como algunas de sus principales funciones:</w:t>
      </w:r>
    </w:p>
    <w:p w:rsidR="00BE5D62" w:rsidRPr="00274631" w:rsidRDefault="00BE5D62" w:rsidP="00274631">
      <w:pPr>
        <w:pStyle w:val="Prrafodelista"/>
        <w:numPr>
          <w:ilvl w:val="0"/>
          <w:numId w:val="2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Actuar como órgano permanente de recogida y análisis de la información disponible en diferentes fuentes nacionales e internacionales sobra la igualdad de oportunidades</w:t>
      </w:r>
    </w:p>
    <w:p w:rsidR="00BE5D62" w:rsidRPr="00274631" w:rsidRDefault="00B81F1B" w:rsidP="00274631">
      <w:pPr>
        <w:pStyle w:val="Prrafodelista"/>
        <w:numPr>
          <w:ilvl w:val="0"/>
          <w:numId w:val="2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Evaluar el impacto en la sociedad de las políticas y medidas que afecten de forma directa a la mujeres</w:t>
      </w:r>
    </w:p>
    <w:p w:rsidR="00B81F1B" w:rsidRPr="00274631" w:rsidRDefault="00B81F1B" w:rsidP="00274631">
      <w:pPr>
        <w:pStyle w:val="Prrafodelista"/>
        <w:numPr>
          <w:ilvl w:val="0"/>
          <w:numId w:val="2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Difundir información sobre diferentes aspectos relacionados con las mujeres</w:t>
      </w:r>
    </w:p>
    <w:p w:rsidR="00B81F1B" w:rsidRPr="00274631" w:rsidRDefault="00B81F1B" w:rsidP="00274631">
      <w:pPr>
        <w:pStyle w:val="Prrafodelista"/>
        <w:numPr>
          <w:ilvl w:val="0"/>
          <w:numId w:val="23"/>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Proponer iniciativas tendentes a realizar el seguimiento del tratamiento de la figura de la mujer en los medios de comunicación.</w:t>
      </w:r>
    </w:p>
    <w:p w:rsidR="00B81F1B"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observatorio funcionará en Pleno y estará formado por un/a Presidente/a, una Vicepresidente 1ª, una Vicepresidenta 2ª y 44 vocales.</w:t>
      </w:r>
      <w:r w:rsidR="00084981">
        <w:rPr>
          <w:rStyle w:val="Refdenotaalpie"/>
          <w:rFonts w:ascii="Times New Roman" w:hAnsi="Times New Roman" w:cs="Times New Roman"/>
          <w:sz w:val="24"/>
          <w:szCs w:val="24"/>
        </w:rPr>
        <w:footnoteReference w:id="46"/>
      </w:r>
    </w:p>
    <w:p w:rsidR="00084981" w:rsidRPr="00274631" w:rsidRDefault="00084981" w:rsidP="00274631">
      <w:pPr>
        <w:spacing w:line="360" w:lineRule="auto"/>
        <w:jc w:val="both"/>
        <w:rPr>
          <w:rFonts w:ascii="Times New Roman" w:hAnsi="Times New Roman" w:cs="Times New Roman"/>
          <w:sz w:val="24"/>
          <w:szCs w:val="24"/>
        </w:rPr>
      </w:pPr>
    </w:p>
    <w:p w:rsidR="00C91DC6" w:rsidRPr="000451CC" w:rsidRDefault="00B81F1B" w:rsidP="000451CC">
      <w:pPr>
        <w:pStyle w:val="Prrafodelista"/>
        <w:numPr>
          <w:ilvl w:val="1"/>
          <w:numId w:val="30"/>
        </w:numPr>
        <w:spacing w:line="360" w:lineRule="auto"/>
        <w:jc w:val="both"/>
        <w:rPr>
          <w:rFonts w:ascii="Times New Roman" w:hAnsi="Times New Roman" w:cs="Times New Roman"/>
          <w:sz w:val="24"/>
          <w:szCs w:val="24"/>
        </w:rPr>
      </w:pPr>
      <w:r w:rsidRPr="000451CC">
        <w:rPr>
          <w:rFonts w:ascii="Times New Roman" w:hAnsi="Times New Roman" w:cs="Times New Roman"/>
          <w:sz w:val="24"/>
          <w:szCs w:val="24"/>
        </w:rPr>
        <w:t>Acuerdo de Consejo de Ministros por el que se adoptan medidas para favorecer la igual</w:t>
      </w:r>
      <w:r w:rsidR="00C91DC6" w:rsidRPr="000451CC">
        <w:rPr>
          <w:rFonts w:ascii="Times New Roman" w:hAnsi="Times New Roman" w:cs="Times New Roman"/>
          <w:sz w:val="24"/>
          <w:szCs w:val="24"/>
        </w:rPr>
        <w:t>.</w:t>
      </w:r>
    </w:p>
    <w:p w:rsidR="00C91DC6" w:rsidRPr="00274631" w:rsidRDefault="00C91DC6" w:rsidP="00C91DC6">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Se habilita, previa negociación con los organismos sindicales, a las autoridades competentes para que autoricen con carácter personal y temporal la modificación del horario fijo de los empleados y empleadas públicos, con mantenimiento íntegro y flexible de la jornada laboral que les corresponda.</w:t>
      </w:r>
    </w:p>
    <w:p w:rsidR="00B81F1B" w:rsidRPr="00D260CD" w:rsidRDefault="00C91DC6" w:rsidP="00D260CD">
      <w:pPr>
        <w:spacing w:line="360" w:lineRule="auto"/>
        <w:ind w:left="567"/>
        <w:jc w:val="both"/>
        <w:rPr>
          <w:rFonts w:ascii="Times New Roman" w:hAnsi="Times New Roman" w:cs="Times New Roman"/>
          <w:sz w:val="24"/>
          <w:szCs w:val="24"/>
        </w:rPr>
      </w:pPr>
      <w:r w:rsidRPr="00D260CD">
        <w:rPr>
          <w:rFonts w:ascii="Times New Roman" w:hAnsi="Times New Roman" w:cs="Times New Roman"/>
          <w:sz w:val="24"/>
          <w:szCs w:val="24"/>
        </w:rPr>
        <w:t>Se dispone la creación y constitución de juzgados de viol</w:t>
      </w:r>
      <w:r w:rsidR="00EF5664" w:rsidRPr="00D260CD">
        <w:rPr>
          <w:rFonts w:ascii="Times New Roman" w:hAnsi="Times New Roman" w:cs="Times New Roman"/>
          <w:sz w:val="24"/>
          <w:szCs w:val="24"/>
        </w:rPr>
        <w:t>encia</w:t>
      </w:r>
      <w:r w:rsidR="00B81F1B" w:rsidRPr="00D260CD">
        <w:rPr>
          <w:rFonts w:ascii="Times New Roman" w:hAnsi="Times New Roman" w:cs="Times New Roman"/>
          <w:sz w:val="24"/>
          <w:szCs w:val="24"/>
        </w:rPr>
        <w:t xml:space="preserve"> entre mujeres y hombres.</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Publicación en el BOE de 8 de Marzo de 2005, la Orden PRE/525/2005, de 7 de Marzo, por la que se da publicidad a este acuerdo, y que recibirá la denominación de “Plan para la Igualdad de Género de la Administración General del Estado”. </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Entre las medidas adoptadas más importantes, cabe destacar las siguientes:</w:t>
      </w:r>
    </w:p>
    <w:p w:rsidR="00B81F1B" w:rsidRPr="00D260CD" w:rsidRDefault="00B81F1B" w:rsidP="00D260CD">
      <w:pPr>
        <w:pStyle w:val="Prrafodelista"/>
        <w:numPr>
          <w:ilvl w:val="0"/>
          <w:numId w:val="47"/>
        </w:numPr>
        <w:spacing w:line="360" w:lineRule="auto"/>
        <w:jc w:val="both"/>
        <w:rPr>
          <w:rFonts w:ascii="Times New Roman" w:hAnsi="Times New Roman" w:cs="Times New Roman"/>
          <w:sz w:val="24"/>
          <w:szCs w:val="24"/>
        </w:rPr>
      </w:pPr>
      <w:r w:rsidRPr="00D260CD">
        <w:rPr>
          <w:rFonts w:ascii="Times New Roman" w:hAnsi="Times New Roman" w:cs="Times New Roman"/>
          <w:sz w:val="24"/>
          <w:szCs w:val="24"/>
        </w:rPr>
        <w:t>En la Administración General del Estado y en los organismos públicos y empresas que dependan de ella, los órganos de selección de personal tendrán una composición que deberá ser paritaria</w:t>
      </w:r>
      <w:r w:rsidR="00D260CD" w:rsidRPr="00D260CD">
        <w:rPr>
          <w:rFonts w:ascii="Times New Roman" w:hAnsi="Times New Roman" w:cs="Times New Roman"/>
          <w:sz w:val="24"/>
          <w:szCs w:val="24"/>
        </w:rPr>
        <w:t xml:space="preserve"> </w:t>
      </w:r>
      <w:r w:rsidRPr="00D260CD">
        <w:rPr>
          <w:rFonts w:ascii="Times New Roman" w:hAnsi="Times New Roman" w:cs="Times New Roman"/>
          <w:sz w:val="24"/>
          <w:szCs w:val="24"/>
        </w:rPr>
        <w:t>sobre la mujer</w:t>
      </w:r>
      <w:r w:rsidR="00D260CD" w:rsidRPr="00D260CD">
        <w:rPr>
          <w:rFonts w:ascii="Times New Roman" w:hAnsi="Times New Roman" w:cs="Times New Roman"/>
          <w:sz w:val="24"/>
          <w:szCs w:val="24"/>
        </w:rPr>
        <w:t>.</w:t>
      </w:r>
    </w:p>
    <w:p w:rsidR="00B81F1B" w:rsidRPr="00D260CD" w:rsidRDefault="00B81F1B" w:rsidP="00D260CD">
      <w:pPr>
        <w:pStyle w:val="Prrafodelista"/>
        <w:numPr>
          <w:ilvl w:val="0"/>
          <w:numId w:val="47"/>
        </w:numPr>
        <w:spacing w:line="360" w:lineRule="auto"/>
        <w:jc w:val="both"/>
        <w:rPr>
          <w:rFonts w:ascii="Times New Roman" w:hAnsi="Times New Roman" w:cs="Times New Roman"/>
          <w:sz w:val="24"/>
          <w:szCs w:val="24"/>
        </w:rPr>
      </w:pPr>
      <w:r w:rsidRPr="00D260CD">
        <w:rPr>
          <w:rFonts w:ascii="Times New Roman" w:hAnsi="Times New Roman" w:cs="Times New Roman"/>
          <w:sz w:val="24"/>
          <w:szCs w:val="24"/>
        </w:rPr>
        <w:t>Se aprueba la puesta en marcha de un plan específico para la inserción laboral de las mujeres víctimas de violencia de género.</w:t>
      </w:r>
    </w:p>
    <w:p w:rsidR="00B81F1B" w:rsidRDefault="00B81F1B" w:rsidP="00D260CD">
      <w:pPr>
        <w:pStyle w:val="Prrafodelista"/>
        <w:numPr>
          <w:ilvl w:val="0"/>
          <w:numId w:val="47"/>
        </w:numPr>
        <w:spacing w:line="360" w:lineRule="auto"/>
        <w:jc w:val="both"/>
        <w:rPr>
          <w:rFonts w:ascii="Times New Roman" w:hAnsi="Times New Roman" w:cs="Times New Roman"/>
          <w:sz w:val="24"/>
          <w:szCs w:val="24"/>
        </w:rPr>
      </w:pPr>
      <w:r w:rsidRPr="00D260CD">
        <w:rPr>
          <w:rFonts w:ascii="Times New Roman" w:hAnsi="Times New Roman" w:cs="Times New Roman"/>
          <w:sz w:val="24"/>
          <w:szCs w:val="24"/>
        </w:rPr>
        <w:t>Por último, se crea la Delegación Especial del Gobierno contra la Violencia sobre la Mujer, de la que hablaré a continuación. Hay que tener en cuenta que tras la entrada en vigor del Real Decreto 438/2008, de 14 de Abril, por el que se aprueba la estructura orgánica básica de los departamentos ministeriales, la Delegación Especial del Gobierno contra la Violencia sobre la Mujer ha sido suprimida y es la Delegación del Gobierno para la Violencia de Género la que asume las competencias. Aunque este Real Decreto ya está en vigor, la Ley 1/2004, de 28 de Diciembre, sigue refiriéndose a la ya suprimida Delegación especial.</w:t>
      </w:r>
    </w:p>
    <w:p w:rsidR="00D260CD" w:rsidRPr="00D260CD" w:rsidRDefault="00D260CD" w:rsidP="00D260CD">
      <w:pPr>
        <w:pStyle w:val="Prrafodelista"/>
        <w:spacing w:line="360" w:lineRule="auto"/>
        <w:jc w:val="both"/>
        <w:rPr>
          <w:rFonts w:ascii="Times New Roman" w:hAnsi="Times New Roman" w:cs="Times New Roman"/>
          <w:sz w:val="24"/>
          <w:szCs w:val="24"/>
        </w:rPr>
      </w:pPr>
    </w:p>
    <w:p w:rsidR="00B81F1B"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w:t>
      </w:r>
      <w:r w:rsidR="00B81F1B" w:rsidRPr="00274631">
        <w:rPr>
          <w:rFonts w:ascii="Times New Roman" w:hAnsi="Times New Roman" w:cs="Times New Roman"/>
          <w:sz w:val="24"/>
          <w:szCs w:val="24"/>
        </w:rPr>
        <w:t>Delegación del Gobierno para la Violencia de Género</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Estaba adscrita al Ministerio de Igualdad, actualmente se encuentra en el Ministerio de Sanidad, Servicios Sociales e Igualdad, asume las competencias de la suprimida Delegación Especial del Gobierno contra la Violencia sobre la Mujer, prevista en la LO 1/2004, de Medidas de Protección Integral contra la Violencia de Género.</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Su principal cometido es proponer la política del Gobierno en relación con la violencia de género y coordinar e impulsar todas las actuaciones que se realicen en dicha materia.</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Hoy en día, con arreglo al artículo 3 del RD 200/2012, de 23 de Enero, por el que se desarrolla la estructura orgánica básica del Ministerio de Sanidad, Servicios Sociales e Igualdad, se dispone que, le corresponde a la Delegación del Gobierno para la Violencia de Género proponer la política del gobierno contra las distintas formas de violencia de género y coordinar e impulsar todas las medidas llevadas a cabo en esta materia, y, especialmente en la siguientes funciones aquí mencionadas:</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impulso de la aplicación del principio de transversalidad de las medidas destinadas a luchar contra las distintas formas de violencia de género.</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 sensibilización ciudadana y la prevención de todas las formas de violencia contra la mujer.</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promoción de la coordinación y la colaboración entre los distintos servicios competentes para garantizar una actuación integral en relación con la valoración y gestión del riesgo.</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realización, promoción y difusión de informes, estudios e investigaciones sobre cuestiones relacionadas con las distintas formas de violencia de género.</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fomento de la formación y especialización de los colectivos profesionales que intervienen en el proceso de prevención, información, atención y protección de las víctimas.</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promoción de la colaboración y participación de las entidades, asociaciones y organizaciones que, desde la sociedad civil, actúan contra las distintas formas de violencia de género a la hora de programar y poner en práctica mecanismos y actuaciones tendentes a erradicar este fenómeno.</w:t>
      </w:r>
    </w:p>
    <w:p w:rsidR="00B81F1B" w:rsidRPr="00274631" w:rsidRDefault="00B81F1B" w:rsidP="00274631">
      <w:pPr>
        <w:pStyle w:val="Prrafodelista"/>
        <w:numPr>
          <w:ilvl w:val="0"/>
          <w:numId w:val="2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Participar y mantener relaciones en el ámbito internacional, sin perjuicio de las competencias encomendadas a la Secretaría General Técnica del Ministerio de Salud, Servicios Sociales e Igualdad.</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persona titular de la Delegación del Gobierno para la Violencia de Género</w:t>
      </w:r>
      <w:r w:rsidR="00891E68">
        <w:rPr>
          <w:rStyle w:val="Refdenotaalpie"/>
          <w:rFonts w:ascii="Times New Roman" w:hAnsi="Times New Roman" w:cs="Times New Roman"/>
          <w:sz w:val="24"/>
          <w:szCs w:val="24"/>
        </w:rPr>
        <w:footnoteReference w:id="47"/>
      </w:r>
      <w:r w:rsidRPr="00274631">
        <w:rPr>
          <w:rFonts w:ascii="Times New Roman" w:hAnsi="Times New Roman" w:cs="Times New Roman"/>
          <w:sz w:val="24"/>
          <w:szCs w:val="24"/>
        </w:rPr>
        <w:t xml:space="preserve"> estará legitimada ante los órganos jurisdiccionales para intervenir en defensa de los derechos y de los intereses tutelados por la LO 1/2004, en colaboración y coordinación con las Administraciones Públicas con competencias en materia, para ejercer la acción de cesación y rectificación de la publicidad ilícita por utilizar de forma vejatoria la imagen de las mujeres.</w:t>
      </w:r>
    </w:p>
    <w:p w:rsidR="00B81F1B"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Se adscribe además al Ministerio de Sanidad, Servicios Sociales e Igualdad el Observatorio Estatal de Violencia sobre la Mujer, mediante la Delegación del Gobierno para la Violencia de Género, que ejercerá su presidencia, y que analizo a continuación.</w:t>
      </w:r>
    </w:p>
    <w:p w:rsidR="000451CC" w:rsidRPr="00274631" w:rsidRDefault="000451CC" w:rsidP="00274631">
      <w:pPr>
        <w:spacing w:line="360" w:lineRule="auto"/>
        <w:jc w:val="both"/>
        <w:rPr>
          <w:rFonts w:ascii="Times New Roman" w:hAnsi="Times New Roman" w:cs="Times New Roman"/>
          <w:sz w:val="24"/>
          <w:szCs w:val="24"/>
        </w:rPr>
      </w:pPr>
    </w:p>
    <w:p w:rsidR="00B81F1B"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 </w:t>
      </w:r>
      <w:r w:rsidR="00B81F1B" w:rsidRPr="00274631">
        <w:rPr>
          <w:rFonts w:ascii="Times New Roman" w:hAnsi="Times New Roman" w:cs="Times New Roman"/>
          <w:sz w:val="24"/>
          <w:szCs w:val="24"/>
        </w:rPr>
        <w:t>Real Decreto 253/2006, por el que se establecen las funciones, el régimen de funcionamiento y la composición del observator</w:t>
      </w:r>
      <w:r w:rsidR="00FD1E25" w:rsidRPr="00274631">
        <w:rPr>
          <w:rFonts w:ascii="Times New Roman" w:hAnsi="Times New Roman" w:cs="Times New Roman"/>
          <w:sz w:val="24"/>
          <w:szCs w:val="24"/>
        </w:rPr>
        <w:t>io estatal de la violencia sobre</w:t>
      </w:r>
      <w:r w:rsidR="00B81F1B" w:rsidRPr="00274631">
        <w:rPr>
          <w:rFonts w:ascii="Times New Roman" w:hAnsi="Times New Roman" w:cs="Times New Roman"/>
          <w:sz w:val="24"/>
          <w:szCs w:val="24"/>
        </w:rPr>
        <w:t xml:space="preserve"> la mujer.</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objeto es establecer las funciones, el régimen de funcionamiento y la composición de este observatorio, su naturaleza es la de un órgano interministerial, al que le corresponde el asesoramiento, comprobación, colaboración institucional, elaboración de informes y estudios, y por último la propuesta de actuación en materia de violencia de género.</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Como funciones principales a destacar, destaco las siguientes:</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Colaborar institucionalmente en materia de violencia de género, así como promover la colaboración entre el resto de instituciones implicadas.</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Formular recomendaciones y propuestas tendentes a mejorar los indicadores y sistemas de información relacionados con la violencia de género.</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Evaluar el impacto de las políticas y medidas que se desarrollen con el fin de erradicar la violencia de género y paliar sus efectos.</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Elaborar informes y estudios sobre la violencia de género, con el fin de conseguir un diagnóstico lo más preciso posible sobre este fenómeno social.</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Participar y mantener relaciones con instituciones internacionales similares, sin perjuicio de las competencias de la Secretaria General Técnica del Ministerio de Trabajo y Asuntos Sociales.</w:t>
      </w:r>
    </w:p>
    <w:p w:rsidR="00B81F1B" w:rsidRPr="00274631" w:rsidRDefault="00B81F1B" w:rsidP="00274631">
      <w:pPr>
        <w:pStyle w:val="Prrafodelista"/>
        <w:numPr>
          <w:ilvl w:val="0"/>
          <w:numId w:val="27"/>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Realizar cuentas actuaciones le sean encomendadas para el mejor cumplimiento de sus fines.</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Observatorio Estatal de Violencia sobre la Mujer</w:t>
      </w:r>
      <w:r w:rsidR="00891E68">
        <w:rPr>
          <w:rStyle w:val="Refdenotaalpie"/>
          <w:rFonts w:ascii="Times New Roman" w:hAnsi="Times New Roman" w:cs="Times New Roman"/>
          <w:sz w:val="24"/>
          <w:szCs w:val="24"/>
        </w:rPr>
        <w:footnoteReference w:id="48"/>
      </w:r>
      <w:r w:rsidRPr="00274631">
        <w:rPr>
          <w:rFonts w:ascii="Times New Roman" w:hAnsi="Times New Roman" w:cs="Times New Roman"/>
          <w:sz w:val="24"/>
          <w:szCs w:val="24"/>
        </w:rPr>
        <w:t xml:space="preserve"> tendrá una composición, en la que se velará por la paridad entre hombres y mujeres, y que está compuesta por:</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Presidencia</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Vicepresidencia Primera</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Vicepresidencia Segunda</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Doce vocales en representación de la Administración pública</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Una persona que representa a la Federación Española de Municipios y Provincias</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 persona titular del cargo de Fiscal de Sala Delegado contra la Violencia sobre la mujer.</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Una persona que representará al Consejo General del Poder Judicial</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Trece vocales en representación de los agentes sociales, organizaciones y asociaciones cívicas.</w:t>
      </w:r>
    </w:p>
    <w:p w:rsidR="00B81F1B" w:rsidRPr="00274631" w:rsidRDefault="00B81F1B" w:rsidP="00274631">
      <w:pPr>
        <w:pStyle w:val="Prrafodelista"/>
        <w:numPr>
          <w:ilvl w:val="0"/>
          <w:numId w:val="28"/>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Dos personas expertas en materia de Violencia de Género.</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mandato de las personas que componen el Observatorio que no participen en el mismo en razón del cargo que desempeñan tendrá una duración de 4 años, pudiendo ser renovados.</w:t>
      </w:r>
    </w:p>
    <w:p w:rsidR="00B81F1B" w:rsidRPr="00274631" w:rsidRDefault="00B81F1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pleno lo formarán todas las personas antes mencionadas en la composición, y se reunirá en sesión ordinaria al menos dos veces al año, mientras que la comisión permanente la formarán la presidencia, una vicepresidencia, 14 vocales y una secretaría.</w:t>
      </w:r>
    </w:p>
    <w:p w:rsidR="00B81F1B" w:rsidRPr="00274631" w:rsidRDefault="00757E44" w:rsidP="000451CC">
      <w:pPr>
        <w:pStyle w:val="Prrafodelista"/>
        <w:numPr>
          <w:ilvl w:val="0"/>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Ley Orgánica 3/2007, de 22 de Marzo, para la igualdad efectiva de mujeres y hombres.</w:t>
      </w:r>
      <w:r w:rsidR="00084981">
        <w:rPr>
          <w:rStyle w:val="Refdenotaalpie"/>
          <w:rFonts w:ascii="Times New Roman" w:hAnsi="Times New Roman" w:cs="Times New Roman"/>
          <w:sz w:val="24"/>
          <w:szCs w:val="24"/>
        </w:rPr>
        <w:footnoteReference w:id="49"/>
      </w:r>
    </w:p>
    <w:p w:rsidR="00757E44" w:rsidRPr="00274631" w:rsidRDefault="00757E44" w:rsidP="00274631">
      <w:pPr>
        <w:pStyle w:val="Prrafodelista"/>
        <w:spacing w:line="360" w:lineRule="auto"/>
        <w:ind w:left="360"/>
        <w:jc w:val="both"/>
        <w:rPr>
          <w:rFonts w:ascii="Times New Roman" w:hAnsi="Times New Roman" w:cs="Times New Roman"/>
          <w:sz w:val="24"/>
          <w:szCs w:val="24"/>
        </w:rPr>
      </w:pPr>
    </w:p>
    <w:p w:rsidR="00757E44"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Introducción</w:t>
      </w:r>
    </w:p>
    <w:p w:rsidR="00B81F1B"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Se compone de 78 artículos, distribuidos en un título preliminar y 8 títulos aparte:</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Preliminar: “Objeto y ámbito de la ley”</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I: “El principio de igualdad y la tutela contra la discriminación”</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II: “Políticas públicas para la igualdad”</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III: “Igualdad y medios de comunicación”</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IV: “El derecho al trabajo en igualdad en el empleo público”</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V: “El principio de igualdad en el empleo público”</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VI: “Igualdad de trato en el acceso a bienes y servicios y su suministro”</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VII: “La igualdad en la responsabilidad social de las empresas”</w:t>
      </w:r>
    </w:p>
    <w:p w:rsidR="00757E44" w:rsidRPr="00274631" w:rsidRDefault="00757E44" w:rsidP="00274631">
      <w:pPr>
        <w:pStyle w:val="Prrafodelista"/>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Título VIII: “Disposiciones organizativas”</w:t>
      </w:r>
    </w:p>
    <w:p w:rsidR="00757E44" w:rsidRPr="00274631" w:rsidRDefault="00757E44" w:rsidP="00274631">
      <w:pPr>
        <w:spacing w:line="360" w:lineRule="auto"/>
        <w:jc w:val="both"/>
        <w:rPr>
          <w:rFonts w:ascii="Times New Roman" w:hAnsi="Times New Roman" w:cs="Times New Roman"/>
          <w:i/>
          <w:sz w:val="24"/>
          <w:szCs w:val="24"/>
        </w:rPr>
      </w:pPr>
      <w:r w:rsidRPr="00274631">
        <w:rPr>
          <w:rFonts w:ascii="Times New Roman" w:hAnsi="Times New Roman" w:cs="Times New Roman"/>
          <w:sz w:val="24"/>
          <w:szCs w:val="24"/>
        </w:rPr>
        <w:t>El objeto de esta ley viene redactado en su artículo primero, donde extrayendo una parte, dice así: “</w:t>
      </w:r>
      <w:r w:rsidRPr="00274631">
        <w:rPr>
          <w:rFonts w:ascii="Times New Roman" w:hAnsi="Times New Roman" w:cs="Times New Roman"/>
          <w:i/>
          <w:sz w:val="24"/>
          <w:szCs w:val="24"/>
        </w:rPr>
        <w:t xml:space="preserve">Las mujeres y los hombres son iguales en dignidad humana, e iguales en derecho y deberes. Esta ley tiene por objeto hacer efectivo el derecho de igualdad de trato y de </w:t>
      </w:r>
      <w:r w:rsidRPr="00274631">
        <w:rPr>
          <w:rFonts w:ascii="Times New Roman" w:hAnsi="Times New Roman" w:cs="Times New Roman"/>
          <w:i/>
          <w:sz w:val="24"/>
          <w:szCs w:val="24"/>
        </w:rPr>
        <w:lastRenderedPageBreak/>
        <w:t>oportunidades entre mujeres y hombres, en particular mediante la eliminación de la discriminación de la mujer”</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ámbito de aplicación, como debe suponerse, abarca a todas las personas, pues todas deben gozar de los derechos derivados del principio de igualdad de trato y de la prohibición de discriminación por razón de sexo. Por tanto, las obligaciones impuestas en </w:t>
      </w:r>
      <w:proofErr w:type="gramStart"/>
      <w:r w:rsidRPr="00274631">
        <w:rPr>
          <w:rFonts w:ascii="Times New Roman" w:hAnsi="Times New Roman" w:cs="Times New Roman"/>
          <w:sz w:val="24"/>
          <w:szCs w:val="24"/>
        </w:rPr>
        <w:t>estas ley</w:t>
      </w:r>
      <w:proofErr w:type="gramEnd"/>
      <w:r w:rsidRPr="00274631">
        <w:rPr>
          <w:rFonts w:ascii="Times New Roman" w:hAnsi="Times New Roman" w:cs="Times New Roman"/>
          <w:sz w:val="24"/>
          <w:szCs w:val="24"/>
        </w:rPr>
        <w:t xml:space="preserve"> también deben ser cumplidas por todas ellas, siempre y cuando se encuentren en territorio español sea cual sea su nacionalidad, o donde esté ubicado su residencia o domicilio.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Principio de igualdad de trato entre mujeres y hombres supone la ausencia de toda discriminación, ya sea de forma directa o indirecta, por razón de sexo, y de manera especial las derivadas de la maternidad, la asunción de obligaciones familiares y el estado civil que posean.</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igualdad de trato al igual que la igualdad de oportunidades entre mujeres y hombres es un principio informador del ordenamiento jurídico y, como tal, se integrará y observará en la interpretación y aplicación de las normas jurídicas.</w:t>
      </w:r>
      <w:r w:rsidR="00723292">
        <w:rPr>
          <w:rStyle w:val="Refdenotaalpie"/>
          <w:rFonts w:ascii="Times New Roman" w:hAnsi="Times New Roman" w:cs="Times New Roman"/>
          <w:sz w:val="24"/>
          <w:szCs w:val="24"/>
        </w:rPr>
        <w:footnoteReference w:id="50"/>
      </w:r>
    </w:p>
    <w:p w:rsidR="00757E44"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 Discriminación directa e indirecta</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Entendemos por discriminación directa por razón de sexo la situación en que se encuentra una persona que sea, haya sido o que pudiera ser tratada, en atención a su sexo, de manera menos favorable que otra en situación comparable. Así es como calificamos a todo trato desfavorable que se produce hacia las mujeres embarazadas o que han sido madres recientemente.</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Mientras que la discriminación indirecta por razón de sexo se puede considerar a cualquier situación en que una disposición, criterio o práctica aparentemente neutros pone a personas de un sexo en desventaja particular con respecto a personas del otro, excepto que puedan justificarse mediante una finalidad legítima.</w:t>
      </w:r>
    </w:p>
    <w:p w:rsidR="00757E44"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Acoso sexual y acoso por razón de sexo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Sin perjuicio de lo que se establece en el Código Penal, a efectos de esta ley constituye acoso sexual cualquier comportamiento, verbal o físico, de naturaleza sexual que tena el propósito o produzca el efecto de atentar contra la dignidad de una persona, en particular cuando se crean un entorno intimidatorio, degradante u ofensivo.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Constituye acoso por razón de sexo cualquiera de los comportamientos realizados en función del sexo de una persona, con el serio propósito o el efecto de atentar contra su dignidad y de crear un entorno intimidatorio, degradante u ofensivo. </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Los actos y cláusulas de cualquier negocio jurídico que constituyan discriminación por razón de sexo son considerados nulos y sin efecto.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Cualquier persona podrá recabar de los tribunales la tutela del derecho a la igualdad entre mujeres y hombres, de acuerdo con lo establecido en el artículo 53.2 de la Constitución Española, incluso tras la terminación de la relación en la que supuestamente se ha producido la discriminación. La persona acosada será la única legitimada en los litigios sobre acoso sexual y acoso por razón de sexo.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 acuerdo con las leyes procesales, en aquellos procedimientos en los que las alegaciones de la parte actora se fundamenten en actuaciones discriminatorias, por razón de sexo, corresponderá a la persona demandada probar la ausencia de discriminación en las medidas adoptadas.</w:t>
      </w:r>
    </w:p>
    <w:p w:rsidR="00757E44"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 estos efectos, el órgano judicial, a instancia de parte, podrá recabar, si lo estimase útil y pertinente, informe o dictamen de los organismos públicos competentes. Esto no se aplicará en los procesos penales.</w:t>
      </w:r>
    </w:p>
    <w:p w:rsidR="00EF5664" w:rsidRDefault="00E048F4" w:rsidP="00274631">
      <w:pPr>
        <w:spacing w:line="360" w:lineRule="auto"/>
        <w:jc w:val="both"/>
        <w:rPr>
          <w:rFonts w:ascii="Times New Roman" w:hAnsi="Times New Roman" w:cs="Times New Roman"/>
          <w:i/>
          <w:sz w:val="24"/>
          <w:szCs w:val="24"/>
        </w:rPr>
      </w:pPr>
      <w:r>
        <w:rPr>
          <w:rFonts w:ascii="Times New Roman" w:hAnsi="Times New Roman" w:cs="Times New Roman"/>
          <w:sz w:val="24"/>
          <w:szCs w:val="24"/>
        </w:rPr>
        <w:t>No es difícil encontrar en nuestra jurisprudencia actual sentencias que tengan como tema principal el acoso sexual</w:t>
      </w:r>
      <w:r>
        <w:rPr>
          <w:rStyle w:val="Refdenotaalpie"/>
          <w:rFonts w:ascii="Times New Roman" w:hAnsi="Times New Roman" w:cs="Times New Roman"/>
          <w:sz w:val="24"/>
          <w:szCs w:val="24"/>
        </w:rPr>
        <w:footnoteReference w:id="51"/>
      </w:r>
      <w:r>
        <w:rPr>
          <w:rFonts w:ascii="Times New Roman" w:hAnsi="Times New Roman" w:cs="Times New Roman"/>
          <w:sz w:val="24"/>
          <w:szCs w:val="24"/>
        </w:rPr>
        <w:t xml:space="preserve">, conforme la mujer ha ido introduciéndose en el mercado laboral, dichas sentencias han ido aumentando exponencialmente. Y aunque bien es cierto, que en ocasiones la línea </w:t>
      </w:r>
      <w:r w:rsidR="00EF5664">
        <w:rPr>
          <w:rFonts w:ascii="Times New Roman" w:hAnsi="Times New Roman" w:cs="Times New Roman"/>
          <w:sz w:val="24"/>
          <w:szCs w:val="24"/>
        </w:rPr>
        <w:t>que divide el acoso sexual y lo que denominamos hoy en día como “flirteo” o “</w:t>
      </w:r>
      <w:proofErr w:type="spellStart"/>
      <w:r w:rsidR="00EF5664">
        <w:rPr>
          <w:rFonts w:ascii="Times New Roman" w:hAnsi="Times New Roman" w:cs="Times New Roman"/>
          <w:sz w:val="24"/>
          <w:szCs w:val="24"/>
        </w:rPr>
        <w:t>ligoteo</w:t>
      </w:r>
      <w:proofErr w:type="spellEnd"/>
      <w:r w:rsidR="00EF5664">
        <w:rPr>
          <w:rFonts w:ascii="Times New Roman" w:hAnsi="Times New Roman" w:cs="Times New Roman"/>
          <w:sz w:val="24"/>
          <w:szCs w:val="24"/>
        </w:rPr>
        <w:t>” es muy fina, como dice el profesor Allan Moreira: “</w:t>
      </w:r>
      <w:r w:rsidR="00EF5664">
        <w:rPr>
          <w:rFonts w:ascii="Times New Roman" w:hAnsi="Times New Roman" w:cs="Times New Roman"/>
          <w:i/>
          <w:sz w:val="24"/>
          <w:szCs w:val="24"/>
        </w:rPr>
        <w:t>En la mayoría de las ocasiones, somos los hombres quienes cometemos la imprudencia de equivocar el camino para abordar y atraer a las mujeres. Muchas veces sin la mínima señal lanzada al viento y burlamos la línea del respeto”</w:t>
      </w:r>
      <w:r w:rsidR="00EF5664">
        <w:rPr>
          <w:rStyle w:val="Refdenotaalpie"/>
          <w:rFonts w:ascii="Times New Roman" w:hAnsi="Times New Roman" w:cs="Times New Roman"/>
          <w:i/>
          <w:sz w:val="24"/>
          <w:szCs w:val="24"/>
        </w:rPr>
        <w:footnoteReference w:id="52"/>
      </w:r>
      <w:r w:rsidR="00EF5664">
        <w:rPr>
          <w:rFonts w:ascii="Times New Roman" w:hAnsi="Times New Roman" w:cs="Times New Roman"/>
          <w:i/>
          <w:sz w:val="24"/>
          <w:szCs w:val="24"/>
        </w:rPr>
        <w:t>.</w:t>
      </w:r>
    </w:p>
    <w:p w:rsidR="00891E68" w:rsidRPr="00EF5664" w:rsidRDefault="00891E68" w:rsidP="00274631">
      <w:pPr>
        <w:spacing w:line="360" w:lineRule="auto"/>
        <w:jc w:val="both"/>
        <w:rPr>
          <w:rFonts w:ascii="Times New Roman" w:hAnsi="Times New Roman" w:cs="Times New Roman"/>
          <w:i/>
          <w:sz w:val="24"/>
          <w:szCs w:val="24"/>
        </w:rPr>
      </w:pPr>
    </w:p>
    <w:p w:rsidR="00757E44" w:rsidRPr="00274631" w:rsidRDefault="00757E44" w:rsidP="000451CC">
      <w:pPr>
        <w:pStyle w:val="Prrafodelista"/>
        <w:numPr>
          <w:ilvl w:val="1"/>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 Políticas públicas para la igualdad</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Como consecuencia de esta ley, y con fines a ella, serán criterios generales de actuación de los poderes públicos: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compromiso con la efectividad del derecho constitucional de igualdad entre mujeres y hombres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colaboración y cooperación entre las distintas administraciones pública en la aplicación del principio de igualdad de trato y de oportunidades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participación equilibrada de mujeres y hombres de las candidaturas electorales y en la toma de decisiones.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adopción de las medidas necesarias para la erradicación de la violencia de género, la violencia familiar y todas las formas de acoso sexual y acoso por razón de sexo.</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protección de la maternidad, con especial atención a la asunción por la sociedad de los efectos derivado del embarazo, parto y lactancia.</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fomento de la efectividad del principio de igualdad entre mujeres y hombres en las relaciones entre particulares.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fomento de instrumentos de colaboración entre las distintas administraciones públicas y los agentes sociales, las asociaciones de mujeres y las restantes entidades privadas.</w:t>
      </w:r>
    </w:p>
    <w:p w:rsidR="00757E44" w:rsidRPr="00274631" w:rsidRDefault="00757E44" w:rsidP="00274631">
      <w:pPr>
        <w:pStyle w:val="Prrafodelista"/>
        <w:numPr>
          <w:ilvl w:val="0"/>
          <w:numId w:val="31"/>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El Gobierno elaborará un informe periódico sobre el conjunto de sus actuaciones en relación con la efectividad del principio de igualdad entre hombres y mujeres, De este informe se dará cuenta a las Cortes Generales.</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Además, al objeto de hacer efectivas la disposiciones contenidas en esta ley y que se garantice la integración de modo efectivo de la perspectiva de género en su actividad ordinaria, los poderes públicos deberán a la hora de elaborar sus estudios una serie de directrices, como por ejemplo la de incluir sistemáticamente la variable de sexo en las estadísticas, encuestas y recogida de datos que pueda llevar a cabo o realizar muestras lo suficientemente amplias para que las diversas variables incluidas puedan ser explotadas y analizadas en función de la variable de sexo.</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Administración General del Estado así como las administraciones de las comunidades autónomas cooperarán para integrar el derecho de igualdad entre mujeres y hombres en el ejercicio de sus competencias.</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Las entidades locales integrarán el derecho de igualdad en el ejercicio de sus competencias y colaborarán, a tal efecto, con el resto de las administraciones públicas. Así igual, el sistema educativo incluirá entre sus fines la educación en el respeto de los derechos y libertades fundamentales.</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Para ello las administraciones educativas desarrollarán algunas de las siguientes actuaciones: </w:t>
      </w:r>
    </w:p>
    <w:p w:rsidR="00757E44" w:rsidRPr="00274631" w:rsidRDefault="00757E44" w:rsidP="00274631">
      <w:pPr>
        <w:pStyle w:val="Prrafodelista"/>
        <w:numPr>
          <w:ilvl w:val="0"/>
          <w:numId w:val="3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eliminación y el rechazo de los comportamientos sexistas y estereotipos que supongan discriminación entre hombres y mujeres.</w:t>
      </w:r>
    </w:p>
    <w:p w:rsidR="00757E44" w:rsidRPr="00274631" w:rsidRDefault="00757E44" w:rsidP="00274631">
      <w:pPr>
        <w:pStyle w:val="Prrafodelista"/>
        <w:numPr>
          <w:ilvl w:val="0"/>
          <w:numId w:val="3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La promoción de la presencia equilibrada de mujeres y hombres en los órganos de control y de gobierno de los centros docentes</w:t>
      </w:r>
    </w:p>
    <w:p w:rsidR="00757E44" w:rsidRPr="00274631" w:rsidRDefault="00757E44" w:rsidP="00274631">
      <w:pPr>
        <w:pStyle w:val="Prrafodelista"/>
        <w:numPr>
          <w:ilvl w:val="0"/>
          <w:numId w:val="32"/>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El establecimiento de medidas educativas destinadas al reconocimiento y enseñanza del papel de </w:t>
      </w:r>
      <w:proofErr w:type="gramStart"/>
      <w:r w:rsidRPr="00274631">
        <w:rPr>
          <w:rFonts w:ascii="Times New Roman" w:hAnsi="Times New Roman" w:cs="Times New Roman"/>
          <w:sz w:val="24"/>
          <w:szCs w:val="24"/>
        </w:rPr>
        <w:t>la mujeres</w:t>
      </w:r>
      <w:proofErr w:type="gramEnd"/>
      <w:r w:rsidRPr="00274631">
        <w:rPr>
          <w:rFonts w:ascii="Times New Roman" w:hAnsi="Times New Roman" w:cs="Times New Roman"/>
          <w:sz w:val="24"/>
          <w:szCs w:val="24"/>
        </w:rPr>
        <w:t xml:space="preserve"> en la historia.</w:t>
      </w:r>
    </w:p>
    <w:p w:rsidR="00757E44" w:rsidRPr="00274631" w:rsidRDefault="00757E44"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En cuanto al tema deportivo, los programas públicos de desarrollo del deporte incorporarán la efectiva consideración del principio de igualdad real y efectiva entre hombre y mujeres en su diseño y su ejecución</w:t>
      </w:r>
    </w:p>
    <w:p w:rsidR="00757E44" w:rsidRPr="00274631" w:rsidRDefault="00147F97" w:rsidP="000451CC">
      <w:pPr>
        <w:pStyle w:val="Prrafodelista"/>
        <w:numPr>
          <w:ilvl w:val="0"/>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Resumen y opinión </w:t>
      </w:r>
    </w:p>
    <w:p w:rsidR="00147F97" w:rsidRPr="00274631" w:rsidRDefault="00147F9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Mi idea principal a la hora de elaborar este Trabajo Fin de Grado sobre Igualdad y no discriminación, fue la de comenzar con una muy breve exposición de la idea de igualdad, así como su clasificación dentro de los derechos humanos, para sobresaltar la importancia de este derecho, y una vez comentados los derechos humanos, profundizar un poco en los ámbitos más globales de estos, como son el comunitario y el europeo.</w:t>
      </w:r>
    </w:p>
    <w:p w:rsidR="00147F97" w:rsidRPr="00274631" w:rsidRDefault="00147F9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Una vez visto el concepto de derecho y no discriminación y el trato que se le da en ámbitos supranacionales, he querido profundizar en un tema que a mí me gusta, como es el de la igualdad entre la mujer y el hombre, pero no sin antes al menos, explicar de forma breve, los más notorios casos de discriminación, como pueden ser la discriminación por nacionalidad, por creencia, raza o color y por poseer una lengua distinta. Una vez explicados de unas formas esquemáticas todos, con sus conceptos, fundamentos y demás temática que he podido recopilar de ambos ya si he profundizado en la igualdad entre sexos.</w:t>
      </w:r>
    </w:p>
    <w:p w:rsidR="00147F97" w:rsidRPr="00274631" w:rsidRDefault="00147F9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Me he basado en la evolución de la igualdad entre el hombre y la mujer a través del estudio de la legislación y los pequeños avances que se han ido dando con cada nueva le</w:t>
      </w:r>
      <w:r w:rsidR="00B076E8">
        <w:rPr>
          <w:rFonts w:ascii="Times New Roman" w:hAnsi="Times New Roman" w:cs="Times New Roman"/>
          <w:sz w:val="24"/>
          <w:szCs w:val="24"/>
        </w:rPr>
        <w:t>y, directiva, resolución etc...</w:t>
      </w:r>
      <w:r w:rsidRPr="00274631">
        <w:rPr>
          <w:rFonts w:ascii="Times New Roman" w:hAnsi="Times New Roman" w:cs="Times New Roman"/>
          <w:sz w:val="24"/>
          <w:szCs w:val="24"/>
        </w:rPr>
        <w:t xml:space="preserve"> </w:t>
      </w:r>
    </w:p>
    <w:p w:rsidR="00147F97" w:rsidRPr="00274631" w:rsidRDefault="00147F9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He analizado las diferencias que existen en casos tan particulares como puede ser el de baja por maternidad, paternidad, adopción, donde </w:t>
      </w:r>
      <w:proofErr w:type="gramStart"/>
      <w:r w:rsidRPr="00274631">
        <w:rPr>
          <w:rFonts w:ascii="Times New Roman" w:hAnsi="Times New Roman" w:cs="Times New Roman"/>
          <w:sz w:val="24"/>
          <w:szCs w:val="24"/>
        </w:rPr>
        <w:t>la</w:t>
      </w:r>
      <w:proofErr w:type="gramEnd"/>
      <w:r w:rsidRPr="00274631">
        <w:rPr>
          <w:rFonts w:ascii="Times New Roman" w:hAnsi="Times New Roman" w:cs="Times New Roman"/>
          <w:sz w:val="24"/>
          <w:szCs w:val="24"/>
        </w:rPr>
        <w:t xml:space="preserve"> diferencias entre el ho</w:t>
      </w:r>
      <w:r w:rsidR="00301E30" w:rsidRPr="00274631">
        <w:rPr>
          <w:rFonts w:ascii="Times New Roman" w:hAnsi="Times New Roman" w:cs="Times New Roman"/>
          <w:sz w:val="24"/>
          <w:szCs w:val="24"/>
        </w:rPr>
        <w:t>mbre y la mujer son evidentes. Y por último he querido mostrar la situación de la ley actual, los propósitos que se marcan para un futuro y las ideas a llevar a cabo para seguir avanzando y poder lograr la verdadera igualdad entre hombres y mujeres, ya que debido al estudio realizado y a mis experiencias personales, mi opinión es que a día de hoy no se ha conseguido tal igualdad.</w:t>
      </w:r>
    </w:p>
    <w:p w:rsidR="00301E30" w:rsidRPr="00274631" w:rsidRDefault="00301E30"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Siguen existiendo casos claros de machismo en nuestra sociedad, conductas de las mujeres mal vistas por el hecho de ser mujeres, o conductas reprochables por parte de hombres que se ven como normales en la actualidad. </w:t>
      </w:r>
    </w:p>
    <w:p w:rsidR="00A26257" w:rsidRPr="00274631" w:rsidRDefault="00795633" w:rsidP="00274631">
      <w:pPr>
        <w:spacing w:line="360" w:lineRule="auto"/>
        <w:jc w:val="both"/>
        <w:rPr>
          <w:rFonts w:ascii="Times New Roman" w:hAnsi="Times New Roman" w:cs="Times New Roman"/>
          <w:i/>
          <w:sz w:val="24"/>
          <w:szCs w:val="24"/>
        </w:rPr>
      </w:pPr>
      <w:r>
        <w:rPr>
          <w:rFonts w:ascii="Times New Roman" w:hAnsi="Times New Roman" w:cs="Times New Roman"/>
          <w:sz w:val="24"/>
          <w:szCs w:val="24"/>
        </w:rPr>
        <w:t>Sin olvidar, la famosa</w:t>
      </w:r>
      <w:r w:rsidR="00A26257" w:rsidRPr="00274631">
        <w:rPr>
          <w:rFonts w:ascii="Times New Roman" w:hAnsi="Times New Roman" w:cs="Times New Roman"/>
          <w:sz w:val="24"/>
          <w:szCs w:val="24"/>
        </w:rPr>
        <w:t xml:space="preserve"> discriminación positiva, en la cual comparto opinión con la siguiente cita de Caldito Aunión, Carlos Aurelio: “</w:t>
      </w:r>
      <w:r w:rsidR="00A26257" w:rsidRPr="00274631">
        <w:rPr>
          <w:rFonts w:ascii="Times New Roman" w:hAnsi="Times New Roman" w:cs="Times New Roman"/>
          <w:i/>
          <w:sz w:val="24"/>
          <w:szCs w:val="24"/>
        </w:rPr>
        <w:t>Calificar de positivo lo que cualquier diccionario define como negativo, tiene como fin evitar el rechazo de las personas educadas, aparte de darle un barniz de ética al asunto. Aunque sus partidarios no oculten que aunque positiva sigue siendo discriminación (en español lo correcto sería denominarlo “trato preferente o trato a favor”</w:t>
      </w:r>
      <w:r w:rsidR="0026571E" w:rsidRPr="00274631">
        <w:rPr>
          <w:rFonts w:ascii="Times New Roman" w:hAnsi="Times New Roman" w:cs="Times New Roman"/>
          <w:i/>
          <w:sz w:val="24"/>
          <w:szCs w:val="24"/>
        </w:rPr>
        <w:t>) su intención no es otra que la de convencernos de que el fin justifica los medios, pues se trata de saldar una deuda con gente desfavorecida, maltratada, discriminada, y de que… para tan noble causa es legítimo perjudicar a otros individuos”.</w:t>
      </w:r>
      <w:r w:rsidR="0026571E" w:rsidRPr="00274631">
        <w:rPr>
          <w:rStyle w:val="Refdenotaalpie"/>
          <w:rFonts w:ascii="Times New Roman" w:hAnsi="Times New Roman" w:cs="Times New Roman"/>
          <w:i/>
          <w:sz w:val="24"/>
          <w:szCs w:val="24"/>
        </w:rPr>
        <w:footnoteReference w:id="53"/>
      </w:r>
    </w:p>
    <w:p w:rsidR="00757E44" w:rsidRPr="00274631" w:rsidRDefault="00757E44" w:rsidP="00274631">
      <w:pPr>
        <w:spacing w:line="360" w:lineRule="auto"/>
        <w:jc w:val="both"/>
        <w:rPr>
          <w:rFonts w:ascii="Times New Roman" w:hAnsi="Times New Roman" w:cs="Times New Roman"/>
          <w:sz w:val="24"/>
          <w:szCs w:val="24"/>
        </w:rPr>
      </w:pPr>
    </w:p>
    <w:p w:rsidR="00757E44" w:rsidRPr="00274631" w:rsidRDefault="00757E44" w:rsidP="00274631">
      <w:pPr>
        <w:spacing w:line="360" w:lineRule="auto"/>
        <w:jc w:val="both"/>
        <w:rPr>
          <w:rFonts w:ascii="Times New Roman" w:hAnsi="Times New Roman" w:cs="Times New Roman"/>
          <w:sz w:val="24"/>
          <w:szCs w:val="24"/>
        </w:rPr>
      </w:pPr>
    </w:p>
    <w:p w:rsidR="00B81F1B" w:rsidRPr="00274631" w:rsidRDefault="00B81F1B" w:rsidP="00274631">
      <w:pPr>
        <w:spacing w:line="360" w:lineRule="auto"/>
        <w:jc w:val="both"/>
        <w:rPr>
          <w:rFonts w:ascii="Times New Roman" w:hAnsi="Times New Roman" w:cs="Times New Roman"/>
          <w:sz w:val="24"/>
          <w:szCs w:val="24"/>
        </w:rPr>
      </w:pPr>
    </w:p>
    <w:p w:rsidR="0026571E" w:rsidRPr="00274631" w:rsidRDefault="0026571E" w:rsidP="00274631">
      <w:pPr>
        <w:spacing w:line="360" w:lineRule="auto"/>
        <w:jc w:val="both"/>
        <w:rPr>
          <w:rFonts w:ascii="Times New Roman" w:hAnsi="Times New Roman" w:cs="Times New Roman"/>
          <w:sz w:val="24"/>
          <w:szCs w:val="24"/>
        </w:rPr>
      </w:pPr>
    </w:p>
    <w:p w:rsidR="00B81F1B" w:rsidRDefault="00B81F1B" w:rsidP="00274631">
      <w:pPr>
        <w:spacing w:line="360" w:lineRule="auto"/>
        <w:jc w:val="both"/>
        <w:rPr>
          <w:rFonts w:ascii="Times New Roman" w:hAnsi="Times New Roman" w:cs="Times New Roman"/>
          <w:sz w:val="24"/>
          <w:szCs w:val="24"/>
        </w:rPr>
      </w:pPr>
    </w:p>
    <w:p w:rsidR="00BA0BF6" w:rsidRDefault="00BA0BF6" w:rsidP="00274631">
      <w:pPr>
        <w:spacing w:line="360" w:lineRule="auto"/>
        <w:jc w:val="both"/>
        <w:rPr>
          <w:rFonts w:ascii="Times New Roman" w:hAnsi="Times New Roman" w:cs="Times New Roman"/>
          <w:sz w:val="24"/>
          <w:szCs w:val="24"/>
        </w:rPr>
      </w:pPr>
    </w:p>
    <w:p w:rsidR="00D260CD" w:rsidRDefault="00D260CD" w:rsidP="00274631">
      <w:pPr>
        <w:spacing w:line="360" w:lineRule="auto"/>
        <w:jc w:val="both"/>
        <w:rPr>
          <w:rFonts w:ascii="Times New Roman" w:hAnsi="Times New Roman" w:cs="Times New Roman"/>
          <w:sz w:val="24"/>
          <w:szCs w:val="24"/>
        </w:rPr>
      </w:pPr>
    </w:p>
    <w:p w:rsidR="00D260CD" w:rsidRDefault="00D260CD" w:rsidP="00274631">
      <w:pPr>
        <w:spacing w:line="360" w:lineRule="auto"/>
        <w:jc w:val="both"/>
        <w:rPr>
          <w:rFonts w:ascii="Times New Roman" w:hAnsi="Times New Roman" w:cs="Times New Roman"/>
          <w:sz w:val="24"/>
          <w:szCs w:val="24"/>
        </w:rPr>
      </w:pPr>
    </w:p>
    <w:p w:rsidR="00795633" w:rsidRPr="00274631" w:rsidRDefault="00795633" w:rsidP="00274631">
      <w:pPr>
        <w:spacing w:line="360" w:lineRule="auto"/>
        <w:jc w:val="both"/>
        <w:rPr>
          <w:rFonts w:ascii="Times New Roman" w:hAnsi="Times New Roman" w:cs="Times New Roman"/>
          <w:sz w:val="24"/>
          <w:szCs w:val="24"/>
        </w:rPr>
      </w:pPr>
    </w:p>
    <w:p w:rsidR="00FF04EE" w:rsidRPr="00274631" w:rsidRDefault="00301E30" w:rsidP="000451CC">
      <w:pPr>
        <w:pStyle w:val="Prrafodelista"/>
        <w:numPr>
          <w:ilvl w:val="0"/>
          <w:numId w:val="30"/>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Bibliografía</w:t>
      </w:r>
    </w:p>
    <w:p w:rsidR="00D01FFB" w:rsidRPr="00274631" w:rsidRDefault="00D01FFB" w:rsidP="00274631">
      <w:pPr>
        <w:pStyle w:val="Prrafodelista"/>
        <w:numPr>
          <w:ilvl w:val="0"/>
          <w:numId w:val="36"/>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Legislación:</w:t>
      </w:r>
    </w:p>
    <w:p w:rsidR="00A26257" w:rsidRPr="00274631" w:rsidRDefault="00A2625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Constitución Española</w:t>
      </w:r>
    </w:p>
    <w:p w:rsidR="00A26257" w:rsidRPr="00274631" w:rsidRDefault="00A2625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Código Civil </w:t>
      </w:r>
    </w:p>
    <w:p w:rsidR="00A26257" w:rsidRPr="00274631" w:rsidRDefault="00A2625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Código Penal</w:t>
      </w:r>
    </w:p>
    <w:p w:rsidR="00301E30" w:rsidRPr="00274631" w:rsidRDefault="00A2625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Declaración Universal de Derechos Humanos</w:t>
      </w:r>
    </w:p>
    <w:p w:rsidR="00A26257" w:rsidRPr="00274631" w:rsidRDefault="00A2625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Protocolo 11 de la Convención Europea de Derechos Humanos</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75/117/CEE, de 10 de Febrero de 1975</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76/207/CEE de 9 de Febrero de 1976</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79/7/CEE de 19 de Diciembre de 1978</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92/85/CEE, de 19 de Octubre de 1992</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97/80/CE</w:t>
      </w:r>
    </w:p>
    <w:p w:rsidR="00CC1F6D" w:rsidRPr="00274631" w:rsidRDefault="00CC1F6D"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97/81/CE de 15 de Diciembre de 1997</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Directiva 2006/54/CE de 5 de Julio de 2006</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Resolución del Consejo de 12 de Julio de 1982</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Resolución del Consejo de 24 de Julio de 1986</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Resolución del Consejo de 22 de Junio de 1994</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Recomendación 92/131/CEE de 27 de Noviembre de 1991</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Informe Anual 1997, de 13 de Mayo de 1998</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Real Decreto Legislativo 1/1995 de 24 de Marzo</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Real Decreto 3/2012, de 10 de Febrero</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Real Decreto 200/2012</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Real Decreto 253/2006 de 3 de Marzo </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lastRenderedPageBreak/>
        <w:t xml:space="preserve">LO 1/2004, de 28 de Diciembre, </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 15/2003</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 5/2010</w:t>
      </w:r>
    </w:p>
    <w:p w:rsidR="00D01FFB" w:rsidRPr="00274631"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LO 3/2007 de 22 de Marzo para la Igualdad efectiva entre mujeres y hombres</w:t>
      </w:r>
    </w:p>
    <w:p w:rsidR="00D01FFB" w:rsidRDefault="00D01FFB"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Ley 30/2005 de 17 de Septiembre</w:t>
      </w:r>
    </w:p>
    <w:p w:rsidR="005B4D2E" w:rsidRPr="00274631" w:rsidRDefault="005B4D2E"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Documento de 1978 de Plataforma de Organizaciones Feministas</w:t>
      </w:r>
    </w:p>
    <w:p w:rsidR="00D01FFB" w:rsidRPr="00274631" w:rsidRDefault="00D01FFB" w:rsidP="00274631">
      <w:pPr>
        <w:spacing w:line="360" w:lineRule="auto"/>
        <w:jc w:val="both"/>
        <w:rPr>
          <w:rFonts w:ascii="Times New Roman" w:hAnsi="Times New Roman" w:cs="Times New Roman"/>
          <w:sz w:val="24"/>
          <w:szCs w:val="24"/>
        </w:rPr>
      </w:pPr>
    </w:p>
    <w:p w:rsidR="00D01FFB" w:rsidRPr="00274631" w:rsidRDefault="00D01FFB" w:rsidP="00274631">
      <w:pPr>
        <w:pStyle w:val="Prrafodelista"/>
        <w:numPr>
          <w:ilvl w:val="0"/>
          <w:numId w:val="35"/>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Material:</w:t>
      </w:r>
    </w:p>
    <w:p w:rsidR="00D01FFB" w:rsidRPr="00274631"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Cuesta López, Víctor. (2015) Estado de Derecho y discriminación por razón de género, orientación e identidad sexual. Thompson Reuters.</w:t>
      </w:r>
    </w:p>
    <w:p w:rsidR="00377BC9" w:rsidRPr="00274631"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P. Jiménez, Eduardo. (2013) Igualdad, no discriminación y discapacidad</w:t>
      </w:r>
    </w:p>
    <w:p w:rsidR="00377BC9" w:rsidRPr="00274631"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Tapia Ballesteros, Patricia (2012) La discriminación laboral.</w:t>
      </w:r>
    </w:p>
    <w:p w:rsidR="00D200E2"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Ed. Popular (1993) Reflexión ética sobre el racismo y la xenofobia. </w:t>
      </w:r>
      <w:proofErr w:type="spellStart"/>
      <w:r w:rsidRPr="00274631">
        <w:rPr>
          <w:rFonts w:ascii="Times New Roman" w:hAnsi="Times New Roman" w:cs="Times New Roman"/>
          <w:sz w:val="24"/>
          <w:szCs w:val="24"/>
        </w:rPr>
        <w:t>Ed.Popular</w:t>
      </w:r>
      <w:proofErr w:type="spellEnd"/>
      <w:r w:rsidRPr="00274631">
        <w:rPr>
          <w:rFonts w:ascii="Times New Roman" w:hAnsi="Times New Roman" w:cs="Times New Roman"/>
          <w:sz w:val="24"/>
          <w:szCs w:val="24"/>
        </w:rPr>
        <w:t>.</w:t>
      </w:r>
    </w:p>
    <w:p w:rsidR="006E1703" w:rsidRPr="00274631" w:rsidRDefault="006E1703"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Vogel-Polsky, Eliane. La trampa de la igualdad: Derecho ¿A qué igualdad?</w:t>
      </w:r>
    </w:p>
    <w:p w:rsidR="00377BC9" w:rsidRDefault="00377BC9" w:rsidP="00274631">
      <w:pPr>
        <w:pStyle w:val="Prrafodelista"/>
        <w:numPr>
          <w:ilvl w:val="0"/>
          <w:numId w:val="3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Citas:</w:t>
      </w:r>
    </w:p>
    <w:p w:rsidR="00B76A35" w:rsidRPr="00B76A35" w:rsidRDefault="00B76A35" w:rsidP="00B76A35">
      <w:pPr>
        <w:spacing w:line="360" w:lineRule="auto"/>
        <w:jc w:val="both"/>
        <w:rPr>
          <w:rFonts w:ascii="Times New Roman" w:hAnsi="Times New Roman" w:cs="Times New Roman"/>
          <w:sz w:val="24"/>
          <w:szCs w:val="24"/>
        </w:rPr>
      </w:pPr>
      <w:r>
        <w:rPr>
          <w:rFonts w:ascii="Times New Roman" w:hAnsi="Times New Roman" w:cs="Times New Roman"/>
          <w:sz w:val="24"/>
          <w:szCs w:val="24"/>
        </w:rPr>
        <w:t>Balaguer Callejón, María Luisa (2005), Mujer y Constitución, la construcción jurídica del género, Serie Feminismos, Cátedra, Madrid, p. 61.</w:t>
      </w:r>
    </w:p>
    <w:p w:rsidR="00377BC9"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Caldito Aunión, Carlos Aurelio (2012) Discriminatoria discriminación positiva. Sociopolítica</w:t>
      </w:r>
    </w:p>
    <w:p w:rsidR="00B464F6" w:rsidRDefault="00B464F6"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Martínez Alarcón, María Luz, Profesora Titular Derecho Constitucional, Universidad de Castilla La Mancha</w:t>
      </w:r>
    </w:p>
    <w:p w:rsidR="00B464F6" w:rsidRPr="00274631" w:rsidRDefault="00B464F6"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Moreira, Allan. Precisiones sobre el acoso sexual en el trabajo.</w:t>
      </w:r>
    </w:p>
    <w:p w:rsidR="00377BC9" w:rsidRDefault="00377BC9"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 xml:space="preserve">Nogueira Alcalá, Humberto (2006) El Derecho a la igualdad ante la ley, la no discriminación                    </w:t>
      </w:r>
      <w:r w:rsidR="00C41A2A" w:rsidRPr="00274631">
        <w:rPr>
          <w:rFonts w:ascii="Times New Roman" w:hAnsi="Times New Roman" w:cs="Times New Roman"/>
          <w:sz w:val="24"/>
          <w:szCs w:val="24"/>
        </w:rPr>
        <w:t xml:space="preserve">     </w:t>
      </w:r>
      <w:r w:rsidRPr="00274631">
        <w:rPr>
          <w:rFonts w:ascii="Times New Roman" w:hAnsi="Times New Roman" w:cs="Times New Roman"/>
          <w:sz w:val="24"/>
          <w:szCs w:val="24"/>
        </w:rPr>
        <w:t>y las acciones positivas</w:t>
      </w:r>
    </w:p>
    <w:p w:rsidR="00B76A35" w:rsidRPr="00274631" w:rsidRDefault="00B76A35"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Sánchez Ferriz, Remedios (1995), Estudio sobre las libertades, Tirant Lo Blanc Alternativa, Valencia, 2ª Edición, pp. 165,166 y 167</w:t>
      </w:r>
    </w:p>
    <w:p w:rsidR="00C41A2A" w:rsidRDefault="00C41A2A"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Soberanes D</w:t>
      </w:r>
      <w:r w:rsidR="00274631">
        <w:rPr>
          <w:rFonts w:ascii="Times New Roman" w:hAnsi="Times New Roman" w:cs="Times New Roman"/>
          <w:sz w:val="24"/>
          <w:szCs w:val="24"/>
        </w:rPr>
        <w:t>íez, José</w:t>
      </w:r>
      <w:r w:rsidRPr="00274631">
        <w:rPr>
          <w:rFonts w:ascii="Times New Roman" w:hAnsi="Times New Roman" w:cs="Times New Roman"/>
          <w:sz w:val="24"/>
          <w:szCs w:val="24"/>
        </w:rPr>
        <w:t xml:space="preserve"> María (2011) La igualdad y la desigualdad jurídica, Porrúa, p 194.</w:t>
      </w:r>
    </w:p>
    <w:p w:rsidR="00B76A35" w:rsidRDefault="00B76A35" w:rsidP="00274631">
      <w:pPr>
        <w:spacing w:line="360" w:lineRule="auto"/>
        <w:jc w:val="both"/>
        <w:rPr>
          <w:rFonts w:ascii="Times New Roman" w:hAnsi="Times New Roman" w:cs="Times New Roman"/>
          <w:sz w:val="24"/>
          <w:szCs w:val="24"/>
        </w:rPr>
      </w:pPr>
      <w:r>
        <w:rPr>
          <w:rFonts w:ascii="Times New Roman" w:hAnsi="Times New Roman" w:cs="Times New Roman"/>
          <w:sz w:val="24"/>
          <w:szCs w:val="24"/>
        </w:rPr>
        <w:t>Terrazona García, Juan Carlos “El principio de no discriminación por motivos de orientación sexual. Una aproximación a la situación actual. Tesina</w:t>
      </w:r>
    </w:p>
    <w:p w:rsidR="007B3C17" w:rsidRPr="00274631" w:rsidRDefault="007B3C17" w:rsidP="00274631">
      <w:pPr>
        <w:pStyle w:val="Prrafodelista"/>
        <w:numPr>
          <w:ilvl w:val="0"/>
          <w:numId w:val="34"/>
        </w:num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Jurisprudencia</w:t>
      </w:r>
      <w:r w:rsidR="00274631">
        <w:rPr>
          <w:rFonts w:ascii="Times New Roman" w:hAnsi="Times New Roman" w:cs="Times New Roman"/>
          <w:sz w:val="24"/>
          <w:szCs w:val="24"/>
        </w:rPr>
        <w:t>:</w:t>
      </w:r>
    </w:p>
    <w:p w:rsidR="007B3C17" w:rsidRPr="00274631" w:rsidRDefault="007B3C1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STEDH de 30 de Septiembre de 2003, caso Koua Poirrez contra Francia, discriminación por razón de origen</w:t>
      </w:r>
      <w:r w:rsidR="0004488E">
        <w:rPr>
          <w:rFonts w:ascii="Times New Roman" w:hAnsi="Times New Roman" w:cs="Times New Roman"/>
          <w:sz w:val="24"/>
          <w:szCs w:val="24"/>
        </w:rPr>
        <w:t>.</w:t>
      </w:r>
    </w:p>
    <w:p w:rsidR="007B3C17" w:rsidRPr="00274631" w:rsidRDefault="007B3C17" w:rsidP="00274631">
      <w:pPr>
        <w:spacing w:line="360" w:lineRule="auto"/>
        <w:jc w:val="both"/>
        <w:rPr>
          <w:rFonts w:ascii="Times New Roman" w:hAnsi="Times New Roman" w:cs="Times New Roman"/>
          <w:sz w:val="24"/>
          <w:szCs w:val="24"/>
        </w:rPr>
      </w:pPr>
      <w:r w:rsidRPr="00274631">
        <w:rPr>
          <w:rFonts w:ascii="Times New Roman" w:hAnsi="Times New Roman" w:cs="Times New Roman"/>
          <w:sz w:val="24"/>
          <w:szCs w:val="24"/>
        </w:rPr>
        <w:t>STS de 14 de Mayo de 2014, sobre discriminación por razón de sexo.</w:t>
      </w:r>
    </w:p>
    <w:p w:rsidR="00377BC9" w:rsidRDefault="00D200E2" w:rsidP="00A26257">
      <w:pPr>
        <w:rPr>
          <w:rFonts w:ascii="Times New Roman" w:hAnsi="Times New Roman" w:cs="Times New Roman"/>
          <w:sz w:val="24"/>
          <w:szCs w:val="24"/>
        </w:rPr>
      </w:pPr>
      <w:r>
        <w:rPr>
          <w:rFonts w:ascii="Times New Roman" w:hAnsi="Times New Roman" w:cs="Times New Roman"/>
          <w:sz w:val="24"/>
          <w:szCs w:val="24"/>
        </w:rPr>
        <w:t>STC 49/1982, de 14 de Julio, caso Fogasa.</w:t>
      </w:r>
    </w:p>
    <w:p w:rsidR="00D200E2" w:rsidRDefault="00D200E2" w:rsidP="00A26257">
      <w:pPr>
        <w:rPr>
          <w:rFonts w:ascii="Times New Roman" w:hAnsi="Times New Roman" w:cs="Times New Roman"/>
          <w:sz w:val="24"/>
          <w:szCs w:val="24"/>
        </w:rPr>
      </w:pPr>
      <w:r>
        <w:rPr>
          <w:rFonts w:ascii="Times New Roman" w:hAnsi="Times New Roman" w:cs="Times New Roman"/>
          <w:sz w:val="24"/>
          <w:szCs w:val="24"/>
        </w:rPr>
        <w:t>STC 27/2004, de 24 de Marzo.</w:t>
      </w:r>
    </w:p>
    <w:p w:rsidR="00377BC9" w:rsidRDefault="00D200E2" w:rsidP="00A26257">
      <w:pPr>
        <w:rPr>
          <w:rFonts w:ascii="Times New Roman" w:hAnsi="Times New Roman" w:cs="Times New Roman"/>
          <w:sz w:val="24"/>
          <w:szCs w:val="24"/>
        </w:rPr>
      </w:pPr>
      <w:r>
        <w:rPr>
          <w:rFonts w:ascii="Times New Roman" w:hAnsi="Times New Roman" w:cs="Times New Roman"/>
          <w:sz w:val="24"/>
          <w:szCs w:val="24"/>
        </w:rPr>
        <w:t>STC 104/2004 de 28 de Junio</w:t>
      </w:r>
    </w:p>
    <w:p w:rsidR="00B464F6" w:rsidRDefault="00B464F6" w:rsidP="00A26257">
      <w:pPr>
        <w:rPr>
          <w:rFonts w:ascii="Times New Roman" w:hAnsi="Times New Roman" w:cs="Times New Roman"/>
          <w:sz w:val="24"/>
          <w:szCs w:val="24"/>
        </w:rPr>
      </w:pPr>
      <w:r>
        <w:rPr>
          <w:rFonts w:ascii="Times New Roman" w:hAnsi="Times New Roman" w:cs="Times New Roman"/>
          <w:sz w:val="24"/>
          <w:szCs w:val="24"/>
        </w:rPr>
        <w:t>STC Gaygusuz contra Austria, de 1996.</w:t>
      </w:r>
    </w:p>
    <w:p w:rsidR="00B464F6" w:rsidRDefault="00B464F6" w:rsidP="00A26257">
      <w:pPr>
        <w:rPr>
          <w:rFonts w:ascii="Times New Roman" w:hAnsi="Times New Roman" w:cs="Times New Roman"/>
          <w:sz w:val="24"/>
          <w:szCs w:val="24"/>
        </w:rPr>
      </w:pPr>
      <w:r>
        <w:rPr>
          <w:rFonts w:ascii="Times New Roman" w:hAnsi="Times New Roman" w:cs="Times New Roman"/>
          <w:sz w:val="24"/>
          <w:szCs w:val="24"/>
        </w:rPr>
        <w:t>STC 13/</w:t>
      </w:r>
      <w:proofErr w:type="gramStart"/>
      <w:r>
        <w:rPr>
          <w:rFonts w:ascii="Times New Roman" w:hAnsi="Times New Roman" w:cs="Times New Roman"/>
          <w:sz w:val="24"/>
          <w:szCs w:val="24"/>
        </w:rPr>
        <w:t>2001 ,</w:t>
      </w:r>
      <w:proofErr w:type="gramEnd"/>
      <w:r>
        <w:rPr>
          <w:rFonts w:ascii="Times New Roman" w:hAnsi="Times New Roman" w:cs="Times New Roman"/>
          <w:sz w:val="24"/>
          <w:szCs w:val="24"/>
        </w:rPr>
        <w:t xml:space="preserve"> de 29 de Enero.</w:t>
      </w:r>
    </w:p>
    <w:p w:rsidR="00B464F6" w:rsidRDefault="00B464F6" w:rsidP="00A26257">
      <w:pPr>
        <w:rPr>
          <w:rFonts w:ascii="Times New Roman" w:hAnsi="Times New Roman" w:cs="Times New Roman"/>
          <w:sz w:val="24"/>
          <w:szCs w:val="24"/>
        </w:rPr>
      </w:pPr>
      <w:r>
        <w:rPr>
          <w:rFonts w:ascii="Times New Roman" w:hAnsi="Times New Roman" w:cs="Times New Roman"/>
          <w:sz w:val="24"/>
          <w:szCs w:val="24"/>
        </w:rPr>
        <w:t>STC 214/1991, de 22 de Octubre.</w:t>
      </w:r>
    </w:p>
    <w:p w:rsidR="00B464F6" w:rsidRDefault="0004488E" w:rsidP="00A26257">
      <w:pPr>
        <w:rPr>
          <w:rFonts w:ascii="Times New Roman" w:hAnsi="Times New Roman" w:cs="Times New Roman"/>
          <w:sz w:val="24"/>
          <w:szCs w:val="24"/>
        </w:rPr>
      </w:pPr>
      <w:r>
        <w:rPr>
          <w:rFonts w:ascii="Times New Roman" w:hAnsi="Times New Roman" w:cs="Times New Roman"/>
          <w:sz w:val="24"/>
          <w:szCs w:val="24"/>
        </w:rPr>
        <w:t>STC 19/198</w:t>
      </w:r>
      <w:r w:rsidR="00B464F6">
        <w:rPr>
          <w:rFonts w:ascii="Times New Roman" w:hAnsi="Times New Roman" w:cs="Times New Roman"/>
          <w:sz w:val="24"/>
          <w:szCs w:val="24"/>
        </w:rPr>
        <w:t>5</w:t>
      </w:r>
      <w:r>
        <w:rPr>
          <w:rFonts w:ascii="Times New Roman" w:hAnsi="Times New Roman" w:cs="Times New Roman"/>
          <w:sz w:val="24"/>
          <w:szCs w:val="24"/>
        </w:rPr>
        <w:t>.</w:t>
      </w:r>
    </w:p>
    <w:p w:rsidR="0004488E" w:rsidRDefault="0004488E" w:rsidP="00A26257">
      <w:pPr>
        <w:rPr>
          <w:rFonts w:ascii="Times New Roman" w:hAnsi="Times New Roman" w:cs="Times New Roman"/>
          <w:sz w:val="24"/>
          <w:szCs w:val="24"/>
        </w:rPr>
      </w:pPr>
      <w:r>
        <w:rPr>
          <w:rFonts w:ascii="Times New Roman" w:hAnsi="Times New Roman" w:cs="Times New Roman"/>
          <w:sz w:val="24"/>
          <w:szCs w:val="24"/>
        </w:rPr>
        <w:t>Sentencia del Tribunal Superior de Justicia de Asturias, de 16 de Noviembre de 2012.</w:t>
      </w:r>
    </w:p>
    <w:p w:rsidR="0004488E" w:rsidRDefault="0004488E" w:rsidP="00A26257">
      <w:pPr>
        <w:rPr>
          <w:rFonts w:ascii="Times New Roman" w:hAnsi="Times New Roman" w:cs="Times New Roman"/>
          <w:sz w:val="24"/>
          <w:szCs w:val="24"/>
        </w:rPr>
      </w:pPr>
      <w:r>
        <w:rPr>
          <w:rFonts w:ascii="Times New Roman" w:hAnsi="Times New Roman" w:cs="Times New Roman"/>
          <w:sz w:val="24"/>
          <w:szCs w:val="24"/>
        </w:rPr>
        <w:t>Sentencia del Tribunal de Justicia, de 30 de Abril de 1996 (Caso P contra S y Cornwall County Council)</w:t>
      </w:r>
    </w:p>
    <w:p w:rsidR="0004488E" w:rsidRDefault="0004488E" w:rsidP="00A26257">
      <w:pPr>
        <w:rPr>
          <w:rFonts w:ascii="Times New Roman" w:hAnsi="Times New Roman" w:cs="Times New Roman"/>
          <w:sz w:val="24"/>
          <w:szCs w:val="24"/>
        </w:rPr>
      </w:pPr>
      <w:r>
        <w:rPr>
          <w:rFonts w:ascii="Times New Roman" w:hAnsi="Times New Roman" w:cs="Times New Roman"/>
          <w:sz w:val="24"/>
          <w:szCs w:val="24"/>
        </w:rPr>
        <w:t>Sentencia del Tribunal de Justicia, de 17 de Febrero de 1998 (Caso de Lisa Jacqueline Grant contra South-West Trains Ltd</w:t>
      </w:r>
      <w:bookmarkStart w:id="0" w:name="_GoBack"/>
      <w:bookmarkEnd w:id="0"/>
      <w:r>
        <w:rPr>
          <w:rFonts w:ascii="Times New Roman" w:hAnsi="Times New Roman" w:cs="Times New Roman"/>
          <w:sz w:val="24"/>
          <w:szCs w:val="24"/>
        </w:rPr>
        <w:t>)</w:t>
      </w:r>
    </w:p>
    <w:p w:rsidR="0004488E" w:rsidRDefault="0004488E" w:rsidP="00A26257">
      <w:pPr>
        <w:rPr>
          <w:rFonts w:ascii="Times New Roman" w:hAnsi="Times New Roman" w:cs="Times New Roman"/>
          <w:sz w:val="24"/>
          <w:szCs w:val="24"/>
        </w:rPr>
      </w:pPr>
      <w:r>
        <w:rPr>
          <w:rFonts w:ascii="Times New Roman" w:hAnsi="Times New Roman" w:cs="Times New Roman"/>
          <w:sz w:val="24"/>
          <w:szCs w:val="24"/>
        </w:rPr>
        <w:t>STC 224/1999, de 13 de Diciembre.</w:t>
      </w:r>
    </w:p>
    <w:p w:rsidR="0004488E" w:rsidRDefault="0004488E" w:rsidP="00A26257">
      <w:pPr>
        <w:rPr>
          <w:rFonts w:ascii="Times New Roman" w:hAnsi="Times New Roman" w:cs="Times New Roman"/>
          <w:sz w:val="24"/>
          <w:szCs w:val="24"/>
        </w:rPr>
      </w:pPr>
      <w:r>
        <w:rPr>
          <w:rFonts w:ascii="Times New Roman" w:hAnsi="Times New Roman" w:cs="Times New Roman"/>
          <w:sz w:val="24"/>
          <w:szCs w:val="24"/>
        </w:rPr>
        <w:t>Sentencia del Tribunal Supremo 1335/2011, perteneciente a la Sala 2 de lo Penal.</w:t>
      </w:r>
    </w:p>
    <w:p w:rsidR="00D01FFB" w:rsidRDefault="00D01FFB" w:rsidP="00A26257">
      <w:pPr>
        <w:rPr>
          <w:rFonts w:ascii="Times New Roman" w:hAnsi="Times New Roman" w:cs="Times New Roman"/>
          <w:sz w:val="24"/>
          <w:szCs w:val="24"/>
        </w:rPr>
      </w:pPr>
    </w:p>
    <w:p w:rsidR="00D01FFB" w:rsidRDefault="00D01FFB" w:rsidP="00A26257">
      <w:pPr>
        <w:rPr>
          <w:rFonts w:ascii="Times New Roman" w:hAnsi="Times New Roman" w:cs="Times New Roman"/>
          <w:sz w:val="24"/>
          <w:szCs w:val="24"/>
        </w:rPr>
      </w:pPr>
    </w:p>
    <w:p w:rsidR="00D01FFB" w:rsidRDefault="00D01FFB" w:rsidP="00A26257">
      <w:pPr>
        <w:rPr>
          <w:rFonts w:ascii="Times New Roman" w:hAnsi="Times New Roman" w:cs="Times New Roman"/>
          <w:sz w:val="24"/>
          <w:szCs w:val="24"/>
        </w:rPr>
      </w:pPr>
    </w:p>
    <w:p w:rsidR="00D01FFB" w:rsidRPr="00A26257" w:rsidRDefault="00D01FFB" w:rsidP="00A26257">
      <w:pPr>
        <w:rPr>
          <w:rFonts w:ascii="Times New Roman" w:hAnsi="Times New Roman" w:cs="Times New Roman"/>
          <w:sz w:val="24"/>
          <w:szCs w:val="24"/>
        </w:rPr>
      </w:pPr>
    </w:p>
    <w:p w:rsidR="00A26257" w:rsidRDefault="00A26257" w:rsidP="00A26257"/>
    <w:p w:rsidR="00A26257" w:rsidRPr="0064030B" w:rsidRDefault="00A26257" w:rsidP="00301E30">
      <w:pPr>
        <w:spacing w:line="360" w:lineRule="auto"/>
        <w:rPr>
          <w:rFonts w:ascii="Times New Roman" w:hAnsi="Times New Roman" w:cs="Times New Roman"/>
          <w:sz w:val="24"/>
          <w:szCs w:val="24"/>
        </w:rPr>
      </w:pPr>
    </w:p>
    <w:p w:rsidR="00FF04EE" w:rsidRPr="0064030B" w:rsidRDefault="00FF04EE" w:rsidP="0064030B">
      <w:pPr>
        <w:spacing w:line="360" w:lineRule="auto"/>
        <w:jc w:val="both"/>
        <w:rPr>
          <w:rFonts w:ascii="Times New Roman" w:hAnsi="Times New Roman" w:cs="Times New Roman"/>
          <w:sz w:val="24"/>
          <w:szCs w:val="24"/>
        </w:rPr>
      </w:pPr>
    </w:p>
    <w:p w:rsidR="00FF04EE" w:rsidRPr="0064030B" w:rsidRDefault="00FF04EE" w:rsidP="0064030B">
      <w:pPr>
        <w:spacing w:line="360" w:lineRule="auto"/>
        <w:jc w:val="both"/>
        <w:rPr>
          <w:rFonts w:ascii="Times New Roman" w:hAnsi="Times New Roman" w:cs="Times New Roman"/>
          <w:sz w:val="24"/>
          <w:szCs w:val="24"/>
        </w:rPr>
      </w:pPr>
    </w:p>
    <w:p w:rsidR="00FF04EE" w:rsidRPr="0064030B" w:rsidRDefault="00FF04EE" w:rsidP="0064030B">
      <w:pPr>
        <w:spacing w:line="360" w:lineRule="auto"/>
        <w:jc w:val="both"/>
        <w:rPr>
          <w:rFonts w:ascii="Times New Roman" w:hAnsi="Times New Roman" w:cs="Times New Roman"/>
          <w:sz w:val="24"/>
          <w:szCs w:val="24"/>
        </w:rPr>
      </w:pPr>
    </w:p>
    <w:p w:rsidR="00FF04EE" w:rsidRPr="0064030B" w:rsidRDefault="00FF04EE" w:rsidP="0064030B">
      <w:pPr>
        <w:spacing w:line="360" w:lineRule="auto"/>
        <w:jc w:val="both"/>
        <w:rPr>
          <w:rFonts w:ascii="Times New Roman" w:hAnsi="Times New Roman" w:cs="Times New Roman"/>
          <w:sz w:val="24"/>
          <w:szCs w:val="24"/>
        </w:rPr>
      </w:pPr>
    </w:p>
    <w:p w:rsidR="00CC2C91" w:rsidRPr="0064030B" w:rsidRDefault="00CC2C91" w:rsidP="0064030B">
      <w:pPr>
        <w:spacing w:line="360" w:lineRule="auto"/>
        <w:jc w:val="both"/>
        <w:rPr>
          <w:rFonts w:ascii="Times New Roman" w:hAnsi="Times New Roman" w:cs="Times New Roman"/>
          <w:sz w:val="24"/>
          <w:szCs w:val="24"/>
        </w:rPr>
      </w:pPr>
    </w:p>
    <w:p w:rsidR="00C812DA" w:rsidRPr="0064030B" w:rsidRDefault="00C812DA" w:rsidP="0064030B">
      <w:pPr>
        <w:spacing w:line="360" w:lineRule="auto"/>
        <w:jc w:val="both"/>
        <w:rPr>
          <w:rFonts w:ascii="Times New Roman" w:hAnsi="Times New Roman" w:cs="Times New Roman"/>
          <w:sz w:val="24"/>
          <w:szCs w:val="24"/>
        </w:rPr>
      </w:pPr>
    </w:p>
    <w:p w:rsidR="00081AEB" w:rsidRPr="0064030B" w:rsidRDefault="00081AEB" w:rsidP="0064030B">
      <w:pPr>
        <w:spacing w:line="360" w:lineRule="auto"/>
        <w:jc w:val="both"/>
        <w:rPr>
          <w:rFonts w:ascii="Times New Roman" w:hAnsi="Times New Roman" w:cs="Times New Roman"/>
          <w:sz w:val="24"/>
          <w:szCs w:val="24"/>
        </w:rPr>
      </w:pPr>
    </w:p>
    <w:p w:rsidR="009D1D43" w:rsidRPr="0064030B" w:rsidRDefault="009D1D43" w:rsidP="0064030B">
      <w:pPr>
        <w:spacing w:line="360" w:lineRule="auto"/>
        <w:jc w:val="both"/>
        <w:rPr>
          <w:rFonts w:ascii="Times New Roman" w:hAnsi="Times New Roman" w:cs="Times New Roman"/>
          <w:sz w:val="24"/>
          <w:szCs w:val="24"/>
        </w:rPr>
      </w:pPr>
    </w:p>
    <w:p w:rsidR="00094D58" w:rsidRPr="0064030B" w:rsidRDefault="00094D58" w:rsidP="0064030B">
      <w:pPr>
        <w:spacing w:line="360" w:lineRule="auto"/>
        <w:jc w:val="both"/>
        <w:rPr>
          <w:rFonts w:ascii="Times New Roman" w:hAnsi="Times New Roman" w:cs="Times New Roman"/>
          <w:sz w:val="24"/>
          <w:szCs w:val="24"/>
        </w:rPr>
      </w:pPr>
    </w:p>
    <w:p w:rsidR="00094D58" w:rsidRPr="0064030B" w:rsidRDefault="00094D58" w:rsidP="0064030B">
      <w:pPr>
        <w:spacing w:line="360" w:lineRule="auto"/>
        <w:jc w:val="both"/>
        <w:rPr>
          <w:rFonts w:ascii="Times New Roman" w:hAnsi="Times New Roman" w:cs="Times New Roman"/>
          <w:sz w:val="24"/>
          <w:szCs w:val="24"/>
        </w:rPr>
      </w:pPr>
    </w:p>
    <w:p w:rsidR="005B16AE" w:rsidRPr="0064030B" w:rsidRDefault="005B16AE" w:rsidP="0064030B">
      <w:pPr>
        <w:spacing w:line="360" w:lineRule="auto"/>
        <w:jc w:val="both"/>
        <w:rPr>
          <w:rFonts w:ascii="Times New Roman" w:hAnsi="Times New Roman" w:cs="Times New Roman"/>
          <w:sz w:val="24"/>
          <w:szCs w:val="24"/>
        </w:rPr>
      </w:pPr>
    </w:p>
    <w:p w:rsidR="005B16AE" w:rsidRPr="0064030B" w:rsidRDefault="005B16AE" w:rsidP="0064030B">
      <w:pPr>
        <w:spacing w:line="360" w:lineRule="auto"/>
        <w:jc w:val="both"/>
        <w:rPr>
          <w:rFonts w:ascii="Times New Roman" w:hAnsi="Times New Roman" w:cs="Times New Roman"/>
          <w:sz w:val="24"/>
          <w:szCs w:val="24"/>
        </w:rPr>
      </w:pPr>
    </w:p>
    <w:p w:rsidR="004F3343" w:rsidRPr="0064030B" w:rsidRDefault="004F3343" w:rsidP="0064030B">
      <w:pPr>
        <w:spacing w:line="360" w:lineRule="auto"/>
        <w:jc w:val="both"/>
        <w:rPr>
          <w:rFonts w:ascii="Times New Roman" w:hAnsi="Times New Roman" w:cs="Times New Roman"/>
          <w:sz w:val="24"/>
          <w:szCs w:val="24"/>
        </w:rPr>
      </w:pPr>
    </w:p>
    <w:p w:rsidR="004F3343" w:rsidRPr="0064030B" w:rsidRDefault="004F3343" w:rsidP="0064030B">
      <w:pPr>
        <w:spacing w:line="360" w:lineRule="auto"/>
        <w:jc w:val="both"/>
        <w:rPr>
          <w:rFonts w:ascii="Times New Roman" w:hAnsi="Times New Roman" w:cs="Times New Roman"/>
          <w:sz w:val="24"/>
          <w:szCs w:val="24"/>
        </w:rPr>
      </w:pPr>
    </w:p>
    <w:p w:rsidR="00C1431C" w:rsidRPr="0064030B" w:rsidRDefault="00C1431C" w:rsidP="0064030B">
      <w:pPr>
        <w:spacing w:line="360" w:lineRule="auto"/>
        <w:jc w:val="both"/>
        <w:rPr>
          <w:rFonts w:ascii="Times New Roman" w:hAnsi="Times New Roman" w:cs="Times New Roman"/>
          <w:sz w:val="24"/>
          <w:szCs w:val="24"/>
        </w:rPr>
      </w:pPr>
    </w:p>
    <w:sectPr w:rsidR="00C1431C" w:rsidRPr="0064030B" w:rsidSect="00274631">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006" w:rsidRDefault="00C80006" w:rsidP="001F1B50">
      <w:pPr>
        <w:spacing w:after="0" w:line="240" w:lineRule="auto"/>
      </w:pPr>
      <w:r>
        <w:separator/>
      </w:r>
    </w:p>
  </w:endnote>
  <w:endnote w:type="continuationSeparator" w:id="0">
    <w:p w:rsidR="00C80006" w:rsidRDefault="00C80006" w:rsidP="001F1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408116"/>
      <w:docPartObj>
        <w:docPartGallery w:val="Page Numbers (Bottom of Page)"/>
        <w:docPartUnique/>
      </w:docPartObj>
    </w:sdtPr>
    <w:sdtContent>
      <w:p w:rsidR="00B76A35" w:rsidRDefault="00B76A35">
        <w:pPr>
          <w:pStyle w:val="Piedepgina"/>
          <w:jc w:val="right"/>
        </w:pPr>
        <w:r>
          <w:fldChar w:fldCharType="begin"/>
        </w:r>
        <w:r>
          <w:instrText>PAGE   \* MERGEFORMAT</w:instrText>
        </w:r>
        <w:r>
          <w:fldChar w:fldCharType="separate"/>
        </w:r>
        <w:r w:rsidR="0004488E">
          <w:rPr>
            <w:noProof/>
          </w:rPr>
          <w:t>1</w:t>
        </w:r>
        <w:r>
          <w:fldChar w:fldCharType="end"/>
        </w:r>
      </w:p>
    </w:sdtContent>
  </w:sdt>
  <w:p w:rsidR="00B76A35" w:rsidRDefault="00B76A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006" w:rsidRDefault="00C80006" w:rsidP="001F1B50">
      <w:pPr>
        <w:spacing w:after="0" w:line="240" w:lineRule="auto"/>
      </w:pPr>
      <w:r>
        <w:separator/>
      </w:r>
    </w:p>
  </w:footnote>
  <w:footnote w:type="continuationSeparator" w:id="0">
    <w:p w:rsidR="00C80006" w:rsidRDefault="00C80006" w:rsidP="001F1B50">
      <w:pPr>
        <w:spacing w:after="0" w:line="240" w:lineRule="auto"/>
      </w:pPr>
      <w:r>
        <w:continuationSeparator/>
      </w:r>
    </w:p>
  </w:footnote>
  <w:footnote w:id="1">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Soberanes Díez, José María (2011) “La igualdad y la desigualdad jurídicas” Porrúa, p 194.</w:t>
      </w:r>
    </w:p>
  </w:footnote>
  <w:footnote w:id="2">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Con anterioridad a ésta, solo se recogen esporádicamente aisladas concreciones, como las de 1837, 1869, 1876 y posteriormente 1945, cuya relación era la igualdad de todos los españoles a la hora de acceder a un cargo público.</w:t>
      </w:r>
    </w:p>
  </w:footnote>
  <w:footnote w:id="3">
    <w:p w:rsidR="00B76A35" w:rsidRDefault="00B76A35" w:rsidP="0069401F">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Fruto de la enmienda “in </w:t>
      </w:r>
      <w:proofErr w:type="spellStart"/>
      <w:r w:rsidRPr="00C91DC6">
        <w:rPr>
          <w:rFonts w:ascii="Times New Roman" w:hAnsi="Times New Roman" w:cs="Times New Roman"/>
        </w:rPr>
        <w:t>voce</w:t>
      </w:r>
      <w:proofErr w:type="spellEnd"/>
      <w:r w:rsidRPr="00C91DC6">
        <w:rPr>
          <w:rFonts w:ascii="Times New Roman" w:hAnsi="Times New Roman" w:cs="Times New Roman"/>
        </w:rPr>
        <w:t xml:space="preserve">” presentada por el senador Camilo José Cela </w:t>
      </w:r>
      <w:proofErr w:type="spellStart"/>
      <w:r w:rsidRPr="00C91DC6">
        <w:rPr>
          <w:rFonts w:ascii="Times New Roman" w:hAnsi="Times New Roman" w:cs="Times New Roman"/>
        </w:rPr>
        <w:t>Trulock</w:t>
      </w:r>
      <w:proofErr w:type="spellEnd"/>
      <w:r w:rsidRPr="00C91DC6">
        <w:rPr>
          <w:rFonts w:ascii="Times New Roman" w:hAnsi="Times New Roman" w:cs="Times New Roman"/>
        </w:rPr>
        <w:t xml:space="preserve"> (Diario de sesiones del Senado) Comisión Constitucional, núm. 43, de 24 de Agosto, p. 1799.</w:t>
      </w:r>
    </w:p>
  </w:footnote>
  <w:footnote w:id="4">
    <w:p w:rsidR="00B76A35" w:rsidRPr="00C91DC6" w:rsidRDefault="00B76A35" w:rsidP="0069401F">
      <w:pPr>
        <w:pStyle w:val="Textonotapie"/>
        <w:spacing w:line="360" w:lineRule="auto"/>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Documento de 1978 presentado por la Plataforma de Organizaciones Feministas, cuyo puntos más importantes en dicho documento eran:</w:t>
      </w:r>
    </w:p>
    <w:p w:rsidR="00B76A35" w:rsidRPr="00C91DC6" w:rsidRDefault="00B76A35" w:rsidP="0069401F">
      <w:pPr>
        <w:pStyle w:val="Textonotapie"/>
        <w:numPr>
          <w:ilvl w:val="0"/>
          <w:numId w:val="39"/>
        </w:numPr>
        <w:spacing w:line="360" w:lineRule="auto"/>
        <w:jc w:val="both"/>
        <w:rPr>
          <w:rFonts w:ascii="Times New Roman" w:hAnsi="Times New Roman" w:cs="Times New Roman"/>
        </w:rPr>
      </w:pPr>
      <w:r w:rsidRPr="00C91DC6">
        <w:rPr>
          <w:rFonts w:ascii="Times New Roman" w:hAnsi="Times New Roman" w:cs="Times New Roman"/>
        </w:rPr>
        <w:t>Que la Constitución Española solo tuvo “Padres”</w:t>
      </w:r>
    </w:p>
    <w:p w:rsidR="00B76A35" w:rsidRPr="00C91DC6" w:rsidRDefault="00B76A35" w:rsidP="0069401F">
      <w:pPr>
        <w:pStyle w:val="Textonotapie"/>
        <w:numPr>
          <w:ilvl w:val="0"/>
          <w:numId w:val="39"/>
        </w:numPr>
        <w:spacing w:line="360" w:lineRule="auto"/>
        <w:jc w:val="both"/>
        <w:rPr>
          <w:rFonts w:ascii="Times New Roman" w:hAnsi="Times New Roman" w:cs="Times New Roman"/>
        </w:rPr>
      </w:pPr>
      <w:r w:rsidRPr="00C91DC6">
        <w:rPr>
          <w:rFonts w:ascii="Times New Roman" w:hAnsi="Times New Roman" w:cs="Times New Roman"/>
        </w:rPr>
        <w:t>Al proclamar erróneamente que todos los españoles somos iguales ante la ley, se omite que el establecimiento de medidas positivas sea necesario</w:t>
      </w:r>
    </w:p>
    <w:p w:rsidR="00B76A35" w:rsidRPr="00C91DC6" w:rsidRDefault="00B76A35" w:rsidP="0069401F">
      <w:pPr>
        <w:pStyle w:val="Textonotapie"/>
        <w:numPr>
          <w:ilvl w:val="0"/>
          <w:numId w:val="39"/>
        </w:numPr>
        <w:spacing w:line="360" w:lineRule="auto"/>
        <w:jc w:val="both"/>
        <w:rPr>
          <w:rFonts w:ascii="Times New Roman" w:hAnsi="Times New Roman" w:cs="Times New Roman"/>
        </w:rPr>
      </w:pPr>
      <w:r w:rsidRPr="00C91DC6">
        <w:rPr>
          <w:rFonts w:ascii="Times New Roman" w:hAnsi="Times New Roman" w:cs="Times New Roman"/>
        </w:rPr>
        <w:t>Al no contemplarse en el texto el principio de igualdad efectiva, consecuentemente, la discriminación por razón de sexo prevista en el artículo 14 C.E. es fragmentada</w:t>
      </w:r>
    </w:p>
  </w:footnote>
  <w:footnote w:id="5">
    <w:p w:rsidR="00B76A35" w:rsidRPr="00C91DC6" w:rsidRDefault="00B76A35" w:rsidP="0069401F">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Sánchez Ferris, Remedios, Estudio sobre las libertades, Tirant Lo Blanc Alternativa, Valencia, 2ª edición, 1995, pp. 165, 166 y 168. </w:t>
      </w:r>
    </w:p>
  </w:footnote>
  <w:footnote w:id="6">
    <w:p w:rsidR="00B76A35" w:rsidRPr="00C91DC6" w:rsidRDefault="00B76A35" w:rsidP="0069401F">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STC 49/1982, de 14 de Julio, caso FOGASA, donde se establece que la regla general de la igualdad ante la ley del artículo 14 engloba, primeramente, la igualdad en el trato dado por la ley o la igualdad en la ley, y desde esa vertiente, se constituye un límite al ejercicio del poder legislativo y, desde un segundo lugar, la igualdad en la aplicación de la ley, lo que obliga a que un mismo órgano no pueda, de forma arbitraria, modificar el sentido de sus decisiones en supuestos iguales y que cuando el órgano en cuestión considere que debe apartarse de sus precedentes tiene que ofrecer una fundamentación suficiente y razonable.</w:t>
      </w:r>
    </w:p>
  </w:footnote>
  <w:footnote w:id="7">
    <w:p w:rsidR="00B76A35" w:rsidRPr="000F68CD" w:rsidRDefault="00B76A35" w:rsidP="0069401F">
      <w:pPr>
        <w:pStyle w:val="Textonotapie"/>
        <w:spacing w:line="360" w:lineRule="auto"/>
        <w:jc w:val="both"/>
        <w:rPr>
          <w:rFonts w:ascii="Times New Roman" w:hAnsi="Times New Roman" w:cs="Times New Roman"/>
        </w:rPr>
      </w:pPr>
      <w:r w:rsidRPr="000F68CD">
        <w:rPr>
          <w:rStyle w:val="Refdenotaalpie"/>
          <w:rFonts w:ascii="Times New Roman" w:hAnsi="Times New Roman" w:cs="Times New Roman"/>
        </w:rPr>
        <w:footnoteRef/>
      </w:r>
      <w:r w:rsidRPr="000F68CD">
        <w:rPr>
          <w:rFonts w:ascii="Times New Roman" w:hAnsi="Times New Roman" w:cs="Times New Roman"/>
        </w:rPr>
        <w:t xml:space="preserve"> STC 27/2004, de 4 de Marzo, es por una queja de un trabajador por percibir menor cuantía en el plus de antigüedad que otros compañeros en razón a la fecha del ingreso de este en la Empresa, dando el Convenio Colectivo como fecha de diferenciación el 31 de Enero de 1995, lo que motivó que el Juzgado de lo Social no estimara ningún trato de desigualdad, pero si fue estimado por el Tribunal Constitucional, entendiendo que con dicha medida adoptada se vulneraba el derecho de igualdad, pese a reconocer que la diferenciación debe ser acordada a través de Negociación Colectiva, en un Estado Democrático y de Derecho deben preva</w:t>
      </w:r>
      <w:r>
        <w:rPr>
          <w:rFonts w:ascii="Times New Roman" w:hAnsi="Times New Roman" w:cs="Times New Roman"/>
        </w:rPr>
        <w:t>lecer los criterios de igualdad y de justicia, por lo que debido a ello, el sistema de determinación de salarios debe ser complementado con estos principios.</w:t>
      </w:r>
    </w:p>
  </w:footnote>
  <w:footnote w:id="8">
    <w:p w:rsidR="00B76A35" w:rsidRPr="000F68CD" w:rsidRDefault="00B76A35" w:rsidP="0069401F">
      <w:pPr>
        <w:pStyle w:val="Textonotapie"/>
        <w:spacing w:line="360" w:lineRule="auto"/>
        <w:jc w:val="both"/>
        <w:rPr>
          <w:rFonts w:ascii="Times New Roman" w:hAnsi="Times New Roman" w:cs="Times New Roman"/>
        </w:rPr>
      </w:pPr>
      <w:r w:rsidRPr="000F68CD">
        <w:rPr>
          <w:rStyle w:val="Refdenotaalpie"/>
          <w:rFonts w:ascii="Times New Roman" w:hAnsi="Times New Roman" w:cs="Times New Roman"/>
        </w:rPr>
        <w:footnoteRef/>
      </w:r>
      <w:r w:rsidRPr="000F68CD">
        <w:rPr>
          <w:rFonts w:ascii="Times New Roman" w:hAnsi="Times New Roman" w:cs="Times New Roman"/>
        </w:rPr>
        <w:t xml:space="preserve"> STC 104/2004, de 28 de Junio, basado en un recurso de amparo </w:t>
      </w:r>
      <w:r>
        <w:rPr>
          <w:rFonts w:ascii="Times New Roman" w:hAnsi="Times New Roman" w:cs="Times New Roman"/>
        </w:rPr>
        <w:t>promovido por la Federación Estatal de Banca y Ahorro de Comisiones Obreras junto con la Federación Estatal de Servicios de la Unión General de Trabajadores contra la Caja Insular de Ahorros de Canarias, una demanda de conflicto colectivo en la que pretendían, de una parte, que se declarase el derecho del personal comprendido en el ámbito subjetivo del debate al cómputo del periodo de trabajo prestado temporalmente a todos los efectos sin limitación alguna y, de otra parte, que como consecuencia del reconocimiento del tiempo prestado bajo la modalidad de contrato limitado temporalmente, se le declarase su derecho a incorporarse en el denominado subplan1 desde el momento del inicio de la relación laboral hasta la actual.</w:t>
      </w:r>
    </w:p>
  </w:footnote>
  <w:footnote w:id="9">
    <w:p w:rsidR="00B76A35" w:rsidRPr="00C91DC6" w:rsidRDefault="00B76A35" w:rsidP="0069401F">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Firmada en San Francisco el 26 de Junio de 1945</w:t>
      </w:r>
    </w:p>
  </w:footnote>
  <w:footnote w:id="10">
    <w:p w:rsidR="00B76A35" w:rsidRPr="00C91DC6" w:rsidRDefault="00B76A35" w:rsidP="0069401F">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A raíz de la promulgación de la Carta de las Naciones Unidas, siendo ratificada por 51 estados, se crearon instituciones y organismos especializados, y al mismo tiempo, se adoptaron diferentes declaraciones y tratados internacionales, que consagraron los principales derechos y libertades fundamentales de los seres humanos, todo ello unido  al establecimiento de los mecanismos necesarios para su protección y defensa.</w:t>
      </w:r>
    </w:p>
  </w:footnote>
  <w:footnote w:id="11">
    <w:p w:rsidR="00B76A35" w:rsidRDefault="00B76A35" w:rsidP="0069401F">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Proclamada por la Asamblea General de Naciones Unidas, mediante su Resolución 2263, de 7 de Noviembre y consta de un total de 11 artículos.</w:t>
      </w:r>
    </w:p>
  </w:footnote>
  <w:footnote w:id="12">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La Declaración sobre la Eliminación de la Violencia contra la mujer es el primer instrumento internacional de Derechos Humanos que abordó exclusivamente el tema de la violencia contra la mujer y la primera que proporciona una definición íntegra.</w:t>
      </w:r>
    </w:p>
  </w:footnote>
  <w:footnote w:id="13">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Fue adoptada y proclamada por la Resolución de la Asamblea General 217 A, de 10 de Diciembre de 1948, cuya estructura se compone de 30 artículos, y que fue aprobada por 48 votos a favor y 8 abstenciones.</w:t>
      </w:r>
    </w:p>
  </w:footnote>
  <w:footnote w:id="14">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Francia, Italia, Alemania, Luxemburgo, Holanda y Bélgica.</w:t>
      </w:r>
    </w:p>
  </w:footnote>
  <w:footnote w:id="15">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Reconocido como el Tratado de Roma, firmado en Roma el 25 de marzo de 1957 y que respondió a una concepción liberal, por lo que sus exigencias eran principalmente retributivas.</w:t>
      </w:r>
    </w:p>
  </w:footnote>
  <w:footnote w:id="16">
    <w:p w:rsidR="00B76A35" w:rsidRDefault="00B76A35" w:rsidP="0069401F">
      <w:pPr>
        <w:pStyle w:val="Textonotapie"/>
        <w:spacing w:line="360" w:lineRule="auto"/>
        <w:jc w:val="both"/>
      </w:pPr>
      <w:r w:rsidRPr="0069401F">
        <w:rPr>
          <w:rStyle w:val="Refdenotaalpie"/>
          <w:rFonts w:ascii="Times New Roman" w:hAnsi="Times New Roman" w:cs="Times New Roman"/>
        </w:rPr>
        <w:footnoteRef/>
      </w:r>
      <w:r>
        <w:rPr>
          <w:rFonts w:ascii="Times New Roman" w:hAnsi="Times New Roman" w:cs="Times New Roman"/>
        </w:rPr>
        <w:t xml:space="preserve"> Concepto de igualdad salarial</w:t>
      </w:r>
      <w:r w:rsidRPr="0069401F">
        <w:rPr>
          <w:rFonts w:ascii="Times New Roman" w:hAnsi="Times New Roman" w:cs="Times New Roman"/>
        </w:rPr>
        <w:t xml:space="preserve"> que fue fruto de la presión del Estado francés, que en aquél momento era el único Estado miembro de la CEE que reconocía en su ordenamiento jurídico la paridad de género en el ámbito laboral.</w:t>
      </w:r>
    </w:p>
  </w:footnote>
  <w:footnote w:id="17">
    <w:p w:rsidR="00B76A35" w:rsidRPr="0069401F" w:rsidRDefault="00B76A35" w:rsidP="0069401F">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Ratificado por España el 29 de Septiembre de 1979.</w:t>
      </w:r>
    </w:p>
  </w:footnote>
  <w:footnote w:id="18">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w:t>
      </w:r>
      <w:proofErr w:type="spellStart"/>
      <w:r w:rsidRPr="00C91DC6">
        <w:rPr>
          <w:rFonts w:ascii="Times New Roman" w:hAnsi="Times New Roman" w:cs="Times New Roman"/>
        </w:rPr>
        <w:t>Volgel-Polsky</w:t>
      </w:r>
      <w:proofErr w:type="spellEnd"/>
      <w:r w:rsidRPr="00C91DC6">
        <w:rPr>
          <w:rFonts w:ascii="Times New Roman" w:hAnsi="Times New Roman" w:cs="Times New Roman"/>
        </w:rPr>
        <w:t xml:space="preserve">, </w:t>
      </w:r>
      <w:proofErr w:type="spellStart"/>
      <w:r w:rsidRPr="00C91DC6">
        <w:rPr>
          <w:rFonts w:ascii="Times New Roman" w:hAnsi="Times New Roman" w:cs="Times New Roman"/>
        </w:rPr>
        <w:t>Eliane</w:t>
      </w:r>
      <w:proofErr w:type="spellEnd"/>
      <w:r w:rsidRPr="00C91DC6">
        <w:rPr>
          <w:rFonts w:ascii="Times New Roman" w:hAnsi="Times New Roman" w:cs="Times New Roman"/>
        </w:rPr>
        <w:t>. “La trampa de la igu</w:t>
      </w:r>
      <w:r>
        <w:rPr>
          <w:rFonts w:ascii="Times New Roman" w:hAnsi="Times New Roman" w:cs="Times New Roman"/>
        </w:rPr>
        <w:t>aldad: Derecho ¿A qué igualdad?</w:t>
      </w:r>
    </w:p>
  </w:footnote>
  <w:footnote w:id="19">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Aprobada en el seno del Consejo de Europa, de 18 de Octubre de 1961, en Turín, España la ratificó el 6 de Mayo de 1980.</w:t>
      </w:r>
    </w:p>
  </w:footnote>
  <w:footnote w:id="20">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Que fue adoptado en Estrasburgo el 5 de mayo de 1988.</w:t>
      </w:r>
    </w:p>
  </w:footnote>
  <w:footnote w:id="21">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Terrazona García, Juan Carlos, “El principio de no discriminación por motivos de orientación sexual. Una aproximación a la situación actual” Tesina.</w:t>
      </w:r>
    </w:p>
  </w:footnote>
  <w:footnote w:id="22">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A través de éste, se modificó el Tratado de la Unión Europea, los Tratados Constitutivos de las Comunidades Europeos y determinados Actos conexos.</w:t>
      </w:r>
    </w:p>
  </w:footnote>
  <w:footnote w:id="23">
    <w:p w:rsidR="00B76A35" w:rsidRDefault="00B76A35" w:rsidP="000B1029">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El Tribunal adopta una perspectiva de género puesto que comprueba si la neutralidad aparente de una normal produce o no efectos normativos para la igualdad de la mujer, por lo que destaca la evolución de las técnicas que aplica el propio Tribunal de Justicia de las Comunidades Europeas, encaminadas a la obtención de la verdadera igualdad formal en razón de género.</w:t>
      </w:r>
    </w:p>
  </w:footnote>
  <w:footnote w:id="24">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Vid. Balaguer Callejón, </w:t>
      </w:r>
      <w:proofErr w:type="spellStart"/>
      <w:r w:rsidRPr="00C91DC6">
        <w:rPr>
          <w:rFonts w:ascii="Times New Roman" w:hAnsi="Times New Roman" w:cs="Times New Roman"/>
        </w:rPr>
        <w:t>Maria</w:t>
      </w:r>
      <w:proofErr w:type="spellEnd"/>
      <w:r w:rsidRPr="00C91DC6">
        <w:rPr>
          <w:rFonts w:ascii="Times New Roman" w:hAnsi="Times New Roman" w:cs="Times New Roman"/>
        </w:rPr>
        <w:t xml:space="preserve"> Luisa, Mujer y Constitución: la construcción jurídica del género, Serie Feminismos, Cátedra, Madrid, 2005, p. 61.</w:t>
      </w:r>
    </w:p>
  </w:footnote>
  <w:footnote w:id="25">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00B464F6">
        <w:rPr>
          <w:rFonts w:ascii="Times New Roman" w:hAnsi="Times New Roman" w:cs="Times New Roman"/>
        </w:rPr>
        <w:t xml:space="preserve"> STC </w:t>
      </w:r>
      <w:r w:rsidRPr="00C91DC6">
        <w:rPr>
          <w:rFonts w:ascii="Times New Roman" w:hAnsi="Times New Roman" w:cs="Times New Roman"/>
        </w:rPr>
        <w:t>Gaygusuz contra Austria (1996). Produjo un cambio en la interpretación del Tribunal de Estrasburgo del principio de no discriminación por razón de nacionalidad, ya que el señor Gaygusuz, nacional de Turquía pero residente en Austria solicitó una pensión contributiva que le fue denegada por razón de su nacionalidad, en la sentencia, el TEDH entiende que el hecho de contribuir con el Erario Público no le deja en situación de extranjero, si no de contribuyente, y por lo tanto, la diferencia de trato no está justificada y es discriminatoria.</w:t>
      </w:r>
    </w:p>
  </w:footnote>
  <w:footnote w:id="26">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STC 13/2001, de 29 de Enero,  que confirma un caso de discriminación por razón de raza, cuando un policía para a la señora Williams Lecraft junto a su marido e hijo para que se identifique, y ante la negativa de esta, es dirigida a las dependencias de la policía en la estación de ferrocarril de Valladolid, donde se comprueba que es española y la policía le pide perdón y le deja proseguir.</w:t>
      </w:r>
    </w:p>
  </w:footnote>
  <w:footnote w:id="27">
    <w:p w:rsidR="00B76A35" w:rsidRPr="000B1029" w:rsidRDefault="00B76A35" w:rsidP="000B1029">
      <w:pPr>
        <w:pStyle w:val="Textonotapie"/>
        <w:spacing w:line="360" w:lineRule="auto"/>
        <w:jc w:val="both"/>
        <w:rPr>
          <w:rFonts w:ascii="Times New Roman" w:hAnsi="Times New Roman" w:cs="Times New Roman"/>
        </w:rPr>
      </w:pPr>
      <w:r w:rsidRPr="000B1029">
        <w:rPr>
          <w:rStyle w:val="Refdenotaalpie"/>
          <w:rFonts w:ascii="Times New Roman" w:hAnsi="Times New Roman" w:cs="Times New Roman"/>
        </w:rPr>
        <w:footnoteRef/>
      </w:r>
      <w:r w:rsidRPr="000B1029">
        <w:rPr>
          <w:rFonts w:ascii="Times New Roman" w:hAnsi="Times New Roman" w:cs="Times New Roman"/>
        </w:rPr>
        <w:t xml:space="preserve"> En dicha STC se rechaza que bajo el paraguas de la libertad de expresión  (art20 C.E.) o de la libertad ideológica (art 16 C.E.) pudieran cobijarse manifestaciones o expresiones o campañas de carácter racista o xenófobo, atentando de igual manera contra el derecho al honor del artículo 18 C.E. y de la dignidad humana, bienes constitucionales que deben respetar tanto los ciudadanos como los poderes públicos. </w:t>
      </w:r>
    </w:p>
  </w:footnote>
  <w:footnote w:id="28">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Dicho caso versa sobre el despido a una trabajadora por encontrarse fuera de su puesto de trabajo, ya que la religión de la que forma parte prohíbe el trabajo que lleva desde la puesta del sol del viernes hasta la del sábado (Iglesia Adventista del Séptimo Día), y cuya trabajadora se basa en la existencia de discriminación por razón de religión, que finalmente rechaza el Tribunal Constitucional, al entender que la ausencia del puesto de trabajo durante el periodo que le impone su religión es incompatible con la actividad de la empresa y le causa claro perjuicio, sin ver motivo de discriminación su despido. </w:t>
      </w:r>
    </w:p>
  </w:footnote>
  <w:footnote w:id="29">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STSJ Asturias, 16 de Noviembre de 2012, por la que se discrimina a un trabajador por no contratarlo a razón de su idioma, cuando anteriormente ha trabajado 17 años en empresas regentadas por la misma sin problema alguno, y de un día para otro se decide que debe pasar un examen de lengua, no superándolo y posteriormente despidiéndole por esta razón, teniendo el actor nacionalidad española. Este trabajaba para una subcontrata, y al pasar a formar parte de la empresa, es cuando se decide que no pasa los criterios de comprensión que en 17 años anteriores no le habían producido ningún tipo de problema.</w:t>
      </w:r>
    </w:p>
  </w:footnote>
  <w:footnote w:id="30">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Sánchez Ferriz, Remedio, “Estudio sobre las libertades, Ed Tirant Lo Blanch Alternativa, Valencia, 2ª edición,  1995, pp. 165 y 166.</w:t>
      </w:r>
    </w:p>
  </w:footnote>
  <w:footnote w:id="31">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Recurso Prejudicial  sobre la interpretación de la Directiva 76/207/CEE del Consejo, de 9 de Febrero de 1976.</w:t>
      </w:r>
    </w:p>
  </w:footnote>
  <w:footnote w:id="32">
    <w:p w:rsidR="00B76A35" w:rsidRPr="0082609C" w:rsidRDefault="00B76A35" w:rsidP="000B1029">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La señora Grant demanda a su empresa “SWT” por no concederle una reducción en el precio de los transportes a su compañera sentimental. Debido a que la cláusula 18 de su Trabajo decía así “</w:t>
      </w:r>
      <w:r w:rsidRPr="00C91DC6">
        <w:rPr>
          <w:rFonts w:ascii="Times New Roman" w:hAnsi="Times New Roman" w:cs="Times New Roman"/>
          <w:i/>
        </w:rPr>
        <w:t>tendrá Vd. derecho a la gratuidad y a las reducciones en el precio de los transportes aplicables a los empleados de su misma categoría. Su cónyuge y las personas a cargo de Vd. Disfrutarán también de reducciones en materia de transporte. Estas reducciones serán concedidas discrecionalmente por el empresario y serán suspendidas en caso de abuso”.</w:t>
      </w:r>
    </w:p>
  </w:footnote>
  <w:footnote w:id="33">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Nogueira Alcalá, Humberto (2006) El derecho a la igualdad ante la ley, la no discriminación y las acciones positivas</w:t>
      </w:r>
    </w:p>
  </w:footnote>
  <w:footnote w:id="34">
    <w:p w:rsidR="00B76A35" w:rsidRPr="000B1029" w:rsidRDefault="00B76A35" w:rsidP="000B1029">
      <w:pPr>
        <w:pStyle w:val="Textonotapie"/>
        <w:spacing w:line="360" w:lineRule="auto"/>
        <w:jc w:val="both"/>
        <w:rPr>
          <w:rFonts w:ascii="Times New Roman" w:hAnsi="Times New Roman" w:cs="Times New Roman"/>
        </w:rPr>
      </w:pPr>
      <w:r w:rsidRPr="000B1029">
        <w:rPr>
          <w:rStyle w:val="Refdenotaalpie"/>
          <w:rFonts w:ascii="Times New Roman" w:hAnsi="Times New Roman" w:cs="Times New Roman"/>
        </w:rPr>
        <w:footnoteRef/>
      </w:r>
      <w:r w:rsidRPr="000B1029">
        <w:rPr>
          <w:rFonts w:ascii="Times New Roman" w:hAnsi="Times New Roman" w:cs="Times New Roman"/>
        </w:rPr>
        <w:t xml:space="preserve"> John Locke, en el Segundo Tratado del Gobierno Civil (1690)  introduce el concepto de estado naturaleza  y de ley natural. El individuo nace con derechos, vive libre en el estado de naturaleza y el poder estatal puede intervenir y limitar sus derechos,  sin desconocer una esfera del individuo que es inviolable.</w:t>
      </w:r>
    </w:p>
  </w:footnote>
  <w:footnote w:id="35">
    <w:p w:rsidR="00B76A35" w:rsidRPr="00C91DC6" w:rsidRDefault="00B76A35" w:rsidP="000B1029">
      <w:pPr>
        <w:pStyle w:val="Textonotapie"/>
        <w:spacing w:line="360" w:lineRule="auto"/>
        <w:jc w:val="both"/>
        <w:rPr>
          <w:rFonts w:ascii="Times New Roman" w:hAnsi="Times New Roman" w:cs="Times New Roman"/>
        </w:rPr>
      </w:pPr>
      <w:r w:rsidRPr="000B1029">
        <w:rPr>
          <w:rStyle w:val="Refdenotaalpie"/>
          <w:rFonts w:ascii="Times New Roman" w:hAnsi="Times New Roman" w:cs="Times New Roman"/>
        </w:rPr>
        <w:footnoteRef/>
      </w:r>
      <w:r w:rsidRPr="000B1029">
        <w:rPr>
          <w:rFonts w:ascii="Times New Roman" w:hAnsi="Times New Roman" w:cs="Times New Roman"/>
        </w:rPr>
        <w:t xml:space="preserve"> Tomo como punto de partida el Tratado de Roma de 25 de Marzo de 1957, que es el Tratado constitutivo de la Comunidad Económica Europea, y en su artículo 199 que consagró la igualdad de trato entre hombres y mujeres en cuanto a la retribución por igual trabajo realizado.</w:t>
      </w:r>
    </w:p>
  </w:footnote>
  <w:footnote w:id="36">
    <w:p w:rsidR="00B76A35" w:rsidRDefault="00B76A35" w:rsidP="000451CC">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Esta directiva ha sido derogada por la Directiva 2006/54.</w:t>
      </w:r>
    </w:p>
  </w:footnote>
  <w:footnote w:id="37">
    <w:p w:rsidR="00B76A35" w:rsidRPr="00C91DC6" w:rsidRDefault="00B76A35" w:rsidP="000451CC">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Esta directiva impuso a los Estados miembros la adopción de una serie de medidas para conseguir estos objetivos:</w:t>
      </w:r>
    </w:p>
    <w:p w:rsidR="00B76A35" w:rsidRPr="00C91DC6" w:rsidRDefault="00B76A35" w:rsidP="000451CC">
      <w:pPr>
        <w:pStyle w:val="Textonotapie"/>
        <w:numPr>
          <w:ilvl w:val="0"/>
          <w:numId w:val="42"/>
        </w:numPr>
        <w:spacing w:line="360" w:lineRule="auto"/>
        <w:jc w:val="both"/>
        <w:rPr>
          <w:rFonts w:ascii="Times New Roman" w:hAnsi="Times New Roman" w:cs="Times New Roman"/>
        </w:rPr>
      </w:pPr>
      <w:r w:rsidRPr="00C91DC6">
        <w:rPr>
          <w:rFonts w:ascii="Times New Roman" w:hAnsi="Times New Roman" w:cs="Times New Roman"/>
        </w:rPr>
        <w:t>Suprimir las disposiciones legales, reglamentarias y administrativas contrarias al principio.</w:t>
      </w:r>
    </w:p>
    <w:p w:rsidR="00B76A35" w:rsidRPr="00C91DC6" w:rsidRDefault="00B76A35" w:rsidP="000451CC">
      <w:pPr>
        <w:pStyle w:val="Textonotapie"/>
        <w:numPr>
          <w:ilvl w:val="0"/>
          <w:numId w:val="42"/>
        </w:numPr>
        <w:spacing w:line="360" w:lineRule="auto"/>
        <w:jc w:val="both"/>
        <w:rPr>
          <w:rFonts w:ascii="Times New Roman" w:hAnsi="Times New Roman" w:cs="Times New Roman"/>
        </w:rPr>
      </w:pPr>
      <w:r w:rsidRPr="00C91DC6">
        <w:rPr>
          <w:rFonts w:ascii="Times New Roman" w:hAnsi="Times New Roman" w:cs="Times New Roman"/>
        </w:rPr>
        <w:t>La nulidad o modificación de las disposiciones que se opongan al principio se hayan incluido en convenios colectivos, los contratos individuales de trabajo y los reglamentos internos de las empresas existentes.</w:t>
      </w:r>
    </w:p>
  </w:footnote>
  <w:footnote w:id="38">
    <w:p w:rsidR="00B76A35" w:rsidRDefault="00B76A35" w:rsidP="000B1029">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Hoy, tanto el Tratado de la Unión Europea como el Tratado de Funcionamiento de la UE insisten en la necesidad de eliminar las desigualdades entre el hombre y la mujer y promover su igualdad, siendo uno de los objetivos y valores fundamentales de la política de la Unión.</w:t>
      </w:r>
    </w:p>
  </w:footnote>
  <w:footnote w:id="39">
    <w:p w:rsidR="00B76A35" w:rsidRPr="00C91DC6" w:rsidRDefault="00B76A35" w:rsidP="000B1029">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Esta Directiva obligó a los Estados Miembros, de acuerdo con sus sistemas judiciales, a tomar medidas necesarias para que, cuando la parte demandante aportase ante el Tribunal de Justicia de la Unión Europea u otra instancia competente, elementos de hecho que permitiesen suponer la existencia de una discriminación, correspondiera a la parte demandada demostrar que no había existido la vulneración del principio de igualdad. </w:t>
      </w:r>
    </w:p>
  </w:footnote>
  <w:footnote w:id="40">
    <w:p w:rsidR="00B76A35" w:rsidRDefault="00B76A35" w:rsidP="000B1029">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Contiene, además, disposiciones para garantizar que dicha aplicación sea más eficaz mediante el establecimiento de los procedimientos adecuados.</w:t>
      </w:r>
    </w:p>
  </w:footnote>
  <w:footnote w:id="41">
    <w:p w:rsidR="00B76A35" w:rsidRPr="00D260CD" w:rsidRDefault="00B76A35" w:rsidP="00D260CD">
      <w:pPr>
        <w:pStyle w:val="Textonotapie"/>
        <w:spacing w:line="360" w:lineRule="auto"/>
        <w:jc w:val="both"/>
        <w:rPr>
          <w:rFonts w:ascii="Times New Roman" w:hAnsi="Times New Roman" w:cs="Times New Roman"/>
        </w:rPr>
      </w:pPr>
      <w:r w:rsidRPr="00D260CD">
        <w:rPr>
          <w:rStyle w:val="Refdenotaalpie"/>
          <w:rFonts w:ascii="Times New Roman" w:hAnsi="Times New Roman" w:cs="Times New Roman"/>
        </w:rPr>
        <w:footnoteRef/>
      </w:r>
      <w:r w:rsidRPr="00D260CD">
        <w:rPr>
          <w:rFonts w:ascii="Times New Roman" w:hAnsi="Times New Roman" w:cs="Times New Roman"/>
        </w:rPr>
        <w:t xml:space="preserve"> Esta Recomendación define el acoso sexual como:</w:t>
      </w:r>
    </w:p>
    <w:p w:rsidR="00B76A35" w:rsidRPr="00D260CD" w:rsidRDefault="00B76A35" w:rsidP="00D260CD">
      <w:pPr>
        <w:pStyle w:val="Textonotapie"/>
        <w:numPr>
          <w:ilvl w:val="0"/>
          <w:numId w:val="46"/>
        </w:numPr>
        <w:spacing w:line="360" w:lineRule="auto"/>
        <w:jc w:val="both"/>
        <w:rPr>
          <w:rFonts w:ascii="Times New Roman" w:hAnsi="Times New Roman" w:cs="Times New Roman"/>
        </w:rPr>
      </w:pPr>
      <w:r w:rsidRPr="00D260CD">
        <w:rPr>
          <w:rFonts w:ascii="Times New Roman" w:hAnsi="Times New Roman" w:cs="Times New Roman"/>
        </w:rPr>
        <w:t>Cualquier comportamiento que maltrate y vulnere a la persona objeto del mismo.</w:t>
      </w:r>
    </w:p>
    <w:p w:rsidR="00B76A35" w:rsidRPr="00D260CD" w:rsidRDefault="00B76A35" w:rsidP="00D260CD">
      <w:pPr>
        <w:pStyle w:val="Textonotapie"/>
        <w:numPr>
          <w:ilvl w:val="0"/>
          <w:numId w:val="46"/>
        </w:numPr>
        <w:spacing w:line="360" w:lineRule="auto"/>
        <w:jc w:val="both"/>
        <w:rPr>
          <w:rFonts w:ascii="Times New Roman" w:hAnsi="Times New Roman" w:cs="Times New Roman"/>
        </w:rPr>
      </w:pPr>
      <w:r w:rsidRPr="00D260CD">
        <w:rPr>
          <w:rFonts w:ascii="Times New Roman" w:hAnsi="Times New Roman" w:cs="Times New Roman"/>
        </w:rPr>
        <w:t>El hecho de que el rechazo o la aceptación de un comportamiento de este tipo procedente de un empresario o trabajador (superior jerárquico o no) justifique explícita o implícitamente una decisión que afecte a los derechos de esa persona en materia de formación profesional, desempleo, de mantenimiento del empleo y sueldo.</w:t>
      </w:r>
    </w:p>
    <w:p w:rsidR="00B76A35" w:rsidRDefault="00B76A35" w:rsidP="00D260CD">
      <w:pPr>
        <w:pStyle w:val="Textonotapie"/>
        <w:numPr>
          <w:ilvl w:val="0"/>
          <w:numId w:val="46"/>
        </w:numPr>
        <w:spacing w:line="360" w:lineRule="auto"/>
        <w:jc w:val="both"/>
      </w:pPr>
      <w:r w:rsidRPr="00D260CD">
        <w:rPr>
          <w:rFonts w:ascii="Times New Roman" w:hAnsi="Times New Roman" w:cs="Times New Roman"/>
        </w:rPr>
        <w:t>Cualquier comportamiento que genere clima de intimidación, hostilidad o humillación, respecto de la persona objeto del mismo.</w:t>
      </w:r>
    </w:p>
  </w:footnote>
  <w:footnote w:id="42">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Martínez Alarcón, María Luz, profesora titular de Derecho Constitucional, Univ. De Castilla-La Mancha.</w:t>
      </w:r>
    </w:p>
  </w:footnote>
  <w:footnote w:id="43">
    <w:p w:rsidR="00B76A35" w:rsidRPr="00F60200" w:rsidRDefault="00B76A35" w:rsidP="00D260CD">
      <w:pPr>
        <w:pStyle w:val="Textonotapie"/>
        <w:spacing w:line="360" w:lineRule="auto"/>
        <w:jc w:val="both"/>
      </w:pPr>
      <w:r w:rsidRPr="00C91DC6">
        <w:rPr>
          <w:rStyle w:val="Refdenotaalpie"/>
          <w:rFonts w:ascii="Times New Roman" w:hAnsi="Times New Roman" w:cs="Times New Roman"/>
        </w:rPr>
        <w:footnoteRef/>
      </w:r>
      <w:r w:rsidRPr="00C91DC6">
        <w:rPr>
          <w:rFonts w:ascii="Times New Roman" w:hAnsi="Times New Roman" w:cs="Times New Roman"/>
        </w:rPr>
        <w:t xml:space="preserve"> Así la propia constitución en su artículo 32.1 expresa “</w:t>
      </w:r>
      <w:r w:rsidRPr="00C91DC6">
        <w:rPr>
          <w:rFonts w:ascii="Times New Roman" w:hAnsi="Times New Roman" w:cs="Times New Roman"/>
          <w:i/>
        </w:rPr>
        <w:t>El hombre y la mujer tienen derecho a contraer matrimonio con plena igualdad jurídica”.</w:t>
      </w:r>
    </w:p>
  </w:footnote>
  <w:footnote w:id="44">
    <w:p w:rsidR="00B76A35" w:rsidRPr="0069401F" w:rsidRDefault="00B76A35" w:rsidP="00D260CD">
      <w:pPr>
        <w:pStyle w:val="Textonotapie"/>
        <w:spacing w:line="360" w:lineRule="auto"/>
        <w:jc w:val="both"/>
        <w:rPr>
          <w:rFonts w:ascii="Times New Roman" w:hAnsi="Times New Roman" w:cs="Times New Roman"/>
        </w:rPr>
      </w:pPr>
      <w:r w:rsidRPr="0069401F">
        <w:rPr>
          <w:rStyle w:val="Refdenotaalpie"/>
          <w:rFonts w:ascii="Times New Roman" w:hAnsi="Times New Roman" w:cs="Times New Roman"/>
        </w:rPr>
        <w:footnoteRef/>
      </w:r>
      <w:r w:rsidRPr="0069401F">
        <w:rPr>
          <w:rFonts w:ascii="Times New Roman" w:hAnsi="Times New Roman" w:cs="Times New Roman"/>
        </w:rPr>
        <w:t xml:space="preserve"> Sentencia 224/1999, de 13 de Diciembre, recurso de amparo interpuesto por la actora ante la Sala Segunda del Tribunal Constitucional, por un delito de acoso sexual por el que en aquél momento era su jefe, con claras insinuaciones y tocamientos que producían un desgaste en la dignidad de la mujer de forma evidente, y por el que se condenó finalmente a su jefe.</w:t>
      </w:r>
    </w:p>
  </w:footnote>
  <w:footnote w:id="45">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Creado por Real Decreto 1686/2000, de 6 de Octubre, de acuerdo con los dispuesto en la Ley de Organización y Funcionamiento de la Administración General del Estado.</w:t>
      </w:r>
    </w:p>
  </w:footnote>
  <w:footnote w:id="46">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Dentro de esta serie de vocales, podemos encontrar 6 representantes de ONG de mujeres de ámbito nacional, un representante de la Federación Española de Municipios y Provincias,  el Director General de Ordenación de las migraciones, el Director General del Instituto de la Juventud, el Subdirector General de Estadísticas Sociales y Laborales.</w:t>
      </w:r>
    </w:p>
    <w:p w:rsidR="00B76A35" w:rsidRDefault="00B76A35" w:rsidP="00D260CD">
      <w:pPr>
        <w:pStyle w:val="Textonotapie"/>
        <w:spacing w:line="360" w:lineRule="auto"/>
        <w:jc w:val="both"/>
      </w:pPr>
      <w:r w:rsidRPr="00C91DC6">
        <w:rPr>
          <w:rFonts w:ascii="Times New Roman" w:hAnsi="Times New Roman" w:cs="Times New Roman"/>
        </w:rPr>
        <w:t xml:space="preserve">El Pleno además deberá reunirse una vez al año con carácter </w:t>
      </w:r>
      <w:proofErr w:type="gramStart"/>
      <w:r w:rsidRPr="00C91DC6">
        <w:rPr>
          <w:rFonts w:ascii="Times New Roman" w:hAnsi="Times New Roman" w:cs="Times New Roman"/>
        </w:rPr>
        <w:t>ordinario ,</w:t>
      </w:r>
      <w:proofErr w:type="gramEnd"/>
      <w:r w:rsidRPr="00C91DC6">
        <w:rPr>
          <w:rFonts w:ascii="Times New Roman" w:hAnsi="Times New Roman" w:cs="Times New Roman"/>
        </w:rPr>
        <w:t xml:space="preserve"> y excepcionalmente, cuantas veces sea convocado por su Presidenta, por iniciativa propia o a propuesta, al menos, de una tercera parte de los vocales existentes.</w:t>
      </w:r>
    </w:p>
  </w:footnote>
  <w:footnote w:id="47">
    <w:p w:rsidR="00B76A35" w:rsidRPr="00891E68" w:rsidRDefault="00B76A35" w:rsidP="00891E68">
      <w:pPr>
        <w:pStyle w:val="Textonotapie"/>
        <w:spacing w:line="360" w:lineRule="auto"/>
        <w:jc w:val="both"/>
        <w:rPr>
          <w:rFonts w:ascii="Times New Roman" w:hAnsi="Times New Roman" w:cs="Times New Roman"/>
        </w:rPr>
      </w:pPr>
      <w:r w:rsidRPr="00891E68">
        <w:rPr>
          <w:rStyle w:val="Refdenotaalpie"/>
          <w:rFonts w:ascii="Times New Roman" w:hAnsi="Times New Roman" w:cs="Times New Roman"/>
        </w:rPr>
        <w:footnoteRef/>
      </w:r>
      <w:r w:rsidRPr="00891E68">
        <w:rPr>
          <w:rFonts w:ascii="Times New Roman" w:hAnsi="Times New Roman" w:cs="Times New Roman"/>
        </w:rPr>
        <w:t xml:space="preserve"> También dependían funcionalmente del Ministerio de Sanidad, Servicios Sociales e igualdad, a través de la Delegación del Gobierno para la Violencia de Género, las Unidades de Coordinación contra la Violencia sobre la Mujer y las Unidades de Violencia sobre la Mujer, integradas orgánicamente en las Delegaciones y Subdelegaciones del gobierno y en las Direcciones Insulares.</w:t>
      </w:r>
    </w:p>
  </w:footnote>
  <w:footnote w:id="48">
    <w:p w:rsidR="00B76A35" w:rsidRPr="00891E68" w:rsidRDefault="00B76A35" w:rsidP="00891E68">
      <w:pPr>
        <w:pStyle w:val="Textonotapie"/>
        <w:spacing w:line="360" w:lineRule="auto"/>
        <w:jc w:val="both"/>
        <w:rPr>
          <w:rFonts w:ascii="Times New Roman" w:hAnsi="Times New Roman" w:cs="Times New Roman"/>
        </w:rPr>
      </w:pPr>
      <w:r w:rsidRPr="00891E68">
        <w:rPr>
          <w:rStyle w:val="Refdenotaalpie"/>
          <w:rFonts w:ascii="Times New Roman" w:hAnsi="Times New Roman" w:cs="Times New Roman"/>
        </w:rPr>
        <w:footnoteRef/>
      </w:r>
      <w:r w:rsidRPr="00891E68">
        <w:rPr>
          <w:rFonts w:ascii="Times New Roman" w:hAnsi="Times New Roman" w:cs="Times New Roman"/>
        </w:rPr>
        <w:t xml:space="preserve"> Que tendrá un funcionamiento del que se encargan el Pleno, con todas las personas que conforman dicho organismo, la Comisión Permanente, formada por una presidencia, una vicepresidencia, catorce vocales y una secretaria, y por último los Grupos de Trabajo, que podrán crearse bajo acuerdo previo.</w:t>
      </w:r>
    </w:p>
  </w:footnote>
  <w:footnote w:id="49">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LO 3/2007, de 22 de marzo, para la igualdad efectiva de mujeres y hombres, publicada en el BOE el 23 de Marzo de 2007, y cuya entrada en vigor se produjo al día siguiente de su publicación.</w:t>
      </w:r>
    </w:p>
  </w:footnote>
  <w:footnote w:id="50">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Esta Ley Orgánica ha sufrido su última modificación el 27 de Julio de 2013</w:t>
      </w:r>
    </w:p>
  </w:footnote>
  <w:footnote w:id="51">
    <w:p w:rsidR="00B76A35" w:rsidRPr="00D260CD" w:rsidRDefault="00B76A35" w:rsidP="00D260CD">
      <w:pPr>
        <w:pStyle w:val="Textonotapie"/>
        <w:spacing w:line="360" w:lineRule="auto"/>
        <w:jc w:val="both"/>
        <w:rPr>
          <w:rFonts w:ascii="Times New Roman" w:hAnsi="Times New Roman" w:cs="Times New Roman"/>
        </w:rPr>
      </w:pPr>
      <w:r w:rsidRPr="00D260CD">
        <w:rPr>
          <w:rStyle w:val="Refdenotaalpie"/>
          <w:rFonts w:ascii="Times New Roman" w:hAnsi="Times New Roman" w:cs="Times New Roman"/>
        </w:rPr>
        <w:footnoteRef/>
      </w:r>
      <w:r w:rsidRPr="00D260CD">
        <w:rPr>
          <w:rFonts w:ascii="Times New Roman" w:hAnsi="Times New Roman" w:cs="Times New Roman"/>
        </w:rPr>
        <w:t xml:space="preserve"> Sentencia del Tribunal Supremo 1335/2011, perteneciente a la Sala 2 de lo Penal, en la que el Tribunal Supremo confirma la primera condena por abuso y acoso sexual a un Comisario Principal de la Policía Nacional.</w:t>
      </w:r>
    </w:p>
    <w:p w:rsidR="00B76A35" w:rsidRPr="00D260CD" w:rsidRDefault="00B76A35" w:rsidP="00D260CD">
      <w:pPr>
        <w:pStyle w:val="Textonotapie"/>
        <w:spacing w:line="360" w:lineRule="auto"/>
        <w:jc w:val="both"/>
        <w:rPr>
          <w:rFonts w:ascii="Times New Roman" w:hAnsi="Times New Roman" w:cs="Times New Roman"/>
        </w:rPr>
      </w:pPr>
      <w:r w:rsidRPr="00D260CD">
        <w:rPr>
          <w:rFonts w:ascii="Times New Roman" w:hAnsi="Times New Roman" w:cs="Times New Roman"/>
        </w:rPr>
        <w:t>Dicha sentencia cree indudable que abusó de su superioridad para que la víctima accediese a sus solicitudes sexuales.</w:t>
      </w:r>
    </w:p>
  </w:footnote>
  <w:footnote w:id="52">
    <w:p w:rsidR="00B76A35" w:rsidRDefault="00B76A35" w:rsidP="00D260CD">
      <w:pPr>
        <w:pStyle w:val="Textonotapie"/>
        <w:spacing w:line="360" w:lineRule="auto"/>
        <w:jc w:val="both"/>
      </w:pPr>
      <w:r w:rsidRPr="00D260CD">
        <w:rPr>
          <w:rStyle w:val="Refdenotaalpie"/>
          <w:rFonts w:ascii="Times New Roman" w:hAnsi="Times New Roman" w:cs="Times New Roman"/>
        </w:rPr>
        <w:footnoteRef/>
      </w:r>
      <w:r w:rsidRPr="00D260CD">
        <w:rPr>
          <w:rFonts w:ascii="Times New Roman" w:hAnsi="Times New Roman" w:cs="Times New Roman"/>
        </w:rPr>
        <w:t xml:space="preserve"> Moreira, Allan. Precisiones sobre el acoso sexual en el trabajo.</w:t>
      </w:r>
      <w:r>
        <w:t xml:space="preserve"> </w:t>
      </w:r>
    </w:p>
  </w:footnote>
  <w:footnote w:id="53">
    <w:p w:rsidR="00B76A35" w:rsidRPr="00C91DC6" w:rsidRDefault="00B76A35" w:rsidP="00D260CD">
      <w:pPr>
        <w:pStyle w:val="Textonotapie"/>
        <w:spacing w:line="360" w:lineRule="auto"/>
        <w:jc w:val="both"/>
        <w:rPr>
          <w:rFonts w:ascii="Times New Roman" w:hAnsi="Times New Roman" w:cs="Times New Roman"/>
        </w:rPr>
      </w:pPr>
      <w:r w:rsidRPr="00C91DC6">
        <w:rPr>
          <w:rStyle w:val="Refdenotaalpie"/>
          <w:rFonts w:ascii="Times New Roman" w:hAnsi="Times New Roman" w:cs="Times New Roman"/>
        </w:rPr>
        <w:footnoteRef/>
      </w:r>
      <w:r w:rsidRPr="00C91DC6">
        <w:rPr>
          <w:rFonts w:ascii="Times New Roman" w:hAnsi="Times New Roman" w:cs="Times New Roman"/>
        </w:rPr>
        <w:t xml:space="preserve"> Caldito </w:t>
      </w:r>
      <w:proofErr w:type="spellStart"/>
      <w:r w:rsidRPr="00C91DC6">
        <w:rPr>
          <w:rFonts w:ascii="Times New Roman" w:hAnsi="Times New Roman" w:cs="Times New Roman"/>
        </w:rPr>
        <w:t>Aunión</w:t>
      </w:r>
      <w:proofErr w:type="spellEnd"/>
      <w:r w:rsidRPr="00C91DC6">
        <w:rPr>
          <w:rFonts w:ascii="Times New Roman" w:hAnsi="Times New Roman" w:cs="Times New Roman"/>
        </w:rPr>
        <w:t>, Carlos Aurelio (2012) “Discriminatoria discriminación positiva” Sociopolítica.</w:t>
      </w:r>
      <w:r w:rsidRPr="00C91DC6">
        <w:rPr>
          <w:rFonts w:ascii="Times New Roman" w:hAnsi="Times New Roman" w:cs="Times New Roman"/>
        </w:rPr>
        <w:tab/>
      </w:r>
      <w:r w:rsidRPr="00C91DC6">
        <w:rPr>
          <w:rFonts w:ascii="Times New Roman" w:hAnsi="Times New Roman" w:cs="Times New Roman"/>
        </w:rP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90E"/>
    <w:multiLevelType w:val="multilevel"/>
    <w:tmpl w:val="87CAD3B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2010CC1"/>
    <w:multiLevelType w:val="multilevel"/>
    <w:tmpl w:val="75FE18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21C1E2D"/>
    <w:multiLevelType w:val="hybridMultilevel"/>
    <w:tmpl w:val="02223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286C21"/>
    <w:multiLevelType w:val="hybridMultilevel"/>
    <w:tmpl w:val="ED9AE1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2C6261B"/>
    <w:multiLevelType w:val="hybridMultilevel"/>
    <w:tmpl w:val="1ADA68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04130C19"/>
    <w:multiLevelType w:val="hybridMultilevel"/>
    <w:tmpl w:val="A6F45A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06550FA1"/>
    <w:multiLevelType w:val="hybridMultilevel"/>
    <w:tmpl w:val="A7224A0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068B20E5"/>
    <w:multiLevelType w:val="hybridMultilevel"/>
    <w:tmpl w:val="72FC95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6F32F8"/>
    <w:multiLevelType w:val="hybridMultilevel"/>
    <w:tmpl w:val="9184F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95526CF"/>
    <w:multiLevelType w:val="hybridMultilevel"/>
    <w:tmpl w:val="211C974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nsid w:val="10401E31"/>
    <w:multiLevelType w:val="hybridMultilevel"/>
    <w:tmpl w:val="BE8EC6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CC1E9A"/>
    <w:multiLevelType w:val="multilevel"/>
    <w:tmpl w:val="49665A7A"/>
    <w:lvl w:ilvl="0">
      <w:start w:val="6"/>
      <w:numFmt w:val="decimal"/>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0E60210"/>
    <w:multiLevelType w:val="hybridMultilevel"/>
    <w:tmpl w:val="8A96FEF4"/>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11633A8C"/>
    <w:multiLevelType w:val="multilevel"/>
    <w:tmpl w:val="25BE63CA"/>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8E0052E"/>
    <w:multiLevelType w:val="hybridMultilevel"/>
    <w:tmpl w:val="F01AADC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A1437C1"/>
    <w:multiLevelType w:val="hybridMultilevel"/>
    <w:tmpl w:val="2F80CE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C07DF6"/>
    <w:multiLevelType w:val="multilevel"/>
    <w:tmpl w:val="5ED482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1F84D92"/>
    <w:multiLevelType w:val="hybridMultilevel"/>
    <w:tmpl w:val="593CE5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34379A1"/>
    <w:multiLevelType w:val="hybridMultilevel"/>
    <w:tmpl w:val="4372F84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3A6414F"/>
    <w:multiLevelType w:val="multilevel"/>
    <w:tmpl w:val="87CAD3B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A8F61D8"/>
    <w:multiLevelType w:val="hybridMultilevel"/>
    <w:tmpl w:val="E79E3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BD411BF"/>
    <w:multiLevelType w:val="hybridMultilevel"/>
    <w:tmpl w:val="FCC264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2314B32"/>
    <w:multiLevelType w:val="hybridMultilevel"/>
    <w:tmpl w:val="F4724F5C"/>
    <w:lvl w:ilvl="0" w:tplc="0C0A0015">
      <w:start w:val="1"/>
      <w:numFmt w:val="upp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nsid w:val="37D942F6"/>
    <w:multiLevelType w:val="hybridMultilevel"/>
    <w:tmpl w:val="363C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7FD2F2E"/>
    <w:multiLevelType w:val="hybridMultilevel"/>
    <w:tmpl w:val="86B2E7F6"/>
    <w:lvl w:ilvl="0" w:tplc="5638350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AE7CAE"/>
    <w:multiLevelType w:val="hybridMultilevel"/>
    <w:tmpl w:val="E8BCFC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B2111C8"/>
    <w:multiLevelType w:val="hybridMultilevel"/>
    <w:tmpl w:val="93D28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CB103E9"/>
    <w:multiLevelType w:val="hybridMultilevel"/>
    <w:tmpl w:val="500AE0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nsid w:val="3EF926CB"/>
    <w:multiLevelType w:val="hybridMultilevel"/>
    <w:tmpl w:val="EF6247D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CD13DE9"/>
    <w:multiLevelType w:val="hybridMultilevel"/>
    <w:tmpl w:val="AA0AAB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2775E44"/>
    <w:multiLevelType w:val="hybridMultilevel"/>
    <w:tmpl w:val="32565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2D16DB4"/>
    <w:multiLevelType w:val="hybridMultilevel"/>
    <w:tmpl w:val="BD74B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9026142"/>
    <w:multiLevelType w:val="hybridMultilevel"/>
    <w:tmpl w:val="F3942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9E14671"/>
    <w:multiLevelType w:val="hybridMultilevel"/>
    <w:tmpl w:val="2DE86D6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61553B4C"/>
    <w:multiLevelType w:val="hybridMultilevel"/>
    <w:tmpl w:val="08BA1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3421C57"/>
    <w:multiLevelType w:val="hybridMultilevel"/>
    <w:tmpl w:val="FE8E1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4D348E8"/>
    <w:multiLevelType w:val="multilevel"/>
    <w:tmpl w:val="75FE18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7305DD1"/>
    <w:multiLevelType w:val="hybridMultilevel"/>
    <w:tmpl w:val="E5AE0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8387687"/>
    <w:multiLevelType w:val="hybridMultilevel"/>
    <w:tmpl w:val="F596170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DF24AA"/>
    <w:multiLevelType w:val="hybridMultilevel"/>
    <w:tmpl w:val="A2901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4EE2EA4"/>
    <w:multiLevelType w:val="multilevel"/>
    <w:tmpl w:val="75FE18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77234650"/>
    <w:multiLevelType w:val="hybridMultilevel"/>
    <w:tmpl w:val="4C78F5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7FE259F"/>
    <w:multiLevelType w:val="hybridMultilevel"/>
    <w:tmpl w:val="C584E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97C6B5B"/>
    <w:multiLevelType w:val="hybridMultilevel"/>
    <w:tmpl w:val="8FD6829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nsid w:val="7C646373"/>
    <w:multiLevelType w:val="hybridMultilevel"/>
    <w:tmpl w:val="195095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CE22CDB"/>
    <w:multiLevelType w:val="hybridMultilevel"/>
    <w:tmpl w:val="2C5C3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E362C3D"/>
    <w:multiLevelType w:val="hybridMultilevel"/>
    <w:tmpl w:val="AC829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39"/>
  </w:num>
  <w:num w:numId="4">
    <w:abstractNumId w:val="46"/>
  </w:num>
  <w:num w:numId="5">
    <w:abstractNumId w:val="44"/>
  </w:num>
  <w:num w:numId="6">
    <w:abstractNumId w:val="30"/>
  </w:num>
  <w:num w:numId="7">
    <w:abstractNumId w:val="25"/>
  </w:num>
  <w:num w:numId="8">
    <w:abstractNumId w:val="4"/>
  </w:num>
  <w:num w:numId="9">
    <w:abstractNumId w:val="6"/>
  </w:num>
  <w:num w:numId="10">
    <w:abstractNumId w:val="5"/>
  </w:num>
  <w:num w:numId="11">
    <w:abstractNumId w:val="3"/>
  </w:num>
  <w:num w:numId="12">
    <w:abstractNumId w:val="9"/>
  </w:num>
  <w:num w:numId="13">
    <w:abstractNumId w:val="8"/>
  </w:num>
  <w:num w:numId="14">
    <w:abstractNumId w:val="42"/>
  </w:num>
  <w:num w:numId="15">
    <w:abstractNumId w:val="18"/>
  </w:num>
  <w:num w:numId="16">
    <w:abstractNumId w:val="32"/>
  </w:num>
  <w:num w:numId="17">
    <w:abstractNumId w:val="29"/>
  </w:num>
  <w:num w:numId="18">
    <w:abstractNumId w:val="17"/>
  </w:num>
  <w:num w:numId="19">
    <w:abstractNumId w:val="33"/>
  </w:num>
  <w:num w:numId="20">
    <w:abstractNumId w:val="20"/>
  </w:num>
  <w:num w:numId="21">
    <w:abstractNumId w:val="23"/>
  </w:num>
  <w:num w:numId="22">
    <w:abstractNumId w:val="45"/>
  </w:num>
  <w:num w:numId="23">
    <w:abstractNumId w:val="34"/>
  </w:num>
  <w:num w:numId="24">
    <w:abstractNumId w:val="13"/>
  </w:num>
  <w:num w:numId="25">
    <w:abstractNumId w:val="11"/>
  </w:num>
  <w:num w:numId="26">
    <w:abstractNumId w:val="43"/>
  </w:num>
  <w:num w:numId="27">
    <w:abstractNumId w:val="35"/>
  </w:num>
  <w:num w:numId="28">
    <w:abstractNumId w:val="28"/>
  </w:num>
  <w:num w:numId="29">
    <w:abstractNumId w:val="14"/>
  </w:num>
  <w:num w:numId="30">
    <w:abstractNumId w:val="0"/>
  </w:num>
  <w:num w:numId="31">
    <w:abstractNumId w:val="26"/>
  </w:num>
  <w:num w:numId="32">
    <w:abstractNumId w:val="15"/>
  </w:num>
  <w:num w:numId="33">
    <w:abstractNumId w:val="40"/>
  </w:num>
  <w:num w:numId="34">
    <w:abstractNumId w:val="2"/>
  </w:num>
  <w:num w:numId="35">
    <w:abstractNumId w:val="21"/>
  </w:num>
  <w:num w:numId="36">
    <w:abstractNumId w:val="31"/>
  </w:num>
  <w:num w:numId="37">
    <w:abstractNumId w:val="7"/>
  </w:num>
  <w:num w:numId="38">
    <w:abstractNumId w:val="22"/>
  </w:num>
  <w:num w:numId="39">
    <w:abstractNumId w:val="24"/>
  </w:num>
  <w:num w:numId="40">
    <w:abstractNumId w:val="37"/>
  </w:num>
  <w:num w:numId="41">
    <w:abstractNumId w:val="41"/>
  </w:num>
  <w:num w:numId="42">
    <w:abstractNumId w:val="38"/>
  </w:num>
  <w:num w:numId="43">
    <w:abstractNumId w:val="19"/>
  </w:num>
  <w:num w:numId="44">
    <w:abstractNumId w:val="1"/>
  </w:num>
  <w:num w:numId="45">
    <w:abstractNumId w:val="36"/>
  </w:num>
  <w:num w:numId="46">
    <w:abstractNumId w:val="12"/>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ED"/>
    <w:rsid w:val="00011D83"/>
    <w:rsid w:val="00040B67"/>
    <w:rsid w:val="0004488E"/>
    <w:rsid w:val="000451CC"/>
    <w:rsid w:val="00053ED0"/>
    <w:rsid w:val="000813EE"/>
    <w:rsid w:val="00081AEB"/>
    <w:rsid w:val="00084981"/>
    <w:rsid w:val="00094D58"/>
    <w:rsid w:val="000B1029"/>
    <w:rsid w:val="000F68CD"/>
    <w:rsid w:val="001128BE"/>
    <w:rsid w:val="001405B9"/>
    <w:rsid w:val="00147F97"/>
    <w:rsid w:val="001A0A13"/>
    <w:rsid w:val="001B4534"/>
    <w:rsid w:val="001D2998"/>
    <w:rsid w:val="001E5445"/>
    <w:rsid w:val="001E5DD7"/>
    <w:rsid w:val="001F1B50"/>
    <w:rsid w:val="00211F74"/>
    <w:rsid w:val="002315A7"/>
    <w:rsid w:val="00247C4D"/>
    <w:rsid w:val="0026571E"/>
    <w:rsid w:val="00274631"/>
    <w:rsid w:val="00295FD9"/>
    <w:rsid w:val="002A33AC"/>
    <w:rsid w:val="002B0C64"/>
    <w:rsid w:val="002B1D3A"/>
    <w:rsid w:val="002D1397"/>
    <w:rsid w:val="00300CD6"/>
    <w:rsid w:val="00301E30"/>
    <w:rsid w:val="00361743"/>
    <w:rsid w:val="00374815"/>
    <w:rsid w:val="00377BC9"/>
    <w:rsid w:val="00386941"/>
    <w:rsid w:val="003C6CEE"/>
    <w:rsid w:val="003F1D26"/>
    <w:rsid w:val="00400A8B"/>
    <w:rsid w:val="00433512"/>
    <w:rsid w:val="00453A4E"/>
    <w:rsid w:val="00482080"/>
    <w:rsid w:val="00495F55"/>
    <w:rsid w:val="004C4EA0"/>
    <w:rsid w:val="004D3823"/>
    <w:rsid w:val="004F3343"/>
    <w:rsid w:val="005133B5"/>
    <w:rsid w:val="00544986"/>
    <w:rsid w:val="00550073"/>
    <w:rsid w:val="005B16AE"/>
    <w:rsid w:val="005B4D2E"/>
    <w:rsid w:val="00607629"/>
    <w:rsid w:val="006145DD"/>
    <w:rsid w:val="00615F45"/>
    <w:rsid w:val="00626FCC"/>
    <w:rsid w:val="006375ED"/>
    <w:rsid w:val="0064030B"/>
    <w:rsid w:val="00643D0B"/>
    <w:rsid w:val="00651FA4"/>
    <w:rsid w:val="00687423"/>
    <w:rsid w:val="0069401F"/>
    <w:rsid w:val="006A5620"/>
    <w:rsid w:val="006C1FF2"/>
    <w:rsid w:val="006D0F25"/>
    <w:rsid w:val="006E1703"/>
    <w:rsid w:val="006E36CF"/>
    <w:rsid w:val="006F2A59"/>
    <w:rsid w:val="00723292"/>
    <w:rsid w:val="007232C2"/>
    <w:rsid w:val="00724520"/>
    <w:rsid w:val="00757E44"/>
    <w:rsid w:val="00762AA2"/>
    <w:rsid w:val="00783687"/>
    <w:rsid w:val="00795633"/>
    <w:rsid w:val="007B3C17"/>
    <w:rsid w:val="007C7B3B"/>
    <w:rsid w:val="007E396E"/>
    <w:rsid w:val="007F70D3"/>
    <w:rsid w:val="00800171"/>
    <w:rsid w:val="00806BE2"/>
    <w:rsid w:val="0082609C"/>
    <w:rsid w:val="00830848"/>
    <w:rsid w:val="00862A88"/>
    <w:rsid w:val="008758F5"/>
    <w:rsid w:val="00891E68"/>
    <w:rsid w:val="008A7EA6"/>
    <w:rsid w:val="008C3A88"/>
    <w:rsid w:val="008E1090"/>
    <w:rsid w:val="00900786"/>
    <w:rsid w:val="00946D99"/>
    <w:rsid w:val="009546B3"/>
    <w:rsid w:val="0095673C"/>
    <w:rsid w:val="009637E1"/>
    <w:rsid w:val="00971171"/>
    <w:rsid w:val="0097568C"/>
    <w:rsid w:val="0097768D"/>
    <w:rsid w:val="009B483B"/>
    <w:rsid w:val="009B4926"/>
    <w:rsid w:val="009C4A1A"/>
    <w:rsid w:val="009D1D43"/>
    <w:rsid w:val="00A26257"/>
    <w:rsid w:val="00A867A7"/>
    <w:rsid w:val="00AA3304"/>
    <w:rsid w:val="00AA3606"/>
    <w:rsid w:val="00AC1973"/>
    <w:rsid w:val="00B03DA4"/>
    <w:rsid w:val="00B076E8"/>
    <w:rsid w:val="00B1167A"/>
    <w:rsid w:val="00B464F6"/>
    <w:rsid w:val="00B51E7A"/>
    <w:rsid w:val="00B76A35"/>
    <w:rsid w:val="00B81F1B"/>
    <w:rsid w:val="00BA0BF6"/>
    <w:rsid w:val="00BC1B0A"/>
    <w:rsid w:val="00BE1354"/>
    <w:rsid w:val="00BE5D62"/>
    <w:rsid w:val="00C1431C"/>
    <w:rsid w:val="00C3558D"/>
    <w:rsid w:val="00C41A2A"/>
    <w:rsid w:val="00C80006"/>
    <w:rsid w:val="00C812DA"/>
    <w:rsid w:val="00C91DC6"/>
    <w:rsid w:val="00C94D10"/>
    <w:rsid w:val="00C96C9F"/>
    <w:rsid w:val="00CB1CED"/>
    <w:rsid w:val="00CC1F6D"/>
    <w:rsid w:val="00CC2C91"/>
    <w:rsid w:val="00CD1098"/>
    <w:rsid w:val="00CF1E6F"/>
    <w:rsid w:val="00CF6EA7"/>
    <w:rsid w:val="00D01FFB"/>
    <w:rsid w:val="00D03D00"/>
    <w:rsid w:val="00D200E2"/>
    <w:rsid w:val="00D260CD"/>
    <w:rsid w:val="00D74C06"/>
    <w:rsid w:val="00D8051B"/>
    <w:rsid w:val="00D85FE9"/>
    <w:rsid w:val="00D97DC7"/>
    <w:rsid w:val="00DB5F5D"/>
    <w:rsid w:val="00DD068D"/>
    <w:rsid w:val="00DF51CD"/>
    <w:rsid w:val="00E048F4"/>
    <w:rsid w:val="00E061CA"/>
    <w:rsid w:val="00E16372"/>
    <w:rsid w:val="00E253AF"/>
    <w:rsid w:val="00E271EE"/>
    <w:rsid w:val="00E43EC0"/>
    <w:rsid w:val="00E450E1"/>
    <w:rsid w:val="00E63ABB"/>
    <w:rsid w:val="00E930C7"/>
    <w:rsid w:val="00ED3A12"/>
    <w:rsid w:val="00EF5664"/>
    <w:rsid w:val="00EF5DCA"/>
    <w:rsid w:val="00F339F3"/>
    <w:rsid w:val="00F60200"/>
    <w:rsid w:val="00F75EC7"/>
    <w:rsid w:val="00FB6C94"/>
    <w:rsid w:val="00FB75AD"/>
    <w:rsid w:val="00FD1E25"/>
    <w:rsid w:val="00FF04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1CED"/>
    <w:pPr>
      <w:ind w:left="720"/>
      <w:contextualSpacing/>
    </w:pPr>
  </w:style>
  <w:style w:type="paragraph" w:styleId="Encabezado">
    <w:name w:val="header"/>
    <w:basedOn w:val="Normal"/>
    <w:link w:val="EncabezadoCar"/>
    <w:uiPriority w:val="99"/>
    <w:unhideWhenUsed/>
    <w:rsid w:val="001F1B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1B50"/>
  </w:style>
  <w:style w:type="paragraph" w:styleId="Piedepgina">
    <w:name w:val="footer"/>
    <w:basedOn w:val="Normal"/>
    <w:link w:val="PiedepginaCar"/>
    <w:uiPriority w:val="99"/>
    <w:unhideWhenUsed/>
    <w:rsid w:val="001F1B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1B50"/>
  </w:style>
  <w:style w:type="paragraph" w:styleId="Textonotapie">
    <w:name w:val="footnote text"/>
    <w:basedOn w:val="Normal"/>
    <w:link w:val="TextonotapieCar"/>
    <w:uiPriority w:val="99"/>
    <w:semiHidden/>
    <w:unhideWhenUsed/>
    <w:rsid w:val="00DB5F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5F5D"/>
    <w:rPr>
      <w:sz w:val="20"/>
      <w:szCs w:val="20"/>
    </w:rPr>
  </w:style>
  <w:style w:type="character" w:styleId="Refdenotaalpie">
    <w:name w:val="footnote reference"/>
    <w:basedOn w:val="Fuentedeprrafopredeter"/>
    <w:uiPriority w:val="99"/>
    <w:semiHidden/>
    <w:unhideWhenUsed/>
    <w:rsid w:val="00DB5F5D"/>
    <w:rPr>
      <w:vertAlign w:val="superscript"/>
    </w:rPr>
  </w:style>
  <w:style w:type="paragraph" w:styleId="Sinespaciado">
    <w:name w:val="No Spacing"/>
    <w:uiPriority w:val="1"/>
    <w:qFormat/>
    <w:rsid w:val="00FD1E2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B1CED"/>
    <w:pPr>
      <w:ind w:left="720"/>
      <w:contextualSpacing/>
    </w:pPr>
  </w:style>
  <w:style w:type="paragraph" w:styleId="Encabezado">
    <w:name w:val="header"/>
    <w:basedOn w:val="Normal"/>
    <w:link w:val="EncabezadoCar"/>
    <w:uiPriority w:val="99"/>
    <w:unhideWhenUsed/>
    <w:rsid w:val="001F1B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1B50"/>
  </w:style>
  <w:style w:type="paragraph" w:styleId="Piedepgina">
    <w:name w:val="footer"/>
    <w:basedOn w:val="Normal"/>
    <w:link w:val="PiedepginaCar"/>
    <w:uiPriority w:val="99"/>
    <w:unhideWhenUsed/>
    <w:rsid w:val="001F1B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1B50"/>
  </w:style>
  <w:style w:type="paragraph" w:styleId="Textonotapie">
    <w:name w:val="footnote text"/>
    <w:basedOn w:val="Normal"/>
    <w:link w:val="TextonotapieCar"/>
    <w:uiPriority w:val="99"/>
    <w:semiHidden/>
    <w:unhideWhenUsed/>
    <w:rsid w:val="00DB5F5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5F5D"/>
    <w:rPr>
      <w:sz w:val="20"/>
      <w:szCs w:val="20"/>
    </w:rPr>
  </w:style>
  <w:style w:type="character" w:styleId="Refdenotaalpie">
    <w:name w:val="footnote reference"/>
    <w:basedOn w:val="Fuentedeprrafopredeter"/>
    <w:uiPriority w:val="99"/>
    <w:semiHidden/>
    <w:unhideWhenUsed/>
    <w:rsid w:val="00DB5F5D"/>
    <w:rPr>
      <w:vertAlign w:val="superscript"/>
    </w:rPr>
  </w:style>
  <w:style w:type="paragraph" w:styleId="Sinespaciado">
    <w:name w:val="No Spacing"/>
    <w:uiPriority w:val="1"/>
    <w:qFormat/>
    <w:rsid w:val="00FD1E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CDA76-0CF4-4C13-A0E8-C4005826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49</Pages>
  <Words>13686</Words>
  <Characters>75276</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88785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Juan P</cp:lastModifiedBy>
  <cp:revision>16</cp:revision>
  <dcterms:created xsi:type="dcterms:W3CDTF">2015-06-24T08:48:00Z</dcterms:created>
  <dcterms:modified xsi:type="dcterms:W3CDTF">2015-07-29T06:57:00Z</dcterms:modified>
</cp:coreProperties>
</file>