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06A5" w:rsidRDefault="008E1780" w:rsidP="00D406A5">
      <w:r>
        <w:rPr>
          <w:noProof/>
        </w:rPr>
        <mc:AlternateContent>
          <mc:Choice Requires="wps">
            <w:drawing>
              <wp:anchor distT="0" distB="0" distL="114300" distR="114300" simplePos="0" relativeHeight="251676672" behindDoc="0" locked="0" layoutInCell="0" allowOverlap="1" wp14:anchorId="72F429ED" wp14:editId="1BF964BB">
                <wp:simplePos x="0" y="0"/>
                <wp:positionH relativeFrom="column">
                  <wp:posOffset>1320165</wp:posOffset>
                </wp:positionH>
                <wp:positionV relativeFrom="paragraph">
                  <wp:posOffset>3497580</wp:posOffset>
                </wp:positionV>
                <wp:extent cx="4730115" cy="182880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79EE" w:rsidRPr="00181EDB" w:rsidRDefault="00E279EE" w:rsidP="00982AF2">
                            <w:pPr>
                              <w:pStyle w:val="Textoindependiente2"/>
                              <w:rPr>
                                <w:b/>
                                <w:sz w:val="64"/>
                                <w:lang w:val="es-ES_trad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F429ED" id="_x0000_t202" coordsize="21600,21600" o:spt="202" path="m,l,21600r21600,l21600,xe">
                <v:stroke joinstyle="miter"/>
                <v:path gradientshapeok="t" o:connecttype="rect"/>
              </v:shapetype>
              <v:shape id="Text Box 7" o:spid="_x0000_s1026" type="#_x0000_t202" style="position:absolute;margin-left:103.95pt;margin-top:275.4pt;width:372.45pt;height:2in;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AtShQIAABA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" o:allowincell="f" stroked="f">
                <v:textbox>
                  <w:txbxContent>
                    <w:p w:rsidR="00E279EE" w:rsidRPr="00181EDB" w:rsidRDefault="00E279EE" w:rsidP="00982AF2">
                      <w:pPr>
                        <w:pStyle w:val="Textoindependiente2"/>
                        <w:rPr>
                          <w:b/>
                          <w:sz w:val="64"/>
                          <w:lang w:val="es-ES_tradnl"/>
                        </w:rPr>
                      </w:pPr>
                    </w:p>
                  </w:txbxContent>
                </v:textbox>
              </v:shape>
            </w:pict>
          </mc:Fallback>
        </mc:AlternateContent>
      </w:r>
      <w:r>
        <w:rPr>
          <w:noProof/>
        </w:rPr>
        <mc:AlternateContent>
          <mc:Choice Requires="wps">
            <w:drawing>
              <wp:anchor distT="0" distB="0" distL="114300" distR="114300" simplePos="0" relativeHeight="251585536" behindDoc="0" locked="0" layoutInCell="0" allowOverlap="1" wp14:anchorId="499A28AF" wp14:editId="3A1797BE">
                <wp:simplePos x="0" y="0"/>
                <wp:positionH relativeFrom="column">
                  <wp:posOffset>1215390</wp:posOffset>
                </wp:positionH>
                <wp:positionV relativeFrom="paragraph">
                  <wp:posOffset>1306830</wp:posOffset>
                </wp:positionV>
                <wp:extent cx="5113020" cy="1645920"/>
                <wp:effectExtent l="0" t="0"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79EE" w:rsidRDefault="00E279EE">
                            <w:pPr>
                              <w:pStyle w:val="Textoindependiente"/>
                              <w:rPr>
                                <w:rFonts w:ascii="Arial" w:hAnsi="Arial"/>
                                <w:sz w:val="44"/>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9A28AF" id="Text Box 6" o:spid="_x0000_s1027" type="#_x0000_t202" style="position:absolute;margin-left:95.7pt;margin-top:102.9pt;width:402.6pt;height:129.6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" o:allowincell="f" stroked="f">
                <v:textbox>
                  <w:txbxContent>
                    <w:p w:rsidR="00E279EE" w:rsidRDefault="00E279EE">
                      <w:pPr>
                        <w:pStyle w:val="Textoindependiente"/>
                        <w:rPr>
                          <w:rFonts w:ascii="Arial" w:hAnsi="Arial"/>
                          <w:sz w:val="44"/>
                          <w:u w:val="single"/>
                        </w:rPr>
                      </w:pPr>
                    </w:p>
                  </w:txbxContent>
                </v:textbox>
              </v:shape>
            </w:pict>
          </mc:Fallback>
        </mc:AlternateContent>
      </w:r>
      <w:r w:rsidR="00D406A5">
        <w:rPr>
          <w:noProof/>
        </w:rPr>
        <mc:AlternateContent>
          <mc:Choice Requires="wps">
            <w:drawing>
              <wp:anchor distT="0" distB="0" distL="114300" distR="114300" simplePos="0" relativeHeight="251699200" behindDoc="0" locked="0" layoutInCell="0" allowOverlap="1" wp14:anchorId="75732FE4" wp14:editId="5F012AC6">
                <wp:simplePos x="0" y="0"/>
                <wp:positionH relativeFrom="column">
                  <wp:posOffset>-1080135</wp:posOffset>
                </wp:positionH>
                <wp:positionV relativeFrom="paragraph">
                  <wp:posOffset>-26670</wp:posOffset>
                </wp:positionV>
                <wp:extent cx="2295525" cy="10496550"/>
                <wp:effectExtent l="0" t="0" r="9525"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496550"/>
                        </a:xfrm>
                        <a:prstGeom prst="rect">
                          <a:avLst/>
                        </a:prstGeom>
                        <a:solidFill>
                          <a:srgbClr val="EA0000"/>
                        </a:solidFill>
                        <a:ln>
                          <a:noFill/>
                        </a:ln>
                        <a:extLst/>
                      </wps:spPr>
                      <wps:txbx>
                        <w:txbxContent>
                          <w:p w:rsidR="00E279EE" w:rsidRPr="00B9129F" w:rsidRDefault="00E279EE" w:rsidP="00D406A5">
                            <w:pPr>
                              <w:pStyle w:val="Ttulo2"/>
                              <w:jc w:val="center"/>
                              <w:rPr>
                                <w:color w:val="F79646" w:themeColor="accent6"/>
                                <w:sz w:val="72"/>
                              </w:rPr>
                            </w:pPr>
                            <w:r w:rsidRPr="00B9129F">
                              <w:rPr>
                                <w:color w:val="F79646" w:themeColor="accent6"/>
                                <w:sz w:val="72"/>
                              </w:rPr>
                              <w:t>Facultad de Ciencias Sociales y Jurídicas</w:t>
                            </w:r>
                          </w:p>
                          <w:p w:rsidR="00E279EE" w:rsidRPr="00D406A5" w:rsidRDefault="00E279EE"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Pr>
                                <w:rFonts w:ascii="Arial Narrow" w:hAnsi="Arial Narrow"/>
                                <w14:textFill>
                                  <w14:solidFill>
                                    <w14:srgbClr w14:val="000000"/>
                                  </w14:solidFill>
                                </w14:textFill>
                              </w:rPr>
                              <w:t>Grado en Gestión y Administración Pública</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732FE4" id="Text Box 2" o:spid="_x0000_s1028" type="#_x0000_t202" style="position:absolute;margin-left:-85.05pt;margin-top:-2.1pt;width:180.75pt;height:82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" o:allowincell="f" fillcolor="#ea0000" stroked="f">
                <v:textbox style="layout-flow:vertical;mso-layout-flow-alt:bottom-to-top">
                  <w:txbxContent>
                    <w:p w:rsidR="00E279EE" w:rsidRPr="00B9129F" w:rsidRDefault="00E279EE" w:rsidP="00D406A5">
                      <w:pPr>
                        <w:pStyle w:val="Ttulo2"/>
                        <w:jc w:val="center"/>
                        <w:rPr>
                          <w:color w:val="F79646" w:themeColor="accent6"/>
                          <w:sz w:val="72"/>
                        </w:rPr>
                      </w:pPr>
                      <w:r w:rsidRPr="00B9129F">
                        <w:rPr>
                          <w:color w:val="F79646" w:themeColor="accent6"/>
                          <w:sz w:val="72"/>
                        </w:rPr>
                        <w:t>Facultad de Ciencias Sociales y Jurídicas</w:t>
                      </w:r>
                    </w:p>
                    <w:p w:rsidR="00E279EE" w:rsidRPr="00D406A5" w:rsidRDefault="00E279EE"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Pr>
                          <w:rFonts w:ascii="Arial Narrow" w:hAnsi="Arial Narrow"/>
                          <w14:textFill>
                            <w14:solidFill>
                              <w14:srgbClr w14:val="000000"/>
                            </w14:solidFill>
                          </w14:textFill>
                        </w:rPr>
                        <w:t>Grado en Gestión y Administración Pública</w:t>
                      </w:r>
                    </w:p>
                  </w:txbxContent>
                </v:textbox>
              </v:shape>
            </w:pict>
          </mc:Fallback>
        </mc:AlternateContent>
      </w:r>
    </w:p>
    <w:p w:rsidR="00D406A5" w:rsidRPr="00B9129F" w:rsidRDefault="00D406A5" w:rsidP="00D406A5"/>
    <w:p w:rsidR="00D406A5" w:rsidRPr="00B9129F" w:rsidRDefault="00D406A5" w:rsidP="00D406A5"/>
    <w:p w:rsidR="00D406A5" w:rsidRPr="00B9129F" w:rsidRDefault="00A87047" w:rsidP="00D406A5">
      <w:r>
        <w:rPr>
          <w:noProof/>
        </w:rPr>
        <w:drawing>
          <wp:anchor distT="0" distB="0" distL="114300" distR="114300" simplePos="0" relativeHeight="251658240" behindDoc="0" locked="0" layoutInCell="0" allowOverlap="1" wp14:anchorId="4AD2CBF7" wp14:editId="13E79B00">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sidR="00D406A5">
        <w:rPr>
          <w:noProof/>
        </w:rPr>
        <mc:AlternateContent>
          <mc:Choice Requires="wps">
            <w:drawing>
              <wp:anchor distT="0" distB="0" distL="114300" distR="114300" simplePos="0" relativeHeight="251667456" behindDoc="0" locked="0" layoutInCell="0" allowOverlap="1" wp14:anchorId="3732016D" wp14:editId="146D95CE">
                <wp:simplePos x="0" y="0"/>
                <wp:positionH relativeFrom="column">
                  <wp:posOffset>1320165</wp:posOffset>
                </wp:positionH>
                <wp:positionV relativeFrom="paragraph">
                  <wp:posOffset>3478530</wp:posOffset>
                </wp:positionV>
                <wp:extent cx="4730115" cy="1828800"/>
                <wp:effectExtent l="0" t="0" r="0" b="0"/>
                <wp:wrapNone/>
                <wp:docPr id="1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79EE" w:rsidRPr="00181EDB" w:rsidRDefault="00E279EE" w:rsidP="00D406A5">
                            <w:pPr>
                              <w:pStyle w:val="Textoindependiente2"/>
                              <w:rPr>
                                <w:b/>
                                <w:sz w:val="64"/>
                                <w:lang w:val="es-ES_tradnl"/>
                              </w:rPr>
                            </w:pPr>
                            <w:r>
                              <w:rPr>
                                <w:b/>
                                <w:sz w:val="64"/>
                                <w:lang w:val="es-ES_tradnl"/>
                              </w:rPr>
                              <w:t>título del trabajo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32016D" id="_x0000_s1029" type="#_x0000_t202" style="position:absolute;margin-left:103.95pt;margin-top:273.9pt;width:372.45pt;height:2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" o:allowincell="f" stroked="f">
                <v:textbox>
                  <w:txbxContent>
                    <w:p w:rsidR="00E279EE" w:rsidRPr="00181EDB" w:rsidRDefault="00E279EE" w:rsidP="00D406A5">
                      <w:pPr>
                        <w:pStyle w:val="Textoindependiente2"/>
                        <w:rPr>
                          <w:b/>
                          <w:sz w:val="64"/>
                          <w:lang w:val="es-ES_tradnl"/>
                        </w:rPr>
                      </w:pPr>
                      <w:r>
                        <w:rPr>
                          <w:b/>
                          <w:sz w:val="64"/>
                          <w:lang w:val="es-ES_tradnl"/>
                        </w:rPr>
                        <w:t>título del trabajo</w:t>
                      </w:r>
                    </w:p>
                  </w:txbxContent>
                </v:textbox>
              </v:shape>
            </w:pict>
          </mc:Fallback>
        </mc:AlternateContent>
      </w:r>
    </w:p>
    <w:p w:rsidR="00D406A5" w:rsidRPr="00B9129F" w:rsidRDefault="00D81A2B" w:rsidP="00D406A5">
      <w:r>
        <w:rPr>
          <w:noProof/>
        </w:rPr>
        <mc:AlternateContent>
          <mc:Choice Requires="wps">
            <w:drawing>
              <wp:anchor distT="0" distB="0" distL="114300" distR="114300" simplePos="0" relativeHeight="251665408" behindDoc="0" locked="0" layoutInCell="0" allowOverlap="1" wp14:anchorId="4B18C631" wp14:editId="10783526">
                <wp:simplePos x="0" y="0"/>
                <wp:positionH relativeFrom="column">
                  <wp:posOffset>1251585</wp:posOffset>
                </wp:positionH>
                <wp:positionV relativeFrom="paragraph">
                  <wp:posOffset>1139190</wp:posOffset>
                </wp:positionV>
                <wp:extent cx="5074920" cy="1645920"/>
                <wp:effectExtent l="0" t="0" r="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749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79EE" w:rsidRDefault="00E279EE" w:rsidP="00D406A5">
                            <w:pPr>
                              <w:pStyle w:val="Ttulo6"/>
                              <w:rPr>
                                <w:b/>
                              </w:rPr>
                            </w:pPr>
                            <w:r>
                              <w:rPr>
                                <w:b/>
                              </w:rPr>
                              <w:t>Universidad de Jaén</w:t>
                            </w:r>
                          </w:p>
                          <w:p w:rsidR="00E279EE" w:rsidRDefault="00E279EE" w:rsidP="00D406A5">
                            <w:pPr>
                              <w:pStyle w:val="Ttulo3"/>
                            </w:pPr>
                            <w:r>
                              <w:t>Facultad de Ciencias Sociales y Jurídicas</w:t>
                            </w:r>
                          </w:p>
                          <w:p w:rsidR="00E279EE" w:rsidRDefault="00E279EE" w:rsidP="00D406A5"/>
                          <w:p w:rsidR="00E279EE" w:rsidRDefault="00E279EE" w:rsidP="00D406A5"/>
                          <w:p w:rsidR="00E279EE" w:rsidRDefault="00E279EE" w:rsidP="00830B7A">
                            <w:pPr>
                              <w:jc w:val="center"/>
                            </w:pPr>
                          </w:p>
                          <w:p w:rsidR="00E279EE" w:rsidRDefault="00E279EE" w:rsidP="00D406A5"/>
                          <w:p w:rsidR="00E279EE" w:rsidRDefault="00E279EE" w:rsidP="00D406A5"/>
                          <w:p w:rsidR="00E279EE" w:rsidRDefault="00E279EE" w:rsidP="00D406A5">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18C631" id="_x0000_s1030" type="#_x0000_t202" style="position:absolute;margin-left:98.55pt;margin-top:89.7pt;width:399.6pt;height:129.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" o:allowincell="f" stroked="f">
                <v:textbox>
                  <w:txbxContent>
                    <w:p w:rsidR="00E279EE" w:rsidRDefault="00E279EE" w:rsidP="00D406A5">
                      <w:pPr>
                        <w:pStyle w:val="Ttulo6"/>
                        <w:rPr>
                          <w:b/>
                        </w:rPr>
                      </w:pPr>
                      <w:r>
                        <w:rPr>
                          <w:b/>
                        </w:rPr>
                        <w:t>Universidad de Jaén</w:t>
                      </w:r>
                    </w:p>
                    <w:p w:rsidR="00E279EE" w:rsidRDefault="00E279EE" w:rsidP="00D406A5">
                      <w:pPr>
                        <w:pStyle w:val="Ttulo3"/>
                      </w:pPr>
                      <w:r>
                        <w:t>Facultad de Ciencias Sociales y Jurídicas</w:t>
                      </w:r>
                    </w:p>
                    <w:p w:rsidR="00E279EE" w:rsidRDefault="00E279EE" w:rsidP="00D406A5"/>
                    <w:p w:rsidR="00E279EE" w:rsidRDefault="00E279EE" w:rsidP="00D406A5"/>
                    <w:p w:rsidR="00E279EE" w:rsidRDefault="00E279EE" w:rsidP="00830B7A">
                      <w:pPr>
                        <w:jc w:val="center"/>
                      </w:pPr>
                    </w:p>
                    <w:p w:rsidR="00E279EE" w:rsidRDefault="00E279EE" w:rsidP="00D406A5"/>
                    <w:p w:rsidR="00E279EE" w:rsidRDefault="00E279EE" w:rsidP="00D406A5"/>
                    <w:p w:rsidR="00E279EE" w:rsidRDefault="00E279EE" w:rsidP="00D406A5">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D406A5" w:rsidP="00D406A5">
      <w:pPr>
        <w:tabs>
          <w:tab w:val="left" w:pos="7215"/>
        </w:tabs>
      </w:pPr>
      <w:r>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CA139F" w:rsidP="00D406A5">
      <w:pPr>
        <w:jc w:val="right"/>
      </w:pPr>
      <w:r>
        <w:rPr>
          <w:noProof/>
        </w:rPr>
        <mc:AlternateContent>
          <mc:Choice Requires="wps">
            <w:drawing>
              <wp:anchor distT="0" distB="0" distL="114300" distR="114300" simplePos="0" relativeHeight="251697152" behindDoc="0" locked="0" layoutInCell="0" allowOverlap="1" wp14:anchorId="7DC08B67" wp14:editId="5EB0F271">
                <wp:simplePos x="0" y="0"/>
                <wp:positionH relativeFrom="column">
                  <wp:posOffset>1514475</wp:posOffset>
                </wp:positionH>
                <wp:positionV relativeFrom="paragraph">
                  <wp:posOffset>61595</wp:posOffset>
                </wp:positionV>
                <wp:extent cx="4528185" cy="2834640"/>
                <wp:effectExtent l="0" t="0" r="5715" b="381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79EE" w:rsidRPr="00181EDB" w:rsidRDefault="00E279EE" w:rsidP="007B4378">
                            <w:pPr>
                              <w:pStyle w:val="Textoindependiente2"/>
                              <w:rPr>
                                <w:b/>
                                <w:sz w:val="64"/>
                                <w:lang w:val="es-ES_tradnl"/>
                              </w:rPr>
                            </w:pPr>
                            <w:r>
                              <w:rPr>
                                <w:b/>
                                <w:sz w:val="64"/>
                                <w:lang w:val="es-ES_tradnl"/>
                              </w:rPr>
                              <w:t>La Responsabilidad Patrimonial de la Administración Pública en Materia Sanitaria</w:t>
                            </w:r>
                          </w:p>
                          <w:p w:rsidR="00E279EE" w:rsidRPr="007B4378" w:rsidRDefault="00E279EE" w:rsidP="007B4378">
                            <w:pPr>
                              <w:pStyle w:val="Ttulo4"/>
                              <w:rPr>
                                <w:b/>
                                <w:sz w:val="64"/>
                                <w:szCs w:val="6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C08B67" id="Text Box 8" o:spid="_x0000_s1031" type="#_x0000_t202" style="position:absolute;left:0;text-align:left;margin-left:119.25pt;margin-top:4.85pt;width:356.55pt;height:223.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" o:allowincell="f" stroked="f">
                <v:textbox>
                  <w:txbxContent>
                    <w:p w:rsidR="00E279EE" w:rsidRPr="00181EDB" w:rsidRDefault="00E279EE" w:rsidP="007B4378">
                      <w:pPr>
                        <w:pStyle w:val="Textoindependiente2"/>
                        <w:rPr>
                          <w:b/>
                          <w:sz w:val="64"/>
                          <w:lang w:val="es-ES_tradnl"/>
                        </w:rPr>
                      </w:pPr>
                      <w:r>
                        <w:rPr>
                          <w:b/>
                          <w:sz w:val="64"/>
                          <w:lang w:val="es-ES_tradnl"/>
                        </w:rPr>
                        <w:t>La Responsabilidad Patrimonial de la Administración Pública en Materia Sanitaria</w:t>
                      </w:r>
                    </w:p>
                    <w:p w:rsidR="00E279EE" w:rsidRPr="007B4378" w:rsidRDefault="00E279EE" w:rsidP="007B4378">
                      <w:pPr>
                        <w:pStyle w:val="Ttulo4"/>
                        <w:rPr>
                          <w:b/>
                          <w:sz w:val="64"/>
                          <w:szCs w:val="64"/>
                        </w:rPr>
                      </w:pP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2F653E" w:rsidP="00D406A5">
      <w:pPr>
        <w:jc w:val="right"/>
      </w:pPr>
      <w:r>
        <w:rPr>
          <w:noProof/>
        </w:rPr>
        <mc:AlternateContent>
          <mc:Choice Requires="wps">
            <w:drawing>
              <wp:anchor distT="0" distB="0" distL="114300" distR="114300" simplePos="0" relativeHeight="251669504" behindDoc="0" locked="0" layoutInCell="0" allowOverlap="1" wp14:anchorId="775A6F24" wp14:editId="6366A8FE">
                <wp:simplePos x="0" y="0"/>
                <wp:positionH relativeFrom="column">
                  <wp:posOffset>1579245</wp:posOffset>
                </wp:positionH>
                <wp:positionV relativeFrom="paragraph">
                  <wp:posOffset>93980</wp:posOffset>
                </wp:positionV>
                <wp:extent cx="4528185" cy="2948940"/>
                <wp:effectExtent l="0" t="0" r="5715" b="381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9489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79EE" w:rsidRDefault="00E279EE" w:rsidP="00D406A5">
                            <w:pPr>
                              <w:pStyle w:val="Ttulo5"/>
                              <w:jc w:val="center"/>
                              <w:rPr>
                                <w:u w:val="none"/>
                              </w:rPr>
                            </w:pPr>
                            <w:r>
                              <w:rPr>
                                <w:u w:val="none"/>
                              </w:rPr>
                              <w:t>Alumno:</w:t>
                            </w:r>
                            <w:r>
                              <w:rPr>
                                <w:u w:val="none"/>
                              </w:rPr>
                              <w:tab/>
                              <w:t>ROBERTO DÍAZ RAMOS</w:t>
                            </w:r>
                          </w:p>
                          <w:p w:rsidR="00E279EE" w:rsidRDefault="00E279EE" w:rsidP="00680FC7">
                            <w:pPr>
                              <w:jc w:val="center"/>
                              <w:rPr>
                                <w:rFonts w:ascii="Arial" w:hAnsi="Arial" w:cs="Arial"/>
                                <w:b/>
                                <w:sz w:val="32"/>
                                <w:szCs w:val="32"/>
                              </w:rPr>
                            </w:pPr>
                          </w:p>
                          <w:p w:rsidR="00E279EE" w:rsidRPr="00680FC7" w:rsidRDefault="00E279EE" w:rsidP="00680FC7">
                            <w:pPr>
                              <w:jc w:val="center"/>
                              <w:rPr>
                                <w:rFonts w:ascii="Arial" w:hAnsi="Arial" w:cs="Arial"/>
                                <w:b/>
                                <w:sz w:val="32"/>
                                <w:szCs w:val="32"/>
                              </w:rPr>
                            </w:pPr>
                            <w:r w:rsidRPr="00680FC7">
                              <w:rPr>
                                <w:rFonts w:ascii="Arial" w:hAnsi="Arial" w:cs="Arial"/>
                                <w:b/>
                                <w:sz w:val="32"/>
                                <w:szCs w:val="32"/>
                              </w:rPr>
                              <w:t>Tutora: L</w:t>
                            </w:r>
                            <w:r>
                              <w:rPr>
                                <w:rFonts w:ascii="Arial" w:hAnsi="Arial" w:cs="Arial"/>
                                <w:b/>
                                <w:sz w:val="32"/>
                                <w:szCs w:val="32"/>
                              </w:rPr>
                              <w:t>OURDES YOLANDA MONTAÑÉS CASTILLO</w:t>
                            </w: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pStyle w:val="Ttulo4"/>
                              <w:rPr>
                                <w:b/>
                                <w:sz w:val="36"/>
                              </w:rPr>
                            </w:pPr>
                            <w:r>
                              <w:rPr>
                                <w:b/>
                                <w:sz w:val="36"/>
                              </w:rPr>
                              <w:t>JUNIO,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5A6F24" id="_x0000_s1032" type="#_x0000_t202" style="position:absolute;left:0;text-align:left;margin-left:124.35pt;margin-top:7.4pt;width:356.55pt;height:232.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" o:allowincell="f" stroked="f">
                <v:textbox>
                  <w:txbxContent>
                    <w:p w:rsidR="00E279EE" w:rsidRDefault="00E279EE" w:rsidP="00D406A5">
                      <w:pPr>
                        <w:pStyle w:val="Ttulo5"/>
                        <w:jc w:val="center"/>
                        <w:rPr>
                          <w:u w:val="none"/>
                        </w:rPr>
                      </w:pPr>
                      <w:r>
                        <w:rPr>
                          <w:u w:val="none"/>
                        </w:rPr>
                        <w:t>Alumno:</w:t>
                      </w:r>
                      <w:r>
                        <w:rPr>
                          <w:u w:val="none"/>
                        </w:rPr>
                        <w:tab/>
                        <w:t>ROBERTO DÍAZ RAMOS</w:t>
                      </w:r>
                    </w:p>
                    <w:p w:rsidR="00E279EE" w:rsidRDefault="00E279EE" w:rsidP="00680FC7">
                      <w:pPr>
                        <w:jc w:val="center"/>
                        <w:rPr>
                          <w:rFonts w:ascii="Arial" w:hAnsi="Arial" w:cs="Arial"/>
                          <w:b/>
                          <w:sz w:val="32"/>
                          <w:szCs w:val="32"/>
                        </w:rPr>
                      </w:pPr>
                    </w:p>
                    <w:p w:rsidR="00E279EE" w:rsidRPr="00680FC7" w:rsidRDefault="00E279EE" w:rsidP="00680FC7">
                      <w:pPr>
                        <w:jc w:val="center"/>
                        <w:rPr>
                          <w:rFonts w:ascii="Arial" w:hAnsi="Arial" w:cs="Arial"/>
                          <w:b/>
                          <w:sz w:val="32"/>
                          <w:szCs w:val="32"/>
                        </w:rPr>
                      </w:pPr>
                      <w:r w:rsidRPr="00680FC7">
                        <w:rPr>
                          <w:rFonts w:ascii="Arial" w:hAnsi="Arial" w:cs="Arial"/>
                          <w:b/>
                          <w:sz w:val="32"/>
                          <w:szCs w:val="32"/>
                        </w:rPr>
                        <w:t>Tutora: L</w:t>
                      </w:r>
                      <w:r>
                        <w:rPr>
                          <w:rFonts w:ascii="Arial" w:hAnsi="Arial" w:cs="Arial"/>
                          <w:b/>
                          <w:sz w:val="32"/>
                          <w:szCs w:val="32"/>
                        </w:rPr>
                        <w:t>OURDES YOLANDA MONTAÑÉS CASTILLO</w:t>
                      </w: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jc w:val="center"/>
                        <w:rPr>
                          <w:rFonts w:ascii="Arial" w:hAnsi="Arial"/>
                          <w:sz w:val="32"/>
                        </w:rPr>
                      </w:pPr>
                    </w:p>
                    <w:p w:rsidR="00E279EE" w:rsidRDefault="00E279EE" w:rsidP="00D406A5">
                      <w:pPr>
                        <w:pStyle w:val="Ttulo4"/>
                        <w:rPr>
                          <w:b/>
                          <w:sz w:val="36"/>
                        </w:rPr>
                      </w:pPr>
                      <w:r>
                        <w:rPr>
                          <w:b/>
                          <w:sz w:val="36"/>
                        </w:rPr>
                        <w:t>JUNIO, 2017</w:t>
                      </w: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A87047" w:rsidRDefault="00A87047" w:rsidP="007B4378">
      <w:pPr>
        <w:sectPr w:rsidR="00A87047" w:rsidSect="00CA139F">
          <w:footerReference w:type="default" r:id="rId8"/>
          <w:pgSz w:w="11906" w:h="16838"/>
          <w:pgMar w:top="238" w:right="1701" w:bottom="249" w:left="1701" w:header="720" w:footer="720" w:gutter="0"/>
          <w:pgNumType w:start="2"/>
          <w:cols w:space="720"/>
          <w:docGrid w:linePitch="272"/>
        </w:sectPr>
      </w:pPr>
    </w:p>
    <w:p w:rsidR="001B6115" w:rsidRPr="00FA4A82" w:rsidRDefault="00F53F9B" w:rsidP="00FA4A82">
      <w:pPr>
        <w:spacing w:line="360" w:lineRule="auto"/>
        <w:jc w:val="center"/>
        <w:rPr>
          <w:b/>
          <w:i/>
          <w:sz w:val="24"/>
          <w:szCs w:val="24"/>
          <w:u w:val="single"/>
        </w:rPr>
      </w:pPr>
      <w:r w:rsidRPr="00FA4A82">
        <w:rPr>
          <w:b/>
          <w:i/>
          <w:sz w:val="24"/>
          <w:szCs w:val="24"/>
          <w:u w:val="single"/>
        </w:rPr>
        <w:lastRenderedPageBreak/>
        <w:t>ABSTRACT</w:t>
      </w:r>
    </w:p>
    <w:p w:rsidR="00CA139F" w:rsidRDefault="00FA4A82" w:rsidP="00F53F9B">
      <w:pPr>
        <w:spacing w:line="360" w:lineRule="auto"/>
        <w:ind w:firstLine="709"/>
        <w:jc w:val="both"/>
        <w:rPr>
          <w:sz w:val="24"/>
          <w:szCs w:val="24"/>
        </w:rPr>
      </w:pPr>
      <w:r>
        <w:rPr>
          <w:sz w:val="24"/>
          <w:szCs w:val="24"/>
        </w:rPr>
        <w:t>El trabajo sobre el que nos vamos a ceñir, trata sobre la responsabilidad patrimonial de las Administraciones Públicas de manera general, en el cual realizamos un análisis detallado de la responsabilidad patrimonial misma en materia sanitaria.</w:t>
      </w:r>
    </w:p>
    <w:p w:rsidR="00FA4A82" w:rsidRDefault="00FA4A82" w:rsidP="00F53F9B">
      <w:pPr>
        <w:spacing w:line="360" w:lineRule="auto"/>
        <w:ind w:firstLine="709"/>
        <w:jc w:val="both"/>
        <w:rPr>
          <w:sz w:val="24"/>
          <w:szCs w:val="24"/>
        </w:rPr>
      </w:pPr>
      <w:r>
        <w:rPr>
          <w:sz w:val="24"/>
          <w:szCs w:val="24"/>
        </w:rPr>
        <w:t>Se trata de un tema de interés general en la actu</w:t>
      </w:r>
      <w:r w:rsidR="00D14B04">
        <w:rPr>
          <w:sz w:val="24"/>
          <w:szCs w:val="24"/>
        </w:rPr>
        <w:t>alidad, sin embargo, y a pesar de la aparente claridad en su formulac</w:t>
      </w:r>
      <w:r w:rsidR="00150B3A">
        <w:rPr>
          <w:sz w:val="24"/>
          <w:szCs w:val="24"/>
        </w:rPr>
        <w:t>ión llevada a cabo por la Leyes 39/2015 y 40/2015</w:t>
      </w:r>
      <w:r w:rsidR="00D14B04">
        <w:rPr>
          <w:sz w:val="24"/>
          <w:szCs w:val="24"/>
        </w:rPr>
        <w:t>, sus caracteres y requisitos distan mucho de encontrarse ajenos de toda crítica, máxime en un ámbito del servicio público tan sensible como es el sanitario.</w:t>
      </w:r>
    </w:p>
    <w:p w:rsidR="00D14B04" w:rsidRDefault="001F6490" w:rsidP="00F53F9B">
      <w:pPr>
        <w:spacing w:line="360" w:lineRule="auto"/>
        <w:ind w:firstLine="709"/>
        <w:jc w:val="both"/>
        <w:rPr>
          <w:sz w:val="24"/>
          <w:szCs w:val="24"/>
        </w:rPr>
      </w:pPr>
      <w:r>
        <w:rPr>
          <w:sz w:val="24"/>
          <w:szCs w:val="24"/>
        </w:rPr>
        <w:t>Por ello, el ámbito médico y, en definitiva, toda la prestación sanitaria pública, demanda la articulación de un adecuado sistema de responsabilidad que haga frente a los daños producidos como consecuencia de la prestación del servicio público, dejando atrás la inseguridad jurídica tradicionalmente existente en dicho ámbito</w:t>
      </w:r>
      <w:r w:rsidR="00794F6B">
        <w:rPr>
          <w:sz w:val="24"/>
          <w:szCs w:val="24"/>
        </w:rPr>
        <w:t xml:space="preserve"> y, en beneficio del paciente como usuario del servicio público sanitario.</w:t>
      </w:r>
    </w:p>
    <w:p w:rsidR="00794F6B" w:rsidRDefault="00794F6B" w:rsidP="00F53F9B">
      <w:pPr>
        <w:spacing w:line="360" w:lineRule="auto"/>
        <w:ind w:firstLine="709"/>
        <w:jc w:val="both"/>
        <w:rPr>
          <w:sz w:val="24"/>
          <w:szCs w:val="24"/>
        </w:rPr>
      </w:pPr>
    </w:p>
    <w:p w:rsidR="00794F6B" w:rsidRDefault="00451BDF" w:rsidP="00F53F9B">
      <w:pPr>
        <w:spacing w:line="360" w:lineRule="auto"/>
        <w:ind w:firstLine="709"/>
        <w:jc w:val="both"/>
        <w:rPr>
          <w:sz w:val="24"/>
          <w:szCs w:val="24"/>
        </w:rPr>
      </w:pPr>
      <w:r>
        <w:rPr>
          <w:sz w:val="24"/>
          <w:szCs w:val="24"/>
        </w:rPr>
        <w:t xml:space="preserve">The work on which we are going </w:t>
      </w:r>
      <w:r w:rsidR="00794F6B">
        <w:rPr>
          <w:sz w:val="24"/>
          <w:szCs w:val="24"/>
        </w:rPr>
        <w:t>to stick, deals with the patrimonial responsability of Public Administrations in general, in which we carry out a detailed analysis of the patrimonial responsability itself in the sanitary matter.</w:t>
      </w:r>
    </w:p>
    <w:p w:rsidR="00794F6B" w:rsidRDefault="009839A3" w:rsidP="009839A3">
      <w:pPr>
        <w:spacing w:line="360" w:lineRule="auto"/>
        <w:ind w:firstLine="709"/>
        <w:jc w:val="both"/>
        <w:rPr>
          <w:sz w:val="24"/>
          <w:szCs w:val="24"/>
        </w:rPr>
      </w:pPr>
      <w:r>
        <w:rPr>
          <w:sz w:val="24"/>
          <w:szCs w:val="24"/>
        </w:rPr>
        <w:t>It is a matter of general interest today, however, and despite the apparent clarity in its formulation carried out by Law</w:t>
      </w:r>
      <w:r w:rsidR="00150B3A">
        <w:rPr>
          <w:sz w:val="24"/>
          <w:szCs w:val="24"/>
        </w:rPr>
        <w:t>s 39/2015 and 40/2015</w:t>
      </w:r>
      <w:r>
        <w:rPr>
          <w:sz w:val="24"/>
          <w:szCs w:val="24"/>
        </w:rPr>
        <w:t>, its characteristics and requirements are far from being outside of any criticism, especially in a field of the public service as sensitive as the sanitary.</w:t>
      </w:r>
    </w:p>
    <w:p w:rsidR="00723902" w:rsidRDefault="00723902" w:rsidP="009839A3">
      <w:pPr>
        <w:spacing w:line="360" w:lineRule="auto"/>
        <w:ind w:firstLine="709"/>
        <w:jc w:val="both"/>
        <w:rPr>
          <w:sz w:val="24"/>
          <w:szCs w:val="24"/>
        </w:rPr>
      </w:pPr>
      <w:r>
        <w:rPr>
          <w:sz w:val="24"/>
          <w:szCs w:val="24"/>
        </w:rPr>
        <w:t xml:space="preserve">For this reason, the medical field and, </w:t>
      </w:r>
      <w:r w:rsidR="003852CC">
        <w:rPr>
          <w:sz w:val="24"/>
          <w:szCs w:val="24"/>
        </w:rPr>
        <w:t>in short, all the public sanitary care, demands the articulation of an appropriate system of responsability that faces the damages produced as a result of the provision of the public service, leaving behind the legal insecurity traditionally existing in this area and, for the Benefit of the patient as a user of the public sanitary service.</w:t>
      </w:r>
    </w:p>
    <w:p w:rsidR="00B57DB0" w:rsidRDefault="00B57DB0" w:rsidP="009839A3">
      <w:pPr>
        <w:spacing w:line="360" w:lineRule="auto"/>
        <w:ind w:firstLine="709"/>
        <w:jc w:val="both"/>
        <w:rPr>
          <w:sz w:val="24"/>
          <w:szCs w:val="24"/>
        </w:rPr>
      </w:pPr>
    </w:p>
    <w:p w:rsidR="00B57DB0" w:rsidRDefault="00B57DB0" w:rsidP="009839A3">
      <w:pPr>
        <w:spacing w:line="360" w:lineRule="auto"/>
        <w:ind w:firstLine="709"/>
        <w:jc w:val="both"/>
        <w:rPr>
          <w:sz w:val="24"/>
          <w:szCs w:val="24"/>
        </w:rPr>
      </w:pPr>
      <w:r w:rsidRPr="00B57DB0">
        <w:rPr>
          <w:b/>
          <w:sz w:val="24"/>
          <w:szCs w:val="24"/>
          <w:u w:val="single"/>
        </w:rPr>
        <w:t>Palabras clave</w:t>
      </w:r>
      <w:r>
        <w:rPr>
          <w:sz w:val="24"/>
          <w:szCs w:val="24"/>
        </w:rPr>
        <w:t>: Responsabilidad patrimonial, Administración Pública, servicio público sanitario, paciente, daño producido, indemnización</w:t>
      </w:r>
      <w:r w:rsidR="002D2710">
        <w:rPr>
          <w:sz w:val="24"/>
          <w:szCs w:val="24"/>
        </w:rPr>
        <w:t>, jurisprudencia</w:t>
      </w:r>
      <w:r>
        <w:rPr>
          <w:sz w:val="24"/>
          <w:szCs w:val="24"/>
        </w:rPr>
        <w:t>.</w:t>
      </w:r>
    </w:p>
    <w:p w:rsidR="00B57DB0" w:rsidRDefault="00B57DB0" w:rsidP="009839A3">
      <w:pPr>
        <w:spacing w:line="360" w:lineRule="auto"/>
        <w:ind w:firstLine="709"/>
        <w:jc w:val="both"/>
        <w:rPr>
          <w:sz w:val="24"/>
          <w:szCs w:val="24"/>
        </w:rPr>
      </w:pPr>
      <w:r w:rsidRPr="00B57DB0">
        <w:rPr>
          <w:b/>
          <w:sz w:val="24"/>
          <w:szCs w:val="24"/>
          <w:u w:val="single"/>
        </w:rPr>
        <w:t>Keywords</w:t>
      </w:r>
      <w:r>
        <w:rPr>
          <w:sz w:val="24"/>
          <w:szCs w:val="24"/>
        </w:rPr>
        <w:t xml:space="preserve">: </w:t>
      </w:r>
      <w:r w:rsidR="00631A1A">
        <w:rPr>
          <w:sz w:val="24"/>
          <w:szCs w:val="24"/>
        </w:rPr>
        <w:t>Patrimonial responsability</w:t>
      </w:r>
      <w:r>
        <w:rPr>
          <w:sz w:val="24"/>
          <w:szCs w:val="24"/>
        </w:rPr>
        <w:t>, Public Administration, public sanitary service, patient, damage produced, compensation</w:t>
      </w:r>
      <w:r w:rsidR="002D2710">
        <w:rPr>
          <w:sz w:val="24"/>
          <w:szCs w:val="24"/>
        </w:rPr>
        <w:t>, jurisprudence</w:t>
      </w:r>
      <w:r>
        <w:rPr>
          <w:sz w:val="24"/>
          <w:szCs w:val="24"/>
        </w:rPr>
        <w:t>.</w:t>
      </w:r>
    </w:p>
    <w:p w:rsidR="00B57DB0" w:rsidRDefault="00B57DB0" w:rsidP="009839A3">
      <w:pPr>
        <w:spacing w:line="360" w:lineRule="auto"/>
        <w:ind w:firstLine="709"/>
        <w:jc w:val="both"/>
        <w:rPr>
          <w:sz w:val="24"/>
          <w:szCs w:val="24"/>
        </w:rPr>
      </w:pPr>
    </w:p>
    <w:p w:rsidR="001B6115" w:rsidRDefault="001B6115" w:rsidP="001B6115">
      <w:pPr>
        <w:spacing w:line="360" w:lineRule="auto"/>
        <w:jc w:val="both"/>
        <w:rPr>
          <w:sz w:val="24"/>
          <w:szCs w:val="24"/>
        </w:rPr>
      </w:pPr>
    </w:p>
    <w:p w:rsidR="001B6115" w:rsidRDefault="001B6115" w:rsidP="001B6115">
      <w:pPr>
        <w:spacing w:line="360" w:lineRule="auto"/>
        <w:jc w:val="both"/>
        <w:rPr>
          <w:sz w:val="24"/>
          <w:szCs w:val="24"/>
        </w:rPr>
      </w:pPr>
    </w:p>
    <w:p w:rsidR="00CA139F" w:rsidRDefault="00CA139F" w:rsidP="001B6115">
      <w:pPr>
        <w:spacing w:line="360" w:lineRule="auto"/>
        <w:jc w:val="both"/>
        <w:rPr>
          <w:sz w:val="24"/>
          <w:szCs w:val="24"/>
        </w:rPr>
      </w:pPr>
    </w:p>
    <w:p w:rsidR="001B6115" w:rsidRPr="00D14B04" w:rsidRDefault="001B6115" w:rsidP="00D14B04">
      <w:pPr>
        <w:spacing w:line="360" w:lineRule="auto"/>
        <w:jc w:val="center"/>
        <w:rPr>
          <w:b/>
          <w:sz w:val="24"/>
          <w:szCs w:val="24"/>
        </w:rPr>
      </w:pPr>
      <w:r w:rsidRPr="00D14B04">
        <w:rPr>
          <w:b/>
          <w:i/>
          <w:sz w:val="24"/>
          <w:szCs w:val="24"/>
          <w:u w:val="single"/>
        </w:rPr>
        <w:lastRenderedPageBreak/>
        <w:t>SUMARIO</w:t>
      </w:r>
    </w:p>
    <w:p w:rsidR="00F53F9B" w:rsidRDefault="00F53F9B" w:rsidP="001B6115">
      <w:pPr>
        <w:spacing w:line="360" w:lineRule="auto"/>
        <w:jc w:val="both"/>
        <w:rPr>
          <w:sz w:val="24"/>
          <w:szCs w:val="24"/>
        </w:rPr>
      </w:pPr>
    </w:p>
    <w:p w:rsidR="001B6115" w:rsidRDefault="0077556F" w:rsidP="001B6115">
      <w:pPr>
        <w:spacing w:line="360" w:lineRule="auto"/>
        <w:jc w:val="both"/>
        <w:rPr>
          <w:sz w:val="24"/>
          <w:szCs w:val="24"/>
        </w:rPr>
      </w:pPr>
      <w:r>
        <w:rPr>
          <w:sz w:val="24"/>
          <w:szCs w:val="24"/>
        </w:rPr>
        <w:t>ABSTRACT</w:t>
      </w:r>
      <w:r w:rsidR="008D520D">
        <w:rPr>
          <w:sz w:val="24"/>
          <w:szCs w:val="24"/>
        </w:rPr>
        <w:t xml:space="preserve"> </w:t>
      </w:r>
      <w:r w:rsidR="00086410">
        <w:rPr>
          <w:sz w:val="24"/>
          <w:szCs w:val="24"/>
        </w:rPr>
        <w:t>………………………………………………………</w:t>
      </w:r>
      <w:r w:rsidR="000A4CC2">
        <w:rPr>
          <w:sz w:val="24"/>
          <w:szCs w:val="24"/>
        </w:rPr>
        <w:t>………</w:t>
      </w:r>
      <w:r w:rsidR="00F53F9B">
        <w:rPr>
          <w:sz w:val="24"/>
          <w:szCs w:val="24"/>
        </w:rPr>
        <w:t>…</w:t>
      </w:r>
      <w:r w:rsidR="003770D8">
        <w:rPr>
          <w:sz w:val="24"/>
          <w:szCs w:val="24"/>
        </w:rPr>
        <w:t xml:space="preserve">          </w:t>
      </w:r>
      <w:r w:rsidR="00F53F9B">
        <w:rPr>
          <w:sz w:val="24"/>
          <w:szCs w:val="24"/>
        </w:rPr>
        <w:t xml:space="preserve"> </w:t>
      </w:r>
      <w:r w:rsidR="00086410">
        <w:rPr>
          <w:sz w:val="24"/>
          <w:szCs w:val="24"/>
        </w:rPr>
        <w:t xml:space="preserve"> </w:t>
      </w:r>
      <w:r w:rsidR="008D520D">
        <w:rPr>
          <w:sz w:val="24"/>
          <w:szCs w:val="24"/>
        </w:rPr>
        <w:t xml:space="preserve">  </w:t>
      </w:r>
      <w:r w:rsidR="00F53F9B">
        <w:rPr>
          <w:sz w:val="24"/>
          <w:szCs w:val="24"/>
        </w:rPr>
        <w:t xml:space="preserve">  </w:t>
      </w:r>
      <w:r>
        <w:rPr>
          <w:sz w:val="24"/>
          <w:szCs w:val="24"/>
        </w:rPr>
        <w:t xml:space="preserve"> </w:t>
      </w:r>
      <w:r w:rsidR="008D520D">
        <w:rPr>
          <w:sz w:val="24"/>
          <w:szCs w:val="24"/>
        </w:rPr>
        <w:t xml:space="preserve">     </w:t>
      </w:r>
      <w:r>
        <w:rPr>
          <w:sz w:val="24"/>
          <w:szCs w:val="24"/>
        </w:rPr>
        <w:t xml:space="preserve"> </w:t>
      </w:r>
      <w:r w:rsidR="008D520D">
        <w:rPr>
          <w:sz w:val="24"/>
          <w:szCs w:val="24"/>
        </w:rPr>
        <w:t xml:space="preserve">    2</w:t>
      </w:r>
    </w:p>
    <w:p w:rsidR="001B6115" w:rsidRDefault="008D520D" w:rsidP="001B6115">
      <w:pPr>
        <w:spacing w:line="360" w:lineRule="auto"/>
        <w:jc w:val="both"/>
        <w:rPr>
          <w:sz w:val="24"/>
          <w:szCs w:val="24"/>
        </w:rPr>
      </w:pPr>
      <w:r>
        <w:rPr>
          <w:sz w:val="24"/>
          <w:szCs w:val="24"/>
        </w:rPr>
        <w:t>SUMARIO …………………………………………………………………</w:t>
      </w:r>
      <w:r w:rsidR="003770D8">
        <w:rPr>
          <w:sz w:val="24"/>
          <w:szCs w:val="24"/>
        </w:rPr>
        <w:t xml:space="preserve">.           </w:t>
      </w:r>
      <w:r w:rsidR="00F53F9B">
        <w:rPr>
          <w:sz w:val="24"/>
          <w:szCs w:val="24"/>
        </w:rPr>
        <w:t xml:space="preserve"> </w:t>
      </w:r>
      <w:r>
        <w:rPr>
          <w:sz w:val="24"/>
          <w:szCs w:val="24"/>
        </w:rPr>
        <w:t xml:space="preserve">                3</w:t>
      </w:r>
    </w:p>
    <w:p w:rsidR="001B6115" w:rsidRDefault="003770D8" w:rsidP="001B6115">
      <w:pPr>
        <w:spacing w:line="360" w:lineRule="auto"/>
        <w:jc w:val="both"/>
        <w:rPr>
          <w:sz w:val="24"/>
          <w:szCs w:val="24"/>
        </w:rPr>
      </w:pPr>
      <w:r>
        <w:rPr>
          <w:sz w:val="24"/>
          <w:szCs w:val="24"/>
        </w:rPr>
        <w:t>1</w:t>
      </w:r>
      <w:r w:rsidR="009F4A00">
        <w:rPr>
          <w:sz w:val="24"/>
          <w:szCs w:val="24"/>
        </w:rPr>
        <w:t>.</w:t>
      </w:r>
      <w:r w:rsidR="008D520D">
        <w:rPr>
          <w:sz w:val="24"/>
          <w:szCs w:val="24"/>
        </w:rPr>
        <w:t xml:space="preserve"> INTRODUCCIÓN </w:t>
      </w:r>
      <w:r w:rsidR="0077556F">
        <w:rPr>
          <w:sz w:val="24"/>
          <w:szCs w:val="24"/>
        </w:rPr>
        <w:t>……………………………………………………</w:t>
      </w:r>
      <w:r>
        <w:rPr>
          <w:sz w:val="24"/>
          <w:szCs w:val="24"/>
        </w:rPr>
        <w:t xml:space="preserve">.     </w:t>
      </w:r>
      <w:r w:rsidR="00D85C44">
        <w:rPr>
          <w:sz w:val="24"/>
          <w:szCs w:val="24"/>
        </w:rPr>
        <w:t xml:space="preserve">   </w:t>
      </w:r>
      <w:r>
        <w:rPr>
          <w:sz w:val="24"/>
          <w:szCs w:val="24"/>
        </w:rPr>
        <w:t xml:space="preserve">       </w:t>
      </w:r>
      <w:r w:rsidR="008D520D">
        <w:rPr>
          <w:sz w:val="24"/>
          <w:szCs w:val="24"/>
        </w:rPr>
        <w:t xml:space="preserve">              </w:t>
      </w:r>
      <w:r>
        <w:rPr>
          <w:sz w:val="24"/>
          <w:szCs w:val="24"/>
        </w:rPr>
        <w:t xml:space="preserve"> </w:t>
      </w:r>
      <w:r w:rsidR="00B57DB0">
        <w:rPr>
          <w:sz w:val="24"/>
          <w:szCs w:val="24"/>
        </w:rPr>
        <w:t xml:space="preserve">  5</w:t>
      </w:r>
    </w:p>
    <w:p w:rsidR="009F4A00" w:rsidRDefault="00D85C44" w:rsidP="00F53F9B">
      <w:pPr>
        <w:spacing w:line="360" w:lineRule="auto"/>
        <w:jc w:val="both"/>
        <w:rPr>
          <w:sz w:val="24"/>
          <w:szCs w:val="24"/>
        </w:rPr>
      </w:pPr>
      <w:r>
        <w:rPr>
          <w:sz w:val="24"/>
          <w:szCs w:val="24"/>
        </w:rPr>
        <w:t>2</w:t>
      </w:r>
      <w:r w:rsidR="009F4A00">
        <w:rPr>
          <w:sz w:val="24"/>
          <w:szCs w:val="24"/>
        </w:rPr>
        <w:t>.</w:t>
      </w:r>
      <w:r w:rsidR="008D520D">
        <w:rPr>
          <w:sz w:val="24"/>
          <w:szCs w:val="24"/>
        </w:rPr>
        <w:t xml:space="preserve"> EVOLUCIÓN HISTÓRIC</w:t>
      </w:r>
      <w:r w:rsidR="00821115">
        <w:rPr>
          <w:sz w:val="24"/>
          <w:szCs w:val="24"/>
        </w:rPr>
        <w:t>A DE LA RESPONSABILIDAD PATRIMONIAL ………………………………………………………………………………</w:t>
      </w:r>
      <w:r w:rsidR="003770D8">
        <w:rPr>
          <w:sz w:val="24"/>
          <w:szCs w:val="24"/>
        </w:rPr>
        <w:t xml:space="preserve">              </w:t>
      </w:r>
      <w:r w:rsidR="008D520D">
        <w:rPr>
          <w:sz w:val="24"/>
          <w:szCs w:val="24"/>
        </w:rPr>
        <w:t xml:space="preserve">     </w:t>
      </w:r>
      <w:r>
        <w:rPr>
          <w:sz w:val="24"/>
          <w:szCs w:val="24"/>
        </w:rPr>
        <w:t xml:space="preserve"> </w:t>
      </w:r>
      <w:r w:rsidR="007C04B7">
        <w:rPr>
          <w:sz w:val="24"/>
          <w:szCs w:val="24"/>
        </w:rPr>
        <w:t xml:space="preserve">         7</w:t>
      </w:r>
    </w:p>
    <w:p w:rsidR="009F4A00" w:rsidRDefault="00D85C44" w:rsidP="001B6115">
      <w:pPr>
        <w:spacing w:line="360" w:lineRule="auto"/>
        <w:jc w:val="both"/>
        <w:rPr>
          <w:sz w:val="24"/>
          <w:szCs w:val="24"/>
        </w:rPr>
      </w:pPr>
      <w:r>
        <w:rPr>
          <w:sz w:val="24"/>
          <w:szCs w:val="24"/>
        </w:rPr>
        <w:t>3</w:t>
      </w:r>
      <w:r w:rsidR="009F4A00">
        <w:rPr>
          <w:sz w:val="24"/>
          <w:szCs w:val="24"/>
        </w:rPr>
        <w:t>.</w:t>
      </w:r>
      <w:r w:rsidR="008D520D">
        <w:rPr>
          <w:sz w:val="24"/>
          <w:szCs w:val="24"/>
        </w:rPr>
        <w:t xml:space="preserve"> </w:t>
      </w:r>
      <w:r w:rsidR="004B2AD2">
        <w:rPr>
          <w:sz w:val="24"/>
          <w:szCs w:val="24"/>
        </w:rPr>
        <w:t>CARACTERES GENERALES DEL SISTEMA DE RESPONSABILIDAD PATRIMONIAL DE LA ADMINISTRACIÓN PÚBLICA ………………</w:t>
      </w:r>
      <w:r w:rsidR="007C04B7">
        <w:rPr>
          <w:sz w:val="24"/>
          <w:szCs w:val="24"/>
        </w:rPr>
        <w:t xml:space="preserve">                           12</w:t>
      </w:r>
      <w:r w:rsidR="004B2AD2">
        <w:rPr>
          <w:sz w:val="24"/>
          <w:szCs w:val="24"/>
        </w:rPr>
        <w:t xml:space="preserve">  </w:t>
      </w:r>
    </w:p>
    <w:p w:rsidR="00277949" w:rsidRDefault="00277949" w:rsidP="001B6115">
      <w:pPr>
        <w:spacing w:line="360" w:lineRule="auto"/>
        <w:jc w:val="both"/>
        <w:rPr>
          <w:sz w:val="24"/>
          <w:szCs w:val="24"/>
        </w:rPr>
      </w:pPr>
      <w:r>
        <w:rPr>
          <w:sz w:val="24"/>
          <w:szCs w:val="24"/>
        </w:rPr>
        <w:tab/>
        <w:t>3.1 GENERAL Y UNITARIO ………………………………………………</w:t>
      </w:r>
      <w:r w:rsidR="007C04B7">
        <w:rPr>
          <w:sz w:val="24"/>
          <w:szCs w:val="24"/>
        </w:rPr>
        <w:t xml:space="preserve">             12</w:t>
      </w:r>
    </w:p>
    <w:p w:rsidR="00277949" w:rsidRDefault="00277949" w:rsidP="001B6115">
      <w:pPr>
        <w:spacing w:line="360" w:lineRule="auto"/>
        <w:jc w:val="both"/>
        <w:rPr>
          <w:sz w:val="24"/>
          <w:szCs w:val="24"/>
        </w:rPr>
      </w:pPr>
      <w:r>
        <w:rPr>
          <w:sz w:val="24"/>
          <w:szCs w:val="24"/>
        </w:rPr>
        <w:tab/>
        <w:t xml:space="preserve">3.2 DIRECTO ………………………………………………………………...           </w:t>
      </w:r>
      <w:r w:rsidR="007C04B7">
        <w:rPr>
          <w:sz w:val="24"/>
          <w:szCs w:val="24"/>
        </w:rPr>
        <w:t xml:space="preserve"> 13</w:t>
      </w:r>
    </w:p>
    <w:p w:rsidR="00277949" w:rsidRDefault="00277949" w:rsidP="001B6115">
      <w:pPr>
        <w:spacing w:line="360" w:lineRule="auto"/>
        <w:jc w:val="both"/>
        <w:rPr>
          <w:sz w:val="24"/>
          <w:szCs w:val="24"/>
        </w:rPr>
      </w:pPr>
      <w:r>
        <w:rPr>
          <w:sz w:val="24"/>
          <w:szCs w:val="24"/>
        </w:rPr>
        <w:tab/>
        <w:t>3.3 OBJETIVO ………………………………………………………………</w:t>
      </w:r>
      <w:r w:rsidR="007C04B7">
        <w:rPr>
          <w:sz w:val="24"/>
          <w:szCs w:val="24"/>
        </w:rPr>
        <w:t>..           14</w:t>
      </w:r>
    </w:p>
    <w:p w:rsidR="00277949" w:rsidRDefault="00277949" w:rsidP="001B6115">
      <w:pPr>
        <w:spacing w:line="360" w:lineRule="auto"/>
        <w:jc w:val="both"/>
        <w:rPr>
          <w:sz w:val="24"/>
          <w:szCs w:val="24"/>
        </w:rPr>
      </w:pPr>
      <w:r>
        <w:rPr>
          <w:sz w:val="24"/>
          <w:szCs w:val="24"/>
        </w:rPr>
        <w:tab/>
        <w:t>3.4 TENDENTE A LA REPA</w:t>
      </w:r>
      <w:r w:rsidR="00150B3A">
        <w:rPr>
          <w:sz w:val="24"/>
          <w:szCs w:val="24"/>
        </w:rPr>
        <w:t>RACIÓN INTEGRAL ………</w:t>
      </w:r>
      <w:r>
        <w:rPr>
          <w:sz w:val="24"/>
          <w:szCs w:val="24"/>
        </w:rPr>
        <w:t>………………</w:t>
      </w:r>
      <w:r w:rsidR="007C04B7">
        <w:rPr>
          <w:sz w:val="24"/>
          <w:szCs w:val="24"/>
        </w:rPr>
        <w:t xml:space="preserve">.         </w:t>
      </w:r>
      <w:r w:rsidR="00150B3A">
        <w:rPr>
          <w:sz w:val="24"/>
          <w:szCs w:val="24"/>
        </w:rPr>
        <w:t xml:space="preserve">  </w:t>
      </w:r>
      <w:r w:rsidR="007C04B7">
        <w:rPr>
          <w:sz w:val="24"/>
          <w:szCs w:val="24"/>
        </w:rPr>
        <w:t xml:space="preserve"> 14</w:t>
      </w:r>
    </w:p>
    <w:p w:rsidR="009F4A00" w:rsidRDefault="00D85C44" w:rsidP="001B6115">
      <w:pPr>
        <w:spacing w:line="360" w:lineRule="auto"/>
        <w:jc w:val="both"/>
        <w:rPr>
          <w:sz w:val="24"/>
          <w:szCs w:val="24"/>
        </w:rPr>
      </w:pPr>
      <w:r>
        <w:rPr>
          <w:sz w:val="24"/>
          <w:szCs w:val="24"/>
        </w:rPr>
        <w:t>4</w:t>
      </w:r>
      <w:r w:rsidR="009F4A00">
        <w:rPr>
          <w:sz w:val="24"/>
          <w:szCs w:val="24"/>
        </w:rPr>
        <w:t>.</w:t>
      </w:r>
      <w:r w:rsidR="003770D8">
        <w:rPr>
          <w:sz w:val="24"/>
          <w:szCs w:val="24"/>
        </w:rPr>
        <w:t xml:space="preserve"> </w:t>
      </w:r>
      <w:r>
        <w:rPr>
          <w:sz w:val="24"/>
          <w:szCs w:val="24"/>
        </w:rPr>
        <w:t xml:space="preserve">REQUISITOS DE LA RESPONSABILIDAD PATRIMONIAL EN MATERIA SANITARIA ……………………………………………………………….                           </w:t>
      </w:r>
      <w:r w:rsidR="007C04B7">
        <w:rPr>
          <w:sz w:val="24"/>
          <w:szCs w:val="24"/>
        </w:rPr>
        <w:t>15</w:t>
      </w:r>
      <w:r>
        <w:rPr>
          <w:sz w:val="24"/>
          <w:szCs w:val="24"/>
        </w:rPr>
        <w:t xml:space="preserve">  </w:t>
      </w:r>
    </w:p>
    <w:p w:rsidR="00D85C44" w:rsidRDefault="00D85C44" w:rsidP="001B6115">
      <w:pPr>
        <w:spacing w:line="360" w:lineRule="auto"/>
        <w:jc w:val="both"/>
        <w:rPr>
          <w:sz w:val="24"/>
          <w:szCs w:val="24"/>
        </w:rPr>
      </w:pPr>
      <w:r>
        <w:rPr>
          <w:sz w:val="24"/>
          <w:szCs w:val="24"/>
        </w:rPr>
        <w:tab/>
        <w:t xml:space="preserve">4.1 LESIÓN RESARCIBLE ………………………………………..     </w:t>
      </w:r>
      <w:r w:rsidR="007C04B7">
        <w:rPr>
          <w:sz w:val="24"/>
          <w:szCs w:val="24"/>
        </w:rPr>
        <w:t xml:space="preserve">                     15</w:t>
      </w:r>
    </w:p>
    <w:p w:rsidR="00507DAC" w:rsidRDefault="00D85C44" w:rsidP="001B6115">
      <w:pPr>
        <w:spacing w:line="360" w:lineRule="auto"/>
        <w:jc w:val="both"/>
        <w:rPr>
          <w:sz w:val="24"/>
          <w:szCs w:val="24"/>
        </w:rPr>
      </w:pPr>
      <w:r>
        <w:rPr>
          <w:sz w:val="24"/>
          <w:szCs w:val="24"/>
        </w:rPr>
        <w:tab/>
      </w:r>
      <w:r w:rsidR="00507DAC">
        <w:rPr>
          <w:sz w:val="24"/>
          <w:szCs w:val="24"/>
        </w:rPr>
        <w:tab/>
        <w:t xml:space="preserve">4.1.1 LA CLAVE DEL SISTEMA DE RESPONSABILIDAD OBJETIVA . </w:t>
      </w:r>
      <w:r w:rsidR="007C04B7">
        <w:rPr>
          <w:sz w:val="24"/>
          <w:szCs w:val="24"/>
        </w:rPr>
        <w:t>15</w:t>
      </w:r>
    </w:p>
    <w:p w:rsidR="001740FF" w:rsidRDefault="001740FF" w:rsidP="00507DAC">
      <w:pPr>
        <w:spacing w:line="360" w:lineRule="auto"/>
        <w:ind w:firstLine="708"/>
        <w:jc w:val="both"/>
        <w:rPr>
          <w:sz w:val="24"/>
          <w:szCs w:val="24"/>
        </w:rPr>
      </w:pPr>
      <w:r>
        <w:rPr>
          <w:sz w:val="24"/>
          <w:szCs w:val="24"/>
        </w:rPr>
        <w:tab/>
        <w:t>4.1.2 ANTIJURIDICIDAD DEL DAÑO</w:t>
      </w:r>
      <w:r w:rsidR="001F591C">
        <w:rPr>
          <w:sz w:val="24"/>
          <w:szCs w:val="24"/>
        </w:rPr>
        <w:t xml:space="preserve"> </w:t>
      </w:r>
      <w:r>
        <w:rPr>
          <w:sz w:val="24"/>
          <w:szCs w:val="24"/>
        </w:rPr>
        <w:t>…………………………………...</w:t>
      </w:r>
      <w:r w:rsidR="007C04B7">
        <w:rPr>
          <w:sz w:val="24"/>
          <w:szCs w:val="24"/>
        </w:rPr>
        <w:t xml:space="preserve">  17</w:t>
      </w:r>
    </w:p>
    <w:p w:rsidR="001740FF" w:rsidRDefault="001740FF" w:rsidP="00507DAC">
      <w:pPr>
        <w:spacing w:line="360" w:lineRule="auto"/>
        <w:ind w:firstLine="708"/>
        <w:jc w:val="both"/>
        <w:rPr>
          <w:sz w:val="24"/>
          <w:szCs w:val="24"/>
        </w:rPr>
      </w:pPr>
      <w:r>
        <w:rPr>
          <w:sz w:val="24"/>
          <w:szCs w:val="24"/>
        </w:rPr>
        <w:tab/>
        <w:t>4.1.3</w:t>
      </w:r>
      <w:r w:rsidR="00125592">
        <w:rPr>
          <w:sz w:val="24"/>
          <w:szCs w:val="24"/>
        </w:rPr>
        <w:t xml:space="preserve"> CARACTERES DEL DAÑO</w:t>
      </w:r>
      <w:r w:rsidR="001F591C">
        <w:rPr>
          <w:sz w:val="24"/>
          <w:szCs w:val="24"/>
        </w:rPr>
        <w:t xml:space="preserve"> </w:t>
      </w:r>
      <w:r w:rsidR="00125592">
        <w:rPr>
          <w:sz w:val="24"/>
          <w:szCs w:val="24"/>
        </w:rPr>
        <w:t>…………………………………………</w:t>
      </w:r>
      <w:r w:rsidR="00F9520F">
        <w:rPr>
          <w:sz w:val="24"/>
          <w:szCs w:val="24"/>
        </w:rPr>
        <w:t xml:space="preserve">  20</w:t>
      </w:r>
    </w:p>
    <w:p w:rsidR="001F591C" w:rsidRDefault="001F591C" w:rsidP="00507DAC">
      <w:pPr>
        <w:spacing w:line="360" w:lineRule="auto"/>
        <w:ind w:firstLine="708"/>
        <w:jc w:val="both"/>
        <w:rPr>
          <w:sz w:val="24"/>
          <w:szCs w:val="24"/>
        </w:rPr>
      </w:pPr>
      <w:r>
        <w:rPr>
          <w:sz w:val="24"/>
          <w:szCs w:val="24"/>
        </w:rPr>
        <w:tab/>
      </w:r>
      <w:r>
        <w:rPr>
          <w:sz w:val="24"/>
          <w:szCs w:val="24"/>
        </w:rPr>
        <w:tab/>
        <w:t>4.1.3.</w:t>
      </w:r>
      <w:r w:rsidR="006B56B2">
        <w:rPr>
          <w:sz w:val="24"/>
          <w:szCs w:val="24"/>
        </w:rPr>
        <w:t xml:space="preserve">1 DAÑO </w:t>
      </w:r>
      <w:r w:rsidR="00F9520F">
        <w:rPr>
          <w:sz w:val="24"/>
          <w:szCs w:val="24"/>
        </w:rPr>
        <w:t>EFECTIVO ……………………………………          21</w:t>
      </w:r>
    </w:p>
    <w:p w:rsidR="00821115" w:rsidRDefault="00821115" w:rsidP="00507DAC">
      <w:pPr>
        <w:spacing w:line="360" w:lineRule="auto"/>
        <w:ind w:firstLine="708"/>
        <w:jc w:val="both"/>
        <w:rPr>
          <w:sz w:val="24"/>
          <w:szCs w:val="24"/>
        </w:rPr>
      </w:pPr>
      <w:r>
        <w:rPr>
          <w:sz w:val="24"/>
          <w:szCs w:val="24"/>
        </w:rPr>
        <w:tab/>
      </w:r>
      <w:r>
        <w:rPr>
          <w:sz w:val="24"/>
          <w:szCs w:val="24"/>
        </w:rPr>
        <w:tab/>
        <w:t>4.1.3.2 DAÑO EVALUABLE ECONÓMICAMENTE ……………</w:t>
      </w:r>
      <w:r w:rsidR="00F9520F">
        <w:rPr>
          <w:sz w:val="24"/>
          <w:szCs w:val="24"/>
        </w:rPr>
        <w:t xml:space="preserve">   22</w:t>
      </w:r>
    </w:p>
    <w:p w:rsidR="001C3EEA" w:rsidRDefault="001C3EEA" w:rsidP="001C3EEA">
      <w:pPr>
        <w:spacing w:line="360" w:lineRule="auto"/>
        <w:ind w:left="2124"/>
        <w:jc w:val="both"/>
        <w:rPr>
          <w:sz w:val="24"/>
          <w:szCs w:val="24"/>
        </w:rPr>
      </w:pPr>
      <w:r>
        <w:rPr>
          <w:sz w:val="24"/>
          <w:szCs w:val="24"/>
        </w:rPr>
        <w:t>4.1.3.3 DAÑO INDIVIDUALIZADO CON RELACIÓN A UNA PERSONA O GRUPO DE PERSONAS…........................................</w:t>
      </w:r>
      <w:r w:rsidR="00F9520F">
        <w:rPr>
          <w:sz w:val="24"/>
          <w:szCs w:val="24"/>
        </w:rPr>
        <w:t xml:space="preserve">   24</w:t>
      </w:r>
    </w:p>
    <w:p w:rsidR="00D85C44" w:rsidRDefault="00507DAC" w:rsidP="00DE2086">
      <w:pPr>
        <w:spacing w:line="360" w:lineRule="auto"/>
        <w:ind w:left="708"/>
        <w:jc w:val="both"/>
        <w:rPr>
          <w:sz w:val="24"/>
          <w:szCs w:val="24"/>
        </w:rPr>
      </w:pPr>
      <w:r>
        <w:rPr>
          <w:sz w:val="24"/>
          <w:szCs w:val="24"/>
        </w:rPr>
        <w:t xml:space="preserve">4.2 </w:t>
      </w:r>
      <w:r w:rsidR="00E30B76">
        <w:rPr>
          <w:sz w:val="24"/>
          <w:szCs w:val="24"/>
        </w:rPr>
        <w:t>IMPUTACIÓN DE LA LESIÓN RESARCIBLE A LA ADMINISTRACIÓN SANITARIA ………………………………………………………………………</w:t>
      </w:r>
      <w:r w:rsidR="00F9520F">
        <w:rPr>
          <w:sz w:val="24"/>
          <w:szCs w:val="24"/>
        </w:rPr>
        <w:t>.   25</w:t>
      </w:r>
    </w:p>
    <w:p w:rsidR="00E30B76" w:rsidRDefault="00E30B76" w:rsidP="00DE2086">
      <w:pPr>
        <w:spacing w:line="360" w:lineRule="auto"/>
        <w:ind w:left="1416"/>
        <w:jc w:val="both"/>
        <w:rPr>
          <w:sz w:val="24"/>
          <w:szCs w:val="24"/>
        </w:rPr>
      </w:pPr>
      <w:r>
        <w:rPr>
          <w:sz w:val="24"/>
          <w:szCs w:val="24"/>
        </w:rPr>
        <w:t>4.2.1 CRITERIO DE IMPUTACIÓN: EL FUNCIONAMIENTO NORMAL O ANORMAL DEL SERVICIO PÚBLICO SANITARIO …………………</w:t>
      </w:r>
      <w:r w:rsidR="00F9520F">
        <w:rPr>
          <w:sz w:val="24"/>
          <w:szCs w:val="24"/>
        </w:rPr>
        <w:t>.    25</w:t>
      </w:r>
    </w:p>
    <w:p w:rsidR="00E30B76" w:rsidRDefault="00E30B76" w:rsidP="00DE2086">
      <w:pPr>
        <w:spacing w:line="360" w:lineRule="auto"/>
        <w:ind w:left="1416"/>
        <w:jc w:val="both"/>
        <w:rPr>
          <w:sz w:val="24"/>
          <w:szCs w:val="24"/>
        </w:rPr>
      </w:pPr>
      <w:r>
        <w:rPr>
          <w:sz w:val="24"/>
          <w:szCs w:val="24"/>
        </w:rPr>
        <w:t>4.2.2 LA LEX ARTIS COMO MEDIDA DE CORRECCIÓN DEL FUNCIONAMIENTO DEL SERVICIO PÚBLICO SANITARIO ………</w:t>
      </w:r>
      <w:r w:rsidR="00F9520F">
        <w:rPr>
          <w:sz w:val="24"/>
          <w:szCs w:val="24"/>
        </w:rPr>
        <w:t>.    30</w:t>
      </w:r>
    </w:p>
    <w:p w:rsidR="004B7639" w:rsidRDefault="004B7639" w:rsidP="001B6115">
      <w:pPr>
        <w:spacing w:line="360" w:lineRule="auto"/>
        <w:jc w:val="both"/>
        <w:rPr>
          <w:sz w:val="24"/>
          <w:szCs w:val="24"/>
        </w:rPr>
      </w:pPr>
      <w:r>
        <w:rPr>
          <w:sz w:val="24"/>
          <w:szCs w:val="24"/>
        </w:rPr>
        <w:tab/>
        <w:t xml:space="preserve">4.3 RELACIÓN DE CAUSALIDAD …………………………………….......    </w:t>
      </w:r>
      <w:r w:rsidR="00F9520F">
        <w:rPr>
          <w:sz w:val="24"/>
          <w:szCs w:val="24"/>
        </w:rPr>
        <w:t xml:space="preserve">       31</w:t>
      </w:r>
    </w:p>
    <w:p w:rsidR="004B7639" w:rsidRDefault="004B7639" w:rsidP="00DE2086">
      <w:pPr>
        <w:spacing w:line="360" w:lineRule="auto"/>
        <w:ind w:left="1416"/>
        <w:jc w:val="both"/>
        <w:rPr>
          <w:sz w:val="24"/>
          <w:szCs w:val="24"/>
        </w:rPr>
      </w:pPr>
      <w:r>
        <w:rPr>
          <w:sz w:val="24"/>
          <w:szCs w:val="24"/>
        </w:rPr>
        <w:t>4.3.1 UN ELEMENTO DECISIVO DE LA RESPONSABILIDAD OBJETIVA ………………………………………………………………</w:t>
      </w:r>
      <w:r w:rsidR="00DE2086">
        <w:rPr>
          <w:sz w:val="24"/>
          <w:szCs w:val="24"/>
        </w:rPr>
        <w:t xml:space="preserve">     </w:t>
      </w:r>
      <w:r w:rsidR="00F9520F">
        <w:rPr>
          <w:sz w:val="24"/>
          <w:szCs w:val="24"/>
        </w:rPr>
        <w:t xml:space="preserve">  31</w:t>
      </w:r>
      <w:r w:rsidR="00DE2086">
        <w:rPr>
          <w:sz w:val="24"/>
          <w:szCs w:val="24"/>
        </w:rPr>
        <w:t xml:space="preserve">  </w:t>
      </w:r>
    </w:p>
    <w:p w:rsidR="004B7639" w:rsidRDefault="004B7639" w:rsidP="001B6115">
      <w:pPr>
        <w:spacing w:line="360" w:lineRule="auto"/>
        <w:jc w:val="both"/>
        <w:rPr>
          <w:sz w:val="24"/>
          <w:szCs w:val="24"/>
        </w:rPr>
      </w:pPr>
      <w:r>
        <w:rPr>
          <w:sz w:val="24"/>
          <w:szCs w:val="24"/>
        </w:rPr>
        <w:tab/>
      </w:r>
      <w:r>
        <w:rPr>
          <w:sz w:val="24"/>
          <w:szCs w:val="24"/>
        </w:rPr>
        <w:tab/>
        <w:t xml:space="preserve">4.3.2 </w:t>
      </w:r>
      <w:r w:rsidR="00A81D4B">
        <w:rPr>
          <w:sz w:val="24"/>
          <w:szCs w:val="24"/>
        </w:rPr>
        <w:t xml:space="preserve">LA CONCURRENCIA DE CAUSAS …………………………….  </w:t>
      </w:r>
      <w:r w:rsidR="00F9520F">
        <w:rPr>
          <w:sz w:val="24"/>
          <w:szCs w:val="24"/>
        </w:rPr>
        <w:t xml:space="preserve">     32</w:t>
      </w:r>
      <w:r w:rsidR="00A81D4B">
        <w:rPr>
          <w:sz w:val="24"/>
          <w:szCs w:val="24"/>
        </w:rPr>
        <w:t xml:space="preserve">  </w:t>
      </w:r>
    </w:p>
    <w:p w:rsidR="00DE2086" w:rsidRDefault="00A81D4B" w:rsidP="001B6115">
      <w:pPr>
        <w:spacing w:line="360" w:lineRule="auto"/>
        <w:jc w:val="both"/>
        <w:rPr>
          <w:sz w:val="24"/>
          <w:szCs w:val="24"/>
        </w:rPr>
      </w:pPr>
      <w:r>
        <w:rPr>
          <w:sz w:val="24"/>
          <w:szCs w:val="24"/>
        </w:rPr>
        <w:tab/>
      </w:r>
      <w:r w:rsidR="00DE2086">
        <w:rPr>
          <w:sz w:val="24"/>
          <w:szCs w:val="24"/>
        </w:rPr>
        <w:tab/>
        <w:t xml:space="preserve">4.3.3 </w:t>
      </w:r>
      <w:r w:rsidR="00F47A1F">
        <w:rPr>
          <w:sz w:val="24"/>
          <w:szCs w:val="24"/>
        </w:rPr>
        <w:t xml:space="preserve">CARGA DE LA PRUEBA DE LA RELACIÓN CAUSAL ………    </w:t>
      </w:r>
      <w:r w:rsidR="00F9520F">
        <w:rPr>
          <w:sz w:val="24"/>
          <w:szCs w:val="24"/>
        </w:rPr>
        <w:t xml:space="preserve">   34</w:t>
      </w:r>
    </w:p>
    <w:p w:rsidR="00A81D4B" w:rsidRDefault="00DE2086" w:rsidP="00DE2086">
      <w:pPr>
        <w:spacing w:line="360" w:lineRule="auto"/>
        <w:ind w:firstLine="708"/>
        <w:jc w:val="both"/>
        <w:rPr>
          <w:sz w:val="24"/>
          <w:szCs w:val="24"/>
        </w:rPr>
      </w:pPr>
      <w:r>
        <w:rPr>
          <w:sz w:val="24"/>
          <w:szCs w:val="24"/>
        </w:rPr>
        <w:lastRenderedPageBreak/>
        <w:t xml:space="preserve">4.4 </w:t>
      </w:r>
      <w:r w:rsidR="00E45D9E">
        <w:rPr>
          <w:sz w:val="24"/>
          <w:szCs w:val="24"/>
        </w:rPr>
        <w:t xml:space="preserve">AUSENCIA DE FUERZA MAYOR ……………………………………...   </w:t>
      </w:r>
      <w:r w:rsidR="00F9520F">
        <w:rPr>
          <w:sz w:val="24"/>
          <w:szCs w:val="24"/>
        </w:rPr>
        <w:t xml:space="preserve">       35</w:t>
      </w:r>
      <w:r w:rsidR="00E45D9E">
        <w:rPr>
          <w:sz w:val="24"/>
          <w:szCs w:val="24"/>
        </w:rPr>
        <w:t xml:space="preserve">    </w:t>
      </w:r>
    </w:p>
    <w:p w:rsidR="00E45D9E" w:rsidRDefault="00E45D9E" w:rsidP="00F9520F">
      <w:pPr>
        <w:spacing w:line="360" w:lineRule="auto"/>
        <w:ind w:left="1416"/>
        <w:jc w:val="both"/>
        <w:rPr>
          <w:sz w:val="24"/>
          <w:szCs w:val="24"/>
        </w:rPr>
      </w:pPr>
      <w:r>
        <w:rPr>
          <w:sz w:val="24"/>
          <w:szCs w:val="24"/>
        </w:rPr>
        <w:t>4.4.1 ÚNICA CAUSA DE EXONERACIÓN ADMITIDA LEGALMENTE …</w:t>
      </w:r>
      <w:r w:rsidR="00C33F81">
        <w:rPr>
          <w:sz w:val="24"/>
          <w:szCs w:val="24"/>
        </w:rPr>
        <w:t>……………………………………………………………………</w:t>
      </w:r>
      <w:r w:rsidR="00F9520F">
        <w:rPr>
          <w:sz w:val="24"/>
          <w:szCs w:val="24"/>
        </w:rPr>
        <w:t>..</w:t>
      </w:r>
      <w:r>
        <w:rPr>
          <w:sz w:val="24"/>
          <w:szCs w:val="24"/>
        </w:rPr>
        <w:t xml:space="preserve"> </w:t>
      </w:r>
      <w:r w:rsidR="00C33F81">
        <w:rPr>
          <w:sz w:val="24"/>
          <w:szCs w:val="24"/>
        </w:rPr>
        <w:t xml:space="preserve">            </w:t>
      </w:r>
      <w:r w:rsidR="00F9520F">
        <w:rPr>
          <w:sz w:val="24"/>
          <w:szCs w:val="24"/>
        </w:rPr>
        <w:t>35</w:t>
      </w:r>
      <w:r>
        <w:rPr>
          <w:sz w:val="24"/>
          <w:szCs w:val="24"/>
        </w:rPr>
        <w:t xml:space="preserve">  </w:t>
      </w:r>
    </w:p>
    <w:p w:rsidR="00E45D9E" w:rsidRDefault="00E45D9E" w:rsidP="00DE2086">
      <w:pPr>
        <w:spacing w:line="360" w:lineRule="auto"/>
        <w:ind w:firstLine="708"/>
        <w:jc w:val="both"/>
        <w:rPr>
          <w:sz w:val="24"/>
          <w:szCs w:val="24"/>
        </w:rPr>
      </w:pPr>
      <w:r>
        <w:rPr>
          <w:sz w:val="24"/>
          <w:szCs w:val="24"/>
        </w:rPr>
        <w:tab/>
        <w:t>4.4.2 EXCLUSIÓN DE LOS RIESGOS DE DESARROLLO …………</w:t>
      </w:r>
      <w:r w:rsidR="00F9520F">
        <w:rPr>
          <w:sz w:val="24"/>
          <w:szCs w:val="24"/>
        </w:rPr>
        <w:t xml:space="preserve">        37</w:t>
      </w:r>
      <w:r>
        <w:rPr>
          <w:sz w:val="24"/>
          <w:szCs w:val="24"/>
        </w:rPr>
        <w:t xml:space="preserve"> </w:t>
      </w:r>
    </w:p>
    <w:p w:rsidR="003770D8" w:rsidRDefault="00D85C44" w:rsidP="001B6115">
      <w:pPr>
        <w:spacing w:line="360" w:lineRule="auto"/>
        <w:jc w:val="both"/>
        <w:rPr>
          <w:sz w:val="24"/>
          <w:szCs w:val="24"/>
        </w:rPr>
      </w:pPr>
      <w:r>
        <w:rPr>
          <w:sz w:val="24"/>
          <w:szCs w:val="24"/>
        </w:rPr>
        <w:t>5</w:t>
      </w:r>
      <w:r w:rsidR="003770D8">
        <w:rPr>
          <w:sz w:val="24"/>
          <w:szCs w:val="24"/>
        </w:rPr>
        <w:t xml:space="preserve">. </w:t>
      </w:r>
      <w:r w:rsidR="007D4453">
        <w:rPr>
          <w:sz w:val="24"/>
          <w:szCs w:val="24"/>
        </w:rPr>
        <w:t>PROCEDIMIENTO DE LA RESPONSABILIDAD PATRIMONIAL ………………</w:t>
      </w:r>
      <w:r w:rsidR="00F9520F">
        <w:rPr>
          <w:sz w:val="24"/>
          <w:szCs w:val="24"/>
        </w:rPr>
        <w:t xml:space="preserve">      38</w:t>
      </w:r>
    </w:p>
    <w:p w:rsidR="007D4453" w:rsidRDefault="007D4453" w:rsidP="001B6115">
      <w:pPr>
        <w:spacing w:line="360" w:lineRule="auto"/>
        <w:jc w:val="both"/>
        <w:rPr>
          <w:sz w:val="24"/>
          <w:szCs w:val="24"/>
        </w:rPr>
      </w:pPr>
      <w:r>
        <w:rPr>
          <w:sz w:val="24"/>
          <w:szCs w:val="24"/>
        </w:rPr>
        <w:tab/>
        <w:t>5.1 INICIACIÓN ………………………………………………………………</w:t>
      </w:r>
      <w:r w:rsidR="00F9520F">
        <w:rPr>
          <w:sz w:val="24"/>
          <w:szCs w:val="24"/>
        </w:rPr>
        <w:t xml:space="preserve">          38</w:t>
      </w:r>
    </w:p>
    <w:p w:rsidR="007D4453" w:rsidRDefault="007D4453" w:rsidP="001B6115">
      <w:pPr>
        <w:spacing w:line="360" w:lineRule="auto"/>
        <w:jc w:val="both"/>
        <w:rPr>
          <w:sz w:val="24"/>
          <w:szCs w:val="24"/>
        </w:rPr>
      </w:pPr>
      <w:r>
        <w:rPr>
          <w:sz w:val="24"/>
          <w:szCs w:val="24"/>
        </w:rPr>
        <w:tab/>
      </w:r>
      <w:r>
        <w:rPr>
          <w:sz w:val="24"/>
          <w:szCs w:val="24"/>
        </w:rPr>
        <w:tab/>
        <w:t>5.1.1 INICIACIÓN DE OFICIO ………………………………………</w:t>
      </w:r>
      <w:r w:rsidR="00F9520F">
        <w:rPr>
          <w:sz w:val="24"/>
          <w:szCs w:val="24"/>
        </w:rPr>
        <w:t xml:space="preserve">          38</w:t>
      </w:r>
    </w:p>
    <w:p w:rsidR="007D4453" w:rsidRDefault="007D4453" w:rsidP="001B6115">
      <w:pPr>
        <w:spacing w:line="360" w:lineRule="auto"/>
        <w:jc w:val="both"/>
        <w:rPr>
          <w:sz w:val="24"/>
          <w:szCs w:val="24"/>
        </w:rPr>
      </w:pPr>
      <w:r>
        <w:rPr>
          <w:sz w:val="24"/>
          <w:szCs w:val="24"/>
        </w:rPr>
        <w:tab/>
      </w:r>
      <w:r>
        <w:rPr>
          <w:sz w:val="24"/>
          <w:szCs w:val="24"/>
        </w:rPr>
        <w:tab/>
        <w:t>5.1.2 INICIACIÓN MEDIANTE RECLAMACIÓN …………………</w:t>
      </w:r>
      <w:r w:rsidR="00F9520F">
        <w:rPr>
          <w:sz w:val="24"/>
          <w:szCs w:val="24"/>
        </w:rPr>
        <w:t xml:space="preserve">           39</w:t>
      </w:r>
    </w:p>
    <w:p w:rsidR="007D4453" w:rsidRDefault="007D4453" w:rsidP="001B6115">
      <w:pPr>
        <w:spacing w:line="360" w:lineRule="auto"/>
        <w:jc w:val="both"/>
        <w:rPr>
          <w:sz w:val="24"/>
          <w:szCs w:val="24"/>
        </w:rPr>
      </w:pPr>
      <w:r>
        <w:rPr>
          <w:sz w:val="24"/>
          <w:szCs w:val="24"/>
        </w:rPr>
        <w:tab/>
        <w:t>5.2 INSTRUCCIÓN …………………………………………………………</w:t>
      </w:r>
      <w:r w:rsidR="00F9520F">
        <w:rPr>
          <w:sz w:val="24"/>
          <w:szCs w:val="24"/>
        </w:rPr>
        <w:t xml:space="preserve">             40</w:t>
      </w:r>
    </w:p>
    <w:p w:rsidR="007D4453" w:rsidRDefault="007D4453" w:rsidP="001B6115">
      <w:pPr>
        <w:spacing w:line="360" w:lineRule="auto"/>
        <w:jc w:val="both"/>
        <w:rPr>
          <w:sz w:val="24"/>
          <w:szCs w:val="24"/>
        </w:rPr>
      </w:pPr>
      <w:r>
        <w:rPr>
          <w:sz w:val="24"/>
          <w:szCs w:val="24"/>
        </w:rPr>
        <w:tab/>
      </w:r>
      <w:r>
        <w:rPr>
          <w:sz w:val="24"/>
          <w:szCs w:val="24"/>
        </w:rPr>
        <w:tab/>
        <w:t>5.2.1 PRUEBA ………………………………………………………</w:t>
      </w:r>
      <w:r w:rsidR="00F9520F">
        <w:rPr>
          <w:sz w:val="24"/>
          <w:szCs w:val="24"/>
        </w:rPr>
        <w:t xml:space="preserve">             40</w:t>
      </w:r>
    </w:p>
    <w:p w:rsidR="007D4453" w:rsidRDefault="007D4453" w:rsidP="001B6115">
      <w:pPr>
        <w:spacing w:line="360" w:lineRule="auto"/>
        <w:jc w:val="both"/>
        <w:rPr>
          <w:sz w:val="24"/>
          <w:szCs w:val="24"/>
        </w:rPr>
      </w:pPr>
      <w:r>
        <w:rPr>
          <w:sz w:val="24"/>
          <w:szCs w:val="24"/>
        </w:rPr>
        <w:tab/>
      </w:r>
      <w:r>
        <w:rPr>
          <w:sz w:val="24"/>
          <w:szCs w:val="24"/>
        </w:rPr>
        <w:tab/>
      </w:r>
      <w:r>
        <w:rPr>
          <w:sz w:val="24"/>
          <w:szCs w:val="24"/>
        </w:rPr>
        <w:tab/>
        <w:t xml:space="preserve">5.2.1.1 PROPOSICIÓN DE </w:t>
      </w:r>
      <w:r w:rsidR="00736135">
        <w:rPr>
          <w:sz w:val="24"/>
          <w:szCs w:val="24"/>
        </w:rPr>
        <w:t xml:space="preserve">LA </w:t>
      </w:r>
      <w:r>
        <w:rPr>
          <w:sz w:val="24"/>
          <w:szCs w:val="24"/>
        </w:rPr>
        <w:t>PRUEBA ……………………</w:t>
      </w:r>
      <w:r w:rsidR="00736135">
        <w:rPr>
          <w:sz w:val="24"/>
          <w:szCs w:val="24"/>
        </w:rPr>
        <w:t>....</w:t>
      </w:r>
      <w:r w:rsidR="00F9520F">
        <w:rPr>
          <w:sz w:val="24"/>
          <w:szCs w:val="24"/>
        </w:rPr>
        <w:t xml:space="preserve">      40</w:t>
      </w:r>
    </w:p>
    <w:p w:rsidR="007D4453" w:rsidRDefault="007D4453" w:rsidP="007D4453">
      <w:pPr>
        <w:spacing w:line="360" w:lineRule="auto"/>
        <w:ind w:left="2124"/>
        <w:jc w:val="both"/>
        <w:rPr>
          <w:sz w:val="24"/>
          <w:szCs w:val="24"/>
        </w:rPr>
      </w:pPr>
      <w:r>
        <w:rPr>
          <w:sz w:val="24"/>
          <w:szCs w:val="24"/>
        </w:rPr>
        <w:t>5.2.1.2 VALORACIÓN DE LA PRUEBA: ESPECIAL REFERENCIA A LA PRUEBA PERICIAL Y A LA HISTORIA CLÍNICA ………………………………………………………………</w:t>
      </w:r>
      <w:r w:rsidR="00F9520F">
        <w:rPr>
          <w:sz w:val="24"/>
          <w:szCs w:val="24"/>
        </w:rPr>
        <w:t xml:space="preserve">               41</w:t>
      </w:r>
    </w:p>
    <w:p w:rsidR="007D4453" w:rsidRDefault="007D4453" w:rsidP="001B6115">
      <w:pPr>
        <w:spacing w:line="360" w:lineRule="auto"/>
        <w:jc w:val="both"/>
        <w:rPr>
          <w:sz w:val="24"/>
          <w:szCs w:val="24"/>
        </w:rPr>
      </w:pPr>
      <w:r>
        <w:rPr>
          <w:sz w:val="24"/>
          <w:szCs w:val="24"/>
        </w:rPr>
        <w:tab/>
      </w:r>
      <w:r>
        <w:rPr>
          <w:sz w:val="24"/>
          <w:szCs w:val="24"/>
        </w:rPr>
        <w:tab/>
        <w:t>5.2.2 AUDIENCIA AL INTERESADO ………………………….</w:t>
      </w:r>
      <w:r w:rsidR="00F9520F">
        <w:rPr>
          <w:sz w:val="24"/>
          <w:szCs w:val="24"/>
        </w:rPr>
        <w:t xml:space="preserve">                 42</w:t>
      </w:r>
    </w:p>
    <w:p w:rsidR="007D4453" w:rsidRDefault="007D4453" w:rsidP="007D4453">
      <w:pPr>
        <w:spacing w:line="360" w:lineRule="auto"/>
        <w:ind w:left="1416"/>
        <w:jc w:val="both"/>
        <w:rPr>
          <w:sz w:val="24"/>
          <w:szCs w:val="24"/>
        </w:rPr>
      </w:pPr>
      <w:r>
        <w:rPr>
          <w:sz w:val="24"/>
          <w:szCs w:val="24"/>
        </w:rPr>
        <w:t>5.2.3 DICTAMEN DEL CONSEJO DE ESTADO U ÓRGANO CONSULTIVO DE LA COMUNIDAD AUTÓNOMA …………………………………………………………………</w:t>
      </w:r>
      <w:r w:rsidR="00F9520F">
        <w:rPr>
          <w:sz w:val="24"/>
          <w:szCs w:val="24"/>
        </w:rPr>
        <w:t>.....                  43</w:t>
      </w:r>
    </w:p>
    <w:p w:rsidR="007D4453" w:rsidRDefault="007D4453" w:rsidP="007D4453">
      <w:pPr>
        <w:spacing w:line="360" w:lineRule="auto"/>
        <w:jc w:val="both"/>
        <w:rPr>
          <w:sz w:val="24"/>
          <w:szCs w:val="24"/>
        </w:rPr>
      </w:pPr>
      <w:r>
        <w:rPr>
          <w:sz w:val="24"/>
          <w:szCs w:val="24"/>
        </w:rPr>
        <w:tab/>
        <w:t>5.3 TERMINACIÓN ………………………………………………………</w:t>
      </w:r>
      <w:r w:rsidR="00F9520F">
        <w:rPr>
          <w:sz w:val="24"/>
          <w:szCs w:val="24"/>
        </w:rPr>
        <w:t xml:space="preserve">                43</w:t>
      </w:r>
    </w:p>
    <w:p w:rsidR="007D4453" w:rsidRDefault="007D4453" w:rsidP="007D4453">
      <w:pPr>
        <w:spacing w:line="360" w:lineRule="auto"/>
        <w:jc w:val="both"/>
        <w:rPr>
          <w:sz w:val="24"/>
          <w:szCs w:val="24"/>
        </w:rPr>
      </w:pPr>
      <w:r>
        <w:rPr>
          <w:sz w:val="24"/>
          <w:szCs w:val="24"/>
        </w:rPr>
        <w:tab/>
      </w:r>
      <w:r>
        <w:rPr>
          <w:sz w:val="24"/>
          <w:szCs w:val="24"/>
        </w:rPr>
        <w:tab/>
        <w:t>5.3.1 TERMINACIÓN CONVENCIONAL ………………</w:t>
      </w:r>
      <w:r w:rsidR="00F9520F">
        <w:rPr>
          <w:sz w:val="24"/>
          <w:szCs w:val="24"/>
        </w:rPr>
        <w:t>......                      43</w:t>
      </w:r>
    </w:p>
    <w:p w:rsidR="007D4453" w:rsidRDefault="007D4453" w:rsidP="007D4453">
      <w:pPr>
        <w:spacing w:line="360" w:lineRule="auto"/>
        <w:jc w:val="both"/>
        <w:rPr>
          <w:sz w:val="24"/>
          <w:szCs w:val="24"/>
        </w:rPr>
      </w:pPr>
      <w:r>
        <w:rPr>
          <w:sz w:val="24"/>
          <w:szCs w:val="24"/>
        </w:rPr>
        <w:tab/>
      </w:r>
      <w:r>
        <w:rPr>
          <w:sz w:val="24"/>
          <w:szCs w:val="24"/>
        </w:rPr>
        <w:tab/>
        <w:t>5.3.2 RESOLUCIÓN ……………………………………………</w:t>
      </w:r>
      <w:r w:rsidR="00F9520F">
        <w:rPr>
          <w:sz w:val="24"/>
          <w:szCs w:val="24"/>
        </w:rPr>
        <w:t xml:space="preserve">                   44</w:t>
      </w:r>
    </w:p>
    <w:p w:rsidR="007D4453" w:rsidRDefault="007D4453" w:rsidP="007D4453">
      <w:pPr>
        <w:spacing w:line="360" w:lineRule="auto"/>
        <w:jc w:val="both"/>
        <w:rPr>
          <w:sz w:val="24"/>
          <w:szCs w:val="24"/>
        </w:rPr>
      </w:pPr>
      <w:r>
        <w:rPr>
          <w:sz w:val="24"/>
          <w:szCs w:val="24"/>
        </w:rPr>
        <w:tab/>
      </w:r>
      <w:r>
        <w:rPr>
          <w:sz w:val="24"/>
          <w:szCs w:val="24"/>
        </w:rPr>
        <w:tab/>
        <w:t>5.3.3 SILENCIO ADMINISTRATIVO ……………………………</w:t>
      </w:r>
      <w:r w:rsidR="00F9520F">
        <w:rPr>
          <w:sz w:val="24"/>
          <w:szCs w:val="24"/>
        </w:rPr>
        <w:t xml:space="preserve">               44</w:t>
      </w:r>
    </w:p>
    <w:p w:rsidR="009F4A00" w:rsidRDefault="00D85C44" w:rsidP="001B6115">
      <w:pPr>
        <w:spacing w:line="360" w:lineRule="auto"/>
        <w:jc w:val="both"/>
        <w:rPr>
          <w:sz w:val="24"/>
          <w:szCs w:val="24"/>
        </w:rPr>
      </w:pPr>
      <w:r>
        <w:rPr>
          <w:sz w:val="24"/>
          <w:szCs w:val="24"/>
        </w:rPr>
        <w:t>6</w:t>
      </w:r>
      <w:r w:rsidR="009F4A00">
        <w:rPr>
          <w:sz w:val="24"/>
          <w:szCs w:val="24"/>
        </w:rPr>
        <w:t>.</w:t>
      </w:r>
      <w:r w:rsidR="0077556F">
        <w:rPr>
          <w:sz w:val="24"/>
          <w:szCs w:val="24"/>
        </w:rPr>
        <w:t xml:space="preserve"> CONCLUSIONES</w:t>
      </w:r>
      <w:r w:rsidR="00997126">
        <w:rPr>
          <w:sz w:val="24"/>
          <w:szCs w:val="24"/>
        </w:rPr>
        <w:t xml:space="preserve"> ……………………………………………………………</w:t>
      </w:r>
      <w:r w:rsidR="003D1A26">
        <w:rPr>
          <w:sz w:val="24"/>
          <w:szCs w:val="24"/>
        </w:rPr>
        <w:t xml:space="preserve">      </w:t>
      </w:r>
      <w:r w:rsidR="005A6CED">
        <w:rPr>
          <w:sz w:val="24"/>
          <w:szCs w:val="24"/>
        </w:rPr>
        <w:t xml:space="preserve">             </w:t>
      </w:r>
      <w:r w:rsidR="003D1A26">
        <w:rPr>
          <w:sz w:val="24"/>
          <w:szCs w:val="24"/>
        </w:rPr>
        <w:t>45</w:t>
      </w:r>
      <w:r w:rsidR="005A6CED">
        <w:rPr>
          <w:sz w:val="24"/>
          <w:szCs w:val="24"/>
        </w:rPr>
        <w:t xml:space="preserve">  </w:t>
      </w:r>
    </w:p>
    <w:p w:rsidR="009F4A00" w:rsidRDefault="00D85C44" w:rsidP="001B6115">
      <w:pPr>
        <w:spacing w:line="360" w:lineRule="auto"/>
        <w:jc w:val="both"/>
        <w:rPr>
          <w:sz w:val="24"/>
          <w:szCs w:val="24"/>
        </w:rPr>
      </w:pPr>
      <w:r>
        <w:rPr>
          <w:sz w:val="24"/>
          <w:szCs w:val="24"/>
        </w:rPr>
        <w:t>7</w:t>
      </w:r>
      <w:r w:rsidR="009F4A00">
        <w:rPr>
          <w:sz w:val="24"/>
          <w:szCs w:val="24"/>
        </w:rPr>
        <w:t>.</w:t>
      </w:r>
      <w:r w:rsidR="0077556F">
        <w:rPr>
          <w:sz w:val="24"/>
          <w:szCs w:val="24"/>
        </w:rPr>
        <w:t xml:space="preserve"> BIBLIOGRAFÍA</w:t>
      </w:r>
      <w:r w:rsidR="00997126">
        <w:rPr>
          <w:sz w:val="24"/>
          <w:szCs w:val="24"/>
        </w:rPr>
        <w:t xml:space="preserve"> …………………………………………………………………</w:t>
      </w:r>
      <w:r w:rsidR="003D1A26">
        <w:rPr>
          <w:sz w:val="24"/>
          <w:szCs w:val="24"/>
        </w:rPr>
        <w:t xml:space="preserve">             47</w:t>
      </w:r>
      <w:r w:rsidR="005A6CED">
        <w:rPr>
          <w:sz w:val="24"/>
          <w:szCs w:val="24"/>
        </w:rPr>
        <w:t xml:space="preserve">               </w:t>
      </w:r>
    </w:p>
    <w:p w:rsidR="009F4A00" w:rsidRDefault="009F4A00" w:rsidP="001B6115">
      <w:pPr>
        <w:spacing w:line="360" w:lineRule="auto"/>
        <w:jc w:val="both"/>
        <w:rPr>
          <w:sz w:val="24"/>
          <w:szCs w:val="24"/>
        </w:rPr>
      </w:pPr>
    </w:p>
    <w:p w:rsidR="009F4A00" w:rsidRDefault="009F4A00" w:rsidP="001B6115">
      <w:pPr>
        <w:spacing w:line="360" w:lineRule="auto"/>
        <w:jc w:val="both"/>
        <w:rPr>
          <w:sz w:val="24"/>
          <w:szCs w:val="24"/>
        </w:rPr>
      </w:pPr>
    </w:p>
    <w:p w:rsidR="009F4A00" w:rsidRDefault="009F4A00" w:rsidP="001B6115">
      <w:pPr>
        <w:spacing w:line="360" w:lineRule="auto"/>
        <w:jc w:val="both"/>
        <w:rPr>
          <w:sz w:val="24"/>
          <w:szCs w:val="24"/>
        </w:rPr>
      </w:pPr>
    </w:p>
    <w:p w:rsidR="009F4A00" w:rsidRDefault="009F4A00" w:rsidP="001B6115">
      <w:pPr>
        <w:spacing w:line="360" w:lineRule="auto"/>
        <w:jc w:val="both"/>
        <w:rPr>
          <w:sz w:val="24"/>
          <w:szCs w:val="24"/>
        </w:rPr>
      </w:pPr>
    </w:p>
    <w:p w:rsidR="009F4A00" w:rsidRDefault="009F4A00" w:rsidP="001B6115">
      <w:pPr>
        <w:spacing w:line="360" w:lineRule="auto"/>
        <w:jc w:val="both"/>
        <w:rPr>
          <w:sz w:val="24"/>
          <w:szCs w:val="24"/>
        </w:rPr>
      </w:pPr>
    </w:p>
    <w:p w:rsidR="009F4A00" w:rsidRDefault="009F4A00" w:rsidP="001B6115">
      <w:pPr>
        <w:spacing w:line="360" w:lineRule="auto"/>
        <w:jc w:val="both"/>
        <w:rPr>
          <w:sz w:val="24"/>
          <w:szCs w:val="24"/>
        </w:rPr>
      </w:pPr>
    </w:p>
    <w:p w:rsidR="00277949" w:rsidRDefault="00277949" w:rsidP="001B6115">
      <w:pPr>
        <w:spacing w:line="360" w:lineRule="auto"/>
        <w:jc w:val="both"/>
        <w:rPr>
          <w:sz w:val="24"/>
          <w:szCs w:val="24"/>
        </w:rPr>
      </w:pPr>
    </w:p>
    <w:p w:rsidR="00997126" w:rsidRDefault="00997126" w:rsidP="001B6115">
      <w:pPr>
        <w:spacing w:line="360" w:lineRule="auto"/>
        <w:jc w:val="both"/>
        <w:rPr>
          <w:sz w:val="24"/>
          <w:szCs w:val="24"/>
        </w:rPr>
      </w:pPr>
    </w:p>
    <w:p w:rsidR="00997126" w:rsidRDefault="00997126" w:rsidP="001B6115">
      <w:pPr>
        <w:spacing w:line="360" w:lineRule="auto"/>
        <w:jc w:val="both"/>
        <w:rPr>
          <w:sz w:val="24"/>
          <w:szCs w:val="24"/>
        </w:rPr>
      </w:pPr>
    </w:p>
    <w:p w:rsidR="007D4453" w:rsidRDefault="007D4453" w:rsidP="001B6115">
      <w:pPr>
        <w:spacing w:line="360" w:lineRule="auto"/>
        <w:jc w:val="both"/>
        <w:rPr>
          <w:sz w:val="24"/>
          <w:szCs w:val="24"/>
        </w:rPr>
      </w:pPr>
    </w:p>
    <w:p w:rsidR="009F4A00" w:rsidRDefault="009F4A00" w:rsidP="001B6115">
      <w:pPr>
        <w:spacing w:line="360" w:lineRule="auto"/>
        <w:jc w:val="both"/>
        <w:rPr>
          <w:sz w:val="24"/>
          <w:szCs w:val="24"/>
        </w:rPr>
      </w:pPr>
      <w:r>
        <w:rPr>
          <w:sz w:val="24"/>
          <w:szCs w:val="24"/>
        </w:rPr>
        <w:lastRenderedPageBreak/>
        <w:t>1. INTRODUCCIÓN</w:t>
      </w:r>
    </w:p>
    <w:p w:rsidR="00842827" w:rsidRPr="00842827" w:rsidRDefault="000B0565" w:rsidP="00F53F9B">
      <w:pPr>
        <w:spacing w:line="360" w:lineRule="auto"/>
        <w:ind w:firstLine="709"/>
        <w:jc w:val="both"/>
        <w:rPr>
          <w:sz w:val="24"/>
          <w:szCs w:val="24"/>
        </w:rPr>
      </w:pPr>
      <w:r>
        <w:rPr>
          <w:sz w:val="24"/>
          <w:szCs w:val="24"/>
        </w:rPr>
        <w:t xml:space="preserve">Es necesario señalar, </w:t>
      </w:r>
      <w:r w:rsidR="009F4A00">
        <w:rPr>
          <w:sz w:val="24"/>
          <w:szCs w:val="24"/>
        </w:rPr>
        <w:t>que la responsabilidad patrimonial de las Administraciones Públicas (teniendo su comienzo en la responsabilidad civil del Derecho Privado) se ha configurado y asentado en nuestro ordenamiento jurídico como un organismo</w:t>
      </w:r>
      <w:r w:rsidR="001A0AC8">
        <w:rPr>
          <w:sz w:val="24"/>
          <w:szCs w:val="24"/>
        </w:rPr>
        <w:t xml:space="preserve"> (institución)</w:t>
      </w:r>
      <w:r w:rsidR="009F4A00">
        <w:rPr>
          <w:sz w:val="24"/>
          <w:szCs w:val="24"/>
        </w:rPr>
        <w:t xml:space="preserve"> propio del Derecho Administrativo, siendo dicha responsabilidad junto al principio de legalidad, uno de los grandes soportes con los que cuenta nuestro sistema administrativo.</w:t>
      </w:r>
      <w:r w:rsidR="001A0AC8">
        <w:rPr>
          <w:sz w:val="24"/>
          <w:szCs w:val="24"/>
        </w:rPr>
        <w:t xml:space="preserve"> </w:t>
      </w:r>
      <w:r w:rsidR="00001555" w:rsidRPr="004D3DF4">
        <w:rPr>
          <w:color w:val="000000" w:themeColor="text1"/>
          <w:sz w:val="24"/>
          <w:szCs w:val="24"/>
        </w:rPr>
        <w:t xml:space="preserve">Esta idea puede ser más completa </w:t>
      </w:r>
      <w:r w:rsidR="000A4CC2" w:rsidRPr="004D3DF4">
        <w:rPr>
          <w:color w:val="000000" w:themeColor="text1"/>
          <w:sz w:val="24"/>
          <w:szCs w:val="24"/>
        </w:rPr>
        <w:t xml:space="preserve">aún </w:t>
      </w:r>
      <w:r w:rsidR="00001555" w:rsidRPr="004D3DF4">
        <w:rPr>
          <w:color w:val="000000" w:themeColor="text1"/>
          <w:sz w:val="24"/>
          <w:szCs w:val="24"/>
        </w:rPr>
        <w:t xml:space="preserve">gracias a </w:t>
      </w:r>
      <w:r w:rsidR="001A0AC8" w:rsidRPr="004D3DF4">
        <w:rPr>
          <w:color w:val="000000" w:themeColor="text1"/>
          <w:sz w:val="24"/>
          <w:szCs w:val="24"/>
        </w:rPr>
        <w:t>Gar</w:t>
      </w:r>
      <w:r w:rsidR="00001555" w:rsidRPr="004D3DF4">
        <w:rPr>
          <w:color w:val="000000" w:themeColor="text1"/>
          <w:sz w:val="24"/>
          <w:szCs w:val="24"/>
        </w:rPr>
        <w:t xml:space="preserve">cía de Enterría (2007) que afirma que </w:t>
      </w:r>
      <w:r w:rsidR="005D5BDF" w:rsidRPr="004D3DF4">
        <w:rPr>
          <w:i/>
          <w:color w:val="000000" w:themeColor="text1"/>
          <w:sz w:val="24"/>
          <w:szCs w:val="24"/>
        </w:rPr>
        <w:t>“l</w:t>
      </w:r>
      <w:r w:rsidR="00001555" w:rsidRPr="004D3DF4">
        <w:rPr>
          <w:i/>
          <w:color w:val="000000" w:themeColor="text1"/>
          <w:sz w:val="24"/>
          <w:szCs w:val="24"/>
        </w:rPr>
        <w:t>a responsabilidad se entiende a partir del siglo pasado, como complemento indispensable y contrapartida del principio de libertad, al que equilibra en su exigencia moral y con el que edifica conjuntamente, de la mano de la igualdad, el principio de solidaridad que ha de presidir el siglo en que nos encontramos”</w:t>
      </w:r>
      <w:r w:rsidR="00001555" w:rsidRPr="004D3DF4">
        <w:rPr>
          <w:color w:val="000000" w:themeColor="text1"/>
          <w:sz w:val="24"/>
          <w:szCs w:val="24"/>
        </w:rPr>
        <w:t>.</w:t>
      </w:r>
    </w:p>
    <w:p w:rsidR="009F4A00" w:rsidRDefault="009F4A00" w:rsidP="009F4A00">
      <w:pPr>
        <w:spacing w:line="360" w:lineRule="auto"/>
        <w:ind w:firstLine="709"/>
        <w:jc w:val="both"/>
        <w:rPr>
          <w:sz w:val="24"/>
          <w:szCs w:val="24"/>
        </w:rPr>
      </w:pPr>
      <w:r>
        <w:rPr>
          <w:sz w:val="24"/>
          <w:szCs w:val="24"/>
        </w:rPr>
        <w:t>Puede asegurarse, sin duda alguna, que la responsabilidad patrimonial de las Administrac</w:t>
      </w:r>
      <w:r w:rsidR="00253FB8">
        <w:rPr>
          <w:sz w:val="24"/>
          <w:szCs w:val="24"/>
        </w:rPr>
        <w:t xml:space="preserve">iones Públicas supone un respaldo para el ciudadano y, </w:t>
      </w:r>
      <w:r>
        <w:rPr>
          <w:sz w:val="24"/>
          <w:szCs w:val="24"/>
        </w:rPr>
        <w:t>tiene como fin resguardar al ciudadano que irrazonablemente ha sido perjudicado por la actividad de la Administración Pública (al igual que sucede con la expropiación forzosa). Dicho esto, existe una gran diferencia entre la responsabilidad patrimonial y la expropiación forzosa:</w:t>
      </w:r>
      <w:r w:rsidR="001F4162">
        <w:rPr>
          <w:sz w:val="24"/>
          <w:szCs w:val="24"/>
        </w:rPr>
        <w:t xml:space="preserve"> </w:t>
      </w:r>
      <w:r w:rsidR="00253FB8">
        <w:rPr>
          <w:sz w:val="24"/>
          <w:szCs w:val="24"/>
        </w:rPr>
        <w:t xml:space="preserve">en </w:t>
      </w:r>
      <w:r w:rsidR="001F4162">
        <w:rPr>
          <w:sz w:val="24"/>
          <w:szCs w:val="24"/>
        </w:rPr>
        <w:t>la responsabilidad patrimonial</w:t>
      </w:r>
      <w:r w:rsidR="00C708E3">
        <w:rPr>
          <w:sz w:val="24"/>
          <w:szCs w:val="24"/>
        </w:rPr>
        <w:t>,</w:t>
      </w:r>
      <w:r w:rsidR="001F4162">
        <w:rPr>
          <w:sz w:val="24"/>
          <w:szCs w:val="24"/>
        </w:rPr>
        <w:t xml:space="preserve"> </w:t>
      </w:r>
      <w:r w:rsidR="00C708E3">
        <w:rPr>
          <w:sz w:val="24"/>
          <w:szCs w:val="24"/>
        </w:rPr>
        <w:t>la actividad administrativa busca satisfacer las necesidades públicas</w:t>
      </w:r>
      <w:r w:rsidR="00253FB8">
        <w:rPr>
          <w:sz w:val="24"/>
          <w:szCs w:val="24"/>
        </w:rPr>
        <w:t xml:space="preserve">, mientras </w:t>
      </w:r>
      <w:r w:rsidR="002F653E">
        <w:rPr>
          <w:sz w:val="24"/>
          <w:szCs w:val="24"/>
        </w:rPr>
        <w:t>que,</w:t>
      </w:r>
      <w:r w:rsidR="00253FB8">
        <w:rPr>
          <w:sz w:val="24"/>
          <w:szCs w:val="24"/>
        </w:rPr>
        <w:t xml:space="preserve"> en la expropiación forzosa, la actividad administrativa busca de manera directa y voluntariamente</w:t>
      </w:r>
      <w:r w:rsidR="002F653E">
        <w:rPr>
          <w:sz w:val="24"/>
          <w:szCs w:val="24"/>
        </w:rPr>
        <w:t xml:space="preserve"> el deterioro patrimonial del ciudadano.</w:t>
      </w:r>
    </w:p>
    <w:p w:rsidR="002F653E" w:rsidRDefault="00C84CC6" w:rsidP="009F4A00">
      <w:pPr>
        <w:spacing w:line="360" w:lineRule="auto"/>
        <w:ind w:firstLine="709"/>
        <w:jc w:val="both"/>
        <w:rPr>
          <w:sz w:val="24"/>
          <w:szCs w:val="24"/>
        </w:rPr>
      </w:pPr>
      <w:r>
        <w:rPr>
          <w:sz w:val="24"/>
          <w:szCs w:val="24"/>
        </w:rPr>
        <w:t>Existe un gran abanico de casos de responsabil</w:t>
      </w:r>
      <w:r w:rsidR="00B14DC8">
        <w:rPr>
          <w:sz w:val="24"/>
          <w:szCs w:val="24"/>
        </w:rPr>
        <w:t>idad administrativa, aunque</w:t>
      </w:r>
      <w:r>
        <w:rPr>
          <w:sz w:val="24"/>
          <w:szCs w:val="24"/>
        </w:rPr>
        <w:t>, juega un papel fundamental la responsabilidad patrimonial en materia sanitaria. Sólo sería necesario pensar en la actividad realizada por la Administración sanitaria, la cual es la curación de los pacientes que tengan</w:t>
      </w:r>
      <w:r w:rsidR="00B06A41">
        <w:rPr>
          <w:sz w:val="24"/>
          <w:szCs w:val="24"/>
        </w:rPr>
        <w:t xml:space="preserve"> algún problema de salud, para reconocer que hablamos de una actividad</w:t>
      </w:r>
      <w:r w:rsidR="00B06A41">
        <w:rPr>
          <w:rStyle w:val="Refdenotaalpie"/>
          <w:sz w:val="24"/>
          <w:szCs w:val="24"/>
        </w:rPr>
        <w:footnoteReference w:id="1"/>
      </w:r>
      <w:r w:rsidR="00B06A41">
        <w:rPr>
          <w:sz w:val="24"/>
          <w:szCs w:val="24"/>
        </w:rPr>
        <w:t xml:space="preserve"> con un alto porcentaje de peligrosidad, donde, a diario los riesgos son habituales, cosa que no sucede con el resto de sectores con los que cuenta la actuación administrativa.</w:t>
      </w:r>
      <w:r w:rsidR="00157234">
        <w:rPr>
          <w:sz w:val="24"/>
          <w:szCs w:val="24"/>
        </w:rPr>
        <w:t xml:space="preserve"> Esto permite explicar: 1º la medicina defensiva que los médicos están realizando, para impedir que puedan ser acusados de una mala práctica o se les pueda imputar un estado de dejadez o abandono en la tarea de investigar el motivo de la enfermedad del paciente, 2º el alto número de demandas que se presentan.</w:t>
      </w:r>
    </w:p>
    <w:p w:rsidR="00157234" w:rsidRDefault="00157234" w:rsidP="009F4A00">
      <w:pPr>
        <w:spacing w:line="360" w:lineRule="auto"/>
        <w:ind w:firstLine="709"/>
        <w:jc w:val="both"/>
        <w:rPr>
          <w:sz w:val="24"/>
          <w:szCs w:val="24"/>
        </w:rPr>
      </w:pPr>
      <w:r>
        <w:rPr>
          <w:sz w:val="24"/>
          <w:szCs w:val="24"/>
        </w:rPr>
        <w:t>La responsabilidad patrimonial de la Administraci</w:t>
      </w:r>
      <w:r w:rsidR="00672799">
        <w:rPr>
          <w:sz w:val="24"/>
          <w:szCs w:val="24"/>
        </w:rPr>
        <w:t xml:space="preserve">ón ha pasado por varias etapas, donde en la primera etapa encontrábamos una irresponsabilidad total por parte de la </w:t>
      </w:r>
      <w:r w:rsidR="00672799">
        <w:rPr>
          <w:sz w:val="24"/>
          <w:szCs w:val="24"/>
        </w:rPr>
        <w:lastRenderedPageBreak/>
        <w:t>Administración, hasta llegar a la etapa actual, en la que descubrimos que la responsabilidad patrimonial cuenta con unas notas esenciales, que son su carácter objetivo y directo.</w:t>
      </w:r>
    </w:p>
    <w:p w:rsidR="00672799" w:rsidRDefault="006C25CE" w:rsidP="009F4A00">
      <w:pPr>
        <w:spacing w:line="360" w:lineRule="auto"/>
        <w:ind w:firstLine="709"/>
        <w:jc w:val="both"/>
        <w:rPr>
          <w:sz w:val="24"/>
          <w:szCs w:val="24"/>
        </w:rPr>
      </w:pPr>
      <w:r>
        <w:rPr>
          <w:sz w:val="24"/>
          <w:szCs w:val="24"/>
        </w:rPr>
        <w:t>Decir que la responsabilidad de la Admin</w:t>
      </w:r>
      <w:r w:rsidR="00A36811">
        <w:rPr>
          <w:sz w:val="24"/>
          <w:szCs w:val="24"/>
        </w:rPr>
        <w:t xml:space="preserve">istración es objetiva significa </w:t>
      </w:r>
      <w:r>
        <w:rPr>
          <w:sz w:val="24"/>
          <w:szCs w:val="24"/>
        </w:rPr>
        <w:t xml:space="preserve">que no depende </w:t>
      </w:r>
      <w:r w:rsidR="0009383D">
        <w:rPr>
          <w:sz w:val="24"/>
          <w:szCs w:val="24"/>
        </w:rPr>
        <w:t xml:space="preserve">tanto </w:t>
      </w:r>
      <w:r>
        <w:rPr>
          <w:sz w:val="24"/>
          <w:szCs w:val="24"/>
        </w:rPr>
        <w:t>de la culpa en el actuar administrativo, sino que hace referencia en exclusiva al resultado</w:t>
      </w:r>
      <w:r w:rsidR="00A36811">
        <w:rPr>
          <w:sz w:val="24"/>
          <w:szCs w:val="24"/>
        </w:rPr>
        <w:t>: por lo tanto, el particular no tiene la obligación de demostrar la licitud o la ilicitud de la actuación de la Administración</w:t>
      </w:r>
      <w:r>
        <w:rPr>
          <w:sz w:val="24"/>
          <w:szCs w:val="24"/>
        </w:rPr>
        <w:t>. No obstante</w:t>
      </w:r>
      <w:r w:rsidR="0009383D">
        <w:rPr>
          <w:sz w:val="24"/>
          <w:szCs w:val="24"/>
        </w:rPr>
        <w:t>, la responsabilidad patrimonial de la Administración aparece tanto por el funcionamiento normal y anormal en la prestación de los servicios públicos, por esto, no es necesario que exista culpa, negligencia o dolo en el desarrollo de las actividades de sus agentes o funcionarios.</w:t>
      </w:r>
    </w:p>
    <w:p w:rsidR="0009383D" w:rsidRDefault="0062196C" w:rsidP="009F4A00">
      <w:pPr>
        <w:spacing w:line="360" w:lineRule="auto"/>
        <w:ind w:firstLine="709"/>
        <w:jc w:val="both"/>
        <w:rPr>
          <w:sz w:val="24"/>
          <w:szCs w:val="24"/>
        </w:rPr>
      </w:pPr>
      <w:r>
        <w:rPr>
          <w:sz w:val="24"/>
          <w:szCs w:val="24"/>
        </w:rPr>
        <w:t>La responsabilidad de la Administración, además de ser objetiva, también es directa y, se concreta en el derecho de los ciudadanos a ser indemnizados de forma directa por la Administración, no siendo necesaria una reclamación y tampoco saber quién ha sido</w:t>
      </w:r>
      <w:r w:rsidR="00E700A3">
        <w:rPr>
          <w:sz w:val="24"/>
          <w:szCs w:val="24"/>
        </w:rPr>
        <w:t>, con su conducta irresponsable</w:t>
      </w:r>
      <w:r>
        <w:rPr>
          <w:sz w:val="24"/>
          <w:szCs w:val="24"/>
        </w:rPr>
        <w:t>, el causante del daño (autoridad, funcionario, agente o empleado público)</w:t>
      </w:r>
      <w:r w:rsidR="00E700A3">
        <w:rPr>
          <w:sz w:val="24"/>
          <w:szCs w:val="24"/>
        </w:rPr>
        <w:t xml:space="preserve">. </w:t>
      </w:r>
      <w:r w:rsidR="00A55B83">
        <w:rPr>
          <w:sz w:val="24"/>
          <w:szCs w:val="24"/>
        </w:rPr>
        <w:t>Así, la responsabilidad patrimonial directa cubre tanto los perjuicios imputables a los agentes públicos por una mala actividad administrativ</w:t>
      </w:r>
      <w:r w:rsidR="00082B41">
        <w:rPr>
          <w:sz w:val="24"/>
          <w:szCs w:val="24"/>
        </w:rPr>
        <w:t xml:space="preserve">a como los daños causados por </w:t>
      </w:r>
      <w:r w:rsidR="00A55B83">
        <w:rPr>
          <w:sz w:val="24"/>
          <w:szCs w:val="24"/>
        </w:rPr>
        <w:t xml:space="preserve">la Administración </w:t>
      </w:r>
      <w:r w:rsidR="00082B41">
        <w:rPr>
          <w:sz w:val="24"/>
          <w:szCs w:val="24"/>
        </w:rPr>
        <w:t>o por los servicios administrativos</w:t>
      </w:r>
      <w:r w:rsidR="0064555A">
        <w:rPr>
          <w:rStyle w:val="Refdenotaalpie"/>
          <w:sz w:val="24"/>
          <w:szCs w:val="24"/>
        </w:rPr>
        <w:footnoteReference w:id="2"/>
      </w:r>
      <w:r w:rsidR="00082B41">
        <w:rPr>
          <w:sz w:val="24"/>
          <w:szCs w:val="24"/>
        </w:rPr>
        <w:t xml:space="preserve"> </w:t>
      </w:r>
      <w:r w:rsidR="00A55B83">
        <w:rPr>
          <w:sz w:val="24"/>
          <w:szCs w:val="24"/>
        </w:rPr>
        <w:t>por un funcionamiento impersonal</w:t>
      </w:r>
      <w:r w:rsidR="0064555A">
        <w:rPr>
          <w:sz w:val="24"/>
          <w:szCs w:val="24"/>
        </w:rPr>
        <w:t xml:space="preserve"> o anormal</w:t>
      </w:r>
      <w:r w:rsidR="001A0AC8">
        <w:rPr>
          <w:sz w:val="24"/>
          <w:szCs w:val="24"/>
        </w:rPr>
        <w:t>, lo que da lugar a una reparación del daño más rápida y efectiva, que permite no correr un riesgo de insolvencias.</w:t>
      </w:r>
    </w:p>
    <w:p w:rsidR="00E72322" w:rsidRDefault="00766F8E" w:rsidP="009F4A00">
      <w:pPr>
        <w:spacing w:line="360" w:lineRule="auto"/>
        <w:ind w:firstLine="709"/>
        <w:jc w:val="both"/>
        <w:rPr>
          <w:sz w:val="24"/>
          <w:szCs w:val="24"/>
        </w:rPr>
      </w:pPr>
      <w:r>
        <w:rPr>
          <w:sz w:val="24"/>
          <w:szCs w:val="24"/>
        </w:rPr>
        <w:t>Una vez expuestas todas estas consideraciones, me dispongo a desarrollar el trabajo que tengo entre manos sobre dicha responsabilidad administrativa en materia sanitaria, haciendo para ello</w:t>
      </w:r>
      <w:r w:rsidR="00E72322">
        <w:rPr>
          <w:sz w:val="24"/>
          <w:szCs w:val="24"/>
        </w:rPr>
        <w:t>, en primer lugar,</w:t>
      </w:r>
      <w:r>
        <w:rPr>
          <w:sz w:val="24"/>
          <w:szCs w:val="24"/>
        </w:rPr>
        <w:t xml:space="preserve"> un estudio sobre la evolución histórica de dicha responsabilidad patrimonial</w:t>
      </w:r>
      <w:r w:rsidR="00E72322">
        <w:rPr>
          <w:sz w:val="24"/>
          <w:szCs w:val="24"/>
        </w:rPr>
        <w:t>. Seguidamente</w:t>
      </w:r>
      <w:r w:rsidR="00AB459E">
        <w:rPr>
          <w:sz w:val="24"/>
          <w:szCs w:val="24"/>
        </w:rPr>
        <w:t>,</w:t>
      </w:r>
      <w:r w:rsidR="00E72322">
        <w:rPr>
          <w:sz w:val="24"/>
          <w:szCs w:val="24"/>
        </w:rPr>
        <w:t xml:space="preserve"> indicare con más detenimiento los caracteres que definen la responsabilidad patrimonial (carácter directo, objetivo, general y unitario, y tendente a la reparación integral)</w:t>
      </w:r>
      <w:r w:rsidR="00AB459E">
        <w:rPr>
          <w:sz w:val="24"/>
          <w:szCs w:val="24"/>
        </w:rPr>
        <w:t xml:space="preserve">. </w:t>
      </w:r>
    </w:p>
    <w:p w:rsidR="00E72322" w:rsidRDefault="00E72322" w:rsidP="009F4A00">
      <w:pPr>
        <w:spacing w:line="360" w:lineRule="auto"/>
        <w:ind w:firstLine="709"/>
        <w:jc w:val="both"/>
        <w:rPr>
          <w:sz w:val="24"/>
          <w:szCs w:val="24"/>
        </w:rPr>
      </w:pPr>
      <w:r>
        <w:rPr>
          <w:sz w:val="24"/>
          <w:szCs w:val="24"/>
        </w:rPr>
        <w:t>El grueso del trabajo, se centra, sin duda alguna, en el punto 4 de este trabajo, donde realizaremos un análisis detallado de todos los requisitos que deben concurrir para que sea efectiva la responsabilidad patrimonial de las Administraciones P</w:t>
      </w:r>
      <w:r w:rsidR="007C04B7">
        <w:rPr>
          <w:sz w:val="24"/>
          <w:szCs w:val="24"/>
        </w:rPr>
        <w:t>úblicas, y de esta manera, podremos comprobar cómo se aplica cada requisito al ámbito de la Administración sanitaria. Asimismo, comentaré muy brevemente el procedimiento que sigue la responsabilidad patrimonial.</w:t>
      </w:r>
    </w:p>
    <w:p w:rsidR="001A0AC8" w:rsidRDefault="00842827" w:rsidP="009F4A00">
      <w:pPr>
        <w:spacing w:line="360" w:lineRule="auto"/>
        <w:ind w:firstLine="709"/>
        <w:jc w:val="both"/>
        <w:rPr>
          <w:sz w:val="24"/>
          <w:szCs w:val="24"/>
        </w:rPr>
      </w:pPr>
      <w:r>
        <w:rPr>
          <w:sz w:val="24"/>
          <w:szCs w:val="24"/>
        </w:rPr>
        <w:lastRenderedPageBreak/>
        <w:t>Por último, para finalizar el trabajo, expondr</w:t>
      </w:r>
      <w:r w:rsidR="008C58B9">
        <w:rPr>
          <w:sz w:val="24"/>
          <w:szCs w:val="24"/>
        </w:rPr>
        <w:t>é una serie de conclusiones.</w:t>
      </w:r>
      <w:r w:rsidR="00226011">
        <w:rPr>
          <w:sz w:val="24"/>
          <w:szCs w:val="24"/>
        </w:rPr>
        <w:t xml:space="preserve"> En definitiva, realiza</w:t>
      </w:r>
      <w:r w:rsidR="0005026C">
        <w:rPr>
          <w:sz w:val="24"/>
          <w:szCs w:val="24"/>
        </w:rPr>
        <w:t xml:space="preserve">ré un análisis de los aspectos </w:t>
      </w:r>
      <w:r w:rsidR="00226011">
        <w:rPr>
          <w:sz w:val="24"/>
          <w:szCs w:val="24"/>
        </w:rPr>
        <w:t>que</w:t>
      </w:r>
      <w:r w:rsidR="0005026C">
        <w:rPr>
          <w:sz w:val="24"/>
          <w:szCs w:val="24"/>
        </w:rPr>
        <w:t>,</w:t>
      </w:r>
      <w:r w:rsidR="00226011">
        <w:rPr>
          <w:sz w:val="24"/>
          <w:szCs w:val="24"/>
        </w:rPr>
        <w:t xml:space="preserve"> a mi juicio, son más relevantes en este tema de la responsabilidad patrimonial.</w:t>
      </w:r>
    </w:p>
    <w:p w:rsidR="007D4453" w:rsidRDefault="007D4453" w:rsidP="000A4CC2">
      <w:pPr>
        <w:spacing w:line="360" w:lineRule="auto"/>
        <w:jc w:val="both"/>
        <w:rPr>
          <w:sz w:val="24"/>
          <w:szCs w:val="24"/>
        </w:rPr>
      </w:pPr>
    </w:p>
    <w:p w:rsidR="0071139C" w:rsidRDefault="000A4CC2" w:rsidP="000A4CC2">
      <w:pPr>
        <w:spacing w:line="360" w:lineRule="auto"/>
        <w:jc w:val="both"/>
        <w:rPr>
          <w:sz w:val="24"/>
          <w:szCs w:val="24"/>
        </w:rPr>
      </w:pPr>
      <w:r>
        <w:rPr>
          <w:sz w:val="24"/>
          <w:szCs w:val="24"/>
        </w:rPr>
        <w:t xml:space="preserve">2. EVOLUCIÓN </w:t>
      </w:r>
      <w:r w:rsidR="008D520D">
        <w:rPr>
          <w:sz w:val="24"/>
          <w:szCs w:val="24"/>
        </w:rPr>
        <w:t>HISTÓRICA</w:t>
      </w:r>
      <w:r w:rsidR="00821115">
        <w:rPr>
          <w:sz w:val="24"/>
          <w:szCs w:val="24"/>
        </w:rPr>
        <w:t xml:space="preserve"> DE LA RESPONSABILIDAD PATRIMONIAL</w:t>
      </w:r>
    </w:p>
    <w:p w:rsidR="000A4CC2" w:rsidRDefault="008C58B9" w:rsidP="009F4A00">
      <w:pPr>
        <w:spacing w:line="360" w:lineRule="auto"/>
        <w:ind w:firstLine="709"/>
        <w:jc w:val="both"/>
        <w:rPr>
          <w:sz w:val="24"/>
          <w:szCs w:val="24"/>
        </w:rPr>
      </w:pPr>
      <w:r>
        <w:rPr>
          <w:sz w:val="24"/>
          <w:szCs w:val="24"/>
        </w:rPr>
        <w:t>Han sido muchos los años, en los que la responsabilidad administrativa derivada de una actuación sanitaria ha sido nula o, en su caso, inexistente. Era en el ámbito privado</w:t>
      </w:r>
      <w:r w:rsidR="00062DB1">
        <w:rPr>
          <w:sz w:val="24"/>
          <w:szCs w:val="24"/>
        </w:rPr>
        <w:t xml:space="preserve"> en el que se desarrollaba una actividad sanitaria, existiendo un marco en el que las relaciones que se producían eran </w:t>
      </w:r>
      <w:proofErr w:type="gramStart"/>
      <w:r w:rsidR="00062DB1">
        <w:rPr>
          <w:sz w:val="24"/>
          <w:szCs w:val="24"/>
        </w:rPr>
        <w:t>paciente</w:t>
      </w:r>
      <w:proofErr w:type="gramEnd"/>
      <w:r w:rsidR="00062DB1">
        <w:rPr>
          <w:sz w:val="24"/>
          <w:szCs w:val="24"/>
        </w:rPr>
        <w:t>-médico, predominando el principio de confianza entre las dos partes. En estas relaciones paciente-médico, el médico ejercía una posición de supremacía sobre el paciente.</w:t>
      </w:r>
    </w:p>
    <w:p w:rsidR="00062DB1" w:rsidRDefault="002B43EA" w:rsidP="009F4A00">
      <w:pPr>
        <w:spacing w:line="360" w:lineRule="auto"/>
        <w:ind w:firstLine="709"/>
        <w:jc w:val="both"/>
        <w:rPr>
          <w:sz w:val="24"/>
          <w:szCs w:val="24"/>
        </w:rPr>
      </w:pPr>
      <w:r>
        <w:rPr>
          <w:sz w:val="24"/>
          <w:szCs w:val="24"/>
        </w:rPr>
        <w:t>Durante esos años, el Estado mostraba atención sólo cuando era la salud de la sociedad lo que estaba en juego. Es por eso que al Estado lo único que le importaba eran las medidas preventivas en materia de sanidad, apartando del concepto de sanidad</w:t>
      </w:r>
      <w:r w:rsidR="00C0619D">
        <w:rPr>
          <w:sz w:val="24"/>
          <w:szCs w:val="24"/>
        </w:rPr>
        <w:t xml:space="preserve"> las medidas asistenciales. Dicho esto, hay que señalar que las primeras intervenciones estatales que se produjeron en materia sanitaria no se encuadraron en la denominada Sanidad Pública, sino que se encuadraron en la Beneficencia Pública, con lo que se atendía a los ciudadanos que más lo necesitaran.</w:t>
      </w:r>
    </w:p>
    <w:p w:rsidR="00C0619D" w:rsidRDefault="007801B3" w:rsidP="009F4A00">
      <w:pPr>
        <w:spacing w:line="360" w:lineRule="auto"/>
        <w:ind w:firstLine="709"/>
        <w:jc w:val="both"/>
        <w:rPr>
          <w:sz w:val="24"/>
          <w:szCs w:val="24"/>
        </w:rPr>
      </w:pPr>
      <w:r>
        <w:rPr>
          <w:sz w:val="24"/>
          <w:szCs w:val="24"/>
        </w:rPr>
        <w:t>Ante esta situación, f</w:t>
      </w:r>
      <w:r w:rsidR="0020021D">
        <w:rPr>
          <w:sz w:val="24"/>
          <w:szCs w:val="24"/>
        </w:rPr>
        <w:t>ueron pocas las reclamaciones que se produjeron, pero las pocas que llegaron a producirse fueron examinadas desde un</w:t>
      </w:r>
      <w:r w:rsidR="00226011">
        <w:rPr>
          <w:sz w:val="24"/>
          <w:szCs w:val="24"/>
        </w:rPr>
        <w:t>a perspectiva del Derecho Civil:</w:t>
      </w:r>
      <w:r w:rsidR="0020021D">
        <w:rPr>
          <w:sz w:val="24"/>
          <w:szCs w:val="24"/>
        </w:rPr>
        <w:t xml:space="preserve"> para ello se aplicaron los arts</w:t>
      </w:r>
      <w:r w:rsidR="002C513B">
        <w:rPr>
          <w:sz w:val="24"/>
          <w:szCs w:val="24"/>
        </w:rPr>
        <w:t>. 1902</w:t>
      </w:r>
      <w:r w:rsidR="002C513B">
        <w:rPr>
          <w:rStyle w:val="Refdenotaalpie"/>
          <w:sz w:val="24"/>
          <w:szCs w:val="24"/>
        </w:rPr>
        <w:footnoteReference w:id="3"/>
      </w:r>
      <w:r w:rsidR="002C513B">
        <w:rPr>
          <w:sz w:val="24"/>
          <w:szCs w:val="24"/>
        </w:rPr>
        <w:t xml:space="preserve"> y 1903.5 del Código Civil</w:t>
      </w:r>
      <w:r w:rsidR="0020021D">
        <w:rPr>
          <w:sz w:val="24"/>
          <w:szCs w:val="24"/>
        </w:rPr>
        <w:t xml:space="preserve"> (Ley 1/1889), dando lugar a que se aceptara la responsabilidad del Estado </w:t>
      </w:r>
      <w:r w:rsidR="00226011">
        <w:rPr>
          <w:sz w:val="24"/>
          <w:szCs w:val="24"/>
        </w:rPr>
        <w:t>en los casos de que en la actuación de los servicios públicos se hubiera producido una negligencia culposa que no pudiera ser atribuida a los propios funcionarios.</w:t>
      </w:r>
    </w:p>
    <w:p w:rsidR="00226011" w:rsidRDefault="00D4655B" w:rsidP="009F4A00">
      <w:pPr>
        <w:spacing w:line="360" w:lineRule="auto"/>
        <w:ind w:firstLine="709"/>
        <w:jc w:val="both"/>
        <w:rPr>
          <w:sz w:val="24"/>
          <w:szCs w:val="24"/>
        </w:rPr>
      </w:pPr>
      <w:r>
        <w:rPr>
          <w:sz w:val="24"/>
          <w:szCs w:val="24"/>
        </w:rPr>
        <w:t xml:space="preserve">Se produjo una importante quiebra en la práctica tradicional de la medicina debido a la implantación del seguro obligatorio de enfermedad. De esta manera, sabiendo el carácter administrativo </w:t>
      </w:r>
      <w:r w:rsidR="009334D4">
        <w:rPr>
          <w:sz w:val="24"/>
          <w:szCs w:val="24"/>
        </w:rPr>
        <w:t>de esta responsabilidad que en momentos puntuales hubiera podido proceder de la asistencia sanitaria proporcionada por los servicios del seguro obligatorio de enfermedad o de la Seguridad Social, por lo que respecta al funcionamiento de un servicio público los casos de responsabilidad que se ocasionaron (llegando a los tribunales) fueron muy pocos.</w:t>
      </w:r>
    </w:p>
    <w:p w:rsidR="00B80B42" w:rsidRDefault="003F665A" w:rsidP="009F4A00">
      <w:pPr>
        <w:spacing w:line="360" w:lineRule="auto"/>
        <w:ind w:firstLine="709"/>
        <w:jc w:val="both"/>
        <w:rPr>
          <w:sz w:val="24"/>
          <w:szCs w:val="24"/>
        </w:rPr>
      </w:pPr>
      <w:r>
        <w:rPr>
          <w:sz w:val="24"/>
          <w:szCs w:val="24"/>
        </w:rPr>
        <w:lastRenderedPageBreak/>
        <w:t>Sin ninguna duda, a esta situación ayudó, el reconocimiento tan lento que se produjo de esta responsabilidad del Estado en nuestro ordenamiento, que no se lleva a cabo hasta la Ley de Expropiación Forzosa</w:t>
      </w:r>
      <w:r w:rsidR="00266719">
        <w:rPr>
          <w:sz w:val="24"/>
          <w:szCs w:val="24"/>
        </w:rPr>
        <w:t>,</w:t>
      </w:r>
      <w:r w:rsidR="0005026C">
        <w:rPr>
          <w:sz w:val="24"/>
          <w:szCs w:val="24"/>
        </w:rPr>
        <w:t xml:space="preserve"> de 16 de d</w:t>
      </w:r>
      <w:r>
        <w:rPr>
          <w:sz w:val="24"/>
          <w:szCs w:val="24"/>
        </w:rPr>
        <w:t xml:space="preserve">iciembre de 1954, </w:t>
      </w:r>
      <w:r w:rsidR="00B80B42">
        <w:rPr>
          <w:sz w:val="24"/>
          <w:szCs w:val="24"/>
        </w:rPr>
        <w:t>cobrando un valor importante el art. 121 que señalaba por primera vez la responsabilidad de la Administración con carácter objetivo y directo</w:t>
      </w:r>
      <w:r w:rsidR="00972F7B">
        <w:rPr>
          <w:sz w:val="24"/>
          <w:szCs w:val="24"/>
        </w:rPr>
        <w:t>. Además, esta responsabilidad está restringida de forma única al ámbito de las lesiones indemnizables que sufran los ciudadanos en los bienes</w:t>
      </w:r>
      <w:r w:rsidR="00266719">
        <w:rPr>
          <w:sz w:val="24"/>
          <w:szCs w:val="24"/>
        </w:rPr>
        <w:t xml:space="preserve"> y derechos a los que se refiera</w:t>
      </w:r>
      <w:r w:rsidR="00972F7B">
        <w:rPr>
          <w:sz w:val="24"/>
          <w:szCs w:val="24"/>
        </w:rPr>
        <w:t xml:space="preserve"> en la Ley anteriormente citada. No obstante, se tuvo que esperar 3 años </w:t>
      </w:r>
      <w:r w:rsidR="00266719">
        <w:rPr>
          <w:sz w:val="24"/>
          <w:szCs w:val="24"/>
        </w:rPr>
        <w:t>para que el art. 40 de la Ley de Régimen Jurídico de la Administración del Estado, de 26 de Julio de 1957, prolongara la posibilidad de la responsabilidad de la Administración a las lesiones que los ciudadanos sufrieran en cualesquiera de sus bienes y derec</w:t>
      </w:r>
      <w:r w:rsidR="0041490B">
        <w:rPr>
          <w:sz w:val="24"/>
          <w:szCs w:val="24"/>
        </w:rPr>
        <w:t>hos. En consecuencia, el citado precepto señala que:</w:t>
      </w:r>
    </w:p>
    <w:p w:rsidR="0041490B" w:rsidRDefault="0041490B" w:rsidP="009F4A00">
      <w:pPr>
        <w:spacing w:line="360" w:lineRule="auto"/>
        <w:ind w:firstLine="709"/>
        <w:jc w:val="both"/>
        <w:rPr>
          <w:sz w:val="24"/>
          <w:szCs w:val="24"/>
        </w:rPr>
      </w:pPr>
      <w:r w:rsidRPr="00C42BD8">
        <w:rPr>
          <w:i/>
          <w:sz w:val="24"/>
          <w:szCs w:val="24"/>
        </w:rPr>
        <w:t xml:space="preserve">“Los particulares tendrán derecho a ser indemnizados por el Estado de toda lesión que sufran en cualesquiera de sus bienes o derechos, salvo en los casos de fuerza mayor, siempre que aquella lesión sea consecuencia del funcionamiento normal o anormal de los servicios públicos de </w:t>
      </w:r>
      <w:r w:rsidR="00C42BD8" w:rsidRPr="00C42BD8">
        <w:rPr>
          <w:i/>
          <w:sz w:val="24"/>
          <w:szCs w:val="24"/>
        </w:rPr>
        <w:t>la adopción de medidas no fiscalizables en vía contenciosa”</w:t>
      </w:r>
      <w:r w:rsidR="00C42BD8">
        <w:rPr>
          <w:sz w:val="24"/>
          <w:szCs w:val="24"/>
        </w:rPr>
        <w:t>.</w:t>
      </w:r>
    </w:p>
    <w:p w:rsidR="00C924AC" w:rsidRDefault="009F5E4E" w:rsidP="009F4A00">
      <w:pPr>
        <w:spacing w:line="360" w:lineRule="auto"/>
        <w:ind w:firstLine="709"/>
        <w:jc w:val="both"/>
        <w:rPr>
          <w:sz w:val="24"/>
          <w:szCs w:val="24"/>
        </w:rPr>
      </w:pPr>
      <w:r>
        <w:rPr>
          <w:sz w:val="24"/>
          <w:szCs w:val="24"/>
        </w:rPr>
        <w:t>El nivel legislativo que alcanzó la responsabilidad del Estado no fue suficiente para animar a los pacientes a ir a la vía administrativa con sus respectivas quejas derivadas del funcionamiento de los servicios médicos: el principal motivo de que esto ocurriera se debía a que los tribunales eran poco proclives a condenar a las Administraciones Públicas</w:t>
      </w:r>
      <w:r w:rsidR="00283905">
        <w:rPr>
          <w:sz w:val="24"/>
          <w:szCs w:val="24"/>
        </w:rPr>
        <w:t xml:space="preserve"> puesto que ejecutaban las normas vigentes de una forma muy limitada. </w:t>
      </w:r>
      <w:r w:rsidR="007801B3">
        <w:rPr>
          <w:sz w:val="24"/>
          <w:szCs w:val="24"/>
        </w:rPr>
        <w:t>Es por ello, que el primer caso de pronunciamiento sobre responsabilidad patrimonial de la Administración procedente de la asistencia sanitaria en la jurisdicción contencioso-administrativa ap</w:t>
      </w:r>
      <w:r w:rsidR="0005026C">
        <w:rPr>
          <w:sz w:val="24"/>
          <w:szCs w:val="24"/>
        </w:rPr>
        <w:t>arece en la Sentencia</w:t>
      </w:r>
      <w:r w:rsidR="00EC42C9">
        <w:rPr>
          <w:rStyle w:val="Refdenotaalpie"/>
          <w:sz w:val="24"/>
          <w:szCs w:val="24"/>
        </w:rPr>
        <w:footnoteReference w:id="4"/>
      </w:r>
      <w:r w:rsidR="0005026C">
        <w:rPr>
          <w:sz w:val="24"/>
          <w:szCs w:val="24"/>
        </w:rPr>
        <w:t xml:space="preserve"> de 12 de m</w:t>
      </w:r>
      <w:r w:rsidR="007801B3">
        <w:rPr>
          <w:sz w:val="24"/>
          <w:szCs w:val="24"/>
        </w:rPr>
        <w:t>arzo de 1975.</w:t>
      </w:r>
    </w:p>
    <w:p w:rsidR="002D77FC" w:rsidRDefault="002D77FC" w:rsidP="009F4A00">
      <w:pPr>
        <w:spacing w:line="360" w:lineRule="auto"/>
        <w:ind w:firstLine="709"/>
        <w:jc w:val="both"/>
        <w:rPr>
          <w:sz w:val="24"/>
          <w:szCs w:val="24"/>
        </w:rPr>
      </w:pPr>
      <w:r>
        <w:rPr>
          <w:sz w:val="24"/>
          <w:szCs w:val="24"/>
        </w:rPr>
        <w:t xml:space="preserve">La responsabilidad patrimonial de la Administración </w:t>
      </w:r>
      <w:r w:rsidR="00226198">
        <w:rPr>
          <w:sz w:val="24"/>
          <w:szCs w:val="24"/>
        </w:rPr>
        <w:t>experimentó un impulso definitivo en su reconocimiento y c</w:t>
      </w:r>
      <w:r w:rsidR="00815BD8">
        <w:rPr>
          <w:sz w:val="24"/>
          <w:szCs w:val="24"/>
        </w:rPr>
        <w:t xml:space="preserve">onsolidación gracias </w:t>
      </w:r>
      <w:r w:rsidR="00226198">
        <w:rPr>
          <w:sz w:val="24"/>
          <w:szCs w:val="24"/>
        </w:rPr>
        <w:t>a que la Constitución, en su art. 9.3, garantiza la responsabilidad y la interdicción de la arbitrariedad de los poderes públicos</w:t>
      </w:r>
      <w:r w:rsidR="00E92C5F">
        <w:rPr>
          <w:sz w:val="24"/>
          <w:szCs w:val="24"/>
        </w:rPr>
        <w:t xml:space="preserve"> y junto al art. 106.2 señala que:</w:t>
      </w:r>
    </w:p>
    <w:p w:rsidR="00E92C5F" w:rsidRDefault="00E92C5F" w:rsidP="009F4A00">
      <w:pPr>
        <w:spacing w:line="360" w:lineRule="auto"/>
        <w:ind w:firstLine="709"/>
        <w:jc w:val="both"/>
        <w:rPr>
          <w:sz w:val="24"/>
          <w:szCs w:val="24"/>
        </w:rPr>
      </w:pPr>
      <w:r w:rsidRPr="00E92C5F">
        <w:rPr>
          <w:i/>
          <w:sz w:val="24"/>
          <w:szCs w:val="24"/>
        </w:rPr>
        <w:t xml:space="preserve">“Los particulares, en términos establecidos por la Ley, tendrán derecho a ser indemnizados por toda lesión que sufran en cualquiera de sus bienes y derechos, salvo en los </w:t>
      </w:r>
      <w:r w:rsidRPr="00E92C5F">
        <w:rPr>
          <w:i/>
          <w:sz w:val="24"/>
          <w:szCs w:val="24"/>
        </w:rPr>
        <w:lastRenderedPageBreak/>
        <w:t>casos de fuerza mayor, siempre que la lesión sea consecuencia del funcionamiento de los servicios públicos”</w:t>
      </w:r>
      <w:r>
        <w:rPr>
          <w:sz w:val="24"/>
          <w:szCs w:val="24"/>
        </w:rPr>
        <w:t>.</w:t>
      </w:r>
    </w:p>
    <w:p w:rsidR="00815BD8" w:rsidRDefault="00E92C5F" w:rsidP="009F4A00">
      <w:pPr>
        <w:spacing w:line="360" w:lineRule="auto"/>
        <w:ind w:firstLine="709"/>
        <w:jc w:val="both"/>
        <w:rPr>
          <w:sz w:val="24"/>
          <w:szCs w:val="24"/>
        </w:rPr>
      </w:pPr>
      <w:r>
        <w:rPr>
          <w:sz w:val="24"/>
          <w:szCs w:val="24"/>
        </w:rPr>
        <w:t>Esto supone un importante salto cuantitativo debido a la alusión del precepto al funcionamiento de los servicios públicos, lo que da lugar a que nuestro sistema de responsabilidad patrimonial sea considerado como uno de los más avanzados</w:t>
      </w:r>
      <w:r w:rsidR="004B0885">
        <w:rPr>
          <w:sz w:val="24"/>
          <w:szCs w:val="24"/>
        </w:rPr>
        <w:t xml:space="preserve">, concibiendo cualquier tipo de actuación extracontractual de la Administración (pudiendo ser </w:t>
      </w:r>
      <w:r w:rsidR="00EB6AA3">
        <w:rPr>
          <w:sz w:val="24"/>
          <w:szCs w:val="24"/>
        </w:rPr>
        <w:t xml:space="preserve">estas actuaciones </w:t>
      </w:r>
      <w:r w:rsidR="004B0885">
        <w:rPr>
          <w:sz w:val="24"/>
          <w:szCs w:val="24"/>
        </w:rPr>
        <w:t>normativa</w:t>
      </w:r>
      <w:r w:rsidR="00EB6AA3">
        <w:rPr>
          <w:sz w:val="24"/>
          <w:szCs w:val="24"/>
        </w:rPr>
        <w:t>s</w:t>
      </w:r>
      <w:r w:rsidR="004B0885">
        <w:rPr>
          <w:sz w:val="24"/>
          <w:szCs w:val="24"/>
        </w:rPr>
        <w:t>, jurídica</w:t>
      </w:r>
      <w:r w:rsidR="00EB6AA3">
        <w:rPr>
          <w:sz w:val="24"/>
          <w:szCs w:val="24"/>
        </w:rPr>
        <w:t>s</w:t>
      </w:r>
      <w:r w:rsidR="004B0885">
        <w:rPr>
          <w:sz w:val="24"/>
          <w:szCs w:val="24"/>
        </w:rPr>
        <w:t xml:space="preserve"> o material</w:t>
      </w:r>
      <w:r w:rsidR="00EB6AA3">
        <w:rPr>
          <w:sz w:val="24"/>
          <w:szCs w:val="24"/>
        </w:rPr>
        <w:t>es</w:t>
      </w:r>
      <w:r w:rsidR="004B0885">
        <w:rPr>
          <w:sz w:val="24"/>
          <w:szCs w:val="24"/>
        </w:rPr>
        <w:t>)</w:t>
      </w:r>
      <w:r w:rsidR="00EB6AA3">
        <w:rPr>
          <w:sz w:val="24"/>
          <w:szCs w:val="24"/>
        </w:rPr>
        <w:t>, y ya se trate de simples inactividades u omisiones</w:t>
      </w:r>
      <w:r w:rsidR="00983820">
        <w:rPr>
          <w:rStyle w:val="Refdenotaalpie"/>
          <w:sz w:val="24"/>
          <w:szCs w:val="24"/>
        </w:rPr>
        <w:footnoteReference w:id="5"/>
      </w:r>
      <w:r w:rsidR="004B0885">
        <w:rPr>
          <w:sz w:val="24"/>
          <w:szCs w:val="24"/>
        </w:rPr>
        <w:t xml:space="preserve">. </w:t>
      </w:r>
    </w:p>
    <w:p w:rsidR="00E92C5F" w:rsidRDefault="004B0885" w:rsidP="009F4A00">
      <w:pPr>
        <w:spacing w:line="360" w:lineRule="auto"/>
        <w:ind w:firstLine="709"/>
        <w:jc w:val="both"/>
        <w:rPr>
          <w:sz w:val="24"/>
          <w:szCs w:val="24"/>
        </w:rPr>
      </w:pPr>
      <w:r>
        <w:rPr>
          <w:sz w:val="24"/>
          <w:szCs w:val="24"/>
        </w:rPr>
        <w:t xml:space="preserve">Dentro de las mencionadas actuaciones encontramos, como no podía ser de otra manera, la sanitaria, concebida por el art. 43 de la Constitución como un servicio de carácter público </w:t>
      </w:r>
      <w:r w:rsidR="008B2017">
        <w:rPr>
          <w:sz w:val="24"/>
          <w:szCs w:val="24"/>
        </w:rPr>
        <w:t>que tiene que proteger la universalidad de la asistencia</w:t>
      </w:r>
      <w:r w:rsidR="00454DFE">
        <w:rPr>
          <w:rStyle w:val="Refdenotaalpie"/>
          <w:sz w:val="24"/>
          <w:szCs w:val="24"/>
        </w:rPr>
        <w:footnoteReference w:id="6"/>
      </w:r>
      <w:r w:rsidR="008B2017">
        <w:rPr>
          <w:sz w:val="24"/>
          <w:szCs w:val="24"/>
        </w:rPr>
        <w:t xml:space="preserve">, es decir, la asistencia sanitaria deberá ofrecerse a todos los ciudadanos que se encuentren afectados por una enfermedad. Esta circunstancia es fundamental puesto que, </w:t>
      </w:r>
      <w:r w:rsidR="00E33F7F">
        <w:rPr>
          <w:sz w:val="24"/>
          <w:szCs w:val="24"/>
        </w:rPr>
        <w:t>conforme las prestaciones sanitarias se universalizan, la vinculación de la asistencia sanitaria en el marco administrativo se hace más sólida, lo que conlleva una mayor exigencia de calidad en el servicio que se presta y con ello aumenta las solicitudes de reclamación contra las Administraciones responsables.</w:t>
      </w:r>
    </w:p>
    <w:p w:rsidR="00E33F7F" w:rsidRDefault="00AE080A" w:rsidP="009F4A00">
      <w:pPr>
        <w:spacing w:line="360" w:lineRule="auto"/>
        <w:ind w:firstLine="709"/>
        <w:jc w:val="both"/>
        <w:rPr>
          <w:sz w:val="24"/>
          <w:szCs w:val="24"/>
        </w:rPr>
      </w:pPr>
      <w:r>
        <w:rPr>
          <w:sz w:val="24"/>
          <w:szCs w:val="24"/>
        </w:rPr>
        <w:t>El desarrollo del mencionado art. 43 de la Constitución es llevado a cabo por la Ley 14/1986</w:t>
      </w:r>
      <w:r w:rsidR="005701E1">
        <w:rPr>
          <w:sz w:val="24"/>
          <w:szCs w:val="24"/>
        </w:rPr>
        <w:t>,</w:t>
      </w:r>
      <w:r>
        <w:rPr>
          <w:sz w:val="24"/>
          <w:szCs w:val="24"/>
        </w:rPr>
        <w:t xml:space="preserve"> de 25 de abril, General de Sanidad (LGS), que funda un Sistema Nacional de Salud y conforma la actividad sanitaria como un servicio de carácter público, posibilitando para ello fórmulas de gestión indirecta (conciertos sanitarios), </w:t>
      </w:r>
      <w:r w:rsidR="00322D19">
        <w:rPr>
          <w:sz w:val="24"/>
          <w:szCs w:val="24"/>
        </w:rPr>
        <w:t>y asegurando de igual forma la libertad de empresa, por lo que nos encontrar</w:t>
      </w:r>
      <w:r w:rsidR="00641142">
        <w:rPr>
          <w:sz w:val="24"/>
          <w:szCs w:val="24"/>
        </w:rPr>
        <w:t xml:space="preserve">íamos </w:t>
      </w:r>
      <w:r w:rsidR="00322D19">
        <w:rPr>
          <w:sz w:val="24"/>
          <w:szCs w:val="24"/>
        </w:rPr>
        <w:t xml:space="preserve">un servicio público impropio. </w:t>
      </w:r>
      <w:r w:rsidR="00641142">
        <w:rPr>
          <w:sz w:val="24"/>
          <w:szCs w:val="24"/>
        </w:rPr>
        <w:t xml:space="preserve">Después de esta ley, se han dictado diversas leyes y normas estatales en relación a este asunto, entre las cuales se </w:t>
      </w:r>
      <w:r w:rsidR="00641142">
        <w:rPr>
          <w:sz w:val="24"/>
          <w:szCs w:val="24"/>
        </w:rPr>
        <w:lastRenderedPageBreak/>
        <w:t>encuentran, por ejemplo, las leyes autonómicas de ordenación sanitaria y las normas estatales</w:t>
      </w:r>
      <w:r w:rsidR="00712D17">
        <w:rPr>
          <w:sz w:val="24"/>
          <w:szCs w:val="24"/>
        </w:rPr>
        <w:t xml:space="preserve"> que han ido dando forma a nuestro sistema sanitario: podemos citar la Ley 41/2002</w:t>
      </w:r>
      <w:r w:rsidR="005701E1">
        <w:rPr>
          <w:sz w:val="24"/>
          <w:szCs w:val="24"/>
        </w:rPr>
        <w:t>,</w:t>
      </w:r>
      <w:r w:rsidR="00712D17">
        <w:rPr>
          <w:sz w:val="24"/>
          <w:szCs w:val="24"/>
        </w:rPr>
        <w:t xml:space="preserve"> de 14 de noviembre, de autonomía del paciente y de derechos y obligaciones en materia de información y documentación clínica, la Ley 16/2003</w:t>
      </w:r>
      <w:r w:rsidR="005701E1">
        <w:rPr>
          <w:sz w:val="24"/>
          <w:szCs w:val="24"/>
        </w:rPr>
        <w:t>,</w:t>
      </w:r>
      <w:r w:rsidR="00712D17">
        <w:rPr>
          <w:sz w:val="24"/>
          <w:szCs w:val="24"/>
        </w:rPr>
        <w:t xml:space="preserve"> de 28 de mayo, de cohesión y calidad del Sistema Nacional de Salud y la Ley 44/2003</w:t>
      </w:r>
      <w:r w:rsidR="005701E1">
        <w:rPr>
          <w:sz w:val="24"/>
          <w:szCs w:val="24"/>
        </w:rPr>
        <w:t>,</w:t>
      </w:r>
      <w:r w:rsidR="00712D17">
        <w:rPr>
          <w:sz w:val="24"/>
          <w:szCs w:val="24"/>
        </w:rPr>
        <w:t xml:space="preserve"> de 21 de noviembre, de ordenación de las profesiones sanitarias. En dichas normas, observamos el reconocimiento de una cadena de derechos atribuidos a los ciudadanos como pacientes cuando perciben asistencia sanitaria: hay que señalar que dichos derechos tienen unas obligaciones correlativas por parte de los poderes públicos, es decir, el incumplimiento de dichos derechos ocasionará la consiguiente responsabilidad de los poderes públicos</w:t>
      </w:r>
      <w:r w:rsidR="00727AB2">
        <w:rPr>
          <w:sz w:val="24"/>
          <w:szCs w:val="24"/>
        </w:rPr>
        <w:t>, cuando del incumplimiento se origine lesiones a los particulares.</w:t>
      </w:r>
    </w:p>
    <w:p w:rsidR="00727AB2" w:rsidRDefault="00894D36" w:rsidP="009F4A00">
      <w:pPr>
        <w:spacing w:line="360" w:lineRule="auto"/>
        <w:ind w:firstLine="709"/>
        <w:jc w:val="both"/>
        <w:rPr>
          <w:sz w:val="24"/>
          <w:szCs w:val="24"/>
        </w:rPr>
      </w:pPr>
      <w:r>
        <w:rPr>
          <w:sz w:val="24"/>
          <w:szCs w:val="24"/>
        </w:rPr>
        <w:t xml:space="preserve">En este proceso de constante evolución, llegamos a lo que podríamos considerar como última etapa, la cual, </w:t>
      </w:r>
      <w:r w:rsidR="008907EC">
        <w:rPr>
          <w:sz w:val="24"/>
          <w:szCs w:val="24"/>
        </w:rPr>
        <w:t xml:space="preserve">está formada por la promulgación de la </w:t>
      </w:r>
      <w:r w:rsidR="00F03F99" w:rsidRPr="00F03F99">
        <w:rPr>
          <w:i/>
          <w:sz w:val="24"/>
          <w:szCs w:val="24"/>
        </w:rPr>
        <w:t>“</w:t>
      </w:r>
      <w:r w:rsidR="008907EC" w:rsidRPr="00F03F99">
        <w:rPr>
          <w:i/>
          <w:sz w:val="24"/>
          <w:szCs w:val="24"/>
        </w:rPr>
        <w:t>Ley 30/1992</w:t>
      </w:r>
      <w:r w:rsidR="005701E1" w:rsidRPr="00F03F99">
        <w:rPr>
          <w:i/>
          <w:sz w:val="24"/>
          <w:szCs w:val="24"/>
        </w:rPr>
        <w:t>,</w:t>
      </w:r>
      <w:r w:rsidR="008907EC" w:rsidRPr="00F03F99">
        <w:rPr>
          <w:i/>
          <w:sz w:val="24"/>
          <w:szCs w:val="24"/>
        </w:rPr>
        <w:t xml:space="preserve"> de 26 de noviembre, de Régimen Jurídico de las Administraciones Públicas y del Procedimiento</w:t>
      </w:r>
      <w:r w:rsidR="00752AAF" w:rsidRPr="00F03F99">
        <w:rPr>
          <w:i/>
          <w:sz w:val="24"/>
          <w:szCs w:val="24"/>
        </w:rPr>
        <w:t xml:space="preserve"> </w:t>
      </w:r>
      <w:r w:rsidR="008907EC" w:rsidRPr="00F03F99">
        <w:rPr>
          <w:i/>
          <w:sz w:val="24"/>
          <w:szCs w:val="24"/>
        </w:rPr>
        <w:t xml:space="preserve">Administrativo </w:t>
      </w:r>
      <w:r w:rsidR="00212358" w:rsidRPr="00F03F99">
        <w:rPr>
          <w:i/>
          <w:sz w:val="24"/>
          <w:szCs w:val="24"/>
        </w:rPr>
        <w:t>Común</w:t>
      </w:r>
      <w:r w:rsidR="00F03F99" w:rsidRPr="00F03F99">
        <w:rPr>
          <w:i/>
          <w:sz w:val="24"/>
          <w:szCs w:val="24"/>
        </w:rPr>
        <w:t>”</w:t>
      </w:r>
      <w:r w:rsidR="00212358">
        <w:rPr>
          <w:sz w:val="24"/>
          <w:szCs w:val="24"/>
        </w:rPr>
        <w:t xml:space="preserve"> </w:t>
      </w:r>
      <w:r w:rsidR="008907EC">
        <w:rPr>
          <w:sz w:val="24"/>
          <w:szCs w:val="24"/>
        </w:rPr>
        <w:t>que, en ayuda de lo establecido por el texto constitucional</w:t>
      </w:r>
      <w:r w:rsidR="004E58BC">
        <w:rPr>
          <w:rStyle w:val="Refdenotaalpie"/>
          <w:sz w:val="24"/>
          <w:szCs w:val="24"/>
        </w:rPr>
        <w:footnoteReference w:id="7"/>
      </w:r>
      <w:r w:rsidR="008907EC">
        <w:rPr>
          <w:sz w:val="24"/>
          <w:szCs w:val="24"/>
        </w:rPr>
        <w:t xml:space="preserve">, funda un sistema común de responsabilidad, </w:t>
      </w:r>
      <w:r w:rsidR="001C0FB0">
        <w:rPr>
          <w:sz w:val="24"/>
          <w:szCs w:val="24"/>
        </w:rPr>
        <w:t>de empleo con carácter general a todos los supuestos de indemnización debido a los daños ocasionados por la totalidad de las Administraciones Públicas sin excepción de ninguna, ya sea por actuar con sujeción al Derecho Administrativo, o bien, por actuar bajo dominio del Derecho Privado</w:t>
      </w:r>
      <w:r w:rsidR="004E58BC">
        <w:rPr>
          <w:rStyle w:val="Refdenotaalpie"/>
          <w:sz w:val="24"/>
          <w:szCs w:val="24"/>
        </w:rPr>
        <w:footnoteReference w:id="8"/>
      </w:r>
      <w:r w:rsidR="001C0FB0">
        <w:rPr>
          <w:sz w:val="24"/>
          <w:szCs w:val="24"/>
        </w:rPr>
        <w:t>, puesto que dicho sist</w:t>
      </w:r>
      <w:r w:rsidR="004E58BC">
        <w:rPr>
          <w:sz w:val="24"/>
          <w:szCs w:val="24"/>
        </w:rPr>
        <w:t>ema salvaguarda por igual a toda</w:t>
      </w:r>
      <w:r w:rsidR="001C0FB0">
        <w:rPr>
          <w:sz w:val="24"/>
          <w:szCs w:val="24"/>
        </w:rPr>
        <w:t>s las personas, asegurándoles un tratamiento patrimonial común cuando hayan sufrido cualquier daño que tenga que ser indemnizado.</w:t>
      </w:r>
    </w:p>
    <w:p w:rsidR="00F72965" w:rsidRDefault="00F72965" w:rsidP="009F4A00">
      <w:pPr>
        <w:spacing w:line="360" w:lineRule="auto"/>
        <w:ind w:firstLine="709"/>
        <w:jc w:val="both"/>
        <w:rPr>
          <w:sz w:val="24"/>
          <w:szCs w:val="24"/>
        </w:rPr>
      </w:pPr>
      <w:r>
        <w:rPr>
          <w:sz w:val="24"/>
          <w:szCs w:val="24"/>
        </w:rPr>
        <w:t>En la actualidad, la Ley 30/1992 h</w:t>
      </w:r>
      <w:r w:rsidR="00150B3A">
        <w:rPr>
          <w:sz w:val="24"/>
          <w:szCs w:val="24"/>
        </w:rPr>
        <w:t xml:space="preserve">a sido derogada por las </w:t>
      </w:r>
      <w:r w:rsidR="005F4034" w:rsidRPr="005F4034">
        <w:rPr>
          <w:i/>
          <w:sz w:val="24"/>
          <w:szCs w:val="24"/>
        </w:rPr>
        <w:t>“</w:t>
      </w:r>
      <w:r w:rsidR="00150B3A" w:rsidRPr="005F4034">
        <w:rPr>
          <w:i/>
          <w:sz w:val="24"/>
          <w:szCs w:val="24"/>
        </w:rPr>
        <w:t xml:space="preserve">Leyes 39/2015 de 1 de octubre, de Procedimiento Administrativo Común </w:t>
      </w:r>
      <w:r w:rsidR="00E3358F" w:rsidRPr="005F4034">
        <w:rPr>
          <w:i/>
          <w:sz w:val="24"/>
          <w:szCs w:val="24"/>
        </w:rPr>
        <w:t xml:space="preserve">de las Administraciones Públicas </w:t>
      </w:r>
      <w:r w:rsidR="00150B3A" w:rsidRPr="005F4034">
        <w:rPr>
          <w:i/>
          <w:sz w:val="24"/>
          <w:szCs w:val="24"/>
        </w:rPr>
        <w:t>y 40</w:t>
      </w:r>
      <w:r w:rsidRPr="005F4034">
        <w:rPr>
          <w:i/>
          <w:sz w:val="24"/>
          <w:szCs w:val="24"/>
        </w:rPr>
        <w:t xml:space="preserve">/2015 de 1 de octubre, </w:t>
      </w:r>
      <w:r w:rsidR="00150B3A" w:rsidRPr="005F4034">
        <w:rPr>
          <w:i/>
          <w:sz w:val="24"/>
          <w:szCs w:val="24"/>
        </w:rPr>
        <w:t>de Régimen Jurídico del Sector Público</w:t>
      </w:r>
      <w:r w:rsidR="005F4034" w:rsidRPr="005F4034">
        <w:rPr>
          <w:i/>
          <w:sz w:val="24"/>
          <w:szCs w:val="24"/>
        </w:rPr>
        <w:t>”</w:t>
      </w:r>
      <w:r w:rsidR="00150B3A">
        <w:rPr>
          <w:sz w:val="24"/>
          <w:szCs w:val="24"/>
        </w:rPr>
        <w:t>.</w:t>
      </w:r>
    </w:p>
    <w:p w:rsidR="00F65858" w:rsidRDefault="002D3214" w:rsidP="00F65858">
      <w:pPr>
        <w:spacing w:line="360" w:lineRule="auto"/>
        <w:ind w:firstLine="709"/>
        <w:jc w:val="both"/>
        <w:rPr>
          <w:sz w:val="24"/>
          <w:szCs w:val="24"/>
        </w:rPr>
      </w:pPr>
      <w:r>
        <w:rPr>
          <w:sz w:val="24"/>
          <w:szCs w:val="24"/>
        </w:rPr>
        <w:t xml:space="preserve">En el entorno sanitario, la Administración cuenta también con una responsabilidad de carácter objetivo, indiferente por completo al elemento tradicional de ilicitud o culpa, lo cual </w:t>
      </w:r>
      <w:r>
        <w:rPr>
          <w:sz w:val="24"/>
          <w:szCs w:val="24"/>
        </w:rPr>
        <w:lastRenderedPageBreak/>
        <w:t xml:space="preserve">resultado decisivo: es decir, no se refiere al hecho de calificar conductas </w:t>
      </w:r>
      <w:r w:rsidR="00F65858">
        <w:rPr>
          <w:sz w:val="24"/>
          <w:szCs w:val="24"/>
        </w:rPr>
        <w:t xml:space="preserve">designadas como </w:t>
      </w:r>
      <w:r>
        <w:rPr>
          <w:sz w:val="24"/>
          <w:szCs w:val="24"/>
        </w:rPr>
        <w:t>negligentes</w:t>
      </w:r>
      <w:r w:rsidR="00F65858">
        <w:rPr>
          <w:sz w:val="24"/>
          <w:szCs w:val="24"/>
        </w:rPr>
        <w:t xml:space="preserve"> en el desempeño de obligaciones rigurosamente profesionales por parte del personal facultativo, sino que va más encaminado a determinar si en relación con los hechos acontecidos la Administración debe responder objetivamente como prestadora del servicio público. Para esto, bastaría en principio con que se justificara que de dicha prestación sanitaria ha conllevado una lesión patrimonial reparable en la cual no existe </w:t>
      </w:r>
      <w:r w:rsidR="002C0EDC">
        <w:rPr>
          <w:sz w:val="24"/>
          <w:szCs w:val="24"/>
        </w:rPr>
        <w:t xml:space="preserve">el motivo de </w:t>
      </w:r>
      <w:r w:rsidR="00F65858">
        <w:rPr>
          <w:sz w:val="24"/>
          <w:szCs w:val="24"/>
        </w:rPr>
        <w:t xml:space="preserve">fuerza mayor, </w:t>
      </w:r>
      <w:r w:rsidR="002C0EDC">
        <w:rPr>
          <w:sz w:val="24"/>
          <w:szCs w:val="24"/>
        </w:rPr>
        <w:t xml:space="preserve">y, además, </w:t>
      </w:r>
      <w:r w:rsidR="00F65858">
        <w:rPr>
          <w:sz w:val="24"/>
          <w:szCs w:val="24"/>
        </w:rPr>
        <w:t>habría que sumar también una prueba que demostrara nexo causal entre el funcionamiento del servicio prestado y el perjuicio que se deriva del mismo.</w:t>
      </w:r>
    </w:p>
    <w:p w:rsidR="004D0A4E" w:rsidRDefault="000B0565" w:rsidP="00BF4069">
      <w:pPr>
        <w:spacing w:line="360" w:lineRule="auto"/>
        <w:ind w:firstLine="709"/>
        <w:jc w:val="both"/>
        <w:rPr>
          <w:sz w:val="24"/>
          <w:szCs w:val="24"/>
        </w:rPr>
      </w:pPr>
      <w:r>
        <w:rPr>
          <w:sz w:val="24"/>
          <w:szCs w:val="24"/>
        </w:rPr>
        <w:t xml:space="preserve">Cabe destacar, que en materia sanitaria el proceso de objetivizar la responsabilidad no ha revestido caracteres absolutos. Es por esto, que la jurisprudencia ha acabado por incluir en el sistema altas dosis de racionalidad a través del concepto </w:t>
      </w:r>
      <w:r w:rsidRPr="000B0565">
        <w:rPr>
          <w:i/>
          <w:sz w:val="24"/>
          <w:szCs w:val="24"/>
        </w:rPr>
        <w:t>“lex artis”</w:t>
      </w:r>
      <w:r>
        <w:rPr>
          <w:sz w:val="24"/>
          <w:szCs w:val="24"/>
        </w:rPr>
        <w:t>, mediante el cual se termina corrigiendo todos los excesos de la objetivación de la responsabilidad. Lo que provoca</w:t>
      </w:r>
      <w:r w:rsidR="004D0A4E">
        <w:rPr>
          <w:sz w:val="24"/>
          <w:szCs w:val="24"/>
        </w:rPr>
        <w:t xml:space="preserve">, que la decisión de si ha sido o no adecuado la utilización de la técnica por parte del facultativo resulte de especial importancia en el momento de decidir si existe o no relación de causalidad entre el daño producido y el funcionamiento del servicio. Así es, como el concepto </w:t>
      </w:r>
      <w:r w:rsidR="004D0A4E" w:rsidRPr="004D0A4E">
        <w:rPr>
          <w:i/>
          <w:sz w:val="24"/>
          <w:szCs w:val="24"/>
        </w:rPr>
        <w:t>“lex artis”</w:t>
      </w:r>
      <w:r w:rsidR="004D0A4E">
        <w:rPr>
          <w:sz w:val="24"/>
          <w:szCs w:val="24"/>
        </w:rPr>
        <w:t xml:space="preserve"> se transforma en el criterio de normalidad, que debe infringirse en la ejecución del servicio sanitario para que exista la obligación de indemnizar.</w:t>
      </w:r>
    </w:p>
    <w:p w:rsidR="00E27BA6" w:rsidRDefault="00154950" w:rsidP="00E27BA6">
      <w:pPr>
        <w:spacing w:line="360" w:lineRule="auto"/>
        <w:ind w:firstLine="709"/>
        <w:jc w:val="both"/>
        <w:rPr>
          <w:sz w:val="24"/>
          <w:szCs w:val="24"/>
        </w:rPr>
      </w:pPr>
      <w:r>
        <w:rPr>
          <w:sz w:val="24"/>
          <w:szCs w:val="24"/>
        </w:rPr>
        <w:t xml:space="preserve">Mediante esta percepción, se observa que en el ámbito de los servicios públicos sanitarios apenas aparecen supuestos en los que se reconozca la responsabilidad de las Administraciones por un funcionamiento normal en la prestación de sus servicios, aunque, </w:t>
      </w:r>
      <w:r w:rsidR="00E27BA6" w:rsidRPr="006F29A0">
        <w:rPr>
          <w:color w:val="000000" w:themeColor="text1"/>
          <w:sz w:val="24"/>
          <w:szCs w:val="24"/>
        </w:rPr>
        <w:t xml:space="preserve">como bien señala Gallardo Castillo (2009) </w:t>
      </w:r>
      <w:r w:rsidR="00E27BA6" w:rsidRPr="006F29A0">
        <w:rPr>
          <w:i/>
          <w:color w:val="000000" w:themeColor="text1"/>
          <w:sz w:val="24"/>
          <w:szCs w:val="24"/>
        </w:rPr>
        <w:t>“no es porque se incorpore la culpa entre los presupuestos de la responsabilidad, sino porque se cargan las tintas en la antijuridicidad y en la relación de causalidad, en donde se añade un plus de exigencia que actúa de contrapeso del pretendido carácter objetivo del instituto resarcitorio”</w:t>
      </w:r>
      <w:r w:rsidR="00E27BA6" w:rsidRPr="006F29A0">
        <w:rPr>
          <w:color w:val="000000" w:themeColor="text1"/>
          <w:sz w:val="24"/>
          <w:szCs w:val="24"/>
        </w:rPr>
        <w:t>.</w:t>
      </w:r>
    </w:p>
    <w:p w:rsidR="00E27BA6" w:rsidRDefault="002B74F2" w:rsidP="00E27BA6">
      <w:pPr>
        <w:spacing w:line="360" w:lineRule="auto"/>
        <w:ind w:firstLine="709"/>
        <w:jc w:val="both"/>
        <w:rPr>
          <w:sz w:val="24"/>
          <w:szCs w:val="24"/>
        </w:rPr>
      </w:pPr>
      <w:r>
        <w:rPr>
          <w:sz w:val="24"/>
          <w:szCs w:val="24"/>
        </w:rPr>
        <w:t>Asimismo, la responsabilidad de la Administración en materia sanitaria también tiene un carácter directo, es decir, cualquier daño producido a los ciudadanos como consecuencia del funcionamiento de los servicios sanitarios</w:t>
      </w:r>
      <w:r w:rsidR="008C2C55">
        <w:rPr>
          <w:sz w:val="24"/>
          <w:szCs w:val="24"/>
        </w:rPr>
        <w:t xml:space="preserve"> obliga al particular perjudicado a presentar una reclamación contra la institución desarrolladora del servicio, con independencia de que la lesión producida haya sido ocasionada por la actuación del personal sanitario, o bien sea resultado de una actuación evidentemente imputable al servicio. </w:t>
      </w:r>
      <w:r w:rsidR="00DB0EC5">
        <w:rPr>
          <w:sz w:val="24"/>
          <w:szCs w:val="24"/>
        </w:rPr>
        <w:t>Esto se refleja en la STS de 11 de noviembre de 2002</w:t>
      </w:r>
      <w:r w:rsidR="00A76D4C">
        <w:rPr>
          <w:rStyle w:val="Refdenotaalpie"/>
          <w:sz w:val="24"/>
          <w:szCs w:val="24"/>
        </w:rPr>
        <w:footnoteReference w:id="9"/>
      </w:r>
      <w:r w:rsidR="00DB0EC5">
        <w:rPr>
          <w:sz w:val="24"/>
          <w:szCs w:val="24"/>
        </w:rPr>
        <w:t xml:space="preserve">, referida al ya mencionado art. 1903 del Código Civil, en la cual se proclamó, con doctrina que es perfectamente extrapolable al entorno de la responsabilidad patrimonial de la Administración, que existía una responsabilidad directa del </w:t>
      </w:r>
      <w:r w:rsidR="00DB0EC5" w:rsidRPr="00DB0EC5">
        <w:rPr>
          <w:i/>
          <w:sz w:val="24"/>
          <w:szCs w:val="24"/>
        </w:rPr>
        <w:t>“insalud”</w:t>
      </w:r>
      <w:r w:rsidR="00DB0EC5">
        <w:rPr>
          <w:sz w:val="24"/>
          <w:szCs w:val="24"/>
        </w:rPr>
        <w:t xml:space="preserve"> </w:t>
      </w:r>
      <w:r w:rsidR="00DB0EC5">
        <w:rPr>
          <w:sz w:val="24"/>
          <w:szCs w:val="24"/>
        </w:rPr>
        <w:lastRenderedPageBreak/>
        <w:t>debido a las deficiencias en los servicios hospitalarios no atribuibles a determinadas personas, no siendo por tanto una condición necesaria el reconocimiento de los sujetos responsables</w:t>
      </w:r>
      <w:r w:rsidR="00A76D4C">
        <w:rPr>
          <w:rStyle w:val="Refdenotaalpie"/>
          <w:sz w:val="24"/>
          <w:szCs w:val="24"/>
        </w:rPr>
        <w:footnoteReference w:id="10"/>
      </w:r>
      <w:r w:rsidR="00DB0EC5">
        <w:rPr>
          <w:sz w:val="24"/>
          <w:szCs w:val="24"/>
        </w:rPr>
        <w:t>.</w:t>
      </w:r>
    </w:p>
    <w:p w:rsidR="005D7D54" w:rsidRDefault="00EE6333" w:rsidP="00E27BA6">
      <w:pPr>
        <w:spacing w:line="360" w:lineRule="auto"/>
        <w:ind w:firstLine="709"/>
        <w:jc w:val="both"/>
        <w:rPr>
          <w:sz w:val="24"/>
          <w:szCs w:val="24"/>
        </w:rPr>
      </w:pPr>
      <w:r>
        <w:rPr>
          <w:sz w:val="24"/>
          <w:szCs w:val="24"/>
        </w:rPr>
        <w:t>El problema reside en reconocer el cómo y el cuándo puede atribuirse a la Administración la actuación de sus funcionarios, término este que debe comprenderse en sentido amplio. Esto conduce a examinar los distintos elementos que constituyen la responsabilidad. Tanto en la doctrina como en la jurisprudencia existe una unanimidad al establecer que los presupuestos básicos e indispensables de la responsabilidad patrimonial de la Administración son cuatro:</w:t>
      </w:r>
    </w:p>
    <w:p w:rsidR="00EE6333" w:rsidRDefault="00EE6333" w:rsidP="00E27BA6">
      <w:pPr>
        <w:spacing w:line="360" w:lineRule="auto"/>
        <w:ind w:firstLine="709"/>
        <w:jc w:val="both"/>
        <w:rPr>
          <w:sz w:val="24"/>
          <w:szCs w:val="24"/>
        </w:rPr>
      </w:pPr>
      <w:r>
        <w:rPr>
          <w:sz w:val="24"/>
          <w:szCs w:val="24"/>
        </w:rPr>
        <w:t>1º) Es necesario que el daño se encuadre en el concepto de lesión resarcible.</w:t>
      </w:r>
    </w:p>
    <w:p w:rsidR="00EE6333" w:rsidRDefault="00EE6333" w:rsidP="00E27BA6">
      <w:pPr>
        <w:spacing w:line="360" w:lineRule="auto"/>
        <w:ind w:firstLine="709"/>
        <w:jc w:val="both"/>
        <w:rPr>
          <w:sz w:val="24"/>
          <w:szCs w:val="24"/>
        </w:rPr>
      </w:pPr>
      <w:r>
        <w:rPr>
          <w:sz w:val="24"/>
          <w:szCs w:val="24"/>
        </w:rPr>
        <w:t>2º) Que la lesión pueda ser imputable a la Administración, es decir, al funcionamiento normal o anormal del servicio público sanitario que se preste.</w:t>
      </w:r>
    </w:p>
    <w:p w:rsidR="00EE6333" w:rsidRDefault="00EE6333" w:rsidP="00E27BA6">
      <w:pPr>
        <w:spacing w:line="360" w:lineRule="auto"/>
        <w:ind w:firstLine="709"/>
        <w:jc w:val="both"/>
        <w:rPr>
          <w:sz w:val="24"/>
          <w:szCs w:val="24"/>
        </w:rPr>
      </w:pPr>
      <w:r>
        <w:rPr>
          <w:sz w:val="24"/>
          <w:szCs w:val="24"/>
        </w:rPr>
        <w:t>3º) Que exista una relación de causalidad entre el hecho que se imputa a la Administración y el daño ocasionado al particular.</w:t>
      </w:r>
    </w:p>
    <w:p w:rsidR="00EE6333" w:rsidRPr="00E27BA6" w:rsidRDefault="00EE6333" w:rsidP="00E27BA6">
      <w:pPr>
        <w:spacing w:line="360" w:lineRule="auto"/>
        <w:ind w:firstLine="709"/>
        <w:jc w:val="both"/>
        <w:rPr>
          <w:sz w:val="24"/>
          <w:szCs w:val="24"/>
        </w:rPr>
      </w:pPr>
      <w:r>
        <w:rPr>
          <w:sz w:val="24"/>
          <w:szCs w:val="24"/>
        </w:rPr>
        <w:t>4º) Que la lesión que sufre el particular no se produzca debido a un caso de fuerza mayor, ya que esta actúa como elemento de exoneración.</w:t>
      </w:r>
    </w:p>
    <w:p w:rsidR="00277949" w:rsidRDefault="00277949" w:rsidP="00A56711">
      <w:pPr>
        <w:spacing w:line="360" w:lineRule="auto"/>
        <w:jc w:val="both"/>
        <w:rPr>
          <w:color w:val="000000" w:themeColor="text1"/>
          <w:sz w:val="24"/>
          <w:szCs w:val="24"/>
        </w:rPr>
      </w:pPr>
    </w:p>
    <w:p w:rsidR="00E27BA6" w:rsidRDefault="004B2AD2" w:rsidP="00A56711">
      <w:pPr>
        <w:spacing w:line="360" w:lineRule="auto"/>
        <w:jc w:val="both"/>
        <w:rPr>
          <w:color w:val="000000" w:themeColor="text1"/>
          <w:sz w:val="24"/>
          <w:szCs w:val="24"/>
        </w:rPr>
      </w:pPr>
      <w:r>
        <w:rPr>
          <w:color w:val="000000" w:themeColor="text1"/>
          <w:sz w:val="24"/>
          <w:szCs w:val="24"/>
        </w:rPr>
        <w:t>3. CARACTERES GENERALES DEL SISTEMA DE RESPONSABILIDAD PATRIMONIAL DE LA ADMINISTRACIÓN PÚBLICA</w:t>
      </w:r>
    </w:p>
    <w:p w:rsidR="00277949" w:rsidRDefault="00C536C8" w:rsidP="00277949">
      <w:pPr>
        <w:spacing w:line="360" w:lineRule="auto"/>
        <w:ind w:firstLine="709"/>
        <w:jc w:val="both"/>
        <w:rPr>
          <w:color w:val="000000" w:themeColor="text1"/>
          <w:sz w:val="24"/>
          <w:szCs w:val="24"/>
        </w:rPr>
      </w:pPr>
      <w:r>
        <w:rPr>
          <w:color w:val="000000" w:themeColor="text1"/>
          <w:sz w:val="24"/>
          <w:szCs w:val="24"/>
        </w:rPr>
        <w:t xml:space="preserve">Partiendo de un análisis solamente teórico, </w:t>
      </w:r>
      <w:r w:rsidR="00B76C2C">
        <w:rPr>
          <w:color w:val="000000" w:themeColor="text1"/>
          <w:sz w:val="24"/>
          <w:szCs w:val="24"/>
        </w:rPr>
        <w:t xml:space="preserve">nos repercute comentar los distintos rasgos y caracteres que definen el actual sistema de responsabilidad patrimonial con el que cuenta la Administración Pública. Consideraciones que, desde el punto de vista de la doctrina administrativa y de forma muy esquemática, van a permitir entender la naturaleza del actual sistema de responsabilidad patrimonial, cuyas cualidades y fundamentos definen a este sistema como un sistema unitario y general, directo, objetivo y tendente a la reparación integral. </w:t>
      </w:r>
      <w:r w:rsidR="00505CB3">
        <w:rPr>
          <w:color w:val="000000" w:themeColor="text1"/>
          <w:sz w:val="24"/>
          <w:szCs w:val="24"/>
        </w:rPr>
        <w:t>Un sistema, con cuyas características y análisis doctrinal y jurisprudencia es suficiente para demostrar su conflictividad y divergencia interpretativa en numerosos aspectos, más si cabe aún en relación con ciertos elementos, de los cuales, la gran mayoría se encuentran resueltos, mientras que otros siguen siendo motivo de estudio.</w:t>
      </w:r>
    </w:p>
    <w:p w:rsidR="009762AB" w:rsidRDefault="009762AB" w:rsidP="004B2AD2">
      <w:pPr>
        <w:spacing w:line="360" w:lineRule="auto"/>
        <w:ind w:firstLine="709"/>
        <w:jc w:val="both"/>
        <w:rPr>
          <w:color w:val="000000" w:themeColor="text1"/>
          <w:sz w:val="24"/>
          <w:szCs w:val="24"/>
        </w:rPr>
      </w:pPr>
    </w:p>
    <w:p w:rsidR="00505CB3" w:rsidRDefault="00505CB3" w:rsidP="004B2AD2">
      <w:pPr>
        <w:spacing w:line="360" w:lineRule="auto"/>
        <w:ind w:firstLine="709"/>
        <w:jc w:val="both"/>
        <w:rPr>
          <w:color w:val="000000" w:themeColor="text1"/>
          <w:sz w:val="24"/>
          <w:szCs w:val="24"/>
        </w:rPr>
      </w:pPr>
      <w:r>
        <w:rPr>
          <w:color w:val="000000" w:themeColor="text1"/>
          <w:sz w:val="24"/>
          <w:szCs w:val="24"/>
        </w:rPr>
        <w:lastRenderedPageBreak/>
        <w:t>3.1 GENERAL Y UNITARIO</w:t>
      </w:r>
    </w:p>
    <w:p w:rsidR="00505CB3" w:rsidRDefault="00505CB3" w:rsidP="004B2AD2">
      <w:pPr>
        <w:spacing w:line="360" w:lineRule="auto"/>
        <w:ind w:firstLine="709"/>
        <w:jc w:val="both"/>
        <w:rPr>
          <w:color w:val="000000" w:themeColor="text1"/>
          <w:sz w:val="24"/>
          <w:szCs w:val="24"/>
        </w:rPr>
      </w:pPr>
      <w:r>
        <w:rPr>
          <w:color w:val="000000" w:themeColor="text1"/>
          <w:sz w:val="24"/>
          <w:szCs w:val="24"/>
        </w:rPr>
        <w:t xml:space="preserve">La </w:t>
      </w:r>
      <w:r w:rsidR="00DB73C8">
        <w:rPr>
          <w:color w:val="000000" w:themeColor="text1"/>
          <w:sz w:val="24"/>
          <w:szCs w:val="24"/>
        </w:rPr>
        <w:t xml:space="preserve">caracterización del sistema de responsabilidad patrimonial de la Administración Pública como </w:t>
      </w:r>
      <w:r w:rsidR="00DB73C8" w:rsidRPr="00FF4357">
        <w:rPr>
          <w:i/>
          <w:color w:val="000000" w:themeColor="text1"/>
          <w:sz w:val="24"/>
          <w:szCs w:val="24"/>
        </w:rPr>
        <w:t>“general y unitario”</w:t>
      </w:r>
      <w:r w:rsidR="00DB73C8">
        <w:rPr>
          <w:color w:val="000000" w:themeColor="text1"/>
          <w:sz w:val="24"/>
          <w:szCs w:val="24"/>
        </w:rPr>
        <w:t xml:space="preserve"> </w:t>
      </w:r>
      <w:r w:rsidR="00FF4357">
        <w:rPr>
          <w:color w:val="000000" w:themeColor="text1"/>
          <w:sz w:val="24"/>
          <w:szCs w:val="24"/>
        </w:rPr>
        <w:t>constituye la existencia de un régimen jurídico único que, en desarrollo del art. 106.2 de la Constitución y sobre la base del título competencial referido en el art. 149.1.18</w:t>
      </w:r>
      <w:r w:rsidR="00FF4357">
        <w:rPr>
          <w:rStyle w:val="Refdenotaalpie"/>
          <w:color w:val="000000" w:themeColor="text1"/>
          <w:sz w:val="24"/>
          <w:szCs w:val="24"/>
        </w:rPr>
        <w:footnoteReference w:id="11"/>
      </w:r>
      <w:r w:rsidR="00FF4357">
        <w:rPr>
          <w:color w:val="000000" w:themeColor="text1"/>
          <w:sz w:val="24"/>
          <w:szCs w:val="24"/>
        </w:rPr>
        <w:t xml:space="preserve"> de la Constitución, fue articulado legislativamente a través de la Ley 30/1992, de Régimen Jurídico de las Administraciones Públicas y del Procedimiento Administrativo Común</w:t>
      </w:r>
      <w:r w:rsidR="008649E6">
        <w:rPr>
          <w:color w:val="000000" w:themeColor="text1"/>
          <w:sz w:val="24"/>
          <w:szCs w:val="24"/>
        </w:rPr>
        <w:t>, hoy en día regulado por la Ley 40/2015, de 1 de octubre, de Régimen Jurídico del Sector Público</w:t>
      </w:r>
      <w:r w:rsidR="00FF4357">
        <w:rPr>
          <w:color w:val="000000" w:themeColor="text1"/>
          <w:sz w:val="24"/>
          <w:szCs w:val="24"/>
        </w:rPr>
        <w:t xml:space="preserve">. </w:t>
      </w:r>
      <w:r w:rsidR="004B37F5">
        <w:rPr>
          <w:color w:val="000000" w:themeColor="text1"/>
          <w:sz w:val="24"/>
          <w:szCs w:val="24"/>
        </w:rPr>
        <w:t>Nos encontramos ante una regulación universal, que será de aplicación a todas las Administraciones Públicas sin excepción, tanto si actúan con sometimiento al Derecho Administrativo o con sujeción al Derecho Privado, y en relación a toda actividad</w:t>
      </w:r>
      <w:r w:rsidR="00FA04CD">
        <w:rPr>
          <w:color w:val="000000" w:themeColor="text1"/>
          <w:sz w:val="24"/>
          <w:szCs w:val="24"/>
        </w:rPr>
        <w:t xml:space="preserve"> administrativa, con independencia de su carácter jurídico o puramente fáctico o material, sea ésta pública o privada, y tanto por acción como por inactividad u omisión. El carácter unitario se une al orden jurisdiccional competente en materia de responsabilidad patrimonial de la Administración Pública, ya que se atribuye a la jurisdicción contencioso-administrativa, las pretensiones que se deduzcan en relación con la misma, cualquiera que sea la naturaleza de la actividad</w:t>
      </w:r>
      <w:r w:rsidR="004E2AFD">
        <w:rPr>
          <w:color w:val="000000" w:themeColor="text1"/>
          <w:sz w:val="24"/>
          <w:szCs w:val="24"/>
        </w:rPr>
        <w:t xml:space="preserve"> o el tipo de relación del que se derive.</w:t>
      </w:r>
    </w:p>
    <w:p w:rsidR="004E2AFD" w:rsidRDefault="009A05A7" w:rsidP="004B2AD2">
      <w:pPr>
        <w:spacing w:line="360" w:lineRule="auto"/>
        <w:ind w:firstLine="709"/>
        <w:jc w:val="both"/>
        <w:rPr>
          <w:color w:val="000000" w:themeColor="text1"/>
          <w:sz w:val="24"/>
          <w:szCs w:val="24"/>
        </w:rPr>
      </w:pPr>
      <w:r>
        <w:rPr>
          <w:color w:val="000000" w:themeColor="text1"/>
          <w:sz w:val="24"/>
          <w:szCs w:val="24"/>
        </w:rPr>
        <w:t>De esta manera, se produce una unificación personal, material, procedimental y jurisdiccional en la resolución de supuestos de responsabilidad de las Administraciones Públicas, cualquiera que sea la naturaleza de las causas que la motiven o el tipo de relación, pública o privada, de la que se derive.</w:t>
      </w:r>
    </w:p>
    <w:p w:rsidR="009A05A7" w:rsidRDefault="009A05A7" w:rsidP="004B2AD2">
      <w:pPr>
        <w:spacing w:line="360" w:lineRule="auto"/>
        <w:ind w:firstLine="709"/>
        <w:jc w:val="both"/>
        <w:rPr>
          <w:color w:val="000000" w:themeColor="text1"/>
          <w:sz w:val="24"/>
          <w:szCs w:val="24"/>
        </w:rPr>
      </w:pPr>
      <w:r>
        <w:rPr>
          <w:color w:val="000000" w:themeColor="text1"/>
          <w:sz w:val="24"/>
          <w:szCs w:val="24"/>
        </w:rPr>
        <w:t>3.2 DIRECTO</w:t>
      </w:r>
    </w:p>
    <w:p w:rsidR="009A05A7" w:rsidRPr="004B2AD2" w:rsidRDefault="0091505C" w:rsidP="004B2AD2">
      <w:pPr>
        <w:spacing w:line="360" w:lineRule="auto"/>
        <w:ind w:firstLine="709"/>
        <w:jc w:val="both"/>
        <w:rPr>
          <w:color w:val="000000" w:themeColor="text1"/>
          <w:sz w:val="24"/>
          <w:szCs w:val="24"/>
        </w:rPr>
      </w:pPr>
      <w:r>
        <w:rPr>
          <w:color w:val="000000" w:themeColor="text1"/>
          <w:sz w:val="24"/>
          <w:szCs w:val="24"/>
        </w:rPr>
        <w:t>Configurado como un rasgo inseparable a la culminación misma en la evolución del instituto jurídico de la responsabilidad patrimonial del Estado</w:t>
      </w:r>
      <w:r w:rsidR="00373BF0">
        <w:rPr>
          <w:rStyle w:val="Refdenotaalpie"/>
          <w:color w:val="000000" w:themeColor="text1"/>
          <w:sz w:val="24"/>
          <w:szCs w:val="24"/>
        </w:rPr>
        <w:footnoteReference w:id="12"/>
      </w:r>
      <w:r>
        <w:rPr>
          <w:color w:val="000000" w:themeColor="text1"/>
          <w:sz w:val="24"/>
          <w:szCs w:val="24"/>
        </w:rPr>
        <w:t xml:space="preserve">, el carácter </w:t>
      </w:r>
      <w:r w:rsidRPr="009B359B">
        <w:rPr>
          <w:i/>
          <w:color w:val="000000" w:themeColor="text1"/>
          <w:sz w:val="24"/>
          <w:szCs w:val="24"/>
        </w:rPr>
        <w:t>“directo”</w:t>
      </w:r>
      <w:r>
        <w:rPr>
          <w:color w:val="000000" w:themeColor="text1"/>
          <w:sz w:val="24"/>
          <w:szCs w:val="24"/>
        </w:rPr>
        <w:t xml:space="preserve"> del sistema de responsabilidad patrimonial de la Administración Pública</w:t>
      </w:r>
      <w:r w:rsidR="00373BF0">
        <w:rPr>
          <w:color w:val="000000" w:themeColor="text1"/>
          <w:sz w:val="24"/>
          <w:szCs w:val="24"/>
        </w:rPr>
        <w:t xml:space="preserve"> supone que la Administración, a diferencia de los antiguos regímenes de responsabilidad personal o subsidiaria, tendrá que responder frente a los individuos perjudicados (los cuales deberán reclamar en todo caso frente a la Administración titular del servicio) de las lesiones </w:t>
      </w:r>
      <w:r w:rsidR="00373BF0">
        <w:rPr>
          <w:color w:val="000000" w:themeColor="text1"/>
          <w:sz w:val="24"/>
          <w:szCs w:val="24"/>
        </w:rPr>
        <w:lastRenderedPageBreak/>
        <w:t>ocasionadas por la actuación de sus funcionarios, autoridades y agentes</w:t>
      </w:r>
      <w:r w:rsidR="009723B7">
        <w:rPr>
          <w:color w:val="000000" w:themeColor="text1"/>
          <w:sz w:val="24"/>
          <w:szCs w:val="24"/>
        </w:rPr>
        <w:t>, de acuerdo con lo redactado por el art. 36.1</w:t>
      </w:r>
      <w:r w:rsidR="009723B7">
        <w:rPr>
          <w:rStyle w:val="Refdenotaalpie"/>
          <w:color w:val="000000" w:themeColor="text1"/>
          <w:sz w:val="24"/>
          <w:szCs w:val="24"/>
        </w:rPr>
        <w:footnoteReference w:id="13"/>
      </w:r>
      <w:r w:rsidR="009723B7">
        <w:rPr>
          <w:color w:val="000000" w:themeColor="text1"/>
          <w:sz w:val="24"/>
          <w:szCs w:val="24"/>
        </w:rPr>
        <w:t xml:space="preserve"> de la Ley 40/2015.</w:t>
      </w:r>
    </w:p>
    <w:p w:rsidR="00605131" w:rsidRDefault="00F03D6F" w:rsidP="00605131">
      <w:pPr>
        <w:spacing w:line="360" w:lineRule="auto"/>
        <w:ind w:firstLine="709"/>
        <w:jc w:val="both"/>
        <w:rPr>
          <w:color w:val="000000" w:themeColor="text1"/>
          <w:sz w:val="24"/>
          <w:szCs w:val="24"/>
        </w:rPr>
      </w:pPr>
      <w:r>
        <w:rPr>
          <w:color w:val="000000" w:themeColor="text1"/>
          <w:sz w:val="24"/>
          <w:szCs w:val="24"/>
        </w:rPr>
        <w:t xml:space="preserve">Dicha garantía patrimonial directa, hace que la identificación o reclamación previa del funcionario o autoridad culpable del resultado lesivo sea innecesaria, debido, como anteriormente ya se ha comentado, a que ahora se cubre tanto los daños producidos por acciones administrativas imputables a agentes públicos concretos como los </w:t>
      </w:r>
      <w:r w:rsidR="00475E5B">
        <w:rPr>
          <w:color w:val="000000" w:themeColor="text1"/>
          <w:sz w:val="24"/>
          <w:szCs w:val="24"/>
        </w:rPr>
        <w:t xml:space="preserve">daños patrimoniales ocasionados por un funcionamiento anormal o impersonal de la propia organización administrativa, poniendo fin </w:t>
      </w:r>
      <w:r w:rsidR="001717E3">
        <w:rPr>
          <w:color w:val="000000" w:themeColor="text1"/>
          <w:sz w:val="24"/>
          <w:szCs w:val="24"/>
        </w:rPr>
        <w:t>a la situación tan problemática de insuficiencia patrimonial del funcionario.</w:t>
      </w:r>
    </w:p>
    <w:p w:rsidR="001717E3" w:rsidRDefault="003D770A" w:rsidP="00605131">
      <w:pPr>
        <w:spacing w:line="360" w:lineRule="auto"/>
        <w:ind w:firstLine="709"/>
        <w:jc w:val="both"/>
        <w:rPr>
          <w:color w:val="000000" w:themeColor="text1"/>
          <w:sz w:val="24"/>
          <w:szCs w:val="24"/>
        </w:rPr>
      </w:pPr>
      <w:r>
        <w:rPr>
          <w:color w:val="000000" w:themeColor="text1"/>
          <w:sz w:val="24"/>
          <w:szCs w:val="24"/>
        </w:rPr>
        <w:t>No obstante</w:t>
      </w:r>
      <w:r w:rsidR="00905DEC">
        <w:rPr>
          <w:color w:val="000000" w:themeColor="text1"/>
          <w:sz w:val="24"/>
          <w:szCs w:val="24"/>
        </w:rPr>
        <w:t xml:space="preserve">, no se excluirá la responsabilidad del agente que haya producido el daño de ningún modo, ya que tendrá que responder el </w:t>
      </w:r>
      <w:r>
        <w:rPr>
          <w:color w:val="000000" w:themeColor="text1"/>
          <w:sz w:val="24"/>
          <w:szCs w:val="24"/>
        </w:rPr>
        <w:t>cual,</w:t>
      </w:r>
      <w:r w:rsidR="00905DEC">
        <w:rPr>
          <w:color w:val="000000" w:themeColor="text1"/>
          <w:sz w:val="24"/>
          <w:szCs w:val="24"/>
        </w:rPr>
        <w:t xml:space="preserve"> frente a la Administración, siempre y cuando hubiera incurrido por dolo, culpa o negligencia grave, y previa instrucción del procedimiento que reglamentariamente se establezca. </w:t>
      </w:r>
      <w:r>
        <w:rPr>
          <w:color w:val="000000" w:themeColor="text1"/>
          <w:sz w:val="24"/>
          <w:szCs w:val="24"/>
        </w:rPr>
        <w:t>Procedimiento en el que el funcionario quedará sujeto al análisis de diversos criterios</w:t>
      </w:r>
      <w:r w:rsidR="00A4583C">
        <w:rPr>
          <w:color w:val="000000" w:themeColor="text1"/>
          <w:sz w:val="24"/>
          <w:szCs w:val="24"/>
        </w:rPr>
        <w:t xml:space="preserve"> en relación con la exigencia de responsabilidad, </w:t>
      </w:r>
      <w:r>
        <w:rPr>
          <w:color w:val="000000" w:themeColor="text1"/>
          <w:sz w:val="24"/>
          <w:szCs w:val="24"/>
        </w:rPr>
        <w:t>como puede ser el daño producido en el sujeto perjudicado, la posible existencia o no de intencion</w:t>
      </w:r>
      <w:r w:rsidR="00A4583C">
        <w:rPr>
          <w:color w:val="000000" w:themeColor="text1"/>
          <w:sz w:val="24"/>
          <w:szCs w:val="24"/>
        </w:rPr>
        <w:t xml:space="preserve">alidad, su </w:t>
      </w:r>
      <w:r>
        <w:rPr>
          <w:color w:val="000000" w:themeColor="text1"/>
          <w:sz w:val="24"/>
          <w:szCs w:val="24"/>
        </w:rPr>
        <w:t>relación con la producción de dicha lesión</w:t>
      </w:r>
      <w:r w:rsidR="00A4583C">
        <w:rPr>
          <w:color w:val="000000" w:themeColor="text1"/>
          <w:sz w:val="24"/>
          <w:szCs w:val="24"/>
        </w:rPr>
        <w:t>, etc</w:t>
      </w:r>
      <w:r>
        <w:rPr>
          <w:color w:val="000000" w:themeColor="text1"/>
          <w:sz w:val="24"/>
          <w:szCs w:val="24"/>
        </w:rPr>
        <w:t>.</w:t>
      </w:r>
    </w:p>
    <w:p w:rsidR="003D770A" w:rsidRDefault="003D770A" w:rsidP="00605131">
      <w:pPr>
        <w:spacing w:line="360" w:lineRule="auto"/>
        <w:ind w:firstLine="709"/>
        <w:jc w:val="both"/>
        <w:rPr>
          <w:color w:val="000000" w:themeColor="text1"/>
          <w:sz w:val="24"/>
          <w:szCs w:val="24"/>
        </w:rPr>
      </w:pPr>
      <w:r>
        <w:rPr>
          <w:color w:val="000000" w:themeColor="text1"/>
          <w:sz w:val="24"/>
          <w:szCs w:val="24"/>
        </w:rPr>
        <w:t>3.3 OBJETIVO</w:t>
      </w:r>
    </w:p>
    <w:p w:rsidR="00605131" w:rsidRDefault="00761333" w:rsidP="004E5E74">
      <w:pPr>
        <w:spacing w:line="360" w:lineRule="auto"/>
        <w:ind w:firstLine="709"/>
        <w:jc w:val="both"/>
        <w:rPr>
          <w:color w:val="000000" w:themeColor="text1"/>
          <w:sz w:val="24"/>
          <w:szCs w:val="24"/>
        </w:rPr>
      </w:pPr>
      <w:r>
        <w:rPr>
          <w:color w:val="000000" w:themeColor="text1"/>
          <w:sz w:val="24"/>
          <w:szCs w:val="24"/>
        </w:rPr>
        <w:t>El sistema de responsabilidad de la Administración Pública</w:t>
      </w:r>
      <w:r w:rsidR="00476EDE">
        <w:rPr>
          <w:color w:val="000000" w:themeColor="text1"/>
          <w:sz w:val="24"/>
          <w:szCs w:val="24"/>
        </w:rPr>
        <w:t xml:space="preserve"> cuenta con una tercera característica y es su carácter </w:t>
      </w:r>
      <w:r w:rsidR="00476EDE" w:rsidRPr="00476EDE">
        <w:rPr>
          <w:i/>
          <w:color w:val="000000" w:themeColor="text1"/>
          <w:sz w:val="24"/>
          <w:szCs w:val="24"/>
        </w:rPr>
        <w:t>“objetivo”</w:t>
      </w:r>
      <w:r w:rsidR="00476EDE">
        <w:rPr>
          <w:color w:val="000000" w:themeColor="text1"/>
          <w:sz w:val="24"/>
          <w:szCs w:val="24"/>
        </w:rPr>
        <w:t>, también denominado objetivizado. Esta característica supone eliminar todo tipo de referencia subjetiva a la concurrencia de dolo, culpa o negligencia por parte del funcionario que ocasiona el daño, centrando por tanto su fundamento en la existencia de un daño real o lesión resarcible.</w:t>
      </w:r>
    </w:p>
    <w:p w:rsidR="004E5E74" w:rsidRDefault="004E5E74" w:rsidP="004E5E74">
      <w:pPr>
        <w:spacing w:line="360" w:lineRule="auto"/>
        <w:ind w:firstLine="709"/>
        <w:jc w:val="both"/>
        <w:rPr>
          <w:color w:val="000000" w:themeColor="text1"/>
          <w:sz w:val="24"/>
          <w:szCs w:val="24"/>
        </w:rPr>
      </w:pPr>
      <w:r>
        <w:rPr>
          <w:color w:val="000000" w:themeColor="text1"/>
          <w:sz w:val="24"/>
          <w:szCs w:val="24"/>
        </w:rPr>
        <w:t>A pesar de la extraordinaria amplitud con que se pronuncia dicho sistema, esto no significa que todos los perjuicios que se produzcan debido a la actuación de los agentes o funcionarios al servicio de la Administración supongan un título jurídico suficiente para ser considerado indemnizable. Por lo tanto, el carácter de lesión resarcible solo lo adquirirá aquel daño que cumpla una serie de requisitos, como, por ejemplo: ser efectivo, evaluable econ</w:t>
      </w:r>
      <w:r w:rsidR="009C6BDD">
        <w:rPr>
          <w:color w:val="000000" w:themeColor="text1"/>
          <w:sz w:val="24"/>
          <w:szCs w:val="24"/>
        </w:rPr>
        <w:t xml:space="preserve">ómicamente, etc. Incluso </w:t>
      </w:r>
      <w:r>
        <w:rPr>
          <w:color w:val="000000" w:themeColor="text1"/>
          <w:sz w:val="24"/>
          <w:szCs w:val="24"/>
        </w:rPr>
        <w:t>el daño debe ser imputable a la Administraci</w:t>
      </w:r>
      <w:r w:rsidR="009C6BDD">
        <w:rPr>
          <w:color w:val="000000" w:themeColor="text1"/>
          <w:sz w:val="24"/>
          <w:szCs w:val="24"/>
        </w:rPr>
        <w:t>ón</w:t>
      </w:r>
      <w:r>
        <w:rPr>
          <w:color w:val="000000" w:themeColor="text1"/>
          <w:sz w:val="24"/>
          <w:szCs w:val="24"/>
        </w:rPr>
        <w:t xml:space="preserve"> </w:t>
      </w:r>
      <w:r w:rsidR="009C6BDD">
        <w:rPr>
          <w:color w:val="000000" w:themeColor="text1"/>
          <w:sz w:val="24"/>
          <w:szCs w:val="24"/>
        </w:rPr>
        <w:t>(</w:t>
      </w:r>
      <w:r>
        <w:rPr>
          <w:color w:val="000000" w:themeColor="text1"/>
          <w:sz w:val="24"/>
          <w:szCs w:val="24"/>
        </w:rPr>
        <w:t>mediando entre ambos elementos un nexo o relación de causalidad</w:t>
      </w:r>
      <w:r w:rsidR="009C6BDD">
        <w:rPr>
          <w:color w:val="000000" w:themeColor="text1"/>
          <w:sz w:val="24"/>
          <w:szCs w:val="24"/>
        </w:rPr>
        <w:t>), ya que se produce debido a un funcionamiento normal o anormal del servicio público que se presta.</w:t>
      </w:r>
    </w:p>
    <w:p w:rsidR="009723B7" w:rsidRDefault="009723B7" w:rsidP="004E5E74">
      <w:pPr>
        <w:spacing w:line="360" w:lineRule="auto"/>
        <w:ind w:firstLine="709"/>
        <w:jc w:val="both"/>
        <w:rPr>
          <w:color w:val="000000" w:themeColor="text1"/>
          <w:sz w:val="24"/>
          <w:szCs w:val="24"/>
        </w:rPr>
      </w:pPr>
    </w:p>
    <w:p w:rsidR="009C6BDD" w:rsidRDefault="009C6BDD" w:rsidP="004E5E74">
      <w:pPr>
        <w:spacing w:line="360" w:lineRule="auto"/>
        <w:ind w:firstLine="709"/>
        <w:jc w:val="both"/>
        <w:rPr>
          <w:color w:val="000000" w:themeColor="text1"/>
          <w:sz w:val="24"/>
          <w:szCs w:val="24"/>
        </w:rPr>
      </w:pPr>
      <w:r>
        <w:rPr>
          <w:color w:val="000000" w:themeColor="text1"/>
          <w:sz w:val="24"/>
          <w:szCs w:val="24"/>
        </w:rPr>
        <w:lastRenderedPageBreak/>
        <w:t>3.4 TENDENTE A LA REPARACIÓN INTEGRAL</w:t>
      </w:r>
    </w:p>
    <w:p w:rsidR="009C6BDD" w:rsidRDefault="003D79E4" w:rsidP="004E5E74">
      <w:pPr>
        <w:spacing w:line="360" w:lineRule="auto"/>
        <w:ind w:firstLine="709"/>
        <w:jc w:val="both"/>
        <w:rPr>
          <w:color w:val="000000" w:themeColor="text1"/>
          <w:sz w:val="24"/>
          <w:szCs w:val="24"/>
        </w:rPr>
      </w:pPr>
      <w:r>
        <w:rPr>
          <w:color w:val="000000" w:themeColor="text1"/>
          <w:sz w:val="24"/>
          <w:szCs w:val="24"/>
        </w:rPr>
        <w:t>El último de los caracteres con el que cuenta el sistema de responsabilidad patrimonial de la Administración Pública no es otro que el principio de reparación íntegra o de plena indemnidad, cuyo fundam</w:t>
      </w:r>
      <w:r w:rsidR="005601EB">
        <w:rPr>
          <w:color w:val="000000" w:themeColor="text1"/>
          <w:sz w:val="24"/>
          <w:szCs w:val="24"/>
        </w:rPr>
        <w:t>ento básico proviene del art</w:t>
      </w:r>
      <w:r>
        <w:rPr>
          <w:color w:val="000000" w:themeColor="text1"/>
          <w:sz w:val="24"/>
          <w:szCs w:val="24"/>
        </w:rPr>
        <w:t>. 106.2 de la CE</w:t>
      </w:r>
      <w:r w:rsidR="005F4034">
        <w:rPr>
          <w:color w:val="000000" w:themeColor="text1"/>
          <w:sz w:val="24"/>
          <w:szCs w:val="24"/>
        </w:rPr>
        <w:t xml:space="preserve"> y 32.1 de la Ley 40/2015</w:t>
      </w:r>
      <w:r>
        <w:rPr>
          <w:color w:val="000000" w:themeColor="text1"/>
          <w:sz w:val="24"/>
          <w:szCs w:val="24"/>
        </w:rPr>
        <w:t xml:space="preserve">, y se traduce en la necesidad de que la lesión producida al particular perjudicado debe quedar reparada. </w:t>
      </w:r>
      <w:r w:rsidR="00750C42">
        <w:rPr>
          <w:color w:val="000000" w:themeColor="text1"/>
          <w:sz w:val="24"/>
          <w:szCs w:val="24"/>
        </w:rPr>
        <w:t>De esta manera lo entiende la doctrina y la jurisprudencia, puesto que afirma que el fin que persigue dicha institución es, principalmente, asegurar la garantía patrimonial de los particulares, debiendo el perjudicado quedar indemnizado de toda lesión que sufra en cualquiera de sus bienes y derechos.</w:t>
      </w:r>
    </w:p>
    <w:p w:rsidR="00605131" w:rsidRDefault="004838DC" w:rsidP="00277949">
      <w:pPr>
        <w:spacing w:line="360" w:lineRule="auto"/>
        <w:ind w:firstLine="709"/>
        <w:jc w:val="both"/>
        <w:rPr>
          <w:color w:val="000000" w:themeColor="text1"/>
          <w:sz w:val="24"/>
          <w:szCs w:val="24"/>
        </w:rPr>
      </w:pPr>
      <w:r>
        <w:rPr>
          <w:color w:val="000000" w:themeColor="text1"/>
          <w:sz w:val="24"/>
          <w:szCs w:val="24"/>
        </w:rPr>
        <w:t xml:space="preserve">En consecuencia, y sobre la base de lo que la jurisprudencia ha querido denominar </w:t>
      </w:r>
      <w:r w:rsidRPr="004838DC">
        <w:rPr>
          <w:i/>
          <w:color w:val="000000" w:themeColor="text1"/>
          <w:sz w:val="24"/>
          <w:szCs w:val="24"/>
        </w:rPr>
        <w:t>“principio de reparación integral del daño sufrido por quien no tenía el deber de soportarlo”</w:t>
      </w:r>
      <w:r>
        <w:rPr>
          <w:color w:val="000000" w:themeColor="text1"/>
          <w:sz w:val="24"/>
          <w:szCs w:val="24"/>
        </w:rPr>
        <w:t xml:space="preserve">, ha de conseguirse una situación de máxima indemnidad patrimonial, mediante la íntegra reparación de los daños o perjuicios producidos en el patrimonio del particular perjudicado como consecuencia de un mal funcionamiento de los servicios públicos. </w:t>
      </w:r>
      <w:r w:rsidR="00277949">
        <w:rPr>
          <w:color w:val="000000" w:themeColor="text1"/>
          <w:sz w:val="24"/>
          <w:szCs w:val="24"/>
        </w:rPr>
        <w:t xml:space="preserve">Dicha reparación es compatible con otras prestaciones e indemnizaciones, siempre y cuando tengan causa en los mismos </w:t>
      </w:r>
      <w:r w:rsidR="00150B3A">
        <w:rPr>
          <w:color w:val="000000" w:themeColor="text1"/>
          <w:sz w:val="24"/>
          <w:szCs w:val="24"/>
        </w:rPr>
        <w:t>hechos,</w:t>
      </w:r>
      <w:r w:rsidR="00277949">
        <w:rPr>
          <w:color w:val="000000" w:themeColor="text1"/>
          <w:sz w:val="24"/>
          <w:szCs w:val="24"/>
        </w:rPr>
        <w:t xml:space="preserve"> pero en títulos jurídicos diferentes y, además, sean exigencia de la plena indemnidad de la víctima, con el único límite del enriquecimiento injusto o sin causa.</w:t>
      </w:r>
    </w:p>
    <w:p w:rsidR="00277949" w:rsidRPr="00277949" w:rsidRDefault="00277949" w:rsidP="00277949">
      <w:pPr>
        <w:spacing w:line="360" w:lineRule="auto"/>
        <w:ind w:firstLine="709"/>
        <w:jc w:val="both"/>
        <w:rPr>
          <w:color w:val="000000" w:themeColor="text1"/>
          <w:sz w:val="24"/>
          <w:szCs w:val="24"/>
        </w:rPr>
      </w:pPr>
    </w:p>
    <w:p w:rsidR="00605131" w:rsidRDefault="00605131" w:rsidP="00605131">
      <w:pPr>
        <w:spacing w:line="360" w:lineRule="auto"/>
        <w:jc w:val="both"/>
        <w:rPr>
          <w:sz w:val="24"/>
          <w:szCs w:val="24"/>
        </w:rPr>
      </w:pPr>
      <w:r>
        <w:rPr>
          <w:sz w:val="24"/>
          <w:szCs w:val="24"/>
        </w:rPr>
        <w:t>4. REQUISITOS DE LA RESPONSABILIDAD PATRIMONIAL EN MATERIA SANITARIA</w:t>
      </w:r>
    </w:p>
    <w:p w:rsidR="00605131" w:rsidRDefault="00605131" w:rsidP="00605131">
      <w:pPr>
        <w:spacing w:line="360" w:lineRule="auto"/>
        <w:jc w:val="both"/>
        <w:rPr>
          <w:sz w:val="24"/>
          <w:szCs w:val="24"/>
        </w:rPr>
      </w:pPr>
      <w:r>
        <w:rPr>
          <w:sz w:val="24"/>
          <w:szCs w:val="24"/>
        </w:rPr>
        <w:tab/>
        <w:t>4.1 LESIÓN RESARCIBLE</w:t>
      </w:r>
    </w:p>
    <w:p w:rsidR="00507DAC" w:rsidRDefault="00507DAC" w:rsidP="00605131">
      <w:pPr>
        <w:spacing w:line="360" w:lineRule="auto"/>
        <w:jc w:val="both"/>
        <w:rPr>
          <w:sz w:val="24"/>
          <w:szCs w:val="24"/>
        </w:rPr>
      </w:pPr>
      <w:r>
        <w:rPr>
          <w:sz w:val="24"/>
          <w:szCs w:val="24"/>
        </w:rPr>
        <w:tab/>
      </w:r>
      <w:r>
        <w:rPr>
          <w:sz w:val="24"/>
          <w:szCs w:val="24"/>
        </w:rPr>
        <w:tab/>
        <w:t>4.1.1 LA CLAVE DEL SISTEMA DE RESPONSABILIDAD OBJETIVA</w:t>
      </w:r>
    </w:p>
    <w:p w:rsidR="00605131" w:rsidRDefault="00505515" w:rsidP="00605131">
      <w:pPr>
        <w:spacing w:line="360" w:lineRule="auto"/>
        <w:ind w:firstLine="709"/>
        <w:jc w:val="both"/>
        <w:rPr>
          <w:sz w:val="24"/>
          <w:szCs w:val="24"/>
        </w:rPr>
      </w:pPr>
      <w:r>
        <w:rPr>
          <w:sz w:val="24"/>
          <w:szCs w:val="24"/>
        </w:rPr>
        <w:t xml:space="preserve">El elemento básico en el que radica la responsabilidad cuando esta tiene un carácter subjetivo es la culpa. </w:t>
      </w:r>
      <w:r w:rsidR="00B55198">
        <w:rPr>
          <w:sz w:val="24"/>
          <w:szCs w:val="24"/>
        </w:rPr>
        <w:t xml:space="preserve">Sin embargo, la responsabilidad objetiva de la Administración, que elimina por completo la noción de culpa, encuentra su fundamento jurídico en el principio de garantía patrimonial, lo que produce que el concepto de lesión resarcible se convierta en la base del sistema: no obstante, la responsabilidad patrimonial, al igual que la expropiación forzosa, tiende a dejar indemne el patrimonio del administrado perjudicado. </w:t>
      </w:r>
      <w:r w:rsidR="00F51421">
        <w:rPr>
          <w:sz w:val="24"/>
          <w:szCs w:val="24"/>
        </w:rPr>
        <w:t xml:space="preserve">Es por esto, que el tipo o modalidad de la acción administrativa dañosa no importa tanto como la lesión que en concreto haya sufrido el particular, por lo tanto, la ilicitud o ilegitimidad del daño, el </w:t>
      </w:r>
      <w:r w:rsidR="00F51421" w:rsidRPr="00F51421">
        <w:rPr>
          <w:i/>
          <w:sz w:val="24"/>
          <w:szCs w:val="24"/>
        </w:rPr>
        <w:t>“damnum non iure datur”</w:t>
      </w:r>
      <w:r w:rsidR="00F51421">
        <w:rPr>
          <w:sz w:val="24"/>
          <w:szCs w:val="24"/>
        </w:rPr>
        <w:t xml:space="preserve"> generador del deber de reparar no se mide ni se valora ya en una conducta administrativa reprochable que tendría que sancionarse, sino en el patrimonio privado dañado que es preciso restaurar.</w:t>
      </w:r>
    </w:p>
    <w:p w:rsidR="00F51421" w:rsidRDefault="00026A15" w:rsidP="00605131">
      <w:pPr>
        <w:spacing w:line="360" w:lineRule="auto"/>
        <w:ind w:firstLine="709"/>
        <w:jc w:val="both"/>
        <w:rPr>
          <w:sz w:val="24"/>
          <w:szCs w:val="24"/>
        </w:rPr>
      </w:pPr>
      <w:r>
        <w:rPr>
          <w:sz w:val="24"/>
          <w:szCs w:val="24"/>
        </w:rPr>
        <w:lastRenderedPageBreak/>
        <w:t xml:space="preserve">Llama especialmente la atención, el hecho de que todas las legislaciones que hasta la fecha han regulado o vienen regulando la responsabilidad patrimonial no se utiliza el término </w:t>
      </w:r>
      <w:r w:rsidRPr="00CF66BE">
        <w:rPr>
          <w:i/>
          <w:sz w:val="24"/>
          <w:szCs w:val="24"/>
        </w:rPr>
        <w:t>“daño”</w:t>
      </w:r>
      <w:r>
        <w:rPr>
          <w:sz w:val="24"/>
          <w:szCs w:val="24"/>
        </w:rPr>
        <w:t xml:space="preserve">, </w:t>
      </w:r>
      <w:r w:rsidR="00CF66BE">
        <w:rPr>
          <w:sz w:val="24"/>
          <w:szCs w:val="24"/>
        </w:rPr>
        <w:t xml:space="preserve">sino el de </w:t>
      </w:r>
      <w:r w:rsidR="00CF66BE" w:rsidRPr="00CF66BE">
        <w:rPr>
          <w:i/>
          <w:sz w:val="24"/>
          <w:szCs w:val="24"/>
        </w:rPr>
        <w:t>“lesión”</w:t>
      </w:r>
      <w:r w:rsidR="00CF66BE">
        <w:rPr>
          <w:sz w:val="24"/>
          <w:szCs w:val="24"/>
        </w:rPr>
        <w:t>, que es m</w:t>
      </w:r>
      <w:r w:rsidR="00A91AE4">
        <w:rPr>
          <w:sz w:val="24"/>
          <w:szCs w:val="24"/>
        </w:rPr>
        <w:t xml:space="preserve">ás taxativo: no </w:t>
      </w:r>
      <w:r w:rsidR="00CF66BE">
        <w:rPr>
          <w:sz w:val="24"/>
          <w:szCs w:val="24"/>
        </w:rPr>
        <w:t xml:space="preserve">todo perjuicio puede ser constitutivo de una lesión en sentido técnico-jurídico del término, </w:t>
      </w:r>
      <w:r w:rsidR="00A91AE4">
        <w:rPr>
          <w:sz w:val="24"/>
          <w:szCs w:val="24"/>
        </w:rPr>
        <w:t>puesto que toda lesión es integrante tanto de un daño como de un perjuicio no todo daño y perjuicio puede ser constitutivo de una lesión.</w:t>
      </w:r>
    </w:p>
    <w:p w:rsidR="00A91AE4" w:rsidRDefault="00A23830" w:rsidP="00605131">
      <w:pPr>
        <w:spacing w:line="360" w:lineRule="auto"/>
        <w:ind w:firstLine="709"/>
        <w:jc w:val="both"/>
        <w:rPr>
          <w:sz w:val="24"/>
          <w:szCs w:val="24"/>
        </w:rPr>
      </w:pPr>
      <w:r>
        <w:rPr>
          <w:sz w:val="24"/>
          <w:szCs w:val="24"/>
        </w:rPr>
        <w:t xml:space="preserve">La decisión del legislador no podía ser otra, porque en el caso de adoptar cualquier otra decisión se estaría incurriendo en el absurdo de obligar a responder a la Administración ante cualquier perjuicio por el hecho de haberse realizado dentro de su organización. Pero el principal problema reside en la manera de identificar el cuándo y el por qué un daño puede adquirir tintes de lesión indemnizable. </w:t>
      </w:r>
      <w:r w:rsidR="007F67AB">
        <w:rPr>
          <w:sz w:val="24"/>
          <w:szCs w:val="24"/>
        </w:rPr>
        <w:t xml:space="preserve">Es la jurisprudencia y el Consejo de Estado los encargados de llevar a cabo esta tarea, ya que la legislación no reconoce el significado y el alcance del término lesión hasta que se aprueba en el año 1992 la </w:t>
      </w:r>
      <w:r w:rsidR="007F67AB" w:rsidRPr="007F67AB">
        <w:rPr>
          <w:i/>
          <w:sz w:val="24"/>
          <w:szCs w:val="24"/>
        </w:rPr>
        <w:t>“Ley de Régimen Jurídico y Procedimiento Administrativo Común”</w:t>
      </w:r>
      <w:r w:rsidR="007F67AB">
        <w:rPr>
          <w:sz w:val="24"/>
          <w:szCs w:val="24"/>
        </w:rPr>
        <w:t>.</w:t>
      </w:r>
    </w:p>
    <w:p w:rsidR="007F67AB" w:rsidRDefault="00B66F2B" w:rsidP="00605131">
      <w:pPr>
        <w:spacing w:line="360" w:lineRule="auto"/>
        <w:ind w:firstLine="709"/>
        <w:jc w:val="both"/>
        <w:rPr>
          <w:sz w:val="24"/>
          <w:szCs w:val="24"/>
        </w:rPr>
      </w:pPr>
      <w:r>
        <w:rPr>
          <w:sz w:val="24"/>
          <w:szCs w:val="24"/>
        </w:rPr>
        <w:t xml:space="preserve">Ahora bien, para que el daño producido por una Administración Pública impute el derecho a una indemnización debe ser antijurídico, es decir, </w:t>
      </w:r>
      <w:r w:rsidR="00766F3E">
        <w:rPr>
          <w:sz w:val="24"/>
          <w:szCs w:val="24"/>
        </w:rPr>
        <w:t xml:space="preserve">con </w:t>
      </w:r>
      <w:r>
        <w:rPr>
          <w:sz w:val="24"/>
          <w:szCs w:val="24"/>
        </w:rPr>
        <w:t>daño antijurídico hace</w:t>
      </w:r>
      <w:r w:rsidR="00766F3E">
        <w:rPr>
          <w:sz w:val="24"/>
          <w:szCs w:val="24"/>
        </w:rPr>
        <w:t>mos</w:t>
      </w:r>
      <w:r>
        <w:rPr>
          <w:sz w:val="24"/>
          <w:szCs w:val="24"/>
        </w:rPr>
        <w:t xml:space="preserve"> alusión al particular que sufre el daño y no tiene el deber jurídico de soportarlo, pero, además, el daño tiene que ser también</w:t>
      </w:r>
      <w:r w:rsidR="006D0558">
        <w:rPr>
          <w:sz w:val="24"/>
          <w:szCs w:val="24"/>
        </w:rPr>
        <w:t xml:space="preserve"> real, concreto y susceptible de evaluación económica.</w:t>
      </w:r>
      <w:r w:rsidR="0010295B">
        <w:rPr>
          <w:sz w:val="24"/>
          <w:szCs w:val="24"/>
        </w:rPr>
        <w:t xml:space="preserve"> Respecto a esto, el Tribunal Supremo en la STS de 26 de marzo de 2007</w:t>
      </w:r>
      <w:r w:rsidR="00507DAC">
        <w:rPr>
          <w:rStyle w:val="Refdenotaalpie"/>
          <w:sz w:val="24"/>
          <w:szCs w:val="24"/>
        </w:rPr>
        <w:footnoteReference w:id="14"/>
      </w:r>
      <w:r w:rsidR="0010295B">
        <w:rPr>
          <w:sz w:val="24"/>
          <w:szCs w:val="24"/>
        </w:rPr>
        <w:t xml:space="preserve"> señala lo siguiente:</w:t>
      </w:r>
    </w:p>
    <w:p w:rsidR="0010295B" w:rsidRDefault="0010295B" w:rsidP="00605131">
      <w:pPr>
        <w:spacing w:line="360" w:lineRule="auto"/>
        <w:ind w:firstLine="709"/>
        <w:jc w:val="both"/>
        <w:rPr>
          <w:sz w:val="24"/>
          <w:szCs w:val="24"/>
        </w:rPr>
      </w:pPr>
      <w:r w:rsidRPr="0010295B">
        <w:rPr>
          <w:i/>
          <w:sz w:val="24"/>
          <w:szCs w:val="24"/>
        </w:rPr>
        <w:t>“Por lo que se refiere a las características del daño causado, este ha de ser efectivo, evaluable económicamente e individualizado, siendo solo indemnizables las lesiones producidas provenientes de daños que no haya el deber jurídico de soportar de acuerdo con la Ley. La antijuridicidad del daño viene exigiéndose por la jurisprudencia, baste al efecto la referencia a la sentencia de 22 de abril de 1994, que cita las de 19 de enero y 7 de junio de 1988, 29 de mayo de 1989, 8 de febrero de 1991 y 2 de noviembre de 1993, según la cual: &lt;esa responsabilidad patrimonial de la Administración se funda en el criterio objetivo de la lesión, entendida como daño o perjuicio antijurídico que quien lo sufre no tiene el deber jurídico de soportar, pues si existe ese deber jurídico decae la obligación de la Administración de indemnizar (en este mismo sentido están las sentencias de 31 de octubre de 2000 y 30 de octubre de 2003)”</w:t>
      </w:r>
      <w:r>
        <w:rPr>
          <w:sz w:val="24"/>
          <w:szCs w:val="24"/>
        </w:rPr>
        <w:t>.</w:t>
      </w:r>
    </w:p>
    <w:p w:rsidR="005601EB" w:rsidRDefault="001740FF" w:rsidP="005F4034">
      <w:pPr>
        <w:spacing w:line="360" w:lineRule="auto"/>
        <w:ind w:firstLine="709"/>
        <w:jc w:val="both"/>
        <w:rPr>
          <w:sz w:val="24"/>
          <w:szCs w:val="24"/>
        </w:rPr>
      </w:pPr>
      <w:r>
        <w:rPr>
          <w:sz w:val="24"/>
          <w:szCs w:val="24"/>
        </w:rPr>
        <w:t xml:space="preserve">Es preciso señalar las particularidades que en el entorno del servicio público sanitario presenta el concepto de lesión. Y es que todo lo que engloba la asistencia sanitaria, esto es, su contenido y fines, hace que las lesiones que se producen se alejen del campo de lo </w:t>
      </w:r>
      <w:r>
        <w:rPr>
          <w:sz w:val="24"/>
          <w:szCs w:val="24"/>
        </w:rPr>
        <w:lastRenderedPageBreak/>
        <w:t>patrimonial: puesto que no se afecta a bienes materiales del individuo, solo indirectamente, sino a derechos inherentes a la propia persona, que disfrutan de una relevancia especial y se encuentran amparados constitucionalmente, como por ejemplo son: el derecho a la integridad física, a la libertad individual, a la vida y a la salud.</w:t>
      </w:r>
    </w:p>
    <w:p w:rsidR="001740FF" w:rsidRDefault="001740FF" w:rsidP="007C04B7">
      <w:pPr>
        <w:spacing w:line="360" w:lineRule="auto"/>
        <w:ind w:left="707" w:firstLine="709"/>
        <w:jc w:val="both"/>
        <w:rPr>
          <w:sz w:val="24"/>
          <w:szCs w:val="24"/>
        </w:rPr>
      </w:pPr>
      <w:r>
        <w:rPr>
          <w:sz w:val="24"/>
          <w:szCs w:val="24"/>
        </w:rPr>
        <w:t>4.1.2 ANTIJURIDICIDAD DEL DAÑO</w:t>
      </w:r>
    </w:p>
    <w:p w:rsidR="001740FF" w:rsidRDefault="000F2E0F" w:rsidP="00507DAC">
      <w:pPr>
        <w:spacing w:line="360" w:lineRule="auto"/>
        <w:ind w:firstLine="709"/>
        <w:jc w:val="both"/>
        <w:rPr>
          <w:sz w:val="24"/>
          <w:szCs w:val="24"/>
        </w:rPr>
      </w:pPr>
      <w:r>
        <w:rPr>
          <w:sz w:val="24"/>
          <w:szCs w:val="24"/>
        </w:rPr>
        <w:t>Para que se aparezca una lesión en sentido propio no es suficiente con que exista un perjuicio material, sino que, además, ese perjuicio patrimonial debe ser antijurídico</w:t>
      </w:r>
      <w:r w:rsidR="00A300A4">
        <w:rPr>
          <w:sz w:val="24"/>
          <w:szCs w:val="24"/>
        </w:rPr>
        <w:t>. La mayor dificultad que se encuentra es la de determinar el significado de dicho concepto. Y con este</w:t>
      </w:r>
      <w:r w:rsidR="005F4034">
        <w:rPr>
          <w:sz w:val="24"/>
          <w:szCs w:val="24"/>
        </w:rPr>
        <w:t xml:space="preserve"> propósito, el art. 34.1 de la Ley 40/2015</w:t>
      </w:r>
      <w:r w:rsidR="00A300A4">
        <w:rPr>
          <w:sz w:val="24"/>
          <w:szCs w:val="24"/>
        </w:rPr>
        <w:t>, señalaba que:</w:t>
      </w:r>
    </w:p>
    <w:p w:rsidR="00A300A4" w:rsidRDefault="00A300A4" w:rsidP="00507DAC">
      <w:pPr>
        <w:spacing w:line="360" w:lineRule="auto"/>
        <w:ind w:firstLine="709"/>
        <w:jc w:val="both"/>
        <w:rPr>
          <w:sz w:val="24"/>
          <w:szCs w:val="24"/>
        </w:rPr>
      </w:pPr>
      <w:r w:rsidRPr="00A300A4">
        <w:rPr>
          <w:i/>
          <w:sz w:val="24"/>
          <w:szCs w:val="24"/>
        </w:rPr>
        <w:t>“… solo serán indemnizables las lesiones producidas al particular provenientes de daños que este no tenga el deber jurídico de soportar de acuerdo con la Ley”</w:t>
      </w:r>
      <w:r>
        <w:rPr>
          <w:sz w:val="24"/>
          <w:szCs w:val="24"/>
        </w:rPr>
        <w:t>.</w:t>
      </w:r>
    </w:p>
    <w:p w:rsidR="00A300A4" w:rsidRDefault="00AD56B3" w:rsidP="00507DAC">
      <w:pPr>
        <w:spacing w:line="360" w:lineRule="auto"/>
        <w:ind w:firstLine="709"/>
        <w:jc w:val="both"/>
        <w:rPr>
          <w:sz w:val="24"/>
          <w:szCs w:val="24"/>
        </w:rPr>
      </w:pPr>
      <w:r>
        <w:rPr>
          <w:sz w:val="24"/>
          <w:szCs w:val="24"/>
        </w:rPr>
        <w:t>De acuerdo con este artículo, el perjuicio es antijurídico y se convierte en lesión resarcible, siempre y cuando el individuo que la sufre no tiene el deber jurídico de soportarla.</w:t>
      </w:r>
    </w:p>
    <w:p w:rsidR="00AD56B3" w:rsidRDefault="00AD56B3" w:rsidP="00507DAC">
      <w:pPr>
        <w:spacing w:line="360" w:lineRule="auto"/>
        <w:ind w:firstLine="709"/>
        <w:jc w:val="both"/>
        <w:rPr>
          <w:sz w:val="24"/>
          <w:szCs w:val="24"/>
        </w:rPr>
      </w:pPr>
      <w:r>
        <w:rPr>
          <w:sz w:val="24"/>
          <w:szCs w:val="24"/>
        </w:rPr>
        <w:t xml:space="preserve">El legislador del año 1992 con esta definición, incorpora a la regulación de la responsabilidad patrimonial el concepto tradicional y normalmente admitido en la doctrina y en la jurisprudencia: </w:t>
      </w:r>
      <w:r w:rsidR="0054576C">
        <w:rPr>
          <w:sz w:val="24"/>
          <w:szCs w:val="24"/>
        </w:rPr>
        <w:t xml:space="preserve">el daño es antijurídico o ilícito en todos los supuestos en que la Administración carezca de título legítimo que justifique en Derecho la irreversible carga impuesta al administrado: por otra parte, si las normas atribuyen al individuo los efectos dañosos de una determinada intervención administrativa, en dicho caso se da a entender que concurre un título de justificación excluyente de la antijuridicidad del daño ocasionado por la actuación administrativa. </w:t>
      </w:r>
      <w:r w:rsidR="00845670">
        <w:rPr>
          <w:sz w:val="24"/>
          <w:szCs w:val="24"/>
        </w:rPr>
        <w:t>Dicho en otras palabras, la Administración tendrá que responder del daño cuando las normas no obliguen al particular perjudicado a soportar dicho daño, pero en el caso de que alguna norma permitiera a la Administración la producción del detrimento patrimonial, significará que el perjudicado soportará dicho daño y, en consecuencia, decaerá la obligación de la Administración de reparar e indemnizar el daño producido.</w:t>
      </w:r>
    </w:p>
    <w:p w:rsidR="007C6391" w:rsidRDefault="006B2DD9" w:rsidP="00D50726">
      <w:pPr>
        <w:spacing w:line="360" w:lineRule="auto"/>
        <w:ind w:firstLine="709"/>
        <w:jc w:val="both"/>
        <w:rPr>
          <w:sz w:val="24"/>
          <w:szCs w:val="24"/>
        </w:rPr>
      </w:pPr>
      <w:r>
        <w:rPr>
          <w:sz w:val="24"/>
          <w:szCs w:val="24"/>
        </w:rPr>
        <w:t>Una vez definida, se observa que la antijuridicidad no se predica de la actuación que da lugar a la responsabilidad. El daño es antijurídico cuando,</w:t>
      </w:r>
      <w:r w:rsidR="00706C5E">
        <w:rPr>
          <w:sz w:val="24"/>
          <w:szCs w:val="24"/>
        </w:rPr>
        <w:t xml:space="preserve"> </w:t>
      </w:r>
      <w:r w:rsidR="00706C5E" w:rsidRPr="006F29A0">
        <w:rPr>
          <w:color w:val="000000" w:themeColor="text1"/>
          <w:sz w:val="24"/>
          <w:szCs w:val="24"/>
        </w:rPr>
        <w:t>según Martín Rebollo (1994</w:t>
      </w:r>
      <w:r w:rsidR="004C43E4" w:rsidRPr="006F29A0">
        <w:rPr>
          <w:color w:val="000000" w:themeColor="text1"/>
          <w:sz w:val="24"/>
          <w:szCs w:val="24"/>
        </w:rPr>
        <w:t xml:space="preserve">), </w:t>
      </w:r>
      <w:r w:rsidR="004C43E4" w:rsidRPr="006F29A0">
        <w:rPr>
          <w:i/>
          <w:color w:val="000000" w:themeColor="text1"/>
          <w:sz w:val="24"/>
          <w:szCs w:val="24"/>
        </w:rPr>
        <w:t>“no haya causas justificativas, legalmente previstas, que impongan el citado deber de tolerarlo</w:t>
      </w:r>
      <w:r w:rsidR="007C6391" w:rsidRPr="006F29A0">
        <w:rPr>
          <w:i/>
          <w:color w:val="000000" w:themeColor="text1"/>
          <w:sz w:val="24"/>
          <w:szCs w:val="24"/>
        </w:rPr>
        <w:t>, al margen de la legalidad o de la corrección o no de la actuación causante del mismo</w:t>
      </w:r>
      <w:r w:rsidR="004C43E4" w:rsidRPr="006F29A0">
        <w:rPr>
          <w:i/>
          <w:color w:val="000000" w:themeColor="text1"/>
          <w:sz w:val="24"/>
          <w:szCs w:val="24"/>
        </w:rPr>
        <w:t>”</w:t>
      </w:r>
      <w:r w:rsidR="007C6391">
        <w:rPr>
          <w:sz w:val="24"/>
          <w:szCs w:val="24"/>
        </w:rPr>
        <w:t>. Esto intenta explicar la STS de 28 de octubre de 2002</w:t>
      </w:r>
      <w:r w:rsidR="007C6391">
        <w:rPr>
          <w:rStyle w:val="Refdenotaalpie"/>
          <w:sz w:val="24"/>
          <w:szCs w:val="24"/>
        </w:rPr>
        <w:footnoteReference w:id="15"/>
      </w:r>
      <w:r w:rsidR="007C6391">
        <w:rPr>
          <w:sz w:val="24"/>
          <w:szCs w:val="24"/>
        </w:rPr>
        <w:t xml:space="preserve">, al señalar que </w:t>
      </w:r>
      <w:r w:rsidR="007C6391" w:rsidRPr="007C6391">
        <w:rPr>
          <w:i/>
          <w:sz w:val="24"/>
          <w:szCs w:val="24"/>
        </w:rPr>
        <w:t>“no es el aspecto subjetivo del actuar antijurídico de la Administración el que debe exigirse para sostener el derecho a la indemnización, sino el objetivo de la ilegalidad del perjuicio, en el sentido</w:t>
      </w:r>
      <w:r w:rsidR="004C43E4" w:rsidRPr="007C6391">
        <w:rPr>
          <w:i/>
          <w:sz w:val="24"/>
          <w:szCs w:val="24"/>
        </w:rPr>
        <w:t xml:space="preserve"> </w:t>
      </w:r>
      <w:r w:rsidR="007C6391" w:rsidRPr="007C6391">
        <w:rPr>
          <w:i/>
          <w:sz w:val="24"/>
          <w:szCs w:val="24"/>
        </w:rPr>
        <w:t>de que el ciudadano no tenga el deber jurídico de soportarlo”</w:t>
      </w:r>
      <w:r w:rsidR="007C6391">
        <w:rPr>
          <w:sz w:val="24"/>
          <w:szCs w:val="24"/>
        </w:rPr>
        <w:t>.</w:t>
      </w:r>
      <w:r w:rsidR="00D50726">
        <w:rPr>
          <w:sz w:val="24"/>
          <w:szCs w:val="24"/>
        </w:rPr>
        <w:t xml:space="preserve"> </w:t>
      </w:r>
      <w:r w:rsidR="005654C6">
        <w:rPr>
          <w:sz w:val="24"/>
          <w:szCs w:val="24"/>
        </w:rPr>
        <w:t xml:space="preserve">La antijuridicidad, es </w:t>
      </w:r>
      <w:r w:rsidR="005654C6">
        <w:rPr>
          <w:sz w:val="24"/>
          <w:szCs w:val="24"/>
        </w:rPr>
        <w:lastRenderedPageBreak/>
        <w:t xml:space="preserve">pues, un elemento objetivo del daño, no una cualificación subjetiva de la actividad dañosa, </w:t>
      </w:r>
      <w:r w:rsidR="00A23DD0">
        <w:rPr>
          <w:sz w:val="24"/>
          <w:szCs w:val="24"/>
        </w:rPr>
        <w:t>por lo tanto, lo destacado aquí no es el proceder antijurídico de la Administración, sino la antijuridicidad del daño o lesión. Precisamente, para intentar delimitar el término de antijuridicidad, la Ley 4/1999, de 13 de enero, añadió un inci</w:t>
      </w:r>
      <w:r w:rsidR="005F4034">
        <w:rPr>
          <w:sz w:val="24"/>
          <w:szCs w:val="24"/>
        </w:rPr>
        <w:t>so al ya comentado art. 34.1 de la Ley 40/2015</w:t>
      </w:r>
      <w:r w:rsidR="00A23DD0">
        <w:rPr>
          <w:sz w:val="24"/>
          <w:szCs w:val="24"/>
        </w:rPr>
        <w:t>, que parece pensado precisamente para la Administración sanitaria, el cual establece lo siguiente:</w:t>
      </w:r>
    </w:p>
    <w:p w:rsidR="00A23DD0" w:rsidRDefault="00A23DD0" w:rsidP="00D50726">
      <w:pPr>
        <w:spacing w:line="360" w:lineRule="auto"/>
        <w:ind w:firstLine="709"/>
        <w:jc w:val="both"/>
        <w:rPr>
          <w:sz w:val="24"/>
          <w:szCs w:val="24"/>
        </w:rPr>
      </w:pPr>
      <w:r w:rsidRPr="00A23DD0">
        <w:rPr>
          <w:i/>
          <w:sz w:val="24"/>
          <w:szCs w:val="24"/>
        </w:rPr>
        <w:t>“… no serán indemnizables los daños que se deriven de hechos o circunstancias que no se hubiese podido prever o evitar según el estado de los conocimientos de la ciencia o de la técnica existente en el momento de producción de aquellos…”</w:t>
      </w:r>
      <w:r>
        <w:rPr>
          <w:sz w:val="24"/>
          <w:szCs w:val="24"/>
        </w:rPr>
        <w:t>.</w:t>
      </w:r>
    </w:p>
    <w:p w:rsidR="00A23DD0" w:rsidRDefault="00D21F8B" w:rsidP="00D50726">
      <w:pPr>
        <w:spacing w:line="360" w:lineRule="auto"/>
        <w:ind w:firstLine="709"/>
        <w:jc w:val="both"/>
        <w:rPr>
          <w:sz w:val="24"/>
          <w:szCs w:val="24"/>
        </w:rPr>
      </w:pPr>
      <w:r>
        <w:rPr>
          <w:sz w:val="24"/>
          <w:szCs w:val="24"/>
        </w:rPr>
        <w:t xml:space="preserve">De esta forma, la Administración sanitaria no tendrá la obligación de indemnizar por los daños cuya prevención y evitabilidad resultan imposibles en virtud del estado de conocimientos de la ciencia o de la técnica en el momento de que se trate. </w:t>
      </w:r>
      <w:r w:rsidR="004D1D2D">
        <w:rPr>
          <w:sz w:val="24"/>
          <w:szCs w:val="24"/>
        </w:rPr>
        <w:t xml:space="preserve">La adopción de los medios al alcance del servicio, en cuanto supone la acomodación de la prestación sanitaria al estado del saber en cada momento, y su aplicación al caso concreto atendiendo a las circunstancias del mismo, trasladan el deber de soportar el riesgo al afectado y determinan que el resultado dañoso que pueda producirse no sea antijurídico. </w:t>
      </w:r>
      <w:r w:rsidR="00AC6664">
        <w:rPr>
          <w:sz w:val="24"/>
          <w:szCs w:val="24"/>
        </w:rPr>
        <w:t xml:space="preserve">Por lo tanto, el particular tiene la obligación de soportar el daño ya que no tiene el derecho a reclamar del sistema sanitario un resultado que las reglas del conocimiento técnico no pueden garantizar, ni tampoco tiene derecho a ser informado de los riesgos que no se conocen y que tampoco se tiene la obligación de conocer cuando el estado de la ciencia </w:t>
      </w:r>
      <w:r w:rsidR="00A643DB">
        <w:rPr>
          <w:sz w:val="24"/>
          <w:szCs w:val="24"/>
        </w:rPr>
        <w:t>no tiene tal nivel aún alcanzado de conocimiento. No obstante, la carga de la prueba sobre el estado de estos conocimientos incumbe a la Administración sanitaria, como determina la STS de 31 de mayo de 1999</w:t>
      </w:r>
      <w:r w:rsidR="00A643DB">
        <w:rPr>
          <w:rStyle w:val="Refdenotaalpie"/>
          <w:sz w:val="24"/>
          <w:szCs w:val="24"/>
        </w:rPr>
        <w:footnoteReference w:id="16"/>
      </w:r>
      <w:r w:rsidR="00A643DB">
        <w:rPr>
          <w:sz w:val="24"/>
          <w:szCs w:val="24"/>
        </w:rPr>
        <w:t xml:space="preserve">, que afirma que </w:t>
      </w:r>
      <w:r w:rsidR="00A643DB" w:rsidRPr="00FD18B0">
        <w:rPr>
          <w:i/>
          <w:sz w:val="24"/>
          <w:szCs w:val="24"/>
        </w:rPr>
        <w:t>“no basta</w:t>
      </w:r>
      <w:r w:rsidR="00FD18B0" w:rsidRPr="00FD18B0">
        <w:rPr>
          <w:i/>
          <w:sz w:val="24"/>
          <w:szCs w:val="24"/>
        </w:rPr>
        <w:t xml:space="preserve"> con que se invoque la insuficiencia de unos conocimientos científicos en la materia de que se trate, sino que es necesario que ese estado insatisfactorio de la ciencia se pruebe, pues no sería objetiva aquella responsabilidad que exigiese demostrar que la Administración que causó el daño procedió con negligencia, ni aquella</w:t>
      </w:r>
      <w:r w:rsidR="00FD18B0">
        <w:rPr>
          <w:i/>
          <w:sz w:val="24"/>
          <w:szCs w:val="24"/>
        </w:rPr>
        <w:t xml:space="preserve"> cuyo reconocimiento estuviera </w:t>
      </w:r>
      <w:r w:rsidR="00FD18B0" w:rsidRPr="00FD18B0">
        <w:rPr>
          <w:i/>
          <w:sz w:val="24"/>
          <w:szCs w:val="24"/>
        </w:rPr>
        <w:t>condicionado a probar que quien padeció el perjuicio actuó con prudencia”</w:t>
      </w:r>
      <w:r w:rsidR="00FD18B0">
        <w:rPr>
          <w:sz w:val="24"/>
          <w:szCs w:val="24"/>
        </w:rPr>
        <w:t xml:space="preserve">. </w:t>
      </w:r>
    </w:p>
    <w:p w:rsidR="00FD18B0" w:rsidRDefault="00BD1E72" w:rsidP="00D50726">
      <w:pPr>
        <w:spacing w:line="360" w:lineRule="auto"/>
        <w:ind w:firstLine="709"/>
        <w:jc w:val="both"/>
        <w:rPr>
          <w:sz w:val="24"/>
          <w:szCs w:val="24"/>
        </w:rPr>
      </w:pPr>
      <w:r>
        <w:rPr>
          <w:sz w:val="24"/>
          <w:szCs w:val="24"/>
        </w:rPr>
        <w:t>Con todo esto, se observa que la normativa escasea de la suficiente concreción para delimitar con anterioridad el espacio de lo que es antijur</w:t>
      </w:r>
      <w:r w:rsidR="00B40A19">
        <w:rPr>
          <w:sz w:val="24"/>
          <w:szCs w:val="24"/>
        </w:rPr>
        <w:t>ídico de lo que no lo es.</w:t>
      </w:r>
    </w:p>
    <w:p w:rsidR="00B40A19" w:rsidRDefault="00B40A19" w:rsidP="00D50726">
      <w:pPr>
        <w:spacing w:line="360" w:lineRule="auto"/>
        <w:ind w:firstLine="709"/>
        <w:jc w:val="both"/>
        <w:rPr>
          <w:sz w:val="24"/>
          <w:szCs w:val="24"/>
        </w:rPr>
      </w:pPr>
      <w:r>
        <w:rPr>
          <w:sz w:val="24"/>
          <w:szCs w:val="24"/>
        </w:rPr>
        <w:t xml:space="preserve">En el ámbito de la actuación sanitaria, y más concretamente en la actividad médica, debe deducirse que el título en virtud del cual el resultado debe ser soportado por el individuo interesado no es otro que la precisa actuación de acuerdo al protocolo y la </w:t>
      </w:r>
      <w:r w:rsidRPr="00B40A19">
        <w:rPr>
          <w:i/>
          <w:sz w:val="24"/>
          <w:szCs w:val="24"/>
        </w:rPr>
        <w:t>“lex artis”</w:t>
      </w:r>
      <w:r>
        <w:rPr>
          <w:sz w:val="24"/>
          <w:szCs w:val="24"/>
        </w:rPr>
        <w:t xml:space="preserve"> pues, como insistentemente ha manifestado la jurisprudencia, esa actividad no tiene el deber de </w:t>
      </w:r>
      <w:r>
        <w:rPr>
          <w:sz w:val="24"/>
          <w:szCs w:val="24"/>
        </w:rPr>
        <w:lastRenderedPageBreak/>
        <w:t>garantizar un resultado sino un empleo adecuado de la ciencia y la técnica médica en atención a las circunstancias concretas del caso que se trate.</w:t>
      </w:r>
    </w:p>
    <w:p w:rsidR="00B40A19" w:rsidRDefault="00F9551D" w:rsidP="00D50726">
      <w:pPr>
        <w:spacing w:line="360" w:lineRule="auto"/>
        <w:ind w:firstLine="709"/>
        <w:jc w:val="both"/>
        <w:rPr>
          <w:sz w:val="24"/>
          <w:szCs w:val="24"/>
        </w:rPr>
      </w:pPr>
      <w:r>
        <w:rPr>
          <w:sz w:val="24"/>
          <w:szCs w:val="24"/>
        </w:rPr>
        <w:t xml:space="preserve">Por lo tanto, podemos hacer uso de las palabras de </w:t>
      </w:r>
      <w:r w:rsidRPr="006F29A0">
        <w:rPr>
          <w:color w:val="000000" w:themeColor="text1"/>
          <w:sz w:val="24"/>
          <w:szCs w:val="24"/>
        </w:rPr>
        <w:t xml:space="preserve">Gallardo Castillo (2009), que afirma que </w:t>
      </w:r>
      <w:r w:rsidRPr="006F29A0">
        <w:rPr>
          <w:i/>
          <w:color w:val="000000" w:themeColor="text1"/>
          <w:sz w:val="24"/>
          <w:szCs w:val="24"/>
        </w:rPr>
        <w:t xml:space="preserve">“si la responsabilidad de las Administraciones Públicas de talante objetivo se centra en el resultado antijurídico en lugar de en la índole de la actuación administrativa, y si </w:t>
      </w:r>
      <w:r w:rsidR="00596914" w:rsidRPr="006F29A0">
        <w:rPr>
          <w:i/>
          <w:color w:val="000000" w:themeColor="text1"/>
          <w:sz w:val="24"/>
          <w:szCs w:val="24"/>
        </w:rPr>
        <w:t xml:space="preserve">a </w:t>
      </w:r>
      <w:r w:rsidRPr="006F29A0">
        <w:rPr>
          <w:i/>
          <w:color w:val="000000" w:themeColor="text1"/>
          <w:sz w:val="24"/>
          <w:szCs w:val="24"/>
        </w:rPr>
        <w:t>los servicios públicos de salud no</w:t>
      </w:r>
      <w:r w:rsidR="00596914" w:rsidRPr="006F29A0">
        <w:rPr>
          <w:i/>
          <w:color w:val="000000" w:themeColor="text1"/>
          <w:sz w:val="24"/>
          <w:szCs w:val="24"/>
        </w:rPr>
        <w:t xml:space="preserve"> se les puede exigir más que ejecuten correctamente y a tiempo las técnicas vigentes en función del conocimiento de la práctica sanitaria, y no la curación del paciente, ha de concluirse que esta peculiar configuración exige de quien reclama que justifique, al menos de modo indiciario, que las instituciones sanitarias no han actuado correctamente de acuerdo con la lex artis”</w:t>
      </w:r>
      <w:r w:rsidR="00596914">
        <w:rPr>
          <w:sz w:val="24"/>
          <w:szCs w:val="24"/>
        </w:rPr>
        <w:t xml:space="preserve">. </w:t>
      </w:r>
      <w:r w:rsidR="00360875">
        <w:rPr>
          <w:sz w:val="24"/>
          <w:szCs w:val="24"/>
        </w:rPr>
        <w:t>Quizá por eso, las SSTS de 22 de diciembre de 2001</w:t>
      </w:r>
      <w:r w:rsidR="0062424C">
        <w:rPr>
          <w:rStyle w:val="Refdenotaalpie"/>
          <w:sz w:val="24"/>
          <w:szCs w:val="24"/>
        </w:rPr>
        <w:footnoteReference w:id="17"/>
      </w:r>
      <w:r w:rsidR="00360875">
        <w:rPr>
          <w:sz w:val="24"/>
          <w:szCs w:val="24"/>
        </w:rPr>
        <w:t xml:space="preserve"> y de 14 de octubre de 2002</w:t>
      </w:r>
      <w:r w:rsidR="0062424C">
        <w:rPr>
          <w:rStyle w:val="Refdenotaalpie"/>
          <w:sz w:val="24"/>
          <w:szCs w:val="24"/>
        </w:rPr>
        <w:footnoteReference w:id="18"/>
      </w:r>
      <w:r w:rsidR="00360875">
        <w:rPr>
          <w:sz w:val="24"/>
          <w:szCs w:val="24"/>
        </w:rPr>
        <w:t xml:space="preserve">, entre otras, señala, por un lado, que cuando se trata de responsabilidad patrimonial de la Administración, </w:t>
      </w:r>
      <w:r w:rsidR="00360875" w:rsidRPr="00360875">
        <w:rPr>
          <w:i/>
          <w:sz w:val="24"/>
          <w:szCs w:val="24"/>
        </w:rPr>
        <w:t>“el elemento de la culpabilidad del agente desaparece frente al elemento meramente objetivo del nexo causal entre la actuación del servicio público y el resultado lesivo o dañoso producido”</w:t>
      </w:r>
      <w:r w:rsidR="00360875">
        <w:rPr>
          <w:sz w:val="24"/>
          <w:szCs w:val="24"/>
        </w:rPr>
        <w:t>: y seguidamente, por otro lado, avisa que en el supuesto del servicio sanitario o médico, el uso de una técnica correcta es un dato de suma importancia para resolver si se está o no ante una lesi</w:t>
      </w:r>
      <w:r w:rsidR="0062424C">
        <w:rPr>
          <w:sz w:val="24"/>
          <w:szCs w:val="24"/>
        </w:rPr>
        <w:t>ón constitutiva de un daño antijurídico.</w:t>
      </w:r>
    </w:p>
    <w:p w:rsidR="0062424C" w:rsidRDefault="000363E0" w:rsidP="00D50726">
      <w:pPr>
        <w:spacing w:line="360" w:lineRule="auto"/>
        <w:ind w:firstLine="709"/>
        <w:jc w:val="both"/>
        <w:rPr>
          <w:sz w:val="24"/>
          <w:szCs w:val="24"/>
        </w:rPr>
      </w:pPr>
      <w:r>
        <w:rPr>
          <w:sz w:val="24"/>
          <w:szCs w:val="24"/>
        </w:rPr>
        <w:t>Con todo esto, es importante definir lo que debe comprenderse por conducta correcta</w:t>
      </w:r>
      <w:r w:rsidR="00E94748">
        <w:rPr>
          <w:rStyle w:val="Refdenotaalpie"/>
          <w:sz w:val="24"/>
          <w:szCs w:val="24"/>
        </w:rPr>
        <w:footnoteReference w:id="19"/>
      </w:r>
      <w:r>
        <w:rPr>
          <w:sz w:val="24"/>
          <w:szCs w:val="24"/>
        </w:rPr>
        <w:t xml:space="preserve">: una labor que parece muy complicada en el campo de la responsabilidad patrimonial de la Administración sanitaria, </w:t>
      </w:r>
      <w:r w:rsidR="006B3774">
        <w:rPr>
          <w:sz w:val="24"/>
          <w:szCs w:val="24"/>
        </w:rPr>
        <w:t xml:space="preserve">donde la casuística de daños es muy amplia: daños causados por intervención quirúrgica, retraso en la atención al paciente una vez llegado al centro hospitalario, retraso en el diagnóstico, pérdida de oportunidad de haber obtenido una curación completa, error en el diagnóstico prenatal, etc. </w:t>
      </w:r>
      <w:r w:rsidR="00A60197">
        <w:rPr>
          <w:sz w:val="24"/>
          <w:szCs w:val="24"/>
        </w:rPr>
        <w:t>No obstante, mediante la casuística que ofrece la jurisprudencia y del análisis de las resoluciones judiciales dictadas en el orden contencioso-administrativo en materia sanitaria, pueden sacarse algunos casos de daños antijurídicos, como, por ejemplo:</w:t>
      </w:r>
    </w:p>
    <w:p w:rsidR="00A60197" w:rsidRDefault="00A60197" w:rsidP="00D50726">
      <w:pPr>
        <w:spacing w:line="360" w:lineRule="auto"/>
        <w:ind w:firstLine="709"/>
        <w:jc w:val="both"/>
        <w:rPr>
          <w:sz w:val="24"/>
          <w:szCs w:val="24"/>
        </w:rPr>
      </w:pPr>
      <w:r>
        <w:rPr>
          <w:sz w:val="24"/>
          <w:szCs w:val="24"/>
        </w:rPr>
        <w:t>- El retraso en el diagnóstico: tal y como ocurrió en el supuesto reflejado en la STS de 12 de noviembre de 2007</w:t>
      </w:r>
      <w:r w:rsidR="00A22C3A">
        <w:rPr>
          <w:rStyle w:val="Refdenotaalpie"/>
          <w:sz w:val="24"/>
          <w:szCs w:val="24"/>
        </w:rPr>
        <w:footnoteReference w:id="20"/>
      </w:r>
      <w:r>
        <w:rPr>
          <w:sz w:val="24"/>
          <w:szCs w:val="24"/>
        </w:rPr>
        <w:t xml:space="preserve">, en la cual el Tribunal </w:t>
      </w:r>
      <w:r w:rsidR="009461B6">
        <w:rPr>
          <w:sz w:val="24"/>
          <w:szCs w:val="24"/>
        </w:rPr>
        <w:t xml:space="preserve">excluye que se haya realizado una mala praxis en las concretas intervenciones quirúrgicas que se acometieron a la paciente, aunque </w:t>
      </w:r>
      <w:r w:rsidR="009461B6">
        <w:rPr>
          <w:sz w:val="24"/>
          <w:szCs w:val="24"/>
        </w:rPr>
        <w:lastRenderedPageBreak/>
        <w:t xml:space="preserve">manifiesta que tiene por probado que tuvo lugar un retraso en el diagnóstico y se tenía conocimiento de que se había seccionado el uréter en el curso de la primera intervención quirúrgica, </w:t>
      </w:r>
      <w:r w:rsidR="00A22C3A">
        <w:rPr>
          <w:sz w:val="24"/>
          <w:szCs w:val="24"/>
        </w:rPr>
        <w:t>y dicho retraso en el diagnóstico ayudó a una evolución que no se pudo controlar adecuadamente al desconocer su causa lo que dio lugar a la pérdida funcional del riñón derecho de la paciente.</w:t>
      </w:r>
    </w:p>
    <w:p w:rsidR="00A300A4" w:rsidRDefault="005B206B" w:rsidP="00507DAC">
      <w:pPr>
        <w:spacing w:line="360" w:lineRule="auto"/>
        <w:ind w:firstLine="709"/>
        <w:jc w:val="both"/>
        <w:rPr>
          <w:sz w:val="24"/>
          <w:szCs w:val="24"/>
        </w:rPr>
      </w:pPr>
      <w:r>
        <w:rPr>
          <w:sz w:val="24"/>
          <w:szCs w:val="24"/>
        </w:rPr>
        <w:t>- Incorrecta gestión de las listas de espera (STSJ de Madrid de 17 de mayo de 2007</w:t>
      </w:r>
      <w:r>
        <w:rPr>
          <w:rStyle w:val="Refdenotaalpie"/>
          <w:sz w:val="24"/>
          <w:szCs w:val="24"/>
        </w:rPr>
        <w:footnoteReference w:id="21"/>
      </w:r>
      <w:r>
        <w:rPr>
          <w:sz w:val="24"/>
          <w:szCs w:val="24"/>
        </w:rPr>
        <w:t>).</w:t>
      </w:r>
    </w:p>
    <w:p w:rsidR="005B206B" w:rsidRDefault="005B206B" w:rsidP="00507DAC">
      <w:pPr>
        <w:spacing w:line="360" w:lineRule="auto"/>
        <w:ind w:firstLine="709"/>
        <w:jc w:val="both"/>
        <w:rPr>
          <w:sz w:val="24"/>
          <w:szCs w:val="24"/>
        </w:rPr>
      </w:pPr>
      <w:r>
        <w:rPr>
          <w:sz w:val="24"/>
          <w:szCs w:val="24"/>
        </w:rPr>
        <w:t>- Seguimiento incorrecto de la evolución de una enfermedad (STSJ de Madrid de 14 de octubre de 2008</w:t>
      </w:r>
      <w:r>
        <w:rPr>
          <w:rStyle w:val="Refdenotaalpie"/>
          <w:sz w:val="24"/>
          <w:szCs w:val="24"/>
        </w:rPr>
        <w:footnoteReference w:id="22"/>
      </w:r>
      <w:r>
        <w:rPr>
          <w:sz w:val="24"/>
          <w:szCs w:val="24"/>
        </w:rPr>
        <w:t>).</w:t>
      </w:r>
    </w:p>
    <w:p w:rsidR="005B206B" w:rsidRDefault="005B206B" w:rsidP="00507DAC">
      <w:pPr>
        <w:spacing w:line="360" w:lineRule="auto"/>
        <w:ind w:firstLine="709"/>
        <w:jc w:val="both"/>
        <w:rPr>
          <w:sz w:val="24"/>
          <w:szCs w:val="24"/>
        </w:rPr>
      </w:pPr>
      <w:r>
        <w:rPr>
          <w:sz w:val="24"/>
          <w:szCs w:val="24"/>
        </w:rPr>
        <w:t>- Error de diagnóstico (SSTS de 16 de febrero de 2010</w:t>
      </w:r>
      <w:r>
        <w:rPr>
          <w:rStyle w:val="Refdenotaalpie"/>
          <w:sz w:val="24"/>
          <w:szCs w:val="24"/>
        </w:rPr>
        <w:footnoteReference w:id="23"/>
      </w:r>
      <w:r>
        <w:rPr>
          <w:sz w:val="24"/>
          <w:szCs w:val="24"/>
        </w:rPr>
        <w:t xml:space="preserve"> y 7 de marzo de 2007</w:t>
      </w:r>
      <w:r>
        <w:rPr>
          <w:rStyle w:val="Refdenotaalpie"/>
          <w:sz w:val="24"/>
          <w:szCs w:val="24"/>
        </w:rPr>
        <w:footnoteReference w:id="24"/>
      </w:r>
      <w:r>
        <w:rPr>
          <w:sz w:val="24"/>
          <w:szCs w:val="24"/>
        </w:rPr>
        <w:t>).</w:t>
      </w:r>
    </w:p>
    <w:p w:rsidR="00605131" w:rsidRDefault="005B206B" w:rsidP="00605131">
      <w:pPr>
        <w:spacing w:line="360" w:lineRule="auto"/>
        <w:ind w:firstLine="709"/>
        <w:jc w:val="both"/>
        <w:rPr>
          <w:sz w:val="24"/>
          <w:szCs w:val="24"/>
        </w:rPr>
      </w:pPr>
      <w:r>
        <w:rPr>
          <w:sz w:val="24"/>
          <w:szCs w:val="24"/>
        </w:rPr>
        <w:t>- Deficiente asistencia sanitaria (SSTS de 12 de septiembre de 2008</w:t>
      </w:r>
      <w:r>
        <w:rPr>
          <w:rStyle w:val="Refdenotaalpie"/>
          <w:sz w:val="24"/>
          <w:szCs w:val="24"/>
        </w:rPr>
        <w:footnoteReference w:id="25"/>
      </w:r>
      <w:r>
        <w:rPr>
          <w:sz w:val="24"/>
          <w:szCs w:val="24"/>
        </w:rPr>
        <w:t xml:space="preserve"> y 11 de abril de 2006</w:t>
      </w:r>
      <w:r>
        <w:rPr>
          <w:rStyle w:val="Refdenotaalpie"/>
          <w:sz w:val="24"/>
          <w:szCs w:val="24"/>
        </w:rPr>
        <w:footnoteReference w:id="26"/>
      </w:r>
      <w:r>
        <w:rPr>
          <w:sz w:val="24"/>
          <w:szCs w:val="24"/>
        </w:rPr>
        <w:t>).</w:t>
      </w:r>
    </w:p>
    <w:p w:rsidR="005B206B" w:rsidRDefault="005B206B" w:rsidP="00605131">
      <w:pPr>
        <w:spacing w:line="360" w:lineRule="auto"/>
        <w:ind w:firstLine="709"/>
        <w:jc w:val="both"/>
        <w:rPr>
          <w:sz w:val="24"/>
          <w:szCs w:val="24"/>
        </w:rPr>
      </w:pPr>
      <w:r>
        <w:rPr>
          <w:sz w:val="24"/>
          <w:szCs w:val="24"/>
        </w:rPr>
        <w:t>- Utilización de técnicas indebidas o inadecuadas (STSJ de 19 de abril de 2010</w:t>
      </w:r>
      <w:r>
        <w:rPr>
          <w:rStyle w:val="Refdenotaalpie"/>
          <w:sz w:val="24"/>
          <w:szCs w:val="24"/>
        </w:rPr>
        <w:footnoteReference w:id="27"/>
      </w:r>
      <w:r>
        <w:rPr>
          <w:sz w:val="24"/>
          <w:szCs w:val="24"/>
        </w:rPr>
        <w:t>).</w:t>
      </w:r>
    </w:p>
    <w:p w:rsidR="00FB73FD" w:rsidRDefault="00FB73FD" w:rsidP="00605131">
      <w:pPr>
        <w:spacing w:line="360" w:lineRule="auto"/>
        <w:ind w:firstLine="709"/>
        <w:jc w:val="both"/>
        <w:rPr>
          <w:sz w:val="24"/>
          <w:szCs w:val="24"/>
        </w:rPr>
      </w:pPr>
      <w:r>
        <w:rPr>
          <w:sz w:val="24"/>
          <w:szCs w:val="24"/>
        </w:rPr>
        <w:t xml:space="preserve">- </w:t>
      </w:r>
      <w:r w:rsidR="00440EAD">
        <w:rPr>
          <w:sz w:val="24"/>
          <w:szCs w:val="24"/>
        </w:rPr>
        <w:t>Carencia de medios diagnósticos de contraste exigidos protocolariamente y mal funcionamiento en los servicios de archivo y documentación (STSJ de Les Illes Balears de 27 de marzo de 2006</w:t>
      </w:r>
      <w:r w:rsidR="00440EAD">
        <w:rPr>
          <w:rStyle w:val="Refdenotaalpie"/>
          <w:sz w:val="24"/>
          <w:szCs w:val="24"/>
        </w:rPr>
        <w:footnoteReference w:id="28"/>
      </w:r>
      <w:r w:rsidR="00440EAD">
        <w:rPr>
          <w:sz w:val="24"/>
          <w:szCs w:val="24"/>
        </w:rPr>
        <w:t>).</w:t>
      </w:r>
    </w:p>
    <w:p w:rsidR="00440EAD" w:rsidRDefault="00440EAD" w:rsidP="00605131">
      <w:pPr>
        <w:spacing w:line="360" w:lineRule="auto"/>
        <w:ind w:firstLine="709"/>
        <w:jc w:val="both"/>
        <w:rPr>
          <w:sz w:val="24"/>
          <w:szCs w:val="24"/>
        </w:rPr>
      </w:pPr>
      <w:r>
        <w:rPr>
          <w:sz w:val="24"/>
          <w:szCs w:val="24"/>
        </w:rPr>
        <w:t xml:space="preserve">- Causación de daños que no son inherentes, típicos, </w:t>
      </w:r>
      <w:r w:rsidR="00EC36B7">
        <w:rPr>
          <w:sz w:val="24"/>
          <w:szCs w:val="24"/>
        </w:rPr>
        <w:t>propios ni traen su causa en la prestación sanitaria realizada (SAP de Valencia de 14 de mayo de 2007</w:t>
      </w:r>
      <w:r w:rsidR="00EC36B7">
        <w:rPr>
          <w:rStyle w:val="Refdenotaalpie"/>
          <w:sz w:val="24"/>
          <w:szCs w:val="24"/>
        </w:rPr>
        <w:footnoteReference w:id="29"/>
      </w:r>
      <w:r w:rsidR="00EC36B7">
        <w:rPr>
          <w:sz w:val="24"/>
          <w:szCs w:val="24"/>
        </w:rPr>
        <w:t xml:space="preserve"> y del Juzgado de lo Contencioso-Administrativo núm. 3 de Asturias, Sentencia de 25 de septiembre de 2007</w:t>
      </w:r>
      <w:r w:rsidR="00EC36B7">
        <w:rPr>
          <w:rStyle w:val="Refdenotaalpie"/>
          <w:sz w:val="24"/>
          <w:szCs w:val="24"/>
        </w:rPr>
        <w:footnoteReference w:id="30"/>
      </w:r>
      <w:r w:rsidR="00EC36B7">
        <w:rPr>
          <w:sz w:val="24"/>
          <w:szCs w:val="24"/>
        </w:rPr>
        <w:t>).</w:t>
      </w:r>
    </w:p>
    <w:p w:rsidR="00EC36B7" w:rsidRDefault="00EC36B7" w:rsidP="00605131">
      <w:pPr>
        <w:spacing w:line="360" w:lineRule="auto"/>
        <w:ind w:firstLine="709"/>
        <w:jc w:val="both"/>
        <w:rPr>
          <w:sz w:val="24"/>
          <w:szCs w:val="24"/>
        </w:rPr>
      </w:pPr>
      <w:r>
        <w:rPr>
          <w:sz w:val="24"/>
          <w:szCs w:val="24"/>
        </w:rPr>
        <w:t>- Y ausencia de consentimiento informado (STS de 18 de enero de 2005</w:t>
      </w:r>
      <w:r>
        <w:rPr>
          <w:rStyle w:val="Refdenotaalpie"/>
          <w:sz w:val="24"/>
          <w:szCs w:val="24"/>
        </w:rPr>
        <w:footnoteReference w:id="31"/>
      </w:r>
      <w:r>
        <w:rPr>
          <w:sz w:val="24"/>
          <w:szCs w:val="24"/>
        </w:rPr>
        <w:t xml:space="preserve"> y STSJ de Madrid de 26 de junio de 2007</w:t>
      </w:r>
      <w:r>
        <w:rPr>
          <w:rStyle w:val="Refdenotaalpie"/>
          <w:sz w:val="24"/>
          <w:szCs w:val="24"/>
        </w:rPr>
        <w:footnoteReference w:id="32"/>
      </w:r>
      <w:r>
        <w:rPr>
          <w:sz w:val="24"/>
          <w:szCs w:val="24"/>
        </w:rPr>
        <w:t>).</w:t>
      </w:r>
    </w:p>
    <w:p w:rsidR="00125592" w:rsidRDefault="00AE2F08" w:rsidP="00605131">
      <w:pPr>
        <w:spacing w:line="360" w:lineRule="auto"/>
        <w:ind w:firstLine="709"/>
        <w:jc w:val="both"/>
        <w:rPr>
          <w:color w:val="000000" w:themeColor="text1"/>
          <w:sz w:val="24"/>
          <w:szCs w:val="24"/>
        </w:rPr>
      </w:pPr>
      <w:r>
        <w:rPr>
          <w:color w:val="FF0000"/>
          <w:sz w:val="24"/>
          <w:szCs w:val="24"/>
        </w:rPr>
        <w:tab/>
      </w:r>
      <w:r>
        <w:rPr>
          <w:color w:val="000000" w:themeColor="text1"/>
          <w:sz w:val="24"/>
          <w:szCs w:val="24"/>
        </w:rPr>
        <w:t>4.1.3 CARACTERES DEL DAÑO</w:t>
      </w:r>
    </w:p>
    <w:p w:rsidR="00AE2F08" w:rsidRDefault="00795A20" w:rsidP="00AE2F08">
      <w:pPr>
        <w:spacing w:line="360" w:lineRule="auto"/>
        <w:ind w:firstLine="709"/>
        <w:jc w:val="both"/>
        <w:rPr>
          <w:color w:val="000000" w:themeColor="text1"/>
          <w:sz w:val="24"/>
          <w:szCs w:val="24"/>
        </w:rPr>
      </w:pPr>
      <w:r>
        <w:rPr>
          <w:color w:val="000000" w:themeColor="text1"/>
          <w:sz w:val="24"/>
          <w:szCs w:val="24"/>
        </w:rPr>
        <w:t xml:space="preserve">No todo daño que el perjudicado no tenga el deber jurídico de aguantar estará refugiado por la institución de la responsabilidad patrimonial. Es por eso, </w:t>
      </w:r>
      <w:r w:rsidR="00A4587A">
        <w:rPr>
          <w:color w:val="000000" w:themeColor="text1"/>
          <w:sz w:val="24"/>
          <w:szCs w:val="24"/>
        </w:rPr>
        <w:t xml:space="preserve">que el art. 32.2 de la Ley 40/2015 fundamenta </w:t>
      </w:r>
      <w:r>
        <w:rPr>
          <w:color w:val="000000" w:themeColor="text1"/>
          <w:sz w:val="24"/>
          <w:szCs w:val="24"/>
        </w:rPr>
        <w:t xml:space="preserve">que el daño debe ser, en todo caso, </w:t>
      </w:r>
      <w:r w:rsidRPr="00795A20">
        <w:rPr>
          <w:i/>
          <w:color w:val="000000" w:themeColor="text1"/>
          <w:sz w:val="24"/>
          <w:szCs w:val="24"/>
        </w:rPr>
        <w:t>“efectivo, evaluable económicamente e individualizado con relación a una persona o grupo de personas”</w:t>
      </w:r>
      <w:r>
        <w:rPr>
          <w:color w:val="000000" w:themeColor="text1"/>
          <w:sz w:val="24"/>
          <w:szCs w:val="24"/>
        </w:rPr>
        <w:t xml:space="preserve">, </w:t>
      </w:r>
      <w:r>
        <w:rPr>
          <w:color w:val="000000" w:themeColor="text1"/>
          <w:sz w:val="24"/>
          <w:szCs w:val="24"/>
        </w:rPr>
        <w:lastRenderedPageBreak/>
        <w:t>términos estos que se han ido completando y dotando de contenido durante un largo tiempo por la doctrina jurisprudencial.</w:t>
      </w:r>
    </w:p>
    <w:p w:rsidR="00795A20" w:rsidRDefault="006F7457" w:rsidP="00AE2F08">
      <w:pPr>
        <w:spacing w:line="360" w:lineRule="auto"/>
        <w:ind w:firstLine="709"/>
        <w:jc w:val="both"/>
        <w:rPr>
          <w:color w:val="000000" w:themeColor="text1"/>
          <w:sz w:val="24"/>
          <w:szCs w:val="24"/>
        </w:rPr>
      </w:pPr>
      <w:r>
        <w:rPr>
          <w:color w:val="000000" w:themeColor="text1"/>
          <w:sz w:val="24"/>
          <w:szCs w:val="24"/>
        </w:rPr>
        <w:t xml:space="preserve">Las anotaciones tanto de efectividad como de evaluación económica </w:t>
      </w:r>
      <w:r w:rsidR="001F591C">
        <w:rPr>
          <w:color w:val="000000" w:themeColor="text1"/>
          <w:sz w:val="24"/>
          <w:szCs w:val="24"/>
        </w:rPr>
        <w:t>son comunes al Derecho Privado: mientras que la nota de individualización admite rechazar las lesiones que crean cargas generales que los perjudicados tienen el deber jurídico de aguantar, debido a su misma generalidad.</w:t>
      </w:r>
    </w:p>
    <w:p w:rsidR="001F591C" w:rsidRDefault="001F591C" w:rsidP="00AE2F08">
      <w:pPr>
        <w:spacing w:line="360" w:lineRule="auto"/>
        <w:ind w:firstLine="709"/>
        <w:jc w:val="both"/>
        <w:rPr>
          <w:color w:val="000000" w:themeColor="text1"/>
          <w:sz w:val="24"/>
          <w:szCs w:val="24"/>
        </w:rPr>
      </w:pPr>
      <w:r>
        <w:rPr>
          <w:color w:val="000000" w:themeColor="text1"/>
          <w:sz w:val="24"/>
          <w:szCs w:val="24"/>
        </w:rPr>
        <w:tab/>
      </w:r>
      <w:r>
        <w:rPr>
          <w:color w:val="000000" w:themeColor="text1"/>
          <w:sz w:val="24"/>
          <w:szCs w:val="24"/>
        </w:rPr>
        <w:tab/>
        <w:t>4.1.3.1 DAÑO EFECTIVO</w:t>
      </w:r>
    </w:p>
    <w:p w:rsidR="001F591C" w:rsidRDefault="001F591C" w:rsidP="001F591C">
      <w:pPr>
        <w:spacing w:line="360" w:lineRule="auto"/>
        <w:ind w:firstLine="709"/>
        <w:jc w:val="both"/>
        <w:rPr>
          <w:color w:val="000000" w:themeColor="text1"/>
          <w:sz w:val="24"/>
          <w:szCs w:val="24"/>
        </w:rPr>
      </w:pPr>
      <w:r>
        <w:rPr>
          <w:color w:val="000000" w:themeColor="text1"/>
          <w:sz w:val="24"/>
          <w:szCs w:val="24"/>
        </w:rPr>
        <w:t xml:space="preserve">Cuando nos referimos a daño efectivo, </w:t>
      </w:r>
      <w:r w:rsidR="00C763F5">
        <w:rPr>
          <w:color w:val="000000" w:themeColor="text1"/>
          <w:sz w:val="24"/>
          <w:szCs w:val="24"/>
        </w:rPr>
        <w:t>se comprende el daño real ya producido, actual, no nos referimos a un daño simplemente posible o contingente, hipotético o futuro. La jurisprudencia del Tribunal Supremo declara de manera sistemática que para que un daño o lesión pueda ser resarcible, dicho daño o lesión tiene que establecer un daño real, rechazando cualquier daño que pueda ser dudoso o presumible, así como también se excluye la mera frustración de expectativas.</w:t>
      </w:r>
    </w:p>
    <w:p w:rsidR="00C763F5" w:rsidRDefault="00505828" w:rsidP="00171C5E">
      <w:pPr>
        <w:spacing w:line="360" w:lineRule="auto"/>
        <w:ind w:firstLine="709"/>
        <w:jc w:val="both"/>
        <w:rPr>
          <w:color w:val="000000" w:themeColor="text1"/>
          <w:sz w:val="24"/>
          <w:szCs w:val="24"/>
        </w:rPr>
      </w:pPr>
      <w:r>
        <w:rPr>
          <w:color w:val="000000" w:themeColor="text1"/>
          <w:sz w:val="24"/>
          <w:szCs w:val="24"/>
        </w:rPr>
        <w:t xml:space="preserve">No obstante, aunque los daños eventuales o simplemente posibles no se incluyen, es sin perjuicio de que en un futuro puedan ser reclamados en el momento en que esa actualización se produzca. Incluso, no se rechaza que, en algún caso concreto deba, igualmente, </w:t>
      </w:r>
      <w:r w:rsidR="00325B2E">
        <w:rPr>
          <w:color w:val="000000" w:themeColor="text1"/>
          <w:sz w:val="24"/>
          <w:szCs w:val="24"/>
        </w:rPr>
        <w:t xml:space="preserve">indemnizarse la lesión que haya de ocurrir en el porvenir, pero cuya realización sea evidente y obligatoria por la anticipada evidencia </w:t>
      </w:r>
      <w:r w:rsidR="00171C5E">
        <w:rPr>
          <w:color w:val="000000" w:themeColor="text1"/>
          <w:sz w:val="24"/>
          <w:szCs w:val="24"/>
        </w:rPr>
        <w:t>de su acaecimiento en el tiempo, dicho en otras palabras y basándonos en la STS de 23 de abril de 2004, se entiende por daño efectivo no sólo el contagio de una enfermedad debido al suministro de fármacos para su curación, sino también las consecuencias que derivan de dicho tratamiento y los efectos que dicho fármaco produce, además, también se consideraría daño efectivo el desarrollo posterior de la enfermedad.</w:t>
      </w:r>
    </w:p>
    <w:p w:rsidR="00171C5E" w:rsidRDefault="00171C5E" w:rsidP="00171C5E">
      <w:pPr>
        <w:spacing w:line="360" w:lineRule="auto"/>
        <w:ind w:firstLine="709"/>
        <w:jc w:val="both"/>
        <w:rPr>
          <w:color w:val="000000" w:themeColor="text1"/>
          <w:sz w:val="24"/>
          <w:szCs w:val="24"/>
        </w:rPr>
      </w:pPr>
      <w:r>
        <w:rPr>
          <w:color w:val="000000" w:themeColor="text1"/>
          <w:sz w:val="24"/>
          <w:szCs w:val="24"/>
        </w:rPr>
        <w:t xml:space="preserve">Es por eso, que la expansión de la obligación de indemnizar se relaciona al principio de </w:t>
      </w:r>
      <w:r w:rsidRPr="00171C5E">
        <w:rPr>
          <w:i/>
          <w:color w:val="000000" w:themeColor="text1"/>
          <w:sz w:val="24"/>
          <w:szCs w:val="24"/>
        </w:rPr>
        <w:t>“reparación integral”</w:t>
      </w:r>
      <w:r>
        <w:rPr>
          <w:color w:val="000000" w:themeColor="text1"/>
          <w:sz w:val="24"/>
          <w:szCs w:val="24"/>
        </w:rPr>
        <w:t>, tal</w:t>
      </w:r>
      <w:r w:rsidR="00A4587A">
        <w:rPr>
          <w:color w:val="000000" w:themeColor="text1"/>
          <w:sz w:val="24"/>
          <w:szCs w:val="24"/>
        </w:rPr>
        <w:t xml:space="preserve"> y como se argumenta en los</w:t>
      </w:r>
      <w:r w:rsidR="00B0155C">
        <w:rPr>
          <w:color w:val="000000" w:themeColor="text1"/>
          <w:sz w:val="24"/>
          <w:szCs w:val="24"/>
        </w:rPr>
        <w:t xml:space="preserve"> art</w:t>
      </w:r>
      <w:r w:rsidR="00A4587A">
        <w:rPr>
          <w:color w:val="000000" w:themeColor="text1"/>
          <w:sz w:val="24"/>
          <w:szCs w:val="24"/>
        </w:rPr>
        <w:t>s</w:t>
      </w:r>
      <w:r>
        <w:rPr>
          <w:color w:val="000000" w:themeColor="text1"/>
          <w:sz w:val="24"/>
          <w:szCs w:val="24"/>
        </w:rPr>
        <w:t>. 106.2 de l</w:t>
      </w:r>
      <w:r w:rsidR="00B0155C">
        <w:rPr>
          <w:color w:val="000000" w:themeColor="text1"/>
          <w:sz w:val="24"/>
          <w:szCs w:val="24"/>
        </w:rPr>
        <w:t>a Constitución Española</w:t>
      </w:r>
      <w:r w:rsidR="00A4587A">
        <w:rPr>
          <w:color w:val="000000" w:themeColor="text1"/>
          <w:sz w:val="24"/>
          <w:szCs w:val="24"/>
        </w:rPr>
        <w:t xml:space="preserve"> y 32.1 de la Ley 40/2015</w:t>
      </w:r>
      <w:r w:rsidR="00D02021">
        <w:rPr>
          <w:color w:val="000000" w:themeColor="text1"/>
          <w:sz w:val="24"/>
          <w:szCs w:val="24"/>
        </w:rPr>
        <w:t>. Se consideraría daño indemnizable también: el daño emergente, el lucro cesante o la ganancia dejada de obtener, según manifiesta el art. 1106 del Código Civil, término que introduce el valor o importe de cualquier ventaja o utilidad patrimonial cuya adquisición por el particular perjudicado se viera frustrada por culpa de la actuación incorrecta del individuo causante del perjuicio.</w:t>
      </w:r>
    </w:p>
    <w:p w:rsidR="00D02021" w:rsidRDefault="004C43F7" w:rsidP="00171C5E">
      <w:pPr>
        <w:spacing w:line="360" w:lineRule="auto"/>
        <w:ind w:firstLine="709"/>
        <w:jc w:val="both"/>
        <w:rPr>
          <w:color w:val="000000" w:themeColor="text1"/>
          <w:sz w:val="24"/>
          <w:szCs w:val="24"/>
        </w:rPr>
      </w:pPr>
      <w:r>
        <w:rPr>
          <w:color w:val="000000" w:themeColor="text1"/>
          <w:sz w:val="24"/>
          <w:szCs w:val="24"/>
        </w:rPr>
        <w:t xml:space="preserve">El problema surge en el momento de identificar su existencia y cuantía. Ante esto, y para evitar </w:t>
      </w:r>
      <w:r w:rsidR="00040AB4">
        <w:rPr>
          <w:color w:val="000000" w:themeColor="text1"/>
          <w:sz w:val="24"/>
          <w:szCs w:val="24"/>
        </w:rPr>
        <w:t xml:space="preserve">que se produzca un enriquecimiento injusto a través del término lucro cesante y daño emergente, la jurisprudencia reclama </w:t>
      </w:r>
      <w:r w:rsidR="00040AB4" w:rsidRPr="00040AB4">
        <w:rPr>
          <w:i/>
          <w:color w:val="000000" w:themeColor="text1"/>
          <w:sz w:val="24"/>
          <w:szCs w:val="24"/>
        </w:rPr>
        <w:t xml:space="preserve">“una prueba rigurosa de las ganancias dejadas de obtener, que no sean dudosas o meras hipótesis, apreciándose de modo prudente y restrictivo, </w:t>
      </w:r>
      <w:r w:rsidR="00040AB4" w:rsidRPr="00040AB4">
        <w:rPr>
          <w:i/>
          <w:color w:val="000000" w:themeColor="text1"/>
          <w:sz w:val="24"/>
          <w:szCs w:val="24"/>
        </w:rPr>
        <w:lastRenderedPageBreak/>
        <w:t>puesto que no es admisible una mera posibilidad de dejar de obtener unos beneficios, los &lt;sueños de ganancia</w:t>
      </w:r>
      <w:r w:rsidR="00040AB4">
        <w:rPr>
          <w:i/>
          <w:color w:val="000000" w:themeColor="text1"/>
          <w:sz w:val="24"/>
          <w:szCs w:val="24"/>
        </w:rPr>
        <w:t>s</w:t>
      </w:r>
      <w:r w:rsidR="00040AB4" w:rsidRPr="00040AB4">
        <w:rPr>
          <w:i/>
          <w:color w:val="000000" w:themeColor="text1"/>
          <w:sz w:val="24"/>
          <w:szCs w:val="24"/>
        </w:rPr>
        <w:t>&gt;”</w:t>
      </w:r>
      <w:r w:rsidR="00040AB4">
        <w:rPr>
          <w:color w:val="000000" w:themeColor="text1"/>
          <w:sz w:val="24"/>
          <w:szCs w:val="24"/>
        </w:rPr>
        <w:t xml:space="preserve">. En esta dirección, el Tribunal Supremo expone que </w:t>
      </w:r>
      <w:r w:rsidR="00040AB4" w:rsidRPr="00040AB4">
        <w:rPr>
          <w:i/>
          <w:color w:val="000000" w:themeColor="text1"/>
          <w:sz w:val="24"/>
          <w:szCs w:val="24"/>
        </w:rPr>
        <w:t>“no computan las ganancias dejadas de percibir que sean posibles, pero derivadas de resultados inseguros y desprovistos de certidumbre, cuando las pruebas de las ganancias dejadas de obtener sean dudosas o meramente contingentes”</w:t>
      </w:r>
      <w:r w:rsidR="00265B4E">
        <w:rPr>
          <w:i/>
          <w:color w:val="000000" w:themeColor="text1"/>
          <w:sz w:val="24"/>
          <w:szCs w:val="24"/>
        </w:rPr>
        <w:t xml:space="preserve"> </w:t>
      </w:r>
      <w:r w:rsidR="00265B4E">
        <w:rPr>
          <w:color w:val="000000" w:themeColor="text1"/>
          <w:sz w:val="24"/>
          <w:szCs w:val="24"/>
        </w:rPr>
        <w:t>(STS de 25 de noviembre de 2009</w:t>
      </w:r>
      <w:r w:rsidR="00265B4E">
        <w:rPr>
          <w:rStyle w:val="Refdenotaalpie"/>
          <w:color w:val="000000" w:themeColor="text1"/>
          <w:sz w:val="24"/>
          <w:szCs w:val="24"/>
        </w:rPr>
        <w:footnoteReference w:id="33"/>
      </w:r>
      <w:r w:rsidR="00265B4E">
        <w:rPr>
          <w:color w:val="000000" w:themeColor="text1"/>
          <w:sz w:val="24"/>
          <w:szCs w:val="24"/>
        </w:rPr>
        <w:t>)</w:t>
      </w:r>
      <w:r w:rsidR="00040AB4">
        <w:rPr>
          <w:color w:val="000000" w:themeColor="text1"/>
          <w:sz w:val="24"/>
          <w:szCs w:val="24"/>
        </w:rPr>
        <w:t>.</w:t>
      </w:r>
    </w:p>
    <w:p w:rsidR="00040AB4" w:rsidRDefault="00BF38CA" w:rsidP="00171C5E">
      <w:pPr>
        <w:spacing w:line="360" w:lineRule="auto"/>
        <w:ind w:firstLine="709"/>
        <w:jc w:val="both"/>
        <w:rPr>
          <w:color w:val="000000" w:themeColor="text1"/>
          <w:sz w:val="24"/>
          <w:szCs w:val="24"/>
        </w:rPr>
      </w:pPr>
      <w:r>
        <w:rPr>
          <w:color w:val="000000" w:themeColor="text1"/>
          <w:sz w:val="24"/>
          <w:szCs w:val="24"/>
        </w:rPr>
        <w:t>No obstante, el rigor con el que debe pedirse su prueba no puede alzarse a cotas tan inaccesibles que habitualmente imposibiliten su demostración y hagan ficticia su indemnización. Esto ocurre en casos en los que resulta clara la imposibilidad de justificar con precisión los servicios que se hubiesen realizado y el beneficio que se habría obtenido para alcanzar aquel beneficio. A este respecto, el Tribunal Supremo</w:t>
      </w:r>
      <w:r w:rsidR="00821115">
        <w:rPr>
          <w:color w:val="000000" w:themeColor="text1"/>
          <w:sz w:val="24"/>
          <w:szCs w:val="24"/>
        </w:rPr>
        <w:t xml:space="preserve"> procede aplicando lo que denomina </w:t>
      </w:r>
      <w:r w:rsidR="00821115" w:rsidRPr="00821115">
        <w:rPr>
          <w:i/>
          <w:color w:val="000000" w:themeColor="text1"/>
          <w:sz w:val="24"/>
          <w:szCs w:val="24"/>
        </w:rPr>
        <w:t>“criterio de razonable probabilidad”</w:t>
      </w:r>
      <w:r w:rsidR="00821115">
        <w:rPr>
          <w:color w:val="000000" w:themeColor="text1"/>
          <w:sz w:val="24"/>
          <w:szCs w:val="24"/>
        </w:rPr>
        <w:t>, de manera que el juicio de valor obtenido sea lo más próximo posible a lo que podía resultar cierto y comprobado.</w:t>
      </w:r>
    </w:p>
    <w:p w:rsidR="00821115" w:rsidRDefault="00821115" w:rsidP="00171C5E">
      <w:pPr>
        <w:spacing w:line="360" w:lineRule="auto"/>
        <w:ind w:firstLine="709"/>
        <w:jc w:val="both"/>
        <w:rPr>
          <w:color w:val="000000" w:themeColor="text1"/>
          <w:sz w:val="24"/>
          <w:szCs w:val="24"/>
        </w:rPr>
      </w:pPr>
      <w:r>
        <w:rPr>
          <w:color w:val="000000" w:themeColor="text1"/>
          <w:sz w:val="24"/>
          <w:szCs w:val="24"/>
        </w:rPr>
        <w:tab/>
      </w:r>
      <w:r>
        <w:rPr>
          <w:color w:val="000000" w:themeColor="text1"/>
          <w:sz w:val="24"/>
          <w:szCs w:val="24"/>
        </w:rPr>
        <w:tab/>
        <w:t>4.1.3.2 DAÑO EVALUABLE ECONÓMICAMENTE</w:t>
      </w:r>
    </w:p>
    <w:p w:rsidR="00821115" w:rsidRDefault="00821115" w:rsidP="00821115">
      <w:pPr>
        <w:spacing w:line="360" w:lineRule="auto"/>
        <w:ind w:firstLine="709"/>
        <w:jc w:val="both"/>
        <w:rPr>
          <w:color w:val="000000" w:themeColor="text1"/>
          <w:sz w:val="24"/>
          <w:szCs w:val="24"/>
        </w:rPr>
      </w:pPr>
      <w:r>
        <w:rPr>
          <w:color w:val="000000" w:themeColor="text1"/>
          <w:sz w:val="24"/>
          <w:szCs w:val="24"/>
        </w:rPr>
        <w:t xml:space="preserve">Otro de los requisitos que la Ley nombraba para que se diera el caso de una lesión resarcible era </w:t>
      </w:r>
      <w:r w:rsidR="00265B4E">
        <w:rPr>
          <w:color w:val="000000" w:themeColor="text1"/>
          <w:sz w:val="24"/>
          <w:szCs w:val="24"/>
        </w:rPr>
        <w:t>que el daño producido fuera evaluable económicamente. El perjuicio evaluable económicamente ocurre únicamente cuando haya tenido lugar una trascendencia patrimonial apreciable, cuya valoración pueda realizarse en dinero</w:t>
      </w:r>
      <w:r w:rsidR="00BD5C2D">
        <w:rPr>
          <w:color w:val="000000" w:themeColor="text1"/>
          <w:sz w:val="24"/>
          <w:szCs w:val="24"/>
        </w:rPr>
        <w:t xml:space="preserve">, pero no cuando solamente hayan existido simples molestias o perjuicios sin trascendencia económica subjetiva. Aun así, hay que considerar </w:t>
      </w:r>
      <w:r w:rsidR="00910485">
        <w:rPr>
          <w:color w:val="000000" w:themeColor="text1"/>
          <w:sz w:val="24"/>
          <w:szCs w:val="24"/>
        </w:rPr>
        <w:t>que en este concepto se incorporan no solo los daños en bienes y derechos patrimoniales, igual que sucedía cuando compartía el mismo ámbito de aplicación que la expropiación forzosa, sino que también la indemnización ha de alcanzar a todos los daños alegados y probados por el individuo perjudicado, comprendidos también los daños morales, corporales y los de otra índole.</w:t>
      </w:r>
    </w:p>
    <w:p w:rsidR="00910485" w:rsidRDefault="00B0155C" w:rsidP="00821115">
      <w:pPr>
        <w:spacing w:line="360" w:lineRule="auto"/>
        <w:ind w:firstLine="709"/>
        <w:jc w:val="both"/>
        <w:rPr>
          <w:color w:val="000000" w:themeColor="text1"/>
          <w:sz w:val="24"/>
          <w:szCs w:val="24"/>
        </w:rPr>
      </w:pPr>
      <w:r>
        <w:rPr>
          <w:color w:val="000000" w:themeColor="text1"/>
          <w:sz w:val="24"/>
          <w:szCs w:val="24"/>
        </w:rPr>
        <w:t>A</w:t>
      </w:r>
      <w:r w:rsidR="004C0469">
        <w:rPr>
          <w:color w:val="000000" w:themeColor="text1"/>
          <w:sz w:val="24"/>
          <w:szCs w:val="24"/>
        </w:rPr>
        <w:t>ctualmente, la Ley 39</w:t>
      </w:r>
      <w:r>
        <w:rPr>
          <w:color w:val="000000" w:themeColor="text1"/>
          <w:sz w:val="24"/>
          <w:szCs w:val="24"/>
        </w:rPr>
        <w:t>/2015,</w:t>
      </w:r>
      <w:r w:rsidR="00910485">
        <w:rPr>
          <w:color w:val="000000" w:themeColor="text1"/>
          <w:sz w:val="24"/>
          <w:szCs w:val="24"/>
        </w:rPr>
        <w:t xml:space="preserve"> acepta la responsabilidad de las Administraciones por daños o lesiones de carácter psíquico o físico, de igual manera los daños morales han sido admitidos como lesiones indemnizables por parte de la jurisprudencia. Todo esto se denomina “</w:t>
      </w:r>
      <w:r w:rsidR="002965A5">
        <w:rPr>
          <w:color w:val="000000" w:themeColor="text1"/>
          <w:sz w:val="24"/>
          <w:szCs w:val="24"/>
        </w:rPr>
        <w:t xml:space="preserve">pretium doloris”, un concepto que cubre una categoría propia e independiente de las demás, y por ello, entiende tanto el daño moral como los sufrimientos psíquicos y físicos sufridos por los particulares perjudicados. No se trata de reparar el empobrecimiento o ausencia o demérito de ganancias de elementos patrimoniales lesionados, sino de compensar todo el sufrimiento o dolor que tienen determinados actos en las personas. </w:t>
      </w:r>
      <w:r w:rsidR="00A37D84">
        <w:rPr>
          <w:color w:val="000000" w:themeColor="text1"/>
          <w:sz w:val="24"/>
          <w:szCs w:val="24"/>
        </w:rPr>
        <w:t>En este sentido, la STS de 29 de diciembre de 1998 es clara e</w:t>
      </w:r>
      <w:r w:rsidR="00603936">
        <w:rPr>
          <w:color w:val="000000" w:themeColor="text1"/>
          <w:sz w:val="24"/>
          <w:szCs w:val="24"/>
        </w:rPr>
        <w:t xml:space="preserve"> indiscutible, ya que manifestó</w:t>
      </w:r>
      <w:r w:rsidR="00A37D84">
        <w:rPr>
          <w:color w:val="000000" w:themeColor="text1"/>
          <w:sz w:val="24"/>
          <w:szCs w:val="24"/>
        </w:rPr>
        <w:t xml:space="preserve"> lo siguiente:</w:t>
      </w:r>
    </w:p>
    <w:p w:rsidR="00A37D84" w:rsidRDefault="00A37D84" w:rsidP="00821115">
      <w:pPr>
        <w:spacing w:line="360" w:lineRule="auto"/>
        <w:ind w:firstLine="709"/>
        <w:jc w:val="both"/>
        <w:rPr>
          <w:color w:val="000000" w:themeColor="text1"/>
          <w:sz w:val="24"/>
          <w:szCs w:val="24"/>
        </w:rPr>
      </w:pPr>
      <w:r w:rsidRPr="002147DC">
        <w:rPr>
          <w:i/>
          <w:color w:val="000000" w:themeColor="text1"/>
          <w:sz w:val="24"/>
          <w:szCs w:val="24"/>
        </w:rPr>
        <w:lastRenderedPageBreak/>
        <w:t>“… el daño moral afecta a intereses espirituales del ser humano que son atacados: puede ser directo o, más frecuentemente indirecto, que es el sufrido a consecuencia de un daño personal: el atentado a la integridad física no solo produce daños directamente, sino también un indudable daño moral</w:t>
      </w:r>
      <w:r w:rsidR="002147DC" w:rsidRPr="002147DC">
        <w:rPr>
          <w:i/>
          <w:color w:val="000000" w:themeColor="text1"/>
          <w:sz w:val="24"/>
          <w:szCs w:val="24"/>
        </w:rPr>
        <w:t>, el pretium doloris que debe ser resarcido y no cabe mantener que la indemnización no puede saciar los sentimientos del dolor (lo que es cierto) por lo que no cabe indemnizar (lo que no es cierto), sino que la indemnización valora económicamente y sin duda parcialmente este daño moral, es el llamado en la doctrina alemana el &lt;dinero del dolor&gt;”</w:t>
      </w:r>
      <w:r w:rsidR="002147DC">
        <w:rPr>
          <w:color w:val="000000" w:themeColor="text1"/>
          <w:sz w:val="24"/>
          <w:szCs w:val="24"/>
        </w:rPr>
        <w:t>.</w:t>
      </w:r>
    </w:p>
    <w:p w:rsidR="002147DC" w:rsidRDefault="003E7784" w:rsidP="00821115">
      <w:pPr>
        <w:spacing w:line="360" w:lineRule="auto"/>
        <w:ind w:firstLine="709"/>
        <w:jc w:val="both"/>
        <w:rPr>
          <w:color w:val="000000" w:themeColor="text1"/>
          <w:sz w:val="24"/>
          <w:szCs w:val="24"/>
        </w:rPr>
      </w:pPr>
      <w:r>
        <w:rPr>
          <w:color w:val="000000" w:themeColor="text1"/>
          <w:sz w:val="24"/>
          <w:szCs w:val="24"/>
        </w:rPr>
        <w:t>En el espacio de la asistencia sanitaria, los daños morales presentan una importancia mayor que en los otros ámbitos de actuación de las Administraciones Públicas. El hecho de que los bienes afectados sean la integridad física, la salud o la vida de las personas produce que el daño moral aparezca en la gran mayoría de casos, pese a que en ocasiones</w:t>
      </w:r>
      <w:r w:rsidR="007A4FFC">
        <w:rPr>
          <w:color w:val="000000" w:themeColor="text1"/>
          <w:sz w:val="24"/>
          <w:szCs w:val="24"/>
        </w:rPr>
        <w:t xml:space="preserve"> su compensación se disuelva en otros términos patrimoniales.</w:t>
      </w:r>
    </w:p>
    <w:p w:rsidR="007A4FFC" w:rsidRDefault="002830B0" w:rsidP="00821115">
      <w:pPr>
        <w:spacing w:line="360" w:lineRule="auto"/>
        <w:ind w:firstLine="709"/>
        <w:jc w:val="both"/>
        <w:rPr>
          <w:color w:val="000000" w:themeColor="text1"/>
          <w:sz w:val="24"/>
          <w:szCs w:val="24"/>
        </w:rPr>
      </w:pPr>
      <w:r>
        <w:rPr>
          <w:color w:val="000000" w:themeColor="text1"/>
          <w:sz w:val="24"/>
          <w:szCs w:val="24"/>
        </w:rPr>
        <w:t>Los daños morales en el entorno sanitario tienen un volumen muy amplio, ya que puede consistir en el dolor por la pérdida de un ser querido, el sufrimiento físico y el quebranto físico por la disminución de las condiciones o aptitudes f</w:t>
      </w:r>
      <w:r w:rsidR="00111461">
        <w:rPr>
          <w:color w:val="000000" w:themeColor="text1"/>
          <w:sz w:val="24"/>
          <w:szCs w:val="24"/>
        </w:rPr>
        <w:t xml:space="preserve">ísicas (salud, estética, </w:t>
      </w:r>
      <w:r>
        <w:rPr>
          <w:color w:val="000000" w:themeColor="text1"/>
          <w:sz w:val="24"/>
          <w:szCs w:val="24"/>
        </w:rPr>
        <w:t>sexualidad, aptitud para el deporte, etc</w:t>
      </w:r>
      <w:r w:rsidR="00111461">
        <w:rPr>
          <w:color w:val="000000" w:themeColor="text1"/>
          <w:sz w:val="24"/>
          <w:szCs w:val="24"/>
        </w:rPr>
        <w:t>),</w:t>
      </w:r>
      <w:r>
        <w:rPr>
          <w:color w:val="000000" w:themeColor="text1"/>
          <w:sz w:val="24"/>
          <w:szCs w:val="24"/>
        </w:rPr>
        <w:t xml:space="preserve"> y también por las repercusiones que la lesión pueda tener para el futuro profesional de quien la sufre y para su propio desenvolvimiento en la vida. La propia jurisprudencia ha ofrecido muchas muestras en relación a los daños morales que sufren las madres debido a las malformaciones del feto, considerando que existe una responsabilidad m</w:t>
      </w:r>
      <w:r w:rsidR="005E4C7E">
        <w:rPr>
          <w:color w:val="000000" w:themeColor="text1"/>
          <w:sz w:val="24"/>
          <w:szCs w:val="24"/>
        </w:rPr>
        <w:t>édica puesto que se produc</w:t>
      </w:r>
      <w:r>
        <w:rPr>
          <w:color w:val="000000" w:themeColor="text1"/>
          <w:sz w:val="24"/>
          <w:szCs w:val="24"/>
        </w:rPr>
        <w:t>e un error en el diagnóstico prenat</w:t>
      </w:r>
      <w:r w:rsidR="005E4C7E">
        <w:rPr>
          <w:color w:val="000000" w:themeColor="text1"/>
          <w:sz w:val="24"/>
          <w:szCs w:val="24"/>
        </w:rPr>
        <w:t>al que determina que se trata de un feto normal, de manera que no se le facilita ninguna opción de interrumpir el embarazo de forma voluntaria.</w:t>
      </w:r>
    </w:p>
    <w:p w:rsidR="00191E82" w:rsidRDefault="00191E82" w:rsidP="00821115">
      <w:pPr>
        <w:spacing w:line="360" w:lineRule="auto"/>
        <w:ind w:firstLine="709"/>
        <w:jc w:val="both"/>
        <w:rPr>
          <w:color w:val="000000" w:themeColor="text1"/>
          <w:sz w:val="24"/>
          <w:szCs w:val="24"/>
        </w:rPr>
      </w:pPr>
      <w:r>
        <w:rPr>
          <w:color w:val="000000" w:themeColor="text1"/>
          <w:sz w:val="24"/>
          <w:szCs w:val="24"/>
        </w:rPr>
        <w:t>En este requisito</w:t>
      </w:r>
      <w:r w:rsidR="00312ED3">
        <w:rPr>
          <w:color w:val="000000" w:themeColor="text1"/>
          <w:sz w:val="24"/>
          <w:szCs w:val="24"/>
        </w:rPr>
        <w:t xml:space="preserve"> de la lesión resarcible</w:t>
      </w:r>
      <w:r>
        <w:rPr>
          <w:color w:val="000000" w:themeColor="text1"/>
          <w:sz w:val="24"/>
          <w:szCs w:val="24"/>
        </w:rPr>
        <w:t>, el principal problema del daño moral es su prueba por quien dice sufrirlo</w:t>
      </w:r>
      <w:r w:rsidR="00312ED3">
        <w:rPr>
          <w:color w:val="000000" w:themeColor="text1"/>
          <w:sz w:val="24"/>
          <w:szCs w:val="24"/>
        </w:rPr>
        <w:t xml:space="preserve">, en vista de que se afecta un bien jurídico no material: </w:t>
      </w:r>
      <w:r w:rsidR="000D205E">
        <w:rPr>
          <w:color w:val="000000" w:themeColor="text1"/>
          <w:sz w:val="24"/>
          <w:szCs w:val="24"/>
        </w:rPr>
        <w:t xml:space="preserve">igualmente, </w:t>
      </w:r>
      <w:r w:rsidR="00FC2488">
        <w:rPr>
          <w:color w:val="000000" w:themeColor="text1"/>
          <w:sz w:val="24"/>
          <w:szCs w:val="24"/>
        </w:rPr>
        <w:t>su valoración y cuantificación económica, también presenta grandes dificultades puesto que en la misma no intervienen criterios objetivos, fijos y aisladamente considerados, lo que da lugar a que se tenga que valorar en una cifra que, aunque tiene que ser razonable, va a tener persistentemente un componente subjetivo.</w:t>
      </w:r>
    </w:p>
    <w:p w:rsidR="001C3EEA" w:rsidRDefault="00111461" w:rsidP="001C3EEA">
      <w:pPr>
        <w:spacing w:line="360" w:lineRule="auto"/>
        <w:ind w:firstLine="709"/>
        <w:jc w:val="both"/>
        <w:rPr>
          <w:color w:val="000000" w:themeColor="text1"/>
          <w:sz w:val="24"/>
          <w:szCs w:val="24"/>
        </w:rPr>
      </w:pPr>
      <w:r>
        <w:rPr>
          <w:color w:val="000000" w:themeColor="text1"/>
          <w:sz w:val="24"/>
          <w:szCs w:val="24"/>
        </w:rPr>
        <w:t xml:space="preserve">Para ello y con carácter general, la jurisprudencia en el momento de realizar la valoración, se inclina por efectuar una valoración global que derive de una </w:t>
      </w:r>
      <w:r w:rsidRPr="00111461">
        <w:rPr>
          <w:i/>
          <w:color w:val="000000" w:themeColor="text1"/>
          <w:sz w:val="24"/>
          <w:szCs w:val="24"/>
        </w:rPr>
        <w:t>“apreciaci</w:t>
      </w:r>
      <w:r>
        <w:rPr>
          <w:i/>
          <w:color w:val="000000" w:themeColor="text1"/>
          <w:sz w:val="24"/>
          <w:szCs w:val="24"/>
        </w:rPr>
        <w:t xml:space="preserve">ón </w:t>
      </w:r>
      <w:r w:rsidRPr="00111461">
        <w:rPr>
          <w:i/>
          <w:color w:val="000000" w:themeColor="text1"/>
          <w:sz w:val="24"/>
          <w:szCs w:val="24"/>
        </w:rPr>
        <w:t>racional aunque no matemática”</w:t>
      </w:r>
      <w:r>
        <w:rPr>
          <w:color w:val="000000" w:themeColor="text1"/>
          <w:sz w:val="24"/>
          <w:szCs w:val="24"/>
        </w:rPr>
        <w:t xml:space="preserve">, ya que no se tienen los suficientes parámetros o módulos objetivos, ensalzando todas las posibles circunstancias concurrentes en el caso (la producción de una lesión irreversible, la edad de la víctima, la existencia de hijos menores, la </w:t>
      </w:r>
      <w:r>
        <w:rPr>
          <w:color w:val="000000" w:themeColor="text1"/>
          <w:sz w:val="24"/>
          <w:szCs w:val="24"/>
        </w:rPr>
        <w:lastRenderedPageBreak/>
        <w:t xml:space="preserve">dependencia económica de sus familiares inmediatos, etc), incorporando en la indemnización total el conjunto de daños de toda índole causados, </w:t>
      </w:r>
      <w:r w:rsidR="00F77AEA">
        <w:rPr>
          <w:color w:val="000000" w:themeColor="text1"/>
          <w:sz w:val="24"/>
          <w:szCs w:val="24"/>
        </w:rPr>
        <w:t>aun con los obstáculos que comporta la conversión de circunstancias complejas y subjetivas en una suma de dinero. En esta dirección, encontramos la STS de 1 de febrero de 2003</w:t>
      </w:r>
      <w:r w:rsidR="00F77AEA">
        <w:rPr>
          <w:rStyle w:val="Refdenotaalpie"/>
          <w:color w:val="000000" w:themeColor="text1"/>
          <w:sz w:val="24"/>
          <w:szCs w:val="24"/>
        </w:rPr>
        <w:footnoteReference w:id="34"/>
      </w:r>
      <w:r w:rsidR="00F77AEA">
        <w:rPr>
          <w:color w:val="000000" w:themeColor="text1"/>
          <w:sz w:val="24"/>
          <w:szCs w:val="24"/>
        </w:rPr>
        <w:t xml:space="preserve">, la cual manifiesta que </w:t>
      </w:r>
      <w:r w:rsidR="00F77AEA" w:rsidRPr="00F77AEA">
        <w:rPr>
          <w:i/>
          <w:color w:val="000000" w:themeColor="text1"/>
          <w:sz w:val="24"/>
          <w:szCs w:val="24"/>
        </w:rPr>
        <w:t>“la indemnización económica del perjuicio moral se reserva al prudente arbitrio del Tribunal de instancia, sin otra limitación que la razonabilidad en su determinación”</w:t>
      </w:r>
      <w:r w:rsidR="00F77AEA">
        <w:rPr>
          <w:color w:val="000000" w:themeColor="text1"/>
          <w:sz w:val="24"/>
          <w:szCs w:val="24"/>
        </w:rPr>
        <w:t>.</w:t>
      </w:r>
    </w:p>
    <w:p w:rsidR="001C3EEA" w:rsidRDefault="001C3EEA" w:rsidP="001C3EEA">
      <w:pPr>
        <w:spacing w:line="360" w:lineRule="auto"/>
        <w:ind w:firstLine="709"/>
        <w:jc w:val="both"/>
        <w:rPr>
          <w:color w:val="000000" w:themeColor="text1"/>
          <w:sz w:val="24"/>
          <w:szCs w:val="24"/>
        </w:rPr>
      </w:pPr>
      <w:r>
        <w:rPr>
          <w:color w:val="000000" w:themeColor="text1"/>
          <w:sz w:val="24"/>
          <w:szCs w:val="24"/>
        </w:rPr>
        <w:tab/>
      </w:r>
      <w:r>
        <w:rPr>
          <w:color w:val="000000" w:themeColor="text1"/>
          <w:sz w:val="24"/>
          <w:szCs w:val="24"/>
        </w:rPr>
        <w:tab/>
        <w:t>4.1.3.3 DAÑO INDIVIDUALIZADO CON RELACIÓN A UNA PERSONA O GRUPO DE PERSONAS</w:t>
      </w:r>
    </w:p>
    <w:p w:rsidR="001C3EEA" w:rsidRDefault="00EF6ECA" w:rsidP="00716521">
      <w:pPr>
        <w:spacing w:line="360" w:lineRule="auto"/>
        <w:ind w:firstLine="709"/>
        <w:jc w:val="both"/>
        <w:rPr>
          <w:color w:val="000000" w:themeColor="text1"/>
          <w:sz w:val="24"/>
          <w:szCs w:val="24"/>
        </w:rPr>
      </w:pPr>
      <w:r>
        <w:rPr>
          <w:color w:val="000000" w:themeColor="text1"/>
          <w:sz w:val="24"/>
          <w:szCs w:val="24"/>
        </w:rPr>
        <w:t>El último de los requisitos que ha de darse para que aparezca un caso de lesión resarcible es que el daño tiene que ser individualizado respecto a una persona o grupo de personas, lo que se persigue con esto es eliminar del ámbito de la responsabilidad las cargas e incomodidades generales que, por demandas del interés público, la Administración puede hacer cargas sobre los particulares, pese a que algunos tengan que sufrirlos en mayor medida que otros al regular los servicios públicos.</w:t>
      </w:r>
    </w:p>
    <w:p w:rsidR="00EF6ECA" w:rsidRDefault="00206D4E" w:rsidP="001C3EEA">
      <w:pPr>
        <w:spacing w:line="360" w:lineRule="auto"/>
        <w:ind w:firstLine="709"/>
        <w:jc w:val="both"/>
        <w:rPr>
          <w:color w:val="000000" w:themeColor="text1"/>
          <w:sz w:val="24"/>
          <w:szCs w:val="24"/>
        </w:rPr>
      </w:pPr>
      <w:r>
        <w:rPr>
          <w:color w:val="000000" w:themeColor="text1"/>
          <w:sz w:val="24"/>
          <w:szCs w:val="24"/>
        </w:rPr>
        <w:t>El concepto de lesi</w:t>
      </w:r>
      <w:r w:rsidR="00716521">
        <w:rPr>
          <w:color w:val="000000" w:themeColor="text1"/>
          <w:sz w:val="24"/>
          <w:szCs w:val="24"/>
        </w:rPr>
        <w:t>ón, est</w:t>
      </w:r>
      <w:r w:rsidR="007A5969">
        <w:rPr>
          <w:color w:val="000000" w:themeColor="text1"/>
          <w:sz w:val="24"/>
          <w:szCs w:val="24"/>
        </w:rPr>
        <w:t xml:space="preserve">á unido a la idea </w:t>
      </w:r>
      <w:r w:rsidR="00716521">
        <w:rPr>
          <w:color w:val="000000" w:themeColor="text1"/>
          <w:sz w:val="24"/>
          <w:szCs w:val="24"/>
        </w:rPr>
        <w:t>de sacrificio especial en relación con los otros particulares que gozan del servicio. Esto da lugar, por ejemplo, como norma general, a que los daños derivados de las listas de espera no sean considerados indemnizables, puesto que</w:t>
      </w:r>
      <w:r w:rsidR="007869FA">
        <w:rPr>
          <w:color w:val="000000" w:themeColor="text1"/>
          <w:sz w:val="24"/>
          <w:szCs w:val="24"/>
        </w:rPr>
        <w:t>, viendo la limitación de los medios de la Administración, son inevitables y las deben soportar todos los ciudadanos, excepto cuando la lista este mal gestionada, tenga una exagerada duración o haya existido error en la clasificación de prioridad de enfermos</w:t>
      </w:r>
      <w:r w:rsidR="007A5969">
        <w:rPr>
          <w:rStyle w:val="Refdenotaalpie"/>
          <w:color w:val="000000" w:themeColor="text1"/>
          <w:sz w:val="24"/>
          <w:szCs w:val="24"/>
        </w:rPr>
        <w:footnoteReference w:id="35"/>
      </w:r>
      <w:r w:rsidR="007869FA">
        <w:rPr>
          <w:color w:val="000000" w:themeColor="text1"/>
          <w:sz w:val="24"/>
          <w:szCs w:val="24"/>
        </w:rPr>
        <w:t>.</w:t>
      </w:r>
    </w:p>
    <w:p w:rsidR="007869FA" w:rsidRDefault="00803752" w:rsidP="001C3EEA">
      <w:pPr>
        <w:spacing w:line="360" w:lineRule="auto"/>
        <w:ind w:firstLine="709"/>
        <w:jc w:val="both"/>
        <w:rPr>
          <w:color w:val="000000" w:themeColor="text1"/>
          <w:sz w:val="24"/>
          <w:szCs w:val="24"/>
        </w:rPr>
      </w:pPr>
      <w:r>
        <w:rPr>
          <w:color w:val="000000" w:themeColor="text1"/>
          <w:sz w:val="24"/>
          <w:szCs w:val="24"/>
        </w:rPr>
        <w:t xml:space="preserve">La casuística puede ser muy variada en el ámbito sanitario, por eso tiene gran importancia decidir cuáles son las consecuencias o las secuelas normales de una determinada intervención médica o de un determinado tratamiento, </w:t>
      </w:r>
      <w:r w:rsidR="007A5969">
        <w:rPr>
          <w:color w:val="000000" w:themeColor="text1"/>
          <w:sz w:val="24"/>
          <w:szCs w:val="24"/>
        </w:rPr>
        <w:t xml:space="preserve">para conocer si el resultado que se produce entra dentro de los parámetros normales o si efectivamente la actuación de la </w:t>
      </w:r>
      <w:r w:rsidR="007A5969">
        <w:rPr>
          <w:color w:val="000000" w:themeColor="text1"/>
          <w:sz w:val="24"/>
          <w:szCs w:val="24"/>
        </w:rPr>
        <w:lastRenderedPageBreak/>
        <w:t xml:space="preserve">asistencia sanitaria ha provocado un sacrificio especial en un </w:t>
      </w:r>
      <w:r w:rsidR="007A5969" w:rsidRPr="007A5969">
        <w:rPr>
          <w:i/>
          <w:color w:val="000000" w:themeColor="text1"/>
          <w:sz w:val="24"/>
          <w:szCs w:val="24"/>
        </w:rPr>
        <w:t>“paciente concreto”</w:t>
      </w:r>
      <w:r w:rsidR="007A5969">
        <w:rPr>
          <w:color w:val="000000" w:themeColor="text1"/>
          <w:sz w:val="24"/>
          <w:szCs w:val="24"/>
        </w:rPr>
        <w:t>, que se ha visto afectado por un daño que no se puede calificar como normal dentro del funcionamiento del servicio.</w:t>
      </w:r>
    </w:p>
    <w:p w:rsidR="005E4C7E" w:rsidRDefault="006B56B2" w:rsidP="00821115">
      <w:pPr>
        <w:spacing w:line="360" w:lineRule="auto"/>
        <w:ind w:firstLine="709"/>
        <w:jc w:val="both"/>
        <w:rPr>
          <w:color w:val="000000" w:themeColor="text1"/>
          <w:sz w:val="24"/>
          <w:szCs w:val="24"/>
        </w:rPr>
      </w:pPr>
      <w:r>
        <w:rPr>
          <w:color w:val="000000" w:themeColor="text1"/>
          <w:sz w:val="24"/>
          <w:szCs w:val="24"/>
        </w:rPr>
        <w:t xml:space="preserve">4.2 </w:t>
      </w:r>
      <w:r w:rsidR="00916239">
        <w:rPr>
          <w:color w:val="000000" w:themeColor="text1"/>
          <w:sz w:val="24"/>
          <w:szCs w:val="24"/>
        </w:rPr>
        <w:t>IMPUTACIÓN DE LA LESIÓN RESARCIBLE A LA ADMINISTRACIÓN SANITARIA</w:t>
      </w:r>
    </w:p>
    <w:p w:rsidR="00916239" w:rsidRDefault="00916239" w:rsidP="00821115">
      <w:pPr>
        <w:spacing w:line="360" w:lineRule="auto"/>
        <w:ind w:firstLine="709"/>
        <w:jc w:val="both"/>
        <w:rPr>
          <w:color w:val="000000" w:themeColor="text1"/>
          <w:sz w:val="24"/>
          <w:szCs w:val="24"/>
        </w:rPr>
      </w:pPr>
      <w:r>
        <w:rPr>
          <w:color w:val="000000" w:themeColor="text1"/>
          <w:sz w:val="24"/>
          <w:szCs w:val="24"/>
        </w:rPr>
        <w:tab/>
        <w:t>4.2.1 CRITERIO DE IMPUTACIÓN: EL FUNCIONAMIENTO NORMAL O ANORMAL DEL SERVICIO PÚBLICO SANITARIO</w:t>
      </w:r>
    </w:p>
    <w:p w:rsidR="00916239" w:rsidRDefault="007F73E6" w:rsidP="00821115">
      <w:pPr>
        <w:spacing w:line="360" w:lineRule="auto"/>
        <w:ind w:firstLine="709"/>
        <w:jc w:val="both"/>
        <w:rPr>
          <w:color w:val="000000" w:themeColor="text1"/>
          <w:sz w:val="24"/>
          <w:szCs w:val="24"/>
        </w:rPr>
      </w:pPr>
      <w:r>
        <w:rPr>
          <w:color w:val="000000" w:themeColor="text1"/>
          <w:sz w:val="24"/>
          <w:szCs w:val="24"/>
        </w:rPr>
        <w:t>Para que aparezca la responsabilidad patrimonial por parte de la Administración, hace falta que la lesión se le pueda imputar a la misma, dicho de otro modo, es necesario que se le pueda asignar a la Administración la autoría del daño ocasionado. Como ya se sabe, la responsabilidad patrimonial de la Administración aparece debido a la personalidad jurídica de la misma, y también, por la teoría de la imputación, que consigue que se le atribuya a la Administración la actuación de sus agentes o funcionarios.</w:t>
      </w:r>
    </w:p>
    <w:p w:rsidR="007F73E6" w:rsidRDefault="007F73E6" w:rsidP="00821115">
      <w:pPr>
        <w:spacing w:line="360" w:lineRule="auto"/>
        <w:ind w:firstLine="709"/>
        <w:jc w:val="both"/>
        <w:rPr>
          <w:color w:val="000000" w:themeColor="text1"/>
          <w:sz w:val="24"/>
          <w:szCs w:val="24"/>
        </w:rPr>
      </w:pPr>
      <w:r>
        <w:rPr>
          <w:color w:val="000000" w:themeColor="text1"/>
          <w:sz w:val="24"/>
          <w:szCs w:val="24"/>
        </w:rPr>
        <w:t>Es por ello, que para que exista la responsabilidad patrimonial es esencial que se produzca esa imputación. No es suficiente con que se ocasione una lesión que el particular que no tiene el deber jurídico de soportarla, como tampoco sirve demostrar la relación de causalidad entre el daño y la actuación</w:t>
      </w:r>
      <w:r w:rsidR="00255F19">
        <w:rPr>
          <w:color w:val="000000" w:themeColor="text1"/>
          <w:sz w:val="24"/>
          <w:szCs w:val="24"/>
        </w:rPr>
        <w:t xml:space="preserve"> de la Administración: por lo tanto, es imprescindible que exista un título de imputación que manifieste la atribución de reparar el daño</w:t>
      </w:r>
      <w:r w:rsidR="00255F19">
        <w:rPr>
          <w:rStyle w:val="Refdenotaalpie"/>
          <w:color w:val="000000" w:themeColor="text1"/>
          <w:sz w:val="24"/>
          <w:szCs w:val="24"/>
        </w:rPr>
        <w:footnoteReference w:id="36"/>
      </w:r>
      <w:r w:rsidR="00255F19">
        <w:rPr>
          <w:color w:val="000000" w:themeColor="text1"/>
          <w:sz w:val="24"/>
          <w:szCs w:val="24"/>
        </w:rPr>
        <w:t>.</w:t>
      </w:r>
    </w:p>
    <w:p w:rsidR="002820C5" w:rsidRDefault="002820C5" w:rsidP="00821115">
      <w:pPr>
        <w:spacing w:line="360" w:lineRule="auto"/>
        <w:ind w:firstLine="709"/>
        <w:jc w:val="both"/>
        <w:rPr>
          <w:color w:val="000000" w:themeColor="text1"/>
          <w:sz w:val="24"/>
          <w:szCs w:val="24"/>
        </w:rPr>
      </w:pPr>
      <w:r>
        <w:rPr>
          <w:color w:val="000000" w:themeColor="text1"/>
          <w:sz w:val="24"/>
          <w:szCs w:val="24"/>
        </w:rPr>
        <w:t>El título básico de la imputación, de acuerdo con lo dis</w:t>
      </w:r>
      <w:r w:rsidR="004C0469">
        <w:rPr>
          <w:color w:val="000000" w:themeColor="text1"/>
          <w:sz w:val="24"/>
          <w:szCs w:val="24"/>
        </w:rPr>
        <w:t>puesto en el</w:t>
      </w:r>
      <w:r w:rsidR="00B0155C">
        <w:rPr>
          <w:color w:val="000000" w:themeColor="text1"/>
          <w:sz w:val="24"/>
          <w:szCs w:val="24"/>
        </w:rPr>
        <w:t xml:space="preserve"> art. 106 de la CE</w:t>
      </w:r>
      <w:r w:rsidR="004C0469">
        <w:rPr>
          <w:color w:val="000000" w:themeColor="text1"/>
          <w:sz w:val="24"/>
          <w:szCs w:val="24"/>
        </w:rPr>
        <w:t xml:space="preserve"> y art. 32.1 de la Ley 40/2015</w:t>
      </w:r>
      <w:r w:rsidR="00A0506B">
        <w:rPr>
          <w:color w:val="000000" w:themeColor="text1"/>
          <w:sz w:val="24"/>
          <w:szCs w:val="24"/>
        </w:rPr>
        <w:t xml:space="preserve">, es el funcionamiento normal o anormal de los servicios públicos. Por esto, los particulares tendrán el derecho de ser indemnizados por la Administración </w:t>
      </w:r>
      <w:r w:rsidR="00A0506B" w:rsidRPr="00A0506B">
        <w:rPr>
          <w:i/>
          <w:color w:val="000000" w:themeColor="text1"/>
          <w:sz w:val="24"/>
          <w:szCs w:val="24"/>
        </w:rPr>
        <w:t>“siempre que la lesión sea consecuencia del funcionamiento de los servicios públicos”</w:t>
      </w:r>
      <w:r w:rsidR="00A0506B">
        <w:rPr>
          <w:color w:val="000000" w:themeColor="text1"/>
          <w:sz w:val="24"/>
          <w:szCs w:val="24"/>
        </w:rPr>
        <w:t xml:space="preserve"> (art. 106 CE</w:t>
      </w:r>
      <w:r w:rsidR="004C0469">
        <w:rPr>
          <w:color w:val="000000" w:themeColor="text1"/>
          <w:sz w:val="24"/>
          <w:szCs w:val="24"/>
        </w:rPr>
        <w:t xml:space="preserve">), y </w:t>
      </w:r>
      <w:r w:rsidR="004C0469" w:rsidRPr="004C0469">
        <w:rPr>
          <w:i/>
          <w:color w:val="000000" w:themeColor="text1"/>
          <w:sz w:val="24"/>
          <w:szCs w:val="24"/>
        </w:rPr>
        <w:t>“siempre que la lesión sea consecuencia del funcionamiento normal o anormal de los servicios públicos”</w:t>
      </w:r>
      <w:r w:rsidR="004C0469">
        <w:rPr>
          <w:color w:val="000000" w:themeColor="text1"/>
          <w:sz w:val="24"/>
          <w:szCs w:val="24"/>
        </w:rPr>
        <w:t xml:space="preserve"> (art. 32.1 Ley 40/2015).</w:t>
      </w:r>
    </w:p>
    <w:p w:rsidR="00A0506B" w:rsidRDefault="009B5FC8" w:rsidP="00821115">
      <w:pPr>
        <w:spacing w:line="360" w:lineRule="auto"/>
        <w:ind w:firstLine="709"/>
        <w:jc w:val="both"/>
        <w:rPr>
          <w:color w:val="000000" w:themeColor="text1"/>
          <w:sz w:val="24"/>
          <w:szCs w:val="24"/>
        </w:rPr>
      </w:pPr>
      <w:r>
        <w:rPr>
          <w:color w:val="000000" w:themeColor="text1"/>
          <w:sz w:val="24"/>
          <w:szCs w:val="24"/>
        </w:rPr>
        <w:t>Tanto la normalidad como la anormalidad de la actuación de los servicios públicos interviene</w:t>
      </w:r>
      <w:r w:rsidR="007E4A3A">
        <w:rPr>
          <w:color w:val="000000" w:themeColor="text1"/>
          <w:sz w:val="24"/>
          <w:szCs w:val="24"/>
        </w:rPr>
        <w:t xml:space="preserve">, pues, </w:t>
      </w:r>
      <w:r>
        <w:rPr>
          <w:color w:val="000000" w:themeColor="text1"/>
          <w:sz w:val="24"/>
          <w:szCs w:val="24"/>
        </w:rPr>
        <w:t>como criterio de imputación del daño a la Administración,</w:t>
      </w:r>
      <w:r w:rsidR="007E4A3A">
        <w:rPr>
          <w:color w:val="000000" w:themeColor="text1"/>
          <w:sz w:val="24"/>
          <w:szCs w:val="24"/>
        </w:rPr>
        <w:t xml:space="preserve"> no como fundamento del deber de indemnizar, toda vez que la responsabilidad patrimonial es un dispositivo objetivo de reparación de todos los daños antijurídicos que los individuos perjudicados sufran debidos a la actuación de los servicios públicos, independientemente del elemento de la culpa. A esto hace referencia la STSJ de Las Palmas de Gran Canaria de 1 de abril de 2005</w:t>
      </w:r>
      <w:r w:rsidR="007E4A3A">
        <w:rPr>
          <w:rStyle w:val="Refdenotaalpie"/>
          <w:color w:val="000000" w:themeColor="text1"/>
          <w:sz w:val="24"/>
          <w:szCs w:val="24"/>
        </w:rPr>
        <w:footnoteReference w:id="37"/>
      </w:r>
      <w:r w:rsidR="007E4A3A">
        <w:rPr>
          <w:color w:val="000000" w:themeColor="text1"/>
          <w:sz w:val="24"/>
          <w:szCs w:val="24"/>
        </w:rPr>
        <w:t xml:space="preserve"> en su fundamento jurídico 2º:</w:t>
      </w:r>
    </w:p>
    <w:p w:rsidR="007E4A3A" w:rsidRDefault="007E4A3A" w:rsidP="00821115">
      <w:pPr>
        <w:spacing w:line="360" w:lineRule="auto"/>
        <w:ind w:firstLine="709"/>
        <w:jc w:val="both"/>
        <w:rPr>
          <w:color w:val="000000" w:themeColor="text1"/>
          <w:sz w:val="24"/>
          <w:szCs w:val="24"/>
        </w:rPr>
      </w:pPr>
      <w:r w:rsidRPr="009D0132">
        <w:rPr>
          <w:i/>
          <w:color w:val="000000" w:themeColor="text1"/>
          <w:sz w:val="24"/>
          <w:szCs w:val="24"/>
        </w:rPr>
        <w:lastRenderedPageBreak/>
        <w:t>“</w:t>
      </w:r>
      <w:r w:rsidR="009D0132" w:rsidRPr="009D0132">
        <w:rPr>
          <w:i/>
          <w:color w:val="000000" w:themeColor="text1"/>
          <w:sz w:val="24"/>
          <w:szCs w:val="24"/>
        </w:rPr>
        <w:t>El título de imputación de la responsabilidad patrimonial por los daños o perjuicios generados por la actividad administrativa por funcionamiento normal o anormal de los servicios públicos puede consistir no solo en la realizaci</w:t>
      </w:r>
      <w:r w:rsidR="009D0132">
        <w:rPr>
          <w:i/>
          <w:color w:val="000000" w:themeColor="text1"/>
          <w:sz w:val="24"/>
          <w:szCs w:val="24"/>
        </w:rPr>
        <w:t xml:space="preserve">ón de una actividad </w:t>
      </w:r>
      <w:r w:rsidR="009D0132" w:rsidRPr="009D0132">
        <w:rPr>
          <w:i/>
          <w:color w:val="000000" w:themeColor="text1"/>
          <w:sz w:val="24"/>
          <w:szCs w:val="24"/>
        </w:rPr>
        <w:t>generadora de riesgo, sino que también puede radicar en otras circunstancias, como es, singularmente en el ámbito de la asistencia sanitaria, el carácter inadecuado de la prestación médica llevada a cabo …”</w:t>
      </w:r>
      <w:r w:rsidR="009D0132">
        <w:rPr>
          <w:color w:val="000000" w:themeColor="text1"/>
          <w:sz w:val="24"/>
          <w:szCs w:val="24"/>
        </w:rPr>
        <w:t>.</w:t>
      </w:r>
    </w:p>
    <w:p w:rsidR="009D0132" w:rsidRDefault="00FB7EC3" w:rsidP="00821115">
      <w:pPr>
        <w:spacing w:line="360" w:lineRule="auto"/>
        <w:ind w:firstLine="709"/>
        <w:jc w:val="both"/>
        <w:rPr>
          <w:color w:val="000000" w:themeColor="text1"/>
          <w:sz w:val="24"/>
          <w:szCs w:val="24"/>
        </w:rPr>
      </w:pPr>
      <w:r>
        <w:rPr>
          <w:color w:val="000000" w:themeColor="text1"/>
          <w:sz w:val="24"/>
          <w:szCs w:val="24"/>
        </w:rPr>
        <w:t xml:space="preserve">Para el instituto de la responsabilidad patrimonial de la Administración sanitaria decidir si la actuación del servicio médico ha sido la acertada o no, tiene un importancia secundaria: pero lo cierto es que </w:t>
      </w:r>
      <w:r w:rsidR="00A74FD5">
        <w:rPr>
          <w:color w:val="000000" w:themeColor="text1"/>
          <w:sz w:val="24"/>
          <w:szCs w:val="24"/>
        </w:rPr>
        <w:t>dicha consideración es realmente importante, puesto que, por una parte, puede determinar con alto grado de certeza la relación de causalidad y, por otra parte, puede concluir si el daño sufrido por el particular es o no antijurídico, esto es, si dicho paciente tiene o no el deber jurídico de soportar el daño sufrido.</w:t>
      </w:r>
    </w:p>
    <w:p w:rsidR="00A74FD5" w:rsidRDefault="00C76048" w:rsidP="00821115">
      <w:pPr>
        <w:spacing w:line="360" w:lineRule="auto"/>
        <w:ind w:firstLine="709"/>
        <w:jc w:val="both"/>
        <w:rPr>
          <w:color w:val="000000" w:themeColor="text1"/>
          <w:sz w:val="24"/>
          <w:szCs w:val="24"/>
        </w:rPr>
      </w:pPr>
      <w:r>
        <w:rPr>
          <w:color w:val="000000" w:themeColor="text1"/>
          <w:sz w:val="24"/>
          <w:szCs w:val="24"/>
        </w:rPr>
        <w:t>Una vez expulsado el elemento de la culpa, los requisitos de la responsabilidad patrimonial</w:t>
      </w:r>
      <w:r w:rsidR="0097783A">
        <w:rPr>
          <w:color w:val="000000" w:themeColor="text1"/>
          <w:sz w:val="24"/>
          <w:szCs w:val="24"/>
        </w:rPr>
        <w:t xml:space="preserve"> giran alrededor de dos términos: </w:t>
      </w:r>
      <w:r w:rsidR="0097783A" w:rsidRPr="0097783A">
        <w:rPr>
          <w:i/>
          <w:color w:val="000000" w:themeColor="text1"/>
          <w:sz w:val="24"/>
          <w:szCs w:val="24"/>
        </w:rPr>
        <w:t>“ser consecuencia y servicios públicos”</w:t>
      </w:r>
      <w:r w:rsidR="0097783A">
        <w:rPr>
          <w:color w:val="000000" w:themeColor="text1"/>
          <w:sz w:val="24"/>
          <w:szCs w:val="24"/>
        </w:rPr>
        <w:t xml:space="preserve">. </w:t>
      </w:r>
      <w:r w:rsidR="006274B1">
        <w:rPr>
          <w:color w:val="000000" w:themeColor="text1"/>
          <w:sz w:val="24"/>
          <w:szCs w:val="24"/>
        </w:rPr>
        <w:t>Si la responsabilidad patrimonial reposa sobre la producción de un daño real, que las leyes administrativas relacionan con un funcionamiento anormal o normal del servicio público, son de suma importancia dos cuestiones en relación con esto: en primer lugar, sería importante conocer que se entiende por servicio público y, en segundo lugar, saber en qué momento su funcionamiento da lugar a la obligación de indemnizar.</w:t>
      </w:r>
    </w:p>
    <w:p w:rsidR="006274B1" w:rsidRDefault="006274B1" w:rsidP="00821115">
      <w:pPr>
        <w:spacing w:line="360" w:lineRule="auto"/>
        <w:ind w:firstLine="709"/>
        <w:jc w:val="both"/>
        <w:rPr>
          <w:color w:val="000000" w:themeColor="text1"/>
          <w:sz w:val="24"/>
          <w:szCs w:val="24"/>
        </w:rPr>
      </w:pPr>
      <w:r>
        <w:rPr>
          <w:color w:val="000000" w:themeColor="text1"/>
          <w:sz w:val="24"/>
          <w:szCs w:val="24"/>
        </w:rPr>
        <w:t xml:space="preserve">La jurisprudencia y la doctrina coinciden en reconocer que la referencia de </w:t>
      </w:r>
      <w:r w:rsidR="00B0155C">
        <w:rPr>
          <w:color w:val="000000" w:themeColor="text1"/>
          <w:sz w:val="24"/>
          <w:szCs w:val="24"/>
        </w:rPr>
        <w:t>la CE a los servicios públicos</w:t>
      </w:r>
      <w:r>
        <w:rPr>
          <w:color w:val="000000" w:themeColor="text1"/>
          <w:sz w:val="24"/>
          <w:szCs w:val="24"/>
        </w:rPr>
        <w:t xml:space="preserve">, se lleva a cabo en un sentido muy amplio, </w:t>
      </w:r>
      <w:r w:rsidR="007A3367">
        <w:rPr>
          <w:color w:val="000000" w:themeColor="text1"/>
          <w:sz w:val="24"/>
          <w:szCs w:val="24"/>
        </w:rPr>
        <w:t>ya que se incluye toda actividad de las Administraciones, toda gestión, actuación o actividad propia de la función administrativa llevada a cabo incluso con una determinada pasividad u omisión cuando la Administración tiene el deber concreto de actuar o comportarse de un determinado</w:t>
      </w:r>
      <w:r w:rsidR="00600659">
        <w:rPr>
          <w:rStyle w:val="Refdenotaalpie"/>
          <w:color w:val="000000" w:themeColor="text1"/>
          <w:sz w:val="24"/>
          <w:szCs w:val="24"/>
        </w:rPr>
        <w:footnoteReference w:id="38"/>
      </w:r>
      <w:r w:rsidR="007A3367">
        <w:rPr>
          <w:color w:val="000000" w:themeColor="text1"/>
          <w:sz w:val="24"/>
          <w:szCs w:val="24"/>
        </w:rPr>
        <w:t xml:space="preserve"> modo: asimismo, también se incluye los servicios sanitarios prestados mediante centros concertados de carácter privado, puesto que se encuentran vinculados a la Administración sanitaria mediante una relación contractual que se concreta en el denominado </w:t>
      </w:r>
      <w:r w:rsidR="007A3367" w:rsidRPr="007A3367">
        <w:rPr>
          <w:i/>
          <w:color w:val="000000" w:themeColor="text1"/>
          <w:sz w:val="24"/>
          <w:szCs w:val="24"/>
        </w:rPr>
        <w:t>“concierto sanitario”</w:t>
      </w:r>
      <w:r w:rsidR="007A3367">
        <w:rPr>
          <w:color w:val="000000" w:themeColor="text1"/>
          <w:sz w:val="24"/>
          <w:szCs w:val="24"/>
        </w:rPr>
        <w:t>.</w:t>
      </w:r>
    </w:p>
    <w:p w:rsidR="007A3367" w:rsidRDefault="004333B1" w:rsidP="00821115">
      <w:pPr>
        <w:spacing w:line="360" w:lineRule="auto"/>
        <w:ind w:firstLine="709"/>
        <w:jc w:val="both"/>
        <w:rPr>
          <w:color w:val="000000" w:themeColor="text1"/>
          <w:sz w:val="24"/>
          <w:szCs w:val="24"/>
        </w:rPr>
      </w:pPr>
      <w:r>
        <w:rPr>
          <w:color w:val="000000" w:themeColor="text1"/>
          <w:sz w:val="24"/>
          <w:szCs w:val="24"/>
        </w:rPr>
        <w:t xml:space="preserve">La jurisprudencia actual es bastante clara ante estos supuestos, estimando que la asistencia sanitaria que se presta en un centro concertado vincula directamente a la Administración sanitaria pública que será en último término responsable, puesto que dicho </w:t>
      </w:r>
      <w:r>
        <w:rPr>
          <w:color w:val="000000" w:themeColor="text1"/>
          <w:sz w:val="24"/>
          <w:szCs w:val="24"/>
        </w:rPr>
        <w:lastRenderedPageBreak/>
        <w:t xml:space="preserve">centro concertado </w:t>
      </w:r>
      <w:r w:rsidR="00390AF4">
        <w:rPr>
          <w:color w:val="000000" w:themeColor="text1"/>
          <w:sz w:val="24"/>
          <w:szCs w:val="24"/>
        </w:rPr>
        <w:t xml:space="preserve">se sobreentiende que </w:t>
      </w:r>
      <w:r>
        <w:rPr>
          <w:color w:val="000000" w:themeColor="text1"/>
          <w:sz w:val="24"/>
          <w:szCs w:val="24"/>
        </w:rPr>
        <w:t>ostenta la condición de representante o mandatario de la sanidad pública en</w:t>
      </w:r>
      <w:r w:rsidR="00390AF4">
        <w:rPr>
          <w:color w:val="000000" w:themeColor="text1"/>
          <w:sz w:val="24"/>
          <w:szCs w:val="24"/>
        </w:rPr>
        <w:t xml:space="preserve"> el ejercicio de sus funciones. De igual manera, la jurisprudencia considera que la asistencia sanitaria que prestan las mutualidades de funcionarios (MUFACE e ISFAS) mediante centros concertados puede dar lugar, también, a la responsabilidad de la Administración.</w:t>
      </w:r>
    </w:p>
    <w:p w:rsidR="009012C4" w:rsidRDefault="006752A0" w:rsidP="009012C4">
      <w:pPr>
        <w:spacing w:line="360" w:lineRule="auto"/>
        <w:ind w:firstLine="709"/>
        <w:jc w:val="both"/>
        <w:rPr>
          <w:color w:val="000000" w:themeColor="text1"/>
          <w:sz w:val="24"/>
          <w:szCs w:val="24"/>
        </w:rPr>
      </w:pPr>
      <w:r>
        <w:rPr>
          <w:color w:val="000000" w:themeColor="text1"/>
          <w:sz w:val="24"/>
          <w:szCs w:val="24"/>
        </w:rPr>
        <w:t xml:space="preserve">Dicho todo esto, llegamos a la conclusión de que nos encontramos ante una imputación a la Administración por haberse producido en el ámbito de su organización: no obstante, es evidente que no toda actuación de los funcionarios vincula a la misma (Administración), sino que solo se ve afectada aquella en que los funcionarios lleven a cabo el ejercicio de sus funciones, </w:t>
      </w:r>
      <w:r w:rsidR="000056CC">
        <w:rPr>
          <w:color w:val="000000" w:themeColor="text1"/>
          <w:sz w:val="24"/>
          <w:szCs w:val="24"/>
        </w:rPr>
        <w:t xml:space="preserve">por este motivo se descarta la imputación de la actividad dañosa a la Administración cuando el funcionario o agente actúe en su vida privada, desconectando totalmente del servicio, esto es, quedando al margen de las funciones del cargo que ostenta. </w:t>
      </w:r>
      <w:r w:rsidR="009012C4">
        <w:rPr>
          <w:color w:val="000000" w:themeColor="text1"/>
          <w:sz w:val="24"/>
          <w:szCs w:val="24"/>
        </w:rPr>
        <w:t xml:space="preserve">Por lo tanto, para que una conducta pueda ser considerada actuación administrativa es necesario que se den dos circunstancias: </w:t>
      </w:r>
      <w:r w:rsidR="00FF5DBD">
        <w:rPr>
          <w:color w:val="000000" w:themeColor="text1"/>
          <w:sz w:val="24"/>
          <w:szCs w:val="24"/>
        </w:rPr>
        <w:t>primero, que la persona física que causa el daño, por la acción u omisión, esté integrada en la organización administrativa y, segundo, que actúe en el ejercicio o con ocasión de sus funciones.</w:t>
      </w:r>
    </w:p>
    <w:p w:rsidR="00FF5DBD" w:rsidRDefault="00BD3119" w:rsidP="009012C4">
      <w:pPr>
        <w:spacing w:line="360" w:lineRule="auto"/>
        <w:ind w:firstLine="709"/>
        <w:jc w:val="both"/>
        <w:rPr>
          <w:color w:val="000000" w:themeColor="text1"/>
          <w:sz w:val="24"/>
          <w:szCs w:val="24"/>
        </w:rPr>
      </w:pPr>
      <w:r>
        <w:rPr>
          <w:color w:val="000000" w:themeColor="text1"/>
          <w:sz w:val="24"/>
          <w:szCs w:val="24"/>
        </w:rPr>
        <w:t xml:space="preserve">En este momento actual, no hay duda alguna de que la actividad realizada por la Administración dirigida a proteger la salud es un servicio público, lo que conlleva que la Administración sanitaria debe responder por todos los daños ocasionados por cualquiera de los medios que sirven para llevar a cabo esa actividad administrativa, </w:t>
      </w:r>
      <w:r w:rsidR="00CA47FE">
        <w:rPr>
          <w:color w:val="000000" w:themeColor="text1"/>
          <w:sz w:val="24"/>
          <w:szCs w:val="24"/>
        </w:rPr>
        <w:t>ya sea por la actividad material y técnica en la que consiste la prestación del servicio (que incluye todos los daños producidos por actos médicos), como por la omisión de la propia Administración sanitaria de sus deberes legales (como por ejemplo, las facultades de vigilancia y tutela sobre pacientes psiquiátricos).</w:t>
      </w:r>
    </w:p>
    <w:p w:rsidR="00CA47FE" w:rsidRDefault="00AB6373" w:rsidP="009012C4">
      <w:pPr>
        <w:spacing w:line="360" w:lineRule="auto"/>
        <w:ind w:firstLine="709"/>
        <w:jc w:val="both"/>
        <w:rPr>
          <w:color w:val="000000" w:themeColor="text1"/>
          <w:sz w:val="24"/>
          <w:szCs w:val="24"/>
        </w:rPr>
      </w:pPr>
      <w:r>
        <w:rPr>
          <w:color w:val="000000" w:themeColor="text1"/>
          <w:sz w:val="24"/>
          <w:szCs w:val="24"/>
        </w:rPr>
        <w:t xml:space="preserve">Por lo que se refiere al tipo de funcionamiento que conlleva imputación, </w:t>
      </w:r>
      <w:r w:rsidR="0099741D">
        <w:rPr>
          <w:color w:val="000000" w:themeColor="text1"/>
          <w:sz w:val="24"/>
          <w:szCs w:val="24"/>
        </w:rPr>
        <w:t xml:space="preserve">la expresión </w:t>
      </w:r>
      <w:r w:rsidR="0099741D" w:rsidRPr="0099741D">
        <w:rPr>
          <w:i/>
          <w:color w:val="000000" w:themeColor="text1"/>
          <w:sz w:val="24"/>
          <w:szCs w:val="24"/>
        </w:rPr>
        <w:t>“funcionamiento normal o anormal de los servicios públicos”</w:t>
      </w:r>
      <w:r w:rsidR="0099741D">
        <w:rPr>
          <w:color w:val="000000" w:themeColor="text1"/>
          <w:sz w:val="24"/>
          <w:szCs w:val="24"/>
        </w:rPr>
        <w:t xml:space="preserve"> utilizada por la Ley da a entender que cualquier daño proveniente de tal funcionamiento debe en principio ser indemnizado, aun cuando el daño se haya producido con un funcionamiento normal del servicio público.</w:t>
      </w:r>
      <w:r w:rsidR="00C7760D">
        <w:rPr>
          <w:color w:val="000000" w:themeColor="text1"/>
          <w:sz w:val="24"/>
          <w:szCs w:val="24"/>
        </w:rPr>
        <w:t xml:space="preserve"> Por este motivo para que puede aparecer la responsabilidad objetiva de la Administración, no es necesario probar que los titulares o gestores de la actividad administrativa que ha generado un daño han actuado con dolo o culpa y tampoco es necesario demostrar que dicho servicio se ha llevado a cabo de una manera anómala.</w:t>
      </w:r>
      <w:r w:rsidR="0027387A">
        <w:rPr>
          <w:color w:val="000000" w:themeColor="text1"/>
          <w:sz w:val="24"/>
          <w:szCs w:val="24"/>
        </w:rPr>
        <w:t xml:space="preserve"> La imputación por funcionamiento normal surge cuando el funcionamiento de los servicios produce un riesgo que se transforma en una lesión resarcible. </w:t>
      </w:r>
      <w:r w:rsidR="00C7760D">
        <w:rPr>
          <w:color w:val="000000" w:themeColor="text1"/>
          <w:sz w:val="24"/>
          <w:szCs w:val="24"/>
        </w:rPr>
        <w:t xml:space="preserve">Esto ha manifestado en numerosas ocasiones el </w:t>
      </w:r>
      <w:r w:rsidR="00C7760D">
        <w:rPr>
          <w:color w:val="000000" w:themeColor="text1"/>
          <w:sz w:val="24"/>
          <w:szCs w:val="24"/>
        </w:rPr>
        <w:lastRenderedPageBreak/>
        <w:t>Tribunal Supremo y, entre otras, se puede citar la STS de 28 de octubre de 1998</w:t>
      </w:r>
      <w:r w:rsidR="0078409B">
        <w:rPr>
          <w:rStyle w:val="Refdenotaalpie"/>
          <w:color w:val="000000" w:themeColor="text1"/>
          <w:sz w:val="24"/>
          <w:szCs w:val="24"/>
        </w:rPr>
        <w:footnoteReference w:id="39"/>
      </w:r>
      <w:r w:rsidR="00C7760D">
        <w:rPr>
          <w:color w:val="000000" w:themeColor="text1"/>
          <w:sz w:val="24"/>
          <w:szCs w:val="24"/>
        </w:rPr>
        <w:t xml:space="preserve"> en cuyo FJ 3º señala que:</w:t>
      </w:r>
    </w:p>
    <w:p w:rsidR="00C7760D" w:rsidRDefault="00C7760D" w:rsidP="009012C4">
      <w:pPr>
        <w:spacing w:line="360" w:lineRule="auto"/>
        <w:ind w:firstLine="709"/>
        <w:jc w:val="both"/>
        <w:rPr>
          <w:color w:val="000000" w:themeColor="text1"/>
          <w:sz w:val="24"/>
          <w:szCs w:val="24"/>
        </w:rPr>
      </w:pPr>
      <w:r w:rsidRPr="00D55B75">
        <w:rPr>
          <w:i/>
          <w:color w:val="000000" w:themeColor="text1"/>
          <w:sz w:val="24"/>
          <w:szCs w:val="24"/>
        </w:rPr>
        <w:t>“</w:t>
      </w:r>
      <w:r w:rsidR="00225CD4" w:rsidRPr="00D55B75">
        <w:rPr>
          <w:i/>
          <w:color w:val="000000" w:themeColor="text1"/>
          <w:sz w:val="24"/>
          <w:szCs w:val="24"/>
        </w:rPr>
        <w:t>…es de tener en cuenta que la Sala 3ª del TS ha declarado reiteradamente que la responsabilidad patrimonial de la Administración, contemplada por los arts. 106.2 CE, 40 LRJAE 1957 y 121 y 122 LEF, se configura como una responsabilidad objetiva o por el resultado, en la que es indiferente que la actuación administrativa haya sido normal o anormal, bastando para declararla que, como consecuencia directa de aquella, se haya producido un daño efectivo, evaluable económicamente e individualizado”</w:t>
      </w:r>
      <w:r w:rsidR="00225CD4">
        <w:rPr>
          <w:color w:val="000000" w:themeColor="text1"/>
          <w:sz w:val="24"/>
          <w:szCs w:val="24"/>
        </w:rPr>
        <w:t>.</w:t>
      </w:r>
    </w:p>
    <w:p w:rsidR="00D55B75" w:rsidRDefault="00931D1A" w:rsidP="009012C4">
      <w:pPr>
        <w:spacing w:line="360" w:lineRule="auto"/>
        <w:ind w:firstLine="709"/>
        <w:jc w:val="both"/>
        <w:rPr>
          <w:color w:val="000000" w:themeColor="text1"/>
          <w:sz w:val="24"/>
          <w:szCs w:val="24"/>
        </w:rPr>
      </w:pPr>
      <w:r>
        <w:rPr>
          <w:color w:val="000000" w:themeColor="text1"/>
          <w:sz w:val="24"/>
          <w:szCs w:val="24"/>
        </w:rPr>
        <w:t>La titularidad administrativa de la actuación administrativa</w:t>
      </w:r>
      <w:r w:rsidR="003B08DE">
        <w:rPr>
          <w:color w:val="000000" w:themeColor="text1"/>
          <w:sz w:val="24"/>
          <w:szCs w:val="24"/>
        </w:rPr>
        <w:t xml:space="preserve"> en cuyo marco se haya ocasionado el daño sería más que suficiente para demostrar la imputación de la lesión a la Administración: </w:t>
      </w:r>
      <w:r w:rsidR="007C3078">
        <w:rPr>
          <w:color w:val="000000" w:themeColor="text1"/>
          <w:sz w:val="24"/>
          <w:szCs w:val="24"/>
        </w:rPr>
        <w:t>cuando el daño</w:t>
      </w:r>
      <w:r w:rsidR="00933D16">
        <w:rPr>
          <w:color w:val="000000" w:themeColor="text1"/>
          <w:sz w:val="24"/>
          <w:szCs w:val="24"/>
        </w:rPr>
        <w:t xml:space="preserve"> indemnizable haya sido ocasionado por una persona física, el problema se reduce a demostrar la integración de dicha persona autora material de la lesión en la organización administrativa y, también, a demostrar que la persona se encuentre actuando en el ejercicio de sus funciones. </w:t>
      </w:r>
      <w:r w:rsidR="00991859">
        <w:rPr>
          <w:color w:val="000000" w:themeColor="text1"/>
          <w:sz w:val="24"/>
          <w:szCs w:val="24"/>
        </w:rPr>
        <w:t xml:space="preserve">El hecho de que la conducta de aquella sea ilícita o culpable </w:t>
      </w:r>
      <w:r w:rsidR="00E25548">
        <w:rPr>
          <w:color w:val="000000" w:themeColor="text1"/>
          <w:sz w:val="24"/>
          <w:szCs w:val="24"/>
        </w:rPr>
        <w:t>es indiferente a efectos de imputar las consecuencias lesivas de la misma a la Administración, puesto que nuestro Derecho la Administración responde de todas las lesiones producidas tanto por el funcionamiento normal como anormal de los servicios públicos.</w:t>
      </w:r>
    </w:p>
    <w:p w:rsidR="00E25548" w:rsidRDefault="00246C3A" w:rsidP="009012C4">
      <w:pPr>
        <w:spacing w:line="360" w:lineRule="auto"/>
        <w:ind w:firstLine="709"/>
        <w:jc w:val="both"/>
        <w:rPr>
          <w:color w:val="000000" w:themeColor="text1"/>
          <w:sz w:val="24"/>
          <w:szCs w:val="24"/>
        </w:rPr>
      </w:pPr>
      <w:r>
        <w:rPr>
          <w:color w:val="000000" w:themeColor="text1"/>
          <w:sz w:val="24"/>
          <w:szCs w:val="24"/>
        </w:rPr>
        <w:t xml:space="preserve">El hecho de no tener en cuenta la noción de culpa, para centrarse en la integración del agente culpable de la lesión en la organización administrativa prestadora del servicio como criterio te imputación, significa una fórmula legal bastante más liberal que la responsabilidad guiada por las normas del Derecho Civil, </w:t>
      </w:r>
      <w:r w:rsidR="00A7377D">
        <w:rPr>
          <w:color w:val="000000" w:themeColor="text1"/>
          <w:sz w:val="24"/>
          <w:szCs w:val="24"/>
        </w:rPr>
        <w:t>en el cual la culpa sigue siendo por excelencia el criterio de imputación. Esto constituye una importancia fundamental, para darse cuenta de ello, solo hay que fijarse en el hecho de que</w:t>
      </w:r>
      <w:r w:rsidR="00611317">
        <w:rPr>
          <w:color w:val="000000" w:themeColor="text1"/>
          <w:sz w:val="24"/>
          <w:szCs w:val="24"/>
        </w:rPr>
        <w:t>,</w:t>
      </w:r>
      <w:r w:rsidR="00A7377D">
        <w:rPr>
          <w:color w:val="000000" w:themeColor="text1"/>
          <w:sz w:val="24"/>
          <w:szCs w:val="24"/>
        </w:rPr>
        <w:t xml:space="preserve"> si el perjudicado centra su acción de responsabilidad contra el médico actuante, </w:t>
      </w:r>
      <w:r w:rsidR="00611317">
        <w:rPr>
          <w:color w:val="000000" w:themeColor="text1"/>
          <w:sz w:val="24"/>
          <w:szCs w:val="24"/>
        </w:rPr>
        <w:t>va a estar en la complicada situación de tener que demostrar la culpa del médico en la actuación dañosa, ya que es una exigencia constante del Derecho Civil la demostración de dicha culpa: por el contrario, si decide ir contra la Administración en base a l</w:t>
      </w:r>
      <w:r w:rsidR="00B45A3E">
        <w:rPr>
          <w:color w:val="000000" w:themeColor="text1"/>
          <w:sz w:val="24"/>
          <w:szCs w:val="24"/>
        </w:rPr>
        <w:t>os arts. 106.2 CE y 32.1 Ley 40/2015</w:t>
      </w:r>
      <w:r w:rsidR="00611317">
        <w:rPr>
          <w:color w:val="000000" w:themeColor="text1"/>
          <w:sz w:val="24"/>
          <w:szCs w:val="24"/>
        </w:rPr>
        <w:t>, le va a bastar con demostrar la integración del autor material del daño en la organizaci</w:t>
      </w:r>
      <w:r w:rsidR="00AA0279">
        <w:rPr>
          <w:color w:val="000000" w:themeColor="text1"/>
          <w:sz w:val="24"/>
          <w:szCs w:val="24"/>
        </w:rPr>
        <w:t>ón sanitaria (acreditando, en todo caso, que de dicha prestación se ha ocasionado un daño resarcible y que existe nexo causal entre el funcionamiento del servicio y la lesión resultante) a efectos de atribuir las consecuencias lesivas a la Administración Pública competente.</w:t>
      </w:r>
    </w:p>
    <w:p w:rsidR="00AA0279" w:rsidRDefault="00E82A0A" w:rsidP="009012C4">
      <w:pPr>
        <w:spacing w:line="360" w:lineRule="auto"/>
        <w:ind w:firstLine="709"/>
        <w:jc w:val="both"/>
        <w:rPr>
          <w:color w:val="000000" w:themeColor="text1"/>
          <w:sz w:val="24"/>
          <w:szCs w:val="24"/>
        </w:rPr>
      </w:pPr>
      <w:r>
        <w:rPr>
          <w:color w:val="000000" w:themeColor="text1"/>
          <w:sz w:val="24"/>
          <w:szCs w:val="24"/>
        </w:rPr>
        <w:t xml:space="preserve">Sin embargo, </w:t>
      </w:r>
      <w:r w:rsidR="0078174F">
        <w:rPr>
          <w:color w:val="000000" w:themeColor="text1"/>
          <w:sz w:val="24"/>
          <w:szCs w:val="24"/>
        </w:rPr>
        <w:t xml:space="preserve">aunque en nuestro sistema de responsabilidad patrimonial de la Administración sea indiferente la normalidad o anormalidad del funcionamiento del servicio </w:t>
      </w:r>
      <w:r w:rsidR="0078174F">
        <w:rPr>
          <w:color w:val="000000" w:themeColor="text1"/>
          <w:sz w:val="24"/>
          <w:szCs w:val="24"/>
        </w:rPr>
        <w:lastRenderedPageBreak/>
        <w:t>para concretar la obligación de indemnizar, cuando se aplica en la práctica la Ley se insiste y mucho en distinguir ambos conceptos, y si los tribunales han aceptado generalmente el funcionamiento anormal como criterio de imputación, no ocurre lo mismo para el funcionamiento normal, puesto que son pocos supuestos en los que se ha reconocido la responsabilidad por un funcionamiento normal del servicio.</w:t>
      </w:r>
    </w:p>
    <w:p w:rsidR="0078174F" w:rsidRDefault="001F5E0C" w:rsidP="009012C4">
      <w:pPr>
        <w:spacing w:line="360" w:lineRule="auto"/>
        <w:ind w:firstLine="709"/>
        <w:jc w:val="both"/>
        <w:rPr>
          <w:color w:val="000000" w:themeColor="text1"/>
          <w:sz w:val="24"/>
          <w:szCs w:val="24"/>
        </w:rPr>
      </w:pPr>
      <w:r>
        <w:rPr>
          <w:color w:val="000000" w:themeColor="text1"/>
          <w:sz w:val="24"/>
          <w:szCs w:val="24"/>
        </w:rPr>
        <w:t>Con carácter general puede mencionarse que la actuación anormal de los servicios públicos engloba las conductas ilegales o culpables del personal sanitario al servicio de la Administración (que en cierta medida coincide con la actuación culposa o negligente recogida en el art. 1902 CC), como también el funcionamiento del servicio por debajo de la calidad que necesariamente se exige, lo que provoca una inadecuada prestación médica. Los supuestos en relaci</w:t>
      </w:r>
      <w:r w:rsidR="00E77122">
        <w:rPr>
          <w:color w:val="000000" w:themeColor="text1"/>
          <w:sz w:val="24"/>
          <w:szCs w:val="24"/>
        </w:rPr>
        <w:t xml:space="preserve">ón a esto pueden ser diversos: </w:t>
      </w:r>
      <w:r>
        <w:rPr>
          <w:color w:val="000000" w:themeColor="text1"/>
          <w:sz w:val="24"/>
          <w:szCs w:val="24"/>
        </w:rPr>
        <w:t>incluye</w:t>
      </w:r>
      <w:r w:rsidR="00E77122">
        <w:rPr>
          <w:color w:val="000000" w:themeColor="text1"/>
          <w:sz w:val="24"/>
          <w:szCs w:val="24"/>
        </w:rPr>
        <w:t xml:space="preserve">ndo, asimismo, </w:t>
      </w:r>
      <w:r>
        <w:rPr>
          <w:color w:val="000000" w:themeColor="text1"/>
          <w:sz w:val="24"/>
          <w:szCs w:val="24"/>
        </w:rPr>
        <w:t>el funcionamiento defectuoso, el no funcionamiento del servicio o el funcionamiento tardío.</w:t>
      </w:r>
    </w:p>
    <w:p w:rsidR="001F5E0C" w:rsidRDefault="00EC4331" w:rsidP="009012C4">
      <w:pPr>
        <w:spacing w:line="360" w:lineRule="auto"/>
        <w:ind w:firstLine="709"/>
        <w:jc w:val="both"/>
        <w:rPr>
          <w:color w:val="000000" w:themeColor="text1"/>
          <w:sz w:val="24"/>
          <w:szCs w:val="24"/>
        </w:rPr>
      </w:pPr>
      <w:r>
        <w:rPr>
          <w:color w:val="000000" w:themeColor="text1"/>
          <w:sz w:val="24"/>
          <w:szCs w:val="24"/>
        </w:rPr>
        <w:t xml:space="preserve">La imputación por el funcionamiento normal surge cuando el funcionamiento de los servicios sanitarios produce un riesgo que se traduce en una lesión que el individuo perjudicado no tiene el deber jurídico de soportar, </w:t>
      </w:r>
      <w:r w:rsidR="00B6149E">
        <w:rPr>
          <w:color w:val="000000" w:themeColor="text1"/>
          <w:sz w:val="24"/>
          <w:szCs w:val="24"/>
        </w:rPr>
        <w:t xml:space="preserve">con lo cual se relaciona, así, </w:t>
      </w:r>
      <w:r w:rsidR="0011568C">
        <w:rPr>
          <w:color w:val="000000" w:themeColor="text1"/>
          <w:sz w:val="24"/>
          <w:szCs w:val="24"/>
        </w:rPr>
        <w:t>el funcionamiento del servicio con la antijuricidad del daño. Respecto a esto, las SSTS de 7 de junio de 2004</w:t>
      </w:r>
      <w:r w:rsidR="001C7AD9">
        <w:rPr>
          <w:rStyle w:val="Refdenotaalpie"/>
          <w:color w:val="000000" w:themeColor="text1"/>
          <w:sz w:val="24"/>
          <w:szCs w:val="24"/>
        </w:rPr>
        <w:footnoteReference w:id="40"/>
      </w:r>
      <w:r w:rsidR="0011568C">
        <w:rPr>
          <w:color w:val="000000" w:themeColor="text1"/>
          <w:sz w:val="24"/>
          <w:szCs w:val="24"/>
        </w:rPr>
        <w:t xml:space="preserve"> y de 28 de octubre de 1998</w:t>
      </w:r>
      <w:r w:rsidR="001C7AD9">
        <w:rPr>
          <w:rStyle w:val="Refdenotaalpie"/>
          <w:color w:val="000000" w:themeColor="text1"/>
          <w:sz w:val="24"/>
          <w:szCs w:val="24"/>
        </w:rPr>
        <w:footnoteReference w:id="41"/>
      </w:r>
      <w:r w:rsidR="0011568C">
        <w:rPr>
          <w:color w:val="000000" w:themeColor="text1"/>
          <w:sz w:val="24"/>
          <w:szCs w:val="24"/>
        </w:rPr>
        <w:t>, señalan lo siguiente:</w:t>
      </w:r>
    </w:p>
    <w:p w:rsidR="0011568C" w:rsidRDefault="0011568C" w:rsidP="009012C4">
      <w:pPr>
        <w:spacing w:line="360" w:lineRule="auto"/>
        <w:ind w:firstLine="709"/>
        <w:jc w:val="both"/>
        <w:rPr>
          <w:color w:val="000000" w:themeColor="text1"/>
          <w:sz w:val="24"/>
          <w:szCs w:val="24"/>
        </w:rPr>
      </w:pPr>
      <w:r w:rsidRPr="0011568C">
        <w:rPr>
          <w:i/>
          <w:color w:val="000000" w:themeColor="text1"/>
          <w:sz w:val="24"/>
          <w:szCs w:val="24"/>
        </w:rPr>
        <w:t>“…para que el daño producido por el funcionamiento del servicio a uno o varios particulares sea antijurídico resulta preciso, y suficiente, a su vez, que el riesgo inherente a su utilización haya rebasado los límites impuestos por los estándares de seguridad exigibles conforme a la conciencia social. No existirá, entonces, deber alguno del perjudicado de soportar el menoscabo y, consiguientemente, la obligación de resarcir el daño o perjuicio causado por la actividad administrativa será a ella imputable”</w:t>
      </w:r>
      <w:r>
        <w:rPr>
          <w:color w:val="000000" w:themeColor="text1"/>
          <w:sz w:val="24"/>
          <w:szCs w:val="24"/>
        </w:rPr>
        <w:t>.</w:t>
      </w:r>
    </w:p>
    <w:p w:rsidR="00846D40" w:rsidRDefault="00846D40" w:rsidP="00177E91">
      <w:pPr>
        <w:spacing w:line="360" w:lineRule="auto"/>
        <w:ind w:firstLine="709"/>
        <w:jc w:val="both"/>
        <w:rPr>
          <w:color w:val="000000" w:themeColor="text1"/>
          <w:sz w:val="24"/>
          <w:szCs w:val="24"/>
        </w:rPr>
      </w:pPr>
      <w:r>
        <w:rPr>
          <w:color w:val="000000" w:themeColor="text1"/>
          <w:sz w:val="24"/>
          <w:szCs w:val="24"/>
        </w:rPr>
        <w:t xml:space="preserve">La </w:t>
      </w:r>
      <w:r w:rsidRPr="00846D40">
        <w:rPr>
          <w:i/>
          <w:color w:val="000000" w:themeColor="text1"/>
          <w:sz w:val="24"/>
          <w:szCs w:val="24"/>
        </w:rPr>
        <w:t>“lex artis”</w:t>
      </w:r>
      <w:r>
        <w:rPr>
          <w:color w:val="000000" w:themeColor="text1"/>
          <w:sz w:val="24"/>
          <w:szCs w:val="24"/>
        </w:rPr>
        <w:t xml:space="preserve"> se convierte, de este modo, en delimitadora de la responsabilidad patrimonial de la Administración san</w:t>
      </w:r>
      <w:r w:rsidR="00574E3A">
        <w:rPr>
          <w:color w:val="000000" w:themeColor="text1"/>
          <w:sz w:val="24"/>
          <w:szCs w:val="24"/>
        </w:rPr>
        <w:t>itaria. Por ello, es necesario citar</w:t>
      </w:r>
      <w:r>
        <w:rPr>
          <w:color w:val="000000" w:themeColor="text1"/>
          <w:sz w:val="24"/>
          <w:szCs w:val="24"/>
        </w:rPr>
        <w:t>, la STS de 2 de abril de 2007</w:t>
      </w:r>
      <w:r w:rsidR="00574E3A">
        <w:rPr>
          <w:rStyle w:val="Refdenotaalpie"/>
          <w:color w:val="000000" w:themeColor="text1"/>
          <w:sz w:val="24"/>
          <w:szCs w:val="24"/>
        </w:rPr>
        <w:footnoteReference w:id="42"/>
      </w:r>
      <w:r>
        <w:rPr>
          <w:color w:val="000000" w:themeColor="text1"/>
          <w:sz w:val="24"/>
          <w:szCs w:val="24"/>
        </w:rPr>
        <w:t>, en donde su FJ 3º manifiesta lo siguiente:</w:t>
      </w:r>
    </w:p>
    <w:p w:rsidR="00177E91" w:rsidRDefault="001D2809" w:rsidP="00177E91">
      <w:pPr>
        <w:spacing w:line="360" w:lineRule="auto"/>
        <w:ind w:firstLine="709"/>
        <w:jc w:val="both"/>
        <w:rPr>
          <w:color w:val="000000" w:themeColor="text1"/>
          <w:sz w:val="24"/>
          <w:szCs w:val="24"/>
        </w:rPr>
      </w:pPr>
      <w:r w:rsidRPr="00E716E9">
        <w:rPr>
          <w:i/>
          <w:color w:val="000000" w:themeColor="text1"/>
          <w:sz w:val="24"/>
          <w:szCs w:val="24"/>
        </w:rPr>
        <w:t xml:space="preserve">“Es doctrina consolidada de nuestra Sala que es imprescindible que exista un daño antijurídico que no debe ser soportado para que pueda prosperar la acción de responsabilidad patrimonial; en efecto, según señalamos en nuestra sentencia de 21 de noviembre de 2006 -recurso de casación 6380/2006-, </w:t>
      </w:r>
      <w:r w:rsidR="00390A79" w:rsidRPr="00E716E9">
        <w:rPr>
          <w:i/>
          <w:color w:val="000000" w:themeColor="text1"/>
          <w:sz w:val="24"/>
          <w:szCs w:val="24"/>
        </w:rPr>
        <w:t xml:space="preserve">tratándose de la responsabilidad patrimonial derivada de la prestación sanitaria no resulta suficiente la existencia de una </w:t>
      </w:r>
      <w:r w:rsidR="00390A79" w:rsidRPr="00E716E9">
        <w:rPr>
          <w:i/>
          <w:color w:val="000000" w:themeColor="text1"/>
          <w:sz w:val="24"/>
          <w:szCs w:val="24"/>
        </w:rPr>
        <w:lastRenderedPageBreak/>
        <w:t>lesión</w:t>
      </w:r>
      <w:r w:rsidR="00382DC6" w:rsidRPr="00E716E9">
        <w:rPr>
          <w:i/>
          <w:color w:val="000000" w:themeColor="text1"/>
          <w:sz w:val="24"/>
          <w:szCs w:val="24"/>
        </w:rPr>
        <w:t xml:space="preserve"> (que llevaría la responsabilidad objetiva más allá de los límites de lo razonable), sino que es preciso acudir al criterio de la lex artis como modo de determinar cuál es la actuación médica correcta, independientemente del resultado producido en la salud o en la vida del enfermo, ya que no le es posible ni a la ciencia ni a la Administración garantizarlo en todo caso. Así se indica en la sentencia de 14 de octubre de 2002, que &lt;en el instituto de la responsabilidad patrimonial de la Administración el elemento de la culpabilidad del agente desaparece frente al elemento meramente objetivo del nexo causal entre la actuación del servicio público y el resultado lesivo o daño producido, si bien cuando del servicio médico se trata, el empleo de una técnica correcta es un dato de gran relevancia </w:t>
      </w:r>
      <w:r w:rsidR="00E716E9" w:rsidRPr="00E716E9">
        <w:rPr>
          <w:i/>
          <w:color w:val="000000" w:themeColor="text1"/>
          <w:sz w:val="24"/>
          <w:szCs w:val="24"/>
        </w:rPr>
        <w:t>para decidir, de modo que, aun aceptando que las secuelas padecidas tuvieran su causa en la intervención quirúrgica, si esta se realizó correctamente y de acuerdo con el estado del saber, siendo también correctamente resuelta la incidencia postoperatoria, se está ante una lesión que no constituye un daño antijurídico conforme a la propia definición legal de este</w:t>
      </w:r>
      <w:r w:rsidR="0006052B">
        <w:rPr>
          <w:i/>
          <w:color w:val="000000" w:themeColor="text1"/>
          <w:sz w:val="24"/>
          <w:szCs w:val="24"/>
        </w:rPr>
        <w:t>, h</w:t>
      </w:r>
      <w:r w:rsidR="00EF1320">
        <w:rPr>
          <w:i/>
          <w:color w:val="000000" w:themeColor="text1"/>
          <w:sz w:val="24"/>
          <w:szCs w:val="24"/>
        </w:rPr>
        <w:t>oy recogida en el citado art. 10.1 de la Ley 40/2015, de 1 de octubre</w:t>
      </w:r>
      <w:r w:rsidR="0006052B">
        <w:rPr>
          <w:i/>
          <w:color w:val="000000" w:themeColor="text1"/>
          <w:sz w:val="24"/>
          <w:szCs w:val="24"/>
        </w:rPr>
        <w:t>, redactado por la Ley 4/1999, de 13 de enero, que no vino sino a consagrar legislativamente la doctrina jurisprudencial tradicional, cuyo alcance ha quedado aquilatado en este precepto</w:t>
      </w:r>
      <w:r w:rsidR="00E716E9" w:rsidRPr="00E716E9">
        <w:rPr>
          <w:i/>
          <w:color w:val="000000" w:themeColor="text1"/>
          <w:sz w:val="24"/>
          <w:szCs w:val="24"/>
        </w:rPr>
        <w:t>&gt;”</w:t>
      </w:r>
      <w:r w:rsidR="00E716E9">
        <w:rPr>
          <w:color w:val="000000" w:themeColor="text1"/>
          <w:sz w:val="24"/>
          <w:szCs w:val="24"/>
        </w:rPr>
        <w:t>.</w:t>
      </w:r>
    </w:p>
    <w:p w:rsidR="006000F3" w:rsidRDefault="006000F3" w:rsidP="00177E91">
      <w:pPr>
        <w:spacing w:line="360" w:lineRule="auto"/>
        <w:ind w:firstLine="709"/>
        <w:jc w:val="both"/>
        <w:rPr>
          <w:color w:val="000000" w:themeColor="text1"/>
          <w:sz w:val="24"/>
          <w:szCs w:val="24"/>
        </w:rPr>
      </w:pPr>
      <w:r>
        <w:rPr>
          <w:color w:val="000000" w:themeColor="text1"/>
          <w:sz w:val="24"/>
          <w:szCs w:val="24"/>
        </w:rPr>
        <w:t>Lo realmente cierto es que la jurisprudencia siempre ha reclamado una irregularidad en la actuación de la Administración sanitaria para considerar que existe la responsabilidad y, además, utiliza el criterio de la lex artis como criterio de normalidad entre los profesionales sanitarios y los centros sanitarios, lo que da lugar a evaluar la corrección de los actos médicos.</w:t>
      </w:r>
    </w:p>
    <w:p w:rsidR="006000F3" w:rsidRDefault="006000F3" w:rsidP="00177E91">
      <w:pPr>
        <w:spacing w:line="360" w:lineRule="auto"/>
        <w:ind w:firstLine="709"/>
        <w:jc w:val="both"/>
        <w:rPr>
          <w:color w:val="000000" w:themeColor="text1"/>
          <w:sz w:val="24"/>
          <w:szCs w:val="24"/>
        </w:rPr>
      </w:pPr>
      <w:r>
        <w:rPr>
          <w:color w:val="000000" w:themeColor="text1"/>
          <w:sz w:val="24"/>
          <w:szCs w:val="24"/>
        </w:rPr>
        <w:tab/>
        <w:t xml:space="preserve">4.2.2 LA LEX ARTIS COMO MEDIDA DE CORRECCIÓN DEL </w:t>
      </w:r>
      <w:r w:rsidR="00E30B76">
        <w:rPr>
          <w:color w:val="000000" w:themeColor="text1"/>
          <w:sz w:val="24"/>
          <w:szCs w:val="24"/>
        </w:rPr>
        <w:t>FUNCIONAMIENTO DEL SERVICIO PÚBLICO SANITARIO</w:t>
      </w:r>
    </w:p>
    <w:p w:rsidR="003F0FE7" w:rsidRDefault="008553DF" w:rsidP="003F0FE7">
      <w:pPr>
        <w:spacing w:line="360" w:lineRule="auto"/>
        <w:ind w:firstLine="709"/>
        <w:jc w:val="both"/>
        <w:rPr>
          <w:color w:val="000000" w:themeColor="text1"/>
          <w:sz w:val="24"/>
          <w:szCs w:val="24"/>
        </w:rPr>
      </w:pPr>
      <w:r>
        <w:rPr>
          <w:color w:val="000000" w:themeColor="text1"/>
          <w:sz w:val="24"/>
          <w:szCs w:val="24"/>
        </w:rPr>
        <w:t>Se entiende que todo resultado dañoso derivado de la prestación sanitaria que no respete lo dispuesto por la lex artis, se considera una prestación merecedora de reparación mediante la responsabilidad patrimonial.</w:t>
      </w:r>
      <w:r w:rsidR="00A969DB">
        <w:rPr>
          <w:color w:val="000000" w:themeColor="text1"/>
          <w:sz w:val="24"/>
          <w:szCs w:val="24"/>
        </w:rPr>
        <w:t xml:space="preserve"> En palabras de </w:t>
      </w:r>
      <w:r w:rsidR="00A969DB" w:rsidRPr="002A6714">
        <w:rPr>
          <w:color w:val="000000" w:themeColor="text1"/>
          <w:sz w:val="24"/>
          <w:szCs w:val="24"/>
        </w:rPr>
        <w:t xml:space="preserve">Gallardo Castillo (2009), </w:t>
      </w:r>
      <w:r w:rsidR="00A969DB" w:rsidRPr="002A6714">
        <w:rPr>
          <w:i/>
          <w:color w:val="000000" w:themeColor="text1"/>
          <w:sz w:val="24"/>
          <w:szCs w:val="24"/>
        </w:rPr>
        <w:t>“la lex artis se convierte así en el criterio de normalidad, que ha de infringirse en la realización del servicio sanitario para que haya lugar a la obligación de indemnizar”</w:t>
      </w:r>
      <w:r w:rsidR="00A969DB">
        <w:rPr>
          <w:color w:val="000000" w:themeColor="text1"/>
          <w:sz w:val="24"/>
          <w:szCs w:val="24"/>
        </w:rPr>
        <w:t>. La normalidad se convierte en un criterio dirigido a la evaluación de los actos m</w:t>
      </w:r>
      <w:r w:rsidR="003F0FE7">
        <w:rPr>
          <w:color w:val="000000" w:themeColor="text1"/>
          <w:sz w:val="24"/>
          <w:szCs w:val="24"/>
        </w:rPr>
        <w:t>édicos, obligando al profesional sanitario a actuar con arreglo a lo que manifiesta la misma (lex artis), lo que permite identificar los supuestos que realmente originan la responsabilidad patrimonial, reclamándose para ello dos circunstancias o elementos: primero, que exista la lesión resarcible y, segundo, que se haya actuado irregularmente con relación a la lex artis, es decir, que los servicios médicos no hayan seguido las indicaciones establecidas para cada tipo de supuesto.</w:t>
      </w:r>
    </w:p>
    <w:p w:rsidR="003F0FE7" w:rsidRDefault="009204A0" w:rsidP="003F0FE7">
      <w:pPr>
        <w:spacing w:line="360" w:lineRule="auto"/>
        <w:ind w:firstLine="709"/>
        <w:jc w:val="both"/>
        <w:rPr>
          <w:color w:val="000000" w:themeColor="text1"/>
          <w:sz w:val="24"/>
          <w:szCs w:val="24"/>
        </w:rPr>
      </w:pPr>
      <w:r>
        <w:rPr>
          <w:color w:val="000000" w:themeColor="text1"/>
          <w:sz w:val="24"/>
          <w:szCs w:val="24"/>
        </w:rPr>
        <w:lastRenderedPageBreak/>
        <w:t xml:space="preserve">La lex artis debe ser observada desde dos niveles: por una parte, encontramos los criterios generales de actuación o la denominada lex artis, que viene dada por el estado de la ciencia médica en cada momento y que se manifiesta en protocolos, conferencias, publicaciones científicas, etc; y por otra parte, aparece la </w:t>
      </w:r>
      <w:r w:rsidRPr="009204A0">
        <w:rPr>
          <w:i/>
          <w:color w:val="000000" w:themeColor="text1"/>
          <w:sz w:val="24"/>
          <w:szCs w:val="24"/>
        </w:rPr>
        <w:t>“lex artis ad hoc”</w:t>
      </w:r>
      <w:r>
        <w:rPr>
          <w:color w:val="000000" w:themeColor="text1"/>
          <w:sz w:val="24"/>
          <w:szCs w:val="24"/>
        </w:rPr>
        <w:t xml:space="preserve">, </w:t>
      </w:r>
      <w:r w:rsidR="002D3BD3">
        <w:rPr>
          <w:color w:val="000000" w:themeColor="text1"/>
          <w:sz w:val="24"/>
          <w:szCs w:val="24"/>
        </w:rPr>
        <w:t>que significa que se debe de tener en cuenta el caso concreto donde se haya realizado la actuación médica y, también, las circunstancias que aparecen en el transcurso de la misma, asimismo, las incidencias inseparables a una actuación normal del profesional sanitario deben tenerse en cuenta y, además, también han de tener</w:t>
      </w:r>
      <w:r w:rsidR="004B7639">
        <w:rPr>
          <w:color w:val="000000" w:themeColor="text1"/>
          <w:sz w:val="24"/>
          <w:szCs w:val="24"/>
        </w:rPr>
        <w:t>se</w:t>
      </w:r>
      <w:r w:rsidR="002D3BD3">
        <w:rPr>
          <w:color w:val="000000" w:themeColor="text1"/>
          <w:sz w:val="24"/>
          <w:szCs w:val="24"/>
        </w:rPr>
        <w:t xml:space="preserve"> en cuenta las circunstancias específicas y dependientes de cada caso concreto.</w:t>
      </w:r>
    </w:p>
    <w:p w:rsidR="002D3BD3" w:rsidRDefault="004B7639" w:rsidP="003F0FE7">
      <w:pPr>
        <w:spacing w:line="360" w:lineRule="auto"/>
        <w:ind w:firstLine="709"/>
        <w:jc w:val="both"/>
        <w:rPr>
          <w:color w:val="000000" w:themeColor="text1"/>
          <w:sz w:val="24"/>
          <w:szCs w:val="24"/>
        </w:rPr>
      </w:pPr>
      <w:r>
        <w:rPr>
          <w:color w:val="000000" w:themeColor="text1"/>
          <w:sz w:val="24"/>
          <w:szCs w:val="24"/>
        </w:rPr>
        <w:t>4.3 RELACIÓN DE CAUSALIDAD</w:t>
      </w:r>
    </w:p>
    <w:p w:rsidR="004B7639" w:rsidRDefault="004B7639" w:rsidP="003F0FE7">
      <w:pPr>
        <w:spacing w:line="360" w:lineRule="auto"/>
        <w:ind w:firstLine="709"/>
        <w:jc w:val="both"/>
        <w:rPr>
          <w:color w:val="000000" w:themeColor="text1"/>
          <w:sz w:val="24"/>
          <w:szCs w:val="24"/>
        </w:rPr>
      </w:pPr>
      <w:r>
        <w:rPr>
          <w:color w:val="000000" w:themeColor="text1"/>
          <w:sz w:val="24"/>
          <w:szCs w:val="24"/>
        </w:rPr>
        <w:tab/>
        <w:t>4.3.1 UN ELEMENTO DECISIVO DE LA RESPONSABILIDAD OBJETIVA</w:t>
      </w:r>
    </w:p>
    <w:p w:rsidR="004B7639" w:rsidRDefault="00E76D0C" w:rsidP="003F0FE7">
      <w:pPr>
        <w:spacing w:line="360" w:lineRule="auto"/>
        <w:ind w:firstLine="709"/>
        <w:jc w:val="both"/>
        <w:rPr>
          <w:color w:val="000000" w:themeColor="text1"/>
          <w:sz w:val="24"/>
          <w:szCs w:val="24"/>
        </w:rPr>
      </w:pPr>
      <w:r>
        <w:rPr>
          <w:color w:val="000000" w:themeColor="text1"/>
          <w:sz w:val="24"/>
          <w:szCs w:val="24"/>
        </w:rPr>
        <w:t>Entre el hecho que se le imputa a la Administración y el daño</w:t>
      </w:r>
      <w:r w:rsidR="00701076">
        <w:rPr>
          <w:color w:val="000000" w:themeColor="text1"/>
          <w:sz w:val="24"/>
          <w:szCs w:val="24"/>
        </w:rPr>
        <w:t xml:space="preserve"> producido debe de existir</w:t>
      </w:r>
      <w:r>
        <w:rPr>
          <w:color w:val="000000" w:themeColor="text1"/>
          <w:sz w:val="24"/>
          <w:szCs w:val="24"/>
        </w:rPr>
        <w:t xml:space="preserve">, de manera obligatoria, una relación de causalidad, es decir, debe haber una conexión directa, inmediata y exclusiva de causa o efecto entre ambas circunstancias, siendo preciso que no haya intervenido un tercero o </w:t>
      </w:r>
      <w:r w:rsidR="00701076">
        <w:rPr>
          <w:color w:val="000000" w:themeColor="text1"/>
          <w:sz w:val="24"/>
          <w:szCs w:val="24"/>
        </w:rPr>
        <w:t>culpa de la víctima con la intensidad necesaria para que no exista dicho nexo causal</w:t>
      </w:r>
      <w:r>
        <w:rPr>
          <w:color w:val="000000" w:themeColor="text1"/>
          <w:sz w:val="24"/>
          <w:szCs w:val="24"/>
        </w:rPr>
        <w:t>.</w:t>
      </w:r>
    </w:p>
    <w:p w:rsidR="00701076" w:rsidRDefault="00A06035" w:rsidP="003F0FE7">
      <w:pPr>
        <w:spacing w:line="360" w:lineRule="auto"/>
        <w:ind w:firstLine="709"/>
        <w:jc w:val="both"/>
        <w:rPr>
          <w:color w:val="000000" w:themeColor="text1"/>
          <w:sz w:val="24"/>
          <w:szCs w:val="24"/>
        </w:rPr>
      </w:pPr>
      <w:r>
        <w:rPr>
          <w:color w:val="000000" w:themeColor="text1"/>
          <w:sz w:val="24"/>
          <w:szCs w:val="24"/>
        </w:rPr>
        <w:t>Cabe destacar que tanto la doctrina científica</w:t>
      </w:r>
      <w:r w:rsidR="001943D5">
        <w:rPr>
          <w:rStyle w:val="Refdenotaalpie"/>
          <w:color w:val="000000" w:themeColor="text1"/>
          <w:sz w:val="24"/>
          <w:szCs w:val="24"/>
        </w:rPr>
        <w:footnoteReference w:id="43"/>
      </w:r>
      <w:r>
        <w:rPr>
          <w:color w:val="000000" w:themeColor="text1"/>
          <w:sz w:val="24"/>
          <w:szCs w:val="24"/>
        </w:rPr>
        <w:t xml:space="preserve"> como la jurisprudencia</w:t>
      </w:r>
      <w:r w:rsidR="001943D5">
        <w:rPr>
          <w:rStyle w:val="Refdenotaalpie"/>
          <w:color w:val="000000" w:themeColor="text1"/>
          <w:sz w:val="24"/>
          <w:szCs w:val="24"/>
        </w:rPr>
        <w:footnoteReference w:id="44"/>
      </w:r>
      <w:r>
        <w:rPr>
          <w:color w:val="000000" w:themeColor="text1"/>
          <w:sz w:val="24"/>
          <w:szCs w:val="24"/>
        </w:rPr>
        <w:t xml:space="preserve"> coinciden al evaluar la relación de causalidad como el elemento primordial a la hora de declarar la responsabilidad por el funcionamiento de los servicios públicos. Y es que en un sistema de responsabilidad como </w:t>
      </w:r>
      <w:r w:rsidR="00D06FED">
        <w:rPr>
          <w:color w:val="000000" w:themeColor="text1"/>
          <w:sz w:val="24"/>
          <w:szCs w:val="24"/>
        </w:rPr>
        <w:t xml:space="preserve">en </w:t>
      </w:r>
      <w:r>
        <w:rPr>
          <w:color w:val="000000" w:themeColor="text1"/>
          <w:sz w:val="24"/>
          <w:szCs w:val="24"/>
        </w:rPr>
        <w:t xml:space="preserve">el nuestro en el que se predica ante todo la objetividad, en el cual </w:t>
      </w:r>
      <w:r w:rsidR="00D06FED">
        <w:rPr>
          <w:color w:val="000000" w:themeColor="text1"/>
          <w:sz w:val="24"/>
          <w:szCs w:val="24"/>
        </w:rPr>
        <w:t xml:space="preserve">no se reclama culpa o negligencia en la acción dañosa, la relación de causalidad pasa a ocupar un papel importantísimo en el funcionamiento del sistema. Lo primordial es que pueda relacionarse causalmente el daño ocasionado al particular con la prestación de una actividad administrativa. Faltando este requisito, no podría exigirse la responsabilidad por parte de la Administración puesto que faltaría uno de los requisitos imprescindibles para exigir tal responsabilidad, ya que aun demostrando que ha existido una negligencia en la actividad médica, si no se puede demostrar que esa conducta ha sido la culpable de la lesión </w:t>
      </w:r>
      <w:r w:rsidR="00D06FED">
        <w:rPr>
          <w:color w:val="000000" w:themeColor="text1"/>
          <w:sz w:val="24"/>
          <w:szCs w:val="24"/>
        </w:rPr>
        <w:lastRenderedPageBreak/>
        <w:t>ocasionada, la Administración no tendría el deber de indemnizar al paciente por todos los daños que haya sufrido.</w:t>
      </w:r>
    </w:p>
    <w:p w:rsidR="00D06FED" w:rsidRDefault="009C19E3" w:rsidP="003F0FE7">
      <w:pPr>
        <w:spacing w:line="360" w:lineRule="auto"/>
        <w:ind w:firstLine="709"/>
        <w:jc w:val="both"/>
        <w:rPr>
          <w:color w:val="000000" w:themeColor="text1"/>
          <w:sz w:val="24"/>
          <w:szCs w:val="24"/>
        </w:rPr>
      </w:pPr>
      <w:r>
        <w:rPr>
          <w:color w:val="000000" w:themeColor="text1"/>
          <w:sz w:val="24"/>
          <w:szCs w:val="24"/>
        </w:rPr>
        <w:t xml:space="preserve">Produciéndose esta situación, el individuo que solicita una indemnización por parte de la Administración en relación al funcionamiento de los servicios públicos sanitarios prestados, le sería suficiente con demostrar la existencia del nexo causal entre el daño que ha sufrido y el funcionamiento del servicio, dando lugar a que no tendría que demostrar la </w:t>
      </w:r>
      <w:r w:rsidR="00E670A7">
        <w:rPr>
          <w:color w:val="000000" w:themeColor="text1"/>
          <w:sz w:val="24"/>
          <w:szCs w:val="24"/>
        </w:rPr>
        <w:t xml:space="preserve">existencia de culpa en la actuación </w:t>
      </w:r>
      <w:r>
        <w:rPr>
          <w:color w:val="000000" w:themeColor="text1"/>
          <w:sz w:val="24"/>
          <w:szCs w:val="24"/>
        </w:rPr>
        <w:t xml:space="preserve">del médico, sino que solo le bastaría con </w:t>
      </w:r>
      <w:r w:rsidR="00E670A7">
        <w:rPr>
          <w:color w:val="000000" w:themeColor="text1"/>
          <w:sz w:val="24"/>
          <w:szCs w:val="24"/>
        </w:rPr>
        <w:t>probar su</w:t>
      </w:r>
      <w:r>
        <w:rPr>
          <w:color w:val="000000" w:themeColor="text1"/>
          <w:sz w:val="24"/>
          <w:szCs w:val="24"/>
        </w:rPr>
        <w:t xml:space="preserve"> integración en el servicio, lo que supondría aumentar sus posibilidades de obtener una indemnización. </w:t>
      </w:r>
      <w:r w:rsidR="00C958F0">
        <w:rPr>
          <w:color w:val="000000" w:themeColor="text1"/>
          <w:sz w:val="24"/>
          <w:szCs w:val="24"/>
        </w:rPr>
        <w:t xml:space="preserve">Y, al haber desplazado la relación de causalidad al elemento culpabilístico en el régimen de la responsabilidad objetiva de la Administración sanitaria, según </w:t>
      </w:r>
      <w:r w:rsidR="00C958F0" w:rsidRPr="004F6679">
        <w:rPr>
          <w:color w:val="000000" w:themeColor="text1"/>
          <w:sz w:val="24"/>
          <w:szCs w:val="24"/>
        </w:rPr>
        <w:t xml:space="preserve">Peces Morate (2002), </w:t>
      </w:r>
      <w:r w:rsidR="00C958F0" w:rsidRPr="004F6679">
        <w:rPr>
          <w:i/>
          <w:color w:val="000000" w:themeColor="text1"/>
          <w:sz w:val="24"/>
          <w:szCs w:val="24"/>
        </w:rPr>
        <w:t xml:space="preserve">“el juzgador no tendría que inquirir si hubo negligencia del personal del servicio público sanitario, sino que le bastaría </w:t>
      </w:r>
      <w:r w:rsidR="001943D5" w:rsidRPr="004F6679">
        <w:rPr>
          <w:i/>
          <w:color w:val="000000" w:themeColor="text1"/>
          <w:sz w:val="24"/>
          <w:szCs w:val="24"/>
        </w:rPr>
        <w:t xml:space="preserve">con </w:t>
      </w:r>
      <w:r w:rsidR="00C958F0" w:rsidRPr="004F6679">
        <w:rPr>
          <w:i/>
          <w:color w:val="000000" w:themeColor="text1"/>
          <w:sz w:val="24"/>
          <w:szCs w:val="24"/>
        </w:rPr>
        <w:t>llegar a la convicción de que hay relación de causalidad entre la actuación sanitaria y el resultado, por más que para esa conclusión tenga relevancia si incurrió o no en algún error y si la práctica se ajustó a la lex artis”</w:t>
      </w:r>
      <w:r w:rsidR="00C958F0">
        <w:rPr>
          <w:color w:val="000000" w:themeColor="text1"/>
          <w:sz w:val="24"/>
          <w:szCs w:val="24"/>
        </w:rPr>
        <w:t>.</w:t>
      </w:r>
    </w:p>
    <w:p w:rsidR="00C958F0" w:rsidRDefault="00C958F0" w:rsidP="003F0FE7">
      <w:pPr>
        <w:spacing w:line="360" w:lineRule="auto"/>
        <w:ind w:firstLine="709"/>
        <w:jc w:val="both"/>
        <w:rPr>
          <w:color w:val="000000" w:themeColor="text1"/>
          <w:sz w:val="24"/>
          <w:szCs w:val="24"/>
        </w:rPr>
      </w:pPr>
      <w:r>
        <w:rPr>
          <w:color w:val="000000" w:themeColor="text1"/>
          <w:sz w:val="24"/>
          <w:szCs w:val="24"/>
        </w:rPr>
        <w:tab/>
        <w:t>4.3.2 LA CONCURRENCIA DE CAUSAS</w:t>
      </w:r>
    </w:p>
    <w:p w:rsidR="0023191F" w:rsidRDefault="00FA0DC4" w:rsidP="003F0FE7">
      <w:pPr>
        <w:spacing w:line="360" w:lineRule="auto"/>
        <w:ind w:firstLine="709"/>
        <w:jc w:val="both"/>
        <w:rPr>
          <w:color w:val="000000" w:themeColor="text1"/>
          <w:sz w:val="24"/>
          <w:szCs w:val="24"/>
        </w:rPr>
      </w:pPr>
      <w:r>
        <w:rPr>
          <w:color w:val="000000" w:themeColor="text1"/>
          <w:sz w:val="24"/>
          <w:szCs w:val="24"/>
        </w:rPr>
        <w:t xml:space="preserve">En el escenario de la relación de causalidad, la responsabilidad de la Administración cuenta con un freno en el momento de tener que indemnizar que puede venir delimitado por la concurrencia de causas, ya que en circunstancias normales todo hecho que se verifica y del cual se intenta esclarecer la causa que lo motivó, no suele estar predeterminado por un solo </w:t>
      </w:r>
      <w:r w:rsidR="00F714B9">
        <w:rPr>
          <w:color w:val="000000" w:themeColor="text1"/>
          <w:sz w:val="24"/>
          <w:szCs w:val="24"/>
        </w:rPr>
        <w:t>antecedente,</w:t>
      </w:r>
      <w:r>
        <w:rPr>
          <w:color w:val="000000" w:themeColor="text1"/>
          <w:sz w:val="24"/>
          <w:szCs w:val="24"/>
        </w:rPr>
        <w:t xml:space="preserve"> sino que viene precedido por varios. Esto es lo que ocurre en la responsabilidad médico-sanitaria, en donde a menudo la lesión no es el producto de una única causa, o no siempre es posible imputársela en solitario a la Administración.</w:t>
      </w:r>
    </w:p>
    <w:p w:rsidR="00FA0DC4" w:rsidRDefault="00DB0A92" w:rsidP="003F0FE7">
      <w:pPr>
        <w:spacing w:line="360" w:lineRule="auto"/>
        <w:ind w:firstLine="709"/>
        <w:jc w:val="both"/>
        <w:rPr>
          <w:color w:val="000000" w:themeColor="text1"/>
          <w:sz w:val="24"/>
          <w:szCs w:val="24"/>
        </w:rPr>
      </w:pPr>
      <w:r>
        <w:rPr>
          <w:color w:val="000000" w:themeColor="text1"/>
          <w:sz w:val="24"/>
          <w:szCs w:val="24"/>
        </w:rPr>
        <w:t>En las situaciones en las que el daño que se ocasiona es el resultado de una concurrencia de diversas conductas, aparece la incógnita de si en cualquier caso el nexo causal ha de ser exclusivo, sin interve</w:t>
      </w:r>
      <w:r w:rsidR="00096093">
        <w:rPr>
          <w:color w:val="000000" w:themeColor="text1"/>
          <w:sz w:val="24"/>
          <w:szCs w:val="24"/>
        </w:rPr>
        <w:t>nir circunstancias extrañas, ni</w:t>
      </w:r>
      <w:r>
        <w:rPr>
          <w:color w:val="000000" w:themeColor="text1"/>
          <w:sz w:val="24"/>
          <w:szCs w:val="24"/>
        </w:rPr>
        <w:t xml:space="preserve"> confluencia de hechos ajenos que puedan dar lugar a la ruptura, </w:t>
      </w:r>
      <w:r w:rsidR="00096093">
        <w:rPr>
          <w:color w:val="000000" w:themeColor="text1"/>
          <w:sz w:val="24"/>
          <w:szCs w:val="24"/>
        </w:rPr>
        <w:t xml:space="preserve">o </w:t>
      </w:r>
      <w:proofErr w:type="gramStart"/>
      <w:r w:rsidR="00096093">
        <w:rPr>
          <w:color w:val="000000" w:themeColor="text1"/>
          <w:sz w:val="24"/>
          <w:szCs w:val="24"/>
        </w:rPr>
        <w:t>si</w:t>
      </w:r>
      <w:proofErr w:type="gramEnd"/>
      <w:r w:rsidR="00096093">
        <w:rPr>
          <w:color w:val="000000" w:themeColor="text1"/>
          <w:sz w:val="24"/>
          <w:szCs w:val="24"/>
        </w:rPr>
        <w:t xml:space="preserve"> por el contrario, aunque exista intervención del perjudicado o de un tercero en el nexo causal, debe ser también la Administración la que deba responder frente al individuo perjudicado. </w:t>
      </w:r>
      <w:r w:rsidR="004027F4">
        <w:rPr>
          <w:color w:val="000000" w:themeColor="text1"/>
          <w:sz w:val="24"/>
          <w:szCs w:val="24"/>
        </w:rPr>
        <w:t>Con esto último, se hace referencia a aquellos supuestos en los que la participación de un tercero o de la propia víctima no quebranta el nexo causal, pero sí que suaviza la responsabilidad.</w:t>
      </w:r>
    </w:p>
    <w:p w:rsidR="004027F4" w:rsidRDefault="00B83963" w:rsidP="003F0FE7">
      <w:pPr>
        <w:spacing w:line="360" w:lineRule="auto"/>
        <w:ind w:firstLine="709"/>
        <w:jc w:val="both"/>
        <w:rPr>
          <w:color w:val="000000" w:themeColor="text1"/>
          <w:sz w:val="24"/>
          <w:szCs w:val="24"/>
        </w:rPr>
      </w:pPr>
      <w:r>
        <w:rPr>
          <w:color w:val="000000" w:themeColor="text1"/>
          <w:sz w:val="24"/>
          <w:szCs w:val="24"/>
        </w:rPr>
        <w:t xml:space="preserve">La jurisprudencia ha ido exigiendo la obligatoria necesidad de que exista una relación de causalidad directa, inmediata y exclusiva entre el funcionamiento del servicio público y el daño que se ha ocasionado, por lo </w:t>
      </w:r>
      <w:r w:rsidR="00023641">
        <w:rPr>
          <w:color w:val="000000" w:themeColor="text1"/>
          <w:sz w:val="24"/>
          <w:szCs w:val="24"/>
        </w:rPr>
        <w:t>que,</w:t>
      </w:r>
      <w:r>
        <w:rPr>
          <w:color w:val="000000" w:themeColor="text1"/>
          <w:sz w:val="24"/>
          <w:szCs w:val="24"/>
        </w:rPr>
        <w:t xml:space="preserve"> si existía la participación de un tercero o de la propia víctima, la Administración quedaría absuelta de tener que indemnizar. Por fortuna, no </w:t>
      </w:r>
      <w:r>
        <w:rPr>
          <w:color w:val="000000" w:themeColor="text1"/>
          <w:sz w:val="24"/>
          <w:szCs w:val="24"/>
        </w:rPr>
        <w:lastRenderedPageBreak/>
        <w:t>obstante, se ha ido abriendo camino el criterio de reconocer a la Administraci</w:t>
      </w:r>
      <w:r w:rsidR="00023641">
        <w:rPr>
          <w:color w:val="000000" w:themeColor="text1"/>
          <w:sz w:val="24"/>
          <w:szCs w:val="24"/>
        </w:rPr>
        <w:t xml:space="preserve">ón la </w:t>
      </w:r>
      <w:r>
        <w:rPr>
          <w:color w:val="000000" w:themeColor="text1"/>
          <w:sz w:val="24"/>
          <w:szCs w:val="24"/>
        </w:rPr>
        <w:t>responsabilidad</w:t>
      </w:r>
      <w:r w:rsidR="00023641">
        <w:rPr>
          <w:color w:val="000000" w:themeColor="text1"/>
          <w:sz w:val="24"/>
          <w:szCs w:val="24"/>
        </w:rPr>
        <w:t>,</w:t>
      </w:r>
      <w:r>
        <w:rPr>
          <w:color w:val="000000" w:themeColor="text1"/>
          <w:sz w:val="24"/>
          <w:szCs w:val="24"/>
        </w:rPr>
        <w:t xml:space="preserve"> aunque su actuación u omisión, no haya sido la única causa que ha producido el daño</w:t>
      </w:r>
      <w:r w:rsidR="00023641">
        <w:rPr>
          <w:color w:val="000000" w:themeColor="text1"/>
          <w:sz w:val="24"/>
          <w:szCs w:val="24"/>
        </w:rPr>
        <w:t>, sobre todo cuando la concausa es la acción de un tercero.</w:t>
      </w:r>
    </w:p>
    <w:p w:rsidR="00023641" w:rsidRDefault="00023641" w:rsidP="003F0FE7">
      <w:pPr>
        <w:spacing w:line="360" w:lineRule="auto"/>
        <w:ind w:firstLine="709"/>
        <w:jc w:val="both"/>
        <w:rPr>
          <w:color w:val="000000" w:themeColor="text1"/>
          <w:sz w:val="24"/>
          <w:szCs w:val="24"/>
        </w:rPr>
      </w:pPr>
      <w:r>
        <w:rPr>
          <w:color w:val="000000" w:themeColor="text1"/>
          <w:sz w:val="24"/>
          <w:szCs w:val="24"/>
        </w:rPr>
        <w:t xml:space="preserve">Dicho esto, </w:t>
      </w:r>
      <w:r w:rsidRPr="004F6679">
        <w:rPr>
          <w:color w:val="000000" w:themeColor="text1"/>
          <w:sz w:val="24"/>
          <w:szCs w:val="24"/>
        </w:rPr>
        <w:t xml:space="preserve">García de Enterría y Fernández (1993), señalan que, </w:t>
      </w:r>
      <w:r w:rsidRPr="004F6679">
        <w:rPr>
          <w:i/>
          <w:color w:val="000000" w:themeColor="text1"/>
          <w:sz w:val="24"/>
          <w:szCs w:val="24"/>
        </w:rPr>
        <w:t>“si bien la jurisprudencia contencioso-administrativa en una primera época entendió que la relación entre el funcionamiento del servicio</w:t>
      </w:r>
      <w:r w:rsidR="007F6D1F" w:rsidRPr="004F6679">
        <w:rPr>
          <w:i/>
          <w:color w:val="000000" w:themeColor="text1"/>
          <w:sz w:val="24"/>
          <w:szCs w:val="24"/>
        </w:rPr>
        <w:t xml:space="preserve"> público</w:t>
      </w:r>
      <w:r w:rsidRPr="004F6679">
        <w:rPr>
          <w:i/>
          <w:color w:val="000000" w:themeColor="text1"/>
          <w:sz w:val="24"/>
          <w:szCs w:val="24"/>
        </w:rPr>
        <w:t xml:space="preserve"> y el daño producido debía ser directa y exclusiva</w:t>
      </w:r>
      <w:r w:rsidR="007F6D1F" w:rsidRPr="004F6679">
        <w:rPr>
          <w:i/>
          <w:color w:val="000000" w:themeColor="text1"/>
          <w:sz w:val="24"/>
          <w:szCs w:val="24"/>
        </w:rPr>
        <w:t xml:space="preserve"> (causalidad administrativa exclusiva), de modo que entendía interrumpido el nexo causal desde el momento que apreciaba concurrencia en el proceso causal de culpa de la víctima o de un tercero, rechazando la pretensión indemnizatoria, pronto evolucionaría hacia la postura más acertada de la jurisprudencia civil -concurso causal en la producción del daño-, en el sentido de aceptar la concurrencia de culpas, no como circunstancia exonerante por completo de responsabilidad, sino como criterio de moderación y distribución proporcional de la responsabilidad, atendiendo a las circunstancias concretas del caso”</w:t>
      </w:r>
      <w:r w:rsidR="007F6D1F">
        <w:rPr>
          <w:color w:val="000000" w:themeColor="text1"/>
          <w:sz w:val="24"/>
          <w:szCs w:val="24"/>
        </w:rPr>
        <w:t>.</w:t>
      </w:r>
    </w:p>
    <w:p w:rsidR="007F6D1F" w:rsidRDefault="007F6D1F" w:rsidP="003F0FE7">
      <w:pPr>
        <w:spacing w:line="360" w:lineRule="auto"/>
        <w:ind w:firstLine="709"/>
        <w:jc w:val="both"/>
        <w:rPr>
          <w:color w:val="000000" w:themeColor="text1"/>
          <w:sz w:val="24"/>
          <w:szCs w:val="24"/>
        </w:rPr>
      </w:pPr>
      <w:r>
        <w:rPr>
          <w:color w:val="000000" w:themeColor="text1"/>
          <w:sz w:val="24"/>
          <w:szCs w:val="24"/>
        </w:rPr>
        <w:t>Asimismo, en esta misma dirección</w:t>
      </w:r>
      <w:r w:rsidR="00C01BB0">
        <w:rPr>
          <w:color w:val="000000" w:themeColor="text1"/>
          <w:sz w:val="24"/>
          <w:szCs w:val="24"/>
        </w:rPr>
        <w:t>,</w:t>
      </w:r>
      <w:r>
        <w:rPr>
          <w:color w:val="000000" w:themeColor="text1"/>
          <w:sz w:val="24"/>
          <w:szCs w:val="24"/>
        </w:rPr>
        <w:t xml:space="preserve"> ha venido insistiendo el Consejo de Estado</w:t>
      </w:r>
      <w:r w:rsidR="00C01BB0">
        <w:rPr>
          <w:color w:val="000000" w:themeColor="text1"/>
          <w:sz w:val="24"/>
          <w:szCs w:val="24"/>
        </w:rPr>
        <w:t>, ya que en su dictamen de 1 de julio de 1971 manifestaba lo siguiente:</w:t>
      </w:r>
    </w:p>
    <w:p w:rsidR="00C01BB0" w:rsidRDefault="00C01BB0" w:rsidP="003F0FE7">
      <w:pPr>
        <w:spacing w:line="360" w:lineRule="auto"/>
        <w:ind w:firstLine="709"/>
        <w:jc w:val="both"/>
        <w:rPr>
          <w:color w:val="000000" w:themeColor="text1"/>
          <w:sz w:val="24"/>
          <w:szCs w:val="24"/>
        </w:rPr>
      </w:pPr>
      <w:r w:rsidRPr="00C01BB0">
        <w:rPr>
          <w:i/>
          <w:color w:val="000000" w:themeColor="text1"/>
          <w:sz w:val="24"/>
          <w:szCs w:val="24"/>
        </w:rPr>
        <w:t>“…la concurrencia de culpas ha sido ampliamente aceptada por la jurisprudencia civil como circunstancia determinante no de una exoneración total de la responsabilidad, pero sí de una prudente moderación de la misma en los supuestos de responsabilidad extracontractual y la misma doctrina es aplicable a los supuestos de responsabilidad de la Administración”</w:t>
      </w:r>
      <w:r>
        <w:rPr>
          <w:color w:val="000000" w:themeColor="text1"/>
          <w:sz w:val="24"/>
          <w:szCs w:val="24"/>
        </w:rPr>
        <w:t>.</w:t>
      </w:r>
    </w:p>
    <w:p w:rsidR="00C01BB0" w:rsidRDefault="00CA42C3" w:rsidP="003F0FE7">
      <w:pPr>
        <w:spacing w:line="360" w:lineRule="auto"/>
        <w:ind w:firstLine="709"/>
        <w:jc w:val="both"/>
        <w:rPr>
          <w:color w:val="000000" w:themeColor="text1"/>
          <w:sz w:val="24"/>
          <w:szCs w:val="24"/>
        </w:rPr>
      </w:pPr>
      <w:r>
        <w:rPr>
          <w:color w:val="000000" w:themeColor="text1"/>
          <w:sz w:val="24"/>
          <w:szCs w:val="24"/>
        </w:rPr>
        <w:t>Aplicando dicha doctrina, los tribunales de lo contencioso-administrativo han podido observar y manifestar la referida concurrencia de culpas, sobre todo en los supuestos de funcionamiento anormal de los servicios públicos o inactividad de la Administraci</w:t>
      </w:r>
      <w:r w:rsidR="00F544F3">
        <w:rPr>
          <w:color w:val="000000" w:themeColor="text1"/>
          <w:sz w:val="24"/>
          <w:szCs w:val="24"/>
        </w:rPr>
        <w:t>ón:</w:t>
      </w:r>
      <w:r>
        <w:rPr>
          <w:color w:val="000000" w:themeColor="text1"/>
          <w:sz w:val="24"/>
          <w:szCs w:val="24"/>
        </w:rPr>
        <w:t xml:space="preserve"> </w:t>
      </w:r>
      <w:r w:rsidR="00F544F3">
        <w:rPr>
          <w:color w:val="000000" w:themeColor="text1"/>
          <w:sz w:val="24"/>
          <w:szCs w:val="24"/>
        </w:rPr>
        <w:t xml:space="preserve">no obstante, en la responsabilidad patrimonial de la Administración, no se puede hablar de </w:t>
      </w:r>
      <w:r w:rsidR="00F544F3" w:rsidRPr="00F544F3">
        <w:rPr>
          <w:i/>
          <w:color w:val="000000" w:themeColor="text1"/>
          <w:sz w:val="24"/>
          <w:szCs w:val="24"/>
        </w:rPr>
        <w:t>“compensación de culpas”</w:t>
      </w:r>
      <w:r w:rsidR="00F544F3">
        <w:rPr>
          <w:color w:val="000000" w:themeColor="text1"/>
          <w:sz w:val="24"/>
          <w:szCs w:val="24"/>
        </w:rPr>
        <w:t xml:space="preserve">, puesto que aquí no es necesario identificar la culpa, aunque dicha culpa exista. El resultado de la culpa compartida se traduce en una compensación, no de culpas, sino de sus consecuencias pecuniarias, por eso, la expresión </w:t>
      </w:r>
      <w:r w:rsidR="00F544F3" w:rsidRPr="00F544F3">
        <w:rPr>
          <w:i/>
          <w:color w:val="000000" w:themeColor="text1"/>
          <w:sz w:val="24"/>
          <w:szCs w:val="24"/>
        </w:rPr>
        <w:t>“compensación de consecuencias reparadoras”</w:t>
      </w:r>
      <w:r w:rsidR="00F544F3">
        <w:rPr>
          <w:color w:val="000000" w:themeColor="text1"/>
          <w:sz w:val="24"/>
          <w:szCs w:val="24"/>
        </w:rPr>
        <w:t xml:space="preserve"> es más técnica que la compensación de culpas.</w:t>
      </w:r>
    </w:p>
    <w:p w:rsidR="00F544F3" w:rsidRDefault="00FE3A54" w:rsidP="003F0FE7">
      <w:pPr>
        <w:spacing w:line="360" w:lineRule="auto"/>
        <w:ind w:firstLine="709"/>
        <w:jc w:val="both"/>
        <w:rPr>
          <w:color w:val="000000" w:themeColor="text1"/>
          <w:sz w:val="24"/>
          <w:szCs w:val="24"/>
        </w:rPr>
      </w:pPr>
      <w:r>
        <w:rPr>
          <w:color w:val="000000" w:themeColor="text1"/>
          <w:sz w:val="24"/>
          <w:szCs w:val="24"/>
        </w:rPr>
        <w:t xml:space="preserve">La jurisprudencia contencioso-administrativa, a la hora de definir la relación causal en relación a los efectos de estimar la existencia o no de responsabilidad patrimonial de las Administraciones Públicas, es suficientemente pragmática y casuística, favorable a la libre consideración del juzgador, sin tener el mismo que decantarse obligatoriamente por una teoría u otra. Nos encontraremos ante una decisión que tendrá que adoptar el tribunal </w:t>
      </w:r>
      <w:r w:rsidR="00DE2086">
        <w:rPr>
          <w:color w:val="000000" w:themeColor="text1"/>
          <w:sz w:val="24"/>
          <w:szCs w:val="24"/>
        </w:rPr>
        <w:t xml:space="preserve">a su libre </w:t>
      </w:r>
      <w:r w:rsidR="00DE2086">
        <w:rPr>
          <w:color w:val="000000" w:themeColor="text1"/>
          <w:sz w:val="24"/>
          <w:szCs w:val="24"/>
        </w:rPr>
        <w:lastRenderedPageBreak/>
        <w:t>arbitrio en consideración a las concretas circunstancias del caso a resolver. No obstante, la tendencia habitual es la de la tesis de la causalidad adecuada o imputación objetiva.</w:t>
      </w:r>
    </w:p>
    <w:p w:rsidR="00DE2086" w:rsidRDefault="00DD06FD" w:rsidP="003F0FE7">
      <w:pPr>
        <w:spacing w:line="360" w:lineRule="auto"/>
        <w:ind w:firstLine="709"/>
        <w:jc w:val="both"/>
        <w:rPr>
          <w:color w:val="000000" w:themeColor="text1"/>
          <w:sz w:val="24"/>
          <w:szCs w:val="24"/>
        </w:rPr>
      </w:pPr>
      <w:r>
        <w:rPr>
          <w:color w:val="000000" w:themeColor="text1"/>
          <w:sz w:val="24"/>
          <w:szCs w:val="24"/>
        </w:rPr>
        <w:t xml:space="preserve">Por lo tanto, en aquellos casos en los que exista concurrencia de varios agentes en la producción del daño, si ninguno ha actuado con la suficiente intensidad como para </w:t>
      </w:r>
      <w:r w:rsidR="009A528F">
        <w:rPr>
          <w:color w:val="000000" w:themeColor="text1"/>
          <w:sz w:val="24"/>
          <w:szCs w:val="24"/>
        </w:rPr>
        <w:t>absorber la culpa inmediata del resto</w:t>
      </w:r>
      <w:r>
        <w:rPr>
          <w:color w:val="000000" w:themeColor="text1"/>
          <w:sz w:val="24"/>
          <w:szCs w:val="24"/>
        </w:rPr>
        <w:t>,</w:t>
      </w:r>
      <w:r w:rsidR="009A528F">
        <w:rPr>
          <w:color w:val="000000" w:themeColor="text1"/>
          <w:sz w:val="24"/>
          <w:szCs w:val="24"/>
        </w:rPr>
        <w:t xml:space="preserve"> hablaremos de </w:t>
      </w:r>
      <w:r w:rsidR="009A528F" w:rsidRPr="009A528F">
        <w:rPr>
          <w:i/>
          <w:color w:val="000000" w:themeColor="text1"/>
          <w:sz w:val="24"/>
          <w:szCs w:val="24"/>
        </w:rPr>
        <w:t>“concurrencia o de concausas”</w:t>
      </w:r>
      <w:r w:rsidR="009A528F">
        <w:rPr>
          <w:color w:val="000000" w:themeColor="text1"/>
          <w:sz w:val="24"/>
          <w:szCs w:val="24"/>
        </w:rPr>
        <w:t>, en donde cada uno responder</w:t>
      </w:r>
      <w:r w:rsidR="00A8741E">
        <w:rPr>
          <w:color w:val="000000" w:themeColor="text1"/>
          <w:sz w:val="24"/>
          <w:szCs w:val="24"/>
        </w:rPr>
        <w:t xml:space="preserve">á </w:t>
      </w:r>
      <w:r w:rsidR="009A528F">
        <w:rPr>
          <w:color w:val="000000" w:themeColor="text1"/>
          <w:sz w:val="24"/>
          <w:szCs w:val="24"/>
        </w:rPr>
        <w:t xml:space="preserve">según su grado de participación en el curso causal. </w:t>
      </w:r>
      <w:r w:rsidR="00A8741E">
        <w:rPr>
          <w:color w:val="000000" w:themeColor="text1"/>
          <w:sz w:val="24"/>
          <w:szCs w:val="24"/>
        </w:rPr>
        <w:t xml:space="preserve">De la misma manera, para que la culpa exclusiva de la víctima tenga plena exoneración respecto de los demás agentes que participaron en el daño producido, se obliga a demostrar la íntegra atribuibilidad a la propia víctima de la producción del daño, dando lugar a que se pueda afirmar que la suya ha sido una culpa única, total, absorbente y exclusivamente originadora del daño ocasionado, acreditando al mismo tiempo que la Administración interviniente puso en práctica toda la diligencia que se requería por las circunstancias concurrentes en el hecho. </w:t>
      </w:r>
      <w:r w:rsidR="00C833C0">
        <w:rPr>
          <w:color w:val="000000" w:themeColor="text1"/>
          <w:sz w:val="24"/>
          <w:szCs w:val="24"/>
        </w:rPr>
        <w:t>De este modo, tanto la responsabilidad como la protección de la víctima se considera la regla general, siendo la irresponsabilidad la excepción, lo que da lugar a que cualquier caso dudoso o de falta o inexistencia de prueba favorezca únicamente a aquella.</w:t>
      </w:r>
    </w:p>
    <w:p w:rsidR="00C833C0" w:rsidRDefault="00636421" w:rsidP="003F0FE7">
      <w:pPr>
        <w:spacing w:line="360" w:lineRule="auto"/>
        <w:ind w:firstLine="709"/>
        <w:jc w:val="both"/>
        <w:rPr>
          <w:color w:val="000000" w:themeColor="text1"/>
          <w:sz w:val="24"/>
          <w:szCs w:val="24"/>
        </w:rPr>
      </w:pPr>
      <w:r>
        <w:rPr>
          <w:color w:val="000000" w:themeColor="text1"/>
          <w:sz w:val="24"/>
          <w:szCs w:val="24"/>
        </w:rPr>
        <w:t>En el ámbito sanitario el nexo causal desaparecería cuando el propio paciente es el que incumple las indicaciones establecidas por los propios médicos o si suspende de manera inadecuada el tratamiento que se le ha recomendado, asimismo, el nexo causal se ver</w:t>
      </w:r>
      <w:r w:rsidR="009E06FB">
        <w:rPr>
          <w:color w:val="000000" w:themeColor="text1"/>
          <w:sz w:val="24"/>
          <w:szCs w:val="24"/>
        </w:rPr>
        <w:t xml:space="preserve">ía también afectado </w:t>
      </w:r>
      <w:r>
        <w:rPr>
          <w:color w:val="000000" w:themeColor="text1"/>
          <w:sz w:val="24"/>
          <w:szCs w:val="24"/>
        </w:rPr>
        <w:t xml:space="preserve">si el paciente </w:t>
      </w:r>
      <w:r w:rsidR="009E06FB">
        <w:rPr>
          <w:color w:val="000000" w:themeColor="text1"/>
          <w:sz w:val="24"/>
          <w:szCs w:val="24"/>
        </w:rPr>
        <w:t>realiza actuaciones que favorezcan la aparición de un resultado lesivo</w:t>
      </w:r>
      <w:r>
        <w:rPr>
          <w:color w:val="000000" w:themeColor="text1"/>
          <w:sz w:val="24"/>
          <w:szCs w:val="24"/>
        </w:rPr>
        <w:t xml:space="preserve">. </w:t>
      </w:r>
      <w:r w:rsidR="009E06FB">
        <w:rPr>
          <w:color w:val="000000" w:themeColor="text1"/>
          <w:sz w:val="24"/>
          <w:szCs w:val="24"/>
        </w:rPr>
        <w:t>No obstante, los casos en que la responsabilidad patrimonial proviene de un intento de suicidio por parte de la víctima son más dudosos: en teoría, en estos supuestos la relación de causalidad se caracteriza por la omisión de una conducta, que de haberse tenido más en cuenta se podría haber evitado el resultado dañoso, siendo necesaria la exclusión de la responsabilidad por parte de la Administración en el caso de no advertir anomalía en la prestación del servicio, debido a la existencia de una vigilancia adecuada al caso concreto o a la inexistencia de omisión de los servicios públicos.</w:t>
      </w:r>
    </w:p>
    <w:p w:rsidR="00452F27" w:rsidRDefault="00F47A1F" w:rsidP="003F0FE7">
      <w:pPr>
        <w:spacing w:line="360" w:lineRule="auto"/>
        <w:ind w:firstLine="709"/>
        <w:jc w:val="both"/>
        <w:rPr>
          <w:color w:val="000000" w:themeColor="text1"/>
          <w:sz w:val="24"/>
          <w:szCs w:val="24"/>
        </w:rPr>
      </w:pPr>
      <w:r>
        <w:rPr>
          <w:color w:val="000000" w:themeColor="text1"/>
          <w:sz w:val="24"/>
          <w:szCs w:val="24"/>
        </w:rPr>
        <w:tab/>
        <w:t>4.3.3 CARGA DE LA PRUEBA DE LA RELACIÓN CAUSAL</w:t>
      </w:r>
    </w:p>
    <w:p w:rsidR="004A4EBF" w:rsidRDefault="00AC425B" w:rsidP="004A4EBF">
      <w:pPr>
        <w:spacing w:line="360" w:lineRule="auto"/>
        <w:ind w:firstLine="709"/>
        <w:jc w:val="both"/>
        <w:rPr>
          <w:color w:val="000000" w:themeColor="text1"/>
          <w:sz w:val="24"/>
          <w:szCs w:val="24"/>
        </w:rPr>
      </w:pPr>
      <w:r>
        <w:rPr>
          <w:color w:val="000000" w:themeColor="text1"/>
          <w:sz w:val="24"/>
          <w:szCs w:val="24"/>
        </w:rPr>
        <w:t xml:space="preserve">En </w:t>
      </w:r>
      <w:r w:rsidR="00B021E1">
        <w:rPr>
          <w:color w:val="000000" w:themeColor="text1"/>
          <w:sz w:val="24"/>
          <w:szCs w:val="24"/>
        </w:rPr>
        <w:t xml:space="preserve">lo refiero a la carga de la prueba de la relación causal, se aplican las reglas establecidas en los arts. 217.2 y 3 LEC, que reparten la carga entre el demandante y el demandado en relación a sus pretensiones, lo que da lugar a que el demandante tenga que demostrar la certeza de los hechos de los que se desprendan el efecto favorable de las normas que invoca y, el demandado, </w:t>
      </w:r>
      <w:r w:rsidR="00894E37">
        <w:rPr>
          <w:color w:val="000000" w:themeColor="text1"/>
          <w:sz w:val="24"/>
          <w:szCs w:val="24"/>
        </w:rPr>
        <w:t>tiene que demostrar aquellos hechos que impidan, extingan o enerven la eficacia jurídica de los hechos alegados por el demandante.</w:t>
      </w:r>
    </w:p>
    <w:p w:rsidR="004A4EBF" w:rsidRDefault="00894E37" w:rsidP="004A4EBF">
      <w:pPr>
        <w:spacing w:line="360" w:lineRule="auto"/>
        <w:ind w:firstLine="709"/>
        <w:jc w:val="both"/>
        <w:rPr>
          <w:color w:val="000000" w:themeColor="text1"/>
          <w:sz w:val="24"/>
          <w:szCs w:val="24"/>
        </w:rPr>
      </w:pPr>
      <w:r>
        <w:rPr>
          <w:color w:val="000000" w:themeColor="text1"/>
          <w:sz w:val="24"/>
          <w:szCs w:val="24"/>
        </w:rPr>
        <w:lastRenderedPageBreak/>
        <w:t xml:space="preserve">Haciendo caso a las reglas, la jurisprudencia confirma que la prueba del nexo causal corresponde a quien reclama, mientras que a la Administración le corresponde demostrar la existencia de fuerza mayor o circunstancias de dolo o negligencia por parte de la víctima, </w:t>
      </w:r>
      <w:r w:rsidR="00B438A6">
        <w:rPr>
          <w:color w:val="000000" w:themeColor="text1"/>
          <w:sz w:val="24"/>
          <w:szCs w:val="24"/>
        </w:rPr>
        <w:t xml:space="preserve">lo que puede traducirse en la eliminación del nexo causal si la Administración consigue demostrar dichos hechos. No obstante, es necesario tener en cuenta que si la Administración demandada no remite documentos relevantes que están en su poder para el esclarecimiento del nexo causal, </w:t>
      </w:r>
      <w:r w:rsidR="008F5F2B">
        <w:rPr>
          <w:color w:val="000000" w:themeColor="text1"/>
          <w:sz w:val="24"/>
          <w:szCs w:val="24"/>
        </w:rPr>
        <w:t xml:space="preserve">esta circunstancia no es motivo para perjudicar a la víctima, por lo tanto, no se debe desplazar la carga de la prueba de los hechos negativos a ésta, </w:t>
      </w:r>
      <w:r w:rsidR="004168E8">
        <w:rPr>
          <w:color w:val="000000" w:themeColor="text1"/>
          <w:sz w:val="24"/>
          <w:szCs w:val="24"/>
        </w:rPr>
        <w:t xml:space="preserve">ya que </w:t>
      </w:r>
      <w:r w:rsidR="008F5F2B">
        <w:rPr>
          <w:color w:val="000000" w:themeColor="text1"/>
          <w:sz w:val="24"/>
          <w:szCs w:val="24"/>
        </w:rPr>
        <w:t xml:space="preserve">ésta </w:t>
      </w:r>
      <w:r w:rsidR="004168E8">
        <w:rPr>
          <w:color w:val="000000" w:themeColor="text1"/>
          <w:sz w:val="24"/>
          <w:szCs w:val="24"/>
        </w:rPr>
        <w:t xml:space="preserve">no tiene por qué </w:t>
      </w:r>
      <w:r w:rsidR="008F5F2B">
        <w:rPr>
          <w:color w:val="000000" w:themeColor="text1"/>
          <w:sz w:val="24"/>
          <w:szCs w:val="24"/>
        </w:rPr>
        <w:t>disponer de dichos documentos puesto que están en poder de la Administración.</w:t>
      </w:r>
      <w:r w:rsidR="004A4EBF">
        <w:rPr>
          <w:color w:val="000000" w:themeColor="text1"/>
          <w:sz w:val="24"/>
          <w:szCs w:val="24"/>
        </w:rPr>
        <w:t xml:space="preserve"> </w:t>
      </w:r>
    </w:p>
    <w:p w:rsidR="004168E8" w:rsidRDefault="004168E8" w:rsidP="003F0FE7">
      <w:pPr>
        <w:spacing w:line="360" w:lineRule="auto"/>
        <w:ind w:firstLine="709"/>
        <w:jc w:val="both"/>
        <w:rPr>
          <w:color w:val="000000" w:themeColor="text1"/>
          <w:sz w:val="24"/>
          <w:szCs w:val="24"/>
        </w:rPr>
      </w:pPr>
      <w:r>
        <w:rPr>
          <w:color w:val="000000" w:themeColor="text1"/>
          <w:sz w:val="24"/>
          <w:szCs w:val="24"/>
        </w:rPr>
        <w:t>4.4 AUSENCIA DE FUERZA MAYOR</w:t>
      </w:r>
    </w:p>
    <w:p w:rsidR="0092647C" w:rsidRDefault="00F22B86" w:rsidP="0092647C">
      <w:pPr>
        <w:spacing w:line="360" w:lineRule="auto"/>
        <w:ind w:firstLine="709"/>
        <w:jc w:val="both"/>
        <w:rPr>
          <w:color w:val="000000" w:themeColor="text1"/>
          <w:sz w:val="24"/>
          <w:szCs w:val="24"/>
        </w:rPr>
      </w:pPr>
      <w:r>
        <w:rPr>
          <w:color w:val="000000" w:themeColor="text1"/>
          <w:sz w:val="24"/>
          <w:szCs w:val="24"/>
        </w:rPr>
        <w:tab/>
      </w:r>
      <w:r w:rsidR="0092647C">
        <w:rPr>
          <w:color w:val="000000" w:themeColor="text1"/>
          <w:sz w:val="24"/>
          <w:szCs w:val="24"/>
        </w:rPr>
        <w:t>4.4.1 ÚNICA CAUSA DE EXONERACIÓN ADMITIDA LEGALMENTE</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t>La existencia de fuerza mayor en los innumerables supuestos que existen de responsabilidad patrimonial supone la exclusión por parte de la Administración de tener que indemnizar, y no porque no exista el daño, sino porque se considera que falta un requisito que es la relación de causalidad. Por ello, se dice que la fuerza mayor es el único motivo de exoneración legalmente admitido, con el cual, la Administración deja de tener que indemnizar a la víctima.</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t>En efecto, los arts. 106</w:t>
      </w:r>
      <w:r w:rsidR="00B6712E">
        <w:rPr>
          <w:color w:val="000000" w:themeColor="text1"/>
          <w:sz w:val="24"/>
          <w:szCs w:val="24"/>
        </w:rPr>
        <w:t>.2 de la CE y 32.1 de la Ley 40/2015</w:t>
      </w:r>
      <w:r>
        <w:rPr>
          <w:color w:val="000000" w:themeColor="text1"/>
          <w:sz w:val="24"/>
          <w:szCs w:val="24"/>
        </w:rPr>
        <w:t>, en la propia delimitación de los requisitos de la responsabilidad y, en base a lo manifestado por el art. 40 de la Ley de Régimen Jurídico de la Administración del Estado, solo excluyen del funcionamiento normal los casos de fuerza, tal y como se ha preocupado en aclarar la jurisprudencia.</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t xml:space="preserve">En lo que se refiere a la carga de la prueba, la jurisprudencia manifiesta que el carácter objetivo de la responsabilidad impone que la prueba de la concurrencia de acontecimientos de fuerza mayor o circunstancias demostrativas de la existencia de dolo o negligencia de la víctima es válida para entender quebrantado el nexo de causalidad que corresponda a la Administración, puesto que la jurisprudencia indica que </w:t>
      </w:r>
      <w:r w:rsidRPr="005A0482">
        <w:rPr>
          <w:i/>
          <w:color w:val="000000" w:themeColor="text1"/>
          <w:sz w:val="24"/>
          <w:szCs w:val="24"/>
        </w:rPr>
        <w:t>“no sería objetiva aquella responsabilidad que exigiese demostrar que la Administración que causó el daño procedió con negligencia, ni aquella cuyo reconocimiento estuviera acondicionado a probar que quien padeció el perjuicio actuó con prudencia”</w:t>
      </w:r>
      <w:r>
        <w:rPr>
          <w:color w:val="000000" w:themeColor="text1"/>
          <w:sz w:val="24"/>
          <w:szCs w:val="24"/>
        </w:rPr>
        <w:t>.</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t xml:space="preserve">Con frecuencia, la Administración usa el término de </w:t>
      </w:r>
      <w:r w:rsidRPr="005A0482">
        <w:rPr>
          <w:i/>
          <w:color w:val="000000" w:themeColor="text1"/>
          <w:sz w:val="24"/>
          <w:szCs w:val="24"/>
        </w:rPr>
        <w:t>“fuerza mayor”</w:t>
      </w:r>
      <w:r>
        <w:rPr>
          <w:color w:val="000000" w:themeColor="text1"/>
          <w:sz w:val="24"/>
          <w:szCs w:val="24"/>
        </w:rPr>
        <w:t xml:space="preserve"> con el fin de evitar su responsabilidad y no tener así que indemnizar. No obstante, nuestro ordenamiento escasea de una definición clara del concepto </w:t>
      </w:r>
      <w:r w:rsidRPr="00724A46">
        <w:rPr>
          <w:i/>
          <w:color w:val="000000" w:themeColor="text1"/>
          <w:sz w:val="24"/>
          <w:szCs w:val="24"/>
        </w:rPr>
        <w:t>“fuerza mayor”</w:t>
      </w:r>
      <w:r>
        <w:rPr>
          <w:color w:val="000000" w:themeColor="text1"/>
          <w:sz w:val="24"/>
          <w:szCs w:val="24"/>
        </w:rPr>
        <w:t xml:space="preserve">, asimismo, también carece de una distinción clara en relación al término </w:t>
      </w:r>
      <w:r w:rsidRPr="00724A46">
        <w:rPr>
          <w:i/>
          <w:color w:val="000000" w:themeColor="text1"/>
          <w:sz w:val="24"/>
          <w:szCs w:val="24"/>
        </w:rPr>
        <w:t>“caso fortuito”</w:t>
      </w:r>
      <w:r>
        <w:rPr>
          <w:color w:val="000000" w:themeColor="text1"/>
          <w:sz w:val="24"/>
          <w:szCs w:val="24"/>
        </w:rPr>
        <w:t>.</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lastRenderedPageBreak/>
        <w:t xml:space="preserve">El art. 1105 del CC, ordena una regulación de ambos conceptos -fuerza mayor y caso fortuito-, limitándose a determinar qué procede exonerar de responsabilidad en los casos en que la lesión se derive de un suceso que no hubiera podido preverse, o que, previsto, no pudiera evitarse. Sin embargo, tanto la doctrina científica como la jurisprudencia coinciden cuando declaran que tanto la fuerza mayor como el caso fortuito son unidades jurídicas diferentes. Y, aunque en el ámbito civil a la jurisprudencia lo que más le ha importado ha sido el hecho de interpretar lo establecido en el art. 1105 CC de manera restrictiva y relacionándolo a aquellos supuestos totalmente insólitos y extraordinarios, no previsibles por una conducta prudente: no ocurre lo mismo en el ámbito administrativo, puesto que tanto la jurisprudencia como el Consejo de Estado y la doctrina se han centrado en delimitar con bastante claridad un concepto de otro. </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t>Por ello, en el caso fortuito, han considerado que hay indeterminación e interioridad: indeterminación porque la causa que provoca el daño es totalmente desconocida e interioridad puesto que es en la propia organización donde se produce el daño y por eso está de manera directa relacionado con el funcionamiento del servicio prestado. Por el contrario, en el caso de fuerza mayor, consideran que hay indeterminación irresistible y exterioridad: indeterminación absolutamente irresistible, es decir, aun en el supuesto de que hubiera podido ser prevista y exterioridad, que se traduce en el hecho de decir que la causa productora del daño tiene que ser ajena al servicio público y al riesgo que puede conllevar dicho servicio.</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t xml:space="preserve">De parecida forma piensa </w:t>
      </w:r>
      <w:r w:rsidRPr="002B71CB">
        <w:rPr>
          <w:color w:val="000000" w:themeColor="text1"/>
          <w:sz w:val="24"/>
          <w:szCs w:val="24"/>
        </w:rPr>
        <w:t xml:space="preserve">Desdentado Daroca (2000), ya que declara que </w:t>
      </w:r>
      <w:r w:rsidRPr="002B71CB">
        <w:rPr>
          <w:i/>
          <w:color w:val="000000" w:themeColor="text1"/>
          <w:sz w:val="24"/>
          <w:szCs w:val="24"/>
        </w:rPr>
        <w:t>“el caso fortuito se concibe como un suceso que se caracteriza por las notas de indeterminación e interioridad, es decir, por desconocerse la causa desencadenante del mismo y por tratarse de un evento que se produce dentro del ámbito de actuación propio de la Administración (por ejemplo, la avería de un servicio público de origen desconocido, imprevisible e inevitable). Por el contrario, la fuerza mayor es una causa extraña, exterior al ámbito típico de acción del sujeto y a sus riesgos propios (por ejemplo, guerra, tempestad, etc)”</w:t>
      </w:r>
      <w:r>
        <w:rPr>
          <w:color w:val="000000" w:themeColor="text1"/>
          <w:sz w:val="24"/>
          <w:szCs w:val="24"/>
        </w:rPr>
        <w:t>.</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t xml:space="preserve">Asimismo, </w:t>
      </w:r>
      <w:r w:rsidRPr="00F27EFA">
        <w:rPr>
          <w:color w:val="000000" w:themeColor="text1"/>
          <w:sz w:val="24"/>
          <w:szCs w:val="24"/>
        </w:rPr>
        <w:t xml:space="preserve">Parada Vázquez (1993), ensalza la nota de irresistibilidad, ya que declara que la esencia de la fuerza mayor radica </w:t>
      </w:r>
      <w:r w:rsidRPr="00F27EFA">
        <w:rPr>
          <w:i/>
          <w:color w:val="000000" w:themeColor="text1"/>
          <w:sz w:val="24"/>
          <w:szCs w:val="24"/>
        </w:rPr>
        <w:t>“tanto en la externidad del hecho respecto del bien o patrimonio que resulta dañado, como en la imposibilidad de evitar o resistir su producción, y no ciertamente en su imprevisibilidad”</w:t>
      </w:r>
      <w:r>
        <w:rPr>
          <w:color w:val="000000" w:themeColor="text1"/>
          <w:sz w:val="24"/>
          <w:szCs w:val="24"/>
        </w:rPr>
        <w:t>.</w:t>
      </w:r>
    </w:p>
    <w:p w:rsidR="0092647C" w:rsidRDefault="0092647C" w:rsidP="0092647C">
      <w:pPr>
        <w:tabs>
          <w:tab w:val="left" w:pos="5664"/>
        </w:tabs>
        <w:spacing w:line="360" w:lineRule="auto"/>
        <w:ind w:firstLine="709"/>
        <w:jc w:val="both"/>
        <w:rPr>
          <w:color w:val="000000" w:themeColor="text1"/>
          <w:sz w:val="24"/>
          <w:szCs w:val="24"/>
        </w:rPr>
      </w:pPr>
      <w:r>
        <w:rPr>
          <w:color w:val="000000" w:themeColor="text1"/>
          <w:sz w:val="24"/>
          <w:szCs w:val="24"/>
        </w:rPr>
        <w:t xml:space="preserve">En definitiva, en la fuerza mayor hay indeterminación absolutamente irresistible y exterioridad, es decir, la fuerza mayor está integrada por tres notas esenciales: indeterminación, puesto que la causa del daño se desconoce; irresistibilidad, ya que se trata de un daño inevitable, insuperable e irresistible; y externidad o ajenidad, debido a que el evento </w:t>
      </w:r>
      <w:r>
        <w:rPr>
          <w:color w:val="000000" w:themeColor="text1"/>
          <w:sz w:val="24"/>
          <w:szCs w:val="24"/>
        </w:rPr>
        <w:lastRenderedPageBreak/>
        <w:t>dañoso es extraño a la organización y a la actividad propia del servicio público del que procede el daño por que se reclama, y excede de los riesgos propios de la empresa. Esta última nota -la externidad- es la que posibilita poder distinguir entre caso fortuito y fuerza mayor, puesto que los supuestos de caso fortuito tienen un origen interno en la organización.</w:t>
      </w:r>
    </w:p>
    <w:p w:rsidR="0092647C" w:rsidRDefault="0092647C" w:rsidP="0092647C">
      <w:pPr>
        <w:spacing w:line="360" w:lineRule="auto"/>
        <w:ind w:firstLine="709"/>
        <w:jc w:val="both"/>
        <w:rPr>
          <w:color w:val="000000" w:themeColor="text1"/>
          <w:sz w:val="24"/>
          <w:szCs w:val="24"/>
        </w:rPr>
      </w:pPr>
      <w:r>
        <w:rPr>
          <w:color w:val="000000" w:themeColor="text1"/>
          <w:sz w:val="24"/>
          <w:szCs w:val="24"/>
        </w:rPr>
        <w:t xml:space="preserve">En la asistencia sanitaria, la </w:t>
      </w:r>
      <w:r w:rsidRPr="004A4EBF">
        <w:rPr>
          <w:i/>
          <w:color w:val="000000" w:themeColor="text1"/>
          <w:sz w:val="24"/>
          <w:szCs w:val="24"/>
        </w:rPr>
        <w:t>“fuerza mayor”</w:t>
      </w:r>
      <w:r>
        <w:rPr>
          <w:color w:val="000000" w:themeColor="text1"/>
          <w:sz w:val="24"/>
          <w:szCs w:val="24"/>
        </w:rPr>
        <w:t xml:space="preserve"> constituye un papel fundamental debido a las características mismas de la prestación, lo que ha dado lugar a que en numerosas ocasiones se utilice dicho término de manera inadecuada para liberar a la Administración de la responsabilidad patrimonial.</w:t>
      </w:r>
    </w:p>
    <w:p w:rsidR="00F22B86" w:rsidRDefault="00F22B86" w:rsidP="0092647C">
      <w:pPr>
        <w:spacing w:line="360" w:lineRule="auto"/>
        <w:ind w:left="707" w:firstLine="709"/>
        <w:jc w:val="both"/>
        <w:rPr>
          <w:color w:val="000000" w:themeColor="text1"/>
          <w:sz w:val="24"/>
          <w:szCs w:val="24"/>
        </w:rPr>
      </w:pPr>
      <w:r>
        <w:rPr>
          <w:color w:val="000000" w:themeColor="text1"/>
          <w:sz w:val="24"/>
          <w:szCs w:val="24"/>
        </w:rPr>
        <w:t>4.4.2 EXCLUSIÓN DE LOS RIESGOS DE DESARROLLO</w:t>
      </w:r>
    </w:p>
    <w:p w:rsidR="00F12E8D" w:rsidRDefault="009B74BE" w:rsidP="003F0FE7">
      <w:pPr>
        <w:spacing w:line="360" w:lineRule="auto"/>
        <w:ind w:firstLine="709"/>
        <w:jc w:val="both"/>
        <w:rPr>
          <w:color w:val="000000" w:themeColor="text1"/>
          <w:sz w:val="24"/>
          <w:szCs w:val="24"/>
        </w:rPr>
      </w:pPr>
      <w:r>
        <w:rPr>
          <w:color w:val="000000" w:themeColor="text1"/>
          <w:sz w:val="24"/>
          <w:szCs w:val="24"/>
        </w:rPr>
        <w:t xml:space="preserve">La definición de lesión resarcible que el legislador estableció en el art. 141.1 de la LRJPAC en el año 1992, </w:t>
      </w:r>
      <w:r w:rsidR="00F12E8D">
        <w:rPr>
          <w:color w:val="000000" w:themeColor="text1"/>
          <w:sz w:val="24"/>
          <w:szCs w:val="24"/>
        </w:rPr>
        <w:t xml:space="preserve">se vio </w:t>
      </w:r>
      <w:r w:rsidR="003979AF">
        <w:rPr>
          <w:color w:val="000000" w:themeColor="text1"/>
          <w:sz w:val="24"/>
          <w:szCs w:val="24"/>
        </w:rPr>
        <w:t xml:space="preserve">muy </w:t>
      </w:r>
      <w:r w:rsidR="00F12E8D">
        <w:rPr>
          <w:color w:val="000000" w:themeColor="text1"/>
          <w:sz w:val="24"/>
          <w:szCs w:val="24"/>
        </w:rPr>
        <w:t>alterada con la r</w:t>
      </w:r>
      <w:r w:rsidR="00E3358F">
        <w:rPr>
          <w:color w:val="000000" w:themeColor="text1"/>
          <w:sz w:val="24"/>
          <w:szCs w:val="24"/>
        </w:rPr>
        <w:t>e</w:t>
      </w:r>
      <w:r w:rsidR="003979AF">
        <w:rPr>
          <w:color w:val="000000" w:themeColor="text1"/>
          <w:sz w:val="24"/>
          <w:szCs w:val="24"/>
        </w:rPr>
        <w:t>forma que llevo a cabo la Ley 4/1999</w:t>
      </w:r>
      <w:r w:rsidR="00E3358F">
        <w:rPr>
          <w:color w:val="000000" w:themeColor="text1"/>
          <w:sz w:val="24"/>
          <w:szCs w:val="24"/>
        </w:rPr>
        <w:t>, de 1</w:t>
      </w:r>
      <w:r w:rsidR="003979AF">
        <w:rPr>
          <w:color w:val="000000" w:themeColor="text1"/>
          <w:sz w:val="24"/>
          <w:szCs w:val="24"/>
        </w:rPr>
        <w:t>3 de enero</w:t>
      </w:r>
      <w:r w:rsidR="00F12E8D">
        <w:rPr>
          <w:color w:val="000000" w:themeColor="text1"/>
          <w:sz w:val="24"/>
          <w:szCs w:val="24"/>
        </w:rPr>
        <w:t>. El concepto de lesión resarcible se mantiene en los mismos términos que la redacción anterior, la única diferencia apreci</w:t>
      </w:r>
      <w:r w:rsidR="00E3358F">
        <w:rPr>
          <w:color w:val="000000" w:themeColor="text1"/>
          <w:sz w:val="24"/>
          <w:szCs w:val="24"/>
        </w:rPr>
        <w:t xml:space="preserve">able es que se añade un inciso </w:t>
      </w:r>
      <w:r w:rsidR="00B478C0">
        <w:rPr>
          <w:color w:val="000000" w:themeColor="text1"/>
          <w:sz w:val="24"/>
          <w:szCs w:val="24"/>
        </w:rPr>
        <w:t xml:space="preserve">al </w:t>
      </w:r>
      <w:r w:rsidR="00E3358F">
        <w:rPr>
          <w:color w:val="000000" w:themeColor="text1"/>
          <w:sz w:val="24"/>
          <w:szCs w:val="24"/>
        </w:rPr>
        <w:t>comentado art. 141</w:t>
      </w:r>
      <w:r w:rsidR="003979AF">
        <w:rPr>
          <w:color w:val="000000" w:themeColor="text1"/>
          <w:sz w:val="24"/>
          <w:szCs w:val="24"/>
        </w:rPr>
        <w:t>.1 LRJPAC</w:t>
      </w:r>
      <w:r w:rsidR="00F12E8D">
        <w:rPr>
          <w:color w:val="000000" w:themeColor="text1"/>
          <w:sz w:val="24"/>
          <w:szCs w:val="24"/>
        </w:rPr>
        <w:t>,</w:t>
      </w:r>
      <w:r w:rsidR="003979AF">
        <w:rPr>
          <w:color w:val="000000" w:themeColor="text1"/>
          <w:sz w:val="24"/>
          <w:szCs w:val="24"/>
        </w:rPr>
        <w:t xml:space="preserve"> que en la actualidad se encuentra regulado en el art. 34.1 de la Ley 40/2015, </w:t>
      </w:r>
      <w:r w:rsidR="00F12E8D">
        <w:rPr>
          <w:color w:val="000000" w:themeColor="text1"/>
          <w:sz w:val="24"/>
          <w:szCs w:val="24"/>
        </w:rPr>
        <w:t>que señala lo siguiente:</w:t>
      </w:r>
    </w:p>
    <w:p w:rsidR="00F12E8D" w:rsidRDefault="00F12E8D" w:rsidP="0066799D">
      <w:pPr>
        <w:spacing w:line="360" w:lineRule="auto"/>
        <w:ind w:firstLine="709"/>
        <w:jc w:val="both"/>
        <w:rPr>
          <w:color w:val="000000" w:themeColor="text1"/>
          <w:sz w:val="24"/>
          <w:szCs w:val="24"/>
        </w:rPr>
      </w:pPr>
      <w:r w:rsidRPr="00F12E8D">
        <w:rPr>
          <w:i/>
          <w:color w:val="000000" w:themeColor="text1"/>
          <w:sz w:val="24"/>
          <w:szCs w:val="24"/>
        </w:rPr>
        <w:t>“No serán indemnizables los daños que se deriven de hechos o circunstancias que no se hubiesen podido prever o evitar según</w:t>
      </w:r>
      <w:r>
        <w:rPr>
          <w:i/>
          <w:color w:val="000000" w:themeColor="text1"/>
          <w:sz w:val="24"/>
          <w:szCs w:val="24"/>
        </w:rPr>
        <w:t xml:space="preserve"> el estado de los conocimientos</w:t>
      </w:r>
      <w:r w:rsidRPr="00F12E8D">
        <w:rPr>
          <w:i/>
          <w:color w:val="000000" w:themeColor="text1"/>
          <w:sz w:val="24"/>
          <w:szCs w:val="24"/>
        </w:rPr>
        <w:t xml:space="preserve"> de la ciencia o de la técnica existentes en el momento de producción de aquellos, todo ello sin perjuicio de las prestaciones asistenciales o económicas que las leyes pueden establecer para estos casos”</w:t>
      </w:r>
      <w:r>
        <w:rPr>
          <w:color w:val="000000" w:themeColor="text1"/>
          <w:sz w:val="24"/>
          <w:szCs w:val="24"/>
        </w:rPr>
        <w:t>.</w:t>
      </w:r>
    </w:p>
    <w:p w:rsidR="0066799D" w:rsidRDefault="0066799D" w:rsidP="0066799D">
      <w:pPr>
        <w:spacing w:line="360" w:lineRule="auto"/>
        <w:ind w:firstLine="709"/>
        <w:jc w:val="both"/>
        <w:rPr>
          <w:color w:val="000000" w:themeColor="text1"/>
          <w:sz w:val="24"/>
          <w:szCs w:val="24"/>
        </w:rPr>
      </w:pPr>
      <w:r>
        <w:rPr>
          <w:color w:val="000000" w:themeColor="text1"/>
          <w:sz w:val="24"/>
          <w:szCs w:val="24"/>
        </w:rPr>
        <w:t>Según la e</w:t>
      </w:r>
      <w:r w:rsidR="00E3358F">
        <w:rPr>
          <w:color w:val="000000" w:themeColor="text1"/>
          <w:sz w:val="24"/>
          <w:szCs w:val="24"/>
        </w:rPr>
        <w:t>xposición de motivos de la Ley 39/2015</w:t>
      </w:r>
      <w:r>
        <w:rPr>
          <w:color w:val="000000" w:themeColor="text1"/>
          <w:sz w:val="24"/>
          <w:szCs w:val="24"/>
        </w:rPr>
        <w:t>, con esta nueva redacci</w:t>
      </w:r>
      <w:r w:rsidR="00F4755C">
        <w:rPr>
          <w:color w:val="000000" w:themeColor="text1"/>
          <w:sz w:val="24"/>
          <w:szCs w:val="24"/>
        </w:rPr>
        <w:t>ón que se realiza en el art. 34</w:t>
      </w:r>
      <w:r>
        <w:rPr>
          <w:color w:val="000000" w:themeColor="text1"/>
          <w:sz w:val="24"/>
          <w:szCs w:val="24"/>
        </w:rPr>
        <w:t>.1, se destacan los casos de fuerza mayor que no conllevan consigo mismo una necesidad de indemnizar, es decir, no exigen una responsabilidad. No obstante, esta declaración ha sido objeto de muchas críticas, debido a que el precepto no describe un caso de fuerza mayor</w:t>
      </w:r>
      <w:r w:rsidR="00352996">
        <w:rPr>
          <w:color w:val="000000" w:themeColor="text1"/>
          <w:sz w:val="24"/>
          <w:szCs w:val="24"/>
        </w:rPr>
        <w:t xml:space="preserve"> (caracterizado por implicar siempre un suceso ajeno al propio servicio)</w:t>
      </w:r>
      <w:r>
        <w:rPr>
          <w:color w:val="000000" w:themeColor="text1"/>
          <w:sz w:val="24"/>
          <w:szCs w:val="24"/>
        </w:rPr>
        <w:t>, sino que se ajusta a describir un supuesto de caso fortuito, el cual se caracteriza por sus notas esenciales de interioridad e indeterminación de la causa productora del daño.</w:t>
      </w:r>
    </w:p>
    <w:p w:rsidR="007210CE" w:rsidRDefault="00352996" w:rsidP="0066799D">
      <w:pPr>
        <w:spacing w:line="360" w:lineRule="auto"/>
        <w:ind w:firstLine="709"/>
        <w:jc w:val="both"/>
        <w:rPr>
          <w:color w:val="000000" w:themeColor="text1"/>
          <w:sz w:val="24"/>
          <w:szCs w:val="24"/>
        </w:rPr>
      </w:pPr>
      <w:r>
        <w:rPr>
          <w:color w:val="000000" w:themeColor="text1"/>
          <w:sz w:val="24"/>
          <w:szCs w:val="24"/>
        </w:rPr>
        <w:t xml:space="preserve">Un caso fortuito que, en palabras de </w:t>
      </w:r>
      <w:r w:rsidRPr="00B37364">
        <w:rPr>
          <w:color w:val="000000" w:themeColor="text1"/>
          <w:sz w:val="24"/>
          <w:szCs w:val="24"/>
        </w:rPr>
        <w:t xml:space="preserve">Cueto Pérez (2009), </w:t>
      </w:r>
      <w:r w:rsidRPr="00B37364">
        <w:rPr>
          <w:i/>
          <w:color w:val="000000" w:themeColor="text1"/>
          <w:sz w:val="24"/>
          <w:szCs w:val="24"/>
        </w:rPr>
        <w:t xml:space="preserve">“parece pensado para eliminar cualquier posibilidad de indemnización en supuestos similares al de la transmisión del VIH, con lo cual no se están matizando los supuestos de fuerza mayor en los que no cabe la indemnización, sino que se están matizando </w:t>
      </w:r>
      <w:r w:rsidR="00BF4859" w:rsidRPr="00B37364">
        <w:rPr>
          <w:i/>
          <w:color w:val="000000" w:themeColor="text1"/>
          <w:sz w:val="24"/>
          <w:szCs w:val="24"/>
        </w:rPr>
        <w:t>supuestos de funcionamiento normal del servicio que ya no van a dar lugar a la responsabilidad de la Administración y que, por tanto, con anterioridad eran considerados como casos fortuitos”</w:t>
      </w:r>
      <w:r w:rsidR="00BF4859">
        <w:rPr>
          <w:color w:val="000000" w:themeColor="text1"/>
          <w:sz w:val="24"/>
          <w:szCs w:val="24"/>
        </w:rPr>
        <w:t xml:space="preserve">. Con lo cual, según su opinión y la de otros muchos autores, </w:t>
      </w:r>
      <w:r w:rsidR="007210CE">
        <w:rPr>
          <w:color w:val="000000" w:themeColor="text1"/>
          <w:sz w:val="24"/>
          <w:szCs w:val="24"/>
        </w:rPr>
        <w:t xml:space="preserve">en vez de hacer uso del término </w:t>
      </w:r>
      <w:r w:rsidR="007210CE" w:rsidRPr="007210CE">
        <w:rPr>
          <w:i/>
          <w:color w:val="000000" w:themeColor="text1"/>
          <w:sz w:val="24"/>
          <w:szCs w:val="24"/>
        </w:rPr>
        <w:t>“fuerza mayor”</w:t>
      </w:r>
      <w:r w:rsidR="007210CE">
        <w:rPr>
          <w:color w:val="000000" w:themeColor="text1"/>
          <w:sz w:val="24"/>
          <w:szCs w:val="24"/>
        </w:rPr>
        <w:t xml:space="preserve"> para referirse a los supuestos de VIH o VHC como elemento exonerante, hubiese sido más correcto reclamar </w:t>
      </w:r>
      <w:r w:rsidR="007210CE">
        <w:rPr>
          <w:color w:val="000000" w:themeColor="text1"/>
          <w:sz w:val="24"/>
          <w:szCs w:val="24"/>
        </w:rPr>
        <w:lastRenderedPageBreak/>
        <w:t>imposibilidad de imputación a la Administración por no existir antijuricidad del daño, pero no fuerza mayor.</w:t>
      </w:r>
    </w:p>
    <w:p w:rsidR="00352996" w:rsidRDefault="007210CE" w:rsidP="0066799D">
      <w:pPr>
        <w:spacing w:line="360" w:lineRule="auto"/>
        <w:ind w:firstLine="709"/>
        <w:jc w:val="both"/>
        <w:rPr>
          <w:color w:val="000000" w:themeColor="text1"/>
          <w:sz w:val="24"/>
          <w:szCs w:val="24"/>
        </w:rPr>
      </w:pPr>
      <w:r>
        <w:rPr>
          <w:color w:val="000000" w:themeColor="text1"/>
          <w:sz w:val="24"/>
          <w:szCs w:val="24"/>
        </w:rPr>
        <w:t>Asimismo, en la doctrina encontramos un gran debate sobre si la cláusula est</w:t>
      </w:r>
      <w:r w:rsidR="003979AF">
        <w:rPr>
          <w:color w:val="000000" w:themeColor="text1"/>
          <w:sz w:val="24"/>
          <w:szCs w:val="24"/>
        </w:rPr>
        <w:t>ablecida en el art. 34.1 de la Ley 40/2015</w:t>
      </w:r>
      <w:r w:rsidR="00E3358F">
        <w:rPr>
          <w:color w:val="000000" w:themeColor="text1"/>
          <w:sz w:val="24"/>
          <w:szCs w:val="24"/>
        </w:rPr>
        <w:t xml:space="preserve"> </w:t>
      </w:r>
      <w:r>
        <w:rPr>
          <w:color w:val="000000" w:themeColor="text1"/>
          <w:sz w:val="24"/>
          <w:szCs w:val="24"/>
        </w:rPr>
        <w:t xml:space="preserve">define el concepto de fuerza mayor o si, por otra parte, lo que intenta es recoger un supuesto de exclusión de la </w:t>
      </w:r>
      <w:r w:rsidR="0092212F">
        <w:rPr>
          <w:color w:val="000000" w:themeColor="text1"/>
          <w:sz w:val="24"/>
          <w:szCs w:val="24"/>
        </w:rPr>
        <w:t>antijuricidad del daño</w:t>
      </w:r>
      <w:r w:rsidR="00AE5FC9">
        <w:rPr>
          <w:rStyle w:val="Refdenotaalpie"/>
          <w:color w:val="000000" w:themeColor="text1"/>
          <w:sz w:val="24"/>
          <w:szCs w:val="24"/>
        </w:rPr>
        <w:footnoteReference w:id="45"/>
      </w:r>
      <w:r w:rsidR="0092212F">
        <w:rPr>
          <w:color w:val="000000" w:themeColor="text1"/>
          <w:sz w:val="24"/>
          <w:szCs w:val="24"/>
        </w:rPr>
        <w:t xml:space="preserve">. </w:t>
      </w:r>
      <w:r w:rsidR="00EA05C4">
        <w:rPr>
          <w:color w:val="000000" w:themeColor="text1"/>
          <w:sz w:val="24"/>
          <w:szCs w:val="24"/>
        </w:rPr>
        <w:t xml:space="preserve">La jurisprudencia, por su parte, </w:t>
      </w:r>
      <w:r w:rsidR="00A81D10">
        <w:rPr>
          <w:color w:val="000000" w:themeColor="text1"/>
          <w:sz w:val="24"/>
          <w:szCs w:val="24"/>
        </w:rPr>
        <w:t>piensa que la nueva cláusula no es una simple aclar</w:t>
      </w:r>
      <w:r w:rsidR="003979AF">
        <w:rPr>
          <w:color w:val="000000" w:themeColor="text1"/>
          <w:sz w:val="24"/>
          <w:szCs w:val="24"/>
        </w:rPr>
        <w:t>ación de lo que ya el art. 34.1</w:t>
      </w:r>
      <w:r w:rsidR="00A81D10">
        <w:rPr>
          <w:color w:val="000000" w:themeColor="text1"/>
          <w:sz w:val="24"/>
          <w:szCs w:val="24"/>
        </w:rPr>
        <w:t xml:space="preserve"> establecía, sino que esta nueva cláusula se traduce en una auténtica innovación que permite construir una especie de antijuridicidad objetiva del hecho lesivo.</w:t>
      </w:r>
    </w:p>
    <w:p w:rsidR="00A81D10" w:rsidRDefault="00A81D10" w:rsidP="0066799D">
      <w:pPr>
        <w:spacing w:line="360" w:lineRule="auto"/>
        <w:ind w:firstLine="709"/>
        <w:jc w:val="both"/>
        <w:rPr>
          <w:color w:val="000000" w:themeColor="text1"/>
          <w:sz w:val="24"/>
          <w:szCs w:val="24"/>
        </w:rPr>
      </w:pPr>
      <w:r>
        <w:rPr>
          <w:color w:val="000000" w:themeColor="text1"/>
          <w:sz w:val="24"/>
          <w:szCs w:val="24"/>
        </w:rPr>
        <w:t>En definitiva, lo que se intenta es conseguir que el Estado no tenga que responder de todos los riesgos inherentes a la prestación médica, eliminando para ello la antijuridicidad de algunos daños en donde la ciencia no ha alcanzado un nivel adecuado para resolver los problemas de salud. Pero, lo realmente importante, es que la restricción recogida en el úl</w:t>
      </w:r>
      <w:r w:rsidR="003979AF">
        <w:rPr>
          <w:color w:val="000000" w:themeColor="text1"/>
          <w:sz w:val="24"/>
          <w:szCs w:val="24"/>
        </w:rPr>
        <w:t xml:space="preserve">timo inciso del art. 34.1 (Ley </w:t>
      </w:r>
      <w:bookmarkStart w:id="0" w:name="_GoBack"/>
      <w:r w:rsidR="003979AF">
        <w:rPr>
          <w:color w:val="000000" w:themeColor="text1"/>
          <w:sz w:val="24"/>
          <w:szCs w:val="24"/>
        </w:rPr>
        <w:t>40/2015</w:t>
      </w:r>
      <w:bookmarkEnd w:id="0"/>
      <w:r w:rsidR="003979AF">
        <w:rPr>
          <w:color w:val="000000" w:themeColor="text1"/>
          <w:sz w:val="24"/>
          <w:szCs w:val="24"/>
        </w:rPr>
        <w:t>)</w:t>
      </w:r>
      <w:r w:rsidR="0092647C">
        <w:rPr>
          <w:color w:val="000000" w:themeColor="text1"/>
          <w:sz w:val="24"/>
          <w:szCs w:val="24"/>
        </w:rPr>
        <w:t>, se dirija hacia aquellos casos que son verdaderamente imprevisibles e inevitables porque a ellos verdaderamente no haya tenido alcance aún la ciencia médica.</w:t>
      </w:r>
    </w:p>
    <w:p w:rsidR="00997126" w:rsidRDefault="00997126" w:rsidP="00997126">
      <w:pPr>
        <w:spacing w:line="360" w:lineRule="auto"/>
        <w:jc w:val="both"/>
        <w:rPr>
          <w:color w:val="000000" w:themeColor="text1"/>
          <w:sz w:val="24"/>
          <w:szCs w:val="24"/>
        </w:rPr>
      </w:pPr>
    </w:p>
    <w:p w:rsidR="00C37E5F" w:rsidRPr="00C37E5F" w:rsidRDefault="00997126" w:rsidP="00C37E5F">
      <w:pPr>
        <w:spacing w:line="360" w:lineRule="auto"/>
        <w:jc w:val="both"/>
        <w:rPr>
          <w:color w:val="000000" w:themeColor="text1"/>
          <w:sz w:val="24"/>
          <w:szCs w:val="24"/>
        </w:rPr>
      </w:pPr>
      <w:r>
        <w:rPr>
          <w:color w:val="000000" w:themeColor="text1"/>
          <w:sz w:val="24"/>
          <w:szCs w:val="24"/>
        </w:rPr>
        <w:t xml:space="preserve">5. </w:t>
      </w:r>
      <w:r w:rsidR="00C37E5F">
        <w:rPr>
          <w:color w:val="000000" w:themeColor="text1"/>
          <w:sz w:val="24"/>
          <w:szCs w:val="24"/>
        </w:rPr>
        <w:t>PROCEDIMIENTO DE LA RESPONSABILIDA PATRIMONIAL</w:t>
      </w:r>
    </w:p>
    <w:p w:rsidR="009334D4" w:rsidRDefault="003979AF" w:rsidP="00C37E5F">
      <w:pPr>
        <w:spacing w:line="360" w:lineRule="auto"/>
        <w:ind w:firstLine="709"/>
        <w:jc w:val="both"/>
        <w:rPr>
          <w:color w:val="000000" w:themeColor="text1"/>
          <w:sz w:val="24"/>
          <w:szCs w:val="24"/>
        </w:rPr>
      </w:pPr>
      <w:r>
        <w:rPr>
          <w:color w:val="000000" w:themeColor="text1"/>
          <w:sz w:val="24"/>
          <w:szCs w:val="24"/>
        </w:rPr>
        <w:t>La Ley 39/2015</w:t>
      </w:r>
      <w:r w:rsidR="00543770">
        <w:rPr>
          <w:color w:val="000000" w:themeColor="text1"/>
          <w:sz w:val="24"/>
          <w:szCs w:val="24"/>
        </w:rPr>
        <w:t xml:space="preserve"> establece dos tipos de procedimientos, uno de ellos es general y el otro es abreviado, pero ambos coinciden en que no son objeto de una regulación pormenorizada. Esta tarea es exclusiva del RPR, que es llevada </w:t>
      </w:r>
      <w:r w:rsidR="007B3FF0">
        <w:rPr>
          <w:color w:val="000000" w:themeColor="text1"/>
          <w:sz w:val="24"/>
          <w:szCs w:val="24"/>
        </w:rPr>
        <w:t>a cabo de manera breve y poco detallada</w:t>
      </w:r>
      <w:r w:rsidR="00543770">
        <w:rPr>
          <w:color w:val="000000" w:themeColor="text1"/>
          <w:sz w:val="24"/>
          <w:szCs w:val="24"/>
        </w:rPr>
        <w:t xml:space="preserve">, diferenciándose </w:t>
      </w:r>
      <w:r w:rsidR="007B3FF0">
        <w:rPr>
          <w:color w:val="000000" w:themeColor="text1"/>
          <w:sz w:val="24"/>
          <w:szCs w:val="24"/>
        </w:rPr>
        <w:t>escasamente en sus trámites del procedimiento comú</w:t>
      </w:r>
      <w:r>
        <w:rPr>
          <w:color w:val="000000" w:themeColor="text1"/>
          <w:sz w:val="24"/>
          <w:szCs w:val="24"/>
        </w:rPr>
        <w:t>n implantado en la propia Ley 39/2015</w:t>
      </w:r>
      <w:r w:rsidR="007B3FF0">
        <w:rPr>
          <w:color w:val="000000" w:themeColor="text1"/>
          <w:sz w:val="24"/>
          <w:szCs w:val="24"/>
        </w:rPr>
        <w:t>. Por dich</w:t>
      </w:r>
      <w:r>
        <w:rPr>
          <w:color w:val="000000" w:themeColor="text1"/>
          <w:sz w:val="24"/>
          <w:szCs w:val="24"/>
        </w:rPr>
        <w:t>o motivo, acudiremos a la Ley 39/2015</w:t>
      </w:r>
      <w:r w:rsidR="007B3FF0">
        <w:rPr>
          <w:color w:val="000000" w:themeColor="text1"/>
          <w:sz w:val="24"/>
          <w:szCs w:val="24"/>
        </w:rPr>
        <w:t xml:space="preserve"> para lograr resolver ciertas cuestiones que el RPR omite resolver.</w:t>
      </w:r>
    </w:p>
    <w:p w:rsidR="007B3FF0" w:rsidRDefault="007B3FF0" w:rsidP="00C37E5F">
      <w:pPr>
        <w:spacing w:line="360" w:lineRule="auto"/>
        <w:ind w:firstLine="709"/>
        <w:jc w:val="both"/>
        <w:rPr>
          <w:color w:val="000000" w:themeColor="text1"/>
          <w:sz w:val="24"/>
          <w:szCs w:val="24"/>
        </w:rPr>
      </w:pPr>
      <w:r>
        <w:rPr>
          <w:color w:val="000000" w:themeColor="text1"/>
          <w:sz w:val="24"/>
          <w:szCs w:val="24"/>
        </w:rPr>
        <w:t>5.1 INICIACIÓN</w:t>
      </w:r>
    </w:p>
    <w:p w:rsidR="007B3FF0" w:rsidRDefault="007B3FF0" w:rsidP="00C37E5F">
      <w:pPr>
        <w:spacing w:line="360" w:lineRule="auto"/>
        <w:ind w:firstLine="709"/>
        <w:jc w:val="both"/>
        <w:rPr>
          <w:color w:val="000000" w:themeColor="text1"/>
          <w:sz w:val="24"/>
          <w:szCs w:val="24"/>
        </w:rPr>
      </w:pPr>
      <w:r>
        <w:rPr>
          <w:color w:val="000000" w:themeColor="text1"/>
          <w:sz w:val="24"/>
          <w:szCs w:val="24"/>
        </w:rPr>
        <w:tab/>
        <w:t>5.1.1 INICIACIÓN DE OFICIO</w:t>
      </w:r>
    </w:p>
    <w:p w:rsidR="007B3FF0" w:rsidRDefault="003979AF" w:rsidP="00C37E5F">
      <w:pPr>
        <w:spacing w:line="360" w:lineRule="auto"/>
        <w:ind w:firstLine="709"/>
        <w:jc w:val="both"/>
        <w:rPr>
          <w:color w:val="000000" w:themeColor="text1"/>
          <w:sz w:val="24"/>
          <w:szCs w:val="24"/>
        </w:rPr>
      </w:pPr>
      <w:r>
        <w:rPr>
          <w:color w:val="000000" w:themeColor="text1"/>
          <w:sz w:val="24"/>
          <w:szCs w:val="24"/>
        </w:rPr>
        <w:t>Tanto la Ley 39/2015</w:t>
      </w:r>
      <w:r w:rsidR="001C62AA">
        <w:rPr>
          <w:color w:val="000000" w:themeColor="text1"/>
          <w:sz w:val="24"/>
          <w:szCs w:val="24"/>
        </w:rPr>
        <w:t xml:space="preserve"> como el RPR, con la mejor de sus intenciones, disponen la posibilidad de que la responsabilidad patrimonial pueda iniciarse de oficio. En este caso, podrá llevarse a cabo por la propia iniciativa del órgano competente, debido a su carácter de orden superior, por petición razonada de otros órganos o por denuncia.</w:t>
      </w:r>
      <w:r w:rsidR="002E1571">
        <w:rPr>
          <w:color w:val="000000" w:themeColor="text1"/>
          <w:sz w:val="24"/>
          <w:szCs w:val="24"/>
        </w:rPr>
        <w:t xml:space="preserve"> Por lo tanto, dicha </w:t>
      </w:r>
      <w:r w:rsidR="002E1571">
        <w:rPr>
          <w:color w:val="000000" w:themeColor="text1"/>
          <w:sz w:val="24"/>
          <w:szCs w:val="24"/>
        </w:rPr>
        <w:lastRenderedPageBreak/>
        <w:t>iniciación se realiza mediante el acuerdo adoptado por parte del órgano competente para resolver, lo que conlleva que tenga que hacerse antes de que se termine el plazo máximo del año previsto para haberlo iniciado a instancia del interesado. Por ello, la Administración y, más concretamente, el órgano competente para iniciar este procedimiento, no cuenta con un plazo superior a aquel previsto para los particulares para dar comienzo a dicho procedimiento.</w:t>
      </w:r>
    </w:p>
    <w:p w:rsidR="002E1571" w:rsidRDefault="0060534E" w:rsidP="00C37E5F">
      <w:pPr>
        <w:spacing w:line="360" w:lineRule="auto"/>
        <w:ind w:firstLine="709"/>
        <w:jc w:val="both"/>
        <w:rPr>
          <w:color w:val="000000" w:themeColor="text1"/>
          <w:sz w:val="24"/>
          <w:szCs w:val="24"/>
        </w:rPr>
      </w:pPr>
      <w:r>
        <w:rPr>
          <w:color w:val="000000" w:themeColor="text1"/>
          <w:sz w:val="24"/>
          <w:szCs w:val="24"/>
        </w:rPr>
        <w:t>Pero es que, una vez iniciado ya, tampoco es que se diferencie mucho del procedimiento iniciado a instancia del interesado, asimismo, tampoco se elimina la necesidad de aclarar la concurrencia de los requisitos que dan lugar a la responsabilidad patrimonial, es decir, manifestar la existencia de la lesión y el momento concreto en que ésta se produjo, la relación de causalidad con el funcionamiento del servicio público y la evaluación económica de los daños ocasionados, además, tampoco puede quedar exonerada la solicitud y participación del interesado en el proceso, puesto que su intervención en el procedimiento está prevista en dos ocasiones, de elección potestativa para el interesado.</w:t>
      </w:r>
    </w:p>
    <w:p w:rsidR="0060534E" w:rsidRDefault="0060534E" w:rsidP="00C37E5F">
      <w:pPr>
        <w:spacing w:line="360" w:lineRule="auto"/>
        <w:ind w:firstLine="709"/>
        <w:jc w:val="both"/>
        <w:rPr>
          <w:color w:val="000000" w:themeColor="text1"/>
          <w:sz w:val="24"/>
          <w:szCs w:val="24"/>
        </w:rPr>
      </w:pPr>
      <w:r>
        <w:rPr>
          <w:color w:val="000000" w:themeColor="text1"/>
          <w:sz w:val="24"/>
          <w:szCs w:val="24"/>
        </w:rPr>
        <w:t>La primera intervención del interesado, se producir</w:t>
      </w:r>
      <w:r w:rsidR="00DE0345">
        <w:rPr>
          <w:color w:val="000000" w:themeColor="text1"/>
          <w:sz w:val="24"/>
          <w:szCs w:val="24"/>
        </w:rPr>
        <w:t>á en el momento de expone</w:t>
      </w:r>
      <w:r>
        <w:rPr>
          <w:color w:val="000000" w:themeColor="text1"/>
          <w:sz w:val="24"/>
          <w:szCs w:val="24"/>
        </w:rPr>
        <w:t>r las oportunas alegaciones, así como en el momento de proporcionar los documentos, información o prue</w:t>
      </w:r>
      <w:r w:rsidR="00DE0345">
        <w:rPr>
          <w:color w:val="000000" w:themeColor="text1"/>
          <w:sz w:val="24"/>
          <w:szCs w:val="24"/>
        </w:rPr>
        <w:t xml:space="preserve">bas que el considere oportunas para la resolución del caso: la segunda intervención, se produciría en el denominado </w:t>
      </w:r>
      <w:r w:rsidR="00DE0345" w:rsidRPr="00DE0345">
        <w:rPr>
          <w:i/>
          <w:color w:val="000000" w:themeColor="text1"/>
          <w:sz w:val="24"/>
          <w:szCs w:val="24"/>
        </w:rPr>
        <w:t>“trámite de audiencia”</w:t>
      </w:r>
      <w:r w:rsidR="00DE0345">
        <w:rPr>
          <w:color w:val="000000" w:themeColor="text1"/>
          <w:sz w:val="24"/>
          <w:szCs w:val="24"/>
        </w:rPr>
        <w:t>, y se trata del último momento en el que el interesado puede personarse en el procedimiento si no lo había hecho con anterioridad a él.</w:t>
      </w:r>
    </w:p>
    <w:p w:rsidR="00DE0345" w:rsidRDefault="00DE0345" w:rsidP="00C37E5F">
      <w:pPr>
        <w:spacing w:line="360" w:lineRule="auto"/>
        <w:ind w:firstLine="709"/>
        <w:jc w:val="both"/>
        <w:rPr>
          <w:color w:val="000000" w:themeColor="text1"/>
          <w:sz w:val="24"/>
          <w:szCs w:val="24"/>
        </w:rPr>
      </w:pPr>
      <w:r>
        <w:rPr>
          <w:color w:val="000000" w:themeColor="text1"/>
          <w:sz w:val="24"/>
          <w:szCs w:val="24"/>
        </w:rPr>
        <w:tab/>
        <w:t>5.1.2 INICIACIÓN MEDIANTE RECLAMACIÓN</w:t>
      </w:r>
    </w:p>
    <w:p w:rsidR="00DE0345" w:rsidRDefault="007C324F" w:rsidP="00C37E5F">
      <w:pPr>
        <w:spacing w:line="360" w:lineRule="auto"/>
        <w:ind w:firstLine="709"/>
        <w:jc w:val="both"/>
        <w:rPr>
          <w:color w:val="000000" w:themeColor="text1"/>
          <w:sz w:val="24"/>
          <w:szCs w:val="24"/>
        </w:rPr>
      </w:pPr>
      <w:r>
        <w:rPr>
          <w:color w:val="000000" w:themeColor="text1"/>
          <w:sz w:val="24"/>
          <w:szCs w:val="24"/>
        </w:rPr>
        <w:t xml:space="preserve">Para abordar este punto, es necesario recordar las palabras de </w:t>
      </w:r>
      <w:r w:rsidRPr="00C14491">
        <w:rPr>
          <w:color w:val="000000" w:themeColor="text1"/>
          <w:sz w:val="24"/>
          <w:szCs w:val="24"/>
        </w:rPr>
        <w:t xml:space="preserve">Rebollo Puig (2000), quien señala que </w:t>
      </w:r>
      <w:r w:rsidRPr="00C14491">
        <w:rPr>
          <w:i/>
          <w:color w:val="000000" w:themeColor="text1"/>
          <w:sz w:val="24"/>
          <w:szCs w:val="24"/>
        </w:rPr>
        <w:t>“la reclamación ha de basarse necesariamente en la responsabilidad extracontractual y, más en concreto, en el anormal funcionamiento del servicio público, en este caso, sanitario”</w:t>
      </w:r>
      <w:r>
        <w:rPr>
          <w:color w:val="000000" w:themeColor="text1"/>
          <w:sz w:val="24"/>
          <w:szCs w:val="24"/>
        </w:rPr>
        <w:t xml:space="preserve">. </w:t>
      </w:r>
      <w:r w:rsidR="00BB17FA">
        <w:rPr>
          <w:color w:val="000000" w:themeColor="text1"/>
          <w:sz w:val="24"/>
          <w:szCs w:val="24"/>
        </w:rPr>
        <w:t xml:space="preserve">Con esto lo que se quiere decir, es que, si no se hace de esta manera, no se puede acudir a la vía jurisdiccional modificando el objeto de la reclamación, puesto que el tribunal rechazará la reclamación al ser </w:t>
      </w:r>
      <w:r w:rsidR="00BB17FA" w:rsidRPr="00BB17FA">
        <w:rPr>
          <w:i/>
          <w:color w:val="000000" w:themeColor="text1"/>
          <w:sz w:val="24"/>
          <w:szCs w:val="24"/>
        </w:rPr>
        <w:t>“cuestión nueva”</w:t>
      </w:r>
      <w:r w:rsidR="00BB17FA">
        <w:rPr>
          <w:color w:val="000000" w:themeColor="text1"/>
          <w:sz w:val="24"/>
          <w:szCs w:val="24"/>
        </w:rPr>
        <w:t xml:space="preserve"> sobre la cual la Administración no ha podido manifestarse. En resumidas cuentas, para que el procedimiento administrativo sirva realmente como vía previa al recurs</w:t>
      </w:r>
      <w:r w:rsidR="007206AF">
        <w:rPr>
          <w:color w:val="000000" w:themeColor="text1"/>
          <w:sz w:val="24"/>
          <w:szCs w:val="24"/>
        </w:rPr>
        <w:t xml:space="preserve">o contencioso-administrativo, los dos (procedimiento y recurso) </w:t>
      </w:r>
      <w:r w:rsidR="00BB17FA">
        <w:rPr>
          <w:color w:val="000000" w:themeColor="text1"/>
          <w:sz w:val="24"/>
          <w:szCs w:val="24"/>
        </w:rPr>
        <w:t xml:space="preserve">deben concordar en su objeto y, por tanto, </w:t>
      </w:r>
      <w:r w:rsidR="007206AF">
        <w:rPr>
          <w:color w:val="000000" w:themeColor="text1"/>
          <w:sz w:val="24"/>
          <w:szCs w:val="24"/>
        </w:rPr>
        <w:t xml:space="preserve">apoyarse </w:t>
      </w:r>
      <w:r w:rsidR="00BB17FA">
        <w:rPr>
          <w:color w:val="000000" w:themeColor="text1"/>
          <w:sz w:val="24"/>
          <w:szCs w:val="24"/>
        </w:rPr>
        <w:t>ambos en la responsabilidad extracontractual de la Administración.</w:t>
      </w:r>
    </w:p>
    <w:p w:rsidR="007206AF" w:rsidRDefault="0057748B" w:rsidP="00C37E5F">
      <w:pPr>
        <w:spacing w:line="360" w:lineRule="auto"/>
        <w:ind w:firstLine="709"/>
        <w:jc w:val="both"/>
        <w:rPr>
          <w:color w:val="000000" w:themeColor="text1"/>
          <w:sz w:val="24"/>
          <w:szCs w:val="24"/>
        </w:rPr>
      </w:pPr>
      <w:r>
        <w:rPr>
          <w:color w:val="000000" w:themeColor="text1"/>
          <w:sz w:val="24"/>
          <w:szCs w:val="24"/>
        </w:rPr>
        <w:t>Por lo tanto, la reclamación patrimonial</w:t>
      </w:r>
      <w:r w:rsidR="003F1AF9">
        <w:rPr>
          <w:color w:val="000000" w:themeColor="text1"/>
          <w:sz w:val="24"/>
          <w:szCs w:val="24"/>
        </w:rPr>
        <w:t xml:space="preserve"> que se manifieste ante la Administración, tendrá que precisar y acreditar los conceptos o partidas por los cuales se reclama la indemnización, pues ello define el objeto del posterior contencioso-administrativo y el espacio en el cual el juzgador podrá moverse. </w:t>
      </w:r>
      <w:r w:rsidR="00957D53">
        <w:rPr>
          <w:color w:val="000000" w:themeColor="text1"/>
          <w:sz w:val="24"/>
          <w:szCs w:val="24"/>
        </w:rPr>
        <w:t xml:space="preserve">En resumen, en vía contencioso-administrativa no pueden incluirse nuevas partidas no reclamadas en vía administrativa, asimismo, la </w:t>
      </w:r>
      <w:r w:rsidR="00957D53">
        <w:rPr>
          <w:color w:val="000000" w:themeColor="text1"/>
          <w:sz w:val="24"/>
          <w:szCs w:val="24"/>
        </w:rPr>
        <w:lastRenderedPageBreak/>
        <w:t xml:space="preserve">sentencia tampoco las tendrá en cuenta a la hora de decretar el montante </w:t>
      </w:r>
      <w:r w:rsidR="006A2BDA">
        <w:rPr>
          <w:color w:val="000000" w:themeColor="text1"/>
          <w:sz w:val="24"/>
          <w:szCs w:val="24"/>
        </w:rPr>
        <w:t xml:space="preserve">final </w:t>
      </w:r>
      <w:r w:rsidR="00957D53">
        <w:rPr>
          <w:color w:val="000000" w:themeColor="text1"/>
          <w:sz w:val="24"/>
          <w:szCs w:val="24"/>
        </w:rPr>
        <w:t>de la indemnización, puesto que</w:t>
      </w:r>
      <w:r w:rsidR="006A2BDA">
        <w:rPr>
          <w:color w:val="000000" w:themeColor="text1"/>
          <w:sz w:val="24"/>
          <w:szCs w:val="24"/>
        </w:rPr>
        <w:t>,</w:t>
      </w:r>
      <w:r w:rsidR="00957D53">
        <w:rPr>
          <w:color w:val="000000" w:themeColor="text1"/>
          <w:sz w:val="24"/>
          <w:szCs w:val="24"/>
        </w:rPr>
        <w:t xml:space="preserve"> debido a la naturaleza revisora de la jurisdicción, la introducción de las partidas que no fueron reclamadas en vía administrativa</w:t>
      </w:r>
      <w:r w:rsidR="006A2BDA">
        <w:rPr>
          <w:color w:val="000000" w:themeColor="text1"/>
          <w:sz w:val="24"/>
          <w:szCs w:val="24"/>
        </w:rPr>
        <w:t xml:space="preserve"> </w:t>
      </w:r>
      <w:r w:rsidR="006A2BDA" w:rsidRPr="006A2BDA">
        <w:rPr>
          <w:i/>
          <w:color w:val="000000" w:themeColor="text1"/>
          <w:sz w:val="24"/>
          <w:szCs w:val="24"/>
        </w:rPr>
        <w:t>“constituye una cuestión nueva que debe ser rechazada sin entrar en ninguna otra consideración”</w:t>
      </w:r>
      <w:r w:rsidR="006A2BDA">
        <w:rPr>
          <w:color w:val="000000" w:themeColor="text1"/>
          <w:sz w:val="24"/>
          <w:szCs w:val="24"/>
        </w:rPr>
        <w:t>.</w:t>
      </w:r>
    </w:p>
    <w:p w:rsidR="006A2BDA" w:rsidRDefault="006A2BDA" w:rsidP="00C37E5F">
      <w:pPr>
        <w:spacing w:line="360" w:lineRule="auto"/>
        <w:ind w:firstLine="709"/>
        <w:jc w:val="both"/>
        <w:rPr>
          <w:color w:val="000000" w:themeColor="text1"/>
          <w:sz w:val="24"/>
          <w:szCs w:val="24"/>
        </w:rPr>
      </w:pPr>
      <w:r>
        <w:rPr>
          <w:color w:val="000000" w:themeColor="text1"/>
          <w:sz w:val="24"/>
          <w:szCs w:val="24"/>
        </w:rPr>
        <w:t xml:space="preserve">En cuanto a los posibles problemas que puede generar la reclamación, encontramos </w:t>
      </w:r>
      <w:r w:rsidR="008C2FF0">
        <w:rPr>
          <w:color w:val="000000" w:themeColor="text1"/>
          <w:sz w:val="24"/>
          <w:szCs w:val="24"/>
        </w:rPr>
        <w:t xml:space="preserve">el problema de la evaluación económica del daño. El art. 6.1 RPR señala que la reclamación tiene que </w:t>
      </w:r>
      <w:r w:rsidR="008C2FF0" w:rsidRPr="008C2FF0">
        <w:rPr>
          <w:i/>
          <w:color w:val="000000" w:themeColor="text1"/>
          <w:sz w:val="24"/>
          <w:szCs w:val="24"/>
        </w:rPr>
        <w:t>“especificar la evaluación económica de la responsabilidad patrimonial”</w:t>
      </w:r>
      <w:r w:rsidR="008C2FF0">
        <w:rPr>
          <w:color w:val="000000" w:themeColor="text1"/>
          <w:sz w:val="24"/>
          <w:szCs w:val="24"/>
        </w:rPr>
        <w:t xml:space="preserve">. Es por ello, que para </w:t>
      </w:r>
      <w:r w:rsidR="008C2FF0" w:rsidRPr="00C14491">
        <w:rPr>
          <w:color w:val="000000" w:themeColor="text1"/>
          <w:sz w:val="24"/>
          <w:szCs w:val="24"/>
        </w:rPr>
        <w:t xml:space="preserve">Rebollo Puig (2000), </w:t>
      </w:r>
      <w:r w:rsidR="008C2FF0" w:rsidRPr="00C14491">
        <w:rPr>
          <w:i/>
          <w:color w:val="000000" w:themeColor="text1"/>
          <w:sz w:val="24"/>
          <w:szCs w:val="24"/>
        </w:rPr>
        <w:t>“la exigencia es lógica y congruente, con un pronunciamiento administrativo en el que puede quedar definitivamente resuelto el asunto y cuya resolución obligatoriamente ha de pronunciarse sobre la cuantía de la indemnización y no sobre un abstracto derecho indemnizatorio cuyo contenido se determine posteriormente”</w:t>
      </w:r>
      <w:r w:rsidR="008C2FF0">
        <w:rPr>
          <w:color w:val="000000" w:themeColor="text1"/>
          <w:sz w:val="24"/>
          <w:szCs w:val="24"/>
        </w:rPr>
        <w:t>.</w:t>
      </w:r>
      <w:r w:rsidR="006349C4">
        <w:rPr>
          <w:color w:val="000000" w:themeColor="text1"/>
          <w:sz w:val="24"/>
          <w:szCs w:val="24"/>
        </w:rPr>
        <w:t xml:space="preserve"> En definitiva, en lo que no es más que un paso previo para acceder a la jurisdicción contencioso-administrativa, se exige lo que no es necesario en esta.</w:t>
      </w:r>
    </w:p>
    <w:p w:rsidR="006349C4" w:rsidRDefault="00844265" w:rsidP="00C37E5F">
      <w:pPr>
        <w:spacing w:line="360" w:lineRule="auto"/>
        <w:ind w:firstLine="709"/>
        <w:jc w:val="both"/>
        <w:rPr>
          <w:color w:val="000000" w:themeColor="text1"/>
          <w:sz w:val="24"/>
          <w:szCs w:val="24"/>
        </w:rPr>
      </w:pPr>
      <w:r>
        <w:rPr>
          <w:color w:val="000000" w:themeColor="text1"/>
          <w:sz w:val="24"/>
          <w:szCs w:val="24"/>
        </w:rPr>
        <w:t>5.2 INSTRUCCIÓN</w:t>
      </w:r>
    </w:p>
    <w:p w:rsidR="00844265" w:rsidRDefault="00844265" w:rsidP="00C37E5F">
      <w:pPr>
        <w:spacing w:line="360" w:lineRule="auto"/>
        <w:ind w:firstLine="709"/>
        <w:jc w:val="both"/>
        <w:rPr>
          <w:color w:val="000000" w:themeColor="text1"/>
          <w:sz w:val="24"/>
          <w:szCs w:val="24"/>
        </w:rPr>
      </w:pPr>
      <w:r>
        <w:rPr>
          <w:color w:val="000000" w:themeColor="text1"/>
          <w:sz w:val="24"/>
          <w:szCs w:val="24"/>
        </w:rPr>
        <w:tab/>
        <w:t>5.2.1 PRUEBA</w:t>
      </w:r>
    </w:p>
    <w:p w:rsidR="00844265" w:rsidRDefault="00844265" w:rsidP="00C37E5F">
      <w:pPr>
        <w:spacing w:line="360" w:lineRule="auto"/>
        <w:ind w:firstLine="709"/>
        <w:jc w:val="both"/>
        <w:rPr>
          <w:color w:val="000000" w:themeColor="text1"/>
          <w:sz w:val="24"/>
          <w:szCs w:val="24"/>
        </w:rPr>
      </w:pPr>
      <w:r>
        <w:rPr>
          <w:color w:val="000000" w:themeColor="text1"/>
          <w:sz w:val="24"/>
          <w:szCs w:val="24"/>
        </w:rPr>
        <w:tab/>
      </w:r>
      <w:r>
        <w:rPr>
          <w:color w:val="000000" w:themeColor="text1"/>
          <w:sz w:val="24"/>
          <w:szCs w:val="24"/>
        </w:rPr>
        <w:tab/>
        <w:t>5.2.1.1 PROPOSICIÓN DE LA PRUEBA</w:t>
      </w:r>
    </w:p>
    <w:p w:rsidR="00844265" w:rsidRDefault="00117B05" w:rsidP="00C37E5F">
      <w:pPr>
        <w:spacing w:line="360" w:lineRule="auto"/>
        <w:ind w:firstLine="709"/>
        <w:jc w:val="both"/>
        <w:rPr>
          <w:color w:val="000000" w:themeColor="text1"/>
          <w:sz w:val="24"/>
          <w:szCs w:val="24"/>
        </w:rPr>
      </w:pPr>
      <w:r>
        <w:rPr>
          <w:color w:val="000000" w:themeColor="text1"/>
          <w:sz w:val="24"/>
          <w:szCs w:val="24"/>
        </w:rPr>
        <w:t>La proposición de la práctica</w:t>
      </w:r>
      <w:r w:rsidR="007D54A2">
        <w:rPr>
          <w:color w:val="000000" w:themeColor="text1"/>
          <w:sz w:val="24"/>
          <w:szCs w:val="24"/>
        </w:rPr>
        <w:t xml:space="preserve"> de la prueba, así como los medios de los que pretende el interesado valerse, han de ser incluidos en el propio escrito de la reclamación. No obstante, se ha de tener en cuenta que la admisión del recibimiento del procedimiento a prueba tiene carácter potestativo para la Administración, esto significa que corresponde al instructor del expediente decidir si las pruebas aportadas por el particular son necesarias o de utilidad para aclarar los hechos. </w:t>
      </w:r>
      <w:r w:rsidR="00F1663C">
        <w:rPr>
          <w:color w:val="000000" w:themeColor="text1"/>
          <w:sz w:val="24"/>
          <w:szCs w:val="24"/>
        </w:rPr>
        <w:t xml:space="preserve">Del mismo modo, se ve la gran libertad que tiene la Administración para dilucidar sobre los hechos que se intentan justificar y decidir si son o no pertinentes los medios de prueba aportados por el interesado. </w:t>
      </w:r>
      <w:r w:rsidR="00B802DA">
        <w:rPr>
          <w:color w:val="000000" w:themeColor="text1"/>
          <w:sz w:val="24"/>
          <w:szCs w:val="24"/>
        </w:rPr>
        <w:t xml:space="preserve">Por este motivo, </w:t>
      </w:r>
      <w:r w:rsidR="007D2390">
        <w:rPr>
          <w:color w:val="000000" w:themeColor="text1"/>
          <w:sz w:val="24"/>
          <w:szCs w:val="24"/>
        </w:rPr>
        <w:t>la denegación de cualquier prueba que sea considerada innecesaria y prescindible es una denegación procedente, y que, por tanto, con la misma no se produce indefensión por parte del interesado ni tampoco vicio de procedimiento determinante de nulidad alguna.</w:t>
      </w:r>
    </w:p>
    <w:p w:rsidR="007D2390" w:rsidRDefault="007D2390" w:rsidP="00C37E5F">
      <w:pPr>
        <w:spacing w:line="360" w:lineRule="auto"/>
        <w:ind w:firstLine="709"/>
        <w:jc w:val="both"/>
        <w:rPr>
          <w:color w:val="000000" w:themeColor="text1"/>
          <w:sz w:val="24"/>
          <w:szCs w:val="24"/>
        </w:rPr>
      </w:pPr>
      <w:r>
        <w:rPr>
          <w:color w:val="000000" w:themeColor="text1"/>
          <w:sz w:val="24"/>
          <w:szCs w:val="24"/>
        </w:rPr>
        <w:t>En consecuencia, el interesado</w:t>
      </w:r>
      <w:r w:rsidR="008D0ABB">
        <w:rPr>
          <w:color w:val="000000" w:themeColor="text1"/>
          <w:sz w:val="24"/>
          <w:szCs w:val="24"/>
        </w:rPr>
        <w:t>,</w:t>
      </w:r>
      <w:r>
        <w:rPr>
          <w:color w:val="000000" w:themeColor="text1"/>
          <w:sz w:val="24"/>
          <w:szCs w:val="24"/>
        </w:rPr>
        <w:t xml:space="preserve"> que aun habiendo solicitado la práctica de la prueba y mediante los medios que la propia s</w:t>
      </w:r>
      <w:r w:rsidR="008D0ABB">
        <w:rPr>
          <w:color w:val="000000" w:themeColor="text1"/>
          <w:sz w:val="24"/>
          <w:szCs w:val="24"/>
        </w:rPr>
        <w:t>olicitud sugiere</w:t>
      </w:r>
      <w:r>
        <w:rPr>
          <w:color w:val="000000" w:themeColor="text1"/>
          <w:sz w:val="24"/>
          <w:szCs w:val="24"/>
        </w:rPr>
        <w:t>, puede verse en el supuesto de que la Administración estime</w:t>
      </w:r>
      <w:r w:rsidR="008D0ABB">
        <w:rPr>
          <w:color w:val="000000" w:themeColor="text1"/>
          <w:sz w:val="24"/>
          <w:szCs w:val="24"/>
        </w:rPr>
        <w:t xml:space="preserve"> improcedente su práctica, ya que la misma tiene el derecho a inadmitir la prueba cuando considera que ésta es manifiestamente improcedente</w:t>
      </w:r>
      <w:r w:rsidR="00363AA2">
        <w:rPr>
          <w:color w:val="000000" w:themeColor="text1"/>
          <w:sz w:val="24"/>
          <w:szCs w:val="24"/>
        </w:rPr>
        <w:t xml:space="preserve"> (art. 77.3 Ley 39/2015)</w:t>
      </w:r>
      <w:r w:rsidR="00E3358F">
        <w:rPr>
          <w:color w:val="000000" w:themeColor="text1"/>
          <w:sz w:val="24"/>
          <w:szCs w:val="24"/>
        </w:rPr>
        <w:t xml:space="preserve">. </w:t>
      </w:r>
      <w:r w:rsidR="008D0ABB">
        <w:rPr>
          <w:color w:val="000000" w:themeColor="text1"/>
          <w:sz w:val="24"/>
          <w:szCs w:val="24"/>
        </w:rPr>
        <w:t xml:space="preserve">Serán pruebas improcedentes cuando la Administración tuviere por ciertos los hechos planteados, esto es, cuando no exista polémica en los mismos, así como cuando los medios que se plantean sean inútiles o impertinentes, es decir, que los medios no sean válidos </w:t>
      </w:r>
      <w:r w:rsidR="008D0ABB">
        <w:rPr>
          <w:color w:val="000000" w:themeColor="text1"/>
          <w:sz w:val="24"/>
          <w:szCs w:val="24"/>
        </w:rPr>
        <w:lastRenderedPageBreak/>
        <w:t xml:space="preserve">para demostrar la veracidad de los hechos, </w:t>
      </w:r>
      <w:r w:rsidR="00F82471">
        <w:rPr>
          <w:color w:val="000000" w:themeColor="text1"/>
          <w:sz w:val="24"/>
          <w:szCs w:val="24"/>
        </w:rPr>
        <w:t>así como cuando se propongan resolver hechos irrelevantes, esto es, que no tienen ninguna trascendencia en relación al tema central que se trata. De ahí la oportunidad de que en el momento de requerir y plantear la prueba se exponga de manera razonada no solo la conexión de cada prueba con el objeto de la reclamación, sino también su importancia para la decisión del procedimiento.</w:t>
      </w:r>
    </w:p>
    <w:p w:rsidR="00F82471" w:rsidRDefault="00887F66" w:rsidP="00C37E5F">
      <w:pPr>
        <w:spacing w:line="360" w:lineRule="auto"/>
        <w:ind w:firstLine="709"/>
        <w:jc w:val="both"/>
        <w:rPr>
          <w:color w:val="000000" w:themeColor="text1"/>
          <w:sz w:val="24"/>
          <w:szCs w:val="24"/>
        </w:rPr>
      </w:pPr>
      <w:r>
        <w:rPr>
          <w:color w:val="000000" w:themeColor="text1"/>
          <w:sz w:val="24"/>
          <w:szCs w:val="24"/>
        </w:rPr>
        <w:t>En resumen, el instructor tendrá que solventar la cuestión de manera clara y motivada y, el hecho de no hacerlo puede conllevar la vulneración del derecho de defensa</w:t>
      </w:r>
      <w:r>
        <w:rPr>
          <w:rStyle w:val="Refdenotaalpie"/>
          <w:color w:val="000000" w:themeColor="text1"/>
          <w:sz w:val="24"/>
          <w:szCs w:val="24"/>
        </w:rPr>
        <w:footnoteReference w:id="46"/>
      </w:r>
      <w:r>
        <w:rPr>
          <w:color w:val="000000" w:themeColor="text1"/>
          <w:sz w:val="24"/>
          <w:szCs w:val="24"/>
        </w:rPr>
        <w:t xml:space="preserve"> (art. 24 CE).</w:t>
      </w:r>
    </w:p>
    <w:p w:rsidR="008C2FF0" w:rsidRDefault="00ED6581" w:rsidP="00C37E5F">
      <w:pPr>
        <w:spacing w:line="360" w:lineRule="auto"/>
        <w:ind w:firstLine="709"/>
        <w:jc w:val="both"/>
        <w:rPr>
          <w:color w:val="000000" w:themeColor="text1"/>
          <w:sz w:val="24"/>
          <w:szCs w:val="24"/>
        </w:rPr>
      </w:pPr>
      <w:r>
        <w:rPr>
          <w:color w:val="000000" w:themeColor="text1"/>
          <w:sz w:val="24"/>
          <w:szCs w:val="24"/>
        </w:rPr>
        <w:tab/>
      </w:r>
      <w:r>
        <w:rPr>
          <w:color w:val="000000" w:themeColor="text1"/>
          <w:sz w:val="24"/>
          <w:szCs w:val="24"/>
        </w:rPr>
        <w:tab/>
        <w:t>5.</w:t>
      </w:r>
      <w:r w:rsidR="00736135">
        <w:rPr>
          <w:color w:val="000000" w:themeColor="text1"/>
          <w:sz w:val="24"/>
          <w:szCs w:val="24"/>
        </w:rPr>
        <w:t>2.1.2 VALORACIÓN DE LA PRUEBA: ESPECIAL REFERENCIA A LA PRUEBA PERICIAL Y A LA HISTORIA CLÍNICA</w:t>
      </w:r>
    </w:p>
    <w:p w:rsidR="00736135" w:rsidRDefault="00736135" w:rsidP="00C37E5F">
      <w:pPr>
        <w:spacing w:line="360" w:lineRule="auto"/>
        <w:ind w:firstLine="709"/>
        <w:jc w:val="both"/>
        <w:rPr>
          <w:color w:val="000000" w:themeColor="text1"/>
          <w:sz w:val="24"/>
          <w:szCs w:val="24"/>
        </w:rPr>
      </w:pPr>
      <w:r>
        <w:rPr>
          <w:color w:val="000000" w:themeColor="text1"/>
          <w:sz w:val="24"/>
          <w:szCs w:val="24"/>
        </w:rPr>
        <w:t xml:space="preserve">En este punto concreto, es necesario detallar que del art. 348 LEC se desprende de forma clara que la prueba de peritos tiene que ser evaluada libremente por el juzgador, conforme a las reglas de la sana crítica. </w:t>
      </w:r>
      <w:r w:rsidR="000E71D6">
        <w:rPr>
          <w:color w:val="000000" w:themeColor="text1"/>
          <w:sz w:val="24"/>
          <w:szCs w:val="24"/>
        </w:rPr>
        <w:t xml:space="preserve">La jurisprudencia sostiene de manera reiterada que </w:t>
      </w:r>
      <w:r w:rsidR="000E71D6" w:rsidRPr="000E71D6">
        <w:rPr>
          <w:i/>
          <w:color w:val="000000" w:themeColor="text1"/>
          <w:sz w:val="24"/>
          <w:szCs w:val="24"/>
        </w:rPr>
        <w:t>“los peritos no suministran al juez su decisión, sino que le ilustran sobre las circunstancias del caso y le dan su parecer, pudiendo llegar este a conclusiones diversas de las que han obtenido los peritos, si bien tendrá que explicar las razones por las que no acepta los argumentos especializados aportados por el perito y por qué estima incoherentes e ilógicas las explicaciones dadas por el perito en su dictamen”</w:t>
      </w:r>
      <w:r w:rsidR="000E71D6">
        <w:rPr>
          <w:color w:val="000000" w:themeColor="text1"/>
          <w:sz w:val="24"/>
          <w:szCs w:val="24"/>
        </w:rPr>
        <w:t>.</w:t>
      </w:r>
    </w:p>
    <w:p w:rsidR="000E71D6" w:rsidRDefault="00533EDD" w:rsidP="00C37E5F">
      <w:pPr>
        <w:spacing w:line="360" w:lineRule="auto"/>
        <w:ind w:firstLine="709"/>
        <w:jc w:val="both"/>
        <w:rPr>
          <w:color w:val="000000" w:themeColor="text1"/>
          <w:sz w:val="24"/>
          <w:szCs w:val="24"/>
        </w:rPr>
      </w:pPr>
      <w:r>
        <w:rPr>
          <w:color w:val="000000" w:themeColor="text1"/>
          <w:sz w:val="24"/>
          <w:szCs w:val="24"/>
        </w:rPr>
        <w:t xml:space="preserve">Es por ello </w:t>
      </w:r>
      <w:r w:rsidR="000E71D6">
        <w:rPr>
          <w:color w:val="000000" w:themeColor="text1"/>
          <w:sz w:val="24"/>
          <w:szCs w:val="24"/>
        </w:rPr>
        <w:t>que</w:t>
      </w:r>
      <w:r>
        <w:rPr>
          <w:color w:val="000000" w:themeColor="text1"/>
          <w:sz w:val="24"/>
          <w:szCs w:val="24"/>
        </w:rPr>
        <w:t>,</w:t>
      </w:r>
      <w:r w:rsidR="000E71D6">
        <w:rPr>
          <w:color w:val="000000" w:themeColor="text1"/>
          <w:sz w:val="24"/>
          <w:szCs w:val="24"/>
        </w:rPr>
        <w:t xml:space="preserve"> para no cometer una arbitrariedad, el juez tendrá que motivar su decisión</w:t>
      </w:r>
      <w:r>
        <w:rPr>
          <w:color w:val="000000" w:themeColor="text1"/>
          <w:sz w:val="24"/>
          <w:szCs w:val="24"/>
        </w:rPr>
        <w:t xml:space="preserve"> cuando ésta </w:t>
      </w:r>
      <w:r w:rsidR="000E71D6">
        <w:rPr>
          <w:color w:val="000000" w:themeColor="text1"/>
          <w:sz w:val="24"/>
          <w:szCs w:val="24"/>
        </w:rPr>
        <w:t xml:space="preserve">resulte estar en oposición con la establecida en el dictamen pericial. </w:t>
      </w:r>
      <w:r>
        <w:rPr>
          <w:color w:val="000000" w:themeColor="text1"/>
          <w:sz w:val="24"/>
          <w:szCs w:val="24"/>
        </w:rPr>
        <w:t>Por tanto, es interesante destacar que la eficacia probatoria de la prueba pericial radica, fundamentalmente, no en sus afirmaciones, ni en la condición, categoría o número de sus autores, sino en su mayor o menor fundamentación y razón de ciencia,</w:t>
      </w:r>
      <w:r w:rsidR="008150B1">
        <w:rPr>
          <w:color w:val="000000" w:themeColor="text1"/>
          <w:sz w:val="24"/>
          <w:szCs w:val="24"/>
        </w:rPr>
        <w:t xml:space="preserve"> </w:t>
      </w:r>
      <w:r w:rsidR="006E6249">
        <w:rPr>
          <w:color w:val="000000" w:themeColor="text1"/>
          <w:sz w:val="24"/>
          <w:szCs w:val="24"/>
        </w:rPr>
        <w:t>así pues, debe tenerse como prevalentes aquellas conclusiones que se encuentren dotadas de una superior explicación racional, sin olvidar, no obstante, otros criterios auxiliares como, por ejemplo, el alejamiento al interés de las partes.</w:t>
      </w:r>
    </w:p>
    <w:p w:rsidR="00212358" w:rsidRDefault="00212358" w:rsidP="00C37E5F">
      <w:pPr>
        <w:spacing w:line="360" w:lineRule="auto"/>
        <w:ind w:firstLine="709"/>
        <w:jc w:val="both"/>
        <w:rPr>
          <w:color w:val="000000" w:themeColor="text1"/>
          <w:sz w:val="24"/>
          <w:szCs w:val="24"/>
        </w:rPr>
      </w:pPr>
      <w:r>
        <w:rPr>
          <w:color w:val="000000" w:themeColor="text1"/>
          <w:sz w:val="24"/>
          <w:szCs w:val="24"/>
        </w:rPr>
        <w:t xml:space="preserve">Importante consideración tiene la historia clínica que debe ser considerada como un documento administrativo de trascendencia probatoria. Según la </w:t>
      </w:r>
      <w:r w:rsidRPr="00212358">
        <w:rPr>
          <w:i/>
          <w:color w:val="000000" w:themeColor="text1"/>
          <w:sz w:val="24"/>
          <w:szCs w:val="24"/>
        </w:rPr>
        <w:t xml:space="preserve">“Ley 41/2002, de 14 de noviembre, básica reguladora de la autonomía del paciente y de derechos y obligaciones en </w:t>
      </w:r>
      <w:r w:rsidRPr="00212358">
        <w:rPr>
          <w:i/>
          <w:color w:val="000000" w:themeColor="text1"/>
          <w:sz w:val="24"/>
          <w:szCs w:val="24"/>
        </w:rPr>
        <w:lastRenderedPageBreak/>
        <w:t>materia de información y documentación clínica”</w:t>
      </w:r>
      <w:r>
        <w:rPr>
          <w:color w:val="000000" w:themeColor="text1"/>
          <w:sz w:val="24"/>
          <w:szCs w:val="24"/>
        </w:rPr>
        <w:t xml:space="preserve">, </w:t>
      </w:r>
      <w:r w:rsidR="00D2050A">
        <w:rPr>
          <w:color w:val="000000" w:themeColor="text1"/>
          <w:sz w:val="24"/>
          <w:szCs w:val="24"/>
        </w:rPr>
        <w:t xml:space="preserve">la historia clínica es el conjunto de documentos </w:t>
      </w:r>
      <w:r w:rsidR="00557004">
        <w:rPr>
          <w:color w:val="000000" w:themeColor="text1"/>
          <w:sz w:val="24"/>
          <w:szCs w:val="24"/>
        </w:rPr>
        <w:t>relativos a los procesos asistenciales de cada paciente, con el reconocimiento de los médicos y demás profesionales sanitarios que han tratado al paciente en concreto. El objetivo que se persigue con la historia clínica no es otro que conseguir la máxima integración posible de la documentación clínica de cada paciente, como mínimo, en el ámbito de cada centro, e integrar toda aquella información que se considere de suma importancia para el conocimiento veraz y actualizado del estado de salud del paciente. Sin embargo, este no es el único objetivo</w:t>
      </w:r>
      <w:r w:rsidR="00415927">
        <w:rPr>
          <w:color w:val="000000" w:themeColor="text1"/>
          <w:sz w:val="24"/>
          <w:szCs w:val="24"/>
        </w:rPr>
        <w:t xml:space="preserve"> que se persigue</w:t>
      </w:r>
      <w:r w:rsidR="00557004">
        <w:rPr>
          <w:color w:val="000000" w:themeColor="text1"/>
          <w:sz w:val="24"/>
          <w:szCs w:val="24"/>
        </w:rPr>
        <w:t xml:space="preserve">, pues la historia clínica, </w:t>
      </w:r>
      <w:r w:rsidR="00415927">
        <w:rPr>
          <w:color w:val="000000" w:themeColor="text1"/>
          <w:sz w:val="24"/>
          <w:szCs w:val="24"/>
        </w:rPr>
        <w:t>constituye un medio de prueba capital en el procedimiento de responsabilidad patrimonial y, es por esto, que la historia clínica tiene que ser lo más completa posible</w:t>
      </w:r>
      <w:r w:rsidR="00415927">
        <w:rPr>
          <w:rStyle w:val="Refdenotaalpie"/>
          <w:color w:val="000000" w:themeColor="text1"/>
          <w:sz w:val="24"/>
          <w:szCs w:val="24"/>
        </w:rPr>
        <w:footnoteReference w:id="47"/>
      </w:r>
      <w:r w:rsidR="00415927">
        <w:rPr>
          <w:color w:val="000000" w:themeColor="text1"/>
          <w:sz w:val="24"/>
          <w:szCs w:val="24"/>
        </w:rPr>
        <w:t>.</w:t>
      </w:r>
    </w:p>
    <w:p w:rsidR="00836F05" w:rsidRDefault="00836F05" w:rsidP="00C37E5F">
      <w:pPr>
        <w:spacing w:line="360" w:lineRule="auto"/>
        <w:ind w:firstLine="709"/>
        <w:jc w:val="both"/>
        <w:rPr>
          <w:color w:val="000000" w:themeColor="text1"/>
          <w:sz w:val="24"/>
          <w:szCs w:val="24"/>
        </w:rPr>
      </w:pPr>
      <w:r>
        <w:rPr>
          <w:color w:val="000000" w:themeColor="text1"/>
          <w:sz w:val="24"/>
          <w:szCs w:val="24"/>
        </w:rPr>
        <w:tab/>
        <w:t>5.2.2 AUDIENCIA AL INTERESADO</w:t>
      </w:r>
    </w:p>
    <w:p w:rsidR="00836F05" w:rsidRDefault="0075668F" w:rsidP="00C37E5F">
      <w:pPr>
        <w:spacing w:line="360" w:lineRule="auto"/>
        <w:ind w:firstLine="709"/>
        <w:jc w:val="both"/>
        <w:rPr>
          <w:color w:val="000000" w:themeColor="text1"/>
          <w:sz w:val="24"/>
          <w:szCs w:val="24"/>
        </w:rPr>
      </w:pPr>
      <w:r>
        <w:rPr>
          <w:color w:val="000000" w:themeColor="text1"/>
          <w:sz w:val="24"/>
          <w:szCs w:val="24"/>
        </w:rPr>
        <w:t>Este trámite aparece regulado en el art. 11 RPR, en términos parecidos a como es</w:t>
      </w:r>
      <w:r w:rsidR="00363AA2">
        <w:rPr>
          <w:color w:val="000000" w:themeColor="text1"/>
          <w:sz w:val="24"/>
          <w:szCs w:val="24"/>
        </w:rPr>
        <w:t>tá regulado en el art. 82 de la Ley 39/2015</w:t>
      </w:r>
      <w:r>
        <w:rPr>
          <w:color w:val="000000" w:themeColor="text1"/>
          <w:sz w:val="24"/>
          <w:szCs w:val="24"/>
        </w:rPr>
        <w:t>. De ig</w:t>
      </w:r>
      <w:r w:rsidR="00363AA2">
        <w:rPr>
          <w:color w:val="000000" w:themeColor="text1"/>
          <w:sz w:val="24"/>
          <w:szCs w:val="24"/>
        </w:rPr>
        <w:t>ual modo que sucede en la Ley 39/2015</w:t>
      </w:r>
      <w:r>
        <w:rPr>
          <w:color w:val="000000" w:themeColor="text1"/>
          <w:sz w:val="24"/>
          <w:szCs w:val="24"/>
        </w:rPr>
        <w:t xml:space="preserve">, en el art. 11 RPR aparece este trámite constituido por dos partes: una primera parte, destinada a la exposición y examen del expediente para que de este modo el interesado pueda llevar a cabo una buena defensa de sus intereses y, una segunda parte, </w:t>
      </w:r>
      <w:r w:rsidR="00D675BB">
        <w:rPr>
          <w:color w:val="000000" w:themeColor="text1"/>
          <w:sz w:val="24"/>
          <w:szCs w:val="24"/>
        </w:rPr>
        <w:t>en la cual el interesado puede alegar y presentar todo tipo de documentos, justificaciones y demás elementos probatorios que el considere procedentes. Son dos partes que, aunque parecen prescindibles, no pueden separarse la una de la otra puesto que se hallan entrelazadas, ya que la primera parte tiene como fin fundamental hacer que todas las posible</w:t>
      </w:r>
      <w:r w:rsidR="008956B1">
        <w:rPr>
          <w:color w:val="000000" w:themeColor="text1"/>
          <w:sz w:val="24"/>
          <w:szCs w:val="24"/>
        </w:rPr>
        <w:t>s alegaciones del interesado se realicen en unas condiciones que le permitan la mejor defensa posible.</w:t>
      </w:r>
      <w:r w:rsidR="008E1329">
        <w:rPr>
          <w:color w:val="000000" w:themeColor="text1"/>
          <w:sz w:val="24"/>
          <w:szCs w:val="24"/>
        </w:rPr>
        <w:t xml:space="preserve"> Es por ello que, en este momento procedimental, tiene que permitirse tener en cuenta todos los elementos de juicio que se hacen </w:t>
      </w:r>
      <w:r w:rsidR="008E1329">
        <w:rPr>
          <w:color w:val="000000" w:themeColor="text1"/>
          <w:sz w:val="24"/>
          <w:szCs w:val="24"/>
        </w:rPr>
        <w:lastRenderedPageBreak/>
        <w:t>constar en el expediente, para que, de esta manera, se traslade así, de forma efectiva y real, la posibilidad de realizar alegaciones, contando para ello con todas las actuaciones que se han realizado a lo largo del procedimiento.</w:t>
      </w:r>
    </w:p>
    <w:p w:rsidR="008E1329" w:rsidRDefault="008E1329" w:rsidP="00C37E5F">
      <w:pPr>
        <w:spacing w:line="360" w:lineRule="auto"/>
        <w:ind w:firstLine="709"/>
        <w:jc w:val="both"/>
        <w:rPr>
          <w:color w:val="000000" w:themeColor="text1"/>
          <w:sz w:val="24"/>
          <w:szCs w:val="24"/>
        </w:rPr>
      </w:pPr>
      <w:r>
        <w:rPr>
          <w:color w:val="000000" w:themeColor="text1"/>
          <w:sz w:val="24"/>
          <w:szCs w:val="24"/>
        </w:rPr>
        <w:t>Ambas partes mencionadas, que se encuentran relacionadas entre sí, tienen justa correspondencia</w:t>
      </w:r>
      <w:r w:rsidR="00FF30A1">
        <w:rPr>
          <w:color w:val="000000" w:themeColor="text1"/>
          <w:sz w:val="24"/>
          <w:szCs w:val="24"/>
        </w:rPr>
        <w:t xml:space="preserve"> con las dos finalidades del trámite de audiencia: la primera, que podría manifestarse de forma negativa; que no se produzca indefensión: y la segunda, que puede enunciarse de forma positiva; que se tengan en cuenta los razonamientos y pretensiones del interesado a la hora de dictar el acto que expresa la voluntad del órgano administrativo.</w:t>
      </w:r>
    </w:p>
    <w:p w:rsidR="00FF30A1" w:rsidRDefault="00FF30A1" w:rsidP="00C37E5F">
      <w:pPr>
        <w:spacing w:line="360" w:lineRule="auto"/>
        <w:ind w:firstLine="709"/>
        <w:jc w:val="both"/>
        <w:rPr>
          <w:color w:val="000000" w:themeColor="text1"/>
          <w:sz w:val="24"/>
          <w:szCs w:val="24"/>
        </w:rPr>
      </w:pPr>
      <w:r>
        <w:rPr>
          <w:color w:val="000000" w:themeColor="text1"/>
          <w:sz w:val="24"/>
          <w:szCs w:val="24"/>
        </w:rPr>
        <w:tab/>
        <w:t>5.2.3 DICTAMEN DEL CONSEJO DE ESTADO U ÓRGANO CONSULTIVO DE LA COMUNIDAD AUTÓNOMA</w:t>
      </w:r>
    </w:p>
    <w:p w:rsidR="00FF30A1" w:rsidRDefault="00FF30A1" w:rsidP="00C37E5F">
      <w:pPr>
        <w:spacing w:line="360" w:lineRule="auto"/>
        <w:ind w:firstLine="709"/>
        <w:jc w:val="both"/>
        <w:rPr>
          <w:color w:val="000000" w:themeColor="text1"/>
          <w:sz w:val="24"/>
          <w:szCs w:val="24"/>
        </w:rPr>
      </w:pPr>
      <w:r>
        <w:rPr>
          <w:color w:val="000000" w:themeColor="text1"/>
          <w:sz w:val="24"/>
          <w:szCs w:val="24"/>
        </w:rPr>
        <w:t xml:space="preserve">Este dictamen se regula en el art. 12 RPR y se configura como un trámite preceptivo, </w:t>
      </w:r>
      <w:r w:rsidR="00BF21C2">
        <w:rPr>
          <w:color w:val="000000" w:themeColor="text1"/>
          <w:sz w:val="24"/>
          <w:szCs w:val="24"/>
        </w:rPr>
        <w:t>aunque en ningún momento se manifiesta que dicho dictamen sea vinculante, lo que conlleva que pueda darse la circunstancia de resolver en contra de lo informado por el dictamen, con el único requisito de motivar este apartamiento.</w:t>
      </w:r>
    </w:p>
    <w:p w:rsidR="00BF21C2" w:rsidRDefault="00BF21C2" w:rsidP="00C37E5F">
      <w:pPr>
        <w:spacing w:line="360" w:lineRule="auto"/>
        <w:ind w:firstLine="709"/>
        <w:jc w:val="both"/>
        <w:rPr>
          <w:color w:val="000000" w:themeColor="text1"/>
          <w:sz w:val="24"/>
          <w:szCs w:val="24"/>
        </w:rPr>
      </w:pPr>
      <w:r>
        <w:rPr>
          <w:color w:val="000000" w:themeColor="text1"/>
          <w:sz w:val="24"/>
          <w:szCs w:val="24"/>
        </w:rPr>
        <w:t>Para solicitar este dictamen, el órgano instructor tiene un plazo de diez días, si se tratara de un procedimiento general, y cinco días, si en este caso se tratara de un procedimiento abreviado, a contar en ambos casos a partir de que termina el trámite de audiencia.</w:t>
      </w:r>
      <w:r w:rsidR="006002A8">
        <w:rPr>
          <w:color w:val="000000" w:themeColor="text1"/>
          <w:sz w:val="24"/>
          <w:szCs w:val="24"/>
        </w:rPr>
        <w:t xml:space="preserve"> Junto con él tendrá que estar también, la propuesta de resolución, así como la propuesta de acuerdo convencional si se diera el caso. El órgano consultivo contará con un plazo máximo de dos meses para emitirlo, salvo que sea un procedimiento abreviado, para el cual tiene un plazo más reducido que es de diez días. No obstante, </w:t>
      </w:r>
      <w:r w:rsidR="00AE2E2C">
        <w:rPr>
          <w:color w:val="000000" w:themeColor="text1"/>
          <w:sz w:val="24"/>
          <w:szCs w:val="24"/>
        </w:rPr>
        <w:t>en ninguno de los casos están previstas las consecuencias de la omisión de este trámite, lo que</w:t>
      </w:r>
      <w:r w:rsidR="00C302C4">
        <w:rPr>
          <w:color w:val="000000" w:themeColor="text1"/>
          <w:sz w:val="24"/>
          <w:szCs w:val="24"/>
        </w:rPr>
        <w:t>,</w:t>
      </w:r>
      <w:r w:rsidR="00AE2E2C">
        <w:rPr>
          <w:color w:val="000000" w:themeColor="text1"/>
          <w:sz w:val="24"/>
          <w:szCs w:val="24"/>
        </w:rPr>
        <w:t xml:space="preserve"> unido al carácter no vinculante de</w:t>
      </w:r>
      <w:r w:rsidR="00C302C4">
        <w:rPr>
          <w:color w:val="000000" w:themeColor="text1"/>
          <w:sz w:val="24"/>
          <w:szCs w:val="24"/>
        </w:rPr>
        <w:t>l informe, permite entender pues que</w:t>
      </w:r>
      <w:r w:rsidR="00B82A9A">
        <w:rPr>
          <w:color w:val="000000" w:themeColor="text1"/>
          <w:sz w:val="24"/>
          <w:szCs w:val="24"/>
        </w:rPr>
        <w:t xml:space="preserve"> (salvo que haya sido la Administración actuante la que no lo haya solicitado)</w:t>
      </w:r>
      <w:r w:rsidR="00C302C4">
        <w:rPr>
          <w:color w:val="000000" w:themeColor="text1"/>
          <w:sz w:val="24"/>
          <w:szCs w:val="24"/>
        </w:rPr>
        <w:t>, su omisión no genera la nulidad de las actuaciones, ni la necesidad de retrotraerlas al momento de dicha omisión.</w:t>
      </w:r>
    </w:p>
    <w:p w:rsidR="00C302C4" w:rsidRDefault="00C302C4" w:rsidP="00C37E5F">
      <w:pPr>
        <w:spacing w:line="360" w:lineRule="auto"/>
        <w:ind w:firstLine="709"/>
        <w:jc w:val="both"/>
        <w:rPr>
          <w:color w:val="000000" w:themeColor="text1"/>
          <w:sz w:val="24"/>
          <w:szCs w:val="24"/>
        </w:rPr>
      </w:pPr>
      <w:r>
        <w:rPr>
          <w:color w:val="000000" w:themeColor="text1"/>
          <w:sz w:val="24"/>
          <w:szCs w:val="24"/>
        </w:rPr>
        <w:t>5.3 TERMINACIÓN</w:t>
      </w:r>
    </w:p>
    <w:p w:rsidR="00C302C4" w:rsidRDefault="00C302C4" w:rsidP="00C37E5F">
      <w:pPr>
        <w:spacing w:line="360" w:lineRule="auto"/>
        <w:ind w:firstLine="709"/>
        <w:jc w:val="both"/>
        <w:rPr>
          <w:color w:val="000000" w:themeColor="text1"/>
          <w:sz w:val="24"/>
          <w:szCs w:val="24"/>
        </w:rPr>
      </w:pPr>
      <w:r>
        <w:rPr>
          <w:color w:val="000000" w:themeColor="text1"/>
          <w:sz w:val="24"/>
          <w:szCs w:val="24"/>
        </w:rPr>
        <w:tab/>
        <w:t>5.3.1 TERMINACIÓN CONVENCIONAL</w:t>
      </w:r>
    </w:p>
    <w:p w:rsidR="00C302C4" w:rsidRDefault="009E58B6" w:rsidP="00C37E5F">
      <w:pPr>
        <w:spacing w:line="360" w:lineRule="auto"/>
        <w:ind w:firstLine="709"/>
        <w:jc w:val="both"/>
        <w:rPr>
          <w:color w:val="000000" w:themeColor="text1"/>
          <w:sz w:val="24"/>
          <w:szCs w:val="24"/>
        </w:rPr>
      </w:pPr>
      <w:r>
        <w:rPr>
          <w:color w:val="000000" w:themeColor="text1"/>
          <w:sz w:val="24"/>
          <w:szCs w:val="24"/>
        </w:rPr>
        <w:t xml:space="preserve">El RPR muestra su especial preocupación por esta manera de terminar el procedimiento. Tanto es así, que desde que se inicia el procedimiento, éste puede terminar de esta manera en cualquier momento con tal de que sea antes de dictar la resolución, bien a petición del interesado, o bien, por iniciativa del órgano competente a propuesta del instructor. </w:t>
      </w:r>
      <w:r w:rsidR="009C41F5">
        <w:rPr>
          <w:color w:val="000000" w:themeColor="text1"/>
          <w:sz w:val="24"/>
          <w:szCs w:val="24"/>
        </w:rPr>
        <w:t>Aun así, el RPR olvida algo bastante importante, como es delimitar los requisitos mínimos de este acuerdo, sus condicionantes, su contenido y límites.</w:t>
      </w:r>
    </w:p>
    <w:p w:rsidR="00F84325" w:rsidRDefault="00F84325" w:rsidP="00C37E5F">
      <w:pPr>
        <w:spacing w:line="360" w:lineRule="auto"/>
        <w:ind w:firstLine="709"/>
        <w:jc w:val="both"/>
        <w:rPr>
          <w:color w:val="000000" w:themeColor="text1"/>
          <w:sz w:val="24"/>
          <w:szCs w:val="24"/>
        </w:rPr>
      </w:pPr>
      <w:r>
        <w:rPr>
          <w:color w:val="000000" w:themeColor="text1"/>
          <w:sz w:val="24"/>
          <w:szCs w:val="24"/>
        </w:rPr>
        <w:lastRenderedPageBreak/>
        <w:t>No obstante, parece evidente que algunas cuestiones no podrán ser objeto del mismo, puesto que resultan innegociables hasta para la propia Administración. Algunas de estas cuestiones son, por ejemplo, la procedencia de la reparación misma, la relación de causalidad o los criterios de valoración. Debido a esto, las posibilidades de acuerdo deben limitarse a la determinación de la cuantía de la indemnización y al modo de hacer efectiva la compensación cuando esta se estime procedente.</w:t>
      </w:r>
    </w:p>
    <w:p w:rsidR="00F84325" w:rsidRDefault="00F84325" w:rsidP="00C37E5F">
      <w:pPr>
        <w:spacing w:line="360" w:lineRule="auto"/>
        <w:ind w:firstLine="709"/>
        <w:jc w:val="both"/>
        <w:rPr>
          <w:color w:val="000000" w:themeColor="text1"/>
          <w:sz w:val="24"/>
          <w:szCs w:val="24"/>
        </w:rPr>
      </w:pPr>
      <w:r>
        <w:rPr>
          <w:color w:val="000000" w:themeColor="text1"/>
          <w:sz w:val="24"/>
          <w:szCs w:val="24"/>
        </w:rPr>
        <w:tab/>
        <w:t>5.3.2 RESOLUCIÓN</w:t>
      </w:r>
    </w:p>
    <w:p w:rsidR="00F84325" w:rsidRDefault="00F84325" w:rsidP="00C37E5F">
      <w:pPr>
        <w:spacing w:line="360" w:lineRule="auto"/>
        <w:ind w:firstLine="709"/>
        <w:jc w:val="both"/>
        <w:rPr>
          <w:color w:val="000000" w:themeColor="text1"/>
          <w:sz w:val="24"/>
          <w:szCs w:val="24"/>
        </w:rPr>
      </w:pPr>
      <w:r>
        <w:rPr>
          <w:color w:val="000000" w:themeColor="text1"/>
          <w:sz w:val="24"/>
          <w:szCs w:val="24"/>
        </w:rPr>
        <w:t>La resolución debe aj</w:t>
      </w:r>
      <w:r w:rsidR="008C4799">
        <w:rPr>
          <w:color w:val="000000" w:themeColor="text1"/>
          <w:sz w:val="24"/>
          <w:szCs w:val="24"/>
        </w:rPr>
        <w:t>ustarse a los requisitos de forma y contenido regu</w:t>
      </w:r>
      <w:r w:rsidR="00363AA2">
        <w:rPr>
          <w:color w:val="000000" w:themeColor="text1"/>
          <w:sz w:val="24"/>
          <w:szCs w:val="24"/>
        </w:rPr>
        <w:t>lados en el art. 88 de la Ley 39/2015</w:t>
      </w:r>
      <w:r w:rsidR="008C4799">
        <w:rPr>
          <w:color w:val="000000" w:themeColor="text1"/>
          <w:sz w:val="24"/>
          <w:szCs w:val="24"/>
        </w:rPr>
        <w:t>, por ello la resolución, debe ser completa, congruente y motivada.</w:t>
      </w:r>
    </w:p>
    <w:p w:rsidR="008C4799" w:rsidRDefault="005D67A9" w:rsidP="00C37E5F">
      <w:pPr>
        <w:spacing w:line="360" w:lineRule="auto"/>
        <w:ind w:firstLine="709"/>
        <w:jc w:val="both"/>
        <w:rPr>
          <w:color w:val="000000" w:themeColor="text1"/>
          <w:sz w:val="24"/>
          <w:szCs w:val="24"/>
        </w:rPr>
      </w:pPr>
      <w:r>
        <w:rPr>
          <w:color w:val="000000" w:themeColor="text1"/>
          <w:sz w:val="24"/>
          <w:szCs w:val="24"/>
        </w:rPr>
        <w:t>Lo primero reclama que la resolución se manifieste sobre algo en lo que se insiste durante tod</w:t>
      </w:r>
      <w:r w:rsidR="00147BE5">
        <w:rPr>
          <w:color w:val="000000" w:themeColor="text1"/>
          <w:sz w:val="24"/>
          <w:szCs w:val="24"/>
        </w:rPr>
        <w:t xml:space="preserve">o su articulado, que no es otra </w:t>
      </w:r>
      <w:r>
        <w:rPr>
          <w:color w:val="000000" w:themeColor="text1"/>
          <w:sz w:val="24"/>
          <w:szCs w:val="24"/>
        </w:rPr>
        <w:t>cosa que, la existencia o no de la relaci</w:t>
      </w:r>
      <w:r w:rsidR="00147BE5">
        <w:rPr>
          <w:color w:val="000000" w:themeColor="text1"/>
          <w:sz w:val="24"/>
          <w:szCs w:val="24"/>
        </w:rPr>
        <w:t xml:space="preserve">ón de causalidad </w:t>
      </w:r>
      <w:r>
        <w:rPr>
          <w:color w:val="000000" w:themeColor="text1"/>
          <w:sz w:val="24"/>
          <w:szCs w:val="24"/>
        </w:rPr>
        <w:t>entre el funcionamiento del servicio público y el daño ocasionado, asimismo, también se exige que se manifieste sobre la valoración del daño producido y la cuantía de la indemnización.</w:t>
      </w:r>
      <w:r w:rsidR="00147BE5">
        <w:rPr>
          <w:color w:val="000000" w:themeColor="text1"/>
          <w:sz w:val="24"/>
          <w:szCs w:val="24"/>
        </w:rPr>
        <w:t xml:space="preserve"> Por otra parte, la congruencia exige que, en la parte decisoria, la resolución sea apropiada con las pretensiones del interesado, de manera que no pueda concederse más de lo que se ha pedido ni algo diferente de lo que se ha reclamado, así como tampoco puede omitirse o dejar de contestar a alguna de las pretensiones demandadas por el interesado. No obstante, pueda darse el caso de que se otorgue menos de lo que se ha pedido o, incluso, desestimarse por completo lo pedido, pero motivando en todo caso, la decisión que sea adoptada, haciendo </w:t>
      </w:r>
      <w:r w:rsidR="005F0B39">
        <w:rPr>
          <w:color w:val="000000" w:themeColor="text1"/>
          <w:sz w:val="24"/>
          <w:szCs w:val="24"/>
        </w:rPr>
        <w:t xml:space="preserve">para ello </w:t>
      </w:r>
      <w:r w:rsidR="00147BE5">
        <w:rPr>
          <w:color w:val="000000" w:themeColor="text1"/>
          <w:sz w:val="24"/>
          <w:szCs w:val="24"/>
        </w:rPr>
        <w:t xml:space="preserve">caso </w:t>
      </w:r>
      <w:r w:rsidR="005F0B39">
        <w:rPr>
          <w:color w:val="000000" w:themeColor="text1"/>
          <w:sz w:val="24"/>
          <w:szCs w:val="24"/>
        </w:rPr>
        <w:t xml:space="preserve">al </w:t>
      </w:r>
      <w:r w:rsidR="00363AA2">
        <w:rPr>
          <w:color w:val="000000" w:themeColor="text1"/>
          <w:sz w:val="24"/>
          <w:szCs w:val="24"/>
        </w:rPr>
        <w:t>art. 88 Ley 39/2015</w:t>
      </w:r>
      <w:r w:rsidR="00147BE5">
        <w:rPr>
          <w:color w:val="000000" w:themeColor="text1"/>
          <w:sz w:val="24"/>
          <w:szCs w:val="24"/>
        </w:rPr>
        <w:t xml:space="preserve"> e</w:t>
      </w:r>
      <w:r w:rsidR="00363AA2">
        <w:rPr>
          <w:color w:val="000000" w:themeColor="text1"/>
          <w:sz w:val="24"/>
          <w:szCs w:val="24"/>
        </w:rPr>
        <w:t>n relación con el art. 35 de la misma Ley (39/2015)</w:t>
      </w:r>
      <w:r w:rsidR="00147BE5">
        <w:rPr>
          <w:color w:val="000000" w:themeColor="text1"/>
          <w:sz w:val="24"/>
          <w:szCs w:val="24"/>
        </w:rPr>
        <w:t>.</w:t>
      </w:r>
    </w:p>
    <w:p w:rsidR="005F0B39" w:rsidRDefault="005F0B39" w:rsidP="00C37E5F">
      <w:pPr>
        <w:spacing w:line="360" w:lineRule="auto"/>
        <w:ind w:firstLine="709"/>
        <w:jc w:val="both"/>
        <w:rPr>
          <w:color w:val="000000" w:themeColor="text1"/>
          <w:sz w:val="24"/>
          <w:szCs w:val="24"/>
        </w:rPr>
      </w:pPr>
      <w:r>
        <w:rPr>
          <w:color w:val="000000" w:themeColor="text1"/>
          <w:sz w:val="24"/>
          <w:szCs w:val="24"/>
        </w:rPr>
        <w:tab/>
        <w:t>5.3.3 SILENCIO ADMINISTRATIVO</w:t>
      </w:r>
    </w:p>
    <w:p w:rsidR="005F0B39" w:rsidRDefault="005A3099" w:rsidP="00C37E5F">
      <w:pPr>
        <w:spacing w:line="360" w:lineRule="auto"/>
        <w:ind w:firstLine="709"/>
        <w:jc w:val="both"/>
        <w:rPr>
          <w:color w:val="000000" w:themeColor="text1"/>
          <w:sz w:val="24"/>
          <w:szCs w:val="24"/>
        </w:rPr>
      </w:pPr>
      <w:r>
        <w:rPr>
          <w:color w:val="000000" w:themeColor="text1"/>
          <w:sz w:val="24"/>
          <w:szCs w:val="24"/>
        </w:rPr>
        <w:t>El plazo máximo para sentenciar el procedimiento y comunicar la resolución es de seis meses, que se cuentan a partir del momento en que se inició el procedimiento y que, según el art. 13.3 RPR, podrá ser aumentado si se ha acordado un periodo extraordinario de prueba. El supuesto de no resolución y notificación dentro del plazo, da lugar a la desestimación de la pretensión indemnizatoria por silencio administrativo.</w:t>
      </w:r>
    </w:p>
    <w:p w:rsidR="00962CD2" w:rsidRDefault="00962CD2" w:rsidP="00F71033">
      <w:pPr>
        <w:spacing w:line="360" w:lineRule="auto"/>
        <w:ind w:firstLine="709"/>
        <w:jc w:val="both"/>
        <w:rPr>
          <w:color w:val="000000" w:themeColor="text1"/>
          <w:sz w:val="24"/>
          <w:szCs w:val="24"/>
        </w:rPr>
      </w:pPr>
      <w:r>
        <w:rPr>
          <w:color w:val="000000" w:themeColor="text1"/>
          <w:sz w:val="24"/>
          <w:szCs w:val="24"/>
        </w:rPr>
        <w:t>Aunque</w:t>
      </w:r>
      <w:r w:rsidR="00363AA2">
        <w:rPr>
          <w:color w:val="000000" w:themeColor="text1"/>
          <w:sz w:val="24"/>
          <w:szCs w:val="24"/>
        </w:rPr>
        <w:t xml:space="preserve"> el RPR no se remite a la Ley 39/2015</w:t>
      </w:r>
      <w:r>
        <w:rPr>
          <w:color w:val="000000" w:themeColor="text1"/>
          <w:sz w:val="24"/>
          <w:szCs w:val="24"/>
        </w:rPr>
        <w:t xml:space="preserve">, es evidente su plena </w:t>
      </w:r>
      <w:r w:rsidR="00F71033">
        <w:rPr>
          <w:color w:val="000000" w:themeColor="text1"/>
          <w:sz w:val="24"/>
          <w:szCs w:val="24"/>
        </w:rPr>
        <w:t>aplicabilidad,</w:t>
      </w:r>
      <w:r>
        <w:rPr>
          <w:color w:val="000000" w:themeColor="text1"/>
          <w:sz w:val="24"/>
          <w:szCs w:val="24"/>
        </w:rPr>
        <w:t xml:space="preserve"> así como la relevante jurisprudencia dictada al respecto. Por el</w:t>
      </w:r>
      <w:r w:rsidR="00363AA2">
        <w:rPr>
          <w:color w:val="000000" w:themeColor="text1"/>
          <w:sz w:val="24"/>
          <w:szCs w:val="24"/>
        </w:rPr>
        <w:t>lo, y haciendo caso de la Ley 39/2015</w:t>
      </w:r>
      <w:r>
        <w:rPr>
          <w:color w:val="000000" w:themeColor="text1"/>
          <w:sz w:val="24"/>
          <w:szCs w:val="24"/>
        </w:rPr>
        <w:t>, hay que comprender que el plazo máximo no se comienza a contar</w:t>
      </w:r>
      <w:r w:rsidR="002537DA">
        <w:rPr>
          <w:color w:val="000000" w:themeColor="text1"/>
          <w:sz w:val="24"/>
          <w:szCs w:val="24"/>
        </w:rPr>
        <w:t xml:space="preserve"> desde que se inició el procedimiento (como indica el art. 13 RPR), sino que comienza a contarse a partir del momento en que se notifica al interesado la </w:t>
      </w:r>
      <w:r w:rsidR="002537DA" w:rsidRPr="002537DA">
        <w:rPr>
          <w:i/>
          <w:color w:val="000000" w:themeColor="text1"/>
          <w:sz w:val="24"/>
          <w:szCs w:val="24"/>
        </w:rPr>
        <w:t>“comunicación previa”</w:t>
      </w:r>
      <w:r w:rsidR="002537DA">
        <w:rPr>
          <w:color w:val="000000" w:themeColor="text1"/>
          <w:sz w:val="24"/>
          <w:szCs w:val="24"/>
        </w:rPr>
        <w:t xml:space="preserve"> a la cual hac</w:t>
      </w:r>
      <w:r w:rsidR="00532DDD">
        <w:rPr>
          <w:color w:val="000000" w:themeColor="text1"/>
          <w:sz w:val="24"/>
          <w:szCs w:val="24"/>
        </w:rPr>
        <w:t>e referencia el art. 21.4.2 de la Ley 39/2015</w:t>
      </w:r>
      <w:r w:rsidR="002537DA">
        <w:rPr>
          <w:color w:val="000000" w:themeColor="text1"/>
          <w:sz w:val="24"/>
          <w:szCs w:val="24"/>
        </w:rPr>
        <w:t>, y en la cual han de indicarse las siguientes circunstancias:</w:t>
      </w:r>
    </w:p>
    <w:p w:rsidR="002537DA" w:rsidRPr="002537DA" w:rsidRDefault="002537DA" w:rsidP="00962CD2">
      <w:pPr>
        <w:spacing w:line="360" w:lineRule="auto"/>
        <w:ind w:firstLine="709"/>
        <w:jc w:val="both"/>
        <w:rPr>
          <w:i/>
          <w:color w:val="000000" w:themeColor="text1"/>
          <w:sz w:val="24"/>
          <w:szCs w:val="24"/>
        </w:rPr>
      </w:pPr>
      <w:r w:rsidRPr="002537DA">
        <w:rPr>
          <w:i/>
          <w:color w:val="000000" w:themeColor="text1"/>
          <w:sz w:val="24"/>
          <w:szCs w:val="24"/>
        </w:rPr>
        <w:lastRenderedPageBreak/>
        <w:t>“a) fecha en que ha tenido entrada en su Registro. Esta circunstancia es sumamente importante porque será a partir de esta fecha cuando comienza el cómputo del plazo máximo de que dispone la Administración para resolver y notificar y, en consecuencia, para determinar cuándo se produce silencio administrativo, lo que es importante para saber cuándo procede interponer el recurso procedente.</w:t>
      </w:r>
    </w:p>
    <w:p w:rsidR="002537DA" w:rsidRPr="002537DA" w:rsidRDefault="002537DA" w:rsidP="00962CD2">
      <w:pPr>
        <w:spacing w:line="360" w:lineRule="auto"/>
        <w:ind w:firstLine="709"/>
        <w:jc w:val="both"/>
        <w:rPr>
          <w:i/>
          <w:color w:val="000000" w:themeColor="text1"/>
          <w:sz w:val="24"/>
          <w:szCs w:val="24"/>
        </w:rPr>
      </w:pPr>
      <w:r w:rsidRPr="002537DA">
        <w:rPr>
          <w:i/>
          <w:color w:val="000000" w:themeColor="text1"/>
          <w:sz w:val="24"/>
          <w:szCs w:val="24"/>
        </w:rPr>
        <w:t>b) plazo de duración máxima del procedimiento.</w:t>
      </w:r>
    </w:p>
    <w:p w:rsidR="002537DA" w:rsidRPr="002537DA" w:rsidRDefault="002537DA" w:rsidP="00962CD2">
      <w:pPr>
        <w:spacing w:line="360" w:lineRule="auto"/>
        <w:ind w:firstLine="709"/>
        <w:jc w:val="both"/>
        <w:rPr>
          <w:i/>
          <w:color w:val="000000" w:themeColor="text1"/>
          <w:sz w:val="24"/>
          <w:szCs w:val="24"/>
        </w:rPr>
      </w:pPr>
      <w:r w:rsidRPr="002537DA">
        <w:rPr>
          <w:i/>
          <w:color w:val="000000" w:themeColor="text1"/>
          <w:sz w:val="24"/>
          <w:szCs w:val="24"/>
        </w:rPr>
        <w:t>c) sentido positivo o negativo del silencio.</w:t>
      </w:r>
    </w:p>
    <w:p w:rsidR="002537DA" w:rsidRDefault="002537DA" w:rsidP="00962CD2">
      <w:pPr>
        <w:spacing w:line="360" w:lineRule="auto"/>
        <w:ind w:firstLine="709"/>
        <w:jc w:val="both"/>
        <w:rPr>
          <w:color w:val="000000" w:themeColor="text1"/>
          <w:sz w:val="24"/>
          <w:szCs w:val="24"/>
        </w:rPr>
      </w:pPr>
      <w:r w:rsidRPr="002537DA">
        <w:rPr>
          <w:i/>
          <w:color w:val="000000" w:themeColor="text1"/>
          <w:sz w:val="24"/>
          <w:szCs w:val="24"/>
        </w:rPr>
        <w:t>d) recurso que procede, órgano ante el que hay que interponerlo y plazo”</w:t>
      </w:r>
      <w:r>
        <w:rPr>
          <w:color w:val="000000" w:themeColor="text1"/>
          <w:sz w:val="24"/>
          <w:szCs w:val="24"/>
        </w:rPr>
        <w:t>.</w:t>
      </w:r>
    </w:p>
    <w:p w:rsidR="007B3FF0" w:rsidRDefault="00050B01" w:rsidP="004D5F24">
      <w:pPr>
        <w:spacing w:line="360" w:lineRule="auto"/>
        <w:ind w:firstLine="709"/>
        <w:jc w:val="both"/>
        <w:rPr>
          <w:color w:val="000000" w:themeColor="text1"/>
          <w:sz w:val="24"/>
          <w:szCs w:val="24"/>
        </w:rPr>
      </w:pPr>
      <w:r>
        <w:rPr>
          <w:color w:val="000000" w:themeColor="text1"/>
          <w:sz w:val="24"/>
          <w:szCs w:val="24"/>
        </w:rPr>
        <w:t>Tanta</w:t>
      </w:r>
      <w:r w:rsidR="00B54C1F">
        <w:rPr>
          <w:color w:val="000000" w:themeColor="text1"/>
          <w:sz w:val="24"/>
          <w:szCs w:val="24"/>
        </w:rPr>
        <w:t xml:space="preserve"> es la importancia que conlleva que</w:t>
      </w:r>
      <w:r>
        <w:rPr>
          <w:color w:val="000000" w:themeColor="text1"/>
          <w:sz w:val="24"/>
          <w:szCs w:val="24"/>
        </w:rPr>
        <w:t xml:space="preserve"> la Administración haya realizado toda la informaci</w:t>
      </w:r>
      <w:r w:rsidR="00B54C1F">
        <w:rPr>
          <w:color w:val="000000" w:themeColor="text1"/>
          <w:sz w:val="24"/>
          <w:szCs w:val="24"/>
        </w:rPr>
        <w:t>ón que manifiesta</w:t>
      </w:r>
      <w:r>
        <w:rPr>
          <w:color w:val="000000" w:themeColor="text1"/>
          <w:sz w:val="24"/>
          <w:szCs w:val="24"/>
        </w:rPr>
        <w:t xml:space="preserve"> dicho precepto,</w:t>
      </w:r>
      <w:r w:rsidR="00B54C1F">
        <w:rPr>
          <w:color w:val="000000" w:themeColor="text1"/>
          <w:sz w:val="24"/>
          <w:szCs w:val="24"/>
        </w:rPr>
        <w:t xml:space="preserve"> que su omisión puede acarrear que el plazo quede indefinidamente abierto para interponer el recurso contencioso-administrativo</w:t>
      </w:r>
      <w:r w:rsidR="00B54C1F">
        <w:rPr>
          <w:rStyle w:val="Refdenotaalpie"/>
          <w:color w:val="000000" w:themeColor="text1"/>
          <w:sz w:val="24"/>
          <w:szCs w:val="24"/>
        </w:rPr>
        <w:footnoteReference w:id="48"/>
      </w:r>
      <w:r w:rsidR="00B54C1F">
        <w:rPr>
          <w:color w:val="000000" w:themeColor="text1"/>
          <w:sz w:val="24"/>
          <w:szCs w:val="24"/>
        </w:rPr>
        <w:t>.</w:t>
      </w:r>
    </w:p>
    <w:p w:rsidR="009762AB" w:rsidRDefault="00171A27" w:rsidP="009762AB">
      <w:pPr>
        <w:spacing w:line="360" w:lineRule="auto"/>
        <w:ind w:firstLine="709"/>
        <w:jc w:val="both"/>
        <w:rPr>
          <w:color w:val="000000" w:themeColor="text1"/>
          <w:sz w:val="24"/>
          <w:szCs w:val="24"/>
        </w:rPr>
      </w:pPr>
      <w:r>
        <w:rPr>
          <w:color w:val="000000" w:themeColor="text1"/>
          <w:sz w:val="24"/>
          <w:szCs w:val="24"/>
        </w:rPr>
        <w:t xml:space="preserve">Ahora bien, </w:t>
      </w:r>
      <w:r w:rsidR="00674047">
        <w:rPr>
          <w:color w:val="000000" w:themeColor="text1"/>
          <w:sz w:val="24"/>
          <w:szCs w:val="24"/>
        </w:rPr>
        <w:t xml:space="preserve">la existencia del silencio negativo no deriva en la terminación del procedimiento y, por supuesto, no equivale a una resolución administrativa cuando es negativo: a diferencia del silencio positivo, </w:t>
      </w:r>
      <w:r w:rsidR="00674047" w:rsidRPr="00674047">
        <w:rPr>
          <w:i/>
          <w:color w:val="000000" w:themeColor="text1"/>
          <w:sz w:val="24"/>
          <w:szCs w:val="24"/>
        </w:rPr>
        <w:t>“la desestimación por silencio administrativo tiene solo los efectos de permitir a los interesados la interposición del recurso”</w:t>
      </w:r>
      <w:r w:rsidR="00EB4139">
        <w:rPr>
          <w:color w:val="000000" w:themeColor="text1"/>
          <w:sz w:val="24"/>
          <w:szCs w:val="24"/>
        </w:rPr>
        <w:t xml:space="preserve"> (art. 24.2 de la Ley 39/2015</w:t>
      </w:r>
      <w:r w:rsidR="00674047">
        <w:rPr>
          <w:color w:val="000000" w:themeColor="text1"/>
          <w:sz w:val="24"/>
          <w:szCs w:val="24"/>
        </w:rPr>
        <w:t xml:space="preserve">), dicho con otras palabras, no se trata de una resolución ni siquiera presunta, sino que la sustituye solo a efectos procesales. </w:t>
      </w:r>
      <w:r w:rsidR="00E90909">
        <w:rPr>
          <w:color w:val="000000" w:themeColor="text1"/>
          <w:sz w:val="24"/>
          <w:szCs w:val="24"/>
        </w:rPr>
        <w:t>Es por eso, que el silencio negativo no exonera a la Administración de su obligación de responder, aunque su resolución sea tardía, que, además, se aprobará por parte de la Administración sin vinculación al sentido del silencio, pudiendo ser la resolución estimatoria, total o parcial respecto de las pretensiones del interesado.</w:t>
      </w:r>
    </w:p>
    <w:p w:rsidR="009762AB" w:rsidRDefault="009762AB" w:rsidP="009762AB">
      <w:pPr>
        <w:spacing w:line="360" w:lineRule="auto"/>
        <w:ind w:firstLine="709"/>
        <w:jc w:val="both"/>
        <w:rPr>
          <w:color w:val="000000" w:themeColor="text1"/>
          <w:sz w:val="24"/>
          <w:szCs w:val="24"/>
        </w:rPr>
      </w:pPr>
    </w:p>
    <w:p w:rsidR="009762AB" w:rsidRDefault="009762AB" w:rsidP="009762AB">
      <w:pPr>
        <w:spacing w:line="360" w:lineRule="auto"/>
        <w:jc w:val="both"/>
        <w:rPr>
          <w:color w:val="000000" w:themeColor="text1"/>
          <w:sz w:val="24"/>
          <w:szCs w:val="24"/>
        </w:rPr>
      </w:pPr>
      <w:r>
        <w:rPr>
          <w:color w:val="000000" w:themeColor="text1"/>
          <w:sz w:val="24"/>
          <w:szCs w:val="24"/>
        </w:rPr>
        <w:t>6. CONCLUSIONES</w:t>
      </w:r>
    </w:p>
    <w:p w:rsidR="00C47E53" w:rsidRPr="00B478C0" w:rsidRDefault="00D05D01" w:rsidP="00B478C0">
      <w:pPr>
        <w:spacing w:line="360" w:lineRule="auto"/>
        <w:ind w:firstLine="709"/>
        <w:jc w:val="both"/>
        <w:rPr>
          <w:color w:val="000000" w:themeColor="text1"/>
          <w:sz w:val="24"/>
          <w:szCs w:val="24"/>
        </w:rPr>
      </w:pPr>
      <w:r w:rsidRPr="00D05D01">
        <w:rPr>
          <w:color w:val="000000" w:themeColor="text1"/>
          <w:sz w:val="24"/>
          <w:szCs w:val="24"/>
          <w:u w:val="single"/>
        </w:rPr>
        <w:t>Primera</w:t>
      </w:r>
      <w:r>
        <w:rPr>
          <w:color w:val="000000" w:themeColor="text1"/>
          <w:sz w:val="24"/>
          <w:szCs w:val="24"/>
        </w:rPr>
        <w:t xml:space="preserve">. </w:t>
      </w:r>
      <w:r w:rsidR="005D5BDF">
        <w:rPr>
          <w:color w:val="000000" w:themeColor="text1"/>
          <w:sz w:val="24"/>
          <w:szCs w:val="24"/>
        </w:rPr>
        <w:t xml:space="preserve">Al principio del trabajo, fuimos observando cómo ha ido evolucionando la responsabilidad patrimonial, pasando de la inexistente responsabilidad que había en los siglos pasados a la absoluta responsabilidad por parte de las Administraciones Públicas en los tiempos actuales. Esto se traduce en que la responsabilidad patrimonial de las Administraciones Públicas configura a las mismas como aseguradoras universales, puesto que cualquier actividad realizada por la Administración o servicio público que preste, conlleve riesgo o no, en el momento de producirse un daño se deriva la responsabilidad patrimonial de </w:t>
      </w:r>
      <w:r w:rsidR="005D5BDF">
        <w:rPr>
          <w:color w:val="000000" w:themeColor="text1"/>
          <w:sz w:val="24"/>
          <w:szCs w:val="24"/>
        </w:rPr>
        <w:lastRenderedPageBreak/>
        <w:t>la misma, eso sí, siempre y cuando se cumplan los requisitos que han sido estudiados en este trabajo.</w:t>
      </w:r>
    </w:p>
    <w:p w:rsidR="005D5BDF" w:rsidRDefault="005D5BDF" w:rsidP="009762AB">
      <w:pPr>
        <w:spacing w:line="360" w:lineRule="auto"/>
        <w:ind w:firstLine="709"/>
        <w:jc w:val="both"/>
        <w:rPr>
          <w:color w:val="000000" w:themeColor="text1"/>
          <w:sz w:val="24"/>
          <w:szCs w:val="24"/>
        </w:rPr>
      </w:pPr>
      <w:r w:rsidRPr="005D5BDF">
        <w:rPr>
          <w:color w:val="000000" w:themeColor="text1"/>
          <w:sz w:val="24"/>
          <w:szCs w:val="24"/>
          <w:u w:val="single"/>
        </w:rPr>
        <w:t>Segunda</w:t>
      </w:r>
      <w:r>
        <w:rPr>
          <w:color w:val="000000" w:themeColor="text1"/>
          <w:sz w:val="24"/>
          <w:szCs w:val="24"/>
        </w:rPr>
        <w:t xml:space="preserve">. </w:t>
      </w:r>
      <w:r w:rsidR="00940549">
        <w:rPr>
          <w:color w:val="000000" w:themeColor="text1"/>
          <w:sz w:val="24"/>
          <w:szCs w:val="24"/>
        </w:rPr>
        <w:t>El sistema de responsabilidad pública sanitaria, padece de una excesiva generalidad y uniformidad en la concreción de sus requisitos y de los fundamentos del deber de reparación, lo que plantea graves problemas interpretativos y aplicativos que, al no ser solventados por el legislador, han llevado a que sea la propia doctrina jurisprudencial la encargada de determinar el alcance real de los distintos criterios y requisitos que configuran el sistema general de responsabilidad patrimonial de la Administración Pública.</w:t>
      </w:r>
    </w:p>
    <w:p w:rsidR="00947E49" w:rsidRDefault="00947E49" w:rsidP="009762AB">
      <w:pPr>
        <w:spacing w:line="360" w:lineRule="auto"/>
        <w:ind w:firstLine="709"/>
        <w:jc w:val="both"/>
        <w:rPr>
          <w:color w:val="000000" w:themeColor="text1"/>
          <w:sz w:val="24"/>
          <w:szCs w:val="24"/>
        </w:rPr>
      </w:pPr>
      <w:r w:rsidRPr="00947E49">
        <w:rPr>
          <w:color w:val="000000" w:themeColor="text1"/>
          <w:sz w:val="24"/>
          <w:szCs w:val="24"/>
          <w:u w:val="single"/>
        </w:rPr>
        <w:t>Tercera</w:t>
      </w:r>
      <w:r>
        <w:rPr>
          <w:color w:val="000000" w:themeColor="text1"/>
          <w:sz w:val="24"/>
          <w:szCs w:val="24"/>
        </w:rPr>
        <w:t xml:space="preserve">. </w:t>
      </w:r>
      <w:r w:rsidR="00F94F0A">
        <w:rPr>
          <w:color w:val="000000" w:themeColor="text1"/>
          <w:sz w:val="24"/>
          <w:szCs w:val="24"/>
        </w:rPr>
        <w:t>El pretendido carácter objetivo del sistema de responsabilidad patrimonial de la Administración Pública, no supone en modo alguno que las Administración deba responder siempre y en todo caso frente a cualquier lesión que se produzca con motivo de un servicio público</w:t>
      </w:r>
      <w:r w:rsidR="00D72493">
        <w:rPr>
          <w:color w:val="000000" w:themeColor="text1"/>
          <w:sz w:val="24"/>
          <w:szCs w:val="24"/>
        </w:rPr>
        <w:t>, máxime en un ámbito como el sanitario: al contrario, dicho carácter objetivo, significa que la Administración titular del servicio sólo habrá de responder frente aquellas lesiones que, habiendo cumplido el requisito de causalidad, le sean objetivamente atribuibles en virtud de un título jurídico de imputación objetiva previsto por la Ley.</w:t>
      </w:r>
    </w:p>
    <w:p w:rsidR="00D72493" w:rsidRDefault="00D72493" w:rsidP="009762AB">
      <w:pPr>
        <w:spacing w:line="360" w:lineRule="auto"/>
        <w:ind w:firstLine="709"/>
        <w:jc w:val="both"/>
        <w:rPr>
          <w:color w:val="000000" w:themeColor="text1"/>
          <w:sz w:val="24"/>
          <w:szCs w:val="24"/>
        </w:rPr>
      </w:pPr>
      <w:r w:rsidRPr="00D72493">
        <w:rPr>
          <w:color w:val="000000" w:themeColor="text1"/>
          <w:sz w:val="24"/>
          <w:szCs w:val="24"/>
          <w:u w:val="single"/>
        </w:rPr>
        <w:t>Cuarta</w:t>
      </w:r>
      <w:r>
        <w:rPr>
          <w:color w:val="000000" w:themeColor="text1"/>
          <w:sz w:val="24"/>
          <w:szCs w:val="24"/>
        </w:rPr>
        <w:t xml:space="preserve">. </w:t>
      </w:r>
      <w:r w:rsidR="00920CD5">
        <w:rPr>
          <w:color w:val="000000" w:themeColor="text1"/>
          <w:sz w:val="24"/>
          <w:szCs w:val="24"/>
        </w:rPr>
        <w:t xml:space="preserve">Sobre los estándares y niveles medios de calidad del servicio sanitario, cobra especial relevancia en el ámbito sanitario, la aplicación del criterio de la </w:t>
      </w:r>
      <w:r w:rsidR="00920CD5" w:rsidRPr="00920CD5">
        <w:rPr>
          <w:i/>
          <w:color w:val="000000" w:themeColor="text1"/>
          <w:sz w:val="24"/>
          <w:szCs w:val="24"/>
        </w:rPr>
        <w:t>“lex artis ad hoc”</w:t>
      </w:r>
      <w:r w:rsidR="00920CD5">
        <w:rPr>
          <w:color w:val="000000" w:themeColor="text1"/>
          <w:sz w:val="24"/>
          <w:szCs w:val="24"/>
        </w:rPr>
        <w:t>, como elemento esencial en la valoración de la correcta ejecución y desarrollo del concreto acto médico, que incluye la obligación de emplear todos los medios técnicos a disposición del profesional sanitario en la realización del diagnóstico, la asistencia y el tratamiento, así como el deber de informar al paciente, o en su caso, a sus familiares, mediante la figura del consentimiento informado.</w:t>
      </w:r>
    </w:p>
    <w:p w:rsidR="00920CD5" w:rsidRDefault="00920CD5" w:rsidP="009762AB">
      <w:pPr>
        <w:spacing w:line="360" w:lineRule="auto"/>
        <w:ind w:firstLine="709"/>
        <w:jc w:val="both"/>
        <w:rPr>
          <w:color w:val="000000" w:themeColor="text1"/>
          <w:sz w:val="24"/>
          <w:szCs w:val="24"/>
        </w:rPr>
      </w:pPr>
      <w:r w:rsidRPr="00920CD5">
        <w:rPr>
          <w:color w:val="000000" w:themeColor="text1"/>
          <w:sz w:val="24"/>
          <w:szCs w:val="24"/>
          <w:u w:val="single"/>
        </w:rPr>
        <w:t>Quinta</w:t>
      </w:r>
      <w:r>
        <w:rPr>
          <w:color w:val="000000" w:themeColor="text1"/>
          <w:sz w:val="24"/>
          <w:szCs w:val="24"/>
        </w:rPr>
        <w:t xml:space="preserve">. </w:t>
      </w:r>
      <w:r w:rsidR="00826A2A">
        <w:rPr>
          <w:color w:val="000000" w:themeColor="text1"/>
          <w:sz w:val="24"/>
          <w:szCs w:val="24"/>
        </w:rPr>
        <w:t xml:space="preserve">Es conveniente, señalar en este momento, la posibilidad de introducir el derecho de consumo como mecanismo protector del paciente, como usuario del servicio público de asistencia sanitaria que es. </w:t>
      </w:r>
      <w:r w:rsidR="00AE371E">
        <w:rPr>
          <w:color w:val="000000" w:themeColor="text1"/>
          <w:sz w:val="24"/>
          <w:szCs w:val="24"/>
        </w:rPr>
        <w:t>Esto podría realizarse a través de la aplicación del Texto Refundido de la Ley General para la Defensa de los Consumidores y Usuarios.</w:t>
      </w:r>
    </w:p>
    <w:p w:rsidR="00AE371E" w:rsidRDefault="00AE371E" w:rsidP="009762AB">
      <w:pPr>
        <w:spacing w:line="360" w:lineRule="auto"/>
        <w:ind w:firstLine="709"/>
        <w:jc w:val="both"/>
        <w:rPr>
          <w:color w:val="000000" w:themeColor="text1"/>
          <w:sz w:val="24"/>
          <w:szCs w:val="24"/>
        </w:rPr>
      </w:pPr>
      <w:r w:rsidRPr="00AE371E">
        <w:rPr>
          <w:color w:val="000000" w:themeColor="text1"/>
          <w:sz w:val="24"/>
          <w:szCs w:val="24"/>
          <w:u w:val="single"/>
        </w:rPr>
        <w:t>Sexta</w:t>
      </w:r>
      <w:r>
        <w:rPr>
          <w:color w:val="000000" w:themeColor="text1"/>
          <w:sz w:val="24"/>
          <w:szCs w:val="24"/>
        </w:rPr>
        <w:t>. Asimismo, considero también oportuna, una modificación de la legislación actual sobre la responsabilidad patrimonial, restringiendo los requisitos de responsabilidad patrimonial y clarificando los mismos para exigir la responsabilidad, ya que como hemos observado a la hora de analizar los requisitos, no hay una absoluta claridad a la hora de resolver cada supuesto concreto que se presenta, puesto que como se indica en el trabajo, la indemnización por la producción de un daño puede derivar tanto por el funcionamiento normal como anormal del servicio público prestado.</w:t>
      </w:r>
    </w:p>
    <w:p w:rsidR="00B478C0" w:rsidRDefault="00B478C0" w:rsidP="00C47E53">
      <w:pPr>
        <w:spacing w:line="360" w:lineRule="auto"/>
        <w:jc w:val="both"/>
        <w:rPr>
          <w:color w:val="000000" w:themeColor="text1"/>
          <w:sz w:val="24"/>
          <w:szCs w:val="24"/>
        </w:rPr>
      </w:pPr>
    </w:p>
    <w:p w:rsidR="00C47E53" w:rsidRDefault="00C47E53" w:rsidP="00C47E53">
      <w:pPr>
        <w:spacing w:line="360" w:lineRule="auto"/>
        <w:jc w:val="both"/>
        <w:rPr>
          <w:color w:val="000000" w:themeColor="text1"/>
          <w:sz w:val="24"/>
          <w:szCs w:val="24"/>
        </w:rPr>
      </w:pPr>
      <w:r>
        <w:rPr>
          <w:color w:val="000000" w:themeColor="text1"/>
          <w:sz w:val="24"/>
          <w:szCs w:val="24"/>
        </w:rPr>
        <w:lastRenderedPageBreak/>
        <w:t>7. BIBLIOGRAFÍA</w:t>
      </w:r>
    </w:p>
    <w:p w:rsidR="00C47E53" w:rsidRPr="003D1A26" w:rsidRDefault="005D3149" w:rsidP="00C47E53">
      <w:pPr>
        <w:spacing w:line="360" w:lineRule="auto"/>
        <w:jc w:val="both"/>
        <w:rPr>
          <w:color w:val="000000" w:themeColor="text1"/>
          <w:sz w:val="24"/>
          <w:szCs w:val="24"/>
        </w:rPr>
      </w:pPr>
      <w:r w:rsidRPr="003D1A26">
        <w:rPr>
          <w:color w:val="000000" w:themeColor="text1"/>
          <w:sz w:val="24"/>
          <w:szCs w:val="24"/>
        </w:rPr>
        <w:t xml:space="preserve"> - </w:t>
      </w:r>
      <w:r w:rsidR="001A53B7" w:rsidRPr="003D1A26">
        <w:rPr>
          <w:color w:val="000000" w:themeColor="text1"/>
          <w:sz w:val="24"/>
          <w:szCs w:val="24"/>
        </w:rPr>
        <w:t xml:space="preserve">Cueto Pérez, M. (2009), “Responsabilidad patrimonial de la Administración en el ámbito sanitario”, en </w:t>
      </w:r>
      <w:r w:rsidR="001A53B7" w:rsidRPr="003D1A26">
        <w:rPr>
          <w:i/>
          <w:color w:val="000000" w:themeColor="text1"/>
          <w:sz w:val="24"/>
          <w:szCs w:val="24"/>
        </w:rPr>
        <w:t>La responsabilidad patrimonial de la Administración Pública</w:t>
      </w:r>
      <w:r w:rsidR="001A53B7" w:rsidRPr="003D1A26">
        <w:rPr>
          <w:color w:val="000000" w:themeColor="text1"/>
          <w:sz w:val="24"/>
          <w:szCs w:val="24"/>
        </w:rPr>
        <w:t>, Valencia, Tirant lo Blanch, pp. 866-877.</w:t>
      </w:r>
    </w:p>
    <w:p w:rsidR="001A53B7" w:rsidRPr="003D1A26" w:rsidRDefault="005D3149" w:rsidP="00C47E53">
      <w:pPr>
        <w:spacing w:line="360" w:lineRule="auto"/>
        <w:jc w:val="both"/>
        <w:rPr>
          <w:color w:val="000000" w:themeColor="text1"/>
          <w:sz w:val="24"/>
          <w:szCs w:val="24"/>
        </w:rPr>
      </w:pPr>
      <w:r w:rsidRPr="003D1A26">
        <w:rPr>
          <w:color w:val="000000" w:themeColor="text1"/>
          <w:sz w:val="24"/>
          <w:szCs w:val="24"/>
        </w:rPr>
        <w:t xml:space="preserve">- </w:t>
      </w:r>
      <w:r w:rsidR="001A53B7" w:rsidRPr="003D1A26">
        <w:rPr>
          <w:color w:val="000000" w:themeColor="text1"/>
          <w:sz w:val="24"/>
          <w:szCs w:val="24"/>
        </w:rPr>
        <w:t xml:space="preserve">Desdentado Daroca, E. (2000), “Reflexiones sobre el art. 141.1 de la Ley 30/1992 a la luz del Análisis Económico de Derecho”, en </w:t>
      </w:r>
      <w:r w:rsidR="001A53B7" w:rsidRPr="003D1A26">
        <w:rPr>
          <w:i/>
          <w:color w:val="000000" w:themeColor="text1"/>
          <w:sz w:val="24"/>
          <w:szCs w:val="24"/>
        </w:rPr>
        <w:t>REDA</w:t>
      </w:r>
      <w:r w:rsidR="001A53B7" w:rsidRPr="003D1A26">
        <w:rPr>
          <w:color w:val="000000" w:themeColor="text1"/>
          <w:sz w:val="24"/>
          <w:szCs w:val="24"/>
        </w:rPr>
        <w:t>, núm. 108, pp. 63-64 y 89-102.</w:t>
      </w:r>
    </w:p>
    <w:p w:rsidR="001A53B7" w:rsidRPr="003D1A26" w:rsidRDefault="005D3149" w:rsidP="00C47E53">
      <w:pPr>
        <w:spacing w:line="360" w:lineRule="auto"/>
        <w:jc w:val="both"/>
        <w:rPr>
          <w:color w:val="000000" w:themeColor="text1"/>
          <w:sz w:val="24"/>
          <w:szCs w:val="24"/>
        </w:rPr>
      </w:pPr>
      <w:r w:rsidRPr="003D1A26">
        <w:rPr>
          <w:color w:val="000000" w:themeColor="text1"/>
          <w:sz w:val="24"/>
          <w:szCs w:val="24"/>
        </w:rPr>
        <w:t xml:space="preserve">- </w:t>
      </w:r>
      <w:r w:rsidR="00060D2F" w:rsidRPr="003D1A26">
        <w:rPr>
          <w:color w:val="000000" w:themeColor="text1"/>
          <w:sz w:val="24"/>
          <w:szCs w:val="24"/>
        </w:rPr>
        <w:t xml:space="preserve">Gallardo Castillo, M.J. (2009), </w:t>
      </w:r>
      <w:r w:rsidR="00060D2F" w:rsidRPr="003D1A26">
        <w:rPr>
          <w:i/>
          <w:color w:val="000000" w:themeColor="text1"/>
          <w:sz w:val="24"/>
          <w:szCs w:val="24"/>
        </w:rPr>
        <w:t>La responsabilidad patrimonial de la Administración sanitaria</w:t>
      </w:r>
      <w:r w:rsidR="00060D2F" w:rsidRPr="003D1A26">
        <w:rPr>
          <w:color w:val="000000" w:themeColor="text1"/>
          <w:sz w:val="24"/>
          <w:szCs w:val="24"/>
        </w:rPr>
        <w:t>, Barcelona, Bosch, pp. 14-16 y 67-68.</w:t>
      </w:r>
    </w:p>
    <w:p w:rsidR="00060D2F" w:rsidRPr="003D1A26" w:rsidRDefault="005D3149" w:rsidP="00C47E53">
      <w:pPr>
        <w:spacing w:line="360" w:lineRule="auto"/>
        <w:jc w:val="both"/>
        <w:rPr>
          <w:color w:val="000000" w:themeColor="text1"/>
          <w:sz w:val="24"/>
          <w:szCs w:val="24"/>
        </w:rPr>
      </w:pPr>
      <w:r w:rsidRPr="003D1A26">
        <w:rPr>
          <w:color w:val="000000" w:themeColor="text1"/>
          <w:sz w:val="24"/>
          <w:szCs w:val="24"/>
        </w:rPr>
        <w:t xml:space="preserve">- </w:t>
      </w:r>
      <w:r w:rsidR="00060D2F" w:rsidRPr="003D1A26">
        <w:rPr>
          <w:color w:val="000000" w:themeColor="text1"/>
          <w:sz w:val="24"/>
          <w:szCs w:val="24"/>
        </w:rPr>
        <w:t>Gallardo Castillo, M.J. (</w:t>
      </w:r>
      <w:r w:rsidRPr="003D1A26">
        <w:rPr>
          <w:color w:val="000000" w:themeColor="text1"/>
          <w:sz w:val="24"/>
          <w:szCs w:val="24"/>
        </w:rPr>
        <w:t xml:space="preserve">2011), “Acción y procedimiento de responsabilidad”, en </w:t>
      </w:r>
      <w:r w:rsidRPr="003D1A26">
        <w:rPr>
          <w:i/>
          <w:color w:val="000000" w:themeColor="text1"/>
          <w:sz w:val="24"/>
          <w:szCs w:val="24"/>
        </w:rPr>
        <w:t>La responsabilidad jurídico-sanitaria</w:t>
      </w:r>
      <w:r w:rsidRPr="003D1A26">
        <w:rPr>
          <w:color w:val="000000" w:themeColor="text1"/>
          <w:sz w:val="24"/>
          <w:szCs w:val="24"/>
        </w:rPr>
        <w:t>, Madrid, La Ley, pp. 511-529.</w:t>
      </w:r>
    </w:p>
    <w:p w:rsidR="005D3149" w:rsidRPr="003D1A26" w:rsidRDefault="005D3149" w:rsidP="00C47E53">
      <w:pPr>
        <w:spacing w:line="360" w:lineRule="auto"/>
        <w:jc w:val="both"/>
        <w:rPr>
          <w:color w:val="000000" w:themeColor="text1"/>
          <w:sz w:val="24"/>
          <w:szCs w:val="24"/>
        </w:rPr>
      </w:pPr>
      <w:r w:rsidRPr="003D1A26">
        <w:rPr>
          <w:color w:val="000000" w:themeColor="text1"/>
          <w:sz w:val="24"/>
          <w:szCs w:val="24"/>
        </w:rPr>
        <w:t xml:space="preserve">- Gamero Casado, E. (2000), “El nuevo escenario de la responsabilidad administrativa extracontractual”, en </w:t>
      </w:r>
      <w:r w:rsidRPr="003D1A26">
        <w:rPr>
          <w:i/>
          <w:color w:val="000000" w:themeColor="text1"/>
          <w:sz w:val="24"/>
          <w:szCs w:val="24"/>
        </w:rPr>
        <w:t>Actualidad Jurídica Aranzadi</w:t>
      </w:r>
      <w:r w:rsidRPr="003D1A26">
        <w:rPr>
          <w:color w:val="000000" w:themeColor="text1"/>
          <w:sz w:val="24"/>
          <w:szCs w:val="24"/>
        </w:rPr>
        <w:t>, núm. 426, pp. 25-33.</w:t>
      </w:r>
    </w:p>
    <w:p w:rsidR="005D3149" w:rsidRPr="003D1A26" w:rsidRDefault="005D3149" w:rsidP="00C47E53">
      <w:pPr>
        <w:spacing w:line="360" w:lineRule="auto"/>
        <w:jc w:val="both"/>
        <w:rPr>
          <w:color w:val="000000" w:themeColor="text1"/>
          <w:sz w:val="24"/>
          <w:szCs w:val="24"/>
        </w:rPr>
      </w:pPr>
      <w:r w:rsidRPr="003D1A26">
        <w:rPr>
          <w:color w:val="000000" w:themeColor="text1"/>
          <w:sz w:val="24"/>
          <w:szCs w:val="24"/>
        </w:rPr>
        <w:t xml:space="preserve">- </w:t>
      </w:r>
      <w:r w:rsidR="00921ABB" w:rsidRPr="003D1A26">
        <w:rPr>
          <w:color w:val="000000" w:themeColor="text1"/>
          <w:sz w:val="24"/>
          <w:szCs w:val="24"/>
        </w:rPr>
        <w:t xml:space="preserve">García de Enterría, E. (2007), </w:t>
      </w:r>
      <w:r w:rsidR="00921ABB" w:rsidRPr="003D1A26">
        <w:rPr>
          <w:i/>
          <w:color w:val="000000" w:themeColor="text1"/>
          <w:sz w:val="24"/>
          <w:szCs w:val="24"/>
        </w:rPr>
        <w:t>La responsabilidad patrimonial del Estado legislador en el Derecho Español</w:t>
      </w:r>
      <w:r w:rsidR="00921ABB" w:rsidRPr="003D1A26">
        <w:rPr>
          <w:color w:val="000000" w:themeColor="text1"/>
          <w:sz w:val="24"/>
          <w:szCs w:val="24"/>
        </w:rPr>
        <w:t>, Navarra, Civitas, pp. 55-73.</w:t>
      </w:r>
    </w:p>
    <w:p w:rsidR="00921ABB" w:rsidRPr="003D1A26" w:rsidRDefault="00921ABB" w:rsidP="00C47E53">
      <w:pPr>
        <w:spacing w:line="360" w:lineRule="auto"/>
        <w:jc w:val="both"/>
        <w:rPr>
          <w:color w:val="000000" w:themeColor="text1"/>
          <w:sz w:val="24"/>
          <w:szCs w:val="24"/>
        </w:rPr>
      </w:pPr>
      <w:r w:rsidRPr="003D1A26">
        <w:rPr>
          <w:color w:val="000000" w:themeColor="text1"/>
          <w:sz w:val="24"/>
          <w:szCs w:val="24"/>
        </w:rPr>
        <w:t xml:space="preserve">- García de Enterría, E. y Fernández, T.R. (1993), </w:t>
      </w:r>
      <w:r w:rsidRPr="003D1A26">
        <w:rPr>
          <w:i/>
          <w:color w:val="000000" w:themeColor="text1"/>
          <w:sz w:val="24"/>
          <w:szCs w:val="24"/>
        </w:rPr>
        <w:t>Curso de Derecho Administrativo II</w:t>
      </w:r>
      <w:r w:rsidR="006E228B" w:rsidRPr="003D1A26">
        <w:rPr>
          <w:color w:val="000000" w:themeColor="text1"/>
          <w:sz w:val="24"/>
          <w:szCs w:val="24"/>
        </w:rPr>
        <w:t>, Madrid, Civitas 4ª ed., pp. 378-394.</w:t>
      </w:r>
    </w:p>
    <w:p w:rsidR="006E228B" w:rsidRPr="003D1A26" w:rsidRDefault="006E228B" w:rsidP="00C47E53">
      <w:pPr>
        <w:spacing w:line="360" w:lineRule="auto"/>
        <w:jc w:val="both"/>
        <w:rPr>
          <w:color w:val="000000" w:themeColor="text1"/>
          <w:sz w:val="24"/>
          <w:szCs w:val="24"/>
        </w:rPr>
      </w:pPr>
      <w:r w:rsidRPr="003D1A26">
        <w:rPr>
          <w:color w:val="000000" w:themeColor="text1"/>
          <w:sz w:val="24"/>
          <w:szCs w:val="24"/>
        </w:rPr>
        <w:t xml:space="preserve">- </w:t>
      </w:r>
      <w:r w:rsidR="00602665" w:rsidRPr="003D1A26">
        <w:rPr>
          <w:color w:val="000000" w:themeColor="text1"/>
          <w:sz w:val="24"/>
          <w:szCs w:val="24"/>
        </w:rPr>
        <w:t xml:space="preserve">García Llovet, E. (1999), “El régimen de responsabilidad de las Administraciones Públicas tras la reforma de la Ley 30/1992. Un problema resuelto, un nuevo problema”, en </w:t>
      </w:r>
      <w:r w:rsidR="00602665" w:rsidRPr="003D1A26">
        <w:rPr>
          <w:i/>
          <w:color w:val="000000" w:themeColor="text1"/>
          <w:sz w:val="24"/>
          <w:szCs w:val="24"/>
        </w:rPr>
        <w:t>La responsabilidad patrimonial de las Administraciones Públicas</w:t>
      </w:r>
      <w:r w:rsidR="00602665" w:rsidRPr="003D1A26">
        <w:rPr>
          <w:color w:val="000000" w:themeColor="text1"/>
          <w:sz w:val="24"/>
          <w:szCs w:val="24"/>
        </w:rPr>
        <w:t>, Santiago de Compostela, EGAP, pp. 463-464.</w:t>
      </w:r>
    </w:p>
    <w:p w:rsidR="00602665" w:rsidRPr="003D1A26" w:rsidRDefault="00602665" w:rsidP="00C47E53">
      <w:pPr>
        <w:spacing w:line="360" w:lineRule="auto"/>
        <w:jc w:val="both"/>
        <w:rPr>
          <w:color w:val="000000" w:themeColor="text1"/>
          <w:sz w:val="24"/>
          <w:szCs w:val="24"/>
        </w:rPr>
      </w:pPr>
      <w:r w:rsidRPr="003D1A26">
        <w:rPr>
          <w:color w:val="000000" w:themeColor="text1"/>
          <w:sz w:val="24"/>
          <w:szCs w:val="24"/>
        </w:rPr>
        <w:t xml:space="preserve">- </w:t>
      </w:r>
      <w:r w:rsidR="002D7C1E" w:rsidRPr="003D1A26">
        <w:rPr>
          <w:color w:val="000000" w:themeColor="text1"/>
          <w:sz w:val="24"/>
          <w:szCs w:val="24"/>
        </w:rPr>
        <w:t xml:space="preserve">Gracia Guillén, D. (1995), “Jurisprudencia y lex artis”, en </w:t>
      </w:r>
      <w:r w:rsidR="002D7C1E" w:rsidRPr="003D1A26">
        <w:rPr>
          <w:i/>
          <w:color w:val="000000" w:themeColor="text1"/>
          <w:sz w:val="24"/>
          <w:szCs w:val="24"/>
        </w:rPr>
        <w:t>Responsabilidad del personal sanitario</w:t>
      </w:r>
      <w:r w:rsidR="002D7C1E" w:rsidRPr="003D1A26">
        <w:rPr>
          <w:color w:val="000000" w:themeColor="text1"/>
          <w:sz w:val="24"/>
          <w:szCs w:val="24"/>
        </w:rPr>
        <w:t>, Madrid, Consejo General del Poder Judicial, pp. 55-56.</w:t>
      </w:r>
    </w:p>
    <w:p w:rsidR="002D7C1E" w:rsidRPr="003D1A26" w:rsidRDefault="002D7C1E" w:rsidP="00C47E53">
      <w:pPr>
        <w:spacing w:line="360" w:lineRule="auto"/>
        <w:jc w:val="both"/>
        <w:rPr>
          <w:color w:val="000000" w:themeColor="text1"/>
          <w:sz w:val="24"/>
          <w:szCs w:val="24"/>
        </w:rPr>
      </w:pPr>
      <w:r w:rsidRPr="003D1A26">
        <w:rPr>
          <w:color w:val="000000" w:themeColor="text1"/>
          <w:sz w:val="24"/>
          <w:szCs w:val="24"/>
        </w:rPr>
        <w:t xml:space="preserve">- Hernández Corchete, J.A. (1999), “Comentario al art. 141”, en </w:t>
      </w:r>
      <w:r w:rsidRPr="003D1A26">
        <w:rPr>
          <w:i/>
          <w:color w:val="000000" w:themeColor="text1"/>
          <w:sz w:val="24"/>
          <w:szCs w:val="24"/>
        </w:rPr>
        <w:t>La reforma del procedimiento administrativo. Comentario a la Ley 4/1999, de 13 de enero</w:t>
      </w:r>
      <w:r w:rsidRPr="003D1A26">
        <w:rPr>
          <w:color w:val="000000" w:themeColor="text1"/>
          <w:sz w:val="24"/>
          <w:szCs w:val="24"/>
        </w:rPr>
        <w:t>, Madrid, Dykinson, pp.</w:t>
      </w:r>
      <w:r w:rsidR="00843807" w:rsidRPr="003D1A26">
        <w:rPr>
          <w:color w:val="000000" w:themeColor="text1"/>
          <w:sz w:val="24"/>
          <w:szCs w:val="24"/>
        </w:rPr>
        <w:t xml:space="preserve"> </w:t>
      </w:r>
      <w:r w:rsidRPr="003D1A26">
        <w:rPr>
          <w:color w:val="000000" w:themeColor="text1"/>
          <w:sz w:val="24"/>
          <w:szCs w:val="24"/>
        </w:rPr>
        <w:t>158-167.</w:t>
      </w:r>
    </w:p>
    <w:p w:rsidR="002D7C1E" w:rsidRPr="003D1A26" w:rsidRDefault="002D7C1E" w:rsidP="00C47E53">
      <w:pPr>
        <w:spacing w:line="360" w:lineRule="auto"/>
        <w:jc w:val="both"/>
        <w:rPr>
          <w:color w:val="000000" w:themeColor="text1"/>
          <w:sz w:val="24"/>
          <w:szCs w:val="24"/>
        </w:rPr>
      </w:pPr>
      <w:r w:rsidRPr="003D1A26">
        <w:rPr>
          <w:color w:val="000000" w:themeColor="text1"/>
          <w:sz w:val="24"/>
          <w:szCs w:val="24"/>
        </w:rPr>
        <w:t xml:space="preserve">- Leguina Villa, J. (1980), </w:t>
      </w:r>
      <w:r w:rsidR="00843807" w:rsidRPr="003D1A26">
        <w:rPr>
          <w:color w:val="000000" w:themeColor="text1"/>
          <w:sz w:val="24"/>
          <w:szCs w:val="24"/>
        </w:rPr>
        <w:t xml:space="preserve">“La responsabilidad del Estado y de las entidades públicas regionales o locales por los daños causados por sus agentes o por sus servicios administrativos”, en </w:t>
      </w:r>
      <w:r w:rsidR="00843807" w:rsidRPr="003D1A26">
        <w:rPr>
          <w:i/>
          <w:color w:val="000000" w:themeColor="text1"/>
          <w:sz w:val="24"/>
          <w:szCs w:val="24"/>
        </w:rPr>
        <w:t>Revista de Administración Pública</w:t>
      </w:r>
      <w:r w:rsidR="00843807" w:rsidRPr="003D1A26">
        <w:rPr>
          <w:color w:val="000000" w:themeColor="text1"/>
          <w:sz w:val="24"/>
          <w:szCs w:val="24"/>
        </w:rPr>
        <w:t>, núm. 92, pp.14-22.</w:t>
      </w:r>
    </w:p>
    <w:p w:rsidR="00843807" w:rsidRPr="003D1A26" w:rsidRDefault="00843807" w:rsidP="00C47E53">
      <w:pPr>
        <w:spacing w:line="360" w:lineRule="auto"/>
        <w:jc w:val="both"/>
        <w:rPr>
          <w:color w:val="000000" w:themeColor="text1"/>
          <w:sz w:val="24"/>
          <w:szCs w:val="24"/>
        </w:rPr>
      </w:pPr>
      <w:r w:rsidRPr="003D1A26">
        <w:rPr>
          <w:color w:val="000000" w:themeColor="text1"/>
          <w:sz w:val="24"/>
          <w:szCs w:val="24"/>
        </w:rPr>
        <w:t xml:space="preserve">- Leguina Villa, J. (1999), </w:t>
      </w:r>
      <w:r w:rsidRPr="003D1A26">
        <w:rPr>
          <w:i/>
          <w:color w:val="000000" w:themeColor="text1"/>
          <w:sz w:val="24"/>
          <w:szCs w:val="24"/>
        </w:rPr>
        <w:t>La responsabilidad civil de la Administración Pública</w:t>
      </w:r>
      <w:r w:rsidRPr="003D1A26">
        <w:rPr>
          <w:color w:val="000000" w:themeColor="text1"/>
          <w:sz w:val="24"/>
          <w:szCs w:val="24"/>
        </w:rPr>
        <w:t>, Madrid, Tecnos, p. 231.</w:t>
      </w:r>
    </w:p>
    <w:p w:rsidR="00843807" w:rsidRPr="003D1A26" w:rsidRDefault="00843807" w:rsidP="00C47E53">
      <w:pPr>
        <w:spacing w:line="360" w:lineRule="auto"/>
        <w:jc w:val="both"/>
        <w:rPr>
          <w:color w:val="000000" w:themeColor="text1"/>
          <w:sz w:val="24"/>
          <w:szCs w:val="24"/>
        </w:rPr>
      </w:pPr>
      <w:r w:rsidRPr="003D1A26">
        <w:rPr>
          <w:color w:val="000000" w:themeColor="text1"/>
          <w:sz w:val="24"/>
          <w:szCs w:val="24"/>
        </w:rPr>
        <w:t xml:space="preserve">- López Menudo, F. (1999), “Responsabilidad administrativa y exclusión de los riesgos del progreso: un paso adelante en la definición del sistema”, en </w:t>
      </w:r>
      <w:r w:rsidRPr="003D1A26">
        <w:rPr>
          <w:i/>
          <w:color w:val="000000" w:themeColor="text1"/>
          <w:sz w:val="24"/>
          <w:szCs w:val="24"/>
        </w:rPr>
        <w:t>Revista Andaluza de Administración Pública</w:t>
      </w:r>
      <w:r w:rsidRPr="003D1A26">
        <w:rPr>
          <w:color w:val="000000" w:themeColor="text1"/>
          <w:sz w:val="24"/>
          <w:szCs w:val="24"/>
        </w:rPr>
        <w:t>, núm. 36, pp. 104-107.</w:t>
      </w:r>
    </w:p>
    <w:p w:rsidR="00843807" w:rsidRPr="003D1A26" w:rsidRDefault="00843807" w:rsidP="00C47E53">
      <w:pPr>
        <w:spacing w:line="360" w:lineRule="auto"/>
        <w:jc w:val="both"/>
        <w:rPr>
          <w:color w:val="000000" w:themeColor="text1"/>
          <w:sz w:val="24"/>
          <w:szCs w:val="24"/>
        </w:rPr>
      </w:pPr>
      <w:r w:rsidRPr="003D1A26">
        <w:rPr>
          <w:color w:val="000000" w:themeColor="text1"/>
          <w:sz w:val="24"/>
          <w:szCs w:val="24"/>
        </w:rPr>
        <w:lastRenderedPageBreak/>
        <w:t xml:space="preserve">- Lorca Navarrete, A.M. (1997), </w:t>
      </w:r>
      <w:r w:rsidRPr="003D1A26">
        <w:rPr>
          <w:i/>
          <w:color w:val="000000" w:themeColor="text1"/>
          <w:sz w:val="24"/>
          <w:szCs w:val="24"/>
        </w:rPr>
        <w:t>La teoría y la práctica del proceso civil y su concordancia con el proceso laboral y contencioso-administrativo</w:t>
      </w:r>
      <w:r w:rsidRPr="003D1A26">
        <w:rPr>
          <w:color w:val="000000" w:themeColor="text1"/>
          <w:sz w:val="24"/>
          <w:szCs w:val="24"/>
        </w:rPr>
        <w:t xml:space="preserve">, </w:t>
      </w:r>
      <w:r w:rsidR="00327C56" w:rsidRPr="003D1A26">
        <w:rPr>
          <w:color w:val="000000" w:themeColor="text1"/>
          <w:sz w:val="24"/>
          <w:szCs w:val="24"/>
        </w:rPr>
        <w:t>Madrid, Dykinson, p. 409.</w:t>
      </w:r>
    </w:p>
    <w:p w:rsidR="006D3BE2" w:rsidRDefault="006D3BE2" w:rsidP="00C47E53">
      <w:pPr>
        <w:spacing w:line="360" w:lineRule="auto"/>
        <w:jc w:val="both"/>
        <w:rPr>
          <w:color w:val="000000" w:themeColor="text1"/>
          <w:sz w:val="24"/>
          <w:szCs w:val="24"/>
        </w:rPr>
      </w:pPr>
      <w:r>
        <w:rPr>
          <w:color w:val="000000" w:themeColor="text1"/>
          <w:sz w:val="24"/>
          <w:szCs w:val="24"/>
        </w:rPr>
        <w:t xml:space="preserve">- Losada González, H. (1992), “La responsabilidad civil de los profesionales sanitarios al servicio de las Administraciones Públicas”, en </w:t>
      </w:r>
      <w:r w:rsidRPr="006D3BE2">
        <w:rPr>
          <w:i/>
          <w:color w:val="000000" w:themeColor="text1"/>
          <w:sz w:val="24"/>
          <w:szCs w:val="24"/>
        </w:rPr>
        <w:t>Actualidad y perspectivas del Derecho Público a fines del Siglo XX</w:t>
      </w:r>
      <w:r>
        <w:rPr>
          <w:color w:val="000000" w:themeColor="text1"/>
          <w:sz w:val="24"/>
          <w:szCs w:val="24"/>
        </w:rPr>
        <w:t>, Madrid, Editorial Complutense, pp. 1814-1824.</w:t>
      </w:r>
    </w:p>
    <w:p w:rsidR="00327C56" w:rsidRPr="003D1A26" w:rsidRDefault="00327C56" w:rsidP="00C47E53">
      <w:pPr>
        <w:spacing w:line="360" w:lineRule="auto"/>
        <w:jc w:val="both"/>
        <w:rPr>
          <w:color w:val="000000" w:themeColor="text1"/>
          <w:sz w:val="24"/>
          <w:szCs w:val="24"/>
        </w:rPr>
      </w:pPr>
      <w:r w:rsidRPr="003D1A26">
        <w:rPr>
          <w:color w:val="000000" w:themeColor="text1"/>
          <w:sz w:val="24"/>
          <w:szCs w:val="24"/>
        </w:rPr>
        <w:t xml:space="preserve">- Martín Rebollo, L. (1994), “La responsabilidad patrimonial de las Administraciones Públicas en España: estado de la cuestión, balance general y reflexión crítica”, en </w:t>
      </w:r>
      <w:r w:rsidRPr="003D1A26">
        <w:rPr>
          <w:i/>
          <w:color w:val="000000" w:themeColor="text1"/>
          <w:sz w:val="24"/>
          <w:szCs w:val="24"/>
        </w:rPr>
        <w:t>Documentación Administrativa</w:t>
      </w:r>
      <w:r w:rsidRPr="003D1A26">
        <w:rPr>
          <w:color w:val="000000" w:themeColor="text1"/>
          <w:sz w:val="24"/>
          <w:szCs w:val="24"/>
        </w:rPr>
        <w:t>, núm. 237-238, pp. 44-76.</w:t>
      </w:r>
    </w:p>
    <w:p w:rsidR="00327C56" w:rsidRPr="003D1A26" w:rsidRDefault="00327C56" w:rsidP="00C47E53">
      <w:pPr>
        <w:spacing w:line="360" w:lineRule="auto"/>
        <w:jc w:val="both"/>
        <w:rPr>
          <w:color w:val="000000" w:themeColor="text1"/>
          <w:sz w:val="24"/>
          <w:szCs w:val="24"/>
        </w:rPr>
      </w:pPr>
      <w:r w:rsidRPr="003D1A26">
        <w:rPr>
          <w:color w:val="000000" w:themeColor="text1"/>
          <w:sz w:val="24"/>
          <w:szCs w:val="24"/>
        </w:rPr>
        <w:t xml:space="preserve">- Martín Rebollo, L. (1999), “Ayer y hoy de la responsabilidad patrimonial de la </w:t>
      </w:r>
      <w:r w:rsidR="005E7DF7">
        <w:rPr>
          <w:color w:val="000000" w:themeColor="text1"/>
          <w:sz w:val="24"/>
          <w:szCs w:val="24"/>
        </w:rPr>
        <w:t>Administración: un balance y tres</w:t>
      </w:r>
      <w:r w:rsidRPr="003D1A26">
        <w:rPr>
          <w:color w:val="000000" w:themeColor="text1"/>
          <w:sz w:val="24"/>
          <w:szCs w:val="24"/>
        </w:rPr>
        <w:t xml:space="preserve"> reflexiones”, en </w:t>
      </w:r>
      <w:r w:rsidRPr="003D1A26">
        <w:rPr>
          <w:i/>
          <w:color w:val="000000" w:themeColor="text1"/>
          <w:sz w:val="24"/>
          <w:szCs w:val="24"/>
        </w:rPr>
        <w:t>Revista de Administración Pública</w:t>
      </w:r>
      <w:r w:rsidRPr="003D1A26">
        <w:rPr>
          <w:color w:val="000000" w:themeColor="text1"/>
          <w:sz w:val="24"/>
          <w:szCs w:val="24"/>
        </w:rPr>
        <w:t>, núm. 150, pp. 88-89.</w:t>
      </w:r>
    </w:p>
    <w:p w:rsidR="00327C56" w:rsidRPr="003D1A26" w:rsidRDefault="00327C56" w:rsidP="00C47E53">
      <w:pPr>
        <w:spacing w:line="360" w:lineRule="auto"/>
        <w:jc w:val="both"/>
        <w:rPr>
          <w:color w:val="000000" w:themeColor="text1"/>
          <w:sz w:val="24"/>
          <w:szCs w:val="24"/>
        </w:rPr>
      </w:pPr>
      <w:r w:rsidRPr="003D1A26">
        <w:rPr>
          <w:color w:val="000000" w:themeColor="text1"/>
          <w:sz w:val="24"/>
          <w:szCs w:val="24"/>
        </w:rPr>
        <w:t xml:space="preserve">- Mir Puigpelat, O. (1999), “La reforma del sistema de responsabilidad patrimonial de las Administraciones Públicas operada por la Ley 4/1999, de 13 de enero, de modificación de la LRJPAC”, en </w:t>
      </w:r>
      <w:r w:rsidRPr="003D1A26">
        <w:rPr>
          <w:i/>
          <w:color w:val="000000" w:themeColor="text1"/>
          <w:sz w:val="24"/>
          <w:szCs w:val="24"/>
        </w:rPr>
        <w:t>Revista Jurídica de Cataluña</w:t>
      </w:r>
      <w:r w:rsidRPr="003D1A26">
        <w:rPr>
          <w:color w:val="000000" w:themeColor="text1"/>
          <w:sz w:val="24"/>
          <w:szCs w:val="24"/>
        </w:rPr>
        <w:t>, núm. 4, p. 63.</w:t>
      </w:r>
    </w:p>
    <w:p w:rsidR="00931C84" w:rsidRPr="003D1A26" w:rsidRDefault="00931C84" w:rsidP="00C47E53">
      <w:pPr>
        <w:spacing w:line="360" w:lineRule="auto"/>
        <w:jc w:val="both"/>
        <w:rPr>
          <w:color w:val="000000" w:themeColor="text1"/>
          <w:sz w:val="24"/>
          <w:szCs w:val="24"/>
        </w:rPr>
      </w:pPr>
      <w:r w:rsidRPr="003D1A26">
        <w:rPr>
          <w:color w:val="000000" w:themeColor="text1"/>
          <w:sz w:val="24"/>
          <w:szCs w:val="24"/>
        </w:rPr>
        <w:t xml:space="preserve">- Montañés Castillo, L.Y. (2011), “Los requisitos de la responsabilidad patrimonial en materia sanitaria”, en </w:t>
      </w:r>
      <w:r w:rsidRPr="003D1A26">
        <w:rPr>
          <w:i/>
          <w:color w:val="000000" w:themeColor="text1"/>
          <w:sz w:val="24"/>
          <w:szCs w:val="24"/>
        </w:rPr>
        <w:t>La responsabilidad jurídico-sanitaria</w:t>
      </w:r>
      <w:r w:rsidRPr="003D1A26">
        <w:rPr>
          <w:color w:val="000000" w:themeColor="text1"/>
          <w:sz w:val="24"/>
          <w:szCs w:val="24"/>
        </w:rPr>
        <w:t>, Madrid, La Ley, pp. 439-495.</w:t>
      </w:r>
    </w:p>
    <w:p w:rsidR="00931C84" w:rsidRPr="003D1A26" w:rsidRDefault="00931C84" w:rsidP="00C47E53">
      <w:pPr>
        <w:spacing w:line="360" w:lineRule="auto"/>
        <w:jc w:val="both"/>
        <w:rPr>
          <w:color w:val="000000" w:themeColor="text1"/>
          <w:sz w:val="24"/>
          <w:szCs w:val="24"/>
        </w:rPr>
      </w:pPr>
      <w:r w:rsidRPr="003D1A26">
        <w:rPr>
          <w:color w:val="000000" w:themeColor="text1"/>
          <w:sz w:val="24"/>
          <w:szCs w:val="24"/>
        </w:rPr>
        <w:t xml:space="preserve">- Parada Vázquez, R. (1993), </w:t>
      </w:r>
      <w:r w:rsidRPr="003D1A26">
        <w:rPr>
          <w:i/>
          <w:color w:val="000000" w:themeColor="text1"/>
          <w:sz w:val="24"/>
          <w:szCs w:val="24"/>
        </w:rPr>
        <w:t>Régimen Jurídico de las Administraciones Públicas y Procedimiento Administrativo Común</w:t>
      </w:r>
      <w:r w:rsidRPr="003D1A26">
        <w:rPr>
          <w:color w:val="000000" w:themeColor="text1"/>
          <w:sz w:val="24"/>
          <w:szCs w:val="24"/>
        </w:rPr>
        <w:t>, Madrid, Marcial Pons, pp. 419-425.</w:t>
      </w:r>
    </w:p>
    <w:p w:rsidR="00931C84" w:rsidRPr="003D1A26" w:rsidRDefault="00931C84" w:rsidP="00C47E53">
      <w:pPr>
        <w:spacing w:line="360" w:lineRule="auto"/>
        <w:jc w:val="both"/>
        <w:rPr>
          <w:color w:val="000000" w:themeColor="text1"/>
          <w:sz w:val="24"/>
          <w:szCs w:val="24"/>
        </w:rPr>
      </w:pPr>
      <w:r w:rsidRPr="003D1A26">
        <w:rPr>
          <w:color w:val="000000" w:themeColor="text1"/>
          <w:sz w:val="24"/>
          <w:szCs w:val="24"/>
        </w:rPr>
        <w:t xml:space="preserve">- Peces Morate, J.E. (2002), “Criterios jurisprudenciales actuales en materia de responsabilidad patrimonial de la Administración Pública”, en </w:t>
      </w:r>
      <w:r w:rsidRPr="003D1A26">
        <w:rPr>
          <w:i/>
          <w:color w:val="000000" w:themeColor="text1"/>
          <w:sz w:val="24"/>
          <w:szCs w:val="24"/>
        </w:rPr>
        <w:t>Cuadernos de Derecho Judicial, la responsabilidad patrimonial de la Administración sanitaria</w:t>
      </w:r>
      <w:r w:rsidRPr="003D1A26">
        <w:rPr>
          <w:color w:val="000000" w:themeColor="text1"/>
          <w:sz w:val="24"/>
          <w:szCs w:val="24"/>
        </w:rPr>
        <w:t>, núm. 16, pp. 465-511.</w:t>
      </w:r>
    </w:p>
    <w:p w:rsidR="00931C84" w:rsidRDefault="00931C84" w:rsidP="00C47E53">
      <w:pPr>
        <w:spacing w:line="360" w:lineRule="auto"/>
        <w:jc w:val="both"/>
        <w:rPr>
          <w:color w:val="000000" w:themeColor="text1"/>
          <w:sz w:val="24"/>
          <w:szCs w:val="24"/>
        </w:rPr>
      </w:pPr>
      <w:r w:rsidRPr="003D1A26">
        <w:rPr>
          <w:color w:val="000000" w:themeColor="text1"/>
          <w:sz w:val="24"/>
          <w:szCs w:val="24"/>
        </w:rPr>
        <w:t xml:space="preserve">- </w:t>
      </w:r>
      <w:r w:rsidR="003D1A26" w:rsidRPr="003D1A26">
        <w:rPr>
          <w:color w:val="000000" w:themeColor="text1"/>
          <w:sz w:val="24"/>
          <w:szCs w:val="24"/>
        </w:rPr>
        <w:t xml:space="preserve">Rebollo Puig, M. (2000), “El procedimiento administrativo en materia de responsabilidad patrimonial de la Administración Pública. Especial referencia a la Comunidad Andaluza”, en </w:t>
      </w:r>
      <w:r w:rsidR="003D1A26" w:rsidRPr="003D1A26">
        <w:rPr>
          <w:i/>
          <w:color w:val="000000" w:themeColor="text1"/>
          <w:sz w:val="24"/>
          <w:szCs w:val="24"/>
        </w:rPr>
        <w:t>La responsabilidad patrimonial de los poderes públicos en el marco de la estructura territorial del Estado</w:t>
      </w:r>
      <w:r w:rsidR="003D1A26" w:rsidRPr="003D1A26">
        <w:rPr>
          <w:color w:val="000000" w:themeColor="text1"/>
          <w:sz w:val="24"/>
          <w:szCs w:val="24"/>
        </w:rPr>
        <w:t>, Granada, Comares, pp. 317-319.</w:t>
      </w:r>
    </w:p>
    <w:p w:rsidR="003D1A26" w:rsidRDefault="003D1A26" w:rsidP="00C47E53">
      <w:pPr>
        <w:spacing w:line="360" w:lineRule="auto"/>
        <w:jc w:val="both"/>
        <w:rPr>
          <w:color w:val="000000" w:themeColor="text1"/>
          <w:sz w:val="24"/>
          <w:szCs w:val="24"/>
        </w:rPr>
      </w:pPr>
      <w:r>
        <w:rPr>
          <w:color w:val="000000" w:themeColor="text1"/>
          <w:sz w:val="24"/>
          <w:szCs w:val="24"/>
        </w:rPr>
        <w:t xml:space="preserve">- Rodríguez Adrados, A. (1998), “La prueba en el anteproyecto de Ley de Enjuiciamiento Civil de 1997”, en </w:t>
      </w:r>
      <w:r w:rsidRPr="00D619D0">
        <w:rPr>
          <w:i/>
          <w:color w:val="000000" w:themeColor="text1"/>
          <w:sz w:val="24"/>
          <w:szCs w:val="24"/>
        </w:rPr>
        <w:t>Revista Jurídica del notariado</w:t>
      </w:r>
      <w:r w:rsidR="00D619D0">
        <w:rPr>
          <w:color w:val="000000" w:themeColor="text1"/>
          <w:sz w:val="24"/>
          <w:szCs w:val="24"/>
        </w:rPr>
        <w:t>, núm. 27, pp. 466-471.</w:t>
      </w:r>
    </w:p>
    <w:p w:rsidR="009762AB" w:rsidRPr="00C37E5F" w:rsidRDefault="009762AB" w:rsidP="006D3BE2">
      <w:pPr>
        <w:spacing w:line="360" w:lineRule="auto"/>
        <w:jc w:val="both"/>
        <w:rPr>
          <w:color w:val="000000" w:themeColor="text1"/>
          <w:sz w:val="24"/>
          <w:szCs w:val="24"/>
        </w:rPr>
      </w:pPr>
    </w:p>
    <w:sectPr w:rsidR="009762AB" w:rsidRPr="00C37E5F" w:rsidSect="00CA139F">
      <w:pgSz w:w="11906" w:h="16838"/>
      <w:pgMar w:top="1418" w:right="1418" w:bottom="1418" w:left="1418" w:header="720" w:footer="720" w:gutter="0"/>
      <w:pgNumType w:start="2"/>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505B" w:rsidRDefault="002E505B" w:rsidP="00B8019B">
      <w:r>
        <w:separator/>
      </w:r>
    </w:p>
  </w:endnote>
  <w:endnote w:type="continuationSeparator" w:id="0">
    <w:p w:rsidR="002E505B" w:rsidRDefault="002E505B" w:rsidP="00B80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5723001"/>
      <w:docPartObj>
        <w:docPartGallery w:val="Page Numbers (Bottom of Page)"/>
        <w:docPartUnique/>
      </w:docPartObj>
    </w:sdtPr>
    <w:sdtEndPr/>
    <w:sdtContent>
      <w:p w:rsidR="00E279EE" w:rsidRDefault="00E279EE">
        <w:pPr>
          <w:pStyle w:val="Piedepgina"/>
          <w:jc w:val="center"/>
        </w:pPr>
        <w:r>
          <w:rPr>
            <w:noProof/>
            <w:color w:val="FFFFFF" w:themeColor="background1"/>
          </w:rPr>
          <mc:AlternateContent>
            <mc:Choice Requires="wpg">
              <w:drawing>
                <wp:inline distT="0" distB="0" distL="0" distR="0">
                  <wp:extent cx="548640" cy="237490"/>
                  <wp:effectExtent l="9525" t="9525" r="13335" b="10160"/>
                  <wp:docPr id="1" name="Gru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 cy="237490"/>
                            <a:chOff x="614" y="660"/>
                            <a:chExt cx="864" cy="374"/>
                          </a:xfrm>
                        </wpg:grpSpPr>
                        <wps:wsp>
                          <wps:cNvPr id="5" name="AutoShape 47"/>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6" name="AutoShape 48"/>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7" name="Text Box 49"/>
                          <wps:cNvSpPr txBox="1">
                            <a:spLocks noChangeArrowheads="1"/>
                          </wps:cNvSpPr>
                          <wps:spPr bwMode="auto">
                            <a:xfrm>
                              <a:off x="732" y="716"/>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79EE" w:rsidRDefault="00E279EE">
                                <w:pPr>
                                  <w:jc w:val="center"/>
                                  <w:rPr>
                                    <w:color w:val="FFFFFF" w:themeColor="background1"/>
                                  </w:rPr>
                                </w:pPr>
                                <w:r>
                                  <w:fldChar w:fldCharType="begin"/>
                                </w:r>
                                <w:r>
                                  <w:instrText>PAGE    \* MERGEFORMAT</w:instrText>
                                </w:r>
                                <w:r>
                                  <w:fldChar w:fldCharType="separate"/>
                                </w:r>
                                <w:r w:rsidR="00F4755C" w:rsidRPr="00F4755C">
                                  <w:rPr>
                                    <w:b/>
                                    <w:bCs/>
                                    <w:noProof/>
                                    <w:color w:val="FFFFFF" w:themeColor="background1"/>
                                  </w:rPr>
                                  <w:t>21</w:t>
                                </w:r>
                                <w:r>
                                  <w:rPr>
                                    <w:b/>
                                    <w:bCs/>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id="Grupo 1" o:spid="_x0000_s1033" style="width:43.2pt;height:18.7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">
                  <v:roundrect id="AutoShape 47" o:spid="_x0000_s1034" style="position:absolute;left:859;top:415;width:374;height:864;rotation:-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" strokecolor="#e4be84"/>
                  <v:roundrect id="AutoShape 48" o:spid="_x0000_s1035" style="position:absolute;left:898;top:451;width:296;height:792;rotation:-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" fillcolor="#e4be84" strokecolor="#e4be84"/>
                  <v:shapetype id="_x0000_t202" coordsize="21600,21600" o:spt="202" path="m,l,21600r21600,l21600,xe">
                    <v:stroke joinstyle="miter"/>
                    <v:path gradientshapeok="t" o:connecttype="rect"/>
                  </v:shapetype>
                  <v:shape id="Text Box 49" o:spid="_x0000_s1036" type="#_x0000_t202" style="position:absolute;left:732;top:716;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rsidR="00E279EE" w:rsidRDefault="00E279EE">
                          <w:pPr>
                            <w:jc w:val="center"/>
                            <w:rPr>
                              <w:color w:val="FFFFFF" w:themeColor="background1"/>
                            </w:rPr>
                          </w:pPr>
                          <w:r>
                            <w:fldChar w:fldCharType="begin"/>
                          </w:r>
                          <w:r>
                            <w:instrText>PAGE    \* MERGEFORMAT</w:instrText>
                          </w:r>
                          <w:r>
                            <w:fldChar w:fldCharType="separate"/>
                          </w:r>
                          <w:r w:rsidR="00F4755C" w:rsidRPr="00F4755C">
                            <w:rPr>
                              <w:b/>
                              <w:bCs/>
                              <w:noProof/>
                              <w:color w:val="FFFFFF" w:themeColor="background1"/>
                            </w:rPr>
                            <w:t>21</w:t>
                          </w:r>
                          <w:r>
                            <w:rPr>
                              <w:b/>
                              <w:bCs/>
                              <w:color w:val="FFFFFF" w:themeColor="background1"/>
                            </w:rPr>
                            <w:fldChar w:fldCharType="end"/>
                          </w:r>
                        </w:p>
                      </w:txbxContent>
                    </v:textbox>
                  </v:shape>
                  <w10:anchorlock/>
                </v:group>
              </w:pict>
            </mc:Fallback>
          </mc:AlternateContent>
        </w:r>
      </w:p>
    </w:sdtContent>
  </w:sdt>
  <w:p w:rsidR="00E279EE" w:rsidRDefault="00E279E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505B" w:rsidRDefault="002E505B" w:rsidP="00B8019B">
      <w:r>
        <w:separator/>
      </w:r>
    </w:p>
  </w:footnote>
  <w:footnote w:type="continuationSeparator" w:id="0">
    <w:p w:rsidR="002E505B" w:rsidRDefault="002E505B" w:rsidP="00B8019B">
      <w:r>
        <w:continuationSeparator/>
      </w:r>
    </w:p>
  </w:footnote>
  <w:footnote w:id="1">
    <w:p w:rsidR="00E279EE" w:rsidRDefault="00E279EE" w:rsidP="00B06A41">
      <w:pPr>
        <w:pStyle w:val="Textonotapie"/>
        <w:jc w:val="both"/>
      </w:pPr>
      <w:r>
        <w:rPr>
          <w:rStyle w:val="Refdenotaalpie"/>
        </w:rPr>
        <w:footnoteRef/>
      </w:r>
      <w:r>
        <w:t xml:space="preserve"> Es por esto que la responsabilidad patrimonial de la Administración sanitaria se ha convertido, en muy poco tiempo, en uno de los grandes focos de reclamaciones judiciales, a lo que hay que sumar que también cuenta con un gran número de reconocimientos de supuestos indemnizatorios.</w:t>
      </w:r>
    </w:p>
  </w:footnote>
  <w:footnote w:id="2">
    <w:p w:rsidR="00E279EE" w:rsidRDefault="00E279EE" w:rsidP="00193504">
      <w:pPr>
        <w:pStyle w:val="Textonotapie"/>
        <w:jc w:val="both"/>
      </w:pPr>
      <w:r>
        <w:rPr>
          <w:rStyle w:val="Refdenotaalpie"/>
        </w:rPr>
        <w:footnoteRef/>
      </w:r>
      <w:r>
        <w:t xml:space="preserve"> En este caso, como afirma </w:t>
      </w:r>
      <w:r w:rsidRPr="004D3DF4">
        <w:rPr>
          <w:color w:val="000000" w:themeColor="text1"/>
        </w:rPr>
        <w:t xml:space="preserve">Leguina Villa (1980) </w:t>
      </w:r>
      <w:r w:rsidRPr="004D3DF4">
        <w:rPr>
          <w:i/>
          <w:color w:val="000000" w:themeColor="text1"/>
        </w:rPr>
        <w:t>“el criterio de la culpa o de la ilegalidad se materializa objetivamente en el funcionamiento del servicio público en cuanto tal, con independencia de toda conducta ilícita de personas físicas concretas. Se trata, pues, de una culpabilidad objetiva del servicio, que puede darse tanto si el servicio ha funcionado ilegal o defectuosamente, por debajo de los niveles medios de prestación exigibles en cada servicio, como si no ha funcionado en absoluto cuando la Ley impone deber de actuar”</w:t>
      </w:r>
      <w:r w:rsidRPr="004D3DF4">
        <w:rPr>
          <w:color w:val="000000" w:themeColor="text1"/>
        </w:rPr>
        <w:t>.</w:t>
      </w:r>
    </w:p>
  </w:footnote>
  <w:footnote w:id="3">
    <w:p w:rsidR="00E279EE" w:rsidRDefault="00E279EE" w:rsidP="00752AAF">
      <w:pPr>
        <w:pStyle w:val="Textonotapie"/>
        <w:jc w:val="both"/>
      </w:pPr>
      <w:r>
        <w:rPr>
          <w:rStyle w:val="Refdenotaalpie"/>
        </w:rPr>
        <w:footnoteRef/>
      </w:r>
      <w:r>
        <w:t xml:space="preserve"> El art. 1902 CC señala que: </w:t>
      </w:r>
      <w:r w:rsidRPr="00752AAF">
        <w:rPr>
          <w:i/>
        </w:rPr>
        <w:t>“El que por acción u omisión causa daño a otro, interviniendo culpa o negligencia, está obligado a reparar el daño causado”</w:t>
      </w:r>
      <w:r>
        <w:t xml:space="preserve">, mientras, que, a su vez, el art. 1903 completa esto añadiendo que: </w:t>
      </w:r>
      <w:r w:rsidRPr="00752AAF">
        <w:rPr>
          <w:i/>
        </w:rPr>
        <w:t>“La obligación que impone el artículo anterior es exigible, no sólo por los actos u omisiones propios, sino también por los de aquellas personas de quienes se debe responder”</w:t>
      </w:r>
      <w:r>
        <w:t>.</w:t>
      </w:r>
    </w:p>
  </w:footnote>
  <w:footnote w:id="4">
    <w:p w:rsidR="00E279EE" w:rsidRDefault="00E279EE" w:rsidP="00EC42C9">
      <w:pPr>
        <w:pStyle w:val="Textonotapie"/>
        <w:jc w:val="both"/>
      </w:pPr>
      <w:r>
        <w:rPr>
          <w:rStyle w:val="Refdenotaalpie"/>
        </w:rPr>
        <w:footnoteRef/>
      </w:r>
      <w:r>
        <w:t xml:space="preserve"> Caso </w:t>
      </w:r>
      <w:r w:rsidRPr="0054685B">
        <w:rPr>
          <w:i/>
        </w:rPr>
        <w:t>“Novios de Granada”</w:t>
      </w:r>
      <w:r>
        <w:t>, en dicha sentencia se declara como culpable por la muerte de un joven a la Diputación de Granada, causada por una persona con problemas mentales al precipitarse por la ventana de la habitación en la cual estaba internado. Ante esta situación, se aplica la legislación administrativa sobre responsabilidad de la Administración con todas sus consecuencias, ya que se observa un funcionamiento anormal del servicio dando lugar a las lesiones de dicha persona, no obstante, se informa de que, aunque el funcionamiento del servicio hubiera sido el correcto, la responsabilidad por parte de la Administración se hubiese producido de la misma manera.</w:t>
      </w:r>
    </w:p>
  </w:footnote>
  <w:footnote w:id="5">
    <w:p w:rsidR="00E279EE" w:rsidRDefault="00E279EE" w:rsidP="00983820">
      <w:pPr>
        <w:pStyle w:val="Textonotapie"/>
        <w:jc w:val="both"/>
      </w:pPr>
      <w:r>
        <w:rPr>
          <w:rStyle w:val="Refdenotaalpie"/>
        </w:rPr>
        <w:footnoteRef/>
      </w:r>
      <w:r>
        <w:t xml:space="preserve"> En la actualidad, la responsabilidad patrimonial de la Administración es una organización no solo consolidada sino que también es excesivamente generalizada, a modo de entender de no pocos autores, inclusive el propio precursor de la responsabilidad patrimonial en nuestro ordenamiento jurídico que no es otro que García de Enterría, el cual en los últimos años viene meditando sobre dos importantes cuestiones en relación con la responsabilidad patrimonial, que son por una lado, los límites y la delimitación de dicha responsabilidad y, por otro lado, la necesidad de una nueva configuración de la misma. En esta dirección, </w:t>
      </w:r>
      <w:r w:rsidRPr="00C2797D">
        <w:rPr>
          <w:color w:val="000000" w:themeColor="text1"/>
        </w:rPr>
        <w:t xml:space="preserve">Gamero Casado (2000), ha formulado que </w:t>
      </w:r>
      <w:r w:rsidRPr="00C2797D">
        <w:rPr>
          <w:i/>
          <w:color w:val="000000" w:themeColor="text1"/>
        </w:rPr>
        <w:t>“es tan amplio el cúmulo de funciones que el legislador encomienda a la Administración, y tales funciones son generadoras de riesgos tan generalizados, que de seguir profundizándose en la generosidad del sistema las partidas comprometidas en el pago de indemnizaciones consumirían un considerable porcentaje de los presupuestos generales de las Administraciones Públicas, impidiendo su empleo en la mejora de los propios servicios causantes de los daños”</w:t>
      </w:r>
      <w:r w:rsidRPr="00C2797D">
        <w:rPr>
          <w:color w:val="000000" w:themeColor="text1"/>
        </w:rPr>
        <w:t>.</w:t>
      </w:r>
    </w:p>
  </w:footnote>
  <w:footnote w:id="6">
    <w:p w:rsidR="00E279EE" w:rsidRDefault="00E279EE" w:rsidP="00454DFE">
      <w:pPr>
        <w:pStyle w:val="Textonotapie"/>
        <w:jc w:val="both"/>
      </w:pPr>
      <w:r>
        <w:rPr>
          <w:rStyle w:val="Refdenotaalpie"/>
        </w:rPr>
        <w:footnoteRef/>
      </w:r>
      <w:r>
        <w:t xml:space="preserve"> El art. 43 de la Constitución establece las bases para llevar a cabo la inaplazable transformación de la sanidad en nuestro país:</w:t>
      </w:r>
    </w:p>
    <w:p w:rsidR="00E279EE" w:rsidRPr="00454DFE" w:rsidRDefault="00E279EE" w:rsidP="00454DFE">
      <w:pPr>
        <w:pStyle w:val="Textonotapie"/>
        <w:jc w:val="both"/>
        <w:rPr>
          <w:i/>
        </w:rPr>
      </w:pPr>
      <w:r w:rsidRPr="00454DFE">
        <w:rPr>
          <w:i/>
        </w:rPr>
        <w:t>“1. Se reconoce el derecho a la protección de la salud.</w:t>
      </w:r>
    </w:p>
    <w:p w:rsidR="00E279EE" w:rsidRPr="00454DFE" w:rsidRDefault="00E279EE" w:rsidP="00454DFE">
      <w:pPr>
        <w:pStyle w:val="Textonotapie"/>
        <w:jc w:val="both"/>
        <w:rPr>
          <w:i/>
        </w:rPr>
      </w:pPr>
      <w:r w:rsidRPr="00454DFE">
        <w:rPr>
          <w:i/>
        </w:rPr>
        <w:t>2. Compete a los poderes públicos organizar y tutelar la salud pública a través de medidas preventivas y de las prestaciones y servicios necesarios. La Ley establecerá los derechos y deberes de todos al respecto.</w:t>
      </w:r>
    </w:p>
    <w:p w:rsidR="00E279EE" w:rsidRDefault="00E279EE" w:rsidP="00454DFE">
      <w:pPr>
        <w:pStyle w:val="Textonotapie"/>
        <w:jc w:val="both"/>
      </w:pPr>
      <w:r w:rsidRPr="00454DFE">
        <w:rPr>
          <w:i/>
        </w:rPr>
        <w:t>3. Los poderes públicos fomentarán la educación sanitaria, la educación física y el deporte. Asimismo, facilitarán la adecuada utilización del ocio”</w:t>
      </w:r>
      <w:r>
        <w:t>.</w:t>
      </w:r>
    </w:p>
  </w:footnote>
  <w:footnote w:id="7">
    <w:p w:rsidR="00E279EE" w:rsidRDefault="00E279EE" w:rsidP="004E58BC">
      <w:pPr>
        <w:pStyle w:val="Textonotapie"/>
        <w:jc w:val="both"/>
      </w:pPr>
      <w:r>
        <w:rPr>
          <w:rStyle w:val="Refdenotaalpie"/>
        </w:rPr>
        <w:footnoteRef/>
      </w:r>
      <w:r>
        <w:t xml:space="preserve"> Disciplina esta materia en su Título X, arts. 139 a 146, algunos parcialmente modificados por la Ley 4/1999 de 13 de enero, mediante el epígrafe </w:t>
      </w:r>
      <w:r w:rsidRPr="004E58BC">
        <w:rPr>
          <w:i/>
        </w:rPr>
        <w:t>“Responsabilidad Patrimonial de las Administraciones Públicas y de sus autoridades y demás personal a su servicio”</w:t>
      </w:r>
      <w:r>
        <w:t>.</w:t>
      </w:r>
    </w:p>
  </w:footnote>
  <w:footnote w:id="8">
    <w:p w:rsidR="00E279EE" w:rsidRDefault="00E279EE" w:rsidP="005701E1">
      <w:pPr>
        <w:pStyle w:val="Textonotapie"/>
        <w:jc w:val="both"/>
      </w:pPr>
      <w:r>
        <w:rPr>
          <w:rStyle w:val="Refdenotaalpie"/>
        </w:rPr>
        <w:footnoteRef/>
      </w:r>
      <w:r>
        <w:t xml:space="preserve"> Esta, por un lado, la LO 6/1998, de 13 de julio, que altera el art. 9.4 de la LOPJ, cuya nueva redacción señala que (en referencia al ámbito de competencia de la jurisdicción contencioso-administrativa), </w:t>
      </w:r>
      <w:r w:rsidRPr="0054685B">
        <w:rPr>
          <w:i/>
        </w:rPr>
        <w:t>“conocerán asimismo de las pretensiones que se deduzcan en relación con la responsabilidad patrimonial de las Administraciones Públicas, cualquiera que sea la naturaleza de la actividad o el tipo de relación de que se derive. Y si a la producción del daño hubieran concurrido sujetos pasivos, el demandante deducirá también frente a ellos su pretensión de resarcimiento ante este orden jurisdiccional”</w:t>
      </w:r>
      <w:r>
        <w:t xml:space="preserve">, y, por otro lado, está el art. 2 e) de la Ley 29/1998, de 13 de julio (LJCA), que introduce dentro de la jurisdicción contencioso-administrativa: </w:t>
      </w:r>
      <w:r w:rsidRPr="0054685B">
        <w:rPr>
          <w:i/>
        </w:rPr>
        <w:t>“La responsabilidad patrimonial de la relación de que derive, no pudiendo ser demandada aquella por este motivo ante los órdenes jurisdiccionales civil o social”</w:t>
      </w:r>
      <w:r>
        <w:t>.</w:t>
      </w:r>
    </w:p>
  </w:footnote>
  <w:footnote w:id="9">
    <w:p w:rsidR="00E279EE" w:rsidRDefault="00E279EE" w:rsidP="005D7D54">
      <w:pPr>
        <w:pStyle w:val="Textonotapie"/>
        <w:jc w:val="both"/>
      </w:pPr>
      <w:r>
        <w:rPr>
          <w:rStyle w:val="Refdenotaalpie"/>
        </w:rPr>
        <w:footnoteRef/>
      </w:r>
      <w:r>
        <w:t xml:space="preserve"> STS Sala Primera, de lo Civil, núm. 1084/2002, rec. 2377/1997. Ponente: Almagro Nosete.</w:t>
      </w:r>
    </w:p>
  </w:footnote>
  <w:footnote w:id="10">
    <w:p w:rsidR="00E279EE" w:rsidRDefault="00E279EE" w:rsidP="005D7D54">
      <w:pPr>
        <w:pStyle w:val="Textonotapie"/>
        <w:jc w:val="both"/>
      </w:pPr>
      <w:r>
        <w:rPr>
          <w:rStyle w:val="Refdenotaalpie"/>
        </w:rPr>
        <w:footnoteRef/>
      </w:r>
      <w:r>
        <w:t xml:space="preserve"> En la STS de 10 de julio de 2002 (Sala Primera, de lo Civil, núm. 700/2002, rec. 109/1997. Ponente: Sierra Gil de la Cuesta) se indicó, en este mismo sentido, que </w:t>
      </w:r>
      <w:r w:rsidRPr="005D7D54">
        <w:rPr>
          <w:i/>
        </w:rPr>
        <w:t>“es conocida la doctrina jurisprudencial que determina que cuando la demanda por negligencia sanitaria se dirige contra una entidad especialidad, se establece una responsabilidad prácticamente objetiva, siempre que quede acreditada la culpa de algún profesional sanitario dependiente de la misma: lo que desemboca en la tesis de &lt;conjunto de posibles deficiencias asistenciales&gt; o de &lt;defectuoso funcionamiento&gt;, por todo lo cual se debe declarar la responsabilidad del centro sanitario -en este caso insalud- y que supone una perfecta aplicación del art. 1903 del Código Civil, cuando se establece la responsabilidad civil del empresario”</w:t>
      </w:r>
      <w:r>
        <w:t>.</w:t>
      </w:r>
    </w:p>
  </w:footnote>
  <w:footnote w:id="11">
    <w:p w:rsidR="00E279EE" w:rsidRDefault="00E279EE" w:rsidP="00792D4B">
      <w:pPr>
        <w:pStyle w:val="Textonotapie"/>
        <w:jc w:val="both"/>
      </w:pPr>
      <w:r>
        <w:rPr>
          <w:rStyle w:val="Refdenotaalpie"/>
        </w:rPr>
        <w:footnoteRef/>
      </w:r>
      <w:r>
        <w:t xml:space="preserve"> Dicho art. 149.1.18 de la CE, atribuye al legislador estatal la competencia exclusiva en la regulación del sistema de responsabilidad patrimonial de todas las Administración Públicas (Administración central, autonómica y local, organismo autónomo, entidad pública empresarial, etc).</w:t>
      </w:r>
    </w:p>
  </w:footnote>
  <w:footnote w:id="12">
    <w:p w:rsidR="00E279EE" w:rsidRDefault="00E279EE" w:rsidP="00373BF0">
      <w:pPr>
        <w:pStyle w:val="Textonotapie"/>
        <w:jc w:val="both"/>
      </w:pPr>
      <w:r>
        <w:rPr>
          <w:rStyle w:val="Refdenotaalpie"/>
        </w:rPr>
        <w:footnoteRef/>
      </w:r>
      <w:r>
        <w:t xml:space="preserve"> Sobre la base de la teoría de la personalidad jurídica del Estado, la Administración, como persona jurídica dentro de la que se integran los funcionarios o agentes a su servicio, habrá de responder por los daños y perjuicios ocasionados por estos.</w:t>
      </w:r>
    </w:p>
  </w:footnote>
  <w:footnote w:id="13">
    <w:p w:rsidR="00E279EE" w:rsidRDefault="00E279EE" w:rsidP="009723B7">
      <w:pPr>
        <w:pStyle w:val="Textonotapie"/>
        <w:jc w:val="both"/>
      </w:pPr>
      <w:r>
        <w:rPr>
          <w:rStyle w:val="Refdenotaalpie"/>
        </w:rPr>
        <w:footnoteRef/>
      </w:r>
      <w:r>
        <w:t xml:space="preserve"> El art. 36.1 de la mencionada Ley 40/2015, manifiesta que, </w:t>
      </w:r>
      <w:r w:rsidRPr="009723B7">
        <w:rPr>
          <w:i/>
        </w:rPr>
        <w:t>“para hacer efectiva la responsabilidad pat</w:t>
      </w:r>
      <w:r>
        <w:rPr>
          <w:i/>
        </w:rPr>
        <w:t>rimonial a que se refiere esta Ley</w:t>
      </w:r>
      <w:r w:rsidRPr="009723B7">
        <w:rPr>
          <w:i/>
        </w:rPr>
        <w:t>, los particulares exigirán directamente a la Administración Pública correspondiente las indemnizaciones por los daños y perjuicios causados por las autoridades y personal a su servicio”</w:t>
      </w:r>
      <w:r>
        <w:t>.</w:t>
      </w:r>
    </w:p>
  </w:footnote>
  <w:footnote w:id="14">
    <w:p w:rsidR="00E279EE" w:rsidRDefault="00E279EE" w:rsidP="00507DAC">
      <w:pPr>
        <w:pStyle w:val="Textonotapie"/>
        <w:jc w:val="both"/>
      </w:pPr>
      <w:r>
        <w:rPr>
          <w:rStyle w:val="Refdenotaalpie"/>
        </w:rPr>
        <w:footnoteRef/>
      </w:r>
      <w:r>
        <w:t xml:space="preserve"> Rec. 5538/2003. Ponente: Robles Fernández, Margarita.</w:t>
      </w:r>
    </w:p>
  </w:footnote>
  <w:footnote w:id="15">
    <w:p w:rsidR="00E279EE" w:rsidRDefault="00E279EE" w:rsidP="00D50726">
      <w:pPr>
        <w:pStyle w:val="Textonotapie"/>
        <w:jc w:val="both"/>
      </w:pPr>
      <w:r>
        <w:rPr>
          <w:rStyle w:val="Refdenotaalpie"/>
        </w:rPr>
        <w:footnoteRef/>
      </w:r>
      <w:r>
        <w:t xml:space="preserve"> Rec. 5956/1998. Ponente: Lecumberri Martí, Enrique.</w:t>
      </w:r>
    </w:p>
  </w:footnote>
  <w:footnote w:id="16">
    <w:p w:rsidR="00E279EE" w:rsidRDefault="00E279EE" w:rsidP="0062424C">
      <w:pPr>
        <w:pStyle w:val="Textonotapie"/>
        <w:jc w:val="both"/>
      </w:pPr>
      <w:r>
        <w:rPr>
          <w:rStyle w:val="Refdenotaalpie"/>
        </w:rPr>
        <w:footnoteRef/>
      </w:r>
      <w:r>
        <w:t xml:space="preserve"> Rec. 2132/1995. Ponente: González Navarro, Francisco.</w:t>
      </w:r>
    </w:p>
  </w:footnote>
  <w:footnote w:id="17">
    <w:p w:rsidR="00E279EE" w:rsidRDefault="00E279EE" w:rsidP="0062424C">
      <w:pPr>
        <w:pStyle w:val="Textonotapie"/>
        <w:jc w:val="both"/>
      </w:pPr>
      <w:r>
        <w:rPr>
          <w:rStyle w:val="Refdenotaalpie"/>
        </w:rPr>
        <w:footnoteRef/>
      </w:r>
      <w:r>
        <w:t xml:space="preserve"> Rec. 8406/1997. Ponente: Peces Morate, Jesús Ernesto.</w:t>
      </w:r>
    </w:p>
  </w:footnote>
  <w:footnote w:id="18">
    <w:p w:rsidR="00E279EE" w:rsidRDefault="00E279EE" w:rsidP="0062424C">
      <w:pPr>
        <w:pStyle w:val="Textonotapie"/>
        <w:jc w:val="both"/>
      </w:pPr>
      <w:r>
        <w:rPr>
          <w:rStyle w:val="Refdenotaalpie"/>
        </w:rPr>
        <w:footnoteRef/>
      </w:r>
      <w:r>
        <w:t xml:space="preserve"> Rec. 5294/1998. Ponente: Peces Morate, Jesús Ernesto.</w:t>
      </w:r>
    </w:p>
  </w:footnote>
  <w:footnote w:id="19">
    <w:p w:rsidR="00E279EE" w:rsidRDefault="00E279EE" w:rsidP="008144FC">
      <w:pPr>
        <w:pStyle w:val="Textonotapie"/>
        <w:jc w:val="both"/>
      </w:pPr>
      <w:r>
        <w:rPr>
          <w:rStyle w:val="Refdenotaalpie"/>
        </w:rPr>
        <w:footnoteRef/>
      </w:r>
      <w:r>
        <w:t xml:space="preserve"> Las condiciones concretas del medio, como manifiesta </w:t>
      </w:r>
      <w:r w:rsidRPr="002923AC">
        <w:rPr>
          <w:color w:val="000000" w:themeColor="text1"/>
        </w:rPr>
        <w:t xml:space="preserve">Gracia Guillén (1995) </w:t>
      </w:r>
      <w:r w:rsidRPr="002923AC">
        <w:rPr>
          <w:i/>
          <w:color w:val="000000" w:themeColor="text1"/>
        </w:rPr>
        <w:t>“son importantes a la hora de definir qué debe entenderse por conducta prudente y, por tanto, por conducta producto. La corrección no es un concepto abstracto, sino que al final resulta tremendamente concreto. Corrección es aquí y ahora, en este hospital, con estas posibilidades concretas”</w:t>
      </w:r>
      <w:r>
        <w:t>.</w:t>
      </w:r>
    </w:p>
  </w:footnote>
  <w:footnote w:id="20">
    <w:p w:rsidR="00E279EE" w:rsidRDefault="00E279EE" w:rsidP="00A22C3A">
      <w:pPr>
        <w:pStyle w:val="Textonotapie"/>
        <w:jc w:val="both"/>
      </w:pPr>
      <w:r>
        <w:rPr>
          <w:rStyle w:val="Refdenotaalpie"/>
        </w:rPr>
        <w:footnoteRef/>
      </w:r>
      <w:r>
        <w:t xml:space="preserve"> Rec. 7418/2004. Ponente: Robles Fernández, Margarita.</w:t>
      </w:r>
    </w:p>
  </w:footnote>
  <w:footnote w:id="21">
    <w:p w:rsidR="00E279EE" w:rsidRDefault="00E279EE" w:rsidP="005B206B">
      <w:pPr>
        <w:pStyle w:val="Textonotapie"/>
        <w:jc w:val="both"/>
      </w:pPr>
      <w:r>
        <w:rPr>
          <w:rStyle w:val="Refdenotaalpie"/>
        </w:rPr>
        <w:footnoteRef/>
      </w:r>
      <w:r>
        <w:t xml:space="preserve"> Rec. 87/2004. Ponente: Quesada Varea, José Luis. Núm. de sentencia: 621/2007.</w:t>
      </w:r>
    </w:p>
  </w:footnote>
  <w:footnote w:id="22">
    <w:p w:rsidR="00E279EE" w:rsidRDefault="00E279EE" w:rsidP="00840397">
      <w:pPr>
        <w:pStyle w:val="Textonotapie"/>
        <w:jc w:val="both"/>
      </w:pPr>
      <w:r>
        <w:rPr>
          <w:rStyle w:val="Refdenotaalpie"/>
        </w:rPr>
        <w:footnoteRef/>
      </w:r>
      <w:r>
        <w:t xml:space="preserve"> Rec. 425/2004. Ponente: Pazos Pita, Margarita Encarnación. Núm. de sentencia: 1571/2008.</w:t>
      </w:r>
    </w:p>
  </w:footnote>
  <w:footnote w:id="23">
    <w:p w:rsidR="00E279EE" w:rsidRDefault="00E279EE" w:rsidP="00840397">
      <w:pPr>
        <w:pStyle w:val="Textonotapie"/>
        <w:jc w:val="both"/>
      </w:pPr>
      <w:r>
        <w:rPr>
          <w:rStyle w:val="Refdenotaalpie"/>
        </w:rPr>
        <w:footnoteRef/>
      </w:r>
      <w:r>
        <w:t xml:space="preserve"> Rec. 656/2008. Ponente: Lecumberri Martí, Enrique.</w:t>
      </w:r>
    </w:p>
  </w:footnote>
  <w:footnote w:id="24">
    <w:p w:rsidR="00E279EE" w:rsidRDefault="00E279EE" w:rsidP="00840397">
      <w:pPr>
        <w:pStyle w:val="Textonotapie"/>
        <w:jc w:val="both"/>
      </w:pPr>
      <w:r>
        <w:rPr>
          <w:rStyle w:val="Refdenotaalpie"/>
        </w:rPr>
        <w:footnoteRef/>
      </w:r>
      <w:r>
        <w:t xml:space="preserve"> Rec. 5286/2003. Ponente: Robles Fernández, Margarita.</w:t>
      </w:r>
    </w:p>
  </w:footnote>
  <w:footnote w:id="25">
    <w:p w:rsidR="00E279EE" w:rsidRDefault="00E279EE" w:rsidP="00840397">
      <w:pPr>
        <w:pStyle w:val="Textonotapie"/>
        <w:jc w:val="both"/>
      </w:pPr>
      <w:r>
        <w:rPr>
          <w:rStyle w:val="Refdenotaalpie"/>
        </w:rPr>
        <w:footnoteRef/>
      </w:r>
      <w:r>
        <w:t xml:space="preserve"> Rec. 7807/2004. Ponente: Robles Fernández, Margarita.</w:t>
      </w:r>
    </w:p>
  </w:footnote>
  <w:footnote w:id="26">
    <w:p w:rsidR="00E279EE" w:rsidRDefault="00E279EE" w:rsidP="00840397">
      <w:pPr>
        <w:pStyle w:val="Textonotapie"/>
        <w:jc w:val="both"/>
      </w:pPr>
      <w:r>
        <w:rPr>
          <w:rStyle w:val="Refdenotaalpie"/>
        </w:rPr>
        <w:footnoteRef/>
      </w:r>
      <w:r>
        <w:t xml:space="preserve"> Rec. 164/2002. Ponente: Herrero Pina, Octavio Juan.</w:t>
      </w:r>
    </w:p>
  </w:footnote>
  <w:footnote w:id="27">
    <w:p w:rsidR="00E279EE" w:rsidRDefault="00E279EE" w:rsidP="00840397">
      <w:pPr>
        <w:pStyle w:val="Textonotapie"/>
        <w:jc w:val="both"/>
      </w:pPr>
      <w:r>
        <w:rPr>
          <w:rStyle w:val="Refdenotaalpie"/>
        </w:rPr>
        <w:footnoteRef/>
      </w:r>
      <w:r>
        <w:t xml:space="preserve"> Rec. 684/2009. Ponente: Pardo Muñoz, Francisco Javier. Núm. de sentencia: 875/2010.</w:t>
      </w:r>
    </w:p>
  </w:footnote>
  <w:footnote w:id="28">
    <w:p w:rsidR="00E279EE" w:rsidRDefault="00E279EE" w:rsidP="00125592">
      <w:pPr>
        <w:pStyle w:val="Textonotapie"/>
        <w:jc w:val="both"/>
      </w:pPr>
      <w:r>
        <w:rPr>
          <w:rStyle w:val="Refdenotaalpie"/>
        </w:rPr>
        <w:footnoteRef/>
      </w:r>
      <w:r>
        <w:t xml:space="preserve"> Rec. 1172/2002. Ponente: Algora Hernando, Jesús Ignacio. Núm. de sentencia: 304/2006.</w:t>
      </w:r>
    </w:p>
  </w:footnote>
  <w:footnote w:id="29">
    <w:p w:rsidR="00E279EE" w:rsidRDefault="00E279EE" w:rsidP="00125592">
      <w:pPr>
        <w:pStyle w:val="Textonotapie"/>
        <w:jc w:val="both"/>
      </w:pPr>
      <w:r>
        <w:rPr>
          <w:rStyle w:val="Refdenotaalpie"/>
        </w:rPr>
        <w:footnoteRef/>
      </w:r>
      <w:r>
        <w:t xml:space="preserve"> Rec. 68/2003. Ponente: Rius Alarco, Carolina. Núm. de sentencia: 229/2007.</w:t>
      </w:r>
    </w:p>
  </w:footnote>
  <w:footnote w:id="30">
    <w:p w:rsidR="00E279EE" w:rsidRDefault="00E279EE" w:rsidP="00125592">
      <w:pPr>
        <w:pStyle w:val="Textonotapie"/>
        <w:jc w:val="both"/>
      </w:pPr>
      <w:r>
        <w:rPr>
          <w:rStyle w:val="Refdenotaalpie"/>
        </w:rPr>
        <w:footnoteRef/>
      </w:r>
      <w:r>
        <w:t xml:space="preserve"> Rec. 386/2006. Núm. de sentencia: 199/2007.</w:t>
      </w:r>
    </w:p>
  </w:footnote>
  <w:footnote w:id="31">
    <w:p w:rsidR="00E279EE" w:rsidRDefault="00E279EE" w:rsidP="00125592">
      <w:pPr>
        <w:pStyle w:val="Textonotapie"/>
        <w:jc w:val="both"/>
      </w:pPr>
      <w:r>
        <w:rPr>
          <w:rStyle w:val="Refdenotaalpie"/>
        </w:rPr>
        <w:footnoteRef/>
      </w:r>
      <w:r>
        <w:t xml:space="preserve"> Rec. 166/2004. Ponente: Robles Fernández, Margarita.</w:t>
      </w:r>
    </w:p>
  </w:footnote>
  <w:footnote w:id="32">
    <w:p w:rsidR="00E279EE" w:rsidRDefault="00E279EE" w:rsidP="00125592">
      <w:pPr>
        <w:pStyle w:val="Textonotapie"/>
        <w:jc w:val="both"/>
      </w:pPr>
      <w:r>
        <w:rPr>
          <w:rStyle w:val="Refdenotaalpie"/>
        </w:rPr>
        <w:footnoteRef/>
      </w:r>
      <w:r>
        <w:t xml:space="preserve"> Rec. 295/2004. Núm. de sentencia: 833/2007.</w:t>
      </w:r>
    </w:p>
  </w:footnote>
  <w:footnote w:id="33">
    <w:p w:rsidR="00E279EE" w:rsidRDefault="00E279EE" w:rsidP="00265B4E">
      <w:pPr>
        <w:pStyle w:val="Textonotapie"/>
        <w:jc w:val="both"/>
      </w:pPr>
      <w:r>
        <w:rPr>
          <w:rStyle w:val="Refdenotaalpie"/>
        </w:rPr>
        <w:footnoteRef/>
      </w:r>
      <w:r>
        <w:t xml:space="preserve"> Rec. 3627/2005. Ponente: Puente Prieto, Agustín.</w:t>
      </w:r>
    </w:p>
  </w:footnote>
  <w:footnote w:id="34">
    <w:p w:rsidR="00E279EE" w:rsidRDefault="00E279EE" w:rsidP="001C3EEA">
      <w:pPr>
        <w:pStyle w:val="Textonotapie"/>
        <w:jc w:val="both"/>
      </w:pPr>
      <w:r>
        <w:rPr>
          <w:rStyle w:val="Refdenotaalpie"/>
        </w:rPr>
        <w:footnoteRef/>
      </w:r>
      <w:r>
        <w:t xml:space="preserve"> Rec. 7061/2001. Ponente: Peces Morate, Jesús Ernesto.</w:t>
      </w:r>
    </w:p>
  </w:footnote>
  <w:footnote w:id="35">
    <w:p w:rsidR="00E279EE" w:rsidRDefault="00E279EE" w:rsidP="00634B14">
      <w:pPr>
        <w:pStyle w:val="Textonotapie"/>
        <w:jc w:val="both"/>
      </w:pPr>
      <w:r>
        <w:rPr>
          <w:rStyle w:val="Refdenotaalpie"/>
        </w:rPr>
        <w:footnoteRef/>
      </w:r>
      <w:r>
        <w:t xml:space="preserve"> Son de suma importancia las apreciaciones que sobre las listas de espera efectúa la SAN, Sala de lo Contencioso-Administrativo, Secc. 4ª, de 31 de mayo de 2000, recurso 1/1998. Ponente: Requero Ibáñez. En dicha sala, el Tribunal asegura que la denominada lista de espera en sí es una realidad jurídica y, por eso, tiene su previsión legal. Su razón de ser aparece en el hecho de que la Administración tiene un deber de puesta de medios, pero es un hecho indiscutible que dispone de unos medios materiales y humanos limitados, medios estos que gestiona y con los cuales tiene que atender, en función de la organización sanitaria, a un cierto número de beneficiarios. Para ello, dicha sentencia diferencia entre daños jurídicos, que son aquellos que el individuo tiene el deber jurídico de soportar, y daños que no lo son y, por lo cual, resultan indemnizables. Los primeros daños hacen referencia a las molestias sufridas por la espera, las precauciones y prevenciones que deben llevarse a cabo en el preciso momento de la intervención, y la desazón que implica o la rebaja que esto supone en calidad de vida por controles o vigilancia del padecimiento hasta la operación. Los segundos daños referidos anteriormente, los denominados antijurídicos, son los que vienen dados </w:t>
      </w:r>
      <w:r w:rsidRPr="00B14DC8">
        <w:rPr>
          <w:i/>
        </w:rPr>
        <w:t>“por una lista en sí misma mal gestionada o irracional, de duración exagerada o cuando hubiere un error en la clasificación de la prioridad del enfermo o cuando en el curso de esa espera se produjesen empeoramientos o deterioros de la salud que lleven a secuelas irreversibles o que, sin llegar a anular, sí mitiguen la eficacia de la intervención esperada”</w:t>
      </w:r>
      <w:r>
        <w:t>.</w:t>
      </w:r>
    </w:p>
  </w:footnote>
  <w:footnote w:id="36">
    <w:p w:rsidR="00E279EE" w:rsidRDefault="00E279EE" w:rsidP="00255F19">
      <w:pPr>
        <w:pStyle w:val="Textonotapie"/>
        <w:jc w:val="both"/>
      </w:pPr>
      <w:r>
        <w:rPr>
          <w:rStyle w:val="Refdenotaalpie"/>
        </w:rPr>
        <w:footnoteRef/>
      </w:r>
      <w:r>
        <w:t xml:space="preserve"> En palabras de </w:t>
      </w:r>
      <w:r w:rsidRPr="002923AC">
        <w:rPr>
          <w:color w:val="000000" w:themeColor="text1"/>
        </w:rPr>
        <w:t xml:space="preserve">García de Enterría y Fernández (1993), </w:t>
      </w:r>
      <w:r w:rsidRPr="002923AC">
        <w:rPr>
          <w:i/>
          <w:color w:val="000000" w:themeColor="text1"/>
        </w:rPr>
        <w:t>“la imputación es un fenómeno jurídico consistente en la atribución a un sujeto determinado el deber de reparar un daño, en base a la relación existente entre aquel y este”</w:t>
      </w:r>
      <w:r w:rsidRPr="002923AC">
        <w:rPr>
          <w:color w:val="000000" w:themeColor="text1"/>
        </w:rPr>
        <w:t>.</w:t>
      </w:r>
    </w:p>
  </w:footnote>
  <w:footnote w:id="37">
    <w:p w:rsidR="00E279EE" w:rsidRDefault="00E279EE" w:rsidP="009D0132">
      <w:pPr>
        <w:pStyle w:val="Textonotapie"/>
        <w:jc w:val="both"/>
      </w:pPr>
      <w:r>
        <w:rPr>
          <w:rStyle w:val="Refdenotaalpie"/>
        </w:rPr>
        <w:footnoteRef/>
      </w:r>
      <w:r>
        <w:t xml:space="preserve"> Rec. 265/2003. Ponente: Suárez Tejera, Jesús José. Núm. de sentencia: 245/2005. </w:t>
      </w:r>
    </w:p>
  </w:footnote>
  <w:footnote w:id="38">
    <w:p w:rsidR="00E279EE" w:rsidRDefault="00E279EE" w:rsidP="00600659">
      <w:pPr>
        <w:pStyle w:val="Textonotapie"/>
        <w:jc w:val="both"/>
      </w:pPr>
      <w:r>
        <w:rPr>
          <w:rStyle w:val="Refdenotaalpie"/>
        </w:rPr>
        <w:footnoteRef/>
      </w:r>
      <w:r>
        <w:t xml:space="preserve"> Según manifiesta </w:t>
      </w:r>
      <w:r w:rsidRPr="002A6714">
        <w:rPr>
          <w:color w:val="000000" w:themeColor="text1"/>
        </w:rPr>
        <w:t xml:space="preserve">Martín Rebollo (1999), </w:t>
      </w:r>
      <w:r w:rsidRPr="002A6714">
        <w:rPr>
          <w:i/>
          <w:color w:val="000000" w:themeColor="text1"/>
        </w:rPr>
        <w:t>“a partir del común entendimiento de que la expresión servicios públicos se está empleando aquí en sentido equivalente a actividad administrativa, ello supone que quedan incluidos en el ámbito del sistema los daños imputables a todo tipo de actuación (tanto formal como únicamente material) de la Administración, y tanto si dicho daño deriva de la acción personal, identificable y conocida de un empleado público como si trae causa de una acción u omisión anónima o intrínseca al servicio”</w:t>
      </w:r>
      <w:r w:rsidRPr="002A6714">
        <w:rPr>
          <w:color w:val="000000" w:themeColor="text1"/>
        </w:rPr>
        <w:t>.</w:t>
      </w:r>
    </w:p>
  </w:footnote>
  <w:footnote w:id="39">
    <w:p w:rsidR="00E279EE" w:rsidRDefault="00E279EE" w:rsidP="0078409B">
      <w:pPr>
        <w:pStyle w:val="Textonotapie"/>
        <w:jc w:val="both"/>
      </w:pPr>
      <w:r>
        <w:rPr>
          <w:rStyle w:val="Refdenotaalpie"/>
        </w:rPr>
        <w:footnoteRef/>
      </w:r>
      <w:r>
        <w:t xml:space="preserve"> Rec. 2356/1994. Ponente: González Rivas, Juan José.</w:t>
      </w:r>
    </w:p>
  </w:footnote>
  <w:footnote w:id="40">
    <w:p w:rsidR="00E279EE" w:rsidRDefault="00E279EE" w:rsidP="001C7AD9">
      <w:pPr>
        <w:pStyle w:val="Textonotapie"/>
        <w:jc w:val="both"/>
      </w:pPr>
      <w:r>
        <w:rPr>
          <w:rStyle w:val="Refdenotaalpie"/>
        </w:rPr>
        <w:footnoteRef/>
      </w:r>
      <w:r>
        <w:t xml:space="preserve"> Rec. 2460/2000. Ponente: González Navarro, Francisco.</w:t>
      </w:r>
    </w:p>
  </w:footnote>
  <w:footnote w:id="41">
    <w:p w:rsidR="00E279EE" w:rsidRDefault="00E279EE" w:rsidP="001C7AD9">
      <w:pPr>
        <w:pStyle w:val="Textonotapie"/>
        <w:jc w:val="both"/>
      </w:pPr>
      <w:r>
        <w:rPr>
          <w:rStyle w:val="Refdenotaalpie"/>
        </w:rPr>
        <w:footnoteRef/>
      </w:r>
      <w:r>
        <w:t xml:space="preserve"> Rec. 2356/1994. Ponente: González Rivas, Juan José.</w:t>
      </w:r>
    </w:p>
  </w:footnote>
  <w:footnote w:id="42">
    <w:p w:rsidR="00E279EE" w:rsidRDefault="00E279EE" w:rsidP="00574E3A">
      <w:pPr>
        <w:pStyle w:val="Textonotapie"/>
        <w:jc w:val="both"/>
      </w:pPr>
      <w:r>
        <w:rPr>
          <w:rStyle w:val="Refdenotaalpie"/>
        </w:rPr>
        <w:footnoteRef/>
      </w:r>
      <w:r>
        <w:t xml:space="preserve"> Rec. 3552/2002. Ponente: Sieira Míguez, José Manuel.</w:t>
      </w:r>
    </w:p>
  </w:footnote>
  <w:footnote w:id="43">
    <w:p w:rsidR="00E279EE" w:rsidRDefault="00E279EE" w:rsidP="001943D5">
      <w:pPr>
        <w:pStyle w:val="Textonotapie"/>
        <w:jc w:val="both"/>
      </w:pPr>
      <w:r>
        <w:rPr>
          <w:rStyle w:val="Refdenotaalpie"/>
        </w:rPr>
        <w:footnoteRef/>
      </w:r>
      <w:r>
        <w:t xml:space="preserve"> Según </w:t>
      </w:r>
      <w:r w:rsidRPr="004F6679">
        <w:rPr>
          <w:color w:val="000000" w:themeColor="text1"/>
        </w:rPr>
        <w:t xml:space="preserve">Desdentado Daroca (2000), </w:t>
      </w:r>
      <w:r w:rsidRPr="004F6679">
        <w:rPr>
          <w:i/>
          <w:color w:val="000000" w:themeColor="text1"/>
        </w:rPr>
        <w:t>“el elemento central del sistema de responsabilidad de la Administración no es, por tanto, la vulneración de la legalidad o de un estándar de diligencia o eficacia, sino única y exclusivamente la existencia de una lesión del patrimonio del particular que puede vincularse causalmente al desarrollo de una actividad administrativa”</w:t>
      </w:r>
      <w:r>
        <w:t>.</w:t>
      </w:r>
    </w:p>
  </w:footnote>
  <w:footnote w:id="44">
    <w:p w:rsidR="00E279EE" w:rsidRDefault="00E279EE" w:rsidP="001943D5">
      <w:pPr>
        <w:pStyle w:val="Textonotapie"/>
        <w:jc w:val="both"/>
      </w:pPr>
      <w:r>
        <w:rPr>
          <w:rStyle w:val="Refdenotaalpie"/>
        </w:rPr>
        <w:footnoteRef/>
      </w:r>
      <w:r>
        <w:t xml:space="preserve"> Este inevitable y esencial nexo causal se ha considerado como un verdadero </w:t>
      </w:r>
      <w:r w:rsidRPr="001943D5">
        <w:rPr>
          <w:i/>
        </w:rPr>
        <w:t>“nudo gordiano”</w:t>
      </w:r>
      <w:r>
        <w:t xml:space="preserve"> de la declaración de responsabilidad patrimonial por parte de la STSJ de Andalucía (Granada) de 30 de septiembre de 2002.</w:t>
      </w:r>
    </w:p>
  </w:footnote>
  <w:footnote w:id="45">
    <w:p w:rsidR="00E279EE" w:rsidRDefault="00E279EE" w:rsidP="00AE5FC9">
      <w:pPr>
        <w:pStyle w:val="Textonotapie"/>
        <w:jc w:val="both"/>
      </w:pPr>
      <w:r>
        <w:rPr>
          <w:rStyle w:val="Refdenotaalpie"/>
        </w:rPr>
        <w:footnoteRef/>
      </w:r>
      <w:r>
        <w:t xml:space="preserve"> En esta misma dirección, encontramos las palabras de </w:t>
      </w:r>
      <w:r w:rsidRPr="005716CB">
        <w:rPr>
          <w:color w:val="000000" w:themeColor="text1"/>
        </w:rPr>
        <w:t xml:space="preserve">Mir Puigpelat (1999), que </w:t>
      </w:r>
      <w:r w:rsidRPr="005716CB">
        <w:rPr>
          <w:i/>
          <w:color w:val="000000" w:themeColor="text1"/>
        </w:rPr>
        <w:t>“considera que el precepto establece un título de no imputación del daño a la Administración, que delimita el concepto mismo de lesión, pues contribuye a perfilar los supuestos en que existe el deber de soportar el daño”</w:t>
      </w:r>
      <w:r>
        <w:t xml:space="preserve">. Asimismo, López Menudo (1999) y Hernández Corchete (1999), afirman de forma parecida el pensamiento de Mir Puigpelat. Pensamientos opuestos encontramos en </w:t>
      </w:r>
      <w:r w:rsidRPr="00D96CC7">
        <w:rPr>
          <w:color w:val="000000" w:themeColor="text1"/>
        </w:rPr>
        <w:t xml:space="preserve">Leguina Villa (1999) y García Llovet (1999), ya que consideran que </w:t>
      </w:r>
      <w:r w:rsidRPr="00D96CC7">
        <w:rPr>
          <w:i/>
          <w:color w:val="000000" w:themeColor="text1"/>
        </w:rPr>
        <w:t>“el legislador introduce una importante limitación al sistema de responsabilidad, puesto que, por esta vía, excluye la mayor parte de los supuestos de caso fortuito”</w:t>
      </w:r>
      <w:r>
        <w:t>.</w:t>
      </w:r>
    </w:p>
  </w:footnote>
  <w:footnote w:id="46">
    <w:p w:rsidR="00E279EE" w:rsidRDefault="00E279EE" w:rsidP="00887F66">
      <w:pPr>
        <w:pStyle w:val="Textonotapie"/>
        <w:jc w:val="both"/>
      </w:pPr>
      <w:r>
        <w:rPr>
          <w:rStyle w:val="Refdenotaalpie"/>
        </w:rPr>
        <w:footnoteRef/>
      </w:r>
      <w:r>
        <w:t xml:space="preserve"> El art. 24 de la CE manifiesta lo siguiente:</w:t>
      </w:r>
    </w:p>
    <w:p w:rsidR="00E279EE" w:rsidRPr="00E43FE0" w:rsidRDefault="00E279EE" w:rsidP="00887F66">
      <w:pPr>
        <w:pStyle w:val="Textonotapie"/>
        <w:jc w:val="both"/>
        <w:rPr>
          <w:i/>
        </w:rPr>
      </w:pPr>
      <w:r w:rsidRPr="00E43FE0">
        <w:rPr>
          <w:i/>
        </w:rPr>
        <w:t>“1. Todas las personas tienen derecho a obtener la tutela efectiva de los jueces y tribunales en el ejercicio de sus derechos e intereses legítimos, sin que, en ningún caso, pueda producirse indefensión.</w:t>
      </w:r>
    </w:p>
    <w:p w:rsidR="00E279EE" w:rsidRDefault="00E279EE" w:rsidP="00887F66">
      <w:pPr>
        <w:pStyle w:val="Textonotapie"/>
        <w:jc w:val="both"/>
      </w:pPr>
      <w:r w:rsidRPr="00E43FE0">
        <w:rPr>
          <w:i/>
        </w:rPr>
        <w:t>2. Asimismo, todos tienen derecho al Juez ordinario predeterminado por la Ley, a la defensa y a la asistencia de letrado, a ser informados de la acusación formulada contra ellos, a un proceso público sin dilaciones indebidas y con todas las garantías, a utilizar los medios de prueba pertinentes para su defensa, a no declarar contra sí mismos, a no confesarse culpables y a la presunción de inocencia”</w:t>
      </w:r>
      <w:r>
        <w:t>.</w:t>
      </w:r>
    </w:p>
  </w:footnote>
  <w:footnote w:id="47">
    <w:p w:rsidR="00E279EE" w:rsidRDefault="00E279EE" w:rsidP="00415927">
      <w:pPr>
        <w:pStyle w:val="Textonotapie"/>
        <w:jc w:val="both"/>
      </w:pPr>
      <w:r>
        <w:rPr>
          <w:rStyle w:val="Refdenotaalpie"/>
        </w:rPr>
        <w:footnoteRef/>
      </w:r>
      <w:r>
        <w:t xml:space="preserve"> El art. 15.2 de la Ley 41/2002, declara el contenido mínimo que debe constituir cualquier historia clínica y, dicho contenido es el siguiente:</w:t>
      </w:r>
    </w:p>
    <w:p w:rsidR="00E279EE" w:rsidRPr="000232C0" w:rsidRDefault="00E279EE" w:rsidP="00415927">
      <w:pPr>
        <w:pStyle w:val="Textonotapie"/>
        <w:jc w:val="both"/>
        <w:rPr>
          <w:i/>
        </w:rPr>
      </w:pPr>
      <w:r w:rsidRPr="000232C0">
        <w:rPr>
          <w:i/>
        </w:rPr>
        <w:t>“a) La documentación relativa a la hoja clínico-estadística.</w:t>
      </w:r>
    </w:p>
    <w:p w:rsidR="00E279EE" w:rsidRPr="000232C0" w:rsidRDefault="00E279EE" w:rsidP="00415927">
      <w:pPr>
        <w:pStyle w:val="Textonotapie"/>
        <w:jc w:val="both"/>
        <w:rPr>
          <w:i/>
        </w:rPr>
      </w:pPr>
      <w:r w:rsidRPr="000232C0">
        <w:rPr>
          <w:i/>
        </w:rPr>
        <w:t>b) La autorización de ingreso.</w:t>
      </w:r>
    </w:p>
    <w:p w:rsidR="00E279EE" w:rsidRPr="000232C0" w:rsidRDefault="00E279EE" w:rsidP="00415927">
      <w:pPr>
        <w:pStyle w:val="Textonotapie"/>
        <w:jc w:val="both"/>
        <w:rPr>
          <w:i/>
        </w:rPr>
      </w:pPr>
      <w:r w:rsidRPr="000232C0">
        <w:rPr>
          <w:i/>
        </w:rPr>
        <w:t>c) El informe de urgencia.</w:t>
      </w:r>
    </w:p>
    <w:p w:rsidR="00E279EE" w:rsidRPr="000232C0" w:rsidRDefault="00E279EE" w:rsidP="00415927">
      <w:pPr>
        <w:pStyle w:val="Textonotapie"/>
        <w:jc w:val="both"/>
        <w:rPr>
          <w:i/>
        </w:rPr>
      </w:pPr>
      <w:r w:rsidRPr="000232C0">
        <w:rPr>
          <w:i/>
        </w:rPr>
        <w:t>d) La anamnesis y la exploración física.</w:t>
      </w:r>
    </w:p>
    <w:p w:rsidR="00E279EE" w:rsidRDefault="00E279EE" w:rsidP="00415927">
      <w:pPr>
        <w:pStyle w:val="Textonotapie"/>
        <w:jc w:val="both"/>
      </w:pPr>
      <w:r w:rsidRPr="000232C0">
        <w:rPr>
          <w:i/>
        </w:rPr>
        <w:t>e) La evolución.</w:t>
      </w:r>
    </w:p>
    <w:p w:rsidR="00E279EE" w:rsidRPr="000232C0" w:rsidRDefault="00E279EE" w:rsidP="00415927">
      <w:pPr>
        <w:pStyle w:val="Textonotapie"/>
        <w:jc w:val="both"/>
        <w:rPr>
          <w:i/>
        </w:rPr>
      </w:pPr>
      <w:r w:rsidRPr="000232C0">
        <w:rPr>
          <w:i/>
        </w:rPr>
        <w:t>f)</w:t>
      </w:r>
      <w:r>
        <w:t xml:space="preserve"> </w:t>
      </w:r>
      <w:r w:rsidRPr="000232C0">
        <w:rPr>
          <w:i/>
        </w:rPr>
        <w:t>Las órdenes médicas.</w:t>
      </w:r>
    </w:p>
    <w:p w:rsidR="00E279EE" w:rsidRPr="000232C0" w:rsidRDefault="00E279EE" w:rsidP="00415927">
      <w:pPr>
        <w:pStyle w:val="Textonotapie"/>
        <w:jc w:val="both"/>
        <w:rPr>
          <w:i/>
        </w:rPr>
      </w:pPr>
      <w:r w:rsidRPr="000232C0">
        <w:rPr>
          <w:i/>
        </w:rPr>
        <w:t>g) La hoja de interconsulta.</w:t>
      </w:r>
    </w:p>
    <w:p w:rsidR="00E279EE" w:rsidRPr="000232C0" w:rsidRDefault="00E279EE" w:rsidP="00415927">
      <w:pPr>
        <w:pStyle w:val="Textonotapie"/>
        <w:jc w:val="both"/>
        <w:rPr>
          <w:i/>
        </w:rPr>
      </w:pPr>
      <w:r w:rsidRPr="000232C0">
        <w:rPr>
          <w:i/>
        </w:rPr>
        <w:t>h) Los informes de exploraciones complementarias.</w:t>
      </w:r>
    </w:p>
    <w:p w:rsidR="00E279EE" w:rsidRPr="000232C0" w:rsidRDefault="00E279EE" w:rsidP="00415927">
      <w:pPr>
        <w:pStyle w:val="Textonotapie"/>
        <w:jc w:val="both"/>
        <w:rPr>
          <w:i/>
        </w:rPr>
      </w:pPr>
      <w:r w:rsidRPr="000232C0">
        <w:rPr>
          <w:i/>
        </w:rPr>
        <w:t>i) El consentimiento informado.</w:t>
      </w:r>
    </w:p>
    <w:p w:rsidR="00E279EE" w:rsidRPr="000232C0" w:rsidRDefault="00E279EE" w:rsidP="00415927">
      <w:pPr>
        <w:pStyle w:val="Textonotapie"/>
        <w:jc w:val="both"/>
        <w:rPr>
          <w:i/>
        </w:rPr>
      </w:pPr>
      <w:r w:rsidRPr="000232C0">
        <w:rPr>
          <w:i/>
        </w:rPr>
        <w:t>j) El informe de anestesia.</w:t>
      </w:r>
    </w:p>
    <w:p w:rsidR="00E279EE" w:rsidRPr="000232C0" w:rsidRDefault="00E279EE" w:rsidP="00415927">
      <w:pPr>
        <w:pStyle w:val="Textonotapie"/>
        <w:jc w:val="both"/>
        <w:rPr>
          <w:i/>
        </w:rPr>
      </w:pPr>
      <w:r w:rsidRPr="000232C0">
        <w:rPr>
          <w:i/>
        </w:rPr>
        <w:t>k) El informe de quirófano o de registro del parto.</w:t>
      </w:r>
    </w:p>
    <w:p w:rsidR="00E279EE" w:rsidRPr="000232C0" w:rsidRDefault="00E279EE" w:rsidP="00415927">
      <w:pPr>
        <w:pStyle w:val="Textonotapie"/>
        <w:jc w:val="both"/>
        <w:rPr>
          <w:i/>
        </w:rPr>
      </w:pPr>
      <w:r w:rsidRPr="000232C0">
        <w:rPr>
          <w:i/>
        </w:rPr>
        <w:t>l) El informe de anatomía patológica.</w:t>
      </w:r>
    </w:p>
    <w:p w:rsidR="00E279EE" w:rsidRPr="000232C0" w:rsidRDefault="00E279EE" w:rsidP="00415927">
      <w:pPr>
        <w:pStyle w:val="Textonotapie"/>
        <w:jc w:val="both"/>
        <w:rPr>
          <w:i/>
        </w:rPr>
      </w:pPr>
      <w:r w:rsidRPr="000232C0">
        <w:rPr>
          <w:i/>
        </w:rPr>
        <w:t>m) La evolución y planificación de cuidados de enfermería.</w:t>
      </w:r>
    </w:p>
    <w:p w:rsidR="00E279EE" w:rsidRPr="000232C0" w:rsidRDefault="00E279EE" w:rsidP="00415927">
      <w:pPr>
        <w:pStyle w:val="Textonotapie"/>
        <w:jc w:val="both"/>
        <w:rPr>
          <w:i/>
        </w:rPr>
      </w:pPr>
      <w:r w:rsidRPr="000232C0">
        <w:rPr>
          <w:i/>
        </w:rPr>
        <w:t>n) La aplicación terapéutica de enfermería.</w:t>
      </w:r>
    </w:p>
    <w:p w:rsidR="00E279EE" w:rsidRPr="000232C0" w:rsidRDefault="00E279EE" w:rsidP="00415927">
      <w:pPr>
        <w:pStyle w:val="Textonotapie"/>
        <w:jc w:val="both"/>
        <w:rPr>
          <w:i/>
        </w:rPr>
      </w:pPr>
      <w:r w:rsidRPr="000232C0">
        <w:rPr>
          <w:i/>
        </w:rPr>
        <w:t>ñ) El gráfico de constantes.</w:t>
      </w:r>
    </w:p>
    <w:p w:rsidR="00E279EE" w:rsidRPr="000232C0" w:rsidRDefault="00E279EE" w:rsidP="00415927">
      <w:pPr>
        <w:pStyle w:val="Textonotapie"/>
        <w:jc w:val="both"/>
        <w:rPr>
          <w:i/>
        </w:rPr>
      </w:pPr>
      <w:r w:rsidRPr="000232C0">
        <w:rPr>
          <w:i/>
        </w:rPr>
        <w:t>o) El informe clínico de alta.</w:t>
      </w:r>
    </w:p>
    <w:p w:rsidR="00E279EE" w:rsidRDefault="00E279EE" w:rsidP="00415927">
      <w:pPr>
        <w:pStyle w:val="Textonotapie"/>
        <w:jc w:val="both"/>
      </w:pPr>
      <w:r w:rsidRPr="000232C0">
        <w:rPr>
          <w:i/>
        </w:rPr>
        <w:t>Los párrafos b), c), i), j), k), l), ñ) y o) sólo serán exigibles en la cumplimentación de la historia clínica cuando se trate de procesos de hospitalización o así se disponga”</w:t>
      </w:r>
      <w:r>
        <w:t>.</w:t>
      </w:r>
    </w:p>
  </w:footnote>
  <w:footnote w:id="48">
    <w:p w:rsidR="00E279EE" w:rsidRDefault="00E279EE" w:rsidP="00B54C1F">
      <w:pPr>
        <w:pStyle w:val="Textonotapie"/>
        <w:jc w:val="both"/>
      </w:pPr>
      <w:r>
        <w:rPr>
          <w:rStyle w:val="Refdenotaalpie"/>
        </w:rPr>
        <w:footnoteRef/>
      </w:r>
      <w:r>
        <w:t xml:space="preserve"> En esta dirección, encontramos las SSTC 4/2006 de 16 de enero y 175/2006 de 5 de junio, que constituyeron una trascendental doctrina que ha sido de aplicación a un supuesto de responsabilidad patrimonial por la STSJ de Madrid de 11 de mayo de 2006 (recurso 1035/2002).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fillcolor="#3cf" stroke="f">
      <v:fill color="#3cf"/>
      <v:stroke on="f"/>
      <v:textbox style="layout-flow:vertical;mso-layout-flow-alt:bottom-to-top"/>
      <o:colormru v:ext="edit" colors="#3c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3E"/>
    <w:rsid w:val="00001555"/>
    <w:rsid w:val="000056CC"/>
    <w:rsid w:val="0000596D"/>
    <w:rsid w:val="00015024"/>
    <w:rsid w:val="000232C0"/>
    <w:rsid w:val="00023641"/>
    <w:rsid w:val="00026A15"/>
    <w:rsid w:val="00030D2B"/>
    <w:rsid w:val="00031983"/>
    <w:rsid w:val="000363E0"/>
    <w:rsid w:val="000370C0"/>
    <w:rsid w:val="00040AB4"/>
    <w:rsid w:val="0005026C"/>
    <w:rsid w:val="00050B01"/>
    <w:rsid w:val="0005498F"/>
    <w:rsid w:val="0005695A"/>
    <w:rsid w:val="0006052B"/>
    <w:rsid w:val="00060D2F"/>
    <w:rsid w:val="000626FA"/>
    <w:rsid w:val="00062DB1"/>
    <w:rsid w:val="00075842"/>
    <w:rsid w:val="00082B41"/>
    <w:rsid w:val="0008453E"/>
    <w:rsid w:val="00084F43"/>
    <w:rsid w:val="00086410"/>
    <w:rsid w:val="0009383D"/>
    <w:rsid w:val="00096093"/>
    <w:rsid w:val="000A4CC2"/>
    <w:rsid w:val="000B0565"/>
    <w:rsid w:val="000C539E"/>
    <w:rsid w:val="000D205E"/>
    <w:rsid w:val="000E71D6"/>
    <w:rsid w:val="000F2236"/>
    <w:rsid w:val="000F2E0F"/>
    <w:rsid w:val="0010295B"/>
    <w:rsid w:val="00102AB0"/>
    <w:rsid w:val="00111461"/>
    <w:rsid w:val="001135BA"/>
    <w:rsid w:val="0011568C"/>
    <w:rsid w:val="00117B05"/>
    <w:rsid w:val="00125592"/>
    <w:rsid w:val="00127182"/>
    <w:rsid w:val="001304BC"/>
    <w:rsid w:val="00144479"/>
    <w:rsid w:val="00147BE5"/>
    <w:rsid w:val="00150B3A"/>
    <w:rsid w:val="001523DF"/>
    <w:rsid w:val="00154950"/>
    <w:rsid w:val="00157234"/>
    <w:rsid w:val="001651B2"/>
    <w:rsid w:val="001717E3"/>
    <w:rsid w:val="00171A27"/>
    <w:rsid w:val="00171C5E"/>
    <w:rsid w:val="001740FF"/>
    <w:rsid w:val="00177E91"/>
    <w:rsid w:val="00181EDB"/>
    <w:rsid w:val="00183104"/>
    <w:rsid w:val="00191E82"/>
    <w:rsid w:val="00193504"/>
    <w:rsid w:val="001943D5"/>
    <w:rsid w:val="001A0AC8"/>
    <w:rsid w:val="001A143E"/>
    <w:rsid w:val="001A53B7"/>
    <w:rsid w:val="001B6115"/>
    <w:rsid w:val="001C0FB0"/>
    <w:rsid w:val="001C3EEA"/>
    <w:rsid w:val="001C62AA"/>
    <w:rsid w:val="001C7AD9"/>
    <w:rsid w:val="001D2809"/>
    <w:rsid w:val="001F4162"/>
    <w:rsid w:val="001F4D9A"/>
    <w:rsid w:val="001F591C"/>
    <w:rsid w:val="001F5E0C"/>
    <w:rsid w:val="001F6490"/>
    <w:rsid w:val="0020021D"/>
    <w:rsid w:val="00206D4E"/>
    <w:rsid w:val="00212358"/>
    <w:rsid w:val="002147DC"/>
    <w:rsid w:val="00221885"/>
    <w:rsid w:val="00225CD4"/>
    <w:rsid w:val="00226011"/>
    <w:rsid w:val="00226198"/>
    <w:rsid w:val="0022725A"/>
    <w:rsid w:val="002308B0"/>
    <w:rsid w:val="0023191F"/>
    <w:rsid w:val="00232456"/>
    <w:rsid w:val="00246C3A"/>
    <w:rsid w:val="002537DA"/>
    <w:rsid w:val="00253FB8"/>
    <w:rsid w:val="00255F19"/>
    <w:rsid w:val="00265B4E"/>
    <w:rsid w:val="00266719"/>
    <w:rsid w:val="0027387A"/>
    <w:rsid w:val="002763AD"/>
    <w:rsid w:val="00277949"/>
    <w:rsid w:val="002820C5"/>
    <w:rsid w:val="002830B0"/>
    <w:rsid w:val="00283905"/>
    <w:rsid w:val="00290497"/>
    <w:rsid w:val="002923AC"/>
    <w:rsid w:val="002965A5"/>
    <w:rsid w:val="002A6714"/>
    <w:rsid w:val="002B43EA"/>
    <w:rsid w:val="002B71CB"/>
    <w:rsid w:val="002B74F2"/>
    <w:rsid w:val="002C0EDC"/>
    <w:rsid w:val="002C513B"/>
    <w:rsid w:val="002D2710"/>
    <w:rsid w:val="002D3214"/>
    <w:rsid w:val="002D35EA"/>
    <w:rsid w:val="002D3BD3"/>
    <w:rsid w:val="002D77FC"/>
    <w:rsid w:val="002D7C1E"/>
    <w:rsid w:val="002E1571"/>
    <w:rsid w:val="002E16D3"/>
    <w:rsid w:val="002E505B"/>
    <w:rsid w:val="002E661A"/>
    <w:rsid w:val="002F653E"/>
    <w:rsid w:val="00312ED3"/>
    <w:rsid w:val="00322D19"/>
    <w:rsid w:val="00325B2E"/>
    <w:rsid w:val="00327C56"/>
    <w:rsid w:val="003332F6"/>
    <w:rsid w:val="00352996"/>
    <w:rsid w:val="00355A5E"/>
    <w:rsid w:val="00360875"/>
    <w:rsid w:val="00362F96"/>
    <w:rsid w:val="00363AA2"/>
    <w:rsid w:val="00373BF0"/>
    <w:rsid w:val="0037424D"/>
    <w:rsid w:val="003770D8"/>
    <w:rsid w:val="00382DC6"/>
    <w:rsid w:val="003852CC"/>
    <w:rsid w:val="00390A79"/>
    <w:rsid w:val="00390AF4"/>
    <w:rsid w:val="003979AF"/>
    <w:rsid w:val="003B08DE"/>
    <w:rsid w:val="003C2AC4"/>
    <w:rsid w:val="003C2BFB"/>
    <w:rsid w:val="003D1A26"/>
    <w:rsid w:val="003D770A"/>
    <w:rsid w:val="003D79E4"/>
    <w:rsid w:val="003E0832"/>
    <w:rsid w:val="003E7784"/>
    <w:rsid w:val="003F0FE7"/>
    <w:rsid w:val="003F1AF9"/>
    <w:rsid w:val="003F577E"/>
    <w:rsid w:val="003F665A"/>
    <w:rsid w:val="004027F4"/>
    <w:rsid w:val="00406389"/>
    <w:rsid w:val="0041490B"/>
    <w:rsid w:val="00415927"/>
    <w:rsid w:val="004168E8"/>
    <w:rsid w:val="00431B57"/>
    <w:rsid w:val="004333B1"/>
    <w:rsid w:val="00440EAD"/>
    <w:rsid w:val="0044142B"/>
    <w:rsid w:val="00451BDF"/>
    <w:rsid w:val="00452F27"/>
    <w:rsid w:val="00454DFE"/>
    <w:rsid w:val="004569BF"/>
    <w:rsid w:val="00462AF9"/>
    <w:rsid w:val="00470C5D"/>
    <w:rsid w:val="00471FF9"/>
    <w:rsid w:val="00475E5B"/>
    <w:rsid w:val="00476EDE"/>
    <w:rsid w:val="004838DC"/>
    <w:rsid w:val="004A4EBF"/>
    <w:rsid w:val="004A5DDE"/>
    <w:rsid w:val="004A784A"/>
    <w:rsid w:val="004B0885"/>
    <w:rsid w:val="004B2AD2"/>
    <w:rsid w:val="004B37F5"/>
    <w:rsid w:val="004B7639"/>
    <w:rsid w:val="004C0469"/>
    <w:rsid w:val="004C43E4"/>
    <w:rsid w:val="004C43F7"/>
    <w:rsid w:val="004D0A4E"/>
    <w:rsid w:val="004D1D2D"/>
    <w:rsid w:val="004D3DF4"/>
    <w:rsid w:val="004D5F24"/>
    <w:rsid w:val="004E2AFD"/>
    <w:rsid w:val="004E58BC"/>
    <w:rsid w:val="004E5E74"/>
    <w:rsid w:val="004F6679"/>
    <w:rsid w:val="00505515"/>
    <w:rsid w:val="00505828"/>
    <w:rsid w:val="00505CB3"/>
    <w:rsid w:val="00507DAC"/>
    <w:rsid w:val="00515AA4"/>
    <w:rsid w:val="00520BCA"/>
    <w:rsid w:val="005276EF"/>
    <w:rsid w:val="00527E8E"/>
    <w:rsid w:val="00532DDD"/>
    <w:rsid w:val="00533252"/>
    <w:rsid w:val="00533EDD"/>
    <w:rsid w:val="0053764C"/>
    <w:rsid w:val="00543770"/>
    <w:rsid w:val="0054576C"/>
    <w:rsid w:val="0054685B"/>
    <w:rsid w:val="00557004"/>
    <w:rsid w:val="005601EB"/>
    <w:rsid w:val="00563DB9"/>
    <w:rsid w:val="005654C6"/>
    <w:rsid w:val="005675CB"/>
    <w:rsid w:val="005701E1"/>
    <w:rsid w:val="005716CB"/>
    <w:rsid w:val="00574E3A"/>
    <w:rsid w:val="0057748B"/>
    <w:rsid w:val="00596914"/>
    <w:rsid w:val="005A0482"/>
    <w:rsid w:val="005A0F28"/>
    <w:rsid w:val="005A3099"/>
    <w:rsid w:val="005A6CED"/>
    <w:rsid w:val="005B206B"/>
    <w:rsid w:val="005D3149"/>
    <w:rsid w:val="005D5BDF"/>
    <w:rsid w:val="005D67A9"/>
    <w:rsid w:val="005D7D54"/>
    <w:rsid w:val="005E4C7E"/>
    <w:rsid w:val="005E6B3B"/>
    <w:rsid w:val="005E7DF7"/>
    <w:rsid w:val="005F0B39"/>
    <w:rsid w:val="005F4034"/>
    <w:rsid w:val="006000F3"/>
    <w:rsid w:val="006002A8"/>
    <w:rsid w:val="00600659"/>
    <w:rsid w:val="00602665"/>
    <w:rsid w:val="00603936"/>
    <w:rsid w:val="00605131"/>
    <w:rsid w:val="0060534E"/>
    <w:rsid w:val="00611317"/>
    <w:rsid w:val="006170A6"/>
    <w:rsid w:val="0062196C"/>
    <w:rsid w:val="0062424C"/>
    <w:rsid w:val="006274B1"/>
    <w:rsid w:val="00631A1A"/>
    <w:rsid w:val="00633B72"/>
    <w:rsid w:val="006349C4"/>
    <w:rsid w:val="00634B14"/>
    <w:rsid w:val="00636421"/>
    <w:rsid w:val="00641142"/>
    <w:rsid w:val="0064555A"/>
    <w:rsid w:val="0066799D"/>
    <w:rsid w:val="00672799"/>
    <w:rsid w:val="00674047"/>
    <w:rsid w:val="006752A0"/>
    <w:rsid w:val="00680FC7"/>
    <w:rsid w:val="00682ED9"/>
    <w:rsid w:val="00684134"/>
    <w:rsid w:val="00687CCB"/>
    <w:rsid w:val="00692F72"/>
    <w:rsid w:val="006A21CD"/>
    <w:rsid w:val="006A2BDA"/>
    <w:rsid w:val="006B2DD9"/>
    <w:rsid w:val="006B3774"/>
    <w:rsid w:val="006B56B2"/>
    <w:rsid w:val="006C25CE"/>
    <w:rsid w:val="006C359F"/>
    <w:rsid w:val="006D0558"/>
    <w:rsid w:val="006D3BE2"/>
    <w:rsid w:val="006D5A10"/>
    <w:rsid w:val="006E228B"/>
    <w:rsid w:val="006E3CF9"/>
    <w:rsid w:val="006E6249"/>
    <w:rsid w:val="006F29A0"/>
    <w:rsid w:val="006F4F53"/>
    <w:rsid w:val="006F52B6"/>
    <w:rsid w:val="006F56F3"/>
    <w:rsid w:val="006F7457"/>
    <w:rsid w:val="00701076"/>
    <w:rsid w:val="00706C5E"/>
    <w:rsid w:val="0071139C"/>
    <w:rsid w:val="0071185D"/>
    <w:rsid w:val="00712D17"/>
    <w:rsid w:val="00714A8E"/>
    <w:rsid w:val="00716521"/>
    <w:rsid w:val="007206AF"/>
    <w:rsid w:val="007210CE"/>
    <w:rsid w:val="00721813"/>
    <w:rsid w:val="00723902"/>
    <w:rsid w:val="00724A46"/>
    <w:rsid w:val="007252A4"/>
    <w:rsid w:val="00727AB2"/>
    <w:rsid w:val="00736135"/>
    <w:rsid w:val="0074392C"/>
    <w:rsid w:val="00750C42"/>
    <w:rsid w:val="00752AAF"/>
    <w:rsid w:val="0075668F"/>
    <w:rsid w:val="00757BA8"/>
    <w:rsid w:val="00761333"/>
    <w:rsid w:val="00764A70"/>
    <w:rsid w:val="00766F3E"/>
    <w:rsid w:val="00766F8E"/>
    <w:rsid w:val="0077556F"/>
    <w:rsid w:val="007801B3"/>
    <w:rsid w:val="0078174F"/>
    <w:rsid w:val="0078409B"/>
    <w:rsid w:val="007869FA"/>
    <w:rsid w:val="00792D4B"/>
    <w:rsid w:val="00794F6B"/>
    <w:rsid w:val="00795A20"/>
    <w:rsid w:val="007A3367"/>
    <w:rsid w:val="007A4FFC"/>
    <w:rsid w:val="007A5969"/>
    <w:rsid w:val="007A6F77"/>
    <w:rsid w:val="007B3FF0"/>
    <w:rsid w:val="007B4378"/>
    <w:rsid w:val="007C04B7"/>
    <w:rsid w:val="007C3078"/>
    <w:rsid w:val="007C324F"/>
    <w:rsid w:val="007C6391"/>
    <w:rsid w:val="007D2390"/>
    <w:rsid w:val="007D33C3"/>
    <w:rsid w:val="007D4453"/>
    <w:rsid w:val="007D54A2"/>
    <w:rsid w:val="007E4A3A"/>
    <w:rsid w:val="007E5756"/>
    <w:rsid w:val="007F67AB"/>
    <w:rsid w:val="007F6D1F"/>
    <w:rsid w:val="007F73E6"/>
    <w:rsid w:val="00803752"/>
    <w:rsid w:val="008144FC"/>
    <w:rsid w:val="008150B1"/>
    <w:rsid w:val="00815BD8"/>
    <w:rsid w:val="00821115"/>
    <w:rsid w:val="00826A2A"/>
    <w:rsid w:val="00830B7A"/>
    <w:rsid w:val="00836F05"/>
    <w:rsid w:val="00840397"/>
    <w:rsid w:val="00842827"/>
    <w:rsid w:val="00843807"/>
    <w:rsid w:val="00844265"/>
    <w:rsid w:val="00845670"/>
    <w:rsid w:val="008468DF"/>
    <w:rsid w:val="00846D40"/>
    <w:rsid w:val="008553DF"/>
    <w:rsid w:val="008641CE"/>
    <w:rsid w:val="008649E6"/>
    <w:rsid w:val="00872850"/>
    <w:rsid w:val="008856B2"/>
    <w:rsid w:val="00885BB4"/>
    <w:rsid w:val="00887F66"/>
    <w:rsid w:val="008907EC"/>
    <w:rsid w:val="00893C79"/>
    <w:rsid w:val="00894D36"/>
    <w:rsid w:val="00894E37"/>
    <w:rsid w:val="008956B1"/>
    <w:rsid w:val="008B2017"/>
    <w:rsid w:val="008C2C55"/>
    <w:rsid w:val="008C2FF0"/>
    <w:rsid w:val="008C4799"/>
    <w:rsid w:val="008C58B9"/>
    <w:rsid w:val="008D0ABB"/>
    <w:rsid w:val="008D520D"/>
    <w:rsid w:val="008E1329"/>
    <w:rsid w:val="008E1780"/>
    <w:rsid w:val="008F5F2B"/>
    <w:rsid w:val="009012C4"/>
    <w:rsid w:val="00905DEC"/>
    <w:rsid w:val="00910485"/>
    <w:rsid w:val="0091505C"/>
    <w:rsid w:val="00916239"/>
    <w:rsid w:val="009204A0"/>
    <w:rsid w:val="00920CD5"/>
    <w:rsid w:val="00921ABB"/>
    <w:rsid w:val="0092212F"/>
    <w:rsid w:val="0092647C"/>
    <w:rsid w:val="00931C84"/>
    <w:rsid w:val="00931D1A"/>
    <w:rsid w:val="009334D4"/>
    <w:rsid w:val="00933D16"/>
    <w:rsid w:val="00935F0F"/>
    <w:rsid w:val="00940549"/>
    <w:rsid w:val="00940BC6"/>
    <w:rsid w:val="009461B6"/>
    <w:rsid w:val="00947E49"/>
    <w:rsid w:val="00957D53"/>
    <w:rsid w:val="00962CD2"/>
    <w:rsid w:val="009723B7"/>
    <w:rsid w:val="00972F7B"/>
    <w:rsid w:val="009762AB"/>
    <w:rsid w:val="0097783A"/>
    <w:rsid w:val="00982AF2"/>
    <w:rsid w:val="00983820"/>
    <w:rsid w:val="009839A3"/>
    <w:rsid w:val="00991859"/>
    <w:rsid w:val="00996F5D"/>
    <w:rsid w:val="00997126"/>
    <w:rsid w:val="0099741D"/>
    <w:rsid w:val="009A05A7"/>
    <w:rsid w:val="009A1F12"/>
    <w:rsid w:val="009A528F"/>
    <w:rsid w:val="009B359B"/>
    <w:rsid w:val="009B5877"/>
    <w:rsid w:val="009B5FC8"/>
    <w:rsid w:val="009B74BE"/>
    <w:rsid w:val="009C19E3"/>
    <w:rsid w:val="009C2C05"/>
    <w:rsid w:val="009C41F5"/>
    <w:rsid w:val="009C6BDD"/>
    <w:rsid w:val="009D0132"/>
    <w:rsid w:val="009E06FB"/>
    <w:rsid w:val="009E58B6"/>
    <w:rsid w:val="009F2AAA"/>
    <w:rsid w:val="009F4A00"/>
    <w:rsid w:val="009F5E4E"/>
    <w:rsid w:val="00A01793"/>
    <w:rsid w:val="00A0506B"/>
    <w:rsid w:val="00A06035"/>
    <w:rsid w:val="00A22C3A"/>
    <w:rsid w:val="00A23830"/>
    <w:rsid w:val="00A23DD0"/>
    <w:rsid w:val="00A300A4"/>
    <w:rsid w:val="00A36811"/>
    <w:rsid w:val="00A37D84"/>
    <w:rsid w:val="00A4583C"/>
    <w:rsid w:val="00A4587A"/>
    <w:rsid w:val="00A52907"/>
    <w:rsid w:val="00A5515F"/>
    <w:rsid w:val="00A55B83"/>
    <w:rsid w:val="00A562A1"/>
    <w:rsid w:val="00A56711"/>
    <w:rsid w:val="00A60197"/>
    <w:rsid w:val="00A643DB"/>
    <w:rsid w:val="00A7377D"/>
    <w:rsid w:val="00A74FD5"/>
    <w:rsid w:val="00A76D4C"/>
    <w:rsid w:val="00A81D10"/>
    <w:rsid w:val="00A81D4B"/>
    <w:rsid w:val="00A87047"/>
    <w:rsid w:val="00A8741E"/>
    <w:rsid w:val="00A91AE4"/>
    <w:rsid w:val="00A94BCA"/>
    <w:rsid w:val="00A96634"/>
    <w:rsid w:val="00A969DB"/>
    <w:rsid w:val="00AA0279"/>
    <w:rsid w:val="00AB459E"/>
    <w:rsid w:val="00AB6373"/>
    <w:rsid w:val="00AB6A77"/>
    <w:rsid w:val="00AC20EC"/>
    <w:rsid w:val="00AC425B"/>
    <w:rsid w:val="00AC6664"/>
    <w:rsid w:val="00AD56B3"/>
    <w:rsid w:val="00AE080A"/>
    <w:rsid w:val="00AE2E2C"/>
    <w:rsid w:val="00AE2F08"/>
    <w:rsid w:val="00AE371E"/>
    <w:rsid w:val="00AE5FC9"/>
    <w:rsid w:val="00AF523B"/>
    <w:rsid w:val="00B0155C"/>
    <w:rsid w:val="00B021E1"/>
    <w:rsid w:val="00B06A41"/>
    <w:rsid w:val="00B14DC8"/>
    <w:rsid w:val="00B25CA9"/>
    <w:rsid w:val="00B27537"/>
    <w:rsid w:val="00B37364"/>
    <w:rsid w:val="00B37EB5"/>
    <w:rsid w:val="00B4085D"/>
    <w:rsid w:val="00B40A19"/>
    <w:rsid w:val="00B438A6"/>
    <w:rsid w:val="00B45A3E"/>
    <w:rsid w:val="00B478C0"/>
    <w:rsid w:val="00B54C1F"/>
    <w:rsid w:val="00B55198"/>
    <w:rsid w:val="00B57DB0"/>
    <w:rsid w:val="00B606A6"/>
    <w:rsid w:val="00B6149E"/>
    <w:rsid w:val="00B66F2B"/>
    <w:rsid w:val="00B6712E"/>
    <w:rsid w:val="00B76C2C"/>
    <w:rsid w:val="00B8019B"/>
    <w:rsid w:val="00B802DA"/>
    <w:rsid w:val="00B80B42"/>
    <w:rsid w:val="00B820FD"/>
    <w:rsid w:val="00B82A9A"/>
    <w:rsid w:val="00B83399"/>
    <w:rsid w:val="00B83963"/>
    <w:rsid w:val="00B9129F"/>
    <w:rsid w:val="00B974C1"/>
    <w:rsid w:val="00BB17FA"/>
    <w:rsid w:val="00BB2C77"/>
    <w:rsid w:val="00BB3158"/>
    <w:rsid w:val="00BD1E72"/>
    <w:rsid w:val="00BD3119"/>
    <w:rsid w:val="00BD5C2D"/>
    <w:rsid w:val="00BE3C5C"/>
    <w:rsid w:val="00BF21C2"/>
    <w:rsid w:val="00BF38CA"/>
    <w:rsid w:val="00BF4069"/>
    <w:rsid w:val="00BF4859"/>
    <w:rsid w:val="00C01BB0"/>
    <w:rsid w:val="00C0619D"/>
    <w:rsid w:val="00C11C86"/>
    <w:rsid w:val="00C14491"/>
    <w:rsid w:val="00C2797D"/>
    <w:rsid w:val="00C302C4"/>
    <w:rsid w:val="00C318C1"/>
    <w:rsid w:val="00C33F81"/>
    <w:rsid w:val="00C37E5F"/>
    <w:rsid w:val="00C42BD8"/>
    <w:rsid w:val="00C47E53"/>
    <w:rsid w:val="00C536C8"/>
    <w:rsid w:val="00C708E3"/>
    <w:rsid w:val="00C76048"/>
    <w:rsid w:val="00C763F5"/>
    <w:rsid w:val="00C7760D"/>
    <w:rsid w:val="00C77DB6"/>
    <w:rsid w:val="00C81E16"/>
    <w:rsid w:val="00C82048"/>
    <w:rsid w:val="00C833C0"/>
    <w:rsid w:val="00C84CC6"/>
    <w:rsid w:val="00C924AC"/>
    <w:rsid w:val="00C952DD"/>
    <w:rsid w:val="00C958F0"/>
    <w:rsid w:val="00CA139F"/>
    <w:rsid w:val="00CA2098"/>
    <w:rsid w:val="00CA42C3"/>
    <w:rsid w:val="00CA47FE"/>
    <w:rsid w:val="00CB1A20"/>
    <w:rsid w:val="00CD59BA"/>
    <w:rsid w:val="00CF66BE"/>
    <w:rsid w:val="00D02021"/>
    <w:rsid w:val="00D05D01"/>
    <w:rsid w:val="00D06FED"/>
    <w:rsid w:val="00D114D2"/>
    <w:rsid w:val="00D14B04"/>
    <w:rsid w:val="00D2050A"/>
    <w:rsid w:val="00D21F8B"/>
    <w:rsid w:val="00D32417"/>
    <w:rsid w:val="00D406A5"/>
    <w:rsid w:val="00D4655B"/>
    <w:rsid w:val="00D50726"/>
    <w:rsid w:val="00D5404E"/>
    <w:rsid w:val="00D55B75"/>
    <w:rsid w:val="00D619D0"/>
    <w:rsid w:val="00D639C1"/>
    <w:rsid w:val="00D675BB"/>
    <w:rsid w:val="00D70FEE"/>
    <w:rsid w:val="00D72493"/>
    <w:rsid w:val="00D72FEF"/>
    <w:rsid w:val="00D73301"/>
    <w:rsid w:val="00D81A2B"/>
    <w:rsid w:val="00D83FD0"/>
    <w:rsid w:val="00D84361"/>
    <w:rsid w:val="00D85C44"/>
    <w:rsid w:val="00D90E90"/>
    <w:rsid w:val="00D95962"/>
    <w:rsid w:val="00D96CC7"/>
    <w:rsid w:val="00DB0A92"/>
    <w:rsid w:val="00DB0EC5"/>
    <w:rsid w:val="00DB73C8"/>
    <w:rsid w:val="00DC6B01"/>
    <w:rsid w:val="00DD06FD"/>
    <w:rsid w:val="00DE0345"/>
    <w:rsid w:val="00DE2086"/>
    <w:rsid w:val="00DE594E"/>
    <w:rsid w:val="00DE6548"/>
    <w:rsid w:val="00DF2EA7"/>
    <w:rsid w:val="00E01FE2"/>
    <w:rsid w:val="00E25548"/>
    <w:rsid w:val="00E279EE"/>
    <w:rsid w:val="00E27BA6"/>
    <w:rsid w:val="00E30B76"/>
    <w:rsid w:val="00E3358F"/>
    <w:rsid w:val="00E33F7F"/>
    <w:rsid w:val="00E3686C"/>
    <w:rsid w:val="00E43FE0"/>
    <w:rsid w:val="00E45D9E"/>
    <w:rsid w:val="00E66E60"/>
    <w:rsid w:val="00E670A7"/>
    <w:rsid w:val="00E67A1F"/>
    <w:rsid w:val="00E700A3"/>
    <w:rsid w:val="00E716E9"/>
    <w:rsid w:val="00E72322"/>
    <w:rsid w:val="00E76D0C"/>
    <w:rsid w:val="00E77122"/>
    <w:rsid w:val="00E778ED"/>
    <w:rsid w:val="00E82890"/>
    <w:rsid w:val="00E82A0A"/>
    <w:rsid w:val="00E859E7"/>
    <w:rsid w:val="00E90909"/>
    <w:rsid w:val="00E91D3F"/>
    <w:rsid w:val="00E92C5F"/>
    <w:rsid w:val="00E94748"/>
    <w:rsid w:val="00EA05C4"/>
    <w:rsid w:val="00EA2097"/>
    <w:rsid w:val="00EB4139"/>
    <w:rsid w:val="00EB4A77"/>
    <w:rsid w:val="00EB6AA3"/>
    <w:rsid w:val="00EC36B7"/>
    <w:rsid w:val="00EC42C9"/>
    <w:rsid w:val="00EC4331"/>
    <w:rsid w:val="00ED6581"/>
    <w:rsid w:val="00EE524A"/>
    <w:rsid w:val="00EE6333"/>
    <w:rsid w:val="00EF1320"/>
    <w:rsid w:val="00EF6ECA"/>
    <w:rsid w:val="00F03D6F"/>
    <w:rsid w:val="00F03F99"/>
    <w:rsid w:val="00F12E8D"/>
    <w:rsid w:val="00F15CF1"/>
    <w:rsid w:val="00F1663C"/>
    <w:rsid w:val="00F226D7"/>
    <w:rsid w:val="00F22B86"/>
    <w:rsid w:val="00F23877"/>
    <w:rsid w:val="00F27EFA"/>
    <w:rsid w:val="00F43679"/>
    <w:rsid w:val="00F4755C"/>
    <w:rsid w:val="00F47A1F"/>
    <w:rsid w:val="00F51421"/>
    <w:rsid w:val="00F53F9B"/>
    <w:rsid w:val="00F544F3"/>
    <w:rsid w:val="00F62FCF"/>
    <w:rsid w:val="00F64D71"/>
    <w:rsid w:val="00F65858"/>
    <w:rsid w:val="00F70E55"/>
    <w:rsid w:val="00F71033"/>
    <w:rsid w:val="00F714B9"/>
    <w:rsid w:val="00F72965"/>
    <w:rsid w:val="00F77AEA"/>
    <w:rsid w:val="00F81406"/>
    <w:rsid w:val="00F82471"/>
    <w:rsid w:val="00F84325"/>
    <w:rsid w:val="00F94F0A"/>
    <w:rsid w:val="00F9520F"/>
    <w:rsid w:val="00F9551D"/>
    <w:rsid w:val="00FA04CD"/>
    <w:rsid w:val="00FA0DC4"/>
    <w:rsid w:val="00FA4A82"/>
    <w:rsid w:val="00FB3576"/>
    <w:rsid w:val="00FB590E"/>
    <w:rsid w:val="00FB73FD"/>
    <w:rsid w:val="00FB7EC3"/>
    <w:rsid w:val="00FC2488"/>
    <w:rsid w:val="00FD18B0"/>
    <w:rsid w:val="00FD5927"/>
    <w:rsid w:val="00FE3A54"/>
    <w:rsid w:val="00FF0156"/>
    <w:rsid w:val="00FF30A1"/>
    <w:rsid w:val="00FF4357"/>
    <w:rsid w:val="00FF5DB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3cf" stroke="f">
      <v:fill color="#3cf"/>
      <v:stroke on="f"/>
      <v:textbox style="layout-flow:vertical;mso-layout-flow-alt:bottom-to-top"/>
      <o:colormru v:ext="edit" colors="#3cf"/>
    </o:shapedefaults>
    <o:shapelayout v:ext="edit">
      <o:idmap v:ext="edit" data="1"/>
    </o:shapelayout>
  </w:shapeDefaults>
  <w:decimalSymbol w:val=","/>
  <w:listSeparator w:val=";"/>
  <w14:docId w14:val="0B96EE49"/>
  <w15:docId w15:val="{32BE78BD-31B0-48EF-8846-6E99FEFF4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Subtitle"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Encabezado">
    <w:name w:val="header"/>
    <w:basedOn w:val="Normal"/>
    <w:link w:val="EncabezadoCar"/>
    <w:unhideWhenUsed/>
    <w:rsid w:val="00B8019B"/>
    <w:pPr>
      <w:tabs>
        <w:tab w:val="center" w:pos="4252"/>
        <w:tab w:val="right" w:pos="8504"/>
      </w:tabs>
    </w:pPr>
  </w:style>
  <w:style w:type="character" w:customStyle="1" w:styleId="EncabezadoCar">
    <w:name w:val="Encabezado Car"/>
    <w:basedOn w:val="Fuentedeprrafopredeter"/>
    <w:link w:val="Encabezado"/>
    <w:rsid w:val="00B8019B"/>
  </w:style>
  <w:style w:type="paragraph" w:styleId="Piedepgina">
    <w:name w:val="footer"/>
    <w:basedOn w:val="Normal"/>
    <w:link w:val="PiedepginaCar"/>
    <w:uiPriority w:val="99"/>
    <w:unhideWhenUsed/>
    <w:rsid w:val="00B8019B"/>
    <w:pPr>
      <w:tabs>
        <w:tab w:val="center" w:pos="4252"/>
        <w:tab w:val="right" w:pos="8504"/>
      </w:tabs>
    </w:pPr>
  </w:style>
  <w:style w:type="character" w:customStyle="1" w:styleId="PiedepginaCar">
    <w:name w:val="Pie de página Car"/>
    <w:basedOn w:val="Fuentedeprrafopredeter"/>
    <w:link w:val="Piedepgina"/>
    <w:uiPriority w:val="99"/>
    <w:rsid w:val="00B8019B"/>
  </w:style>
  <w:style w:type="paragraph" w:styleId="Prrafodelista">
    <w:name w:val="List Paragraph"/>
    <w:basedOn w:val="Normal"/>
    <w:uiPriority w:val="34"/>
    <w:qFormat/>
    <w:rsid w:val="001B6115"/>
    <w:pPr>
      <w:ind w:left="720"/>
      <w:contextualSpacing/>
    </w:pPr>
  </w:style>
  <w:style w:type="paragraph" w:styleId="Textonotapie">
    <w:name w:val="footnote text"/>
    <w:basedOn w:val="Normal"/>
    <w:link w:val="TextonotapieCar"/>
    <w:semiHidden/>
    <w:unhideWhenUsed/>
    <w:rsid w:val="00B06A41"/>
  </w:style>
  <w:style w:type="character" w:customStyle="1" w:styleId="TextonotapieCar">
    <w:name w:val="Texto nota pie Car"/>
    <w:basedOn w:val="Fuentedeprrafopredeter"/>
    <w:link w:val="Textonotapie"/>
    <w:semiHidden/>
    <w:rsid w:val="00B06A41"/>
  </w:style>
  <w:style w:type="character" w:styleId="Refdenotaalpie">
    <w:name w:val="footnote reference"/>
    <w:basedOn w:val="Fuentedeprrafopredeter"/>
    <w:semiHidden/>
    <w:unhideWhenUsed/>
    <w:rsid w:val="00B06A4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BBCFBC-9CC9-4365-82AA-5780A0FF5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30091</TotalTime>
  <Pages>48</Pages>
  <Words>17893</Words>
  <Characters>98416</Characters>
  <Application>Microsoft Office Word</Application>
  <DocSecurity>0</DocSecurity>
  <Lines>820</Lines>
  <Paragraphs>232</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116077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Robert Díaz</cp:lastModifiedBy>
  <cp:revision>184</cp:revision>
  <cp:lastPrinted>2014-04-29T09:22:00Z</cp:lastPrinted>
  <dcterms:created xsi:type="dcterms:W3CDTF">2016-09-22T20:54:00Z</dcterms:created>
  <dcterms:modified xsi:type="dcterms:W3CDTF">2017-06-01T07:30:00Z</dcterms:modified>
</cp:coreProperties>
</file>