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6A5" w:rsidRDefault="00EB4634" w:rsidP="00D406A5">
      <w:r>
        <w:rPr>
          <w:noProof/>
        </w:rPr>
        <mc:AlternateContent>
          <mc:Choice Requires="wps">
            <w:drawing>
              <wp:anchor distT="0" distB="0" distL="114300" distR="114300" simplePos="0" relativeHeight="251661824" behindDoc="0" locked="0" layoutInCell="0" allowOverlap="1" wp14:anchorId="31ED7EA0" wp14:editId="7F1F7C24">
                <wp:simplePos x="0" y="0"/>
                <wp:positionH relativeFrom="column">
                  <wp:posOffset>-1081405</wp:posOffset>
                </wp:positionH>
                <wp:positionV relativeFrom="paragraph">
                  <wp:posOffset>-852805</wp:posOffset>
                </wp:positionV>
                <wp:extent cx="2295525" cy="11325225"/>
                <wp:effectExtent l="0" t="0" r="952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325225"/>
                        </a:xfrm>
                        <a:prstGeom prst="rect">
                          <a:avLst/>
                        </a:prstGeom>
                        <a:solidFill>
                          <a:srgbClr val="EA0000"/>
                        </a:solidFill>
                        <a:ln>
                          <a:noFill/>
                        </a:ln>
                        <a:extLst/>
                      </wps:spPr>
                      <wps:txbx>
                        <w:txbxContent>
                          <w:p w:rsidR="00D406A5" w:rsidRPr="00B9129F" w:rsidRDefault="00D406A5" w:rsidP="00D406A5">
                            <w:pPr>
                              <w:pStyle w:val="Ttulo2"/>
                              <w:jc w:val="center"/>
                              <w:rPr>
                                <w:color w:val="F79646" w:themeColor="accent6"/>
                                <w:sz w:val="72"/>
                              </w:rPr>
                            </w:pPr>
                            <w:r w:rsidRPr="00B9129F">
                              <w:rPr>
                                <w:color w:val="F79646" w:themeColor="accent6"/>
                                <w:sz w:val="72"/>
                              </w:rPr>
                              <w:t>Facultad de Ciencias Sociales y Jurídicas</w:t>
                            </w:r>
                          </w:p>
                          <w:p w:rsidR="00D406A5" w:rsidRPr="00D406A5" w:rsidRDefault="00D406A5"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sidRPr="00D406A5">
                              <w:rPr>
                                <w:rFonts w:ascii="Arial Narrow" w:hAnsi="Arial Narrow"/>
                                <w14:textFill>
                                  <w14:solidFill>
                                    <w14:srgbClr w14:val="000000"/>
                                  </w14:solidFill>
                                </w14:textFill>
                              </w:rPr>
                              <w:t>Grado en Derecho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15pt;margin-top:-67.15pt;width:180.75pt;height:89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" o:allowincell="f" fillcolor="#ea0000" stroked="f">
                <v:textbox style="layout-flow:vertical;mso-layout-flow-alt:bottom-to-top">
                  <w:txbxContent>
                    <w:p w:rsidR="00D406A5" w:rsidRPr="00B9129F" w:rsidRDefault="00D406A5" w:rsidP="00D406A5">
                      <w:pPr>
                        <w:pStyle w:val="Ttulo2"/>
                        <w:jc w:val="center"/>
                        <w:rPr>
                          <w:color w:val="F79646" w:themeColor="accent6"/>
                          <w:sz w:val="72"/>
                        </w:rPr>
                      </w:pPr>
                      <w:bookmarkStart w:id="1" w:name="_GoBack"/>
                      <w:r w:rsidRPr="00B9129F">
                        <w:rPr>
                          <w:color w:val="F79646" w:themeColor="accent6"/>
                          <w:sz w:val="72"/>
                        </w:rPr>
                        <w:t>Facultad de Ciencias Sociales y Jurídicas</w:t>
                      </w:r>
                    </w:p>
                    <w:p w:rsidR="00D406A5" w:rsidRPr="00D406A5" w:rsidRDefault="00D406A5"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sidRPr="00D406A5">
                        <w:rPr>
                          <w:rFonts w:ascii="Arial Narrow" w:hAnsi="Arial Narrow"/>
                          <w14:textFill>
                            <w14:solidFill>
                              <w14:srgbClr w14:val="000000"/>
                            </w14:solidFill>
                          </w14:textFill>
                        </w:rPr>
                        <w:t>Grado en Derecho</w:t>
                      </w:r>
                      <w:bookmarkEnd w:id="1"/>
                    </w:p>
                  </w:txbxContent>
                </v:textbox>
              </v:shape>
            </w:pict>
          </mc:Fallback>
        </mc:AlternateContent>
      </w:r>
      <w:r w:rsidR="008E1780">
        <w:rPr>
          <w:noProof/>
        </w:rPr>
        <mc:AlternateContent>
          <mc:Choice Requires="wps">
            <w:drawing>
              <wp:anchor distT="0" distB="0" distL="114300" distR="114300" simplePos="0" relativeHeight="251655680" behindDoc="0" locked="0" layoutInCell="0" allowOverlap="1" wp14:anchorId="2DA7FC85" wp14:editId="208F3B95">
                <wp:simplePos x="0" y="0"/>
                <wp:positionH relativeFrom="column">
                  <wp:posOffset>-1080135</wp:posOffset>
                </wp:positionH>
                <wp:positionV relativeFrom="paragraph">
                  <wp:posOffset>-26670</wp:posOffset>
                </wp:positionV>
                <wp:extent cx="2295525" cy="104775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477500"/>
                        </a:xfrm>
                        <a:prstGeom prst="rect">
                          <a:avLst/>
                        </a:prstGeom>
                        <a:solidFill>
                          <a:srgbClr val="FC620C"/>
                        </a:solidFill>
                        <a:ln>
                          <a:noFill/>
                        </a:ln>
                        <a:extLst/>
                      </wps:spPr>
                      <wps:txbx>
                        <w:txbxContent>
                          <w:p w:rsidR="001523DF" w:rsidRPr="00B9129F" w:rsidRDefault="00462AF9" w:rsidP="001651B2">
                            <w:pPr>
                              <w:pStyle w:val="Ttulo2"/>
                              <w:jc w:val="center"/>
                              <w:rPr>
                                <w:color w:val="F79646" w:themeColor="accent6"/>
                                <w:sz w:val="72"/>
                              </w:rPr>
                            </w:pPr>
                            <w:r>
                              <w:rPr>
                                <w:color w:val="F79646" w:themeColor="accent6"/>
                                <w:sz w:val="72"/>
                              </w:rPr>
                              <w:t xml:space="preserve"> </w:t>
                            </w:r>
                            <w:r w:rsidR="00B9129F" w:rsidRPr="00B9129F">
                              <w:rPr>
                                <w:color w:val="F79646" w:themeColor="accent6"/>
                                <w:sz w:val="72"/>
                              </w:rPr>
                              <w:t>Facultad de Ciencias Sociales y Jurídicas</w:t>
                            </w:r>
                          </w:p>
                          <w:p w:rsidR="001523DF" w:rsidRPr="00B9129F" w:rsidRDefault="00682ED9" w:rsidP="001651B2">
                            <w:pPr>
                              <w:pStyle w:val="Ttulo1"/>
                              <w:jc w:val="center"/>
                              <w:rPr>
                                <w:rFonts w:ascii="Arial Narrow" w:hAnsi="Arial Narrow"/>
                                <w:color w:val="F79646" w:themeColor="accent6"/>
                                <w14:textOutline w14:w="9525" w14:cap="flat" w14:cmpd="sng" w14:algn="ctr">
                                  <w14:solidFill>
                                    <w14:srgbClr w14:val="FFFFFF"/>
                                  </w14:solidFill>
                                  <w14:prstDash w14:val="solid"/>
                                  <w14:round/>
                                </w14:textOutline>
                                <w14:textFill>
                                  <w14:solidFill>
                                    <w14:schemeClr w14:val="accent6"/>
                                  </w14:solidFill>
                                </w14:textFill>
                              </w:rPr>
                            </w:pPr>
                            <w:r w:rsidRPr="00B9129F">
                              <w:rPr>
                                <w:rFonts w:ascii="Arial Narrow" w:hAnsi="Arial Narrow"/>
                                <w:color w:val="F79646" w:themeColor="accent6"/>
                                <w14:textFill>
                                  <w14:solidFill>
                                    <w14:schemeClr w14:val="accent6"/>
                                  </w14:solidFill>
                                </w14:textFill>
                              </w:rPr>
                              <w:t>G</w:t>
                            </w:r>
                            <w:r w:rsidR="00181EDB" w:rsidRPr="00B9129F">
                              <w:rPr>
                                <w:rFonts w:ascii="Arial Narrow" w:hAnsi="Arial Narrow"/>
                                <w:color w:val="F79646" w:themeColor="accent6"/>
                                <w14:textFill>
                                  <w14:solidFill>
                                    <w14:schemeClr w14:val="accent6"/>
                                  </w14:solidFill>
                                </w14:textFill>
                              </w:rPr>
                              <w:t xml:space="preserve">rado en </w:t>
                            </w:r>
                            <w:r w:rsidR="00B9129F" w:rsidRPr="00B9129F">
                              <w:rPr>
                                <w:rFonts w:ascii="Arial Narrow" w:hAnsi="Arial Narrow"/>
                                <w:color w:val="F79646" w:themeColor="accent6"/>
                                <w14:textFill>
                                  <w14:solidFill>
                                    <w14:schemeClr w14:val="accent6"/>
                                  </w14:solidFill>
                                </w14:textFill>
                              </w:rPr>
                              <w:t>Administración y Dirección de Empresas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85.05pt;margin-top:-2.1pt;width:180.75pt;height: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" o:allowincell="f" fillcolor="#fc620c" stroked="f">
                <v:textbox style="layout-flow:vertical;mso-layout-flow-alt:bottom-to-top">
                  <w:txbxContent>
                    <w:p w:rsidR="001523DF" w:rsidRPr="00B9129F" w:rsidRDefault="00462AF9" w:rsidP="001651B2">
                      <w:pPr>
                        <w:pStyle w:val="Ttulo2"/>
                        <w:jc w:val="center"/>
                        <w:rPr>
                          <w:color w:val="F79646" w:themeColor="accent6"/>
                          <w:sz w:val="72"/>
                        </w:rPr>
                      </w:pPr>
                      <w:r>
                        <w:rPr>
                          <w:color w:val="F79646" w:themeColor="accent6"/>
                          <w:sz w:val="72"/>
                        </w:rPr>
                        <w:t xml:space="preserve"> </w:t>
                      </w:r>
                      <w:r w:rsidR="00B9129F" w:rsidRPr="00B9129F">
                        <w:rPr>
                          <w:color w:val="F79646" w:themeColor="accent6"/>
                          <w:sz w:val="72"/>
                        </w:rPr>
                        <w:t>Facultad de Ciencias Sociales y Jurídicas</w:t>
                      </w:r>
                    </w:p>
                    <w:p w:rsidR="001523DF" w:rsidRPr="00B9129F" w:rsidRDefault="00682ED9" w:rsidP="001651B2">
                      <w:pPr>
                        <w:pStyle w:val="Ttulo1"/>
                        <w:jc w:val="center"/>
                        <w:rPr>
                          <w:rFonts w:ascii="Arial Narrow" w:hAnsi="Arial Narrow"/>
                          <w:color w:val="F79646" w:themeColor="accent6"/>
                          <w14:textOutline w14:w="9525" w14:cap="flat" w14:cmpd="sng" w14:algn="ctr">
                            <w14:solidFill>
                              <w14:srgbClr w14:val="FFFFFF"/>
                            </w14:solidFill>
                            <w14:prstDash w14:val="solid"/>
                            <w14:round/>
                          </w14:textOutline>
                          <w14:textFill>
                            <w14:solidFill>
                              <w14:schemeClr w14:val="accent6"/>
                            </w14:solidFill>
                          </w14:textFill>
                        </w:rPr>
                      </w:pPr>
                      <w:r w:rsidRPr="00B9129F">
                        <w:rPr>
                          <w:rFonts w:ascii="Arial Narrow" w:hAnsi="Arial Narrow"/>
                          <w:color w:val="F79646" w:themeColor="accent6"/>
                          <w14:textFill>
                            <w14:solidFill>
                              <w14:schemeClr w14:val="accent6"/>
                            </w14:solidFill>
                          </w14:textFill>
                        </w:rPr>
                        <w:t>G</w:t>
                      </w:r>
                      <w:r w:rsidR="00181EDB" w:rsidRPr="00B9129F">
                        <w:rPr>
                          <w:rFonts w:ascii="Arial Narrow" w:hAnsi="Arial Narrow"/>
                          <w:color w:val="F79646" w:themeColor="accent6"/>
                          <w14:textFill>
                            <w14:solidFill>
                              <w14:schemeClr w14:val="accent6"/>
                            </w14:solidFill>
                          </w14:textFill>
                        </w:rPr>
                        <w:t xml:space="preserve">rado en </w:t>
                      </w:r>
                      <w:r w:rsidR="00B9129F" w:rsidRPr="00B9129F">
                        <w:rPr>
                          <w:rFonts w:ascii="Arial Narrow" w:hAnsi="Arial Narrow"/>
                          <w:color w:val="F79646" w:themeColor="accent6"/>
                          <w14:textFill>
                            <w14:solidFill>
                              <w14:schemeClr w14:val="accent6"/>
                            </w14:solidFill>
                          </w14:textFill>
                        </w:rPr>
                        <w:t>Administración y Dirección de Empresas</w:t>
                      </w:r>
                    </w:p>
                  </w:txbxContent>
                </v:textbox>
              </v:shape>
            </w:pict>
          </mc:Fallback>
        </mc:AlternateContent>
      </w:r>
    </w:p>
    <w:p w:rsidR="00D406A5" w:rsidRPr="00B9129F" w:rsidRDefault="00D406A5" w:rsidP="00D406A5"/>
    <w:p w:rsidR="00D406A5" w:rsidRPr="00B9129F" w:rsidRDefault="00D406A5" w:rsidP="00D406A5"/>
    <w:p w:rsidR="00D406A5" w:rsidRPr="00B9129F" w:rsidRDefault="00D406A5" w:rsidP="00D406A5">
      <w:r>
        <w:rPr>
          <w:noProof/>
        </w:rPr>
        <w:drawing>
          <wp:anchor distT="0" distB="0" distL="114300" distR="114300" simplePos="0" relativeHeight="251662848" behindDoc="0" locked="0" layoutInCell="0" allowOverlap="1" wp14:anchorId="247DAE96" wp14:editId="049F791A">
            <wp:simplePos x="0" y="0"/>
            <wp:positionH relativeFrom="column">
              <wp:posOffset>3324225</wp:posOffset>
            </wp:positionH>
            <wp:positionV relativeFrom="paragraph">
              <wp:posOffset>186055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0" allowOverlap="1" wp14:anchorId="74F58E4B" wp14:editId="0B60C7C3">
                <wp:simplePos x="0" y="0"/>
                <wp:positionH relativeFrom="column">
                  <wp:posOffset>1215390</wp:posOffset>
                </wp:positionH>
                <wp:positionV relativeFrom="paragraph">
                  <wp:posOffset>1287780</wp:posOffset>
                </wp:positionV>
                <wp:extent cx="5113020" cy="164592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06A5" w:rsidRDefault="00D406A5" w:rsidP="00D406A5">
                            <w:pPr>
                              <w:pStyle w:val="Ttulo6"/>
                              <w:rPr>
                                <w:b/>
                              </w:rPr>
                            </w:pPr>
                            <w:r>
                              <w:rPr>
                                <w:b/>
                              </w:rPr>
                              <w:t>Universidad de Jaén</w:t>
                            </w:r>
                          </w:p>
                          <w:p w:rsidR="00D406A5" w:rsidRDefault="00D406A5" w:rsidP="00D406A5">
                            <w:pPr>
                              <w:pStyle w:val="Ttulo3"/>
                            </w:pPr>
                            <w:r>
                              <w:t>Facultad de Ciencias Sociales y Jurídicas</w:t>
                            </w:r>
                          </w:p>
                          <w:p w:rsidR="00D406A5" w:rsidRDefault="00D406A5" w:rsidP="00D406A5"/>
                          <w:p w:rsidR="00D406A5" w:rsidRDefault="00D406A5" w:rsidP="00D406A5"/>
                          <w:p w:rsidR="00D406A5" w:rsidRDefault="00D406A5" w:rsidP="00D406A5"/>
                          <w:p w:rsidR="00D406A5" w:rsidRDefault="00D406A5" w:rsidP="00D406A5"/>
                          <w:p w:rsidR="00D406A5" w:rsidRDefault="00D406A5" w:rsidP="00D406A5"/>
                          <w:p w:rsidR="00D406A5" w:rsidRDefault="00D406A5" w:rsidP="00D406A5">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95.7pt;margin-top:101.4pt;width:402.6pt;height:12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ClL&#10;roeEAgAAGAUAAA4AAAAAAAAAAAAAAAAALgIAAGRycy9lMm9Eb2MueG1sUEsBAi0AFAAGAAgAAAAh&#10;ANAlWyDeAAAACwEAAA8AAAAAAAAAAAAAAAAA3gQAAGRycy9kb3ducmV2LnhtbFBLBQYAAAAABAAE&#10;APMAAADpBQAAAAA=&#10;" o:allowincell="f" stroked="f">
                <v:textbox>
                  <w:txbxContent>
                    <w:p w:rsidR="00D406A5" w:rsidRDefault="00D406A5" w:rsidP="00D406A5">
                      <w:pPr>
                        <w:pStyle w:val="Ttulo6"/>
                        <w:rPr>
                          <w:b/>
                        </w:rPr>
                      </w:pPr>
                      <w:r>
                        <w:rPr>
                          <w:b/>
                        </w:rPr>
                        <w:t>Universidad de Jaén</w:t>
                      </w:r>
                    </w:p>
                    <w:p w:rsidR="00D406A5" w:rsidRDefault="00D406A5" w:rsidP="00D406A5">
                      <w:pPr>
                        <w:pStyle w:val="Ttulo3"/>
                      </w:pPr>
                      <w:r>
                        <w:t>Facultad de Ciencias Sociales y Jurídicas</w:t>
                      </w:r>
                    </w:p>
                    <w:p w:rsidR="00D406A5" w:rsidRDefault="00D406A5" w:rsidP="00D406A5"/>
                    <w:p w:rsidR="00D406A5" w:rsidRDefault="00D406A5" w:rsidP="00D406A5"/>
                    <w:p w:rsidR="00D406A5" w:rsidRDefault="00D406A5" w:rsidP="00D406A5"/>
                    <w:p w:rsidR="00D406A5" w:rsidRDefault="00D406A5" w:rsidP="00D406A5"/>
                    <w:p w:rsidR="00D406A5" w:rsidRDefault="00D406A5" w:rsidP="00D406A5"/>
                    <w:p w:rsidR="00D406A5" w:rsidRDefault="00D406A5" w:rsidP="00D406A5">
                      <w:pPr>
                        <w:pStyle w:val="Textoindependiente"/>
                        <w:rPr>
                          <w:rFonts w:ascii="Arial" w:hAnsi="Arial"/>
                          <w:sz w:val="44"/>
                          <w:u w:val="single"/>
                        </w:rPr>
                      </w:pPr>
                      <w:r>
                        <w:rPr>
                          <w:rFonts w:ascii="Arial" w:hAnsi="Arial"/>
                          <w:sz w:val="44"/>
                          <w:u w:val="single"/>
                        </w:rPr>
                        <w:t>Trabajo Fin de Grado</w:t>
                      </w:r>
                    </w:p>
                  </w:txbxContent>
                </v:textbox>
              </v:shape>
            </w:pict>
          </mc:Fallback>
        </mc:AlternateConten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D406A5" w:rsidP="00D406A5">
      <w:pPr>
        <w:tabs>
          <w:tab w:val="left" w:pos="7215"/>
        </w:tabs>
      </w:pPr>
      <w:r>
        <w:rPr>
          <w:noProof/>
        </w:rPr>
        <mc:AlternateContent>
          <mc:Choice Requires="wps">
            <w:drawing>
              <wp:anchor distT="0" distB="0" distL="114300" distR="114300" simplePos="0" relativeHeight="251665920" behindDoc="0" locked="0" layoutInCell="0" allowOverlap="1" wp14:anchorId="27E2871D" wp14:editId="38663043">
                <wp:simplePos x="0" y="0"/>
                <wp:positionH relativeFrom="column">
                  <wp:posOffset>1430655</wp:posOffset>
                </wp:positionH>
                <wp:positionV relativeFrom="paragraph">
                  <wp:posOffset>3905250</wp:posOffset>
                </wp:positionV>
                <wp:extent cx="4528185" cy="2834640"/>
                <wp:effectExtent l="0" t="0" r="5715"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06A5" w:rsidRDefault="00D406A5" w:rsidP="00D406A5">
                            <w:pPr>
                              <w:pStyle w:val="Ttulo5"/>
                              <w:jc w:val="center"/>
                              <w:rPr>
                                <w:u w:val="none"/>
                              </w:rPr>
                            </w:pPr>
                            <w:r>
                              <w:rPr>
                                <w:u w:val="none"/>
                              </w:rPr>
                              <w:t>A</w:t>
                            </w:r>
                            <w:r w:rsidR="000C25AA">
                              <w:rPr>
                                <w:u w:val="none"/>
                              </w:rPr>
                              <w:t>lumno: Javier Medina González</w:t>
                            </w: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0C25AA" w:rsidP="00D406A5">
                            <w:pPr>
                              <w:pStyle w:val="Ttulo4"/>
                              <w:rPr>
                                <w:b/>
                                <w:sz w:val="36"/>
                              </w:rPr>
                            </w:pPr>
                            <w:r>
                              <w:rPr>
                                <w:b/>
                                <w:sz w:val="36"/>
                              </w:rPr>
                              <w:t>Junio,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12.65pt;margin-top:307.5pt;width:356.55pt;height:223.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Uu3+IcCAAAYBQAADgAAAAAAAAAAAAAAAAAuAgAAZHJzL2Uyb0RvYy54bWxQSwECLQAUAAYA&#10;CAAAACEAA4idR+AAAAAMAQAADwAAAAAAAAAAAAAAAADhBAAAZHJzL2Rvd25yZXYueG1sUEsFBgAA&#10;AAAEAAQA8wAAAO4FAAAAAA==&#10;" o:allowincell="f" stroked="f">
                <v:textbox>
                  <w:txbxContent>
                    <w:p w:rsidR="00D406A5" w:rsidRDefault="00D406A5" w:rsidP="00D406A5">
                      <w:pPr>
                        <w:pStyle w:val="Ttulo5"/>
                        <w:jc w:val="center"/>
                        <w:rPr>
                          <w:u w:val="none"/>
                        </w:rPr>
                      </w:pPr>
                      <w:r>
                        <w:rPr>
                          <w:u w:val="none"/>
                        </w:rPr>
                        <w:t>A</w:t>
                      </w:r>
                      <w:r w:rsidR="000C25AA">
                        <w:rPr>
                          <w:u w:val="none"/>
                        </w:rPr>
                        <w:t>lumno: Javier Medina González</w:t>
                      </w: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D406A5" w:rsidP="00D406A5">
                      <w:pPr>
                        <w:jc w:val="center"/>
                        <w:rPr>
                          <w:rFonts w:ascii="Arial" w:hAnsi="Arial"/>
                          <w:sz w:val="32"/>
                        </w:rPr>
                      </w:pPr>
                    </w:p>
                    <w:p w:rsidR="00D406A5" w:rsidRDefault="000C25AA" w:rsidP="00D406A5">
                      <w:pPr>
                        <w:pStyle w:val="Ttulo4"/>
                        <w:rPr>
                          <w:b/>
                          <w:sz w:val="36"/>
                        </w:rPr>
                      </w:pPr>
                      <w:r>
                        <w:rPr>
                          <w:b/>
                          <w:sz w:val="36"/>
                        </w:rPr>
                        <w:t>Junio, 2017</w:t>
                      </w:r>
                    </w:p>
                  </w:txbxContent>
                </v:textbox>
              </v:shape>
            </w:pict>
          </mc:Fallback>
        </mc:AlternateContent>
      </w:r>
      <w:r>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9E04B5" w:rsidP="00D406A5">
      <w:pPr>
        <w:jc w:val="right"/>
      </w:pPr>
      <w:r>
        <w:rPr>
          <w:noProof/>
        </w:rPr>
        <mc:AlternateContent>
          <mc:Choice Requires="wps">
            <w:drawing>
              <wp:anchor distT="0" distB="0" distL="114300" distR="114300" simplePos="0" relativeHeight="251664896" behindDoc="0" locked="0" layoutInCell="0" allowOverlap="1" wp14:anchorId="1F1E63F6" wp14:editId="6BED970E">
                <wp:simplePos x="0" y="0"/>
                <wp:positionH relativeFrom="column">
                  <wp:posOffset>1318895</wp:posOffset>
                </wp:positionH>
                <wp:positionV relativeFrom="paragraph">
                  <wp:posOffset>75565</wp:posOffset>
                </wp:positionV>
                <wp:extent cx="4730115" cy="215265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06A5" w:rsidRPr="00181EDB" w:rsidRDefault="009E04B5" w:rsidP="009E04B5">
                            <w:pPr>
                              <w:pStyle w:val="Textoindependiente2"/>
                              <w:rPr>
                                <w:b/>
                                <w:sz w:val="64"/>
                                <w:lang w:val="es-ES_tradnl"/>
                              </w:rPr>
                            </w:pPr>
                            <w:r>
                              <w:rPr>
                                <w:b/>
                                <w:sz w:val="64"/>
                                <w:lang w:val="es-ES_tradnl"/>
                              </w:rPr>
                              <w:t>R</w:t>
                            </w:r>
                            <w:r w:rsidR="0047337E">
                              <w:rPr>
                                <w:b/>
                                <w:sz w:val="64"/>
                                <w:lang w:val="es-ES_tradnl"/>
                              </w:rPr>
                              <w:t>É</w:t>
                            </w:r>
                            <w:r w:rsidR="0006403A">
                              <w:rPr>
                                <w:b/>
                                <w:sz w:val="64"/>
                                <w:lang w:val="es-ES_tradnl"/>
                              </w:rPr>
                              <w:t>GIMEN JURÍ</w:t>
                            </w:r>
                            <w:r>
                              <w:rPr>
                                <w:b/>
                                <w:sz w:val="64"/>
                                <w:lang w:val="es-ES_tradnl"/>
                              </w:rPr>
                              <w:t>DICO DE LAS CLÁUSLAS SOCIALES EN EUROPA Y ESPAÑA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03.85pt;margin-top:5.95pt;width:372.45pt;height:16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ZxhwIAABg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" o:allowincell="f" stroked="f">
                <v:textbox>
                  <w:txbxContent>
                    <w:p w:rsidR="00D406A5" w:rsidRPr="00181EDB" w:rsidRDefault="009E04B5" w:rsidP="009E04B5">
                      <w:pPr>
                        <w:pStyle w:val="Textoindependiente2"/>
                        <w:rPr>
                          <w:b/>
                          <w:sz w:val="64"/>
                          <w:lang w:val="es-ES_tradnl"/>
                        </w:rPr>
                      </w:pPr>
                      <w:r>
                        <w:rPr>
                          <w:b/>
                          <w:sz w:val="64"/>
                          <w:lang w:val="es-ES_tradnl"/>
                        </w:rPr>
                        <w:t>R</w:t>
                      </w:r>
                      <w:r w:rsidR="0047337E">
                        <w:rPr>
                          <w:b/>
                          <w:sz w:val="64"/>
                          <w:lang w:val="es-ES_tradnl"/>
                        </w:rPr>
                        <w:t>É</w:t>
                      </w:r>
                      <w:r w:rsidR="0006403A">
                        <w:rPr>
                          <w:b/>
                          <w:sz w:val="64"/>
                          <w:lang w:val="es-ES_tradnl"/>
                        </w:rPr>
                        <w:t>GIMEN JURÍ</w:t>
                      </w:r>
                      <w:r>
                        <w:rPr>
                          <w:b/>
                          <w:sz w:val="64"/>
                          <w:lang w:val="es-ES_tradnl"/>
                        </w:rPr>
                        <w:t>DICO DE LAS CLÁUSLAS SOCIALES EN EUROPA Y ESPAÑA</w:t>
                      </w: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5A40F1" w:rsidRPr="005A40F1" w:rsidRDefault="005A40F1" w:rsidP="005A40F1">
      <w:pPr>
        <w:pStyle w:val="Sinespaciado"/>
        <w:spacing w:line="360" w:lineRule="auto"/>
        <w:jc w:val="both"/>
        <w:rPr>
          <w:sz w:val="24"/>
          <w:szCs w:val="24"/>
        </w:rPr>
      </w:pPr>
    </w:p>
    <w:p w:rsidR="00EB4634" w:rsidRPr="008636FB" w:rsidRDefault="00EB4634" w:rsidP="00EB4634">
      <w:pPr>
        <w:pStyle w:val="Sinespaciado"/>
        <w:spacing w:line="360" w:lineRule="auto"/>
        <w:jc w:val="both"/>
        <w:rPr>
          <w:rFonts w:eastAsiaTheme="minorHAnsi"/>
          <w:b/>
          <w:sz w:val="24"/>
          <w:szCs w:val="24"/>
          <w:u w:val="single"/>
          <w:lang w:eastAsia="en-US"/>
        </w:rPr>
      </w:pPr>
      <w:r w:rsidRPr="008636FB">
        <w:rPr>
          <w:rFonts w:eastAsiaTheme="minorHAnsi"/>
          <w:b/>
          <w:sz w:val="24"/>
          <w:szCs w:val="24"/>
          <w:u w:val="single"/>
          <w:lang w:eastAsia="en-US"/>
        </w:rPr>
        <w:lastRenderedPageBreak/>
        <w:t xml:space="preserve">ÍNDICE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06403A">
      <w:pPr>
        <w:pStyle w:val="Sinespaciado"/>
        <w:tabs>
          <w:tab w:val="left" w:pos="8505"/>
        </w:tabs>
        <w:spacing w:line="360" w:lineRule="auto"/>
        <w:jc w:val="both"/>
        <w:rPr>
          <w:rFonts w:eastAsiaTheme="minorHAnsi"/>
          <w:sz w:val="24"/>
          <w:szCs w:val="24"/>
          <w:lang w:eastAsia="en-US"/>
        </w:rPr>
      </w:pPr>
      <w:r>
        <w:rPr>
          <w:rFonts w:eastAsiaTheme="minorHAnsi"/>
          <w:sz w:val="24"/>
          <w:szCs w:val="24"/>
          <w:lang w:eastAsia="en-US"/>
        </w:rPr>
        <w:t xml:space="preserve">1. </w:t>
      </w:r>
      <w:r w:rsidRPr="00EB4634">
        <w:rPr>
          <w:rFonts w:eastAsiaTheme="minorHAnsi"/>
          <w:sz w:val="24"/>
          <w:szCs w:val="24"/>
          <w:lang w:eastAsia="en-US"/>
        </w:rPr>
        <w:t xml:space="preserve">Resumen ________________________________________________________ </w:t>
      </w:r>
      <w:r w:rsidR="000C25AA">
        <w:rPr>
          <w:rFonts w:eastAsiaTheme="minorHAnsi"/>
          <w:sz w:val="24"/>
          <w:szCs w:val="24"/>
          <w:lang w:eastAsia="en-US"/>
        </w:rPr>
        <w:t>3 - 4</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06403A">
      <w:pPr>
        <w:pStyle w:val="Sinespaciado"/>
        <w:tabs>
          <w:tab w:val="left" w:pos="8505"/>
        </w:tabs>
        <w:spacing w:line="360" w:lineRule="auto"/>
        <w:jc w:val="both"/>
        <w:rPr>
          <w:rFonts w:eastAsiaTheme="minorHAnsi"/>
          <w:sz w:val="24"/>
          <w:szCs w:val="24"/>
          <w:lang w:eastAsia="en-US"/>
        </w:rPr>
      </w:pPr>
      <w:r>
        <w:rPr>
          <w:rFonts w:eastAsiaTheme="minorHAnsi"/>
          <w:sz w:val="24"/>
          <w:szCs w:val="24"/>
          <w:lang w:eastAsia="en-US"/>
        </w:rPr>
        <w:t xml:space="preserve">2. </w:t>
      </w:r>
      <w:r w:rsidRPr="00EB4634">
        <w:rPr>
          <w:rFonts w:eastAsiaTheme="minorHAnsi"/>
          <w:sz w:val="24"/>
          <w:szCs w:val="24"/>
          <w:lang w:eastAsia="en-US"/>
        </w:rPr>
        <w:t xml:space="preserve">Introducción _____________________________________________________ </w:t>
      </w:r>
      <w:r w:rsidR="0006403A">
        <w:rPr>
          <w:rFonts w:eastAsiaTheme="minorHAnsi"/>
          <w:sz w:val="24"/>
          <w:szCs w:val="24"/>
          <w:lang w:eastAsia="en-US"/>
        </w:rPr>
        <w:t xml:space="preserve"> 5 - 6</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Pr>
          <w:rFonts w:eastAsiaTheme="minorHAnsi"/>
          <w:sz w:val="24"/>
          <w:szCs w:val="24"/>
          <w:lang w:eastAsia="en-US"/>
        </w:rPr>
        <w:t xml:space="preserve">3. </w:t>
      </w:r>
      <w:r w:rsidRPr="00EB4634">
        <w:rPr>
          <w:rFonts w:eastAsiaTheme="minorHAnsi"/>
          <w:sz w:val="24"/>
          <w:szCs w:val="24"/>
          <w:lang w:eastAsia="en-US"/>
        </w:rPr>
        <w:t xml:space="preserve">Contratación pública socialmente responsable ___________________________ </w:t>
      </w:r>
      <w:r w:rsidR="0006403A">
        <w:rPr>
          <w:rFonts w:eastAsiaTheme="minorHAnsi"/>
          <w:sz w:val="24"/>
          <w:szCs w:val="24"/>
          <w:lang w:eastAsia="en-US"/>
        </w:rPr>
        <w:t>6 - 10</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Pr>
          <w:rFonts w:eastAsiaTheme="minorHAnsi"/>
          <w:sz w:val="24"/>
          <w:szCs w:val="24"/>
          <w:lang w:eastAsia="en-US"/>
        </w:rPr>
        <w:t xml:space="preserve">4. </w:t>
      </w:r>
      <w:r w:rsidRPr="00EB4634">
        <w:rPr>
          <w:rFonts w:eastAsiaTheme="minorHAnsi"/>
          <w:sz w:val="24"/>
          <w:szCs w:val="24"/>
          <w:lang w:eastAsia="en-US"/>
        </w:rPr>
        <w:t xml:space="preserve">Régimen Jurídico Europeo __________________________________________ </w:t>
      </w:r>
      <w:r w:rsidR="0006403A">
        <w:rPr>
          <w:rFonts w:eastAsiaTheme="minorHAnsi"/>
          <w:sz w:val="24"/>
          <w:szCs w:val="24"/>
          <w:lang w:eastAsia="en-US"/>
        </w:rPr>
        <w:t>10</w:t>
      </w:r>
    </w:p>
    <w:p w:rsidR="00EB4634" w:rsidRPr="00EB4634" w:rsidRDefault="00EB4634" w:rsidP="00EB4634">
      <w:pPr>
        <w:pStyle w:val="Sinespaciado"/>
        <w:spacing w:line="360" w:lineRule="auto"/>
        <w:jc w:val="both"/>
        <w:rPr>
          <w:rFonts w:eastAsiaTheme="minorHAnsi"/>
          <w:sz w:val="24"/>
          <w:szCs w:val="24"/>
          <w:lang w:eastAsia="en-US"/>
        </w:rPr>
      </w:pPr>
    </w:p>
    <w:p w:rsidR="00EB4634" w:rsidRDefault="00EB4634" w:rsidP="00EB4634">
      <w:pPr>
        <w:pStyle w:val="Sinespaciado"/>
        <w:spacing w:line="360" w:lineRule="auto"/>
        <w:ind w:left="720"/>
        <w:jc w:val="both"/>
        <w:rPr>
          <w:rFonts w:eastAsiaTheme="minorHAnsi"/>
          <w:sz w:val="24"/>
          <w:szCs w:val="24"/>
          <w:lang w:eastAsia="en-US"/>
        </w:rPr>
      </w:pPr>
      <w:r>
        <w:rPr>
          <w:rFonts w:eastAsiaTheme="minorHAnsi"/>
          <w:sz w:val="24"/>
          <w:szCs w:val="24"/>
          <w:lang w:eastAsia="en-US"/>
        </w:rPr>
        <w:t xml:space="preserve">4.1 </w:t>
      </w:r>
      <w:r w:rsidRPr="00EB4634">
        <w:rPr>
          <w:rFonts w:eastAsiaTheme="minorHAnsi"/>
          <w:sz w:val="24"/>
          <w:szCs w:val="24"/>
          <w:lang w:eastAsia="en-US"/>
        </w:rPr>
        <w:t>Evolución histórica _____________</w:t>
      </w:r>
      <w:r w:rsidR="0006403A">
        <w:rPr>
          <w:rFonts w:eastAsiaTheme="minorHAnsi"/>
          <w:sz w:val="24"/>
          <w:szCs w:val="24"/>
          <w:lang w:eastAsia="en-US"/>
        </w:rPr>
        <w:t>____________________________ 10</w:t>
      </w:r>
      <w:r w:rsidRPr="00EB4634">
        <w:rPr>
          <w:rFonts w:eastAsiaTheme="minorHAnsi"/>
          <w:sz w:val="24"/>
          <w:szCs w:val="24"/>
          <w:lang w:eastAsia="en-US"/>
        </w:rPr>
        <w:t xml:space="preserve"> </w:t>
      </w:r>
      <w:r>
        <w:rPr>
          <w:rFonts w:eastAsiaTheme="minorHAnsi"/>
          <w:sz w:val="24"/>
          <w:szCs w:val="24"/>
          <w:lang w:eastAsia="en-US"/>
        </w:rPr>
        <w:t>–</w:t>
      </w:r>
      <w:r w:rsidR="0006403A">
        <w:rPr>
          <w:rFonts w:eastAsiaTheme="minorHAnsi"/>
          <w:sz w:val="24"/>
          <w:szCs w:val="24"/>
          <w:lang w:eastAsia="en-US"/>
        </w:rPr>
        <w:t xml:space="preserve"> 13</w:t>
      </w:r>
    </w:p>
    <w:p w:rsidR="00EB4634" w:rsidRDefault="00EB4634" w:rsidP="00EB4634">
      <w:pPr>
        <w:pStyle w:val="Sinespaciado"/>
        <w:spacing w:line="360" w:lineRule="auto"/>
        <w:ind w:left="360"/>
        <w:jc w:val="both"/>
        <w:rPr>
          <w:rFonts w:eastAsiaTheme="minorHAnsi"/>
          <w:sz w:val="24"/>
          <w:szCs w:val="24"/>
          <w:lang w:eastAsia="en-US"/>
        </w:rPr>
      </w:pPr>
    </w:p>
    <w:p w:rsidR="00EB4634" w:rsidRDefault="00EB4634" w:rsidP="00EB4634">
      <w:pPr>
        <w:pStyle w:val="Sinespaciado"/>
        <w:spacing w:line="360" w:lineRule="auto"/>
        <w:ind w:left="720"/>
        <w:jc w:val="both"/>
        <w:rPr>
          <w:rFonts w:eastAsiaTheme="minorHAnsi"/>
          <w:sz w:val="24"/>
          <w:szCs w:val="24"/>
          <w:lang w:eastAsia="en-US"/>
        </w:rPr>
      </w:pPr>
      <w:r>
        <w:rPr>
          <w:rFonts w:eastAsiaTheme="minorHAnsi"/>
          <w:sz w:val="24"/>
          <w:szCs w:val="24"/>
          <w:lang w:eastAsia="en-US"/>
        </w:rPr>
        <w:t xml:space="preserve">4.2 </w:t>
      </w:r>
      <w:r w:rsidRPr="00EB4634">
        <w:rPr>
          <w:rFonts w:eastAsiaTheme="minorHAnsi"/>
          <w:sz w:val="24"/>
          <w:szCs w:val="24"/>
          <w:lang w:eastAsia="en-US"/>
        </w:rPr>
        <w:t>Marco normativo actual  _______________________________________</w:t>
      </w:r>
      <w:r w:rsidR="0006403A">
        <w:rPr>
          <w:rFonts w:eastAsiaTheme="minorHAnsi"/>
          <w:sz w:val="24"/>
          <w:szCs w:val="24"/>
          <w:lang w:eastAsia="en-US"/>
        </w:rPr>
        <w:t xml:space="preserve"> 13</w:t>
      </w:r>
      <w:r w:rsidRPr="00EB4634">
        <w:rPr>
          <w:rFonts w:eastAsiaTheme="minorHAnsi"/>
          <w:sz w:val="24"/>
          <w:szCs w:val="24"/>
          <w:lang w:eastAsia="en-US"/>
        </w:rPr>
        <w:t xml:space="preserve">- </w:t>
      </w:r>
      <w:r w:rsidR="0006403A">
        <w:rPr>
          <w:rFonts w:eastAsiaTheme="minorHAnsi"/>
          <w:sz w:val="24"/>
          <w:szCs w:val="24"/>
          <w:lang w:eastAsia="en-US"/>
        </w:rPr>
        <w:t>19</w:t>
      </w:r>
    </w:p>
    <w:p w:rsidR="00EB4634" w:rsidRDefault="00EB4634" w:rsidP="00EB4634">
      <w:pPr>
        <w:pStyle w:val="Sinespaciado"/>
        <w:spacing w:line="360" w:lineRule="auto"/>
        <w:ind w:left="360"/>
        <w:jc w:val="both"/>
        <w:rPr>
          <w:rFonts w:eastAsiaTheme="minorHAnsi"/>
          <w:sz w:val="24"/>
          <w:szCs w:val="24"/>
          <w:lang w:eastAsia="en-US"/>
        </w:rPr>
      </w:pPr>
    </w:p>
    <w:p w:rsidR="00EB4634" w:rsidRPr="00EB4634" w:rsidRDefault="00EB4634" w:rsidP="00EB4634">
      <w:pPr>
        <w:pStyle w:val="Sinespaciado"/>
        <w:spacing w:line="360" w:lineRule="auto"/>
        <w:ind w:left="720"/>
        <w:jc w:val="both"/>
        <w:rPr>
          <w:rFonts w:eastAsiaTheme="minorHAnsi"/>
          <w:sz w:val="24"/>
          <w:szCs w:val="24"/>
          <w:lang w:eastAsia="en-US"/>
        </w:rPr>
      </w:pPr>
      <w:r>
        <w:rPr>
          <w:rFonts w:eastAsiaTheme="minorHAnsi"/>
          <w:sz w:val="24"/>
          <w:szCs w:val="24"/>
          <w:lang w:eastAsia="en-US"/>
        </w:rPr>
        <w:t xml:space="preserve">4.3 </w:t>
      </w:r>
      <w:r w:rsidRPr="00EB4634">
        <w:rPr>
          <w:rFonts w:eastAsiaTheme="minorHAnsi"/>
          <w:sz w:val="24"/>
          <w:szCs w:val="24"/>
          <w:lang w:eastAsia="en-US"/>
        </w:rPr>
        <w:t>Jurisprudencia ________________________________________________</w:t>
      </w:r>
      <w:r w:rsidR="0006403A">
        <w:rPr>
          <w:rFonts w:eastAsiaTheme="minorHAnsi"/>
          <w:sz w:val="24"/>
          <w:szCs w:val="24"/>
          <w:lang w:eastAsia="en-US"/>
        </w:rPr>
        <w:t>19</w:t>
      </w:r>
      <w:r w:rsidRPr="00EB4634">
        <w:rPr>
          <w:rFonts w:eastAsiaTheme="minorHAnsi"/>
          <w:sz w:val="24"/>
          <w:szCs w:val="24"/>
          <w:lang w:eastAsia="en-US"/>
        </w:rPr>
        <w:t xml:space="preserve"> - 40</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Pr>
          <w:rFonts w:eastAsiaTheme="minorHAnsi"/>
          <w:sz w:val="24"/>
          <w:szCs w:val="24"/>
          <w:lang w:eastAsia="en-US"/>
        </w:rPr>
        <w:t xml:space="preserve">5. </w:t>
      </w:r>
      <w:r w:rsidRPr="00EB4634">
        <w:rPr>
          <w:rFonts w:eastAsiaTheme="minorHAnsi"/>
          <w:sz w:val="24"/>
          <w:szCs w:val="24"/>
          <w:lang w:eastAsia="en-US"/>
        </w:rPr>
        <w:t>Régimen Jurídico en España ________________________________________</w:t>
      </w:r>
      <w:r w:rsidR="0006403A">
        <w:rPr>
          <w:rFonts w:eastAsiaTheme="minorHAnsi"/>
          <w:sz w:val="24"/>
          <w:szCs w:val="24"/>
          <w:lang w:eastAsia="en-US"/>
        </w:rPr>
        <w:t>____41</w:t>
      </w:r>
    </w:p>
    <w:p w:rsid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ind w:left="720"/>
        <w:jc w:val="both"/>
        <w:rPr>
          <w:rFonts w:eastAsiaTheme="minorHAnsi"/>
          <w:sz w:val="24"/>
          <w:szCs w:val="24"/>
          <w:lang w:eastAsia="en-US"/>
        </w:rPr>
      </w:pPr>
      <w:r>
        <w:rPr>
          <w:rFonts w:eastAsiaTheme="minorHAnsi"/>
          <w:sz w:val="24"/>
          <w:szCs w:val="24"/>
          <w:lang w:eastAsia="en-US"/>
        </w:rPr>
        <w:t xml:space="preserve">5.1 </w:t>
      </w:r>
      <w:r w:rsidRPr="00EB4634">
        <w:rPr>
          <w:rFonts w:eastAsiaTheme="minorHAnsi"/>
          <w:sz w:val="24"/>
          <w:szCs w:val="24"/>
          <w:lang w:eastAsia="en-US"/>
        </w:rPr>
        <w:t>Marco normativo ______________________________________________</w:t>
      </w:r>
      <w:r w:rsidR="0006403A">
        <w:rPr>
          <w:rFonts w:eastAsiaTheme="minorHAnsi"/>
          <w:sz w:val="24"/>
          <w:szCs w:val="24"/>
          <w:lang w:eastAsia="en-US"/>
        </w:rPr>
        <w:t>41</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8636FB" w:rsidRDefault="008636FB" w:rsidP="008636FB">
      <w:pPr>
        <w:pStyle w:val="Sinespaciado"/>
        <w:spacing w:line="360" w:lineRule="auto"/>
        <w:ind w:left="1080"/>
        <w:jc w:val="both"/>
        <w:rPr>
          <w:rFonts w:eastAsiaTheme="minorHAnsi"/>
          <w:sz w:val="24"/>
          <w:szCs w:val="24"/>
          <w:lang w:eastAsia="en-US"/>
        </w:rPr>
      </w:pPr>
      <w:r>
        <w:rPr>
          <w:rFonts w:eastAsiaTheme="minorHAnsi"/>
          <w:sz w:val="24"/>
          <w:szCs w:val="24"/>
          <w:lang w:eastAsia="en-US"/>
        </w:rPr>
        <w:t xml:space="preserve">5.1.1 </w:t>
      </w:r>
      <w:r w:rsidR="00EB4634" w:rsidRPr="00EB4634">
        <w:rPr>
          <w:rFonts w:eastAsiaTheme="minorHAnsi"/>
          <w:sz w:val="24"/>
          <w:szCs w:val="24"/>
          <w:lang w:eastAsia="en-US"/>
        </w:rPr>
        <w:t>Régimen general _________</w:t>
      </w:r>
      <w:r w:rsidR="003F348D">
        <w:rPr>
          <w:rFonts w:eastAsiaTheme="minorHAnsi"/>
          <w:sz w:val="24"/>
          <w:szCs w:val="24"/>
          <w:lang w:eastAsia="en-US"/>
        </w:rPr>
        <w:t>________________________________</w:t>
      </w:r>
      <w:r w:rsidR="0006403A">
        <w:rPr>
          <w:rFonts w:eastAsiaTheme="minorHAnsi"/>
          <w:sz w:val="24"/>
          <w:szCs w:val="24"/>
          <w:lang w:eastAsia="en-US"/>
        </w:rPr>
        <w:t>41</w:t>
      </w:r>
      <w:r w:rsidR="00EB4634" w:rsidRPr="00EB4634">
        <w:rPr>
          <w:rFonts w:eastAsiaTheme="minorHAnsi"/>
          <w:sz w:val="24"/>
          <w:szCs w:val="24"/>
          <w:lang w:eastAsia="en-US"/>
        </w:rPr>
        <w:t xml:space="preserve"> </w:t>
      </w:r>
      <w:r>
        <w:rPr>
          <w:rFonts w:eastAsiaTheme="minorHAnsi"/>
          <w:sz w:val="24"/>
          <w:szCs w:val="24"/>
          <w:lang w:eastAsia="en-US"/>
        </w:rPr>
        <w:t>–</w:t>
      </w:r>
      <w:r w:rsidR="00EB4634" w:rsidRPr="00EB4634">
        <w:rPr>
          <w:rFonts w:eastAsiaTheme="minorHAnsi"/>
          <w:sz w:val="24"/>
          <w:szCs w:val="24"/>
          <w:lang w:eastAsia="en-US"/>
        </w:rPr>
        <w:t xml:space="preserve"> 44</w:t>
      </w:r>
    </w:p>
    <w:p w:rsidR="008636FB" w:rsidRDefault="008636FB" w:rsidP="008636FB">
      <w:pPr>
        <w:pStyle w:val="Sinespaciado"/>
        <w:spacing w:line="360" w:lineRule="auto"/>
        <w:ind w:left="1080"/>
        <w:jc w:val="both"/>
        <w:rPr>
          <w:rFonts w:eastAsiaTheme="minorHAnsi"/>
          <w:sz w:val="24"/>
          <w:szCs w:val="24"/>
          <w:lang w:eastAsia="en-US"/>
        </w:rPr>
      </w:pPr>
    </w:p>
    <w:p w:rsidR="008636FB" w:rsidRDefault="008636FB" w:rsidP="008636FB">
      <w:pPr>
        <w:pStyle w:val="Sinespaciado"/>
        <w:spacing w:line="360" w:lineRule="auto"/>
        <w:ind w:left="1080"/>
        <w:jc w:val="both"/>
        <w:rPr>
          <w:rFonts w:eastAsiaTheme="minorHAnsi"/>
          <w:sz w:val="24"/>
          <w:szCs w:val="24"/>
          <w:lang w:eastAsia="en-US"/>
        </w:rPr>
      </w:pPr>
      <w:r>
        <w:rPr>
          <w:rFonts w:eastAsiaTheme="minorHAnsi"/>
          <w:sz w:val="24"/>
          <w:szCs w:val="24"/>
          <w:lang w:eastAsia="en-US"/>
        </w:rPr>
        <w:t xml:space="preserve">5.1.2 </w:t>
      </w:r>
      <w:r w:rsidR="00EB4634" w:rsidRPr="00EB4634">
        <w:rPr>
          <w:rFonts w:eastAsiaTheme="minorHAnsi"/>
          <w:sz w:val="24"/>
          <w:szCs w:val="24"/>
          <w:lang w:eastAsia="en-US"/>
        </w:rPr>
        <w:t>Integr</w:t>
      </w:r>
      <w:r w:rsidR="003145A5">
        <w:rPr>
          <w:rFonts w:eastAsiaTheme="minorHAnsi"/>
          <w:sz w:val="24"/>
          <w:szCs w:val="24"/>
          <w:lang w:eastAsia="en-US"/>
        </w:rPr>
        <w:t>ación de personas con discapacidad</w:t>
      </w:r>
      <w:r w:rsidR="00EB4634" w:rsidRPr="00EB4634">
        <w:rPr>
          <w:rFonts w:eastAsiaTheme="minorHAnsi"/>
          <w:sz w:val="24"/>
          <w:szCs w:val="24"/>
          <w:lang w:eastAsia="en-US"/>
        </w:rPr>
        <w:t xml:space="preserve"> ______________________</w:t>
      </w:r>
      <w:r w:rsidR="0006403A">
        <w:rPr>
          <w:rFonts w:eastAsiaTheme="minorHAnsi"/>
          <w:sz w:val="24"/>
          <w:szCs w:val="24"/>
          <w:lang w:eastAsia="en-US"/>
        </w:rPr>
        <w:t>45</w:t>
      </w:r>
      <w:r>
        <w:rPr>
          <w:rFonts w:eastAsiaTheme="minorHAnsi"/>
          <w:sz w:val="24"/>
          <w:szCs w:val="24"/>
          <w:lang w:eastAsia="en-US"/>
        </w:rPr>
        <w:t>–</w:t>
      </w:r>
      <w:r w:rsidR="0006403A">
        <w:rPr>
          <w:rFonts w:eastAsiaTheme="minorHAnsi"/>
          <w:sz w:val="24"/>
          <w:szCs w:val="24"/>
          <w:lang w:eastAsia="en-US"/>
        </w:rPr>
        <w:t xml:space="preserve"> 46</w:t>
      </w:r>
    </w:p>
    <w:p w:rsidR="008636FB" w:rsidRDefault="008636FB" w:rsidP="008636FB">
      <w:pPr>
        <w:pStyle w:val="Sinespaciado"/>
        <w:spacing w:line="360" w:lineRule="auto"/>
        <w:ind w:left="1080"/>
        <w:jc w:val="both"/>
        <w:rPr>
          <w:rFonts w:eastAsiaTheme="minorHAnsi"/>
          <w:sz w:val="24"/>
          <w:szCs w:val="24"/>
          <w:lang w:eastAsia="en-US"/>
        </w:rPr>
      </w:pPr>
    </w:p>
    <w:p w:rsidR="008636FB" w:rsidRDefault="008636FB" w:rsidP="008636FB">
      <w:pPr>
        <w:pStyle w:val="Sinespaciado"/>
        <w:spacing w:line="360" w:lineRule="auto"/>
        <w:ind w:left="1080"/>
        <w:jc w:val="both"/>
        <w:rPr>
          <w:rFonts w:eastAsiaTheme="minorHAnsi"/>
          <w:sz w:val="24"/>
          <w:szCs w:val="24"/>
          <w:lang w:eastAsia="en-US"/>
        </w:rPr>
      </w:pPr>
      <w:r>
        <w:rPr>
          <w:rFonts w:eastAsiaTheme="minorHAnsi"/>
          <w:sz w:val="24"/>
          <w:szCs w:val="24"/>
          <w:lang w:eastAsia="en-US"/>
        </w:rPr>
        <w:t xml:space="preserve">5.1. 3 </w:t>
      </w:r>
      <w:r w:rsidR="00EB4634" w:rsidRPr="00EB4634">
        <w:rPr>
          <w:rFonts w:eastAsiaTheme="minorHAnsi"/>
          <w:sz w:val="24"/>
          <w:szCs w:val="24"/>
          <w:lang w:eastAsia="en-US"/>
        </w:rPr>
        <w:t>Igualdad de género_______________________________________</w:t>
      </w:r>
      <w:r w:rsidR="003F348D">
        <w:rPr>
          <w:rFonts w:eastAsiaTheme="minorHAnsi"/>
          <w:sz w:val="24"/>
          <w:szCs w:val="24"/>
          <w:lang w:eastAsia="en-US"/>
        </w:rPr>
        <w:t>_</w:t>
      </w:r>
      <w:r w:rsidR="00EB4634" w:rsidRPr="00EB4634">
        <w:rPr>
          <w:rFonts w:eastAsiaTheme="minorHAnsi"/>
          <w:sz w:val="24"/>
          <w:szCs w:val="24"/>
          <w:lang w:eastAsia="en-US"/>
        </w:rPr>
        <w:t xml:space="preserve"> 46</w:t>
      </w:r>
    </w:p>
    <w:p w:rsidR="008636FB" w:rsidRDefault="008636FB" w:rsidP="008636FB">
      <w:pPr>
        <w:pStyle w:val="Sinespaciado"/>
        <w:spacing w:line="360" w:lineRule="auto"/>
        <w:ind w:left="1080"/>
        <w:jc w:val="both"/>
        <w:rPr>
          <w:rFonts w:eastAsiaTheme="minorHAnsi"/>
          <w:sz w:val="24"/>
          <w:szCs w:val="24"/>
          <w:lang w:eastAsia="en-US"/>
        </w:rPr>
      </w:pPr>
    </w:p>
    <w:p w:rsidR="00EB4634" w:rsidRPr="00EB4634" w:rsidRDefault="008636FB" w:rsidP="008636FB">
      <w:pPr>
        <w:pStyle w:val="Sinespaciado"/>
        <w:spacing w:line="360" w:lineRule="auto"/>
        <w:ind w:left="1080"/>
        <w:jc w:val="both"/>
        <w:rPr>
          <w:rFonts w:eastAsiaTheme="minorHAnsi"/>
          <w:sz w:val="24"/>
          <w:szCs w:val="24"/>
          <w:lang w:eastAsia="en-US"/>
        </w:rPr>
      </w:pPr>
      <w:r>
        <w:rPr>
          <w:rFonts w:eastAsiaTheme="minorHAnsi"/>
          <w:sz w:val="24"/>
          <w:szCs w:val="24"/>
          <w:lang w:eastAsia="en-US"/>
        </w:rPr>
        <w:t xml:space="preserve">5.1.4 </w:t>
      </w:r>
      <w:r w:rsidR="00EB4634" w:rsidRPr="00EB4634">
        <w:rPr>
          <w:rFonts w:eastAsiaTheme="minorHAnsi"/>
          <w:sz w:val="24"/>
          <w:szCs w:val="24"/>
          <w:lang w:eastAsia="en-US"/>
        </w:rPr>
        <w:t>Materia medioambiental ___</w:t>
      </w:r>
      <w:r w:rsidR="003F348D">
        <w:rPr>
          <w:rFonts w:eastAsiaTheme="minorHAnsi"/>
          <w:sz w:val="24"/>
          <w:szCs w:val="24"/>
          <w:lang w:eastAsia="en-US"/>
        </w:rPr>
        <w:t>_________________________________</w:t>
      </w:r>
      <w:bookmarkStart w:id="0" w:name="_GoBack"/>
      <w:bookmarkEnd w:id="0"/>
      <w:r w:rsidR="00EB4634" w:rsidRPr="00EB4634">
        <w:rPr>
          <w:rFonts w:eastAsiaTheme="minorHAnsi"/>
          <w:sz w:val="24"/>
          <w:szCs w:val="24"/>
          <w:lang w:eastAsia="en-US"/>
        </w:rPr>
        <w:t>46 - 47</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8636FB" w:rsidP="00EB4634">
      <w:pPr>
        <w:pStyle w:val="Sinespaciado"/>
        <w:spacing w:line="360" w:lineRule="auto"/>
        <w:jc w:val="both"/>
        <w:rPr>
          <w:rFonts w:eastAsiaTheme="minorHAnsi"/>
          <w:sz w:val="24"/>
          <w:szCs w:val="24"/>
          <w:lang w:eastAsia="en-US"/>
        </w:rPr>
      </w:pPr>
      <w:r>
        <w:rPr>
          <w:rFonts w:eastAsiaTheme="minorHAnsi"/>
          <w:sz w:val="24"/>
          <w:szCs w:val="24"/>
          <w:lang w:eastAsia="en-US"/>
        </w:rPr>
        <w:t xml:space="preserve">6. </w:t>
      </w:r>
      <w:r w:rsidR="00EB4634" w:rsidRPr="00EB4634">
        <w:rPr>
          <w:rFonts w:eastAsiaTheme="minorHAnsi"/>
          <w:sz w:val="24"/>
          <w:szCs w:val="24"/>
          <w:lang w:eastAsia="en-US"/>
        </w:rPr>
        <w:t>Conclusiones _____________________</w:t>
      </w:r>
      <w:r w:rsidR="003F348D">
        <w:rPr>
          <w:rFonts w:eastAsiaTheme="minorHAnsi"/>
          <w:sz w:val="24"/>
          <w:szCs w:val="24"/>
          <w:lang w:eastAsia="en-US"/>
        </w:rPr>
        <w:t>___________________________________</w:t>
      </w:r>
      <w:r w:rsidR="00EB4634" w:rsidRPr="00EB4634">
        <w:rPr>
          <w:rFonts w:eastAsiaTheme="minorHAnsi"/>
          <w:sz w:val="24"/>
          <w:szCs w:val="24"/>
          <w:lang w:eastAsia="en-US"/>
        </w:rPr>
        <w:t>47 - 48</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8636FB" w:rsidP="00EB4634">
      <w:pPr>
        <w:pStyle w:val="Sinespaciado"/>
        <w:spacing w:line="360" w:lineRule="auto"/>
        <w:jc w:val="both"/>
        <w:rPr>
          <w:rFonts w:eastAsiaTheme="minorHAnsi"/>
          <w:sz w:val="24"/>
          <w:szCs w:val="24"/>
          <w:lang w:eastAsia="en-US"/>
        </w:rPr>
      </w:pPr>
      <w:r>
        <w:rPr>
          <w:rFonts w:eastAsiaTheme="minorHAnsi"/>
          <w:sz w:val="24"/>
          <w:szCs w:val="24"/>
          <w:lang w:eastAsia="en-US"/>
        </w:rPr>
        <w:t xml:space="preserve">7. </w:t>
      </w:r>
      <w:r w:rsidR="00EB4634" w:rsidRPr="00EB4634">
        <w:rPr>
          <w:rFonts w:eastAsiaTheme="minorHAnsi"/>
          <w:sz w:val="24"/>
          <w:szCs w:val="24"/>
          <w:lang w:eastAsia="en-US"/>
        </w:rPr>
        <w:t>Bibliografía _____________________________</w:t>
      </w:r>
      <w:r w:rsidR="003F348D">
        <w:rPr>
          <w:rFonts w:eastAsiaTheme="minorHAnsi"/>
          <w:sz w:val="24"/>
          <w:szCs w:val="24"/>
          <w:lang w:eastAsia="en-US"/>
        </w:rPr>
        <w:t>_____________________________49</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8636FB" w:rsidRDefault="008636FB"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b/>
          <w:sz w:val="24"/>
          <w:szCs w:val="24"/>
          <w:u w:val="single"/>
          <w:lang w:eastAsia="en-US"/>
        </w:rPr>
      </w:pPr>
      <w:r w:rsidRPr="008636FB">
        <w:rPr>
          <w:rFonts w:eastAsiaTheme="minorHAnsi"/>
          <w:b/>
          <w:sz w:val="24"/>
          <w:szCs w:val="24"/>
          <w:u w:val="single"/>
          <w:lang w:eastAsia="en-US"/>
        </w:rPr>
        <w:lastRenderedPageBreak/>
        <w:t xml:space="preserve">1. RESUMEN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Durante muchos años, lo que</w:t>
      </w:r>
      <w:r w:rsidR="003145A5">
        <w:rPr>
          <w:rFonts w:eastAsiaTheme="minorHAnsi"/>
          <w:sz w:val="24"/>
          <w:szCs w:val="24"/>
          <w:lang w:eastAsia="en-US"/>
        </w:rPr>
        <w:t xml:space="preserve"> hoy llamamos clausulas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no se han tenido en cuenta en el extenso mercado laboral, ni por las entidades privadas ni por la administración pública.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Afortunadamente, con el paso del tiempo estas cláusulas han adquirido mayor importancia en nuestra sociedad, sobretodo en el ámbito de la contratación pública, y esto se debe sobre todo a la regulación de las mismas por parte de la Unión Europea.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este trabajo lo que pretendo es mostrar, primero, una pequeña aproximación del propi</w:t>
      </w:r>
      <w:r w:rsidR="003145A5">
        <w:rPr>
          <w:rFonts w:eastAsiaTheme="minorHAnsi"/>
          <w:sz w:val="24"/>
          <w:szCs w:val="24"/>
          <w:lang w:eastAsia="en-US"/>
        </w:rPr>
        <w:t xml:space="preserve">o concepto de cláusulas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enmascaradas de una forma más genérica en la llamada Contratación pública socialmente responsable.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Dentro del ámbito europeo, haremos un recorrido explicando 3 puntos fundamentales, siendo estos su evolución histórica, su regulación actual, y por último, un amplio estudio de algunas de las sentencias del Tribunal de Justicia.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al ámbito Español, nos centraremos más exclusivamente en su regulación actual, tanto de las leyes adaptadas de la Unión Europea, como de las leyes nacionales que más importancia pueden tener a la hora de desarrollar estas cláusulas sociales. </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br/>
        <w:t xml:space="preserve">Por último, he dedicado un pequeño espacio para exponer mi propia opinión personal sobre los temas tratados en previamente.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Palabras clave:</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Contratación pública socialmente responsab</w:t>
      </w:r>
      <w:r w:rsidR="003145A5">
        <w:rPr>
          <w:rFonts w:eastAsiaTheme="minorHAnsi"/>
          <w:sz w:val="24"/>
          <w:szCs w:val="24"/>
          <w:lang w:eastAsia="en-US"/>
        </w:rPr>
        <w:t xml:space="preserve">le, Clausulas sociales /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Tribunal de Justicia Europeo.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b/>
          <w:sz w:val="24"/>
          <w:szCs w:val="24"/>
          <w:u w:val="single"/>
          <w:lang w:val="en-US" w:eastAsia="en-US"/>
        </w:rPr>
      </w:pPr>
      <w:r w:rsidRPr="008636FB">
        <w:rPr>
          <w:rFonts w:eastAsiaTheme="minorHAnsi"/>
          <w:b/>
          <w:sz w:val="24"/>
          <w:szCs w:val="24"/>
          <w:u w:val="single"/>
          <w:lang w:val="en-US" w:eastAsia="en-US"/>
        </w:rPr>
        <w:lastRenderedPageBreak/>
        <w:t>ABSTRAC</w:t>
      </w:r>
      <w:r w:rsidR="003145A5">
        <w:rPr>
          <w:rFonts w:eastAsiaTheme="minorHAnsi"/>
          <w:b/>
          <w:sz w:val="24"/>
          <w:szCs w:val="24"/>
          <w:u w:val="single"/>
          <w:lang w:val="en-US" w:eastAsia="en-US"/>
        </w:rPr>
        <w:t>T</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During many years, social and labor clauses were not given attention by public or private institution.</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Fortunately, workings conditions become more important in our society, mostly on recruitment areas, and that is because the EU regulation process.</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 xml:space="preserve">On this essay, I </w:t>
      </w:r>
      <w:proofErr w:type="spellStart"/>
      <w:r w:rsidRPr="00EB4634">
        <w:rPr>
          <w:rFonts w:eastAsiaTheme="minorHAnsi"/>
          <w:sz w:val="24"/>
          <w:szCs w:val="24"/>
          <w:lang w:val="en-US" w:eastAsia="en-US"/>
        </w:rPr>
        <w:t>wanna</w:t>
      </w:r>
      <w:proofErr w:type="spellEnd"/>
      <w:r w:rsidRPr="00EB4634">
        <w:rPr>
          <w:rFonts w:eastAsiaTheme="minorHAnsi"/>
          <w:sz w:val="24"/>
          <w:szCs w:val="24"/>
          <w:lang w:val="en-US" w:eastAsia="en-US"/>
        </w:rPr>
        <w:t xml:space="preserve"> describe first the meaning of social and labor clause by itself, and then, deeply, the public recruitment socially responsible.</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By European level, there are 3 main differences: historic evolution, actual regulation and the end, a wide research of European Court of Justice Sentences.</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According to Spanish level, I exclusively focus on current regulations, as adapted laws to EU, so as relevant national laws in order to develop with social clauses.</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 xml:space="preserve">Finally, I have written and expressed my opinion about the explained topics. </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 xml:space="preserve">Key words: </w:t>
      </w:r>
    </w:p>
    <w:p w:rsidR="00EB4634" w:rsidRPr="00EB4634" w:rsidRDefault="00EB4634" w:rsidP="00EB4634">
      <w:pPr>
        <w:pStyle w:val="Sinespaciado"/>
        <w:spacing w:line="360" w:lineRule="auto"/>
        <w:jc w:val="both"/>
        <w:rPr>
          <w:rFonts w:eastAsiaTheme="minorHAnsi"/>
          <w:sz w:val="24"/>
          <w:szCs w:val="24"/>
          <w:lang w:val="en-US" w:eastAsia="en-US"/>
        </w:rPr>
      </w:pPr>
      <w:proofErr w:type="gramStart"/>
      <w:r w:rsidRPr="00EB4634">
        <w:rPr>
          <w:rFonts w:eastAsiaTheme="minorHAnsi"/>
          <w:sz w:val="24"/>
          <w:szCs w:val="24"/>
          <w:lang w:val="en-US" w:eastAsia="en-US"/>
        </w:rPr>
        <w:t>Public recruitment socially responsible, social clauses / social and labor clauses, European Court of Justice.</w:t>
      </w:r>
      <w:proofErr w:type="gramEnd"/>
    </w:p>
    <w:p w:rsidR="00EB4634" w:rsidRPr="00EB4634" w:rsidRDefault="00EB4634" w:rsidP="00EB4634">
      <w:pPr>
        <w:pStyle w:val="Sinespaciado"/>
        <w:spacing w:line="360" w:lineRule="auto"/>
        <w:jc w:val="both"/>
        <w:rPr>
          <w:rFonts w:eastAsiaTheme="minorHAnsi"/>
          <w:sz w:val="24"/>
          <w:szCs w:val="24"/>
          <w:lang w:val="en-US" w:eastAsia="en-US"/>
        </w:rPr>
      </w:pPr>
      <w:r w:rsidRPr="00EB4634">
        <w:rPr>
          <w:rFonts w:eastAsiaTheme="minorHAnsi"/>
          <w:sz w:val="24"/>
          <w:szCs w:val="24"/>
          <w:lang w:val="en-US" w:eastAsia="en-US"/>
        </w:rPr>
        <w:t xml:space="preserve">  </w:t>
      </w: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EB4634" w:rsidRDefault="00EB4634" w:rsidP="00EB4634">
      <w:pPr>
        <w:pStyle w:val="Sinespaciado"/>
        <w:spacing w:line="360" w:lineRule="auto"/>
        <w:jc w:val="both"/>
        <w:rPr>
          <w:rFonts w:eastAsiaTheme="minorHAnsi"/>
          <w:sz w:val="24"/>
          <w:szCs w:val="24"/>
          <w:lang w:val="en-US" w:eastAsia="en-US"/>
        </w:rPr>
      </w:pPr>
    </w:p>
    <w:p w:rsidR="00EB4634" w:rsidRPr="008636FB" w:rsidRDefault="00EB4634" w:rsidP="00EB4634">
      <w:pPr>
        <w:pStyle w:val="Sinespaciado"/>
        <w:spacing w:line="360" w:lineRule="auto"/>
        <w:jc w:val="both"/>
        <w:rPr>
          <w:rFonts w:eastAsiaTheme="minorHAnsi"/>
          <w:b/>
          <w:sz w:val="24"/>
          <w:szCs w:val="24"/>
          <w:u w:val="single"/>
          <w:lang w:eastAsia="en-US"/>
        </w:rPr>
      </w:pPr>
      <w:r w:rsidRPr="008636FB">
        <w:rPr>
          <w:rFonts w:eastAsiaTheme="minorHAnsi"/>
          <w:b/>
          <w:sz w:val="24"/>
          <w:szCs w:val="24"/>
          <w:u w:val="single"/>
          <w:lang w:eastAsia="en-US"/>
        </w:rPr>
        <w:lastRenderedPageBreak/>
        <w:t>2. INTRODUCCIÓN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Las clausulas sociales son una figura que, hoy en día, está muy extendida y más que arraigada dentro de nuestro sistema público de contratación, sobre todo si echamos un poco la vista hacia el pasado.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Con esto quiero decir, que realmente se trata de un fenómeno relativamente moderno, el cual no tiene la misma tradición jurídica que pudieran poseer otros derechos o libertades, viéndolo desde una perspectiva histórica amplia.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Estas cláusulas han sufrido un profundo proceso de modernización y regulación que ha empezado en el seno de la Unión Europea, y que lógicamente, ha sido transcrito a los diferentes regímenes nacionales de los distintos países.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Para hacernos una pequeña aproximación de su importancia, como introducción, debemos de saber que la inclusión de cláusulas sociales en la contratación pública tiene una gran potencial económico, puesto que, por ejemplo, </w:t>
      </w:r>
      <w:r w:rsidRPr="00EB4634">
        <w:rPr>
          <w:rFonts w:eastAsiaTheme="minorHAnsi"/>
          <w:i/>
          <w:sz w:val="24"/>
          <w:szCs w:val="24"/>
          <w:lang w:eastAsia="en-US"/>
        </w:rPr>
        <w:t>“en la Unión Europea el conjunto de las Administraciones dedican más de un billón de euros a adquirir bienes y servicios, lo que supone en torno al 15% del PIB, y más de 2.000 euros por habitante y año.”</w:t>
      </w:r>
      <w:r w:rsidRPr="00EB4634">
        <w:rPr>
          <w:rFonts w:eastAsiaTheme="minorHAnsi"/>
          <w:sz w:val="24"/>
          <w:szCs w:val="24"/>
          <w:lang w:eastAsia="en-US"/>
        </w:rPr>
        <w:t xml:space="preserve">. Estas cifras nos indican que se trata de un factor más que considerable para tener en cuenta. </w:t>
      </w:r>
      <w:r w:rsidRPr="00EB4634">
        <w:rPr>
          <w:rFonts w:eastAsiaTheme="minorHAnsi"/>
          <w:sz w:val="24"/>
          <w:szCs w:val="24"/>
          <w:vertAlign w:val="superscript"/>
          <w:lang w:eastAsia="en-US"/>
        </w:rPr>
        <w:footnoteReference w:id="1"/>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otro lado, a parte del ámbito económico, las clausulas sociales representan un gran paso como sociedad hacia el bienestar común, en donde la administración pública y la política se preocupan por determinados grupos desfavorecidos por diferentes circunstancias, como por ejemplo los minusválidos, o en un ámbito mucho más general, como el comercio justo y la protección de los derechos de los trabajadores en países aun con gran potencial de desarrollo.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Esta idea, en mi opinión, es la que ha querido transmitir el Tribunal Supremo argumentando en unas de sus sentencias que “</w:t>
      </w:r>
      <w:r w:rsidRPr="00EB4634">
        <w:rPr>
          <w:rFonts w:eastAsiaTheme="minorHAnsi"/>
          <w:i/>
          <w:sz w:val="24"/>
          <w:szCs w:val="24"/>
          <w:lang w:eastAsia="en-US"/>
        </w:rPr>
        <w:t>la administración no está obligada a aceptar el mejor precio, sino la oferta más favorable al interés público”</w:t>
      </w:r>
      <w:r w:rsidRPr="00EB4634">
        <w:rPr>
          <w:rFonts w:eastAsiaTheme="minorHAnsi"/>
          <w:i/>
          <w:sz w:val="24"/>
          <w:szCs w:val="24"/>
          <w:vertAlign w:val="superscript"/>
          <w:lang w:eastAsia="en-US"/>
        </w:rPr>
        <w:footnoteReference w:id="2"/>
      </w:r>
      <w:r w:rsidRPr="00EB4634">
        <w:rPr>
          <w:rFonts w:eastAsiaTheme="minorHAnsi"/>
          <w: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 xml:space="preserve">Los motivos que me han hecho realizar mi trabajo sobre esta materia son diversos, si bien el principal es la mezcla entre la absoluta curiosidad que tengo respecto a esta “figura” de las clausulas sociales, por la gran importancia que poseen en sí mismas, y a la incertidumbre, debido al desconocimiento general que existe sobre las mismas, de su funcionamiento y si este es el correcto o podría y debería hacerse de una manera más eficiente con el fin de conseguir sus objetivos.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conclusión, el objetivo de este trabajo consiste en realizar un análisis jurídico </w:t>
      </w:r>
      <w:r w:rsidR="003145A5">
        <w:rPr>
          <w:rFonts w:eastAsiaTheme="minorHAnsi"/>
          <w:sz w:val="24"/>
          <w:szCs w:val="24"/>
          <w:lang w:eastAsia="en-US"/>
        </w:rPr>
        <w:t xml:space="preserve">de las clausulas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en el ámbito Europeo, con especial relevancia y detenimiento en su desarrollo jurisprudencial, sin olvidar, tampoco, el correspondiente análisis de las mismas en base a nuestra legislación nacional. Análisis este que pretende mostrar su propia razón de ser, su forma de funcionar, y en consonancia, la gran importancia de la inserción de estas cláusulas por parte de la contratación pública en una sociedad moderna, y garante siempre de un espíritu colectivo del bienestar y la integración social de todos los ciudadanos pertenecientes a ella.</w:t>
      </w:r>
    </w:p>
    <w:p w:rsidR="00EB4634" w:rsidRDefault="00EB4634" w:rsidP="00EB4634">
      <w:pPr>
        <w:pStyle w:val="Sinespaciado"/>
        <w:spacing w:line="360" w:lineRule="auto"/>
        <w:jc w:val="both"/>
        <w:rPr>
          <w:rFonts w:eastAsiaTheme="minorHAnsi"/>
          <w:sz w:val="24"/>
          <w:szCs w:val="24"/>
          <w:lang w:eastAsia="en-US"/>
        </w:rPr>
      </w:pPr>
    </w:p>
    <w:p w:rsidR="008636FB" w:rsidRPr="00EB4634" w:rsidRDefault="008636FB"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b/>
          <w:sz w:val="24"/>
          <w:szCs w:val="24"/>
          <w:u w:val="single"/>
          <w:lang w:eastAsia="en-US"/>
        </w:rPr>
      </w:pPr>
      <w:r w:rsidRPr="008636FB">
        <w:rPr>
          <w:rFonts w:eastAsiaTheme="minorHAnsi"/>
          <w:b/>
          <w:sz w:val="24"/>
          <w:szCs w:val="24"/>
          <w:u w:val="single"/>
          <w:lang w:eastAsia="en-US"/>
        </w:rPr>
        <w:t>3. CONTRATACION PÚBLICA SOCIALMENTE RESPONSABLE</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Contratación Pública Socialmente Responsable (En adelante, CPSR) podría ser definida de una infinidad de formas, debido sobre todo el gran abanico de materias o áreas que en ella incurren. No obstante, encuentro su definición más acertada es la dada por la Dirección General de Empleo, Asuntos Sociales e Igualdad de Oportunidades de la Comisión Europea, en su más reciente publicación sobre el tema: “Adquisiciones Sociales. Una guía para considerar aspectos sociales en las contrataciones públicas” (2011). Con este informe se ha tratado crear una guía sobre la CPSR en su más amplio sentido, abarcando desde todo el marco jurídico y regulador a todo tipo de estrategias, formas y posibilidades acerca de la CPSR.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lo tanto, en base a dicho informe, definiremos la CPSR como </w:t>
      </w:r>
      <w:r w:rsidRPr="00EB4634">
        <w:rPr>
          <w:rFonts w:eastAsiaTheme="minorHAnsi"/>
          <w:i/>
          <w:sz w:val="24"/>
          <w:szCs w:val="24"/>
          <w:lang w:eastAsia="en-US"/>
        </w:rPr>
        <w:t xml:space="preserve">“las operaciones de contratación que tienen en cuenta uno o más de los siguientes aspectos sociales: oportunidades de empleo, trabajo digno, cumplimiento con los derechos sociales y laborales, inclusión social (incluidas las personas con discapacidad), igualdad de oportunidades, diseño de accesibilidad para todos, consideración de los criterios de sostenibilidad, incluidas </w:t>
      </w:r>
      <w:r w:rsidRPr="00EB4634">
        <w:rPr>
          <w:rFonts w:eastAsiaTheme="minorHAnsi"/>
          <w:i/>
          <w:sz w:val="24"/>
          <w:szCs w:val="24"/>
          <w:lang w:eastAsia="en-US"/>
        </w:rPr>
        <w:lastRenderedPageBreak/>
        <w:t>las cuestiones de comercio ético y un cumplimiento voluntario más amplio de la responsabilidad social de las empresas (RSE), a la vez que se respetan los principios consagrados en el Tratado de la Unión Europea (TUE) y las Directivas de contratación. Las CPSR pueden ser una herramienta muy eficaz para avanzar en el desarrollo sostenible y para alcanzar los objetivos sociales de la UE (y los Estados miembros). Las CPSR cubren una amplia escala de aspectos sociales, los cuales pueden tener en cuenta las entidades adjudicadoras en la etapa apropiada del procedimiento de contratación. Los aspectos sociales pueden combinarse con los aspectos ecológicos en un enfoque integrado hacia la sostenibilidad en las contrataciones públicas.”</w:t>
      </w:r>
      <w:r w:rsidRPr="00EB4634">
        <w:rPr>
          <w:rFonts w:eastAsiaTheme="minorHAnsi"/>
          <w:i/>
          <w:sz w:val="24"/>
          <w:szCs w:val="24"/>
          <w:vertAlign w:val="superscript"/>
          <w:lang w:eastAsia="en-US"/>
        </w:rPr>
        <w:footnoteReference w:id="3"/>
      </w:r>
      <w:r w:rsidRPr="00EB4634">
        <w:rPr>
          <w:rFonts w:eastAsiaTheme="minorHAns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De esta manera, podríamos definir las clausulas sociales como la inclusión de aspectos sociales en los procesos de contratación pública.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otro lado, el propio informe nos indica cuales son las posibles ventajas de utilizar este tipo de contratación, siendo estas las siguientes: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
        </w:numPr>
        <w:spacing w:line="360" w:lineRule="auto"/>
        <w:jc w:val="both"/>
        <w:rPr>
          <w:rFonts w:eastAsiaTheme="minorHAnsi"/>
          <w:i/>
          <w:sz w:val="24"/>
          <w:szCs w:val="24"/>
          <w:lang w:eastAsia="en-US"/>
        </w:rPr>
      </w:pPr>
      <w:r w:rsidRPr="00EB4634">
        <w:rPr>
          <w:rFonts w:eastAsiaTheme="minorHAnsi"/>
          <w:i/>
          <w:sz w:val="24"/>
          <w:szCs w:val="24"/>
          <w:lang w:eastAsia="en-US"/>
        </w:rPr>
        <w:t>Ayudar en el cumplimiento de leyes sociales y laborales, incluidos los programas y los compromisos de políticas nacionales e internacionales relacionados.</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
        </w:numPr>
        <w:spacing w:line="360" w:lineRule="auto"/>
        <w:jc w:val="both"/>
        <w:rPr>
          <w:rFonts w:eastAsiaTheme="minorHAnsi"/>
          <w:i/>
          <w:sz w:val="24"/>
          <w:szCs w:val="24"/>
          <w:lang w:eastAsia="en-US"/>
        </w:rPr>
      </w:pPr>
      <w:r w:rsidRPr="00EB4634">
        <w:rPr>
          <w:rFonts w:eastAsiaTheme="minorHAnsi"/>
          <w:i/>
          <w:sz w:val="24"/>
          <w:szCs w:val="24"/>
          <w:lang w:eastAsia="en-US"/>
        </w:rPr>
        <w:t>Estimular mercados con conciencia social.</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
        </w:numPr>
        <w:spacing w:line="360" w:lineRule="auto"/>
        <w:jc w:val="both"/>
        <w:rPr>
          <w:rFonts w:eastAsiaTheme="minorHAnsi"/>
          <w:i/>
          <w:sz w:val="24"/>
          <w:szCs w:val="24"/>
          <w:lang w:eastAsia="en-US"/>
        </w:rPr>
      </w:pPr>
      <w:r w:rsidRPr="00EB4634">
        <w:rPr>
          <w:rFonts w:eastAsiaTheme="minorHAnsi"/>
          <w:i/>
          <w:sz w:val="24"/>
          <w:szCs w:val="24"/>
          <w:lang w:eastAsia="en-US"/>
        </w:rPr>
        <w:t>Demostrar habilidades de gobernanza sensibles a los aspectos sociales.</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
        </w:numPr>
        <w:spacing w:line="360" w:lineRule="auto"/>
        <w:jc w:val="both"/>
        <w:rPr>
          <w:rFonts w:eastAsiaTheme="minorHAnsi"/>
          <w:i/>
          <w:sz w:val="24"/>
          <w:szCs w:val="24"/>
          <w:lang w:eastAsia="en-US"/>
        </w:rPr>
      </w:pPr>
      <w:r w:rsidRPr="00EB4634">
        <w:rPr>
          <w:rFonts w:eastAsiaTheme="minorHAnsi"/>
          <w:i/>
          <w:sz w:val="24"/>
          <w:szCs w:val="24"/>
          <w:lang w:eastAsia="en-US"/>
        </w:rPr>
        <w:t>Fomentar la integración.</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
        </w:numPr>
        <w:spacing w:line="360" w:lineRule="auto"/>
        <w:jc w:val="both"/>
        <w:rPr>
          <w:rFonts w:eastAsiaTheme="minorHAnsi"/>
          <w:i/>
          <w:sz w:val="24"/>
          <w:szCs w:val="24"/>
          <w:lang w:eastAsia="en-US"/>
        </w:rPr>
      </w:pPr>
      <w:r w:rsidRPr="00EB4634">
        <w:rPr>
          <w:rFonts w:eastAsiaTheme="minorHAnsi"/>
          <w:i/>
          <w:sz w:val="24"/>
          <w:szCs w:val="24"/>
          <w:lang w:eastAsia="en-US"/>
        </w:rPr>
        <w:t>Garantizar gastos públicos más eficaces.</w:t>
      </w:r>
      <w:r w:rsidRPr="00EB4634">
        <w:rPr>
          <w:rFonts w:eastAsiaTheme="minorHAnsi"/>
          <w:i/>
          <w:sz w:val="24"/>
          <w:szCs w:val="24"/>
          <w:vertAlign w:val="superscript"/>
          <w:lang w:eastAsia="en-US"/>
        </w:rPr>
        <w:footnoteReference w:id="4"/>
      </w:r>
    </w:p>
    <w:p w:rsidR="008636FB" w:rsidRDefault="008636FB"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marco jurídico de la CPSR es variado, basado primero, en las recientes directas aprobadas por parte de la unión europea, las cuales servirán de guía para el resto de los países y para la propia comunidad europea, y segundo, en las propias normas reguladoras de cada país, </w:t>
      </w:r>
      <w:r w:rsidRPr="00EB4634">
        <w:rPr>
          <w:rFonts w:eastAsiaTheme="minorHAnsi"/>
          <w:sz w:val="24"/>
          <w:szCs w:val="24"/>
          <w:lang w:eastAsia="en-US"/>
        </w:rPr>
        <w:lastRenderedPageBreak/>
        <w:t>teniendo en cuenta su ámbito de aplicación, ya que pueden ser a nivel nacional, autónomo o regional, por ejemplo.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 modo de presentación, mencionar que las directas principales en las que la unión europea basa la regulación de la CPSR son la Directiva 2014/24/UE del Parlamento Europeo y del Consejo de 26 de febrero de 2014 sobre contratación pública, y la Directiva 2014/25/UE del parlamento europeo y consejo relativo a la contratación por entidades que operan en los sectores del agua, la energía, los transportes y los servicios postales.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Para esclarecer aún más el significado de la CPSR, vamos a mencionar algunos ejemplos, o más bien, algunos de los objetivos que se persiguen con la inclusión de cláusulas sociales con la contratación pública: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
        </w:numPr>
        <w:spacing w:line="360" w:lineRule="auto"/>
        <w:jc w:val="both"/>
        <w:rPr>
          <w:rFonts w:eastAsiaTheme="minorHAnsi"/>
          <w:i/>
          <w:sz w:val="24"/>
          <w:szCs w:val="24"/>
          <w:lang w:eastAsia="en-US"/>
        </w:rPr>
      </w:pPr>
      <w:r w:rsidRPr="00EB4634">
        <w:rPr>
          <w:rFonts w:eastAsiaTheme="minorHAnsi"/>
          <w:i/>
          <w:sz w:val="24"/>
          <w:szCs w:val="24"/>
          <w:lang w:eastAsia="en-US"/>
        </w:rPr>
        <w:t>Promover «oportunidades de empleo», por ejemplo: Promoción de empleo de jóvenes; del equilibrio de género (equilibrio entre la vida laboral y familiar, lucha contra la segregación profesional y sectorial, etc.); de oportunidades de empleo para trabajadores desempleados por períodos prolongados y trabajadores mayores; Políticas sobre diversidad y oportunidades de empleo para personas de grupos con desventajas (por ejemplo, trabajadores itinerantes, minorías étnicas, minorías religiosas, personas con niveles de educación bajos, etc.); Promoción de oportunidades de empleo para personas con discapacidad, inclusive a través de entornos laborales accesibles y de inclusión.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
        </w:numPr>
        <w:spacing w:line="360" w:lineRule="auto"/>
        <w:jc w:val="both"/>
        <w:rPr>
          <w:rFonts w:eastAsiaTheme="minorHAnsi"/>
          <w:i/>
          <w:sz w:val="24"/>
          <w:szCs w:val="24"/>
          <w:lang w:eastAsia="en-US"/>
        </w:rPr>
      </w:pPr>
      <w:r w:rsidRPr="00EB4634">
        <w:rPr>
          <w:rFonts w:eastAsiaTheme="minorHAnsi"/>
          <w:i/>
          <w:sz w:val="24"/>
          <w:szCs w:val="24"/>
          <w:lang w:eastAsia="en-US"/>
        </w:rPr>
        <w:t>Promover el cumplimiento de los «derechos sociales y laborales», tales como: cumplimiento de leyes nacionales y convenios colectivos que cumplan con la legislación de la UE; cumplimiento del principio de igualdad de trato entre hombres y mujeres; cumplimiento de las leyes de salud y seguridad laboral; lucha contra la discriminación por otros motivos (edad, discapacidad, origen racial, religión y creencias, orientación sexual, etc.) y la creación de oportunidades iguales.</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2"/>
        </w:numPr>
        <w:spacing w:line="360" w:lineRule="auto"/>
        <w:jc w:val="both"/>
        <w:rPr>
          <w:rFonts w:eastAsiaTheme="minorHAnsi"/>
          <w:i/>
          <w:sz w:val="24"/>
          <w:szCs w:val="24"/>
          <w:lang w:eastAsia="en-US"/>
        </w:rPr>
      </w:pPr>
      <w:r w:rsidRPr="00EB4634">
        <w:rPr>
          <w:rFonts w:eastAsiaTheme="minorHAnsi"/>
          <w:i/>
          <w:sz w:val="24"/>
          <w:szCs w:val="24"/>
          <w:lang w:eastAsia="en-US"/>
        </w:rPr>
        <w:lastRenderedPageBreak/>
        <w:t>Considerar cuestiones de «comercio ético», tales como: la posibilidad, bajo determinadas circunstancias de tener en cuenta cuestiones de comercio ético en las especificaciones de la licitación y las condiciones de los contratos.</w:t>
      </w:r>
      <w:r w:rsidRPr="00EB4634">
        <w:rPr>
          <w:rFonts w:eastAsiaTheme="minorHAnsi"/>
          <w:i/>
          <w:sz w:val="24"/>
          <w:szCs w:val="24"/>
          <w:vertAlign w:val="superscript"/>
          <w:lang w:eastAsia="en-US"/>
        </w:rPr>
        <w:footnoteReference w:id="5"/>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general, se basa en la creencia de que “</w:t>
      </w:r>
      <w:r w:rsidRPr="00EB4634">
        <w:rPr>
          <w:rFonts w:eastAsiaTheme="minorHAnsi"/>
          <w:i/>
          <w:sz w:val="24"/>
          <w:szCs w:val="24"/>
          <w:lang w:eastAsia="en-US"/>
        </w:rPr>
        <w:t xml:space="preserve">toda persona tiene el derecho a tener empleos productivos en condiciones de libertad, igualdad, seguridad y dignidad humana”. </w:t>
      </w:r>
      <w:r w:rsidRPr="00EB4634">
        <w:rPr>
          <w:rFonts w:eastAsiaTheme="minorHAnsi"/>
          <w:i/>
          <w:sz w:val="24"/>
          <w:szCs w:val="24"/>
          <w:vertAlign w:val="superscript"/>
          <w:lang w:eastAsia="en-US"/>
        </w:rPr>
        <w:footnoteReference w:id="6"/>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base a estas prácticas y objetivos, tanto en Europa como los diferentes países han ido desarrollando diferentes modelos y realidades para la consecución de los mismos, siendo algunos de estos los más destacados: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3"/>
        </w:numPr>
        <w:spacing w:line="360" w:lineRule="auto"/>
        <w:jc w:val="both"/>
        <w:rPr>
          <w:rFonts w:eastAsiaTheme="minorHAnsi"/>
          <w:i/>
          <w:sz w:val="24"/>
          <w:szCs w:val="24"/>
          <w:lang w:eastAsia="en-US"/>
        </w:rPr>
      </w:pPr>
      <w:r w:rsidRPr="00EB4634">
        <w:rPr>
          <w:rFonts w:eastAsiaTheme="minorHAnsi"/>
          <w:i/>
          <w:sz w:val="24"/>
          <w:szCs w:val="24"/>
          <w:lang w:eastAsia="en-US"/>
        </w:rPr>
        <w:t>Francia, en 2003, puso en marcha una «</w:t>
      </w:r>
      <w:proofErr w:type="spellStart"/>
      <w:r w:rsidRPr="00EB4634">
        <w:rPr>
          <w:rFonts w:eastAsiaTheme="minorHAnsi"/>
          <w:i/>
          <w:sz w:val="24"/>
          <w:szCs w:val="24"/>
          <w:lang w:eastAsia="en-US"/>
        </w:rPr>
        <w:t>Stratégie</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nationale</w:t>
      </w:r>
      <w:proofErr w:type="spellEnd"/>
      <w:r w:rsidRPr="00EB4634">
        <w:rPr>
          <w:rFonts w:eastAsiaTheme="minorHAnsi"/>
          <w:i/>
          <w:sz w:val="24"/>
          <w:szCs w:val="24"/>
          <w:lang w:eastAsia="en-US"/>
        </w:rPr>
        <w:t xml:space="preserve"> du </w:t>
      </w:r>
      <w:proofErr w:type="spellStart"/>
      <w:r w:rsidRPr="00EB4634">
        <w:rPr>
          <w:rFonts w:eastAsiaTheme="minorHAnsi"/>
          <w:i/>
          <w:sz w:val="24"/>
          <w:szCs w:val="24"/>
          <w:lang w:eastAsia="en-US"/>
        </w:rPr>
        <w:t>développement</w:t>
      </w:r>
      <w:proofErr w:type="spellEnd"/>
      <w:r w:rsidRPr="00EB4634">
        <w:rPr>
          <w:rFonts w:eastAsiaTheme="minorHAnsi"/>
          <w:i/>
          <w:sz w:val="24"/>
          <w:szCs w:val="24"/>
          <w:lang w:eastAsia="en-US"/>
        </w:rPr>
        <w:t xml:space="preserve"> durable», seguida de un «Plan </w:t>
      </w:r>
      <w:proofErr w:type="spellStart"/>
      <w:r w:rsidRPr="00EB4634">
        <w:rPr>
          <w:rFonts w:eastAsiaTheme="minorHAnsi"/>
          <w:i/>
          <w:sz w:val="24"/>
          <w:szCs w:val="24"/>
          <w:lang w:eastAsia="en-US"/>
        </w:rPr>
        <w:t>national</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d’action</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pour</w:t>
      </w:r>
      <w:proofErr w:type="spellEnd"/>
      <w:r w:rsidRPr="00EB4634">
        <w:rPr>
          <w:rFonts w:eastAsiaTheme="minorHAnsi"/>
          <w:i/>
          <w:sz w:val="24"/>
          <w:szCs w:val="24"/>
          <w:lang w:eastAsia="en-US"/>
        </w:rPr>
        <w:t xml:space="preserve"> des </w:t>
      </w:r>
      <w:proofErr w:type="spellStart"/>
      <w:r w:rsidRPr="00EB4634">
        <w:rPr>
          <w:rFonts w:eastAsiaTheme="minorHAnsi"/>
          <w:i/>
          <w:sz w:val="24"/>
          <w:szCs w:val="24"/>
          <w:lang w:eastAsia="en-US"/>
        </w:rPr>
        <w:t>achats</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publics</w:t>
      </w:r>
      <w:proofErr w:type="spellEnd"/>
      <w:r w:rsidRPr="00EB4634">
        <w:rPr>
          <w:rFonts w:eastAsiaTheme="minorHAnsi"/>
          <w:i/>
          <w:sz w:val="24"/>
          <w:szCs w:val="24"/>
          <w:lang w:eastAsia="en-US"/>
        </w:rPr>
        <w:t xml:space="preserve"> durables» en 2007. El gobierno francés ha participado en consultas importantes con los interlocutores sociales — «</w:t>
      </w:r>
      <w:proofErr w:type="spellStart"/>
      <w:r w:rsidRPr="00EB4634">
        <w:rPr>
          <w:rFonts w:eastAsiaTheme="minorHAnsi"/>
          <w:i/>
          <w:sz w:val="24"/>
          <w:szCs w:val="24"/>
          <w:lang w:eastAsia="en-US"/>
        </w:rPr>
        <w:t>Grenelle</w:t>
      </w:r>
      <w:proofErr w:type="spellEnd"/>
      <w:r w:rsidRPr="00EB4634">
        <w:rPr>
          <w:rFonts w:eastAsiaTheme="minorHAnsi"/>
          <w:i/>
          <w:sz w:val="24"/>
          <w:szCs w:val="24"/>
          <w:lang w:eastAsia="en-US"/>
        </w:rPr>
        <w:t xml:space="preserve"> de </w:t>
      </w:r>
      <w:proofErr w:type="spellStart"/>
      <w:r w:rsidRPr="00EB4634">
        <w:rPr>
          <w:rFonts w:eastAsiaTheme="minorHAnsi"/>
          <w:i/>
          <w:sz w:val="24"/>
          <w:szCs w:val="24"/>
          <w:lang w:eastAsia="en-US"/>
        </w:rPr>
        <w:t>l’environnement</w:t>
      </w:r>
      <w:proofErr w:type="spellEnd"/>
      <w:r w:rsidRPr="00EB4634">
        <w:rPr>
          <w:rFonts w:eastAsiaTheme="minorHAnsi"/>
          <w:i/>
          <w:sz w:val="24"/>
          <w:szCs w:val="24"/>
          <w:lang w:eastAsia="en-US"/>
        </w:rPr>
        <w:t xml:space="preserve"> » y «</w:t>
      </w:r>
      <w:proofErr w:type="spellStart"/>
      <w:r w:rsidRPr="00EB4634">
        <w:rPr>
          <w:rFonts w:eastAsiaTheme="minorHAnsi"/>
          <w:i/>
          <w:sz w:val="24"/>
          <w:szCs w:val="24"/>
          <w:lang w:eastAsia="en-US"/>
        </w:rPr>
        <w:t>Grenelle</w:t>
      </w:r>
      <w:proofErr w:type="spellEnd"/>
      <w:r w:rsidRPr="00EB4634">
        <w:rPr>
          <w:rFonts w:eastAsiaTheme="minorHAnsi"/>
          <w:i/>
          <w:sz w:val="24"/>
          <w:szCs w:val="24"/>
          <w:lang w:eastAsia="en-US"/>
        </w:rPr>
        <w:t xml:space="preserve"> de </w:t>
      </w:r>
      <w:proofErr w:type="spellStart"/>
      <w:r w:rsidRPr="00EB4634">
        <w:rPr>
          <w:rFonts w:eastAsiaTheme="minorHAnsi"/>
          <w:i/>
          <w:sz w:val="24"/>
          <w:szCs w:val="24"/>
          <w:lang w:eastAsia="en-US"/>
        </w:rPr>
        <w:t>l’insertion</w:t>
      </w:r>
      <w:proofErr w:type="spellEnd"/>
      <w:r w:rsidRPr="00EB4634">
        <w:rPr>
          <w:rFonts w:eastAsiaTheme="minorHAnsi"/>
          <w:i/>
          <w:sz w:val="24"/>
          <w:szCs w:val="24"/>
          <w:lang w:eastAsia="en-US"/>
        </w:rPr>
        <w:t>» – que cubren diferentes medidas que afectan la integración social, incluidas las contrataciones públicas. El objetivo es establecer la idea central del «</w:t>
      </w:r>
      <w:proofErr w:type="spellStart"/>
      <w:r w:rsidRPr="00EB4634">
        <w:rPr>
          <w:rFonts w:eastAsiaTheme="minorHAnsi"/>
          <w:i/>
          <w:sz w:val="24"/>
          <w:szCs w:val="24"/>
          <w:lang w:eastAsia="en-US"/>
        </w:rPr>
        <w:t>État</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exemplaire</w:t>
      </w:r>
      <w:proofErr w:type="spellEnd"/>
      <w:r w:rsidRPr="00EB4634">
        <w:rPr>
          <w:rFonts w:eastAsiaTheme="minorHAnsi"/>
          <w:i/>
          <w:sz w:val="24"/>
          <w:szCs w:val="24"/>
          <w:lang w:eastAsia="en-US"/>
        </w:rPr>
        <w:t>», es decir, se espera que el Estado y, en forma más general, todas las entidades públicas, muestren el camino a seguir hacia el desarrollo sostenible.</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3"/>
        </w:numPr>
        <w:spacing w:line="360" w:lineRule="auto"/>
        <w:jc w:val="both"/>
        <w:rPr>
          <w:rFonts w:eastAsiaTheme="minorHAnsi"/>
          <w:i/>
          <w:sz w:val="24"/>
          <w:szCs w:val="24"/>
          <w:lang w:eastAsia="en-US"/>
        </w:rPr>
      </w:pPr>
      <w:r w:rsidRPr="00EB4634">
        <w:rPr>
          <w:rFonts w:eastAsiaTheme="minorHAnsi"/>
          <w:i/>
          <w:sz w:val="24"/>
          <w:szCs w:val="24"/>
          <w:lang w:eastAsia="en-US"/>
        </w:rPr>
        <w:t>Reino Unido: La Obligación de igualdad de género que se aplicó sobre las autoridades públicas entró en vigencia en abril de 2007 en virtud de la Ley de Igualdad (2006). Se trata de una nueva herramienta legal con el potencial de ofrecer importantes avances en cuanto a igualdad de género en el sector público, con cierto impacto también en el sector privado a través de las contrataciones.</w:t>
      </w:r>
    </w:p>
    <w:p w:rsidR="00EB4634" w:rsidRPr="00EB4634" w:rsidRDefault="00EB4634" w:rsidP="00EB4634">
      <w:pPr>
        <w:pStyle w:val="Sinespaciado"/>
        <w:spacing w:line="360" w:lineRule="auto"/>
        <w:jc w:val="both"/>
        <w:rPr>
          <w:rFonts w:eastAsiaTheme="minorHAnsi"/>
          <w:i/>
          <w:sz w:val="24"/>
          <w:szCs w:val="24"/>
          <w:lang w:eastAsia="en-US"/>
        </w:rPr>
      </w:pPr>
    </w:p>
    <w:p w:rsidR="00EB4634" w:rsidRDefault="00EB4634" w:rsidP="008377CE">
      <w:pPr>
        <w:pStyle w:val="Sinespaciado"/>
        <w:numPr>
          <w:ilvl w:val="0"/>
          <w:numId w:val="3"/>
        </w:numPr>
        <w:spacing w:line="360" w:lineRule="auto"/>
        <w:jc w:val="both"/>
        <w:rPr>
          <w:rFonts w:eastAsiaTheme="minorHAnsi"/>
          <w:i/>
          <w:sz w:val="24"/>
          <w:szCs w:val="24"/>
          <w:lang w:eastAsia="en-US"/>
        </w:rPr>
      </w:pPr>
      <w:r w:rsidRPr="00EB4634">
        <w:rPr>
          <w:rFonts w:eastAsiaTheme="minorHAnsi"/>
          <w:i/>
          <w:sz w:val="24"/>
          <w:szCs w:val="24"/>
          <w:lang w:eastAsia="en-US"/>
        </w:rPr>
        <w:t xml:space="preserve">Dinamarca: Las CPSR es uno de los temas que trata el análisis de mercado que lleva a cabo </w:t>
      </w:r>
      <w:proofErr w:type="spellStart"/>
      <w:r w:rsidRPr="00EB4634">
        <w:rPr>
          <w:rFonts w:eastAsiaTheme="minorHAnsi"/>
          <w:i/>
          <w:sz w:val="24"/>
          <w:szCs w:val="24"/>
          <w:lang w:eastAsia="en-US"/>
        </w:rPr>
        <w:t>National</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Procurement</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Ltd</w:t>
      </w:r>
      <w:proofErr w:type="spellEnd"/>
      <w:r w:rsidRPr="00EB4634">
        <w:rPr>
          <w:rFonts w:eastAsiaTheme="minorHAnsi"/>
          <w:i/>
          <w:sz w:val="24"/>
          <w:szCs w:val="24"/>
          <w:lang w:eastAsia="en-US"/>
        </w:rPr>
        <w:t xml:space="preserve"> antes de cada convocatoria de licitación. La organización dirige programas de formación y talleres para todos los proveedores. Intenta simplificar los pliegos de condiciones lo máximo posible de modo que las pymes también cuenten con los recursos para presentar una oferta. Los contratos </w:t>
      </w:r>
      <w:r w:rsidRPr="00EB4634">
        <w:rPr>
          <w:rFonts w:eastAsiaTheme="minorHAnsi"/>
          <w:i/>
          <w:sz w:val="24"/>
          <w:szCs w:val="24"/>
          <w:lang w:eastAsia="en-US"/>
        </w:rPr>
        <w:lastRenderedPageBreak/>
        <w:t xml:space="preserve">marco generalmente se dividen en varios lotes (por ejemplo, según la distribución geográfica), sin sobrepasar los umbrales estipulados por las Directivas de contratación, a fin de brindar a los proveedores la posibilidad de presentar una oferta. </w:t>
      </w:r>
      <w:r w:rsidRPr="00EB4634">
        <w:rPr>
          <w:rFonts w:eastAsiaTheme="minorHAnsi"/>
          <w:i/>
          <w:sz w:val="24"/>
          <w:szCs w:val="24"/>
          <w:vertAlign w:val="superscript"/>
          <w:lang w:eastAsia="en-US"/>
        </w:rPr>
        <w:footnoteReference w:id="7"/>
      </w:r>
    </w:p>
    <w:p w:rsidR="008636FB" w:rsidRDefault="008636FB" w:rsidP="008636FB">
      <w:pPr>
        <w:pStyle w:val="Sinespaciado"/>
        <w:spacing w:line="360" w:lineRule="auto"/>
        <w:jc w:val="both"/>
        <w:rPr>
          <w:rFonts w:eastAsiaTheme="minorHAnsi"/>
          <w:sz w:val="24"/>
          <w:szCs w:val="24"/>
          <w:lang w:eastAsia="en-US"/>
        </w:rPr>
      </w:pPr>
    </w:p>
    <w:p w:rsidR="008636FB" w:rsidRPr="008636FB" w:rsidRDefault="008636FB" w:rsidP="008636FB">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b/>
          <w:sz w:val="24"/>
          <w:szCs w:val="24"/>
          <w:u w:val="single"/>
          <w:lang w:eastAsia="en-US"/>
        </w:rPr>
      </w:pPr>
      <w:r w:rsidRPr="008636FB">
        <w:rPr>
          <w:rFonts w:eastAsiaTheme="minorHAnsi"/>
          <w:b/>
          <w:sz w:val="24"/>
          <w:szCs w:val="24"/>
          <w:u w:val="single"/>
          <w:lang w:eastAsia="en-US"/>
        </w:rPr>
        <w:t>4. REGIMEN JURICO EUROPEO</w:t>
      </w:r>
    </w:p>
    <w:p w:rsidR="00EB4634" w:rsidRDefault="00EB4634" w:rsidP="00EB4634">
      <w:pPr>
        <w:pStyle w:val="Sinespaciado"/>
        <w:spacing w:line="360" w:lineRule="auto"/>
        <w:jc w:val="both"/>
        <w:rPr>
          <w:rFonts w:eastAsiaTheme="minorHAnsi"/>
          <w:sz w:val="24"/>
          <w:szCs w:val="24"/>
          <w:lang w:eastAsia="en-US"/>
        </w:rPr>
      </w:pPr>
    </w:p>
    <w:p w:rsidR="008636FB" w:rsidRPr="00EB4634" w:rsidRDefault="008636FB"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i/>
          <w:sz w:val="24"/>
          <w:szCs w:val="24"/>
          <w:u w:val="single"/>
          <w:lang w:eastAsia="en-US"/>
        </w:rPr>
      </w:pPr>
      <w:r w:rsidRPr="008636FB">
        <w:rPr>
          <w:rFonts w:eastAsiaTheme="minorHAnsi"/>
          <w:i/>
          <w:sz w:val="24"/>
          <w:szCs w:val="24"/>
          <w:u w:val="single"/>
          <w:lang w:eastAsia="en-US"/>
        </w:rPr>
        <w:t xml:space="preserve">4.1. EVOLUCION HISTORICA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El proceso histórico para la</w:t>
      </w:r>
      <w:r w:rsidR="003145A5">
        <w:rPr>
          <w:rFonts w:eastAsiaTheme="minorHAnsi"/>
          <w:sz w:val="24"/>
          <w:szCs w:val="24"/>
          <w:lang w:eastAsia="en-US"/>
        </w:rPr>
        <w:t xml:space="preserve"> inclusión de cláusulas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tal y como se conocen hoy en día ha sido largo y complejo. Es cierto que en torno al 1970 ya se empiezan a vislumbrar las primeras directivas y referencias normativas, por parte de la Unión Europea en torno a la contratación pública, como por ejemplo la </w:t>
      </w:r>
      <w:r w:rsidRPr="00EB4634">
        <w:rPr>
          <w:rFonts w:eastAsiaTheme="minorHAnsi"/>
          <w:i/>
          <w:sz w:val="24"/>
          <w:szCs w:val="24"/>
          <w:lang w:eastAsia="en-US"/>
        </w:rPr>
        <w:t>Directiva 71/304/CEE del Consejo, relativa a la supresión de las restricciones a la libre prestación de servicios en el sector de los contratos administrativos de obras y a la adjudicación de contratos administrativos de obras por medio de agencias o sucursales, la Directiva 71/305/CEE del Consejo, sobre coordinación de los procedimientos de adjudicación de los contratos públicos de obras, y la Decisión del Consejo, de 26 de julio de 1971, de creación de un Comité consultivo para los contratos públicos de obras.</w:t>
      </w:r>
      <w:r w:rsidRPr="00EB4634">
        <w:rPr>
          <w:rFonts w:eastAsiaTheme="minorHAnsi"/>
          <w:i/>
          <w:sz w:val="24"/>
          <w:szCs w:val="24"/>
          <w:vertAlign w:val="superscript"/>
          <w:lang w:eastAsia="en-US"/>
        </w:rPr>
        <w:footnoteReference w:id="8"/>
      </w:r>
      <w:r w:rsidRPr="00EB4634">
        <w:rPr>
          <w:rFonts w:eastAsiaTheme="minorHAnsi"/>
          <w:sz w:val="24"/>
          <w:szCs w:val="24"/>
          <w:lang w:eastAsia="en-US"/>
        </w:rPr>
        <w:t xml:space="preserve"> Pero estas directivas, además de las consecutivas, realmente carecen de toda referencia legislativa, organizativa o mínimamente informativa sobre las clausulas sociales.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este sentido, una de las primeras menciones por parte de la Unión Europea a este tipo de cláusulas se hace en 1996, con la aprobación del “</w:t>
      </w:r>
      <w:r w:rsidRPr="00EB4634">
        <w:rPr>
          <w:rFonts w:eastAsiaTheme="minorHAnsi"/>
          <w:i/>
          <w:sz w:val="24"/>
          <w:szCs w:val="24"/>
          <w:lang w:eastAsia="en-US"/>
        </w:rPr>
        <w:t>Libro Verde: La contratación pública en la Unión Europea: Reflexiones para el futuro.”</w:t>
      </w:r>
      <w:r w:rsidRPr="00EB4634">
        <w:rPr>
          <w:rFonts w:eastAsiaTheme="minorHAnsi"/>
          <w:i/>
          <w:sz w:val="24"/>
          <w:szCs w:val="24"/>
          <w:vertAlign w:val="superscript"/>
          <w:lang w:eastAsia="en-US"/>
        </w:rPr>
        <w:footnoteReference w:id="9"/>
      </w:r>
      <w:r w:rsidRPr="00EB4634">
        <w:rPr>
          <w:rFonts w:eastAsiaTheme="minorHAnsi"/>
          <w:sz w:val="24"/>
          <w:szCs w:val="24"/>
          <w:lang w:eastAsia="en-US"/>
        </w:rPr>
        <w:t xml:space="preserve"> Este documento, fue iniciativa de Mario Monti, el cual ostentaba el cargo de comisario de Mercado Interior. En él, en el resumen se expresa literalmente que uno de los temas a tratar eran las </w:t>
      </w:r>
      <w:r w:rsidRPr="00EB4634">
        <w:rPr>
          <w:rFonts w:eastAsiaTheme="minorHAnsi"/>
          <w:i/>
          <w:sz w:val="24"/>
          <w:szCs w:val="24"/>
          <w:lang w:eastAsia="en-US"/>
        </w:rPr>
        <w:t xml:space="preserve">“formas de conjugar la política de </w:t>
      </w:r>
      <w:r w:rsidRPr="00EB4634">
        <w:rPr>
          <w:rFonts w:eastAsiaTheme="minorHAnsi"/>
          <w:i/>
          <w:sz w:val="24"/>
          <w:szCs w:val="24"/>
          <w:lang w:eastAsia="en-US"/>
        </w:rPr>
        <w:lastRenderedPageBreak/>
        <w:t>contratación pública con las otras políticas comunitarias; en particular: pequeña y mediana empresa (PYME), […], aspectos sociales, medio ambiente, defensa […].”</w:t>
      </w:r>
      <w:r w:rsidRPr="00EB4634">
        <w:rPr>
          <w:rFonts w:eastAsiaTheme="minorHAnsi"/>
          <w:i/>
          <w:sz w:val="24"/>
          <w:szCs w:val="24"/>
          <w:vertAlign w:val="superscript"/>
          <w:lang w:eastAsia="en-US"/>
        </w:rPr>
        <w:footnoteReference w:id="10"/>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Posteriormente, en 1998, la Comisión hizo otra comunicación, llamada, </w:t>
      </w:r>
      <w:r w:rsidRPr="00EB4634">
        <w:rPr>
          <w:rFonts w:eastAsiaTheme="minorHAnsi"/>
          <w:i/>
          <w:sz w:val="24"/>
          <w:szCs w:val="24"/>
          <w:lang w:eastAsia="en-US"/>
        </w:rPr>
        <w:t>“La contratación pública en la Unión Europea”</w:t>
      </w:r>
      <w:r w:rsidRPr="00EB4634">
        <w:rPr>
          <w:rFonts w:eastAsiaTheme="minorHAnsi"/>
          <w:sz w:val="24"/>
          <w:szCs w:val="24"/>
          <w:vertAlign w:val="superscript"/>
          <w:lang w:eastAsia="en-US"/>
        </w:rPr>
        <w:footnoteReference w:id="11"/>
      </w:r>
      <w:r w:rsidRPr="00EB4634">
        <w:rPr>
          <w:rFonts w:eastAsiaTheme="minorHAnsi"/>
          <w:sz w:val="24"/>
          <w:szCs w:val="24"/>
          <w:lang w:eastAsia="en-US"/>
        </w:rPr>
        <w:t xml:space="preserve">. En esta comunicación, la breve referencia a las clausulas sociales se encuentra en el apartado </w:t>
      </w:r>
      <w:r w:rsidRPr="00EB4634">
        <w:rPr>
          <w:rFonts w:eastAsiaTheme="minorHAnsi"/>
          <w:i/>
          <w:sz w:val="24"/>
          <w:szCs w:val="24"/>
          <w:lang w:eastAsia="en-US"/>
        </w:rPr>
        <w:t>“Alcanzar y consolidar un efecto de sinergia con otras políticas comunitarias”</w:t>
      </w:r>
      <w:r w:rsidRPr="00EB4634">
        <w:rPr>
          <w:rFonts w:eastAsiaTheme="minorHAnsi"/>
          <w:sz w:val="24"/>
          <w:szCs w:val="24"/>
          <w:lang w:eastAsia="en-US"/>
        </w:rPr>
        <w:t xml:space="preserve">. Aunque este comunicación tenía la intención de resolver ciertas controversias que surgieron a raíz de la de 1996, no consiguió su objetivo, ya que básicamente, por un lado, se reiteró en la posibilidad de favorecer ciertas categorías desfavorecidas con su inclusión en las condiciones de ejecución, y por otro lado, en su apartado </w:t>
      </w:r>
      <w:r w:rsidRPr="00EB4634">
        <w:rPr>
          <w:rFonts w:eastAsiaTheme="minorHAnsi"/>
          <w:i/>
          <w:sz w:val="24"/>
          <w:szCs w:val="24"/>
          <w:lang w:eastAsia="en-US"/>
        </w:rPr>
        <w:t>“contratación pública y aspectos sociales”</w:t>
      </w:r>
      <w:r w:rsidRPr="00EB4634">
        <w:rPr>
          <w:rFonts w:eastAsiaTheme="minorHAnsi"/>
          <w:sz w:val="24"/>
          <w:szCs w:val="24"/>
          <w:lang w:eastAsia="en-US"/>
        </w:rPr>
        <w:t>, afirma la “</w:t>
      </w:r>
      <w:r w:rsidRPr="00EB4634">
        <w:rPr>
          <w:rFonts w:eastAsiaTheme="minorHAnsi"/>
          <w:i/>
          <w:sz w:val="24"/>
          <w:szCs w:val="24"/>
          <w:lang w:eastAsia="en-US"/>
        </w:rPr>
        <w:t>posibilidad de excluir a los candidatos que violan la legislación en materia social, incluyendo las relacionadas con la promoción de la igualdad de oportunidades.”</w:t>
      </w:r>
      <w:r w:rsidRPr="00EB4634">
        <w:rPr>
          <w:rFonts w:eastAsiaTheme="minorHAnsi"/>
          <w:i/>
          <w:sz w:val="24"/>
          <w:szCs w:val="24"/>
          <w:vertAlign w:val="superscript"/>
          <w:lang w:eastAsia="en-US"/>
        </w:rPr>
        <w:footnoteReference w:id="12"/>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 su vez, creo que es importante destacar que esta comunicación también hace una clara referencia, en diferentes apartados, al respeto del medioambiente, dando la posibilidad de incluir “</w:t>
      </w:r>
      <w:r w:rsidRPr="00EB4634">
        <w:rPr>
          <w:rFonts w:eastAsiaTheme="minorHAnsi"/>
          <w:i/>
          <w:sz w:val="24"/>
          <w:szCs w:val="24"/>
          <w:lang w:eastAsia="en-US"/>
        </w:rPr>
        <w:t>prescripciones técnicas relativas a las características de las obras, de los suministros o de los servicios objeto del contrato, que tengan en cuenta la protección de los valores medioambientales”,</w:t>
      </w:r>
      <w:r w:rsidRPr="00EB4634">
        <w:rPr>
          <w:rFonts w:eastAsiaTheme="minorHAnsi"/>
          <w:sz w:val="24"/>
          <w:szCs w:val="24"/>
          <w:lang w:eastAsia="en-US"/>
        </w:rPr>
        <w:t xml:space="preserve"> o “</w:t>
      </w:r>
      <w:r w:rsidRPr="00EB4634">
        <w:rPr>
          <w:rFonts w:eastAsiaTheme="minorHAnsi"/>
          <w:i/>
          <w:sz w:val="24"/>
          <w:szCs w:val="24"/>
          <w:lang w:eastAsia="en-US"/>
        </w:rPr>
        <w:t>incorporar el objetivo de la protección del medioambiente a los criterios de selección de candidatos”.</w:t>
      </w:r>
      <w:r w:rsidRPr="00EB4634">
        <w:rPr>
          <w:rFonts w:eastAsiaTheme="minorHAnsi"/>
          <w:i/>
          <w:sz w:val="24"/>
          <w:szCs w:val="24"/>
          <w:vertAlign w:val="superscript"/>
          <w:lang w:eastAsia="en-US"/>
        </w:rPr>
        <w:footnoteReference w:id="13"/>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Finalmente, si se puede decir que se produjo un desarrollo normativo más amplio sobre el tema en 2001, con la </w:t>
      </w:r>
      <w:r w:rsidRPr="00EB4634">
        <w:rPr>
          <w:rFonts w:eastAsiaTheme="minorHAnsi"/>
          <w:i/>
          <w:sz w:val="24"/>
          <w:szCs w:val="24"/>
          <w:lang w:eastAsia="en-US"/>
        </w:rPr>
        <w:t>“Comunicación interpretativa de la Comisión sobre la legislación comunitaria de contratos públicos y las posibilidades de integrar aspectos sociales en dichos contratos”.</w:t>
      </w:r>
      <w:r w:rsidRPr="00EB4634">
        <w:rPr>
          <w:rFonts w:eastAsiaTheme="minorHAnsi"/>
          <w:i/>
          <w:sz w:val="24"/>
          <w:szCs w:val="24"/>
          <w:vertAlign w:val="superscript"/>
          <w:lang w:eastAsia="en-US"/>
        </w:rPr>
        <w:footnoteReference w:id="14"/>
      </w:r>
      <w:r w:rsidRPr="00EB4634">
        <w:rPr>
          <w:rFonts w:eastAsiaTheme="minorHAnsi"/>
          <w:i/>
          <w:sz w:val="24"/>
          <w:szCs w:val="24"/>
          <w:lang w:eastAsia="en-US"/>
        </w:rPr>
        <w:t xml:space="preserve"> </w:t>
      </w:r>
      <w:r w:rsidRPr="00EB4634">
        <w:rPr>
          <w:rFonts w:eastAsiaTheme="minorHAnsi"/>
          <w:sz w:val="24"/>
          <w:szCs w:val="24"/>
          <w:lang w:eastAsia="en-US"/>
        </w:rPr>
        <w:t>Esta comunicación, tal y como se anuncia en su resumen, “</w:t>
      </w:r>
      <w:r w:rsidRPr="00EB4634">
        <w:rPr>
          <w:rFonts w:eastAsiaTheme="minorHAnsi"/>
          <w:i/>
          <w:sz w:val="24"/>
          <w:szCs w:val="24"/>
          <w:lang w:eastAsia="en-US"/>
        </w:rPr>
        <w:t>pretende clarificar el abanico de posibilidades que ofrece el marco jurídico comunitario vigente para integrar aspectos sociales en los contratos públicos”.</w:t>
      </w:r>
      <w:r w:rsidRPr="00EB4634">
        <w:rPr>
          <w:rFonts w:eastAsiaTheme="minorHAnsi"/>
          <w:sz w:val="24"/>
          <w:szCs w:val="24"/>
          <w:lang w:eastAsia="en-US"/>
        </w:rPr>
        <w:t xml:space="preserve"> El desarrollo de la comunicación va haciendo </w:t>
      </w:r>
      <w:r w:rsidRPr="00EB4634">
        <w:rPr>
          <w:rFonts w:eastAsiaTheme="minorHAnsi"/>
          <w:sz w:val="24"/>
          <w:szCs w:val="24"/>
          <w:lang w:eastAsia="en-US"/>
        </w:rPr>
        <w:lastRenderedPageBreak/>
        <w:t xml:space="preserve">hincapié en cada uno de los momentos posibles para introducir clausulas sociales en el contrato, es decir, en el objeto del contrato, en la adjudicación del mismo, en las especificaciones técnicas o en la elección de los licitadores, entre otros más momentos posibles.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Así, también debemos destacar una idea principal que rodea constantemente al desarrollo de la comunicación,  este bajo ningún concepto se pretende, que debido a la inclusión de determinadas clausulas sociales se elimine la libre competencia, dejando fuera por ejemplo, a licitadores extranjeros. Esta idea además, como veremos posteriormente, es igual de recurrente en la jurisprudencia del Tribunal de Justicia Europeo, el cual casi siempre pide claridad y transparencia en los diferentes criterios de adjudicación, en base a no limitar las posibilidades de licitación de los diferentes candidatos.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ultimo respecto a este apartado, debemos resaltar la Directiva 2004/17/CE, sobre la coordinación de los procedimientos de adjudicación de contratos en los sectores del agua, de la energía, de los transportes y de los servicios postales, la cual tiene su fundamento en los llamados “</w:t>
      </w:r>
      <w:r w:rsidRPr="00EB4634">
        <w:rPr>
          <w:rFonts w:eastAsiaTheme="minorHAnsi"/>
          <w:i/>
          <w:sz w:val="24"/>
          <w:szCs w:val="24"/>
          <w:lang w:eastAsia="en-US"/>
        </w:rPr>
        <w:t>sectores excluidos</w:t>
      </w:r>
      <w:r w:rsidRPr="00EB4634">
        <w:rPr>
          <w:rFonts w:eastAsiaTheme="minorHAnsi"/>
          <w:sz w:val="24"/>
          <w:szCs w:val="24"/>
          <w:lang w:eastAsia="en-US"/>
        </w:rPr>
        <w:t>”</w:t>
      </w:r>
      <w:r w:rsidRPr="00EB4634">
        <w:rPr>
          <w:rFonts w:eastAsiaTheme="minorHAnsi"/>
          <w:sz w:val="24"/>
          <w:szCs w:val="24"/>
          <w:vertAlign w:val="superscript"/>
          <w:lang w:eastAsia="en-US"/>
        </w:rPr>
        <w:footnoteReference w:id="15"/>
      </w:r>
      <w:r w:rsidRPr="00EB4634">
        <w:rPr>
          <w:rFonts w:eastAsiaTheme="minorHAnsi"/>
          <w:sz w:val="24"/>
          <w:szCs w:val="24"/>
          <w:lang w:eastAsia="en-US"/>
        </w:rPr>
        <w:t>; y la Directiva 2004/18/CE, sobre coordinación de los procedimientos de adjudicación de los contratos públicos de obras, de suministro y de servicios</w:t>
      </w:r>
      <w:r w:rsidRPr="00EB4634">
        <w:rPr>
          <w:rFonts w:eastAsiaTheme="minorHAnsi"/>
          <w:i/>
          <w:sz w:val="24"/>
          <w:szCs w:val="24"/>
          <w:lang w:eastAsia="en-US"/>
        </w:rPr>
        <w:t>,</w:t>
      </w:r>
      <w:r w:rsidRPr="00EB4634">
        <w:rPr>
          <w:rFonts w:eastAsiaTheme="minorHAnsi"/>
          <w:sz w:val="24"/>
          <w:szCs w:val="24"/>
          <w:lang w:eastAsia="en-US"/>
        </w:rPr>
        <w:t xml:space="preserve"> cuyo desarrollo tiene un tenor </w:t>
      </w:r>
      <w:r w:rsidR="008636FB" w:rsidRPr="00EB4634">
        <w:rPr>
          <w:rFonts w:eastAsiaTheme="minorHAnsi"/>
          <w:sz w:val="24"/>
          <w:szCs w:val="24"/>
          <w:lang w:eastAsia="en-US"/>
        </w:rPr>
        <w:t>más</w:t>
      </w:r>
      <w:r w:rsidRPr="00EB4634">
        <w:rPr>
          <w:rFonts w:eastAsiaTheme="minorHAnsi"/>
          <w:sz w:val="24"/>
          <w:szCs w:val="24"/>
          <w:lang w:eastAsia="en-US"/>
        </w:rPr>
        <w:t xml:space="preserve"> general de la contratación pública.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Estas directivas no serán extensamente estudiadas debido a que, en el siguiente apartado, si analizaremos con más detenimiento sus  posteriores reformas y las que actualmente están vigentes. Aun así, si sería positivo mencionar, al menos, los 3 características fundamentales de la Directiva 2004/18, ya que considero que al ser más general abarca más materia trascendental</w:t>
      </w:r>
      <w:r w:rsidR="003145A5">
        <w:rPr>
          <w:rFonts w:eastAsiaTheme="minorHAnsi"/>
          <w:sz w:val="24"/>
          <w:szCs w:val="24"/>
          <w:lang w:eastAsia="en-US"/>
        </w:rPr>
        <w:t xml:space="preserve"> en torno a las clausulas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Estas características serian: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4"/>
        </w:numPr>
        <w:spacing w:line="360" w:lineRule="auto"/>
        <w:jc w:val="both"/>
        <w:rPr>
          <w:rFonts w:eastAsiaTheme="minorHAnsi"/>
          <w:sz w:val="24"/>
          <w:szCs w:val="24"/>
          <w:lang w:eastAsia="en-US"/>
        </w:rPr>
      </w:pPr>
      <w:r w:rsidRPr="00EB4634">
        <w:rPr>
          <w:rFonts w:eastAsiaTheme="minorHAnsi"/>
          <w:i/>
          <w:sz w:val="24"/>
          <w:szCs w:val="24"/>
          <w:lang w:eastAsia="en-US"/>
        </w:rPr>
        <w:t xml:space="preserve">“El establecimiento del objeto mismo del contrato con una finalidad </w:t>
      </w:r>
      <w:proofErr w:type="spellStart"/>
      <w:r w:rsidRPr="00EB4634">
        <w:rPr>
          <w:rFonts w:eastAsiaTheme="minorHAnsi"/>
          <w:i/>
          <w:sz w:val="24"/>
          <w:szCs w:val="24"/>
          <w:lang w:eastAsia="en-US"/>
        </w:rPr>
        <w:t>sociolaboral</w:t>
      </w:r>
      <w:proofErr w:type="spellEnd"/>
      <w:r w:rsidRPr="00EB4634">
        <w:rPr>
          <w:rFonts w:eastAsiaTheme="minorHAnsi"/>
          <w:i/>
          <w:sz w:val="24"/>
          <w:szCs w:val="24"/>
          <w:lang w:eastAsia="en-US"/>
        </w:rPr>
        <w:t>”</w:t>
      </w:r>
      <w:r w:rsidRPr="00EB4634">
        <w:rPr>
          <w:rFonts w:eastAsiaTheme="minorHAnsi"/>
          <w:sz w:val="24"/>
          <w:szCs w:val="24"/>
          <w:lang w:eastAsia="en-US"/>
        </w:rPr>
        <w:t>, es decir, que desde el inicio de la licitación pública se da la posibilidad de i</w:t>
      </w:r>
      <w:r w:rsidR="003145A5">
        <w:rPr>
          <w:rFonts w:eastAsiaTheme="minorHAnsi"/>
          <w:sz w:val="24"/>
          <w:szCs w:val="24"/>
          <w:lang w:eastAsia="en-US"/>
        </w:rPr>
        <w:t xml:space="preserve">ncluir cláusulas del tipo </w:t>
      </w:r>
      <w:proofErr w:type="spellStart"/>
      <w:r w:rsidR="003145A5">
        <w:rPr>
          <w:rFonts w:eastAsiaTheme="minorHAnsi"/>
          <w:sz w:val="24"/>
          <w:szCs w:val="24"/>
          <w:lang w:eastAsia="en-US"/>
        </w:rPr>
        <w:t>socio</w:t>
      </w:r>
      <w:r w:rsidRPr="00EB4634">
        <w:rPr>
          <w:rFonts w:eastAsiaTheme="minorHAnsi"/>
          <w:sz w:val="24"/>
          <w:szCs w:val="24"/>
          <w:lang w:eastAsia="en-US"/>
        </w:rPr>
        <w:t>laborales</w:t>
      </w:r>
      <w:proofErr w:type="spellEnd"/>
      <w:r w:rsidRPr="00EB4634">
        <w:rPr>
          <w:rFonts w:eastAsiaTheme="minorHAnsi"/>
          <w:sz w:val="24"/>
          <w:szCs w:val="24"/>
          <w:lang w:eastAsia="en-US"/>
        </w:rPr>
        <w:t xml:space="preserve">, pudiendo establecerse estas en el mismo objeto del contrato.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4"/>
        </w:numPr>
        <w:spacing w:line="360" w:lineRule="auto"/>
        <w:jc w:val="both"/>
        <w:rPr>
          <w:rFonts w:eastAsiaTheme="minorHAnsi"/>
          <w:sz w:val="24"/>
          <w:szCs w:val="24"/>
          <w:lang w:eastAsia="en-US"/>
        </w:rPr>
      </w:pPr>
      <w:r w:rsidRPr="00EB4634">
        <w:rPr>
          <w:rFonts w:eastAsiaTheme="minorHAnsi"/>
          <w:i/>
          <w:sz w:val="24"/>
          <w:szCs w:val="24"/>
          <w:lang w:eastAsia="en-US"/>
        </w:rPr>
        <w:lastRenderedPageBreak/>
        <w:t>“La utilización de estándares laborales como criterio de selección”</w:t>
      </w:r>
      <w:r w:rsidRPr="00EB4634">
        <w:rPr>
          <w:rFonts w:eastAsiaTheme="minorHAnsi"/>
          <w:sz w:val="24"/>
          <w:szCs w:val="24"/>
          <w:lang w:eastAsia="en-US"/>
        </w:rPr>
        <w:t>; hace referencia a la posible inclusión de criterios de adjudicación o de solvencia técnica.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4"/>
        </w:numPr>
        <w:spacing w:line="360" w:lineRule="auto"/>
        <w:jc w:val="both"/>
        <w:rPr>
          <w:rFonts w:eastAsiaTheme="minorHAnsi"/>
          <w:sz w:val="24"/>
          <w:szCs w:val="24"/>
          <w:lang w:eastAsia="en-US"/>
        </w:rPr>
      </w:pPr>
      <w:r w:rsidRPr="00EB4634">
        <w:rPr>
          <w:rFonts w:eastAsiaTheme="minorHAnsi"/>
          <w:sz w:val="24"/>
          <w:szCs w:val="24"/>
          <w:lang w:eastAsia="en-US"/>
        </w:rPr>
        <w:t>“</w:t>
      </w:r>
      <w:r w:rsidRPr="00EB4634">
        <w:rPr>
          <w:rFonts w:eastAsiaTheme="minorHAnsi"/>
          <w:i/>
          <w:sz w:val="24"/>
          <w:szCs w:val="24"/>
          <w:lang w:eastAsia="en-US"/>
        </w:rPr>
        <w:t>El empleo de indicadores laborales para la selección o la exclusión de candidatos”</w:t>
      </w:r>
      <w:r w:rsidRPr="00EB4634">
        <w:rPr>
          <w:rFonts w:eastAsiaTheme="minorHAnsi"/>
          <w:sz w:val="24"/>
          <w:szCs w:val="24"/>
          <w:lang w:eastAsia="en-US"/>
        </w:rPr>
        <w:t>;</w:t>
      </w:r>
      <w:r w:rsidRPr="00EB4634">
        <w:rPr>
          <w:rFonts w:eastAsiaTheme="minorHAnsi"/>
          <w:sz w:val="24"/>
          <w:szCs w:val="24"/>
          <w:vertAlign w:val="superscript"/>
          <w:lang w:eastAsia="en-US"/>
        </w:rPr>
        <w:footnoteReference w:id="16"/>
      </w:r>
      <w:r w:rsidRPr="00EB4634">
        <w:rPr>
          <w:rFonts w:eastAsiaTheme="minorHAnsi"/>
          <w:sz w:val="24"/>
          <w:szCs w:val="24"/>
          <w:lang w:eastAsia="en-US"/>
        </w:rPr>
        <w:t xml:space="preserve"> es decir, las posibles prohibiciones de no contratar, o condiciones de ejecución, siempre en base a diferentes criterios laborales como igualdad de género o discapacidad entre otros. </w:t>
      </w:r>
    </w:p>
    <w:p w:rsidR="00EB4634" w:rsidRDefault="00EB4634" w:rsidP="00EB4634">
      <w:pPr>
        <w:pStyle w:val="Sinespaciado"/>
        <w:spacing w:line="360" w:lineRule="auto"/>
        <w:jc w:val="both"/>
        <w:rPr>
          <w:rFonts w:eastAsiaTheme="minorHAnsi"/>
          <w:sz w:val="24"/>
          <w:szCs w:val="24"/>
          <w:lang w:eastAsia="en-US"/>
        </w:rPr>
      </w:pPr>
    </w:p>
    <w:p w:rsidR="008636FB" w:rsidRPr="00EB4634" w:rsidRDefault="008636FB"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i/>
          <w:sz w:val="24"/>
          <w:szCs w:val="24"/>
          <w:u w:val="single"/>
          <w:lang w:eastAsia="en-US"/>
        </w:rPr>
      </w:pPr>
      <w:r w:rsidRPr="008636FB">
        <w:rPr>
          <w:rFonts w:eastAsiaTheme="minorHAnsi"/>
          <w:i/>
          <w:sz w:val="24"/>
          <w:szCs w:val="24"/>
          <w:u w:val="single"/>
          <w:lang w:eastAsia="en-US"/>
        </w:rPr>
        <w:t>4.2. MARCO NORMATIVO ACTUAL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Como ya advertimos anteriormente, los máximos exponentes en cuanto a la regulación normativa de las cláusulas sociales en Europa, y que por ende se extienden al resto de sus países, son, actualmente, por un lado, la Directiva 2014/24/UE del Parlamento Europeo y del Consejo de 26 de febrero de 2014 sobre contratación pública, la cual reemplaza a la Directiva 2004/18/CE; y por otro lado, la Directiva 2014/25/UE del parlamento europeo y consejo relativo a la contratación por entidades que operan en los sectores del agua, la energía, los transportes y los servicios postales, la cual reemplaza a la Directiva 2004/17/CE.</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Se ha querido seguir con la dualidad preestablecida en cuanto al tratamiento de materias, con la diferencia de que ahora, la directiva 2014/24/EU se ocupa de la contratación pública de una forma mucho más amplia, abarcando prácticamente todo lo relativo a la materia, excepto lo regulado por la Directiva 2014/25/UE, la cual sigue dedicándose exclusivamente a las materias especificadas en la misma (Sector del agua, la energía, los transportes y los servicios postales).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este apartado vamos a proceder a explicar y desmenuzar sobretodo la Directiva 2014/24/UE, en base a que regula la inserción de cláusulas en un ámbito bastante más general que su compañera, además, lo haremos destacando los artículos más importantes, en donde podremos ver por un lado, la clara alusión de favorecer a ciertos grupos desfavorecidos, y por otro lado, las posibilidades que brinda la directa de introducir estas cláusulas en la contratación pública.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primer lugar, debemos de mencionar una serie de aspectos o cuestiones que, en mi opinión, son de suma importancia a la hora de establecer el ámbito objetivo de esta directiva.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La primera de ellas se basa en el artículo 2.1, donde la Directiva 2014/24/UE ha establecido las diferentes definiciones de todos aquellos conceptos constantemente repetidos y necesarios para entender tanto a la misma como a la formación de cualquier contrato. Dentro de esas definiciones hay algunas tan trascendentales como la especificación de los diferentes poderes adjudicadores, que serán “</w:t>
      </w:r>
      <w:r w:rsidRPr="00EB4634">
        <w:rPr>
          <w:rFonts w:eastAsiaTheme="minorHAnsi"/>
          <w:i/>
          <w:sz w:val="24"/>
          <w:szCs w:val="24"/>
          <w:lang w:eastAsia="en-US"/>
        </w:rPr>
        <w:t>el estado, las autoridades regionales o locales, los organismos de Derecho público o las asociaciones formadas por uno o varios de dichos poderes o uno o varios de dichos organismos de Derecho público.”</w:t>
      </w:r>
      <w:r w:rsidRPr="00EB4634">
        <w:rPr>
          <w:rFonts w:eastAsiaTheme="minorHAnsi"/>
          <w:i/>
          <w:sz w:val="24"/>
          <w:szCs w:val="24"/>
          <w:vertAlign w:val="superscript"/>
          <w:lang w:eastAsia="en-US"/>
        </w:rPr>
        <w:footnoteReference w:id="17"/>
      </w:r>
      <w:r w:rsidRPr="00EB4634">
        <w:rPr>
          <w:rFonts w:eastAsiaTheme="minorHAnsi"/>
          <w:sz w:val="24"/>
          <w:szCs w:val="24"/>
          <w:lang w:eastAsia="en-US"/>
        </w:rPr>
        <w:t>; o la definición de contrato público, que es “</w:t>
      </w:r>
      <w:r w:rsidRPr="00EB4634">
        <w:rPr>
          <w:rFonts w:eastAsiaTheme="minorHAnsi"/>
          <w:i/>
          <w:sz w:val="24"/>
          <w:szCs w:val="24"/>
          <w:lang w:eastAsia="en-US"/>
        </w:rPr>
        <w:t>aquellos contratos onerosos celebrados por escrito entre uno o varios operadores económicos y uno o varios poderes adjudicadores, cuyo objeto sea la ejecución de obras, el suministro de productos o la prestación de servicios</w:t>
      </w:r>
      <w:r w:rsidRPr="00EB4634">
        <w:rPr>
          <w:rFonts w:eastAsiaTheme="minorHAnsi"/>
          <w:sz w:val="24"/>
          <w:szCs w:val="24"/>
          <w:lang w:eastAsia="en-US"/>
        </w:rPr>
        <w:t xml:space="preserve">.” </w:t>
      </w:r>
      <w:r w:rsidRPr="00EB4634">
        <w:rPr>
          <w:rFonts w:eastAsiaTheme="minorHAnsi"/>
          <w:sz w:val="24"/>
          <w:szCs w:val="24"/>
          <w:vertAlign w:val="superscript"/>
          <w:lang w:eastAsia="en-US"/>
        </w:rPr>
        <w:footnoteReference w:id="18"/>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a la definición de “órganos de derecho público”, realmente no queda muy clara con la lectura de dicho artículo, no obstante, con la remisión a las diferentes directivas y, además, con la propia respuesta dada por parte de la jurisprudencia del TJEU, se entiende por órgano de derecho público aquel organismo que reúna los siguientes requisitos: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5"/>
        </w:numPr>
        <w:spacing w:line="360" w:lineRule="auto"/>
        <w:jc w:val="both"/>
        <w:rPr>
          <w:rFonts w:eastAsiaTheme="minorHAnsi"/>
          <w:sz w:val="24"/>
          <w:szCs w:val="24"/>
          <w:lang w:eastAsia="en-US"/>
        </w:rPr>
      </w:pPr>
      <w:r w:rsidRPr="00EB4634">
        <w:rPr>
          <w:rFonts w:eastAsiaTheme="minorHAnsi"/>
          <w:i/>
          <w:sz w:val="24"/>
          <w:szCs w:val="24"/>
          <w:lang w:eastAsia="en-US"/>
        </w:rPr>
        <w:t>“Requisito Teológico</w:t>
      </w:r>
      <w:r w:rsidRPr="00EB4634">
        <w:rPr>
          <w:rFonts w:eastAsiaTheme="minorHAnsi"/>
          <w:sz w:val="24"/>
          <w:szCs w:val="24"/>
          <w:lang w:eastAsia="en-US"/>
        </w:rPr>
        <w:t>”: Su creación tenga como finalidad cubrir necesidades de interés general, careciendo estas de algún carácter industrial ni mercantil.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5"/>
        </w:numPr>
        <w:spacing w:line="360" w:lineRule="auto"/>
        <w:jc w:val="both"/>
        <w:rPr>
          <w:rFonts w:eastAsiaTheme="minorHAnsi"/>
          <w:sz w:val="24"/>
          <w:szCs w:val="24"/>
          <w:lang w:eastAsia="en-US"/>
        </w:rPr>
      </w:pPr>
      <w:r w:rsidRPr="00EB4634">
        <w:rPr>
          <w:rFonts w:eastAsiaTheme="minorHAnsi"/>
          <w:i/>
          <w:sz w:val="24"/>
          <w:szCs w:val="24"/>
          <w:lang w:eastAsia="en-US"/>
        </w:rPr>
        <w:t>“Requisito de personalidad jurídica”</w:t>
      </w:r>
      <w:r w:rsidRPr="00EB4634">
        <w:rPr>
          <w:rFonts w:eastAsiaTheme="minorHAnsi"/>
          <w:sz w:val="24"/>
          <w:szCs w:val="24"/>
          <w:lang w:eastAsia="en-US"/>
        </w:rPr>
        <w:t>: Que tenga personalidad jurídica.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5"/>
        </w:numPr>
        <w:spacing w:line="360" w:lineRule="auto"/>
        <w:jc w:val="both"/>
        <w:rPr>
          <w:rFonts w:eastAsiaTheme="minorHAnsi"/>
          <w:sz w:val="24"/>
          <w:szCs w:val="24"/>
          <w:lang w:eastAsia="en-US"/>
        </w:rPr>
      </w:pPr>
      <w:r w:rsidRPr="00EB4634">
        <w:rPr>
          <w:rFonts w:eastAsiaTheme="minorHAnsi"/>
          <w:i/>
          <w:sz w:val="24"/>
          <w:szCs w:val="24"/>
          <w:lang w:eastAsia="en-US"/>
        </w:rPr>
        <w:t>“Requisito de la influencia publica dominante”</w:t>
      </w:r>
      <w:r w:rsidRPr="00EB4634">
        <w:rPr>
          <w:rFonts w:eastAsiaTheme="minorHAnsi"/>
          <w:sz w:val="24"/>
          <w:szCs w:val="24"/>
          <w:lang w:eastAsia="en-US"/>
        </w:rPr>
        <w:t>:</w:t>
      </w:r>
      <w:r w:rsidRPr="00EB4634">
        <w:rPr>
          <w:rFonts w:eastAsiaTheme="minorHAnsi"/>
          <w:sz w:val="24"/>
          <w:szCs w:val="24"/>
          <w:vertAlign w:val="superscript"/>
          <w:lang w:eastAsia="en-US"/>
        </w:rPr>
        <w:footnoteReference w:id="19"/>
      </w:r>
      <w:r w:rsidRPr="00EB4634">
        <w:rPr>
          <w:rFonts w:eastAsiaTheme="minorHAnsi"/>
          <w:sz w:val="24"/>
          <w:szCs w:val="24"/>
          <w:lang w:eastAsia="en-US"/>
        </w:rPr>
        <w:t xml:space="preserve"> Esto es, que la financiación corresponda casi en exclusiva por parte del estado, o similares a él, por ejemplo, entes territoriales.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Así, aunque como ya hemos mencionado anteriormente, esta directiva ha supuesto una gran expansión en materias de cláusulas sociales, realmente el objeto de la misma sigue siendo el mismo, es decir, contratación pública en contratos de obras, suministros y servicios, ampliándose además a los contratos “</w:t>
      </w:r>
      <w:r w:rsidRPr="00EB4634">
        <w:rPr>
          <w:rFonts w:eastAsiaTheme="minorHAnsi"/>
          <w:i/>
          <w:sz w:val="24"/>
          <w:szCs w:val="24"/>
          <w:lang w:eastAsia="en-US"/>
        </w:rPr>
        <w:t>en el marco de sus actividades de explotación de servicios de transporte marítimo, costero o fluvial”</w:t>
      </w:r>
      <w:r w:rsidRPr="00EB4634">
        <w:rPr>
          <w:rFonts w:eastAsiaTheme="minorHAnsi"/>
          <w:i/>
          <w:sz w:val="24"/>
          <w:szCs w:val="24"/>
          <w:vertAlign w:val="superscript"/>
          <w:lang w:eastAsia="en-US"/>
        </w:rPr>
        <w:footnoteReference w:id="20"/>
      </w:r>
      <w:r w:rsidRPr="00EB4634">
        <w:rPr>
          <w:rFonts w:eastAsiaTheme="minorHAnsi"/>
          <w:sz w:val="24"/>
          <w:szCs w:val="24"/>
          <w:lang w:eastAsia="en-US"/>
        </w:rPr>
        <w:t>. Por último, debemos tener en cuenta que, según el Considerando 18, solo será de aplicación para contratos que superen ciertos niveles económicos.</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primera referencia normativa importante se encuentra en el artículo 18.2, el cual básicamente expresa que los estados deben encargarse del cumplimento de las obligaciones en materia social, laboral y medioambiental. Esto supone un gran avance, en cuanto esta idea, en las anteriores directivas, solo se reflejaba en las cuestiones previas, adquiriendo en esta un carácter normativo propiamente dicho. Así, este artículo automáticamente enlaza con el artículo 56, el cual permite excluir la mejor oferta, desde un punto de vista económico, si incumple alguno de las obligaciones del artículo 18.2. Esto nuevamente es una reiteración del legislador para demostrar que actualmente el factor económico no es lo único importante, o como ya habíamos mencionado en apartados anteriores, </w:t>
      </w:r>
      <w:r w:rsidRPr="00EB4634">
        <w:rPr>
          <w:rFonts w:eastAsiaTheme="minorHAnsi"/>
          <w:i/>
          <w:sz w:val="24"/>
          <w:szCs w:val="24"/>
          <w:lang w:eastAsia="en-US"/>
        </w:rPr>
        <w:t>“la administración no está obligada a aceptar el mejor precio, sino la oferta más favorable al interés público”.</w:t>
      </w:r>
      <w:r w:rsidRPr="00EB4634">
        <w:rPr>
          <w:rFonts w:eastAsiaTheme="minorHAnsi"/>
          <w:i/>
          <w:sz w:val="24"/>
          <w:szCs w:val="24"/>
          <w:vertAlign w:val="superscript"/>
          <w:lang w:eastAsia="en-US"/>
        </w:rPr>
        <w:footnoteReference w:id="21"/>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Este artículo 18.2 también hace referencia, redirigiéndosenos a su vez al Anexo X de la Directiva, a la existencia de otras normas jurídicas en los cuales las condiciones sociales, laborales y medioambientales tienen cabida. Se trata de los Convenios Internacionales, y aunque no exista específicamente uno dedicado a las clausulas sociales, si representan un gran pilar en la jurídico en su expansión. A continuación, voy a proceder a enumerar los Convenios: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 xml:space="preserve">— </w:t>
      </w:r>
      <w:r w:rsidRPr="00EB4634">
        <w:rPr>
          <w:rFonts w:eastAsiaTheme="minorHAnsi"/>
          <w:i/>
          <w:sz w:val="24"/>
          <w:szCs w:val="24"/>
          <w:lang w:eastAsia="en-US"/>
        </w:rPr>
        <w:t>Convenio OIT no 87 sobre la libertad sindical y la protección del derecho de sindicación,</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98 sobre el derecho de sindicación y de negociación colectiva,</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29 sobre el trabajo forzoso,</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lastRenderedPageBreak/>
        <w:t>— Convenio OIT no 105 sobre la abolición del trabajo forzoso,</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138 sobre la edad mínima,</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111 sobre la discriminación (empleo y ocupación),</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100 sobre igualdad de remuneración,</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OIT no 182 sobre las peores formas de trabajo infantil,</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de Viena para la protección de la capa de ozono y su Protocolo de Montreal relativo a las sustancias que agotan la capa de ozono,</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para el control de la eliminación y el transporte transfronterizo de residuos peligrosos (Convenio de Basilea),</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Convenio de Estocolmo sobre contaminantes orgánicos persistentes (COP),</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i/>
          <w:sz w:val="24"/>
          <w:szCs w:val="24"/>
          <w:lang w:eastAsia="en-US"/>
        </w:rPr>
        <w:t>— Convenio de Rotterdam sobre el procedimiento de consentimiento fundamentado previo aplicable a ciertos plaguicidas y productos químicos peligrosos objeto de comercio internacional (PNUMA/FAO) (Convenio PIC), Rotterdam, 10 de septiembre de 1998, y sus tres Protocolos regionales.</w:t>
      </w:r>
      <w:r w:rsidRPr="00EB4634">
        <w:rPr>
          <w:rFonts w:eastAsiaTheme="minorHAnsi"/>
          <w:i/>
          <w:sz w:val="24"/>
          <w:szCs w:val="24"/>
          <w:vertAlign w:val="superscript"/>
          <w:lang w:eastAsia="en-US"/>
        </w:rPr>
        <w:footnoteReference w:id="22"/>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El artículo 20, el cual hace referencia a los contratos reservados, supone otro pequeño avance, en cuanto que recoge lo ya expresado por la directiva anterior en materia de trabajadores con discapacidad, añade la posibilidad de incorporar además a “trabajadores desfavorecidos</w:t>
      </w:r>
      <w:r w:rsidRPr="00EB4634">
        <w:rPr>
          <w:rFonts w:eastAsiaTheme="minorHAnsi"/>
          <w:i/>
          <w:sz w:val="24"/>
          <w:szCs w:val="24"/>
          <w:lang w:eastAsia="en-US"/>
        </w:rPr>
        <w:t>”</w:t>
      </w:r>
      <w:r w:rsidRPr="00EB4634">
        <w:rPr>
          <w:rFonts w:eastAsiaTheme="minorHAnsi"/>
          <w:sz w:val="24"/>
          <w:szCs w:val="24"/>
          <w:lang w:eastAsia="en-US"/>
        </w:rPr>
        <w:t xml:space="preserve">, y también establece un cantidad definida de empleados que deban juntar esas características, el 30%, cifra que no se había marcado anteriormente.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El considerando 97 en general puede ser otro ejemplo de la gama ampliada de aspectos sociales que intenta integrar esta directiva, haciendo alusión a aspectos más determinados, como “</w:t>
      </w:r>
      <w:r w:rsidRPr="00EB4634">
        <w:rPr>
          <w:rFonts w:eastAsiaTheme="minorHAnsi"/>
          <w:i/>
          <w:sz w:val="24"/>
          <w:szCs w:val="24"/>
          <w:lang w:eastAsia="en-US"/>
        </w:rPr>
        <w:t>el comercio justo”</w:t>
      </w:r>
      <w:r w:rsidRPr="00EB4634">
        <w:rPr>
          <w:rFonts w:eastAsiaTheme="minorHAnsi"/>
          <w:sz w:val="24"/>
          <w:szCs w:val="24"/>
          <w:lang w:eastAsia="en-US"/>
        </w:rPr>
        <w:t xml:space="preserve">, o dando directamente ejemplos que pretenden ser subsanados, </w:t>
      </w:r>
      <w:r w:rsidRPr="00EB4634">
        <w:rPr>
          <w:rFonts w:eastAsiaTheme="minorHAnsi"/>
          <w:sz w:val="24"/>
          <w:szCs w:val="24"/>
          <w:lang w:eastAsia="en-US"/>
        </w:rPr>
        <w:lastRenderedPageBreak/>
        <w:t>como por ejemplo, en materia medioambiental, “</w:t>
      </w:r>
      <w:r w:rsidRPr="00EB4634">
        <w:rPr>
          <w:rFonts w:eastAsiaTheme="minorHAnsi"/>
          <w:i/>
          <w:sz w:val="24"/>
          <w:szCs w:val="24"/>
          <w:lang w:eastAsia="en-US"/>
        </w:rPr>
        <w:t>minimización de los residuos y la eficiencia energética</w:t>
      </w:r>
      <w:r w:rsidRPr="00EB4634">
        <w:rPr>
          <w:rFonts w:eastAsiaTheme="minorHAnsi"/>
          <w:sz w:val="24"/>
          <w:szCs w:val="24"/>
          <w:lang w:eastAsia="en-US"/>
        </w:rPr>
        <w:t>”.</w:t>
      </w:r>
      <w:r w:rsidRPr="00EB4634">
        <w:rPr>
          <w:rFonts w:eastAsiaTheme="minorHAnsi"/>
          <w:sz w:val="24"/>
          <w:szCs w:val="24"/>
          <w:vertAlign w:val="superscript"/>
          <w:lang w:eastAsia="en-US"/>
        </w:rPr>
        <w:footnoteReference w:id="23"/>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otro lado, la forma de introducción de estas cláusulas sociales en los contratos es variada, ya sea por la forma o por el momento de introducción de las mismas. Como base tendremos un cuadro en el cual se pueden ver perfectamente los momentos, y las diversas formas, de introducir cláusulas sociales en los contratos públicos, cuadro que también usaremos más adelante.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Formas de introducción</w:t>
      </w:r>
      <w:r w:rsidR="008636FB">
        <w:rPr>
          <w:rFonts w:eastAsiaTheme="minorHAnsi"/>
          <w:sz w:val="24"/>
          <w:szCs w:val="24"/>
          <w:lang w:eastAsia="en-US"/>
        </w:rPr>
        <w:t xml:space="preserve"> de las Clausulas S</w:t>
      </w:r>
      <w:r w:rsidRPr="00EB4634">
        <w:rPr>
          <w:rFonts w:eastAsiaTheme="minorHAnsi"/>
          <w:sz w:val="24"/>
          <w:szCs w:val="24"/>
          <w:lang w:eastAsia="en-US"/>
        </w:rPr>
        <w:t>ociales en la contratación pública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636FB">
      <w:pPr>
        <w:pStyle w:val="Sinespaciado"/>
        <w:spacing w:line="360" w:lineRule="auto"/>
        <w:jc w:val="center"/>
        <w:rPr>
          <w:rFonts w:eastAsiaTheme="minorHAnsi"/>
          <w:sz w:val="24"/>
          <w:szCs w:val="24"/>
          <w:lang w:eastAsia="en-US"/>
        </w:rPr>
      </w:pPr>
      <w:r w:rsidRPr="00EB4634">
        <w:rPr>
          <w:rFonts w:eastAsiaTheme="minorHAnsi"/>
          <w:noProof/>
          <w:sz w:val="24"/>
          <w:szCs w:val="24"/>
        </w:rPr>
        <w:drawing>
          <wp:inline distT="0" distB="0" distL="0" distR="0" wp14:anchorId="2399AEDF" wp14:editId="59D65A7B">
            <wp:extent cx="3829050" cy="20859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2085975"/>
                    </a:xfrm>
                    <a:prstGeom prst="rect">
                      <a:avLst/>
                    </a:prstGeom>
                    <a:noFill/>
                  </pic:spPr>
                </pic:pic>
              </a:graphicData>
            </a:graphic>
          </wp:inline>
        </w:drawing>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i/>
          <w:sz w:val="24"/>
          <w:szCs w:val="24"/>
          <w:lang w:eastAsia="en-US"/>
        </w:rPr>
        <w:t xml:space="preserve">Guía de Contratación Pública Socialmente Responsable </w:t>
      </w:r>
      <w:r w:rsidRPr="00EB4634">
        <w:rPr>
          <w:rFonts w:eastAsiaTheme="minorHAnsi"/>
          <w:i/>
          <w:sz w:val="24"/>
          <w:szCs w:val="24"/>
          <w:vertAlign w:val="superscript"/>
          <w:lang w:eastAsia="en-US"/>
        </w:rPr>
        <w:footnoteReference w:id="24"/>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Dentro de la llamada fase de preparación, las clausulas sociales pueden ser introducidas por medio del objeto del contrato, si viene esto viene establecido por la ya mencionada “Comunicación interpretativa de la Comisión sobre la legislación comunitaria de contratos públicos y las posibilidades de integrar aspectos sociales en dichos contratos (2001)” en su artículo 1.1 “Definición del objeto del contrato”. La prohibición de contrata viene recogida, ya si en la Directiva 2014/24/UE, en diferentes artículos, estos son el artículo 57, 18 y Considerando 101, con la misma estructura de funcionamiento, es decir, excluyendo al </w:t>
      </w:r>
      <w:r w:rsidRPr="00EB4634">
        <w:rPr>
          <w:rFonts w:eastAsiaTheme="minorHAnsi"/>
          <w:sz w:val="24"/>
          <w:szCs w:val="24"/>
          <w:lang w:eastAsia="en-US"/>
        </w:rPr>
        <w:lastRenderedPageBreak/>
        <w:t xml:space="preserve">posible licitador en el caso de que incumpla exigencias de ámbito social, laboral o medioambiental.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otro lado, la Directiva 2014/24/EU posibilita la inserción de cláusulas sociales como criterios de adjudicación, en su artículo 64, Considerando 92, 93 y 99; y como condiciones de ejecución del contrato, en su artículo 26 y considerando 33. Respecto de estas últimas, destaca la referencia constante por parte del legislador de la necesidad de publicidad clara y concisa en cuanto a la exigencia de las mismas, y que en ningún momento puedan faltar a los principios de no discriminación. Estas 2 ideas serán, como veremos más adelantes, una constante en las sentencias del Tribunal Superior de Justicia de la Unión Europea.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último, veo necesario realizar otra aclaración, sobre una serie de conceptos que se repiten constantemente, los cuales no encuentran una definición en la Directiva 2014/24/UE. Para ello, debemos acudir al Reglamento de la Comisión, de 17 de junio de 2014, en donde podremos encontrar la definición de los siguientes conceptos: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6"/>
        </w:numPr>
        <w:spacing w:line="360" w:lineRule="auto"/>
        <w:jc w:val="both"/>
        <w:rPr>
          <w:rFonts w:eastAsiaTheme="minorHAnsi"/>
          <w:sz w:val="24"/>
          <w:szCs w:val="24"/>
          <w:lang w:eastAsia="en-US"/>
        </w:rPr>
      </w:pPr>
      <w:r w:rsidRPr="00EB4634">
        <w:rPr>
          <w:rFonts w:eastAsiaTheme="minorHAnsi"/>
          <w:i/>
          <w:sz w:val="24"/>
          <w:szCs w:val="24"/>
          <w:lang w:eastAsia="en-US"/>
        </w:rPr>
        <w:t>“Trabajador con discapacidad”</w:t>
      </w:r>
      <w:r w:rsidRPr="00EB4634">
        <w:rPr>
          <w:rFonts w:eastAsiaTheme="minorHAnsi"/>
          <w:sz w:val="24"/>
          <w:szCs w:val="24"/>
          <w:lang w:eastAsia="en-US"/>
        </w:rPr>
        <w:t xml:space="preserve"> (Artículo 2.3): </w:t>
      </w:r>
      <w:r w:rsidRPr="00EB4634">
        <w:rPr>
          <w:rFonts w:eastAsiaTheme="minorHAnsi"/>
          <w:i/>
          <w:sz w:val="24"/>
          <w:szCs w:val="24"/>
          <w:lang w:eastAsia="en-US"/>
        </w:rPr>
        <w:t>Toda aquella persona que esté reconocida como persona con discapacidad con arreglo a la legislación nacional, o tenga deficiencias físicas, mentales, intelectuales o sensoriales a largo plazo que, al interactuar con diversas barreras, puedan dificultar su participación plena y efectiva en un entorno de trabajo, en igualdad de condiciones con los demás trabajadores;</w:t>
      </w:r>
      <w:r w:rsidRPr="00EB4634">
        <w:rPr>
          <w:rFonts w:eastAsiaTheme="minorHAnsi"/>
          <w:i/>
          <w:sz w:val="24"/>
          <w:szCs w:val="24"/>
          <w:vertAlign w:val="superscript"/>
          <w:lang w:eastAsia="en-US"/>
        </w:rPr>
        <w:footnoteReference w:id="25"/>
      </w:r>
    </w:p>
    <w:p w:rsidR="00EB4634" w:rsidRPr="00EB4634" w:rsidRDefault="00EB4634" w:rsidP="00EB4634">
      <w:pPr>
        <w:pStyle w:val="Sinespaciado"/>
        <w:spacing w:line="360" w:lineRule="auto"/>
        <w:jc w:val="both"/>
        <w:rPr>
          <w:rFonts w:eastAsiaTheme="minorHAnsi"/>
          <w:sz w:val="24"/>
          <w:szCs w:val="24"/>
          <w:lang w:eastAsia="en-US"/>
        </w:rPr>
      </w:pPr>
    </w:p>
    <w:p w:rsidR="008636FB" w:rsidRDefault="00EB4634" w:rsidP="008377CE">
      <w:pPr>
        <w:pStyle w:val="Sinespaciado"/>
        <w:numPr>
          <w:ilvl w:val="0"/>
          <w:numId w:val="6"/>
        </w:numPr>
        <w:spacing w:line="360" w:lineRule="auto"/>
        <w:jc w:val="both"/>
        <w:rPr>
          <w:rFonts w:eastAsiaTheme="minorHAnsi"/>
          <w:i/>
          <w:sz w:val="24"/>
          <w:szCs w:val="24"/>
          <w:lang w:eastAsia="en-US"/>
        </w:rPr>
      </w:pPr>
      <w:r w:rsidRPr="00EB4634">
        <w:rPr>
          <w:rFonts w:eastAsiaTheme="minorHAnsi"/>
          <w:i/>
          <w:sz w:val="24"/>
          <w:szCs w:val="24"/>
          <w:lang w:eastAsia="en-US"/>
        </w:rPr>
        <w:t>“Trabajador desfavorecido”</w:t>
      </w:r>
      <w:r w:rsidRPr="00EB4634">
        <w:rPr>
          <w:rFonts w:eastAsiaTheme="minorHAnsi"/>
          <w:sz w:val="24"/>
          <w:szCs w:val="24"/>
          <w:lang w:eastAsia="en-US"/>
        </w:rPr>
        <w:t xml:space="preserve"> (Artículo 2.4): </w:t>
      </w:r>
      <w:r w:rsidRPr="00EB4634">
        <w:rPr>
          <w:rFonts w:eastAsiaTheme="minorHAnsi"/>
          <w:i/>
          <w:sz w:val="24"/>
          <w:szCs w:val="24"/>
          <w:lang w:eastAsia="en-US"/>
        </w:rPr>
        <w:t xml:space="preserve">Toda persona que no haya tenido un empleo fijo remunerado en los seis meses anteriores, o tenga entre 15 y 24 años, o no cuente con cualificaciones educativas de formación secundaria o profesional superior (Clasificación Internacional Normalizada de la Educación 3), o haya finalizado su educación a tiempo completo en los dos años anteriores y no haya tenido antes un primer empleo fijo remunerado, o tenga más de 50 años, o sea un adulto que viva como soltero y del que dependan una o más personas, o trabaje en un sector o profesión en un Estado miembro en donde el desequilibrio entre sexos sea por lo menos un 25 % superior a la media nacional en el conjunto de los sectores económicos del Estado miembro de que se trate, y forme parte de ese grupo de género </w:t>
      </w:r>
      <w:proofErr w:type="spellStart"/>
      <w:r w:rsidRPr="00EB4634">
        <w:rPr>
          <w:rFonts w:eastAsiaTheme="minorHAnsi"/>
          <w:i/>
          <w:sz w:val="24"/>
          <w:szCs w:val="24"/>
          <w:lang w:eastAsia="en-US"/>
        </w:rPr>
        <w:lastRenderedPageBreak/>
        <w:t>subrepresentado</w:t>
      </w:r>
      <w:proofErr w:type="spellEnd"/>
      <w:r w:rsidRPr="00EB4634">
        <w:rPr>
          <w:rFonts w:eastAsiaTheme="minorHAnsi"/>
          <w:i/>
          <w:sz w:val="24"/>
          <w:szCs w:val="24"/>
          <w:lang w:eastAsia="en-US"/>
        </w:rPr>
        <w:t>, o sea miembro de una minoría étnica en un Estado miembro y necesite desarrollar su perfil lingüístico, de formación profesional o de experiencia laboral para mejorar sus perspectivas de acceso a un empleo estable;</w:t>
      </w:r>
      <w:r w:rsidRPr="00EB4634">
        <w:rPr>
          <w:rFonts w:eastAsiaTheme="minorHAnsi"/>
          <w:i/>
          <w:sz w:val="24"/>
          <w:szCs w:val="24"/>
          <w:vertAlign w:val="superscript"/>
          <w:lang w:eastAsia="en-US"/>
        </w:rPr>
        <w:footnoteReference w:id="26"/>
      </w:r>
    </w:p>
    <w:p w:rsidR="00EB4634" w:rsidRPr="008636FB" w:rsidRDefault="00EB4634" w:rsidP="008636FB">
      <w:pPr>
        <w:pStyle w:val="Sinespaciado"/>
        <w:spacing w:line="360" w:lineRule="auto"/>
        <w:ind w:left="720"/>
        <w:jc w:val="both"/>
        <w:rPr>
          <w:rFonts w:eastAsiaTheme="minorHAnsi"/>
          <w:i/>
          <w:sz w:val="24"/>
          <w:szCs w:val="24"/>
          <w:lang w:eastAsia="en-US"/>
        </w:rPr>
      </w:pPr>
      <w:r w:rsidRPr="008636FB">
        <w:rPr>
          <w:rFonts w:eastAsiaTheme="minorHAnsi"/>
          <w:sz w:val="24"/>
          <w:szCs w:val="24"/>
          <w:lang w:eastAsia="en-US"/>
        </w:rPr>
        <w:t>Además, en el propio artículo 2,99, hace una agravación de este concepto, en concepto de “</w:t>
      </w:r>
      <w:r w:rsidRPr="008636FB">
        <w:rPr>
          <w:rFonts w:eastAsiaTheme="minorHAnsi"/>
          <w:i/>
          <w:sz w:val="24"/>
          <w:szCs w:val="24"/>
          <w:lang w:eastAsia="en-US"/>
        </w:rPr>
        <w:t>Trabajador muy desfavorecido”</w:t>
      </w:r>
      <w:r w:rsidRPr="008636FB">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6"/>
        </w:numPr>
        <w:spacing w:line="360" w:lineRule="auto"/>
        <w:jc w:val="both"/>
        <w:rPr>
          <w:rFonts w:eastAsiaTheme="minorHAnsi"/>
          <w:i/>
          <w:sz w:val="24"/>
          <w:szCs w:val="24"/>
          <w:lang w:eastAsia="en-US"/>
        </w:rPr>
      </w:pPr>
      <w:r w:rsidRPr="00EB4634">
        <w:rPr>
          <w:rFonts w:eastAsiaTheme="minorHAnsi"/>
          <w:i/>
          <w:sz w:val="24"/>
          <w:szCs w:val="24"/>
          <w:lang w:eastAsia="en-US"/>
        </w:rPr>
        <w:t>“Empleo protegido”</w:t>
      </w:r>
      <w:r w:rsidRPr="00EB4634">
        <w:rPr>
          <w:rFonts w:eastAsiaTheme="minorHAnsi"/>
          <w:sz w:val="24"/>
          <w:szCs w:val="24"/>
          <w:lang w:eastAsia="en-US"/>
        </w:rPr>
        <w:t xml:space="preserve"> (Artículo 2.100)</w:t>
      </w:r>
      <w:r w:rsidRPr="00EB4634">
        <w:rPr>
          <w:rFonts w:eastAsiaTheme="minorHAnsi"/>
          <w:i/>
          <w:sz w:val="24"/>
          <w:szCs w:val="24"/>
          <w:lang w:eastAsia="en-US"/>
        </w:rPr>
        <w:t>: Empleo en una empresa cuya plantilla esté compuesta, como mínimo, por un 30 % de trabajadores con discapacidad.</w:t>
      </w:r>
      <w:r w:rsidRPr="00EB4634">
        <w:rPr>
          <w:rFonts w:eastAsiaTheme="minorHAnsi"/>
          <w:i/>
          <w:sz w:val="24"/>
          <w:szCs w:val="24"/>
          <w:vertAlign w:val="superscript"/>
          <w:lang w:eastAsia="en-US"/>
        </w:rPr>
        <w:footnoteReference w:id="27"/>
      </w:r>
    </w:p>
    <w:p w:rsidR="00EB4634" w:rsidRDefault="00EB4634" w:rsidP="00EB4634">
      <w:pPr>
        <w:pStyle w:val="Sinespaciado"/>
        <w:spacing w:line="360" w:lineRule="auto"/>
        <w:jc w:val="both"/>
        <w:rPr>
          <w:rFonts w:eastAsiaTheme="minorHAnsi"/>
          <w:sz w:val="24"/>
          <w:szCs w:val="24"/>
          <w:lang w:eastAsia="en-US"/>
        </w:rPr>
      </w:pPr>
    </w:p>
    <w:p w:rsidR="008636FB" w:rsidRPr="00EB4634" w:rsidRDefault="008636FB" w:rsidP="00EB4634">
      <w:pPr>
        <w:pStyle w:val="Sinespaciado"/>
        <w:spacing w:line="360" w:lineRule="auto"/>
        <w:jc w:val="both"/>
        <w:rPr>
          <w:rFonts w:eastAsiaTheme="minorHAnsi"/>
          <w:sz w:val="24"/>
          <w:szCs w:val="24"/>
          <w:lang w:eastAsia="en-US"/>
        </w:rPr>
      </w:pPr>
    </w:p>
    <w:p w:rsidR="00EB4634" w:rsidRPr="008636FB" w:rsidRDefault="00EB4634" w:rsidP="00EB4634">
      <w:pPr>
        <w:pStyle w:val="Sinespaciado"/>
        <w:spacing w:line="360" w:lineRule="auto"/>
        <w:jc w:val="both"/>
        <w:rPr>
          <w:rFonts w:eastAsiaTheme="minorHAnsi"/>
          <w:i/>
          <w:sz w:val="24"/>
          <w:szCs w:val="24"/>
          <w:u w:val="single"/>
          <w:lang w:eastAsia="en-US"/>
        </w:rPr>
      </w:pPr>
      <w:r w:rsidRPr="008636FB">
        <w:rPr>
          <w:rFonts w:eastAsiaTheme="minorHAnsi"/>
          <w:i/>
          <w:sz w:val="24"/>
          <w:szCs w:val="24"/>
          <w:u w:val="single"/>
          <w:lang w:eastAsia="en-US"/>
        </w:rPr>
        <w:t xml:space="preserve">4.3. JURISPRUDENCIA </w:t>
      </w:r>
    </w:p>
    <w:p w:rsidR="008636FB" w:rsidRDefault="008636FB" w:rsidP="00EB4634">
      <w:pPr>
        <w:pStyle w:val="Sinespaciado"/>
        <w:spacing w:line="360" w:lineRule="auto"/>
        <w:jc w:val="both"/>
        <w:rPr>
          <w:rFonts w:eastAsia="Calibri"/>
          <w:sz w:val="24"/>
          <w:szCs w:val="24"/>
          <w:lang w:eastAsia="en-US"/>
        </w:rPr>
      </w:pPr>
    </w:p>
    <w:p w:rsidR="00EB4634" w:rsidRPr="008636FB" w:rsidRDefault="00EB4634" w:rsidP="008636FB">
      <w:pPr>
        <w:pStyle w:val="Sinespaciado"/>
        <w:spacing w:line="360" w:lineRule="auto"/>
        <w:jc w:val="center"/>
        <w:rPr>
          <w:rFonts w:eastAsiaTheme="minorHAnsi"/>
          <w:b/>
          <w:sz w:val="24"/>
          <w:szCs w:val="24"/>
          <w:lang w:eastAsia="en-US"/>
        </w:rPr>
      </w:pPr>
      <w:r w:rsidRPr="008636FB">
        <w:rPr>
          <w:rFonts w:eastAsia="Calibri"/>
          <w:b/>
          <w:sz w:val="24"/>
          <w:szCs w:val="24"/>
          <w:lang w:eastAsia="en-US"/>
        </w:rPr>
        <w:t xml:space="preserve">ASUNTO CONCORDIA </w:t>
      </w:r>
      <w:r w:rsidRPr="008636FB">
        <w:rPr>
          <w:rFonts w:eastAsia="Calibri"/>
          <w:sz w:val="24"/>
          <w:szCs w:val="24"/>
          <w:vertAlign w:val="superscript"/>
          <w:lang w:eastAsia="en-US"/>
        </w:rPr>
        <w:footnoteReference w:id="28"/>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t>IDENTIFICACIÓN</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Sentencia del Tribunal de Justicia de 17 de septiembre de 2002.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Asunto C-513/99.</w:t>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t>ANTEDENTES DE HECHO</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El 27 de agosto de 1997, el ayuntamiento de Helsinki sometió a licitación pública el funcionamiento de la red de autobuses urbanos de la ciudad. Según la normativa relativa al transporte público de la ciudad, su control corresponde, en todos sus ámbitos, primero, a la </w:t>
      </w:r>
      <w:proofErr w:type="spellStart"/>
      <w:r w:rsidRPr="00EB4634">
        <w:rPr>
          <w:rFonts w:eastAsia="Calibri"/>
          <w:i/>
          <w:sz w:val="24"/>
          <w:szCs w:val="24"/>
          <w:lang w:eastAsia="en-US"/>
        </w:rPr>
        <w:t>Joukkoliikennelautakunta</w:t>
      </w:r>
      <w:proofErr w:type="spellEnd"/>
      <w:r w:rsidRPr="00EB4634">
        <w:rPr>
          <w:rFonts w:eastAsia="Calibri"/>
          <w:sz w:val="24"/>
          <w:szCs w:val="24"/>
          <w:lang w:eastAsia="en-US"/>
        </w:rPr>
        <w:t xml:space="preserve"> (Comisión de transportes colectivos) y, en segundo lugar, a la </w:t>
      </w:r>
      <w:proofErr w:type="spellStart"/>
      <w:r w:rsidRPr="00EB4634">
        <w:rPr>
          <w:rFonts w:eastAsia="Calibri"/>
          <w:i/>
          <w:sz w:val="24"/>
          <w:szCs w:val="24"/>
          <w:lang w:eastAsia="en-US"/>
        </w:rPr>
        <w:t>Helsingin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kaupungin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liikennelaitos</w:t>
      </w:r>
      <w:proofErr w:type="spellEnd"/>
      <w:r w:rsidRPr="00EB4634">
        <w:rPr>
          <w:rFonts w:eastAsia="Calibri"/>
          <w:sz w:val="24"/>
          <w:szCs w:val="24"/>
          <w:lang w:eastAsia="en-US"/>
        </w:rPr>
        <w:t xml:space="preserve">, (Empresa de transportes de la Ciudad de Helsinki), la cual se encuentra subordinada a dicha comisión.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lastRenderedPageBreak/>
        <w:t xml:space="preserve">Por otro lado, la comisión de transportes comerciales, la </w:t>
      </w:r>
      <w:proofErr w:type="spellStart"/>
      <w:r w:rsidRPr="00EB4634">
        <w:rPr>
          <w:rFonts w:eastAsia="Calibri"/>
          <w:i/>
          <w:sz w:val="24"/>
          <w:szCs w:val="24"/>
          <w:lang w:eastAsia="en-US"/>
        </w:rPr>
        <w:t>Liikepalvelulautakunta</w:t>
      </w:r>
      <w:proofErr w:type="spellEnd"/>
      <w:r w:rsidRPr="00EB4634">
        <w:rPr>
          <w:rFonts w:eastAsia="Calibri"/>
          <w:i/>
          <w:sz w:val="24"/>
          <w:szCs w:val="24"/>
          <w:lang w:eastAsia="en-US"/>
        </w:rPr>
        <w:t>,</w:t>
      </w:r>
      <w:r w:rsidRPr="00EB4634">
        <w:rPr>
          <w:rFonts w:eastAsia="Calibri"/>
          <w:sz w:val="24"/>
          <w:szCs w:val="24"/>
          <w:lang w:eastAsia="en-US"/>
        </w:rPr>
        <w:t xml:space="preserve"> tiene  como obligación adjudicación de los servicios de transporte según los objetivos establecidos tanto por la comisión de servicios colectivos como por el propio ayuntamiento, mientras que, por otro lado, la oficina de abastecimiento de la Ciudad de Helsinki se ocupa de la ejecución de las operaciones relativas a los contratos públicos de transporte urbano colectivo.</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La empresa de transportes es una empresa municipal, la cual se divide, desde un punto de vista funcional y económico en 4 unidades de producción diferentes, siendo “HKL” la unidad de producción relativa a los autobuses.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El 1 de septiembre de 1997, la oficina de abastecimiento de la ciudad de Helsinki, a través de diversos medios, solicito ofertas para la gestión del servicio de autobuses, dividiéndose este oferta en 6 lotes, siendo, no obstante, únicamente el lote nº 6 el relativo al litigio principal.</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Según el anuncio, se le adjudicara dicho contrato a la empresa que presente la oferta más favorable desde el punto de vista económico global, cuya apreciación tendría en cuenta tres criterios: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8377CE">
      <w:pPr>
        <w:pStyle w:val="Sinespaciado"/>
        <w:numPr>
          <w:ilvl w:val="0"/>
          <w:numId w:val="6"/>
        </w:numPr>
        <w:spacing w:line="360" w:lineRule="auto"/>
        <w:jc w:val="both"/>
        <w:rPr>
          <w:rFonts w:eastAsia="Calibri"/>
          <w:i/>
          <w:sz w:val="24"/>
          <w:szCs w:val="24"/>
          <w:lang w:eastAsia="en-US"/>
        </w:rPr>
      </w:pPr>
      <w:r w:rsidRPr="00EB4634">
        <w:rPr>
          <w:rFonts w:eastAsia="Calibri"/>
          <w:sz w:val="24"/>
          <w:szCs w:val="24"/>
          <w:lang w:eastAsia="en-US"/>
        </w:rPr>
        <w:t xml:space="preserve">Primer requisito: Precio global solicitado para la explotación. La oferta más favorable debía obtener 86 puntos. La cantidad de puntos se calculaba: </w:t>
      </w:r>
      <w:r w:rsidRPr="00EB4634">
        <w:rPr>
          <w:rFonts w:eastAsia="Calibri"/>
          <w:i/>
          <w:sz w:val="24"/>
          <w:szCs w:val="24"/>
          <w:lang w:eastAsia="en-US"/>
        </w:rPr>
        <w:t>Cantidad de puntos = importe de la contraprestación por la explotación anual de la oferta más interesante dividido por la oferta considerada y multiplicado por 86.</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8377CE">
      <w:pPr>
        <w:pStyle w:val="Sinespaciado"/>
        <w:numPr>
          <w:ilvl w:val="0"/>
          <w:numId w:val="6"/>
        </w:numPr>
        <w:spacing w:line="360" w:lineRule="auto"/>
        <w:jc w:val="both"/>
        <w:rPr>
          <w:rFonts w:eastAsia="Calibri"/>
          <w:i/>
          <w:sz w:val="24"/>
          <w:szCs w:val="24"/>
          <w:lang w:eastAsia="en-US"/>
        </w:rPr>
      </w:pPr>
      <w:r w:rsidRPr="00EB4634">
        <w:rPr>
          <w:rFonts w:eastAsia="Calibri"/>
          <w:sz w:val="24"/>
          <w:szCs w:val="24"/>
          <w:lang w:eastAsia="en-US"/>
        </w:rPr>
        <w:t xml:space="preserve">Segundo requisito: La calidad de los vehículos (autobuses). </w:t>
      </w:r>
      <w:r w:rsidRPr="00EB4634">
        <w:rPr>
          <w:rFonts w:eastAsia="Calibri"/>
          <w:i/>
          <w:sz w:val="24"/>
          <w:szCs w:val="24"/>
          <w:lang w:eastAsia="en-US"/>
        </w:rPr>
        <w:t>El licitador podría obtener un máximo de 10 puntos adicionales, los cuales se asignaban por la utilización de autobuses que tuvieran, por una parte, emisiones de óxidos de nitrógeno inferiores a 4 g/</w:t>
      </w:r>
      <w:proofErr w:type="spellStart"/>
      <w:r w:rsidRPr="00EB4634">
        <w:rPr>
          <w:rFonts w:eastAsia="Calibri"/>
          <w:i/>
          <w:sz w:val="24"/>
          <w:szCs w:val="24"/>
          <w:lang w:eastAsia="en-US"/>
        </w:rPr>
        <w:t>kWh</w:t>
      </w:r>
      <w:proofErr w:type="spellEnd"/>
      <w:r w:rsidRPr="00EB4634">
        <w:rPr>
          <w:rFonts w:eastAsia="Calibri"/>
          <w:i/>
          <w:sz w:val="24"/>
          <w:szCs w:val="24"/>
          <w:lang w:eastAsia="en-US"/>
        </w:rPr>
        <w:t xml:space="preserve"> (+ 2,5 puntos/autobús) o inferiores a 2 g/</w:t>
      </w:r>
      <w:proofErr w:type="spellStart"/>
      <w:r w:rsidRPr="00EB4634">
        <w:rPr>
          <w:rFonts w:eastAsia="Calibri"/>
          <w:i/>
          <w:sz w:val="24"/>
          <w:szCs w:val="24"/>
          <w:lang w:eastAsia="en-US"/>
        </w:rPr>
        <w:t>kWh</w:t>
      </w:r>
      <w:proofErr w:type="spellEnd"/>
      <w:r w:rsidRPr="00EB4634">
        <w:rPr>
          <w:rFonts w:eastAsia="Calibri"/>
          <w:i/>
          <w:sz w:val="24"/>
          <w:szCs w:val="24"/>
          <w:lang w:eastAsia="en-US"/>
        </w:rPr>
        <w:t xml:space="preserve"> (+ 3,5 puntos/autobús) y, por otra parte, un nivel de ruido inferior a 77 dB (+ 1 punto/autobús).</w:t>
      </w:r>
    </w:p>
    <w:p w:rsidR="00EB4634" w:rsidRPr="00EB4634" w:rsidRDefault="00EB4634" w:rsidP="00EB4634">
      <w:pPr>
        <w:pStyle w:val="Sinespaciado"/>
        <w:spacing w:line="360" w:lineRule="auto"/>
        <w:jc w:val="both"/>
        <w:rPr>
          <w:rFonts w:eastAsia="Calibri"/>
          <w:i/>
          <w:sz w:val="24"/>
          <w:szCs w:val="24"/>
          <w:lang w:eastAsia="en-US"/>
        </w:rPr>
      </w:pPr>
    </w:p>
    <w:p w:rsidR="00EB4634" w:rsidRPr="00EB4634" w:rsidRDefault="00EB4634" w:rsidP="008377CE">
      <w:pPr>
        <w:pStyle w:val="Sinespaciado"/>
        <w:numPr>
          <w:ilvl w:val="0"/>
          <w:numId w:val="6"/>
        </w:numPr>
        <w:spacing w:line="360" w:lineRule="auto"/>
        <w:jc w:val="both"/>
        <w:rPr>
          <w:rFonts w:eastAsia="Calibri"/>
          <w:i/>
          <w:sz w:val="24"/>
          <w:szCs w:val="24"/>
          <w:lang w:eastAsia="en-US"/>
        </w:rPr>
      </w:pPr>
      <w:r w:rsidRPr="00EB4634">
        <w:rPr>
          <w:rFonts w:eastAsia="Calibri"/>
          <w:sz w:val="24"/>
          <w:szCs w:val="24"/>
          <w:lang w:eastAsia="en-US"/>
        </w:rPr>
        <w:t xml:space="preserve">Tercer requisito: La gestión por el empresario en materia de calidad y medio ambiente. Se podrían conceder puntos adicionales por un </w:t>
      </w:r>
      <w:r w:rsidRPr="00EB4634">
        <w:rPr>
          <w:rFonts w:eastAsia="Calibri"/>
          <w:i/>
          <w:sz w:val="24"/>
          <w:szCs w:val="24"/>
          <w:lang w:eastAsia="en-US"/>
        </w:rPr>
        <w:t>conjunto de criterios cualitativos y por un programa de conservación del medio ambiente acreditado mediante certificación.</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lastRenderedPageBreak/>
        <w:t xml:space="preserve">La oficina de abastecimiento de la Ciudad de Helsinki recibió en total ocho ofertas para la ejecución del lote n° 6, entre las que se encontraban, por un lado, la oferta de HKL, y por otro lado, la de </w:t>
      </w:r>
      <w:proofErr w:type="spellStart"/>
      <w:r w:rsidRPr="00EB4634">
        <w:rPr>
          <w:rFonts w:eastAsia="Calibri"/>
          <w:sz w:val="24"/>
          <w:szCs w:val="24"/>
          <w:lang w:eastAsia="en-US"/>
        </w:rPr>
        <w:t>Swebus</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Finland</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Oy</w:t>
      </w:r>
      <w:proofErr w:type="spellEnd"/>
      <w:r w:rsidRPr="00EB4634">
        <w:rPr>
          <w:rFonts w:eastAsia="Calibri"/>
          <w:sz w:val="24"/>
          <w:szCs w:val="24"/>
          <w:lang w:eastAsia="en-US"/>
        </w:rPr>
        <w:t xml:space="preserve"> Ab, posteriormente denominada </w:t>
      </w:r>
      <w:proofErr w:type="spellStart"/>
      <w:r w:rsidRPr="00EB4634">
        <w:rPr>
          <w:rFonts w:eastAsia="Calibri"/>
          <w:sz w:val="24"/>
          <w:szCs w:val="24"/>
          <w:lang w:eastAsia="en-US"/>
        </w:rPr>
        <w:t>Stagecoach</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Finland</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Oy</w:t>
      </w:r>
      <w:proofErr w:type="spellEnd"/>
      <w:r w:rsidRPr="00EB4634">
        <w:rPr>
          <w:rFonts w:eastAsia="Calibri"/>
          <w:sz w:val="24"/>
          <w:szCs w:val="24"/>
          <w:lang w:eastAsia="en-US"/>
        </w:rPr>
        <w:t xml:space="preserve"> Ab, y más tarde Concordia, cuya oferta constaba a su vez de dos propuestas diferentes (A y B).</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En febrero de 1998, la comisión de servicios comerciales eligió la propuesta de la empresa HKL para explotar línea que constituía el lote n° 6, ya que su oferta se consideró, globalmente, como la más favorable desde el punto de vista económico.</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Así, la empresa HKL obtuvo: 85,75 puntos respecto al primer criterio; 2,94 puntos respecto al segundo criterio (debido a que sus emisiones de óxidos de nitrógeno eran inferiores a 2 g/</w:t>
      </w:r>
      <w:proofErr w:type="spellStart"/>
      <w:r w:rsidRPr="00EB4634">
        <w:rPr>
          <w:rFonts w:eastAsia="Calibri"/>
          <w:sz w:val="24"/>
          <w:szCs w:val="24"/>
          <w:lang w:eastAsia="en-US"/>
        </w:rPr>
        <w:t>kWh</w:t>
      </w:r>
      <w:proofErr w:type="spellEnd"/>
      <w:r w:rsidRPr="00EB4634">
        <w:rPr>
          <w:rFonts w:eastAsia="Calibri"/>
          <w:sz w:val="24"/>
          <w:szCs w:val="24"/>
          <w:lang w:eastAsia="en-US"/>
        </w:rPr>
        <w:t>, así como por un nivel sonoro exterior inferior a 77 dB); la máxima cantidad de puntos por sus certificados en materia de calidad y medio ambiente; sumando un total de 92,69.</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Concordia (en aquel momento </w:t>
      </w:r>
      <w:proofErr w:type="spellStart"/>
      <w:r w:rsidRPr="00EB4634">
        <w:rPr>
          <w:rFonts w:eastAsia="Calibri"/>
          <w:sz w:val="24"/>
          <w:szCs w:val="24"/>
          <w:lang w:eastAsia="en-US"/>
        </w:rPr>
        <w:t>Swebus</w:t>
      </w:r>
      <w:proofErr w:type="spellEnd"/>
      <w:r w:rsidRPr="00EB4634">
        <w:rPr>
          <w:rFonts w:eastAsia="Calibri"/>
          <w:sz w:val="24"/>
          <w:szCs w:val="24"/>
          <w:lang w:eastAsia="en-US"/>
        </w:rPr>
        <w:t xml:space="preserve">) obtuvo en la propuesta A: 81,44 puntos respecto al primer criterio; 0,77 respecto al segundo criterio; la máxima cantidad de puntos por sus certificados en materia de calidad y medio ambiente; sumando un total de 86,21 puntos. En la propuesta B obtuvo: 86 puntos, respecto del primer criterio; 1,44 puntos respecto del segundo criterio; la máxima cantidad de puntos por sus certificados en materia de calidad y medio ambiente; sumando un total de 88,56 puntos.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En base a dicha decisión, Concordia interpuso un recurso de anulación ante el </w:t>
      </w:r>
      <w:proofErr w:type="spellStart"/>
      <w:r w:rsidRPr="00EB4634">
        <w:rPr>
          <w:rFonts w:eastAsia="Calibri"/>
          <w:i/>
          <w:sz w:val="24"/>
          <w:szCs w:val="24"/>
          <w:lang w:eastAsia="en-US"/>
        </w:rPr>
        <w:t>Kilpailuneuvosto</w:t>
      </w:r>
      <w:proofErr w:type="spellEnd"/>
      <w:r w:rsidRPr="00EB4634">
        <w:rPr>
          <w:rFonts w:eastAsia="Calibri"/>
          <w:sz w:val="24"/>
          <w:szCs w:val="24"/>
          <w:lang w:eastAsia="en-US"/>
        </w:rPr>
        <w:t xml:space="preserve"> (Consejo de la competencia de Finlandia), alegando que otorgar puntos por el uso de autobuses con emisiones de óxido de nitrógeno por debajo de las establecidas por el anuncio, atentaba contra el principio de no discriminación, debido a que únicamente la empresa HKL tenía la capacidad de poseer los tipos de autobuses con tales características.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El </w:t>
      </w:r>
      <w:proofErr w:type="spellStart"/>
      <w:r w:rsidRPr="00EB4634">
        <w:rPr>
          <w:rFonts w:eastAsia="Calibri"/>
          <w:i/>
          <w:sz w:val="24"/>
          <w:szCs w:val="24"/>
          <w:lang w:eastAsia="en-US"/>
        </w:rPr>
        <w:t>Kilpailuneuvosto</w:t>
      </w:r>
      <w:proofErr w:type="spellEnd"/>
      <w:r w:rsidRPr="00EB4634">
        <w:rPr>
          <w:rFonts w:eastAsia="Calibri"/>
          <w:sz w:val="24"/>
          <w:szCs w:val="24"/>
          <w:lang w:eastAsia="en-US"/>
        </w:rPr>
        <w:t xml:space="preserve"> desestimó el recurso argumentando que la entidad adjudicadora tenía derecho a establecer dichos criterios de preferencia respecto a las características de los vehículos usados, siempre y cuando dichos criterios fueran objetivos, pudiendo en cualquier caso justificarlos si fuera necesario. Además, afirmo que en cualquier caso todas las empresas licitadoras tienen la posibilidad de adquirir autobuses que cumplieran con los requisitos solicitados, concluyendo que en ningún momento se produjo un trato discriminatorio hacia Concordia.</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Ante esta primera negativa, Concordia acudió </w:t>
      </w:r>
      <w:r w:rsidRPr="00EB4634">
        <w:rPr>
          <w:rFonts w:eastAsia="Calibri"/>
          <w:i/>
          <w:sz w:val="24"/>
          <w:szCs w:val="24"/>
          <w:lang w:eastAsia="en-US"/>
        </w:rPr>
        <w:t xml:space="preserve">al </w:t>
      </w: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i/>
          <w:sz w:val="24"/>
          <w:szCs w:val="24"/>
          <w:lang w:eastAsia="en-US"/>
        </w:rPr>
        <w:t>,</w:t>
      </w:r>
      <w:r w:rsidRPr="00EB4634">
        <w:rPr>
          <w:rFonts w:eastAsia="Calibri"/>
          <w:sz w:val="24"/>
          <w:szCs w:val="24"/>
          <w:lang w:eastAsia="en-US"/>
        </w:rPr>
        <w:t xml:space="preserve"> (Tribunal Supremo Administrativo de Finlandia) interponiendo un recurso para anular la decisión del Consejo de Competencia, el </w:t>
      </w:r>
      <w:proofErr w:type="spellStart"/>
      <w:r w:rsidRPr="00EB4634">
        <w:rPr>
          <w:rFonts w:eastAsia="Calibri"/>
          <w:i/>
          <w:sz w:val="24"/>
          <w:szCs w:val="24"/>
          <w:lang w:eastAsia="en-US"/>
        </w:rPr>
        <w:t>Kilpailuneuvosto</w:t>
      </w:r>
      <w:proofErr w:type="spellEnd"/>
      <w:r w:rsidRPr="00EB4634">
        <w:rPr>
          <w:rFonts w:eastAsia="Calibri"/>
          <w:i/>
          <w:sz w:val="24"/>
          <w:szCs w:val="24"/>
          <w:lang w:eastAsia="en-US"/>
        </w:rPr>
        <w:t>,</w:t>
      </w:r>
      <w:r w:rsidRPr="00EB4634">
        <w:rPr>
          <w:rFonts w:eastAsia="Calibri"/>
          <w:sz w:val="24"/>
          <w:szCs w:val="24"/>
          <w:lang w:eastAsia="en-US"/>
        </w:rPr>
        <w:t xml:space="preserve"> alegando, de nuevo, que HKL era la única empresa licitadora con posibilidad de utilizar vehículos con las características solicitadas, y que, en segundo lugar y en un plano más amplio, </w:t>
      </w:r>
      <w:r w:rsidRPr="00EB4634">
        <w:rPr>
          <w:rFonts w:eastAsia="Calibri"/>
          <w:i/>
          <w:sz w:val="24"/>
          <w:szCs w:val="24"/>
          <w:lang w:eastAsia="en-US"/>
        </w:rPr>
        <w:t>dichos factores ecológicos no tenían relación directa con el objeto de la licitación.</w:t>
      </w:r>
      <w:r w:rsidRPr="00EB4634">
        <w:rPr>
          <w:rFonts w:eastAsia="Calibri"/>
          <w:sz w:val="24"/>
          <w:szCs w:val="24"/>
          <w:lang w:eastAsia="en-US"/>
        </w:rPr>
        <w:t xml:space="preserve"> </w:t>
      </w: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En consecuencia, tras el estudio de dicha petición, el </w:t>
      </w: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sz w:val="24"/>
          <w:szCs w:val="24"/>
          <w:lang w:eastAsia="en-US"/>
        </w:rPr>
        <w:t xml:space="preserve"> decidió suspender el procedimiento y plantear al Tribunal de Justicia Europeo una serie de cuestiones prejudiciales necesarias para poder resolver el mismo. Estas cuestiones, las cuales se definen en 3 preguntas, serán, en resumen, el objeto del procedimiento en cual se basa esta sentencia. </w:t>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t xml:space="preserve">OBJETO DE LA RECLAMACIÓN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En un sentido estricto, </w:t>
      </w:r>
      <w:r w:rsidRPr="00EB4634">
        <w:rPr>
          <w:rFonts w:eastAsia="Calibri"/>
          <w:i/>
          <w:sz w:val="24"/>
          <w:szCs w:val="24"/>
          <w:lang w:eastAsia="en-US"/>
        </w:rPr>
        <w:t xml:space="preserve">el asunto C-513/99 tiene por objeto una petición dirigida al Tribunal de Justicia, por el </w:t>
      </w: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i/>
          <w:sz w:val="24"/>
          <w:szCs w:val="24"/>
          <w:lang w:eastAsia="en-US"/>
        </w:rPr>
        <w:t xml:space="preserve">, destinada a obtener, en el litigio pendiente ante dicho órgano jurisdiccional entre Concordia Bus </w:t>
      </w:r>
      <w:proofErr w:type="spellStart"/>
      <w:r w:rsidRPr="00EB4634">
        <w:rPr>
          <w:rFonts w:eastAsia="Calibri"/>
          <w:i/>
          <w:sz w:val="24"/>
          <w:szCs w:val="24"/>
          <w:lang w:eastAsia="en-US"/>
        </w:rPr>
        <w:t>Finland</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Oy</w:t>
      </w:r>
      <w:proofErr w:type="spellEnd"/>
      <w:r w:rsidRPr="00EB4634">
        <w:rPr>
          <w:rFonts w:eastAsia="Calibri"/>
          <w:i/>
          <w:sz w:val="24"/>
          <w:szCs w:val="24"/>
          <w:lang w:eastAsia="en-US"/>
        </w:rPr>
        <w:t xml:space="preserve"> Ab, y </w:t>
      </w:r>
      <w:proofErr w:type="spellStart"/>
      <w:r w:rsidRPr="00EB4634">
        <w:rPr>
          <w:rFonts w:eastAsia="Calibri"/>
          <w:i/>
          <w:sz w:val="24"/>
          <w:szCs w:val="24"/>
          <w:lang w:eastAsia="en-US"/>
        </w:rPr>
        <w:t>Helsingin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kaupunki</w:t>
      </w:r>
      <w:proofErr w:type="spellEnd"/>
      <w:r w:rsidRPr="00EB4634">
        <w:rPr>
          <w:rFonts w:eastAsia="Calibri"/>
          <w:i/>
          <w:sz w:val="24"/>
          <w:szCs w:val="24"/>
          <w:lang w:eastAsia="en-US"/>
        </w:rPr>
        <w:t>, HKL-</w:t>
      </w:r>
      <w:proofErr w:type="spellStart"/>
      <w:r w:rsidRPr="00EB4634">
        <w:rPr>
          <w:rFonts w:eastAsia="Calibri"/>
          <w:i/>
          <w:sz w:val="24"/>
          <w:szCs w:val="24"/>
          <w:lang w:eastAsia="en-US"/>
        </w:rPr>
        <w:t>Bussiliikenne</w:t>
      </w:r>
      <w:proofErr w:type="spellEnd"/>
      <w:r w:rsidRPr="00EB4634">
        <w:rPr>
          <w:rFonts w:eastAsia="Calibri"/>
          <w:i/>
          <w:sz w:val="24"/>
          <w:szCs w:val="24"/>
          <w:lang w:eastAsia="en-US"/>
        </w:rPr>
        <w:t xml:space="preserve">, una </w:t>
      </w:r>
      <w:proofErr w:type="spellStart"/>
      <w:r w:rsidRPr="00EB4634">
        <w:rPr>
          <w:rFonts w:eastAsia="Calibri"/>
          <w:i/>
          <w:sz w:val="24"/>
          <w:szCs w:val="24"/>
          <w:lang w:eastAsia="en-US"/>
        </w:rPr>
        <w:t>decision</w:t>
      </w:r>
      <w:proofErr w:type="spellEnd"/>
      <w:r w:rsidRPr="00EB4634">
        <w:rPr>
          <w:rFonts w:eastAsia="Calibri"/>
          <w:i/>
          <w:sz w:val="24"/>
          <w:szCs w:val="24"/>
          <w:lang w:eastAsia="en-US"/>
        </w:rPr>
        <w:t xml:space="preserve"> prejudicial</w:t>
      </w:r>
      <w:r w:rsidRPr="00EB4634">
        <w:rPr>
          <w:rFonts w:eastAsia="Calibri"/>
          <w:sz w:val="24"/>
          <w:szCs w:val="24"/>
          <w:lang w:eastAsia="en-US"/>
        </w:rPr>
        <w:t xml:space="preserve"> </w:t>
      </w:r>
      <w:r w:rsidRPr="00EB4634">
        <w:rPr>
          <w:rFonts w:eastAsia="Calibri"/>
          <w:i/>
          <w:sz w:val="24"/>
          <w:szCs w:val="24"/>
          <w:lang w:eastAsia="en-US"/>
        </w:rPr>
        <w:t>sobre la interpretación,</w:t>
      </w:r>
      <w:r w:rsidRPr="00EB4634">
        <w:rPr>
          <w:rFonts w:eastAsia="Calibri"/>
          <w:sz w:val="24"/>
          <w:szCs w:val="24"/>
          <w:lang w:eastAsia="en-US"/>
        </w:rPr>
        <w:t xml:space="preserve"> en primer lugar, </w:t>
      </w:r>
      <w:r w:rsidRPr="00EB4634">
        <w:rPr>
          <w:rFonts w:eastAsia="Calibri"/>
          <w:i/>
          <w:sz w:val="24"/>
          <w:szCs w:val="24"/>
          <w:lang w:eastAsia="en-US"/>
        </w:rPr>
        <w:t>de los artículos 2, apartados 1, letra a), 2, letra c), y 4, así como 34, apartado 1, de la Directiva 93/38/CEE del Consejo, de 14 de junio de 1993, sobre coordinación de los procedimientos de adjudicación de contratos en los sectores del agua, de la energía, de los transportes y de las telecomunicaciones</w:t>
      </w:r>
      <w:r w:rsidRPr="00EB4634">
        <w:rPr>
          <w:rFonts w:eastAsia="Calibri"/>
          <w:sz w:val="24"/>
          <w:szCs w:val="24"/>
          <w:lang w:eastAsia="en-US"/>
        </w:rPr>
        <w:t xml:space="preserve">, y por otro lado, </w:t>
      </w:r>
      <w:r w:rsidRPr="00EB4634">
        <w:rPr>
          <w:rFonts w:eastAsia="Calibri"/>
          <w:i/>
          <w:sz w:val="24"/>
          <w:szCs w:val="24"/>
          <w:lang w:eastAsia="en-US"/>
        </w:rPr>
        <w:t>del artículo 36, apartado 1, de la Directiva 92/50/CEE del Consejo, de 18 de junio de 1992, sobre coordinación de los procedimientos de adjudicación de los contratos públicos de servicios</w:t>
      </w:r>
      <w:r w:rsidRPr="00EB4634">
        <w:rPr>
          <w:rFonts w:eastAsia="Calibri"/>
          <w:sz w:val="24"/>
          <w:szCs w:val="24"/>
          <w:lang w:eastAsia="en-US"/>
        </w:rPr>
        <w:t>.</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Ahora, de una forma más específica, y como ya hemos mencionado anteriormente, la interpretación de estos artículos se fundamentará en las 3 preguntas realizadas por el </w:t>
      </w: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sz w:val="24"/>
          <w:szCs w:val="24"/>
          <w:lang w:eastAsia="en-US"/>
        </w:rPr>
        <w:t xml:space="preserve"> al Tribunal de Justicia, siendo estas las siguientes: </w:t>
      </w:r>
    </w:p>
    <w:p w:rsidR="00EB4634" w:rsidRPr="00EB4634" w:rsidRDefault="00EB4634" w:rsidP="00EB4634">
      <w:pPr>
        <w:pStyle w:val="Sinespaciado"/>
        <w:spacing w:line="360" w:lineRule="auto"/>
        <w:jc w:val="both"/>
        <w:rPr>
          <w:rFonts w:eastAsia="Calibri"/>
          <w:sz w:val="24"/>
          <w:szCs w:val="24"/>
          <w:lang w:eastAsia="en-US"/>
        </w:rPr>
      </w:pPr>
    </w:p>
    <w:p w:rsidR="007579E1" w:rsidRDefault="00EB4634" w:rsidP="008377CE">
      <w:pPr>
        <w:pStyle w:val="Sinespaciado"/>
        <w:numPr>
          <w:ilvl w:val="0"/>
          <w:numId w:val="8"/>
        </w:numPr>
        <w:spacing w:line="360" w:lineRule="auto"/>
        <w:jc w:val="both"/>
        <w:rPr>
          <w:rFonts w:eastAsia="Calibri"/>
          <w:i/>
          <w:sz w:val="24"/>
          <w:szCs w:val="24"/>
          <w:lang w:eastAsia="en-US"/>
        </w:rPr>
      </w:pPr>
      <w:r w:rsidRPr="00EB4634">
        <w:rPr>
          <w:rFonts w:eastAsia="Calibri"/>
          <w:i/>
          <w:sz w:val="24"/>
          <w:szCs w:val="24"/>
          <w:lang w:eastAsia="en-US"/>
        </w:rPr>
        <w:t xml:space="preserve">¿Deben interpretarse las disposiciones relativas al ámbito de aplicación de la Directiva 93/38/CEE del Consejo, de 14 de junio de 1993, sobre coordinación de los procedimientos de adjudicación de contratos en los sectores del agua, de la energía, de los transportes y de las telecomunicaciones [...] y, en particular, su artículo 2, apartados 1, letra a), 2, letra c), y 4, en el sentido de que dicha Directiva es de </w:t>
      </w:r>
      <w:r w:rsidRPr="00EB4634">
        <w:rPr>
          <w:rFonts w:eastAsia="Calibri"/>
          <w:i/>
          <w:sz w:val="24"/>
          <w:szCs w:val="24"/>
          <w:lang w:eastAsia="en-US"/>
        </w:rPr>
        <w:lastRenderedPageBreak/>
        <w:t>aplicación al procedimiento seguido por un ayuntamiento, en calidad de entidad adjudicadora, para la adjudicación de un contrato relativo a la explotación de un servicio de autobuses urbanos, en el supuesto de que:</w:t>
      </w:r>
    </w:p>
    <w:p w:rsidR="007579E1" w:rsidRDefault="007579E1" w:rsidP="007579E1">
      <w:pPr>
        <w:pStyle w:val="Sinespaciado"/>
        <w:spacing w:line="360" w:lineRule="auto"/>
        <w:ind w:left="720"/>
        <w:jc w:val="both"/>
        <w:rPr>
          <w:rFonts w:eastAsia="Calibri"/>
          <w:i/>
          <w:sz w:val="24"/>
          <w:szCs w:val="24"/>
          <w:lang w:eastAsia="en-US"/>
        </w:rPr>
      </w:pPr>
    </w:p>
    <w:p w:rsidR="00EB4634" w:rsidRPr="007579E1" w:rsidRDefault="00EB4634" w:rsidP="008377CE">
      <w:pPr>
        <w:pStyle w:val="Sinespaciado"/>
        <w:numPr>
          <w:ilvl w:val="0"/>
          <w:numId w:val="9"/>
        </w:numPr>
        <w:spacing w:line="360" w:lineRule="auto"/>
        <w:jc w:val="both"/>
        <w:rPr>
          <w:rFonts w:eastAsia="Calibri"/>
          <w:i/>
          <w:sz w:val="24"/>
          <w:szCs w:val="24"/>
          <w:lang w:eastAsia="en-US"/>
        </w:rPr>
      </w:pPr>
      <w:r w:rsidRPr="007579E1">
        <w:rPr>
          <w:rFonts w:eastAsia="Calibri"/>
          <w:i/>
          <w:sz w:val="24"/>
          <w:szCs w:val="24"/>
          <w:lang w:eastAsia="en-US"/>
        </w:rPr>
        <w:t>El ayuntamiento sea competente, en su territorio, para la planificación, el desarrollo, la ejecución y la organización en general, así como para el control de los transportes colectivos.</w:t>
      </w:r>
    </w:p>
    <w:p w:rsidR="00EB4634" w:rsidRPr="00EB4634" w:rsidRDefault="00EB4634" w:rsidP="00EB4634">
      <w:pPr>
        <w:pStyle w:val="Sinespaciado"/>
        <w:spacing w:line="360" w:lineRule="auto"/>
        <w:jc w:val="both"/>
        <w:rPr>
          <w:rFonts w:eastAsia="Calibri"/>
          <w:i/>
          <w:sz w:val="24"/>
          <w:szCs w:val="24"/>
          <w:lang w:eastAsia="en-US"/>
        </w:rPr>
      </w:pPr>
    </w:p>
    <w:p w:rsidR="00EB4634" w:rsidRPr="00EB4634" w:rsidRDefault="00EB4634" w:rsidP="008377CE">
      <w:pPr>
        <w:pStyle w:val="Sinespaciado"/>
        <w:numPr>
          <w:ilvl w:val="0"/>
          <w:numId w:val="9"/>
        </w:numPr>
        <w:spacing w:line="360" w:lineRule="auto"/>
        <w:jc w:val="both"/>
        <w:rPr>
          <w:rFonts w:eastAsia="Calibri"/>
          <w:i/>
          <w:sz w:val="24"/>
          <w:szCs w:val="24"/>
          <w:lang w:eastAsia="en-US"/>
        </w:rPr>
      </w:pPr>
      <w:r w:rsidRPr="00EB4634">
        <w:rPr>
          <w:rFonts w:eastAsia="Calibri"/>
          <w:i/>
          <w:sz w:val="24"/>
          <w:szCs w:val="24"/>
          <w:lang w:eastAsia="en-US"/>
        </w:rPr>
        <w:t>El ayuntamiento disponga, para realizar las citadas tareas, de una comisión de transportes colectivos y de una empresa municipal de transportes subordinada a dicha comisión.</w:t>
      </w:r>
    </w:p>
    <w:p w:rsidR="00EB4634" w:rsidRPr="00EB4634" w:rsidRDefault="00EB4634" w:rsidP="00EB4634">
      <w:pPr>
        <w:pStyle w:val="Sinespaciado"/>
        <w:spacing w:line="360" w:lineRule="auto"/>
        <w:jc w:val="both"/>
        <w:rPr>
          <w:rFonts w:eastAsia="Calibri"/>
          <w:i/>
          <w:sz w:val="24"/>
          <w:szCs w:val="24"/>
          <w:lang w:eastAsia="en-US"/>
        </w:rPr>
      </w:pPr>
    </w:p>
    <w:p w:rsidR="00EB4634" w:rsidRPr="00EB4634" w:rsidRDefault="00EB4634" w:rsidP="008377CE">
      <w:pPr>
        <w:pStyle w:val="Sinespaciado"/>
        <w:numPr>
          <w:ilvl w:val="0"/>
          <w:numId w:val="9"/>
        </w:numPr>
        <w:spacing w:line="360" w:lineRule="auto"/>
        <w:jc w:val="both"/>
        <w:rPr>
          <w:rFonts w:eastAsia="Calibri"/>
          <w:i/>
          <w:sz w:val="24"/>
          <w:szCs w:val="24"/>
          <w:lang w:eastAsia="en-US"/>
        </w:rPr>
      </w:pPr>
      <w:r w:rsidRPr="00EB4634">
        <w:rPr>
          <w:rFonts w:eastAsia="Calibri"/>
          <w:i/>
          <w:sz w:val="24"/>
          <w:szCs w:val="24"/>
          <w:lang w:eastAsia="en-US"/>
        </w:rPr>
        <w:t>La empresa municipal de transportes posea una unidad de planificación, que actúa como comitente, que prepare para la comisión de transportes colectivos propuestas sobre las líneas que deben ser objeto de concurso y sobre el nivel de calidad del servicio que debe exigirse.</w:t>
      </w:r>
    </w:p>
    <w:p w:rsidR="00EB4634" w:rsidRPr="00EB4634" w:rsidRDefault="00EB4634" w:rsidP="00EB4634">
      <w:pPr>
        <w:pStyle w:val="Sinespaciado"/>
        <w:spacing w:line="360" w:lineRule="auto"/>
        <w:jc w:val="both"/>
        <w:rPr>
          <w:rFonts w:eastAsia="Calibri"/>
          <w:i/>
          <w:sz w:val="24"/>
          <w:szCs w:val="24"/>
          <w:lang w:eastAsia="en-US"/>
        </w:rPr>
      </w:pPr>
    </w:p>
    <w:p w:rsidR="00EB4634" w:rsidRPr="00EB4634" w:rsidRDefault="00EB4634" w:rsidP="008377CE">
      <w:pPr>
        <w:pStyle w:val="Sinespaciado"/>
        <w:numPr>
          <w:ilvl w:val="0"/>
          <w:numId w:val="9"/>
        </w:numPr>
        <w:spacing w:line="360" w:lineRule="auto"/>
        <w:jc w:val="both"/>
        <w:rPr>
          <w:rFonts w:eastAsia="Calibri"/>
          <w:i/>
          <w:sz w:val="24"/>
          <w:szCs w:val="24"/>
          <w:lang w:eastAsia="en-US"/>
        </w:rPr>
      </w:pPr>
      <w:r w:rsidRPr="00EB4634">
        <w:rPr>
          <w:rFonts w:eastAsia="Calibri"/>
          <w:i/>
          <w:sz w:val="24"/>
          <w:szCs w:val="24"/>
          <w:lang w:eastAsia="en-US"/>
        </w:rPr>
        <w:t>La empresa municipal de transportes disponga de unidades de producción que, desde el punto de vista económico, sean distintas del resto de la empresa y, entre otras, de una unidad especializada en el transporte en autobús, que participe en licitaciones relacionadas con tal actividad.</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8377CE">
      <w:pPr>
        <w:pStyle w:val="Sinespaciado"/>
        <w:numPr>
          <w:ilvl w:val="0"/>
          <w:numId w:val="8"/>
        </w:numPr>
        <w:spacing w:line="360" w:lineRule="auto"/>
        <w:jc w:val="both"/>
        <w:rPr>
          <w:rFonts w:eastAsia="Calibri"/>
          <w:i/>
          <w:sz w:val="24"/>
          <w:szCs w:val="24"/>
          <w:lang w:eastAsia="en-US"/>
        </w:rPr>
      </w:pPr>
      <w:r w:rsidRPr="00EB4634">
        <w:rPr>
          <w:rFonts w:eastAsia="Calibri"/>
          <w:i/>
          <w:sz w:val="24"/>
          <w:szCs w:val="24"/>
          <w:lang w:eastAsia="en-US"/>
        </w:rPr>
        <w:t xml:space="preserve">¿Debe interpretarse la normativa comunitaria relativa a los contratos públicos y, en particular, el artículo 36, apartado 1, de la Directiva 92/50/CEE del Consejo, de 18 de junio de 1992, sobre coordinación de los procedimientos de adjudicación de los contratos públicos de servicios [...] o la disposición semejante (artículo 34, apartado 1) de la Directiva 93/38/CEE, en el sentido de que un ayuntamiento que, como entidad adjudicadora, organiza una licitación sobre la explotación de un servicio de autobuses urbanos, puede incluir, entre los criterios para adjudicar el contrato público que debe celebrarse sobre la base de la oferta económicamente más ventajosa, además del precio propuesto, la gestión ecológica y cualitativa del explotador u otras características de los vehículos, así como la reducción de las emisiones de óxidos de nitrógeno o de ruidos, según las modalidades que figuran en </w:t>
      </w:r>
      <w:r w:rsidRPr="00EB4634">
        <w:rPr>
          <w:rFonts w:eastAsia="Calibri"/>
          <w:i/>
          <w:sz w:val="24"/>
          <w:szCs w:val="24"/>
          <w:lang w:eastAsia="en-US"/>
        </w:rPr>
        <w:lastRenderedPageBreak/>
        <w:t>la licitación, de forma que, si las emisiones de óxidos de nitrógeno o el nivel de ruido de ciertos vehículos son inferiores a un determinado límite, pueden asignarse puntos adicionales a efectos de la comparación de las ofertas?</w:t>
      </w:r>
    </w:p>
    <w:p w:rsidR="00EB4634" w:rsidRPr="00EB4634" w:rsidRDefault="00EB4634" w:rsidP="00EB4634">
      <w:pPr>
        <w:pStyle w:val="Sinespaciado"/>
        <w:spacing w:line="360" w:lineRule="auto"/>
        <w:jc w:val="both"/>
        <w:rPr>
          <w:rFonts w:eastAsia="Calibri"/>
          <w:i/>
          <w:sz w:val="24"/>
          <w:szCs w:val="24"/>
          <w:lang w:eastAsia="en-US"/>
        </w:rPr>
      </w:pPr>
    </w:p>
    <w:p w:rsidR="00EB4634" w:rsidRPr="00EB4634" w:rsidRDefault="00EB4634" w:rsidP="008377CE">
      <w:pPr>
        <w:pStyle w:val="Sinespaciado"/>
        <w:numPr>
          <w:ilvl w:val="0"/>
          <w:numId w:val="8"/>
        </w:numPr>
        <w:spacing w:line="360" w:lineRule="auto"/>
        <w:jc w:val="both"/>
        <w:rPr>
          <w:rFonts w:eastAsia="Calibri"/>
          <w:i/>
          <w:sz w:val="24"/>
          <w:szCs w:val="24"/>
          <w:lang w:eastAsia="en-US"/>
        </w:rPr>
      </w:pPr>
      <w:r w:rsidRPr="00EB4634">
        <w:rPr>
          <w:rFonts w:eastAsia="Calibri"/>
          <w:i/>
          <w:sz w:val="24"/>
          <w:szCs w:val="24"/>
          <w:lang w:eastAsia="en-US"/>
        </w:rPr>
        <w:t>En caso de respuesta afirmativa a la cuestión anterior, ¿deben interpretarse las normas de Derecho comunitario en materia de contratos públicos en el sentido de que, no obstante, está prohibida la asignación de puntos adicionales en razón de las propiedades mencionadas de los vehículos, en lo que atañe a emisiones de óxidos de nitrógeno o al nivel de ruido, siempre que conste de antemano que la propia empresa de transportes de la ciudad organizadora de la licitación, que gestiona la red de autobuses, puede proponer unos vehículos que cumplan los requisitos establecidos, posibilidad que, por lo demás, dadas las circunstancias, sólo tienen unas cuantas empresas del sector?»</w:t>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t>PARTES IMPLICADAS EN EL PROCESO</w:t>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10"/>
        </w:numPr>
        <w:spacing w:line="360" w:lineRule="auto"/>
        <w:jc w:val="both"/>
        <w:rPr>
          <w:rFonts w:eastAsia="Calibri"/>
          <w:sz w:val="24"/>
          <w:szCs w:val="24"/>
          <w:lang w:eastAsia="en-US"/>
        </w:rPr>
      </w:pPr>
      <w:r w:rsidRPr="00EB4634">
        <w:rPr>
          <w:rFonts w:eastAsia="Calibri"/>
          <w:sz w:val="24"/>
          <w:szCs w:val="24"/>
          <w:lang w:eastAsia="en-US"/>
        </w:rPr>
        <w:t xml:space="preserve">Concordia Bus </w:t>
      </w:r>
      <w:proofErr w:type="spellStart"/>
      <w:r w:rsidRPr="00EB4634">
        <w:rPr>
          <w:rFonts w:eastAsia="Calibri"/>
          <w:sz w:val="24"/>
          <w:szCs w:val="24"/>
          <w:lang w:eastAsia="en-US"/>
        </w:rPr>
        <w:t>Finland</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Oy</w:t>
      </w:r>
      <w:proofErr w:type="spellEnd"/>
      <w:r w:rsidRPr="00EB4634">
        <w:rPr>
          <w:rFonts w:eastAsia="Calibri"/>
          <w:sz w:val="24"/>
          <w:szCs w:val="24"/>
          <w:lang w:eastAsia="en-US"/>
        </w:rPr>
        <w:t xml:space="preserve"> Ab (Previamente llamada </w:t>
      </w:r>
      <w:proofErr w:type="spellStart"/>
      <w:r w:rsidRPr="00EB4634">
        <w:rPr>
          <w:rFonts w:eastAsia="Calibri"/>
          <w:sz w:val="24"/>
          <w:szCs w:val="24"/>
          <w:lang w:eastAsia="en-US"/>
        </w:rPr>
        <w:t>Stagecoach</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Finland</w:t>
      </w:r>
      <w:proofErr w:type="spellEnd"/>
      <w:r w:rsidRPr="00EB4634">
        <w:rPr>
          <w:rFonts w:eastAsia="Calibri"/>
          <w:sz w:val="24"/>
          <w:szCs w:val="24"/>
          <w:lang w:eastAsia="en-US"/>
        </w:rPr>
        <w:t xml:space="preserve"> </w:t>
      </w:r>
      <w:proofErr w:type="spellStart"/>
      <w:r w:rsidRPr="00EB4634">
        <w:rPr>
          <w:rFonts w:eastAsia="Calibri"/>
          <w:sz w:val="24"/>
          <w:szCs w:val="24"/>
          <w:lang w:eastAsia="en-US"/>
        </w:rPr>
        <w:t>Oy</w:t>
      </w:r>
      <w:proofErr w:type="spellEnd"/>
      <w:r w:rsidRPr="00EB4634">
        <w:rPr>
          <w:rFonts w:eastAsia="Calibri"/>
          <w:sz w:val="24"/>
          <w:szCs w:val="24"/>
          <w:lang w:eastAsia="en-US"/>
        </w:rPr>
        <w:t xml:space="preserve"> Ab): Empresa licitadora del contrato de gestión de transportes urbanos de la ciudad de Helsinki, la cual interpone un primer recurso de anulación contra la decisión tomada por la comisión de servicios comerciales, </w:t>
      </w:r>
      <w:r w:rsidRPr="00EB4634">
        <w:rPr>
          <w:rFonts w:eastAsia="Calibri"/>
          <w:i/>
          <w:sz w:val="24"/>
          <w:szCs w:val="24"/>
          <w:lang w:eastAsia="en-US"/>
        </w:rPr>
        <w:t xml:space="preserve">la </w:t>
      </w:r>
      <w:proofErr w:type="spellStart"/>
      <w:r w:rsidRPr="00EB4634">
        <w:rPr>
          <w:rFonts w:eastAsia="Calibri"/>
          <w:i/>
          <w:sz w:val="24"/>
          <w:szCs w:val="24"/>
          <w:lang w:eastAsia="en-US"/>
        </w:rPr>
        <w:t>liikepalvelulautakunta</w:t>
      </w:r>
      <w:proofErr w:type="spellEnd"/>
      <w:r w:rsidRPr="00EB4634">
        <w:rPr>
          <w:rFonts w:eastAsia="Calibri"/>
          <w:sz w:val="24"/>
          <w:szCs w:val="24"/>
          <w:lang w:eastAsia="en-US"/>
        </w:rPr>
        <w:t>.</w:t>
      </w:r>
    </w:p>
    <w:p w:rsidR="00EB4634" w:rsidRPr="007579E1" w:rsidRDefault="00EB4634" w:rsidP="008377CE">
      <w:pPr>
        <w:pStyle w:val="Sinespaciado"/>
        <w:numPr>
          <w:ilvl w:val="0"/>
          <w:numId w:val="10"/>
        </w:numPr>
        <w:spacing w:line="360" w:lineRule="auto"/>
        <w:jc w:val="both"/>
        <w:rPr>
          <w:rFonts w:eastAsia="Calibri"/>
          <w:sz w:val="24"/>
          <w:szCs w:val="24"/>
          <w:lang w:eastAsia="en-US"/>
        </w:rPr>
      </w:pPr>
      <w:proofErr w:type="spellStart"/>
      <w:r w:rsidRPr="00EB4634">
        <w:rPr>
          <w:rFonts w:eastAsia="Calibri"/>
          <w:i/>
          <w:sz w:val="24"/>
          <w:szCs w:val="24"/>
          <w:lang w:eastAsia="en-US"/>
        </w:rPr>
        <w:t>Helsingin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kaupungin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liikennelaitos</w:t>
      </w:r>
      <w:proofErr w:type="spellEnd"/>
      <w:r w:rsidRPr="00EB4634">
        <w:rPr>
          <w:rFonts w:eastAsia="Calibri"/>
          <w:sz w:val="24"/>
          <w:szCs w:val="24"/>
          <w:lang w:eastAsia="en-US"/>
        </w:rPr>
        <w:t>: Empresa de transportes de la Ciudad de Helsinki</w:t>
      </w:r>
    </w:p>
    <w:p w:rsidR="00EB4634" w:rsidRPr="007579E1" w:rsidRDefault="00EB4634" w:rsidP="008377CE">
      <w:pPr>
        <w:pStyle w:val="Sinespaciado"/>
        <w:numPr>
          <w:ilvl w:val="0"/>
          <w:numId w:val="10"/>
        </w:numPr>
        <w:spacing w:line="360" w:lineRule="auto"/>
        <w:jc w:val="both"/>
        <w:rPr>
          <w:rFonts w:eastAsia="Calibri"/>
          <w:sz w:val="24"/>
          <w:szCs w:val="24"/>
          <w:lang w:eastAsia="en-US"/>
        </w:rPr>
      </w:pPr>
      <w:r w:rsidRPr="00EB4634">
        <w:rPr>
          <w:rFonts w:eastAsia="Calibri"/>
          <w:i/>
          <w:sz w:val="24"/>
          <w:szCs w:val="24"/>
          <w:lang w:eastAsia="en-US"/>
        </w:rPr>
        <w:t>HKL-</w:t>
      </w:r>
      <w:proofErr w:type="spellStart"/>
      <w:r w:rsidRPr="00EB4634">
        <w:rPr>
          <w:rFonts w:eastAsia="Calibri"/>
          <w:i/>
          <w:sz w:val="24"/>
          <w:szCs w:val="24"/>
          <w:lang w:eastAsia="en-US"/>
        </w:rPr>
        <w:t>Bussiliikenne</w:t>
      </w:r>
      <w:proofErr w:type="spellEnd"/>
      <w:r w:rsidRPr="00EB4634">
        <w:rPr>
          <w:rFonts w:eastAsia="Calibri"/>
          <w:sz w:val="24"/>
          <w:szCs w:val="24"/>
          <w:lang w:eastAsia="en-US"/>
        </w:rPr>
        <w:t xml:space="preserve">: Empresa licitadora del contrato de gestión de transportes urbanos de la ciudad de Helsinki, la cual obtiene dicho contrato de gestión.  </w:t>
      </w:r>
    </w:p>
    <w:p w:rsidR="00EB4634" w:rsidRPr="007579E1" w:rsidRDefault="00EB4634" w:rsidP="008377CE">
      <w:pPr>
        <w:pStyle w:val="Sinespaciado"/>
        <w:numPr>
          <w:ilvl w:val="0"/>
          <w:numId w:val="10"/>
        </w:numPr>
        <w:spacing w:line="360" w:lineRule="auto"/>
        <w:jc w:val="both"/>
        <w:rPr>
          <w:rFonts w:eastAsia="Calibri"/>
          <w:sz w:val="24"/>
          <w:szCs w:val="24"/>
          <w:lang w:eastAsia="en-US"/>
        </w:rPr>
      </w:pPr>
      <w:proofErr w:type="spellStart"/>
      <w:r w:rsidRPr="00EB4634">
        <w:rPr>
          <w:rFonts w:eastAsia="Calibri"/>
          <w:i/>
          <w:sz w:val="24"/>
          <w:szCs w:val="24"/>
          <w:lang w:eastAsia="en-US"/>
        </w:rPr>
        <w:t>Liikepalvelulautakunta</w:t>
      </w:r>
      <w:proofErr w:type="spellEnd"/>
      <w:r w:rsidRPr="00EB4634">
        <w:rPr>
          <w:rFonts w:eastAsia="Calibri"/>
          <w:sz w:val="24"/>
          <w:szCs w:val="24"/>
          <w:lang w:eastAsia="en-US"/>
        </w:rPr>
        <w:t>: La comisión de transportes comerciales, a la cual le corresponde la adjudicación del contrato de los servicios de transporte.</w:t>
      </w:r>
    </w:p>
    <w:p w:rsidR="007579E1" w:rsidRPr="007579E1" w:rsidRDefault="00EB4634" w:rsidP="008377CE">
      <w:pPr>
        <w:pStyle w:val="Sinespaciado"/>
        <w:numPr>
          <w:ilvl w:val="0"/>
          <w:numId w:val="10"/>
        </w:numPr>
        <w:spacing w:line="360" w:lineRule="auto"/>
        <w:jc w:val="both"/>
        <w:rPr>
          <w:rFonts w:eastAsia="Calibri"/>
          <w:sz w:val="24"/>
          <w:szCs w:val="24"/>
          <w:lang w:eastAsia="en-US"/>
        </w:rPr>
      </w:pPr>
      <w:proofErr w:type="spellStart"/>
      <w:r w:rsidRPr="00EB4634">
        <w:rPr>
          <w:rFonts w:eastAsia="Calibri"/>
          <w:i/>
          <w:sz w:val="24"/>
          <w:szCs w:val="24"/>
          <w:lang w:eastAsia="en-US"/>
        </w:rPr>
        <w:t>Kilpailuneuvosto</w:t>
      </w:r>
      <w:proofErr w:type="spellEnd"/>
      <w:r w:rsidRPr="00EB4634">
        <w:rPr>
          <w:rFonts w:eastAsia="Calibri"/>
          <w:sz w:val="24"/>
          <w:szCs w:val="24"/>
          <w:lang w:eastAsia="en-US"/>
        </w:rPr>
        <w:t>: Consejo de la competencia de Finlandia. Primer órgano al que acude la empresa Concordia</w:t>
      </w:r>
      <w:r w:rsidR="007579E1">
        <w:rPr>
          <w:rFonts w:eastAsia="Calibri"/>
          <w:sz w:val="24"/>
          <w:szCs w:val="24"/>
          <w:lang w:eastAsia="en-US"/>
        </w:rPr>
        <w:t>.</w:t>
      </w:r>
    </w:p>
    <w:p w:rsidR="00EB4634" w:rsidRPr="007579E1" w:rsidRDefault="00EB4634" w:rsidP="008377CE">
      <w:pPr>
        <w:pStyle w:val="Sinespaciado"/>
        <w:numPr>
          <w:ilvl w:val="0"/>
          <w:numId w:val="10"/>
        </w:numPr>
        <w:spacing w:line="360" w:lineRule="auto"/>
        <w:jc w:val="both"/>
        <w:rPr>
          <w:rFonts w:eastAsia="Calibri"/>
          <w:sz w:val="24"/>
          <w:szCs w:val="24"/>
          <w:lang w:eastAsia="en-US"/>
        </w:rPr>
      </w:pP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sz w:val="24"/>
          <w:szCs w:val="24"/>
          <w:lang w:eastAsia="en-US"/>
        </w:rPr>
        <w:t xml:space="preserve">: Tribunal Supremo Administrativo de Finlandia. Segundo órgano al que acude la empresa Concordia. </w:t>
      </w:r>
    </w:p>
    <w:p w:rsidR="00EB4634" w:rsidRPr="00EB4634" w:rsidRDefault="00EB4634" w:rsidP="008377CE">
      <w:pPr>
        <w:pStyle w:val="Sinespaciado"/>
        <w:numPr>
          <w:ilvl w:val="0"/>
          <w:numId w:val="10"/>
        </w:numPr>
        <w:spacing w:line="360" w:lineRule="auto"/>
        <w:jc w:val="both"/>
        <w:rPr>
          <w:rFonts w:eastAsia="Calibri"/>
          <w:sz w:val="24"/>
          <w:szCs w:val="24"/>
          <w:lang w:eastAsia="en-US"/>
        </w:rPr>
      </w:pPr>
      <w:r w:rsidRPr="00EB4634">
        <w:rPr>
          <w:rFonts w:eastAsia="Calibri"/>
          <w:sz w:val="24"/>
          <w:szCs w:val="24"/>
          <w:lang w:eastAsia="en-US"/>
        </w:rPr>
        <w:t xml:space="preserve">Tribunal de Justicia Europeo: Órgano encargado de resolver las cuestión suscitadas por el </w:t>
      </w:r>
      <w:proofErr w:type="spellStart"/>
      <w:r w:rsidRPr="00EB4634">
        <w:rPr>
          <w:rFonts w:eastAsia="Calibri"/>
          <w:i/>
          <w:sz w:val="24"/>
          <w:szCs w:val="24"/>
          <w:lang w:eastAsia="en-US"/>
        </w:rPr>
        <w:t>Korkein</w:t>
      </w:r>
      <w:proofErr w:type="spellEnd"/>
      <w:r w:rsidRPr="00EB4634">
        <w:rPr>
          <w:rFonts w:eastAsia="Calibri"/>
          <w:i/>
          <w:sz w:val="24"/>
          <w:szCs w:val="24"/>
          <w:lang w:eastAsia="en-US"/>
        </w:rPr>
        <w:t xml:space="preserve"> </w:t>
      </w:r>
      <w:proofErr w:type="spellStart"/>
      <w:r w:rsidRPr="00EB4634">
        <w:rPr>
          <w:rFonts w:eastAsia="Calibri"/>
          <w:i/>
          <w:sz w:val="24"/>
          <w:szCs w:val="24"/>
          <w:lang w:eastAsia="en-US"/>
        </w:rPr>
        <w:t>hallinto-oikeus</w:t>
      </w:r>
      <w:proofErr w:type="spellEnd"/>
      <w:r w:rsidRPr="00EB4634">
        <w:rPr>
          <w:rFonts w:eastAsia="Calibri"/>
          <w:i/>
          <w:sz w:val="24"/>
          <w:szCs w:val="24"/>
          <w:lang w:eastAsia="en-US"/>
        </w:rPr>
        <w:t>,</w:t>
      </w:r>
      <w:r w:rsidRPr="00EB4634">
        <w:rPr>
          <w:rFonts w:eastAsia="Calibri"/>
          <w:sz w:val="24"/>
          <w:szCs w:val="24"/>
          <w:lang w:eastAsia="en-US"/>
        </w:rPr>
        <w:t xml:space="preserve"> y por ende, el asunto principal de este litigio.</w:t>
      </w:r>
    </w:p>
    <w:p w:rsidR="00EB4634" w:rsidRPr="00EB4634" w:rsidRDefault="00EB4634" w:rsidP="00EB4634">
      <w:pPr>
        <w:pStyle w:val="Sinespaciado"/>
        <w:spacing w:line="360" w:lineRule="auto"/>
        <w:jc w:val="both"/>
        <w:rPr>
          <w:rFonts w:eastAsia="Calibri"/>
          <w:sz w:val="24"/>
          <w:szCs w:val="24"/>
          <w:lang w:eastAsia="en-US"/>
        </w:rPr>
      </w:pPr>
    </w:p>
    <w:p w:rsidR="007579E1" w:rsidRDefault="007579E1"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lastRenderedPageBreak/>
        <w:t xml:space="preserve">RESOLUCIÓN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La segunda cuestión trata de esclarecer en definitiva, traducido a la i</w:t>
      </w:r>
      <w:r w:rsidR="003145A5">
        <w:rPr>
          <w:rFonts w:eastAsia="Calibri"/>
          <w:sz w:val="24"/>
          <w:szCs w:val="24"/>
          <w:lang w:eastAsia="en-US"/>
        </w:rPr>
        <w:t xml:space="preserve">nclusión de cláusulas </w:t>
      </w:r>
      <w:proofErr w:type="spellStart"/>
      <w:r w:rsidR="003145A5">
        <w:rPr>
          <w:rFonts w:eastAsia="Calibri"/>
          <w:sz w:val="24"/>
          <w:szCs w:val="24"/>
          <w:lang w:eastAsia="en-US"/>
        </w:rPr>
        <w:t>socio</w:t>
      </w:r>
      <w:r w:rsidRPr="00EB4634">
        <w:rPr>
          <w:rFonts w:eastAsia="Calibri"/>
          <w:sz w:val="24"/>
          <w:szCs w:val="24"/>
          <w:lang w:eastAsia="en-US"/>
        </w:rPr>
        <w:t>laborales</w:t>
      </w:r>
      <w:proofErr w:type="spellEnd"/>
      <w:r w:rsidRPr="00EB4634">
        <w:rPr>
          <w:rFonts w:eastAsia="Calibri"/>
          <w:sz w:val="24"/>
          <w:szCs w:val="24"/>
          <w:lang w:eastAsia="en-US"/>
        </w:rPr>
        <w:t xml:space="preserve">, si, en base al artículo 36 de la Directiva 92/50, y tratándose de un contrato relativo a la prestación de servicios, en este caso de autobuses, una entidad adjudicara puede establecer criterios ecológicos y medioambientales, aun tratándose de buscar la oferta económica más ventajosa.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El Tribunal de Justicia, en base a la interpretación de la Directiva 92/50, y en concreto del artículo 36, apartado 1, letra, entiendo que si permite esta admisión de diferentes criterios ecológicos y medioambientales, debido a que, entre otras cosas, la propia redacción del artículo no es una lista cerrada, como se puede deducir de la propia expresión utilizada: </w:t>
      </w:r>
      <w:r w:rsidRPr="00EB4634">
        <w:rPr>
          <w:rFonts w:eastAsia="Calibri"/>
          <w:i/>
          <w:sz w:val="24"/>
          <w:szCs w:val="24"/>
          <w:lang w:eastAsia="en-US"/>
        </w:rPr>
        <w:t>“por ejemplo”</w:t>
      </w:r>
      <w:r w:rsidRPr="00EB4634">
        <w:rPr>
          <w:rFonts w:eastAsia="Calibri"/>
          <w:sz w:val="24"/>
          <w:szCs w:val="24"/>
          <w:lang w:eastAsia="en-US"/>
        </w:rPr>
        <w:t xml:space="preserve">. </w:t>
      </w:r>
      <w:r w:rsidRPr="00EB4634">
        <w:rPr>
          <w:rFonts w:eastAsia="Calibri"/>
          <w:i/>
          <w:sz w:val="24"/>
          <w:szCs w:val="24"/>
          <w:lang w:eastAsia="en-US"/>
        </w:rPr>
        <w:t xml:space="preserve"> </w:t>
      </w:r>
      <w:r w:rsidRPr="00EB4634">
        <w:rPr>
          <w:rFonts w:eastAsia="Calibri"/>
          <w:sz w:val="24"/>
          <w:szCs w:val="24"/>
          <w:lang w:eastAsia="en-US"/>
        </w:rPr>
        <w:t xml:space="preserve">Sino que en base a diferentes criterios se admitirán otras posibilitadas, declarando así el Tribunal que la entidad adjudicadora tiene potestad para admitir diferentes criterios, en este caso de tipo ecológicos, siempre que: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i/>
          <w:sz w:val="24"/>
          <w:szCs w:val="24"/>
          <w:lang w:eastAsia="en-US"/>
        </w:rPr>
      </w:pPr>
      <w:r w:rsidRPr="00EB4634">
        <w:rPr>
          <w:rFonts w:eastAsia="Calibri"/>
          <w:i/>
          <w:sz w:val="24"/>
          <w:szCs w:val="24"/>
          <w:lang w:eastAsia="en-US"/>
        </w:rPr>
        <w:t>No confieran a dicha entidad adjudicadora una libertad incondicional de elección.</w:t>
      </w:r>
    </w:p>
    <w:p w:rsidR="00EB4634" w:rsidRPr="00EB4634" w:rsidRDefault="00EB4634" w:rsidP="00EB4634">
      <w:pPr>
        <w:pStyle w:val="Sinespaciado"/>
        <w:spacing w:line="360" w:lineRule="auto"/>
        <w:jc w:val="both"/>
        <w:rPr>
          <w:rFonts w:eastAsia="Calibri"/>
          <w:i/>
          <w:sz w:val="24"/>
          <w:szCs w:val="24"/>
          <w:lang w:eastAsia="en-US"/>
        </w:rPr>
      </w:pPr>
      <w:r w:rsidRPr="00EB4634">
        <w:rPr>
          <w:rFonts w:eastAsia="Calibri"/>
          <w:i/>
          <w:sz w:val="24"/>
          <w:szCs w:val="24"/>
          <w:lang w:eastAsia="en-US"/>
        </w:rPr>
        <w:t xml:space="preserve">Se mencionen expresamente en el pliego de condiciones o en el anuncio de licitación. </w:t>
      </w: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i/>
          <w:sz w:val="24"/>
          <w:szCs w:val="24"/>
          <w:lang w:eastAsia="en-US"/>
        </w:rPr>
        <w:t>Respeten todos los principios fundamentales del Derecho comunitario, en particular, el principio de no discriminación.</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La tercera cuestión tiene como objetivo saber si la admisión de estos derechos pudiera atentar contra el principio de igualdad, en base a  que, en teoría, la obtención del tipo de vehículos que se requiere para conseguir esas mínimas emisión solo estaría al alcance de muy pocas empresas, entre ellas al entidad a la cual ha sido adjudicado el contrato.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El Tribunal de Justicia, declaro no haber vulneración alguna del principio de igualdad por el simple y solo hecho de que solo algunas empresas licitadores, entre ellas HKL, pudieran conseguir los ya mencionados requisitos medio ambientales, teniendo en cuanta además que en el marco establecido de puntos también se podían conseguir por otro criterios que no tenían relación con el medioambiente.</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Respecto de la primera cuestión, el Tribunal de Justicia declaró, que no existiría diferencia alguna en las respuestas de las cuestiones primera y segunda, si dichas interpretaciones se </w:t>
      </w:r>
      <w:r w:rsidRPr="00EB4634">
        <w:rPr>
          <w:rFonts w:eastAsia="Calibri"/>
          <w:sz w:val="24"/>
          <w:szCs w:val="24"/>
          <w:lang w:eastAsia="en-US"/>
        </w:rPr>
        <w:lastRenderedPageBreak/>
        <w:t>hubieran realizado en base a la Directiva 93/38, debido a que ambas normas se consideran englobadas en el mismo ámbito del derecho comunitario, y de hecho, con un organización y criterios objetivos anodinamente similares.</w:t>
      </w:r>
    </w:p>
    <w:p w:rsidR="00EB4634" w:rsidRPr="00EB4634" w:rsidRDefault="00EB4634" w:rsidP="00EB4634">
      <w:pPr>
        <w:pStyle w:val="Sinespaciado"/>
        <w:spacing w:line="360" w:lineRule="auto"/>
        <w:jc w:val="both"/>
        <w:rPr>
          <w:rFonts w:eastAsia="Calibri"/>
          <w:sz w:val="24"/>
          <w:szCs w:val="24"/>
          <w:lang w:eastAsia="en-US"/>
        </w:rPr>
      </w:pPr>
    </w:p>
    <w:p w:rsidR="00EB4634" w:rsidRPr="007579E1" w:rsidRDefault="00EB4634" w:rsidP="008377CE">
      <w:pPr>
        <w:pStyle w:val="Sinespaciado"/>
        <w:numPr>
          <w:ilvl w:val="0"/>
          <w:numId w:val="7"/>
        </w:numPr>
        <w:spacing w:line="360" w:lineRule="auto"/>
        <w:jc w:val="both"/>
        <w:rPr>
          <w:rFonts w:eastAsia="Calibri"/>
          <w:sz w:val="24"/>
          <w:szCs w:val="24"/>
          <w:u w:val="single"/>
          <w:lang w:eastAsia="en-US"/>
        </w:rPr>
      </w:pPr>
      <w:r w:rsidRPr="007579E1">
        <w:rPr>
          <w:rFonts w:eastAsia="Calibri"/>
          <w:sz w:val="24"/>
          <w:szCs w:val="24"/>
          <w:u w:val="single"/>
          <w:lang w:eastAsia="en-US"/>
        </w:rPr>
        <w:t>TIPO DE CLÁUSULA Y MODO DE INTRODUCCIÓN</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La cláusula social examinada es del tipo medioambiental, en la cual la empresa licitadora adquirirá puntos adicionales en caso de usar un tipo de autobús menos contaminante para el medio ambiente.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 xml:space="preserve">Esta cláusula se introduce en el anuncio de la licitación como un criterio de adjudicación, dentro de la llamada fase de adjudicación. </w:t>
      </w:r>
    </w:p>
    <w:p w:rsidR="00EB4634" w:rsidRPr="00EB4634" w:rsidRDefault="00EB4634" w:rsidP="00EB4634">
      <w:pPr>
        <w:pStyle w:val="Sinespaciado"/>
        <w:spacing w:line="360" w:lineRule="auto"/>
        <w:jc w:val="both"/>
        <w:rPr>
          <w:rFonts w:eastAsia="Calibri"/>
          <w:sz w:val="24"/>
          <w:szCs w:val="24"/>
          <w:lang w:eastAsia="en-US"/>
        </w:rPr>
      </w:pP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Actualmente, en el ámbito europeo, tiene su fundamento jurídico en el artículo 67, considerando 92, considerando 93 y considerando 99 de la Directiva 2014/24/UE del Parlamento Europeo y del Consejo de 26 de febrero de 2014 sobre contratación pública.</w:t>
      </w:r>
    </w:p>
    <w:p w:rsidR="00EB4634" w:rsidRPr="00EB4634" w:rsidRDefault="00EB4634" w:rsidP="00EB4634">
      <w:pPr>
        <w:pStyle w:val="Sinespaciado"/>
        <w:spacing w:line="360" w:lineRule="auto"/>
        <w:jc w:val="both"/>
        <w:rPr>
          <w:rFonts w:eastAsia="Calibri"/>
          <w:sz w:val="24"/>
          <w:szCs w:val="24"/>
          <w:lang w:eastAsia="en-US"/>
        </w:rPr>
      </w:pPr>
      <w:r w:rsidRPr="00EB4634">
        <w:rPr>
          <w:rFonts w:eastAsia="Calibri"/>
          <w:sz w:val="24"/>
          <w:szCs w:val="24"/>
          <w:lang w:eastAsia="en-US"/>
        </w:rPr>
        <w:t>En el ámbito español, encuentra su fundamento jurídico en el artículo 150, punto 1 y punto 3, letra H) del Real Decreto Legislativo 3/2011 de 14 de noviembre, por el que se aprueba el Texto Refundido de la Ley de Contratos del Sector Público.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7579E1">
      <w:pPr>
        <w:pStyle w:val="Sinespaciado"/>
        <w:spacing w:line="360" w:lineRule="auto"/>
        <w:jc w:val="center"/>
        <w:rPr>
          <w:rFonts w:eastAsiaTheme="minorHAnsi"/>
          <w:sz w:val="24"/>
          <w:szCs w:val="24"/>
          <w:lang w:eastAsia="en-US"/>
        </w:rPr>
      </w:pPr>
      <w:r w:rsidRPr="007579E1">
        <w:rPr>
          <w:rFonts w:eastAsiaTheme="minorHAnsi"/>
          <w:b/>
          <w:sz w:val="24"/>
          <w:szCs w:val="24"/>
          <w:lang w:eastAsia="en-US"/>
        </w:rPr>
        <w:t>GEBROEDERS BEENTJES BV</w:t>
      </w:r>
      <w:r w:rsidRPr="00EB4634">
        <w:rPr>
          <w:rFonts w:eastAsiaTheme="minorHAnsi"/>
          <w:sz w:val="24"/>
          <w:szCs w:val="24"/>
          <w:lang w:eastAsia="en-US"/>
        </w:rPr>
        <w:t xml:space="preserve"> </w:t>
      </w:r>
      <w:r w:rsidRPr="00EB4634">
        <w:rPr>
          <w:rFonts w:eastAsiaTheme="minorHAnsi"/>
          <w:sz w:val="24"/>
          <w:szCs w:val="24"/>
          <w:vertAlign w:val="superscript"/>
          <w:lang w:eastAsia="en-US"/>
        </w:rPr>
        <w:footnoteReference w:id="29"/>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IDENTIFICACIÓN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Sentencia del Tribunal de Justicia (Sala cuarta) 20 de Septiembre de 1988. </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Asunto 31/87.</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Pronunciada en audiencia pública en Luxemburgo, a 20 de septiembre de 1988.</w:t>
      </w:r>
    </w:p>
    <w:p w:rsidR="00EB4634" w:rsidRPr="00EB4634" w:rsidRDefault="00EB4634" w:rsidP="00EB4634">
      <w:pPr>
        <w:pStyle w:val="Sinespaciado"/>
        <w:spacing w:line="360" w:lineRule="auto"/>
        <w:jc w:val="both"/>
        <w:rPr>
          <w:rFonts w:eastAsiaTheme="minorHAnsi"/>
          <w:sz w:val="24"/>
          <w:szCs w:val="24"/>
          <w:lang w:eastAsia="en-US"/>
        </w:rPr>
      </w:pPr>
    </w:p>
    <w:p w:rsidR="007579E1" w:rsidRPr="007579E1" w:rsidRDefault="007579E1" w:rsidP="00EB4634">
      <w:pPr>
        <w:pStyle w:val="Sinespaciado"/>
        <w:spacing w:line="360" w:lineRule="auto"/>
        <w:jc w:val="both"/>
        <w:rPr>
          <w:rFonts w:eastAsiaTheme="minorHAnsi"/>
          <w:sz w:val="24"/>
          <w:szCs w:val="24"/>
          <w:lang w:eastAsia="en-US"/>
        </w:rPr>
      </w:pPr>
    </w:p>
    <w:p w:rsidR="007579E1" w:rsidRDefault="007579E1"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lastRenderedPageBreak/>
        <w:t>ANTECEDENTES DE HECHO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21 de Junio de 1984, la Comisión Local del municipio de </w:t>
      </w:r>
      <w:proofErr w:type="spellStart"/>
      <w:r w:rsidRPr="00EB4634">
        <w:rPr>
          <w:rFonts w:eastAsiaTheme="minorHAnsi"/>
          <w:sz w:val="24"/>
          <w:szCs w:val="24"/>
          <w:lang w:eastAsia="en-US"/>
        </w:rPr>
        <w:t>Warterland</w:t>
      </w:r>
      <w:proofErr w:type="spellEnd"/>
      <w:r w:rsidRPr="00EB4634">
        <w:rPr>
          <w:rFonts w:eastAsiaTheme="minorHAnsi"/>
          <w:sz w:val="24"/>
          <w:szCs w:val="24"/>
          <w:lang w:eastAsia="en-US"/>
        </w:rPr>
        <w:t>, situado en los Países Bajos, realizo una adjudicación pública referida a una operación de concentración parcelaria. Dicho procedimiento, tal y como se indicaba en el pliego de las condiciones de dicho contrato, sería regulado por el Reglamento uniforme en materia de adjudicación (“UAR”).</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contrato se acabó adjudicando a una empresa, (Empresa A) la cual no había presentado la oferta más baja, sino la inmediatamente superior a la oferta presentada por la empresa </w:t>
      </w:r>
      <w:proofErr w:type="spellStart"/>
      <w:r w:rsidRPr="00EB4634">
        <w:rPr>
          <w:rFonts w:eastAsiaTheme="minorHAnsi"/>
          <w:sz w:val="24"/>
          <w:szCs w:val="24"/>
          <w:lang w:eastAsia="en-US"/>
        </w:rPr>
        <w:t>Beentjes</w:t>
      </w:r>
      <w:proofErr w:type="spellEnd"/>
      <w:r w:rsidRPr="00EB4634">
        <w:rPr>
          <w:rFonts w:eastAsiaTheme="minorHAnsi"/>
          <w:sz w:val="24"/>
          <w:szCs w:val="24"/>
          <w:lang w:eastAsia="en-US"/>
        </w:rPr>
        <w:t>. La Comisión explicó esta decisión en base a que “</w:t>
      </w:r>
      <w:r w:rsidRPr="00EB4634">
        <w:rPr>
          <w:rFonts w:eastAsiaTheme="minorHAnsi"/>
          <w:i/>
          <w:sz w:val="24"/>
          <w:szCs w:val="24"/>
          <w:lang w:eastAsia="en-US"/>
        </w:rPr>
        <w:t xml:space="preserve">la oferta de </w:t>
      </w:r>
      <w:proofErr w:type="spellStart"/>
      <w:r w:rsidRPr="00EB4634">
        <w:rPr>
          <w:rFonts w:eastAsiaTheme="minorHAnsi"/>
          <w:i/>
          <w:sz w:val="24"/>
          <w:szCs w:val="24"/>
          <w:lang w:eastAsia="en-US"/>
        </w:rPr>
        <w:t>Beentjes</w:t>
      </w:r>
      <w:proofErr w:type="spellEnd"/>
      <w:r w:rsidRPr="00EB4634">
        <w:rPr>
          <w:rFonts w:eastAsiaTheme="minorHAnsi"/>
          <w:i/>
          <w:sz w:val="24"/>
          <w:szCs w:val="24"/>
          <w:lang w:eastAsia="en-US"/>
        </w:rPr>
        <w:t xml:space="preserve"> carecía de la experiencia específica para tales obras, le parecía menos aceptable y que </w:t>
      </w:r>
      <w:proofErr w:type="spellStart"/>
      <w:r w:rsidRPr="00EB4634">
        <w:rPr>
          <w:rFonts w:eastAsiaTheme="minorHAnsi"/>
          <w:i/>
          <w:sz w:val="24"/>
          <w:szCs w:val="24"/>
          <w:lang w:eastAsia="en-US"/>
        </w:rPr>
        <w:t>Beentjes</w:t>
      </w:r>
      <w:proofErr w:type="spellEnd"/>
      <w:r w:rsidRPr="00EB4634">
        <w:rPr>
          <w:rFonts w:eastAsiaTheme="minorHAnsi"/>
          <w:i/>
          <w:sz w:val="24"/>
          <w:szCs w:val="24"/>
          <w:lang w:eastAsia="en-US"/>
        </w:rPr>
        <w:t xml:space="preserve"> no estaba en condiciones de emplear a trabajadores en paro prolongado”</w:t>
      </w:r>
      <w:r w:rsidRPr="00EB4634">
        <w:rPr>
          <w:rFonts w:eastAsiaTheme="minorHAnsi"/>
          <w:sz w:val="24"/>
          <w:szCs w:val="24"/>
          <w:lang w:eastAsia="en-US"/>
        </w:rPr>
        <w:t xml:space="preserve">, siendo este el único punto de los 3 que figurara específicamente en el pliego de las condiciones particulares.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consiguiente, </w:t>
      </w:r>
      <w:proofErr w:type="spellStart"/>
      <w:r w:rsidRPr="00EB4634">
        <w:rPr>
          <w:rFonts w:eastAsiaTheme="minorHAnsi"/>
          <w:i/>
          <w:sz w:val="24"/>
          <w:szCs w:val="24"/>
          <w:lang w:eastAsia="en-US"/>
        </w:rPr>
        <w:t>Beentjes</w:t>
      </w:r>
      <w:proofErr w:type="spellEnd"/>
      <w:r w:rsidRPr="00EB4634">
        <w:rPr>
          <w:rFonts w:eastAsiaTheme="minorHAnsi"/>
          <w:sz w:val="24"/>
          <w:szCs w:val="24"/>
          <w:lang w:eastAsia="en-US"/>
        </w:rPr>
        <w:t xml:space="preserve"> interpuso una demanda contra el Estado Neerlandés justificada en que la Comisión Local no respeto la normativa de la Directiva 71/305 del Consejo, de 26 de julio de 1971, sobre coordinación de los procedimientos de adjudicación de los contratos públicos de obras. Directiva que, según ellos debía regir en dicha adjudicación ya que entendían que “</w:t>
      </w:r>
      <w:r w:rsidRPr="00EB4634">
        <w:rPr>
          <w:rFonts w:eastAsiaTheme="minorHAnsi"/>
          <w:i/>
          <w:sz w:val="24"/>
          <w:szCs w:val="24"/>
          <w:lang w:eastAsia="en-US"/>
        </w:rPr>
        <w:t>la Comisión Local era equiparable jurídicamente a un órgano de la Administración central y que, en todo caso, el Estado era responsable de los actos de tal Comisión”</w:t>
      </w:r>
      <w:r w:rsidRPr="00EB4634">
        <w:rPr>
          <w:rFonts w:eastAsiaTheme="minorHAnsi"/>
          <w:sz w:val="24"/>
          <w:szCs w:val="24"/>
          <w:lang w:eastAsia="en-US"/>
        </w:rPr>
        <w:t>. Por otro lado,  entienden que en ningún caso son válidos los 3 motivos alegados por la Comisión, ya que ninguno de ellos “</w:t>
      </w:r>
      <w:r w:rsidRPr="00EB4634">
        <w:rPr>
          <w:rFonts w:eastAsiaTheme="minorHAnsi"/>
          <w:i/>
          <w:sz w:val="24"/>
          <w:szCs w:val="24"/>
          <w:lang w:eastAsia="en-US"/>
        </w:rPr>
        <w:t>estaba previsto en las normas relativas a los criterios de adjudicación de contratos públicos establecidos piro la Directiva</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su parte, el demandado, es decir, el Estado Neerlandés, se opuso a dicha demanda en base a que, por un lado, la Comisión Local no podría considerarse como parte integrada en el Estado, y que, en segundo lugar, si se cumplían los requisitos establecidos por la Directiva 71/305 ya que la adjudicación se había regulado en base al UAR, y tal y como reza el artículo 21 de dicho reglamento, el cual consideran que si es compatible con la Directa 71/305, “</w:t>
      </w:r>
      <w:r w:rsidRPr="00EB4634">
        <w:rPr>
          <w:rFonts w:eastAsiaTheme="minorHAnsi"/>
          <w:i/>
          <w:sz w:val="24"/>
          <w:szCs w:val="24"/>
          <w:lang w:eastAsia="en-US"/>
        </w:rPr>
        <w:t>solo se tomarán en consideración aquellos licitadores cuya aptitud para ejecutar las obras no inspire ninguna duda al órgano de contratación, en los planos técnico, económico, financiero y de organización”</w:t>
      </w:r>
      <w:r w:rsidRPr="00EB4634">
        <w:rPr>
          <w:rFonts w:eastAsiaTheme="minorHAns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 xml:space="preserve">En vista de tales acontecimientos, el </w:t>
      </w:r>
      <w:proofErr w:type="spellStart"/>
      <w:r w:rsidRPr="00EB4634">
        <w:rPr>
          <w:rFonts w:eastAsiaTheme="minorHAnsi"/>
          <w:i/>
          <w:sz w:val="24"/>
          <w:szCs w:val="24"/>
          <w:lang w:eastAsia="en-US"/>
        </w:rPr>
        <w:t>Arrondissementsrechtbank</w:t>
      </w:r>
      <w:proofErr w:type="spellEnd"/>
      <w:r w:rsidRPr="00EB4634">
        <w:rPr>
          <w:rFonts w:eastAsiaTheme="minorHAnsi"/>
          <w:i/>
          <w:sz w:val="24"/>
          <w:szCs w:val="24"/>
          <w:lang w:eastAsia="en-US"/>
        </w:rPr>
        <w:t xml:space="preserve"> de La Haya</w:t>
      </w:r>
      <w:r w:rsidRPr="00EB4634">
        <w:rPr>
          <w:rFonts w:eastAsiaTheme="minorHAnsi"/>
          <w:sz w:val="24"/>
          <w:szCs w:val="24"/>
          <w:lang w:eastAsia="en-US"/>
        </w:rPr>
        <w:t xml:space="preserve"> suspendió el procedimiento y planteó al Tribunal 3 cuestiones prejudiciales, en relación con la Directiva 71/305, que formaran el objeto principal del litigio.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OBJETO DE LA RECLAMACIÓN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Este asunto “</w:t>
      </w:r>
      <w:r w:rsidRPr="00EB4634">
        <w:rPr>
          <w:rFonts w:eastAsiaTheme="minorHAnsi"/>
          <w:i/>
          <w:sz w:val="24"/>
          <w:szCs w:val="24"/>
          <w:lang w:eastAsia="en-US"/>
        </w:rPr>
        <w:t xml:space="preserve">tiene por una petición dirigida al Tribunal de Justicia, con arreglo al artículo 177 del Tratado CEE, por el </w:t>
      </w:r>
      <w:proofErr w:type="spellStart"/>
      <w:r w:rsidRPr="00EB4634">
        <w:rPr>
          <w:rFonts w:eastAsiaTheme="minorHAnsi"/>
          <w:i/>
          <w:sz w:val="24"/>
          <w:szCs w:val="24"/>
          <w:lang w:eastAsia="en-US"/>
        </w:rPr>
        <w:t>Arrondissementsrechtbank</w:t>
      </w:r>
      <w:proofErr w:type="spellEnd"/>
      <w:r w:rsidRPr="00EB4634">
        <w:rPr>
          <w:rFonts w:eastAsiaTheme="minorHAnsi"/>
          <w:i/>
          <w:sz w:val="24"/>
          <w:szCs w:val="24"/>
          <w:lang w:eastAsia="en-US"/>
        </w:rPr>
        <w:t xml:space="preserve"> de La Haya, destinada a obtener, en el litigio pendiente ante este órgano jurisdiccional entre </w:t>
      </w:r>
      <w:proofErr w:type="spellStart"/>
      <w:r w:rsidRPr="00EB4634">
        <w:rPr>
          <w:rFonts w:eastAsiaTheme="minorHAnsi"/>
          <w:i/>
          <w:sz w:val="24"/>
          <w:szCs w:val="24"/>
          <w:lang w:eastAsia="en-US"/>
        </w:rPr>
        <w:t>Gebroeders</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Beentjes</w:t>
      </w:r>
      <w:proofErr w:type="spellEnd"/>
      <w:r w:rsidRPr="00EB4634">
        <w:rPr>
          <w:rFonts w:eastAsiaTheme="minorHAnsi"/>
          <w:i/>
          <w:sz w:val="24"/>
          <w:szCs w:val="24"/>
          <w:lang w:eastAsia="en-US"/>
        </w:rPr>
        <w:t xml:space="preserve"> BV y Estado de los Países Bajos, una decisión prejudicial sobre la interpretación de la Directiva 71/305 del Consejo, de 26 de julio de 1971, relativa a la coordinación de los procedimientos de adjudicación de los contratos públicos de obras.”</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Así, el Tribunal de Justicia debe responder 3 cuestiones prejudiciales, siendo estas las siguientes: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2"/>
        </w:numPr>
        <w:spacing w:line="360" w:lineRule="auto"/>
        <w:jc w:val="both"/>
        <w:rPr>
          <w:rFonts w:eastAsiaTheme="minorHAnsi"/>
          <w:i/>
          <w:sz w:val="24"/>
          <w:szCs w:val="24"/>
          <w:lang w:eastAsia="en-US"/>
        </w:rPr>
      </w:pPr>
      <w:r w:rsidRPr="00EB4634">
        <w:rPr>
          <w:rFonts w:eastAsiaTheme="minorHAnsi"/>
          <w:i/>
          <w:sz w:val="24"/>
          <w:szCs w:val="24"/>
          <w:lang w:eastAsia="en-US"/>
        </w:rPr>
        <w:t xml:space="preserve">Un órgano en el que concurren las características de una "Comisión local" contemplada en la </w:t>
      </w:r>
      <w:proofErr w:type="spellStart"/>
      <w:r w:rsidRPr="00EB4634">
        <w:rPr>
          <w:rFonts w:eastAsiaTheme="minorHAnsi"/>
          <w:i/>
          <w:sz w:val="24"/>
          <w:szCs w:val="24"/>
          <w:lang w:eastAsia="en-US"/>
        </w:rPr>
        <w:t>Ruilverkavelingswet</w:t>
      </w:r>
      <w:proofErr w:type="spellEnd"/>
      <w:r w:rsidRPr="00EB4634">
        <w:rPr>
          <w:rFonts w:eastAsiaTheme="minorHAnsi"/>
          <w:i/>
          <w:sz w:val="24"/>
          <w:szCs w:val="24"/>
          <w:lang w:eastAsia="en-US"/>
        </w:rPr>
        <w:t xml:space="preserve"> de 1954 (Ley neerlandesa de 1954 sobre la concentración parcelaria), tal y como se indica en el punto 5.3 de la presente resolución, ¿debe considerarse como "el Estado" o una de sus "colectividades territoriales" en el sentido de la Directiva de 26 de julio de 1971?</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2"/>
        </w:numPr>
        <w:spacing w:line="360" w:lineRule="auto"/>
        <w:jc w:val="both"/>
        <w:rPr>
          <w:rFonts w:eastAsiaTheme="minorHAnsi"/>
          <w:i/>
          <w:sz w:val="24"/>
          <w:szCs w:val="24"/>
          <w:lang w:eastAsia="en-US"/>
        </w:rPr>
      </w:pPr>
      <w:r w:rsidRPr="00EB4634">
        <w:rPr>
          <w:rFonts w:eastAsiaTheme="minorHAnsi"/>
          <w:i/>
          <w:sz w:val="24"/>
          <w:szCs w:val="24"/>
          <w:lang w:eastAsia="en-US"/>
        </w:rPr>
        <w:t>¿Permite la citada Directiva excluir a un licitador por motivos como los indicados en el punto 6.2 de la presente resolución, si el anuncio de licitación no formula criterios cualitativos a este respecto (sino que se limita a remitirse a las condiciones generales, en las que se incluye una reserva general, como la invocada por el Estado en el caso de autos)?</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2"/>
        </w:numPr>
        <w:spacing w:line="360" w:lineRule="auto"/>
        <w:jc w:val="both"/>
        <w:rPr>
          <w:rFonts w:eastAsiaTheme="minorHAnsi"/>
          <w:i/>
          <w:sz w:val="24"/>
          <w:szCs w:val="24"/>
          <w:lang w:eastAsia="en-US"/>
        </w:rPr>
      </w:pPr>
      <w:r w:rsidRPr="00EB4634">
        <w:rPr>
          <w:rFonts w:eastAsiaTheme="minorHAnsi"/>
          <w:i/>
          <w:sz w:val="24"/>
          <w:szCs w:val="24"/>
          <w:lang w:eastAsia="en-US"/>
        </w:rPr>
        <w:t xml:space="preserve">¿Pueden los justiciables como </w:t>
      </w:r>
      <w:proofErr w:type="spellStart"/>
      <w:r w:rsidRPr="00EB4634">
        <w:rPr>
          <w:rFonts w:eastAsiaTheme="minorHAnsi"/>
          <w:i/>
          <w:sz w:val="24"/>
          <w:szCs w:val="24"/>
          <w:lang w:eastAsia="en-US"/>
        </w:rPr>
        <w:t>Beentjes</w:t>
      </w:r>
      <w:proofErr w:type="spellEnd"/>
      <w:r w:rsidRPr="00EB4634">
        <w:rPr>
          <w:rFonts w:eastAsiaTheme="minorHAnsi"/>
          <w:i/>
          <w:sz w:val="24"/>
          <w:szCs w:val="24"/>
          <w:lang w:eastAsia="en-US"/>
        </w:rPr>
        <w:t xml:space="preserve"> alegar en un proceso civil como éste, las disposiciones de la citada Directiva que establecen en qué casos y en qué condiciones puede excluirse a un licitador de la adjudicación por razones cualitativas, aunque la legislación nacional, al adaptarse a la Directiva, haya concedido al órgano de contratación facultades más amplias que las permitidas  en virtud de la Directiva para denegar la adjudicación del contrato?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i/>
          <w:sz w:val="24"/>
          <w:szCs w:val="24"/>
          <w:u w:val="single"/>
          <w:lang w:eastAsia="en-US"/>
        </w:rPr>
      </w:pPr>
      <w:r w:rsidRPr="007579E1">
        <w:rPr>
          <w:rFonts w:eastAsiaTheme="minorHAnsi"/>
          <w:sz w:val="24"/>
          <w:szCs w:val="24"/>
          <w:u w:val="single"/>
          <w:lang w:eastAsia="en-US"/>
        </w:rPr>
        <w:t>PARTES IMPLICADAS EN EL PROCESO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3"/>
        </w:numPr>
        <w:spacing w:line="360" w:lineRule="auto"/>
        <w:jc w:val="both"/>
        <w:rPr>
          <w:rFonts w:eastAsiaTheme="minorHAnsi"/>
          <w:sz w:val="24"/>
          <w:szCs w:val="24"/>
          <w:lang w:eastAsia="en-US"/>
        </w:rPr>
      </w:pPr>
      <w:proofErr w:type="spellStart"/>
      <w:r w:rsidRPr="00EB4634">
        <w:rPr>
          <w:rFonts w:eastAsiaTheme="minorHAnsi"/>
          <w:sz w:val="24"/>
          <w:szCs w:val="24"/>
          <w:lang w:eastAsia="en-US"/>
        </w:rPr>
        <w:t>Beentjes</w:t>
      </w:r>
      <w:proofErr w:type="spellEnd"/>
      <w:r w:rsidRPr="00EB4634">
        <w:rPr>
          <w:rFonts w:eastAsiaTheme="minorHAnsi"/>
          <w:sz w:val="24"/>
          <w:szCs w:val="24"/>
          <w:lang w:eastAsia="en-US"/>
        </w:rPr>
        <w:t xml:space="preserve"> BV: Empresa licitadora a contrato de obras en el marco de una operación de concentración parcelaria. Es la parte demandante. </w:t>
      </w:r>
    </w:p>
    <w:p w:rsidR="00EB4634" w:rsidRPr="007579E1" w:rsidRDefault="00EB4634" w:rsidP="008377CE">
      <w:pPr>
        <w:pStyle w:val="Sinespaciado"/>
        <w:numPr>
          <w:ilvl w:val="0"/>
          <w:numId w:val="13"/>
        </w:numPr>
        <w:spacing w:line="360" w:lineRule="auto"/>
        <w:jc w:val="both"/>
        <w:rPr>
          <w:rFonts w:eastAsiaTheme="minorHAnsi"/>
          <w:sz w:val="24"/>
          <w:szCs w:val="24"/>
          <w:lang w:eastAsia="en-US"/>
        </w:rPr>
      </w:pPr>
      <w:r w:rsidRPr="00EB4634">
        <w:rPr>
          <w:rFonts w:eastAsiaTheme="minorHAnsi"/>
          <w:sz w:val="24"/>
          <w:szCs w:val="24"/>
          <w:lang w:eastAsia="en-US"/>
        </w:rPr>
        <w:t>Ministerio de Agricultura y Pesca de Los Países Bajos: Parte demandada.</w:t>
      </w:r>
    </w:p>
    <w:p w:rsidR="00EB4634" w:rsidRPr="00EB4634" w:rsidRDefault="00EB4634" w:rsidP="008377CE">
      <w:pPr>
        <w:pStyle w:val="Sinespaciado"/>
        <w:numPr>
          <w:ilvl w:val="0"/>
          <w:numId w:val="13"/>
        </w:numPr>
        <w:spacing w:line="360" w:lineRule="auto"/>
        <w:jc w:val="both"/>
        <w:rPr>
          <w:rFonts w:eastAsiaTheme="minorHAnsi"/>
          <w:sz w:val="24"/>
          <w:szCs w:val="24"/>
          <w:lang w:eastAsia="en-US"/>
        </w:rPr>
      </w:pPr>
      <w:proofErr w:type="spellStart"/>
      <w:r w:rsidRPr="00EB4634">
        <w:rPr>
          <w:rFonts w:eastAsiaTheme="minorHAnsi"/>
          <w:sz w:val="24"/>
          <w:szCs w:val="24"/>
          <w:lang w:eastAsia="en-US"/>
        </w:rPr>
        <w:t>Arrondissementsrechtbank</w:t>
      </w:r>
      <w:proofErr w:type="spellEnd"/>
      <w:r w:rsidRPr="00EB4634">
        <w:rPr>
          <w:rFonts w:eastAsiaTheme="minorHAnsi"/>
          <w:sz w:val="24"/>
          <w:szCs w:val="24"/>
          <w:lang w:eastAsia="en-US"/>
        </w:rPr>
        <w:t xml:space="preserve">: El Tribunal de Distrito. Órgano donde </w:t>
      </w:r>
      <w:proofErr w:type="spellStart"/>
      <w:r w:rsidRPr="00EB4634">
        <w:rPr>
          <w:rFonts w:eastAsiaTheme="minorHAnsi"/>
          <w:i/>
          <w:sz w:val="24"/>
          <w:szCs w:val="24"/>
          <w:lang w:eastAsia="en-US"/>
        </w:rPr>
        <w:t>Beentjes</w:t>
      </w:r>
      <w:proofErr w:type="spellEnd"/>
      <w:r w:rsidRPr="00EB4634">
        <w:rPr>
          <w:rFonts w:eastAsiaTheme="minorHAnsi"/>
          <w:i/>
          <w:sz w:val="24"/>
          <w:szCs w:val="24"/>
          <w:lang w:eastAsia="en-US"/>
        </w:rPr>
        <w:t xml:space="preserve"> BV</w:t>
      </w:r>
      <w:r w:rsidRPr="00EB4634">
        <w:rPr>
          <w:rFonts w:eastAsiaTheme="minorHAnsi"/>
          <w:sz w:val="24"/>
          <w:szCs w:val="24"/>
          <w:lang w:eastAsia="en-US"/>
        </w:rPr>
        <w:t xml:space="preserve"> interpone su demanda.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RESOLUCIÓN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 xml:space="preserve">Más específicamente, la primera cuestión tiene por objeto saber </w:t>
      </w:r>
      <w:r w:rsidRPr="00EB4634">
        <w:rPr>
          <w:rFonts w:eastAsiaTheme="minorHAnsi"/>
          <w:i/>
          <w:sz w:val="24"/>
          <w:szCs w:val="24"/>
          <w:lang w:eastAsia="en-US"/>
        </w:rPr>
        <w:t>si la Directiva 71/305 se aplica a la adjudicación de contratos públicos de obras por organismos como la Comisión local de concentración parcelaria.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Tribunal, tras analizar el caso, declaro que la Directiva 71/305 si debe aplicarse, debido a que dicha Comisión local, aunque no esté integrado formalmente como un órgano del estado, tanto su formación, composición de miembros, funciones y la garantía de sus obligaciones como la financiación de los contratos públicos que realiza están plenamente reguladas y previstas por la ley, lo que, a efectos del artículo 1 de dicha directa, si debe entenderse como un órgano comprendido dentro del estado.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de la segunda cuestión, el Tribunal de Justicia Europeo debe responder si la Directiva 71/305 es contraria a la exclusión de la licitación, en este caso de la empresa </w:t>
      </w:r>
      <w:proofErr w:type="spellStart"/>
      <w:r w:rsidRPr="00EB4634">
        <w:rPr>
          <w:rFonts w:eastAsiaTheme="minorHAnsi"/>
          <w:sz w:val="24"/>
          <w:szCs w:val="24"/>
          <w:lang w:eastAsia="en-US"/>
        </w:rPr>
        <w:t>Beentjes</w:t>
      </w:r>
      <w:proofErr w:type="spellEnd"/>
      <w:r w:rsidRPr="00EB4634">
        <w:rPr>
          <w:rFonts w:eastAsiaTheme="minorHAnsi"/>
          <w:sz w:val="24"/>
          <w:szCs w:val="24"/>
          <w:lang w:eastAsia="en-US"/>
        </w:rPr>
        <w:t xml:space="preserve"> BV, por alguna de las tres razones ya mencionadas, es decir, por “</w:t>
      </w:r>
      <w:r w:rsidRPr="00EB4634">
        <w:rPr>
          <w:rFonts w:eastAsiaTheme="minorHAnsi"/>
          <w:i/>
          <w:sz w:val="24"/>
          <w:szCs w:val="24"/>
          <w:lang w:eastAsia="en-US"/>
        </w:rPr>
        <w:t>falta de experiencia específica para realizar la obra</w:t>
      </w:r>
      <w:r w:rsidRPr="00EB4634">
        <w:rPr>
          <w:rFonts w:eastAsiaTheme="minorHAnsi"/>
          <w:sz w:val="24"/>
          <w:szCs w:val="24"/>
          <w:lang w:eastAsia="en-US"/>
        </w:rPr>
        <w:t xml:space="preserve">, porque </w:t>
      </w:r>
      <w:r w:rsidRPr="00EB4634">
        <w:rPr>
          <w:rFonts w:eastAsiaTheme="minorHAnsi"/>
          <w:i/>
          <w:sz w:val="24"/>
          <w:szCs w:val="24"/>
          <w:lang w:eastAsia="en-US"/>
        </w:rPr>
        <w:t>la oferta no le parezca la más aceptable al órgano de contratación</w:t>
      </w:r>
      <w:r w:rsidRPr="00EB4634">
        <w:rPr>
          <w:rFonts w:eastAsiaTheme="minorHAnsi"/>
          <w:sz w:val="24"/>
          <w:szCs w:val="24"/>
          <w:lang w:eastAsia="en-US"/>
        </w:rPr>
        <w:t xml:space="preserve"> o por la </w:t>
      </w:r>
      <w:r w:rsidRPr="00EB4634">
        <w:rPr>
          <w:rFonts w:eastAsiaTheme="minorHAnsi"/>
          <w:i/>
          <w:sz w:val="24"/>
          <w:szCs w:val="24"/>
          <w:lang w:eastAsia="en-US"/>
        </w:rPr>
        <w:t>incapacidad del empresario para emplear a trabajadores en paro prolongado.”</w:t>
      </w:r>
      <w:r w:rsidRPr="00EB4634">
        <w:rPr>
          <w:rFonts w:eastAsiaTheme="minorHAnsi"/>
          <w:sz w:val="24"/>
          <w:szCs w:val="24"/>
          <w:lang w:eastAsia="en-US"/>
        </w:rPr>
        <w:t xml:space="preserve"> Así, a raíz de que estos requisitos fueran compatibles con la Directiva 71/305, debe responder cuales son los requisitos de publicidad previa según dicha directiva.</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cuanto al criterio de </w:t>
      </w:r>
      <w:r w:rsidRPr="00EB4634">
        <w:rPr>
          <w:rFonts w:eastAsiaTheme="minorHAnsi"/>
          <w:i/>
          <w:sz w:val="24"/>
          <w:szCs w:val="24"/>
          <w:lang w:eastAsia="en-US"/>
        </w:rPr>
        <w:t>la “experiencia específica para realizar la obra”</w:t>
      </w:r>
      <w:r w:rsidRPr="00EB4634">
        <w:rPr>
          <w:rFonts w:eastAsiaTheme="minorHAnsi"/>
          <w:sz w:val="24"/>
          <w:szCs w:val="24"/>
          <w:lang w:eastAsia="en-US"/>
        </w:rPr>
        <w:t>, el Tribunal considera que es válido para verificar la aptitud de los contratistas, en base al artículo 20 de la Directiva 71/305, el cual prevé, como procedimiento independiente a la adjudicación, que la “</w:t>
      </w:r>
      <w:r w:rsidRPr="00EB4634">
        <w:rPr>
          <w:rFonts w:eastAsiaTheme="minorHAnsi"/>
          <w:i/>
          <w:sz w:val="24"/>
          <w:szCs w:val="24"/>
          <w:lang w:eastAsia="en-US"/>
        </w:rPr>
        <w:t>posibilidad de verificación de la aptitud de los contratistas sea efectuada por los poderes adjudicadores con arreglo a los criterios de capacidad económica, financiera y técnica”</w:t>
      </w:r>
      <w:r w:rsidRPr="00EB4634">
        <w:rPr>
          <w:rFonts w:eastAsiaTheme="minorHAnsi"/>
          <w:sz w:val="24"/>
          <w:szCs w:val="24"/>
          <w:lang w:eastAsia="en-US"/>
        </w:rPr>
        <w:t>;</w:t>
      </w:r>
      <w:r w:rsidRPr="00EB4634">
        <w:rPr>
          <w:rFonts w:eastAsiaTheme="minorHAnsi"/>
          <w:i/>
          <w:sz w:val="24"/>
          <w:szCs w:val="24"/>
          <w:lang w:eastAsia="en-US"/>
        </w:rPr>
        <w:t xml:space="preserve"> </w:t>
      </w:r>
      <w:r w:rsidRPr="00EB4634">
        <w:rPr>
          <w:rFonts w:eastAsiaTheme="minorHAnsi"/>
          <w:sz w:val="24"/>
          <w:szCs w:val="24"/>
          <w:lang w:eastAsia="en-US"/>
        </w:rPr>
        <w:t xml:space="preserve">y el </w:t>
      </w:r>
      <w:r w:rsidRPr="00EB4634">
        <w:rPr>
          <w:rFonts w:eastAsiaTheme="minorHAnsi"/>
          <w:sz w:val="24"/>
          <w:szCs w:val="24"/>
          <w:lang w:eastAsia="en-US"/>
        </w:rPr>
        <w:lastRenderedPageBreak/>
        <w:t xml:space="preserve">artículo 26, el cual establece los diferentes medios por los que dicha aptitud puede ser valorada.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 xml:space="preserve">Por otro lado, respecto a la publicidad, lo primero mencionar que este criterio no consta de forma específica el pliego de condiciones o en el anuncio de licitación, sino que deriva del artículo 21 del UAR, el cual regula de forma genérica el proceso de adjudicación. Así, el Tribunal declaro en primer lugar que </w:t>
      </w:r>
      <w:r w:rsidRPr="00EB4634">
        <w:rPr>
          <w:rFonts w:eastAsiaTheme="minorHAnsi"/>
          <w:i/>
          <w:sz w:val="24"/>
          <w:szCs w:val="24"/>
          <w:lang w:eastAsia="en-US"/>
        </w:rPr>
        <w:t xml:space="preserve">“en el caso de que dicho criterio se derive de una disposición de la legislación nacional a la que remite el anuncio de contrato, tal criterio no está sometido, en virtud de la Directiva, a exigencias particulares de publicidad en el anuncio o en el pliego de condiciones.” </w:t>
      </w:r>
      <w:r w:rsidRPr="00EB4634">
        <w:rPr>
          <w:rFonts w:eastAsiaTheme="minorHAnsi"/>
          <w:sz w:val="24"/>
          <w:szCs w:val="24"/>
          <w:lang w:eastAsia="en-US"/>
        </w:rPr>
        <w:t>Además, específico que en virtud del artículo 26 de la Directiva 71/305, “</w:t>
      </w:r>
      <w:r w:rsidRPr="00EB4634">
        <w:rPr>
          <w:rFonts w:eastAsiaTheme="minorHAnsi"/>
          <w:i/>
          <w:sz w:val="24"/>
          <w:szCs w:val="24"/>
          <w:lang w:eastAsia="en-US"/>
        </w:rPr>
        <w:t>a los poderes públicos no les obliga a hacer constar en el mismo los criterios en los que pretenden basarse para verificar la aptitud de los contratistas</w:t>
      </w:r>
      <w:r w:rsidRPr="00EB4634">
        <w:rPr>
          <w:rFonts w:eastAsiaTheme="minorHAnsi"/>
          <w:sz w:val="24"/>
          <w:szCs w:val="24"/>
          <w:lang w:eastAsia="en-US"/>
        </w:rPr>
        <w:t>”; y por último, que</w:t>
      </w:r>
      <w:r w:rsidRPr="00EB4634">
        <w:rPr>
          <w:rFonts w:eastAsiaTheme="minorHAnsi"/>
          <w:i/>
          <w:sz w:val="24"/>
          <w:szCs w:val="24"/>
          <w:lang w:eastAsia="en-US"/>
        </w:rPr>
        <w:t xml:space="preserve"> “no se podrá exigir tal mención cuando se trate de un criterio que es indisociable del concepto mismo de verificación de la aptitud.”</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criterio de </w:t>
      </w:r>
      <w:r w:rsidRPr="00EB4634">
        <w:rPr>
          <w:rFonts w:eastAsiaTheme="minorHAnsi"/>
          <w:i/>
          <w:sz w:val="24"/>
          <w:szCs w:val="24"/>
          <w:lang w:eastAsia="en-US"/>
        </w:rPr>
        <w:t>«la oferta más aceptable»</w:t>
      </w:r>
      <w:r w:rsidRPr="00EB4634">
        <w:rPr>
          <w:rFonts w:eastAsiaTheme="minorHAnsi"/>
          <w:sz w:val="24"/>
          <w:szCs w:val="24"/>
          <w:lang w:eastAsia="en-US"/>
        </w:rPr>
        <w:t>, la cual se establece en el artículo 21 del “AUR”, en este caso es, según el Tribunal, compatible con la Directiva 71/305, en base a que “</w:t>
      </w:r>
      <w:r w:rsidRPr="00EB4634">
        <w:rPr>
          <w:rFonts w:eastAsiaTheme="minorHAnsi"/>
          <w:i/>
          <w:sz w:val="24"/>
          <w:szCs w:val="24"/>
          <w:lang w:eastAsia="en-US"/>
        </w:rPr>
        <w:t>expresa la facultad de apreciación reconocida a los poderes adjudicadores para identificar la oferta más ventajosa económicamente en función de criterios objetivos</w:t>
      </w:r>
      <w:r w:rsidRPr="00EB4634">
        <w:rPr>
          <w:rFonts w:eastAsiaTheme="minorHAnsi"/>
          <w:sz w:val="24"/>
          <w:szCs w:val="24"/>
          <w:lang w:eastAsia="en-US"/>
        </w:rPr>
        <w:t xml:space="preserve">”, lo que en ninguna caso implica una arbitrariedad efectiva de elección por parte de la entidad adjudicadora. Respecto a la publicidad, resulta que según el artículo 29 de la Directiva, </w:t>
      </w:r>
      <w:r w:rsidRPr="00EB4634">
        <w:rPr>
          <w:rFonts w:eastAsiaTheme="minorHAnsi"/>
          <w:i/>
          <w:sz w:val="24"/>
          <w:szCs w:val="24"/>
          <w:lang w:eastAsia="en-US"/>
        </w:rPr>
        <w:t>cuando los poderes adjudicadores se basan en diversos criterios para adjudicar el contrato a la oferta más ventajosa económicamente, están obligados a mencionar tales criterios bien en el anuncio del contrato, bien en el pliego de condiciones,</w:t>
      </w:r>
      <w:r w:rsidRPr="00EB4634">
        <w:rPr>
          <w:rFonts w:eastAsiaTheme="minorHAnsi"/>
          <w:sz w:val="24"/>
          <w:szCs w:val="24"/>
          <w:lang w:eastAsia="en-US"/>
        </w:rPr>
        <w:t xml:space="preserve"> por lo que en este caso, no es válido la remisión genérica realizada al “AUR”</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Respecto a la “</w:t>
      </w:r>
      <w:r w:rsidRPr="00EB4634">
        <w:rPr>
          <w:rFonts w:eastAsiaTheme="minorHAnsi"/>
          <w:i/>
          <w:sz w:val="24"/>
          <w:szCs w:val="24"/>
          <w:lang w:eastAsia="en-US"/>
        </w:rPr>
        <w:t>condición emplear trabajadores en paro prolongado”</w:t>
      </w:r>
      <w:r w:rsidRPr="00EB4634">
        <w:rPr>
          <w:rFonts w:eastAsiaTheme="minorHAnsi"/>
          <w:sz w:val="24"/>
          <w:szCs w:val="24"/>
          <w:lang w:eastAsia="en-US"/>
        </w:rPr>
        <w:t xml:space="preserve"> el Tribunal considera que podría ser compatible con la Directiva 71/305 si no infringe el principio de no discriminación por razón de nacionalidad, en concreto, con los licitadores de otros estados miembros, aunque finalmente el Tribunal acaba aclarando que dicha situación debe ser analizada y comprobada por el Juez nacional, habida cuenta de que no infrinja el principio aquí mencionado. Así, respecto a la publicidad, esta condición debe ser aclarada específicamente y obligatoriamente en el anuncio del contrato, ya que es “</w:t>
      </w:r>
      <w:r w:rsidRPr="00EB4634">
        <w:rPr>
          <w:rFonts w:eastAsiaTheme="minorHAnsi"/>
          <w:i/>
          <w:sz w:val="24"/>
          <w:szCs w:val="24"/>
          <w:lang w:eastAsia="en-US"/>
        </w:rPr>
        <w:t>una condición especifica adicional</w:t>
      </w:r>
      <w:r w:rsidRPr="00EB4634">
        <w:rPr>
          <w:rFonts w:eastAsiaTheme="minorHAns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Con la tercera cuestión básicamente se quiere saber si es posible aducir, por los particulares, los artículos 20, 26 y 29 de la Directiva 71/305 ante los órganos jurisdiccionales nacionales.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El tribunal declaró que dichos artículos si podían ser invocados por particulares ante los órganos jurisdiccionales nacionales, debido a que las disposiciones “</w:t>
      </w:r>
      <w:r w:rsidRPr="00EB4634">
        <w:rPr>
          <w:rFonts w:eastAsiaTheme="minorHAnsi"/>
          <w:i/>
          <w:sz w:val="24"/>
          <w:szCs w:val="24"/>
          <w:lang w:eastAsia="en-US"/>
        </w:rPr>
        <w:t>disposiciones debatidas eran incondicionales y suficientemente precisas</w:t>
      </w:r>
      <w:r w:rsidRPr="00EB4634">
        <w:rPr>
          <w:rFonts w:eastAsiaTheme="minorHAnsi"/>
          <w:sz w:val="24"/>
          <w:szCs w:val="24"/>
          <w:lang w:eastAsia="en-US"/>
        </w:rPr>
        <w:t>. Siendo así porque para el cumplimiento del contenido de dichas disposiciones, es decir, “</w:t>
      </w:r>
      <w:r w:rsidRPr="00EB4634">
        <w:rPr>
          <w:rFonts w:eastAsiaTheme="minorHAnsi"/>
          <w:i/>
          <w:sz w:val="24"/>
          <w:szCs w:val="24"/>
          <w:lang w:eastAsia="en-US"/>
        </w:rPr>
        <w:t>que la verificación de la aptitud de los contratistas los poderes adjudicadores se basen en criterios de capacidad económica, financiera y técnica y que la adjudicación del contrato se haga sobre la base, o bien únicamente del precio más bajo, o bien de varios criterios relativos a la oferta, y, los requisitos de publicidad de los criterios adoptados por los poderes adjudicadores”</w:t>
      </w:r>
      <w:r w:rsidRPr="00EB4634">
        <w:rPr>
          <w:rFonts w:eastAsiaTheme="minorHAnsi"/>
          <w:sz w:val="24"/>
          <w:szCs w:val="24"/>
          <w:lang w:eastAsia="en-US"/>
        </w:rPr>
        <w:t xml:space="preserve">, no es preciso ninguna medida particular de aplicación.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1"/>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TIPO DE CLÁSULA Y FORMA DE INTRODUCCION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cláusula social examinada es del tipo social, referido a las condiciones laborales, en la cual a la empresa licitadora expulsado del proceso de licitación por no tener la capacidad de contratar personas en situación de paro prolongado. Esta cláusula se introduce en el anuncio de la licitación como un criterio de adjudicación, dentro de la llamada fase de adjudicación.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 su vez, encontramos una segunda cláusula social en dicho procedimiento de licitación, en este caso es el criterio exigido de la experiencia para realizar la obra, sucediendo, de igual manera que en la anterior, la empresa licitadora ha quedado fuera del proceso por la falta de dicha experiencia. En este caso, la cláusula es introducida como un criterio de solvencia técnica, dentro de la llamada fase de preparación.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el ámbito europeo, la inclusión de cláusulas sociales tiene su fundamento jurídico en el artículo 67, considerando 92, considerando 93 y considerando 99 de la Directiva 2014/24/UE del Parlamento Europeo y del Consejo de 26 de febrero de 2014 sobre contratación pública.</w:t>
      </w:r>
    </w:p>
    <w:p w:rsidR="00EB4634" w:rsidRPr="00EB4634" w:rsidRDefault="00EB4634" w:rsidP="00EB4634">
      <w:pPr>
        <w:pStyle w:val="Sinespaciado"/>
        <w:spacing w:line="360" w:lineRule="auto"/>
        <w:jc w:val="both"/>
        <w:rPr>
          <w:rFonts w:eastAsiaTheme="minorHAnsi"/>
          <w:sz w:val="24"/>
          <w:szCs w:val="24"/>
          <w:lang w:eastAsia="en-US"/>
        </w:rPr>
      </w:pPr>
    </w:p>
    <w:p w:rsidR="007579E1"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el ámbito español, encuentra su fundamento jurídico en el artículo 150, punto 1 y punto 3, letra H) del Real Decreto Legislativo 3/2011 de 14 de noviembre, por el que se aprueba el Texto Refundido de la Ley de Contratos del Sector Público.</w:t>
      </w:r>
    </w:p>
    <w:p w:rsidR="00EB4634" w:rsidRPr="00EB4634" w:rsidRDefault="00EB4634" w:rsidP="007579E1">
      <w:pPr>
        <w:pStyle w:val="Sinespaciado"/>
        <w:spacing w:line="360" w:lineRule="auto"/>
        <w:jc w:val="center"/>
        <w:rPr>
          <w:rFonts w:eastAsiaTheme="minorHAnsi"/>
          <w:sz w:val="24"/>
          <w:szCs w:val="24"/>
          <w:lang w:eastAsia="en-US"/>
        </w:rPr>
      </w:pPr>
      <w:r w:rsidRPr="007579E1">
        <w:rPr>
          <w:rFonts w:eastAsiaTheme="minorHAnsi"/>
          <w:b/>
          <w:sz w:val="24"/>
          <w:szCs w:val="24"/>
          <w:lang w:eastAsia="en-US"/>
        </w:rPr>
        <w:lastRenderedPageBreak/>
        <w:t>NOORD-HOLLAND</w:t>
      </w:r>
      <w:r w:rsidRPr="00EB4634">
        <w:rPr>
          <w:rFonts w:eastAsiaTheme="minorHAnsi"/>
          <w:sz w:val="24"/>
          <w:szCs w:val="24"/>
          <w:lang w:eastAsia="en-US"/>
        </w:rPr>
        <w:t xml:space="preserve"> </w:t>
      </w:r>
      <w:r w:rsidRPr="00EB4634">
        <w:rPr>
          <w:rFonts w:eastAsiaTheme="minorHAnsi"/>
          <w:sz w:val="24"/>
          <w:szCs w:val="24"/>
          <w:vertAlign w:val="superscript"/>
          <w:lang w:eastAsia="en-US"/>
        </w:rPr>
        <w:footnoteReference w:id="30"/>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4"/>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IDENTFICACIÓN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Sentencia del Tribunal de Justicia (Sala Tercera) de 10 de Mayo de 2012.</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Asunto C</w:t>
      </w:r>
      <w:r w:rsidRPr="00EB4634">
        <w:rPr>
          <w:rFonts w:eastAsia="MS Mincho"/>
          <w:sz w:val="24"/>
          <w:szCs w:val="24"/>
          <w:lang w:eastAsia="en-US"/>
        </w:rPr>
        <w:noBreakHyphen/>
      </w:r>
      <w:r w:rsidRPr="00EB4634">
        <w:rPr>
          <w:rFonts w:eastAsiaTheme="minorHAnsi"/>
          <w:sz w:val="24"/>
          <w:szCs w:val="24"/>
          <w:lang w:eastAsia="en-US"/>
        </w:rPr>
        <w:t>368/10.</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4"/>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ANTECEDNETES DE HECHO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Con fecha 16 de Agosto de 2008, la provincia de </w:t>
      </w:r>
      <w:proofErr w:type="spellStart"/>
      <w:r w:rsidRPr="00EB4634">
        <w:rPr>
          <w:rFonts w:eastAsiaTheme="minorHAnsi"/>
          <w:i/>
          <w:sz w:val="24"/>
          <w:szCs w:val="24"/>
          <w:lang w:eastAsia="en-US"/>
        </w:rPr>
        <w:t>Noord</w:t>
      </w:r>
      <w:proofErr w:type="spellEnd"/>
      <w:r w:rsidRPr="00EB4634">
        <w:rPr>
          <w:rFonts w:eastAsiaTheme="minorHAnsi"/>
          <w:i/>
          <w:sz w:val="24"/>
          <w:szCs w:val="24"/>
          <w:lang w:eastAsia="en-US"/>
        </w:rPr>
        <w:t xml:space="preserve"> – </w:t>
      </w:r>
      <w:proofErr w:type="spellStart"/>
      <w:r w:rsidRPr="00EB4634">
        <w:rPr>
          <w:rFonts w:eastAsiaTheme="minorHAnsi"/>
          <w:i/>
          <w:sz w:val="24"/>
          <w:szCs w:val="24"/>
          <w:lang w:eastAsia="en-US"/>
        </w:rPr>
        <w:t>Holland</w:t>
      </w:r>
      <w:proofErr w:type="spellEnd"/>
      <w:r w:rsidRPr="00EB4634">
        <w:rPr>
          <w:rFonts w:eastAsiaTheme="minorHAnsi"/>
          <w:sz w:val="24"/>
          <w:szCs w:val="24"/>
          <w:lang w:eastAsia="en-US"/>
        </w:rPr>
        <w:t xml:space="preserve"> (Holanda), publico, en el Diario Oficial de la Unión Europea, un anuncio de licitación para </w:t>
      </w:r>
      <w:r w:rsidRPr="00EB4634">
        <w:rPr>
          <w:rFonts w:eastAsiaTheme="minorHAnsi"/>
          <w:i/>
          <w:sz w:val="24"/>
          <w:szCs w:val="24"/>
          <w:lang w:eastAsia="en-US"/>
        </w:rPr>
        <w:t>el suministro y mantenimiento de máquinas expendedoras.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 continuación, para una mejor comprensión del caso voy a proceder a enumerar diferentes datos, aspectos o clausulas recogidas en el anuncio del contrato, las cuales se encuentran dispersas por los diferentes epígrafes del mismo: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5"/>
        </w:numPr>
        <w:spacing w:line="360" w:lineRule="auto"/>
        <w:jc w:val="both"/>
        <w:rPr>
          <w:rFonts w:eastAsiaTheme="minorHAnsi"/>
          <w:sz w:val="24"/>
          <w:szCs w:val="24"/>
          <w:lang w:eastAsia="en-US"/>
        </w:rPr>
      </w:pPr>
      <w:r w:rsidRPr="00EB4634">
        <w:rPr>
          <w:rFonts w:eastAsiaTheme="minorHAnsi"/>
          <w:sz w:val="24"/>
          <w:szCs w:val="24"/>
          <w:lang w:eastAsia="en-US"/>
        </w:rPr>
        <w:t>Anuncio de licitación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6"/>
        </w:numPr>
        <w:spacing w:line="360" w:lineRule="auto"/>
        <w:jc w:val="both"/>
        <w:rPr>
          <w:rFonts w:eastAsiaTheme="minorHAnsi"/>
          <w:i/>
          <w:sz w:val="24"/>
          <w:szCs w:val="24"/>
          <w:lang w:eastAsia="en-US"/>
        </w:rPr>
      </w:pPr>
      <w:r w:rsidRPr="00EB4634">
        <w:rPr>
          <w:rFonts w:eastAsiaTheme="minorHAnsi"/>
          <w:i/>
          <w:sz w:val="24"/>
          <w:szCs w:val="24"/>
          <w:lang w:eastAsia="en-US"/>
        </w:rPr>
        <w:t>«La provincia tiene intención de celebrar un nuevo contrato, mediante un procedimiento europeo de contratación pública, a partir del 1 de enero de 2009. Un aspecto importante es el empeño de la provincia de Holanda Septentrional por impulsar la utilización de productos ecológicos y procedentes del comercio justo en las máquinas expendedoras de café.»</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6"/>
        </w:numPr>
        <w:spacing w:line="360" w:lineRule="auto"/>
        <w:jc w:val="both"/>
        <w:rPr>
          <w:rFonts w:eastAsiaTheme="minorHAnsi"/>
          <w:i/>
          <w:sz w:val="24"/>
          <w:szCs w:val="24"/>
          <w:lang w:eastAsia="en-US"/>
        </w:rPr>
      </w:pPr>
      <w:r w:rsidRPr="00EB4634">
        <w:rPr>
          <w:rFonts w:eastAsiaTheme="minorHAnsi"/>
          <w:i/>
          <w:sz w:val="24"/>
          <w:szCs w:val="24"/>
          <w:lang w:eastAsia="en-US"/>
        </w:rPr>
        <w:t>“La indicación «no» en el epígrafe «Otras condiciones particulares para la ejecución del contrato»”.</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6"/>
        </w:numPr>
        <w:spacing w:line="360" w:lineRule="auto"/>
        <w:jc w:val="both"/>
        <w:rPr>
          <w:rFonts w:eastAsiaTheme="minorHAnsi"/>
          <w:i/>
          <w:sz w:val="24"/>
          <w:szCs w:val="24"/>
          <w:lang w:eastAsia="en-US"/>
        </w:rPr>
      </w:pPr>
      <w:r w:rsidRPr="00EB4634">
        <w:rPr>
          <w:rFonts w:eastAsiaTheme="minorHAnsi"/>
          <w:i/>
          <w:sz w:val="24"/>
          <w:szCs w:val="24"/>
          <w:lang w:eastAsia="en-US"/>
        </w:rPr>
        <w:t>“El contrato se adjudicaría a la oferta económicamente más ventajosa</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6"/>
        </w:numPr>
        <w:spacing w:line="360" w:lineRule="auto"/>
        <w:jc w:val="both"/>
        <w:rPr>
          <w:rFonts w:eastAsiaTheme="minorHAnsi"/>
          <w:i/>
          <w:sz w:val="24"/>
          <w:szCs w:val="24"/>
          <w:lang w:eastAsia="en-US"/>
        </w:rPr>
      </w:pPr>
      <w:r w:rsidRPr="00EB4634">
        <w:rPr>
          <w:rFonts w:eastAsiaTheme="minorHAnsi"/>
          <w:sz w:val="24"/>
          <w:szCs w:val="24"/>
          <w:lang w:eastAsia="en-US"/>
        </w:rPr>
        <w:lastRenderedPageBreak/>
        <w:t>Se establece el 26 de septiembre de 2008 a las 12 horas como fecha límite para la recepción de las ofertas.</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5"/>
        </w:numPr>
        <w:spacing w:line="360" w:lineRule="auto"/>
        <w:jc w:val="both"/>
        <w:rPr>
          <w:rFonts w:eastAsiaTheme="minorHAnsi"/>
          <w:sz w:val="24"/>
          <w:szCs w:val="24"/>
          <w:lang w:eastAsia="en-US"/>
        </w:rPr>
      </w:pPr>
      <w:r w:rsidRPr="00EB4634">
        <w:rPr>
          <w:rFonts w:eastAsiaTheme="minorHAnsi"/>
          <w:sz w:val="24"/>
          <w:szCs w:val="24"/>
          <w:lang w:eastAsia="en-US"/>
        </w:rPr>
        <w:t>Pliego de condiciones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i/>
          <w:sz w:val="24"/>
          <w:szCs w:val="24"/>
          <w:lang w:eastAsia="en-US"/>
        </w:rPr>
      </w:pPr>
      <w:r w:rsidRPr="00EB4634">
        <w:rPr>
          <w:rFonts w:eastAsiaTheme="minorHAnsi"/>
          <w:i/>
          <w:sz w:val="24"/>
          <w:szCs w:val="24"/>
          <w:lang w:eastAsia="en-US"/>
        </w:rPr>
        <w:t>«Las ofertas se evaluarán tanto en función de criterios cualitativos y medioambientales como relativos al precio.»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i/>
          <w:sz w:val="24"/>
          <w:szCs w:val="24"/>
          <w:lang w:eastAsia="en-US"/>
        </w:rPr>
      </w:pPr>
      <w:r w:rsidRPr="00EB4634">
        <w:rPr>
          <w:rFonts w:eastAsiaTheme="minorHAnsi"/>
          <w:sz w:val="24"/>
          <w:szCs w:val="24"/>
          <w:lang w:eastAsia="en-US"/>
        </w:rPr>
        <w:t>«</w:t>
      </w:r>
      <w:r w:rsidRPr="00EB4634">
        <w:rPr>
          <w:rFonts w:eastAsiaTheme="minorHAnsi"/>
          <w:i/>
          <w:sz w:val="24"/>
          <w:szCs w:val="24"/>
          <w:lang w:eastAsia="en-US"/>
        </w:rPr>
        <w:t>La provincia de Holanda Septentrional contratará la entrega, instalación y mantenimiento de aparatos semiautomáticos (full-</w:t>
      </w:r>
      <w:proofErr w:type="spellStart"/>
      <w:r w:rsidRPr="00EB4634">
        <w:rPr>
          <w:rFonts w:eastAsiaTheme="minorHAnsi"/>
          <w:i/>
          <w:sz w:val="24"/>
          <w:szCs w:val="24"/>
          <w:lang w:eastAsia="en-US"/>
        </w:rPr>
        <w:t>operational</w:t>
      </w:r>
      <w:proofErr w:type="spellEnd"/>
      <w:r w:rsidRPr="00EB4634">
        <w:rPr>
          <w:rFonts w:eastAsiaTheme="minorHAnsi"/>
          <w:i/>
          <w:sz w:val="24"/>
          <w:szCs w:val="24"/>
          <w:lang w:eastAsia="en-US"/>
        </w:rPr>
        <w:t xml:space="preserve">) para la distribución de bebidas calientes y frías, en régimen de arrendamiento. La provincia de Holanda Septentrional contratará asimismo el suministro de ingredientes para las máquinas expendedoras [...] de acuerdo con los requisitos y deseos que se describen en el documento del contrato. [...] La sostenibilidad y las funcionalidades constituyen aspectos importantes.» </w:t>
      </w:r>
      <w:r w:rsidRPr="00EB4634">
        <w:rPr>
          <w:rFonts w:eastAsiaTheme="minorHAnsi"/>
          <w:sz w:val="24"/>
          <w:szCs w:val="24"/>
          <w:lang w:eastAsia="en-US"/>
        </w:rPr>
        <w:t>Subcapítulo 1.4 del pliego de condiciones.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sz w:val="24"/>
          <w:szCs w:val="24"/>
          <w:lang w:eastAsia="en-US"/>
        </w:rPr>
      </w:pPr>
      <w:r w:rsidRPr="00EB4634">
        <w:rPr>
          <w:rFonts w:eastAsiaTheme="minorHAnsi"/>
          <w:sz w:val="24"/>
          <w:szCs w:val="24"/>
          <w:lang w:eastAsia="en-US"/>
        </w:rPr>
        <w:t>La duración del contrato se establece en 3 años, con la posibilidad de 1 año adicional.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sz w:val="24"/>
          <w:szCs w:val="24"/>
          <w:lang w:eastAsia="en-US"/>
        </w:rPr>
      </w:pPr>
      <w:r w:rsidRPr="00EB4634">
        <w:rPr>
          <w:rFonts w:eastAsiaTheme="minorHAnsi"/>
          <w:sz w:val="24"/>
          <w:szCs w:val="24"/>
          <w:lang w:eastAsia="en-US"/>
        </w:rPr>
        <w:t xml:space="preserve">Respecto a los requisitos de inscripción, se declara inadmisible la presentación de alternativas al contrato, pudiendo los posibles licitadores realizar cualquier tipo de pregunta al órgano adjudicador encargado, cuya respuesta se obtendría por la nota informativa. Así, en dicha nota estarían </w:t>
      </w:r>
      <w:r w:rsidR="008636FB" w:rsidRPr="00EB4634">
        <w:rPr>
          <w:rFonts w:eastAsiaTheme="minorHAnsi"/>
          <w:sz w:val="24"/>
          <w:szCs w:val="24"/>
          <w:lang w:eastAsia="en-US"/>
        </w:rPr>
        <w:t>las respuestas</w:t>
      </w:r>
      <w:r w:rsidRPr="00EB4634">
        <w:rPr>
          <w:rFonts w:eastAsiaTheme="minorHAnsi"/>
          <w:sz w:val="24"/>
          <w:szCs w:val="24"/>
          <w:lang w:eastAsia="en-US"/>
        </w:rPr>
        <w:t xml:space="preserve"> a las posibles preguntas, o cualquier tipo de modificación del pliego de condiciones,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sz w:val="24"/>
          <w:szCs w:val="24"/>
          <w:lang w:eastAsia="en-US"/>
        </w:rPr>
      </w:pPr>
      <w:r w:rsidRPr="00EB4634">
        <w:rPr>
          <w:rFonts w:eastAsiaTheme="minorHAnsi"/>
          <w:i/>
          <w:sz w:val="24"/>
          <w:szCs w:val="24"/>
          <w:lang w:eastAsia="en-US"/>
        </w:rPr>
        <w:t>«Requisitos de aptitud/niveles mínimos».</w:t>
      </w:r>
      <w:r w:rsidRPr="00EB4634">
        <w:rPr>
          <w:rFonts w:eastAsiaTheme="minorHAnsi"/>
          <w:sz w:val="24"/>
          <w:szCs w:val="24"/>
          <w:lang w:eastAsia="en-US"/>
        </w:rPr>
        <w:t xml:space="preserve"> Se definen como los “</w:t>
      </w:r>
      <w:r w:rsidRPr="00EB4634">
        <w:rPr>
          <w:rFonts w:eastAsiaTheme="minorHAnsi"/>
          <w:i/>
          <w:sz w:val="24"/>
          <w:szCs w:val="24"/>
          <w:lang w:eastAsia="en-US"/>
        </w:rPr>
        <w:t>requisitos que un licitador debe reunir para que su oferta sea tenida en cuenta, expresadas en forma de causas de exclusión o de requisitos mínimos”.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7"/>
        </w:numPr>
        <w:spacing w:line="360" w:lineRule="auto"/>
        <w:jc w:val="both"/>
        <w:rPr>
          <w:rFonts w:eastAsiaTheme="minorHAnsi"/>
          <w:sz w:val="24"/>
          <w:szCs w:val="24"/>
          <w:lang w:eastAsia="en-US"/>
        </w:rPr>
      </w:pPr>
      <w:r w:rsidRPr="00EB4634">
        <w:rPr>
          <w:rFonts w:eastAsiaTheme="minorHAnsi"/>
          <w:i/>
          <w:sz w:val="24"/>
          <w:szCs w:val="24"/>
          <w:lang w:eastAsia="en-US"/>
        </w:rPr>
        <w:t>«Requisitos de calidad»</w:t>
      </w:r>
      <w:r w:rsidRPr="00EB4634">
        <w:rPr>
          <w:rFonts w:eastAsiaTheme="minorHAnsi"/>
          <w:sz w:val="24"/>
          <w:szCs w:val="24"/>
          <w:lang w:eastAsia="en-US"/>
        </w:rPr>
        <w:t xml:space="preserve"> (Sección 4 del subcapítulo 4.4) a cuyo tenor: </w:t>
      </w:r>
      <w:r w:rsidRPr="00EB4634">
        <w:rPr>
          <w:rFonts w:eastAsiaTheme="minorHAnsi"/>
          <w:i/>
          <w:sz w:val="24"/>
          <w:szCs w:val="24"/>
          <w:lang w:eastAsia="en-US"/>
        </w:rPr>
        <w:t xml:space="preserve">« la provincia de Holanda Septentrional exige que el proveedor cumpla los criterios de sostenibilidad de las compras y de responsabilidad social corporativa. ¿De qué manera cumplen ustedes los criterios de sostenibilidad de las compras y de responsabilidad social corporativa? Además, se debe indicar cómo contribuye el </w:t>
      </w:r>
      <w:r w:rsidRPr="00EB4634">
        <w:rPr>
          <w:rFonts w:eastAsiaTheme="minorHAnsi"/>
          <w:i/>
          <w:sz w:val="24"/>
          <w:szCs w:val="24"/>
          <w:lang w:eastAsia="en-US"/>
        </w:rPr>
        <w:lastRenderedPageBreak/>
        <w:t>proveedor a mejorar la sostenibilidad del mercado del café y a una producción de café responsable desde el punto de vista ecológico, social y económico. [...]»</w:t>
      </w:r>
    </w:p>
    <w:p w:rsidR="00EB4634" w:rsidRPr="00EB4634" w:rsidRDefault="00EB4634" w:rsidP="00EB4634">
      <w:pPr>
        <w:pStyle w:val="Sinespaciado"/>
        <w:spacing w:line="360" w:lineRule="auto"/>
        <w:jc w:val="both"/>
        <w:rPr>
          <w:rFonts w:eastAsiaTheme="minorHAnsi"/>
          <w:sz w:val="24"/>
          <w:szCs w:val="24"/>
          <w:lang w:eastAsia="en-US"/>
        </w:rPr>
      </w:pPr>
    </w:p>
    <w:p w:rsidR="007579E1" w:rsidRDefault="00EB4634" w:rsidP="008377CE">
      <w:pPr>
        <w:pStyle w:val="Sinespaciado"/>
        <w:numPr>
          <w:ilvl w:val="0"/>
          <w:numId w:val="17"/>
        </w:numPr>
        <w:spacing w:line="360" w:lineRule="auto"/>
        <w:jc w:val="both"/>
        <w:rPr>
          <w:rFonts w:eastAsiaTheme="minorHAnsi"/>
          <w:i/>
          <w:sz w:val="24"/>
          <w:szCs w:val="24"/>
          <w:lang w:eastAsia="en-US"/>
        </w:rPr>
      </w:pPr>
      <w:r w:rsidRPr="00EB4634">
        <w:rPr>
          <w:rFonts w:eastAsiaTheme="minorHAnsi"/>
          <w:sz w:val="24"/>
          <w:szCs w:val="24"/>
          <w:lang w:eastAsia="en-US"/>
        </w:rPr>
        <w:t xml:space="preserve">Bajo el nombre de </w:t>
      </w:r>
      <w:r w:rsidRPr="00EB4634">
        <w:rPr>
          <w:rFonts w:eastAsiaTheme="minorHAnsi"/>
          <w:i/>
          <w:sz w:val="24"/>
          <w:szCs w:val="24"/>
          <w:lang w:eastAsia="en-US"/>
        </w:rPr>
        <w:t>«Requisito mínimo 1: Perfil requerido»</w:t>
      </w:r>
      <w:r w:rsidRPr="00EB4634">
        <w:rPr>
          <w:rFonts w:eastAsiaTheme="minorHAnsi"/>
          <w:sz w:val="24"/>
          <w:szCs w:val="24"/>
          <w:lang w:eastAsia="en-US"/>
        </w:rPr>
        <w:t xml:space="preserve">, el pliego de condiciones se remitía, entre otros, al anexo A, el cual debía cumplirse, y estipulaba: </w:t>
      </w:r>
    </w:p>
    <w:p w:rsidR="007579E1" w:rsidRDefault="00EB4634" w:rsidP="007579E1">
      <w:pPr>
        <w:pStyle w:val="Sinespaciado"/>
        <w:spacing w:line="360" w:lineRule="auto"/>
        <w:ind w:left="720"/>
        <w:jc w:val="both"/>
        <w:rPr>
          <w:rFonts w:eastAsiaTheme="minorHAnsi"/>
          <w:i/>
          <w:sz w:val="24"/>
          <w:szCs w:val="24"/>
          <w:lang w:eastAsia="en-US"/>
        </w:rPr>
      </w:pPr>
      <w:r w:rsidRPr="007579E1">
        <w:rPr>
          <w:rFonts w:eastAsiaTheme="minorHAnsi"/>
          <w:sz w:val="24"/>
          <w:szCs w:val="24"/>
          <w:lang w:eastAsia="en-US"/>
        </w:rPr>
        <w:t>Apartado 31:</w:t>
      </w:r>
      <w:r w:rsidRPr="007579E1">
        <w:rPr>
          <w:rFonts w:eastAsiaTheme="minorHAnsi"/>
          <w:i/>
          <w:sz w:val="24"/>
          <w:szCs w:val="24"/>
          <w:lang w:eastAsia="en-US"/>
        </w:rPr>
        <w:t>“La provincia de Holanda Septentrional utiliza para el consumo de café y té las etiquetas MAX HAVELAAR y EKO. [...] [Apreciación:] requisito [.]”</w:t>
      </w:r>
      <w:r w:rsidRPr="007579E1">
        <w:rPr>
          <w:rFonts w:eastAsiaTheme="minorHAnsi"/>
          <w:sz w:val="24"/>
          <w:szCs w:val="24"/>
          <w:lang w:eastAsia="en-US"/>
        </w:rPr>
        <w:t xml:space="preserve">. </w:t>
      </w:r>
    </w:p>
    <w:p w:rsidR="007579E1" w:rsidRDefault="00EB4634" w:rsidP="007579E1">
      <w:pPr>
        <w:pStyle w:val="Sinespaciado"/>
        <w:spacing w:line="360" w:lineRule="auto"/>
        <w:ind w:left="720"/>
        <w:jc w:val="both"/>
        <w:rPr>
          <w:rFonts w:eastAsiaTheme="minorHAnsi"/>
          <w:i/>
          <w:sz w:val="24"/>
          <w:szCs w:val="24"/>
          <w:lang w:eastAsia="en-US"/>
        </w:rPr>
      </w:pPr>
      <w:r w:rsidRPr="00EB4634">
        <w:rPr>
          <w:rFonts w:eastAsiaTheme="minorHAnsi"/>
          <w:sz w:val="24"/>
          <w:szCs w:val="24"/>
          <w:lang w:eastAsia="en-US"/>
        </w:rPr>
        <w:t>Apartado 35</w:t>
      </w:r>
      <w:r w:rsidRPr="00EB4634">
        <w:rPr>
          <w:rFonts w:eastAsiaTheme="minorHAnsi"/>
          <w:i/>
          <w:sz w:val="24"/>
          <w:szCs w:val="24"/>
          <w:lang w:eastAsia="en-US"/>
        </w:rPr>
        <w:t xml:space="preserve">: “Los ingredientes deberán, cuando sea posible, cumplir los criterios de las etiquetas EKO o MAX HAVELAAR. [...] [Máximo] 15 [puntos. Apreciación:] deseo [.]»”. </w:t>
      </w:r>
    </w:p>
    <w:p w:rsidR="00EB4634" w:rsidRPr="00EB4634" w:rsidRDefault="00EB4634" w:rsidP="007579E1">
      <w:pPr>
        <w:pStyle w:val="Sinespaciado"/>
        <w:spacing w:line="360" w:lineRule="auto"/>
        <w:ind w:left="720"/>
        <w:jc w:val="both"/>
        <w:rPr>
          <w:rFonts w:eastAsiaTheme="minorHAnsi"/>
          <w:i/>
          <w:sz w:val="24"/>
          <w:szCs w:val="24"/>
          <w:lang w:eastAsia="en-US"/>
        </w:rPr>
      </w:pPr>
      <w:r w:rsidRPr="00EB4634">
        <w:rPr>
          <w:rFonts w:eastAsiaTheme="minorHAnsi"/>
          <w:sz w:val="24"/>
          <w:szCs w:val="24"/>
          <w:lang w:eastAsia="en-US"/>
        </w:rPr>
        <w:t>De los anexos deduce que este último hace referencia a los ingredientes “</w:t>
      </w:r>
      <w:r w:rsidRPr="00EB4634">
        <w:rPr>
          <w:rFonts w:eastAsiaTheme="minorHAnsi"/>
          <w:i/>
          <w:sz w:val="24"/>
          <w:szCs w:val="24"/>
          <w:lang w:eastAsia="en-US"/>
        </w:rPr>
        <w:t>ingredientes utilizados para la preparación de las bebidas con excepción del té y el café, como la leche, el azúcar y el cacao (en lo sucesivo, «ingredientes»).”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5"/>
        </w:numPr>
        <w:spacing w:line="360" w:lineRule="auto"/>
        <w:jc w:val="both"/>
        <w:rPr>
          <w:rFonts w:eastAsiaTheme="minorHAnsi"/>
          <w:sz w:val="24"/>
          <w:szCs w:val="24"/>
          <w:lang w:eastAsia="en-US"/>
        </w:rPr>
      </w:pPr>
      <w:r w:rsidRPr="00EB4634">
        <w:rPr>
          <w:rFonts w:eastAsiaTheme="minorHAnsi"/>
          <w:sz w:val="24"/>
          <w:szCs w:val="24"/>
          <w:lang w:eastAsia="en-US"/>
        </w:rPr>
        <w:t>Nota informativa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Con fecha 9 de septiembre de 2008, se publicó los números 11 y 12 de la nota informativa mencionada anteriormente, en la cual se trataba un pregunta realizada sobre en Anexo A del pliego de condiciones, la cual era </w:t>
      </w:r>
      <w:r w:rsidRPr="00EB4634">
        <w:rPr>
          <w:rFonts w:eastAsiaTheme="minorHAnsi"/>
          <w:i/>
          <w:sz w:val="24"/>
          <w:szCs w:val="24"/>
          <w:lang w:eastAsia="en-US"/>
        </w:rPr>
        <w:t>« ¿Puede considerarse que es aplicable a las etiquetas prescritas la indicación “o comparables”?».</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respuesta dado por el órgano adjudicador fue:  </w:t>
      </w: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Apartado 31: “</w:t>
      </w:r>
      <w:r w:rsidRPr="00EB4634">
        <w:rPr>
          <w:rFonts w:eastAsiaTheme="minorHAnsi"/>
          <w:i/>
          <w:sz w:val="24"/>
          <w:szCs w:val="24"/>
          <w:lang w:eastAsia="en-US"/>
        </w:rPr>
        <w:t xml:space="preserve">Siempre que los criterios sean comparables o idénticos” </w:t>
      </w: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Apartado 35:</w:t>
      </w:r>
      <w:r w:rsidRPr="00EB4634">
        <w:rPr>
          <w:rFonts w:eastAsiaTheme="minorHAnsi"/>
          <w:i/>
          <w:sz w:val="24"/>
          <w:szCs w:val="24"/>
          <w:lang w:eastAsia="en-US"/>
        </w:rPr>
        <w:t xml:space="preserve"> “Los ingredientes podrán llevar una etiqueta basada en los mismos criterios.”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Con fecha 24 de Diciembre de 2008, se publicó en el Diario Oficial de la Unión Europea la adjudicación del contrato a favor de la empresa neerlandesa </w:t>
      </w:r>
      <w:proofErr w:type="spellStart"/>
      <w:r w:rsidRPr="00EB4634">
        <w:rPr>
          <w:rFonts w:eastAsiaTheme="minorHAnsi"/>
          <w:i/>
          <w:sz w:val="24"/>
          <w:szCs w:val="24"/>
          <w:lang w:eastAsia="en-US"/>
        </w:rPr>
        <w:t>Maas</w:t>
      </w:r>
      <w:proofErr w:type="spellEnd"/>
      <w:r w:rsidRPr="00EB4634">
        <w:rPr>
          <w:rFonts w:eastAsiaTheme="minorHAnsi"/>
          <w:i/>
          <w:sz w:val="24"/>
          <w:szCs w:val="24"/>
          <w:lang w:eastAsia="en-US"/>
        </w:rPr>
        <w:t xml:space="preserve"> International</w:t>
      </w:r>
      <w:r w:rsidRPr="00EB4634">
        <w:rPr>
          <w:rFonts w:eastAsiaTheme="minorHAns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5"/>
        </w:numPr>
        <w:spacing w:line="360" w:lineRule="auto"/>
        <w:jc w:val="both"/>
        <w:rPr>
          <w:rFonts w:eastAsiaTheme="minorHAnsi"/>
          <w:sz w:val="24"/>
          <w:szCs w:val="24"/>
          <w:lang w:eastAsia="en-US"/>
        </w:rPr>
      </w:pPr>
      <w:r w:rsidRPr="00EB4634">
        <w:rPr>
          <w:rFonts w:eastAsiaTheme="minorHAnsi"/>
          <w:sz w:val="24"/>
          <w:szCs w:val="24"/>
          <w:lang w:eastAsia="en-US"/>
        </w:rPr>
        <w:t>Las etiquetas EKO y MAX HAVELAAR</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base a lo dicho por la Comisión, y reafirmado por el Reino de los Países Bajos las características de las etiquetas </w:t>
      </w:r>
      <w:r w:rsidRPr="00EB4634">
        <w:rPr>
          <w:rFonts w:eastAsiaTheme="minorHAnsi"/>
          <w:i/>
          <w:sz w:val="24"/>
          <w:szCs w:val="24"/>
          <w:lang w:eastAsia="en-US"/>
        </w:rPr>
        <w:t xml:space="preserve">EKO </w:t>
      </w:r>
      <w:r w:rsidRPr="00EB4634">
        <w:rPr>
          <w:rFonts w:eastAsiaTheme="minorHAnsi"/>
          <w:sz w:val="24"/>
          <w:szCs w:val="24"/>
          <w:lang w:eastAsia="en-US"/>
        </w:rPr>
        <w:t xml:space="preserve">y </w:t>
      </w:r>
      <w:r w:rsidRPr="00EB4634">
        <w:rPr>
          <w:rFonts w:eastAsiaTheme="minorHAnsi"/>
          <w:i/>
          <w:sz w:val="24"/>
          <w:szCs w:val="24"/>
          <w:lang w:eastAsia="en-US"/>
        </w:rPr>
        <w:t>MAX HAVELAAR</w:t>
      </w:r>
      <w:r w:rsidRPr="00EB4634">
        <w:rPr>
          <w:rFonts w:eastAsiaTheme="minorHAnsi"/>
          <w:sz w:val="24"/>
          <w:szCs w:val="24"/>
          <w:lang w:eastAsia="en-US"/>
        </w:rPr>
        <w:t xml:space="preserve"> son: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8"/>
        </w:numPr>
        <w:spacing w:line="360" w:lineRule="auto"/>
        <w:jc w:val="both"/>
        <w:rPr>
          <w:rFonts w:eastAsiaTheme="minorHAnsi"/>
          <w:sz w:val="24"/>
          <w:szCs w:val="24"/>
          <w:lang w:eastAsia="en-US"/>
        </w:rPr>
      </w:pPr>
      <w:r w:rsidRPr="00EB4634">
        <w:rPr>
          <w:rFonts w:eastAsiaTheme="minorHAnsi"/>
          <w:i/>
          <w:sz w:val="24"/>
          <w:szCs w:val="24"/>
          <w:lang w:eastAsia="en-US"/>
        </w:rPr>
        <w:lastRenderedPageBreak/>
        <w:t>EKO: La etiqueta privada neerlandesa EKO se concede a productos que contengan al menos un 95 % de ingredientes procedentes de la agricultura ecológica. Está gestionada por una fundación de Derecho civil neerlandesa, cuyos objetivos son favorecer la agricultura ecológica, regulada en la época de los hechos por el Reglamento (CEE) nº 2092/91 del Consejo, de 24 de junio de 1991, sobre la producción agrícola ecológica y su indicación en los productos agrarios y alimenticios.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8"/>
        </w:numPr>
        <w:spacing w:line="360" w:lineRule="auto"/>
        <w:jc w:val="both"/>
        <w:rPr>
          <w:rFonts w:eastAsiaTheme="minorHAnsi"/>
          <w:sz w:val="24"/>
          <w:szCs w:val="24"/>
          <w:lang w:eastAsia="en-US"/>
        </w:rPr>
      </w:pPr>
      <w:r w:rsidRPr="00EB4634">
        <w:rPr>
          <w:rFonts w:eastAsiaTheme="minorHAnsi"/>
          <w:sz w:val="24"/>
          <w:szCs w:val="24"/>
          <w:lang w:eastAsia="en-US"/>
        </w:rPr>
        <w:t xml:space="preserve">MAX HAVELAAR: </w:t>
      </w:r>
      <w:r w:rsidRPr="00EB4634">
        <w:rPr>
          <w:rFonts w:eastAsiaTheme="minorHAnsi"/>
          <w:i/>
          <w:sz w:val="24"/>
          <w:szCs w:val="24"/>
          <w:lang w:eastAsia="en-US"/>
        </w:rPr>
        <w:t xml:space="preserve">La etiqueta MAX HAVELAAR es una etiqueta privada gestionada por una fundación de Derecho civil neerlandesa, con arreglo a las normas adoptadas por una organización internacional de referencia, la </w:t>
      </w:r>
      <w:proofErr w:type="spellStart"/>
      <w:r w:rsidRPr="00EB4634">
        <w:rPr>
          <w:rFonts w:eastAsiaTheme="minorHAnsi"/>
          <w:i/>
          <w:sz w:val="24"/>
          <w:szCs w:val="24"/>
          <w:lang w:eastAsia="en-US"/>
        </w:rPr>
        <w:t>Fairtraide</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Labelling</w:t>
      </w:r>
      <w:proofErr w:type="spellEnd"/>
      <w:r w:rsidRPr="00EB4634">
        <w:rPr>
          <w:rFonts w:eastAsiaTheme="minorHAnsi"/>
          <w:i/>
          <w:sz w:val="24"/>
          <w:szCs w:val="24"/>
          <w:lang w:eastAsia="en-US"/>
        </w:rPr>
        <w:t xml:space="preserve"> </w:t>
      </w:r>
      <w:proofErr w:type="spellStart"/>
      <w:r w:rsidRPr="00EB4634">
        <w:rPr>
          <w:rFonts w:eastAsiaTheme="minorHAnsi"/>
          <w:i/>
          <w:sz w:val="24"/>
          <w:szCs w:val="24"/>
          <w:lang w:eastAsia="en-US"/>
        </w:rPr>
        <w:t>Organisation</w:t>
      </w:r>
      <w:proofErr w:type="spellEnd"/>
      <w:r w:rsidRPr="00EB4634">
        <w:rPr>
          <w:rFonts w:eastAsiaTheme="minorHAnsi"/>
          <w:i/>
          <w:sz w:val="24"/>
          <w:szCs w:val="24"/>
          <w:lang w:eastAsia="en-US"/>
        </w:rPr>
        <w:t xml:space="preserve"> (FLO). Con el fin de favorecer la comercialización de los productos procedentes del comercio justo, esta etiqueta certifica que los productos a los que se concede se compran a organizaciones constituidas por pequeños productores de países en desarrollo a un precio y condiciones justos. A este respecto, la concesión de dicha etiqueta se basa en el cumplimiento de cuatro criterios, con arreglo a los cuales el precio pagado debe cubrir todos los gastos, ese precio debe comprender una prima con respecto a los precios del mercado, la producción debe ser objeto de una prefinanciación y el importador debe mantener relaciones comerciales de larga duración con los productores.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Posteriormente, con fecha 15 de Mayo de 2009, la Comisión envió al Reino de los Países Bajos un escrito de requerimiento, según el cual, el pliego de condiciones de la oferta infringía la Directiva 2004/18 “</w:t>
      </w:r>
      <w:r w:rsidRPr="00EB4634">
        <w:rPr>
          <w:rFonts w:eastAsiaTheme="minorHAnsi"/>
          <w:i/>
          <w:sz w:val="24"/>
          <w:szCs w:val="24"/>
          <w:lang w:eastAsia="en-US"/>
        </w:rPr>
        <w:t>al exigir las etiquetas MAX HAVELAAR y EKO, o etiquetas basadas en criterios comparables o idénticos, para el té y el café que se suministraran, al establecer dichas etiquetas como criterio de adjudicación para los ingredientes y al evaluar las capacidades técnicas y profesionales de los licitadores con arreglo a criterios de aptitud no comprendidos en el sistema cerrado previsto a este respecto por dicha Directiva”.</w:t>
      </w:r>
      <w:r w:rsidRPr="00EB4634">
        <w:rPr>
          <w:rFonts w:eastAsiaTheme="minorHAnsi"/>
          <w:sz w:val="24"/>
          <w:szCs w:val="24"/>
          <w:lang w:eastAsia="en-US"/>
        </w:rPr>
        <w:t xml:space="preserve"> En contestación, el Reino de los Países Bajos admitió la falta la falta de regulación en algunas partes en relación con dicha Directiva, aunque sin la consecuencia de perjudicar a potenciales licitadores del contrato. Finalmente, tras una serie de escritos entre el Reino de los Países Bajos y la Comisión, al ver esta última que el Reino de los Países Bajos no tomaba medidas para solucionar las imputaciones ya mencionadas, decidió interponer el presente recurso.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4"/>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lastRenderedPageBreak/>
        <w:t xml:space="preserve">OBJETO DE LA RECLAMACIÓN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Comisión argumenta su recurso en 3 motivos principales: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19"/>
        </w:numPr>
        <w:spacing w:line="360" w:lineRule="auto"/>
        <w:jc w:val="both"/>
        <w:rPr>
          <w:rFonts w:eastAsiaTheme="minorHAnsi"/>
          <w:i/>
          <w:sz w:val="24"/>
          <w:szCs w:val="24"/>
          <w:lang w:eastAsia="en-US"/>
        </w:rPr>
      </w:pPr>
      <w:r w:rsidRPr="00EB4634">
        <w:rPr>
          <w:rFonts w:eastAsiaTheme="minorHAnsi"/>
          <w:i/>
          <w:sz w:val="24"/>
          <w:szCs w:val="24"/>
          <w:lang w:eastAsia="en-US"/>
        </w:rPr>
        <w:t xml:space="preserve">Los motivos primero y tercero se refieren a la utilización de las etiquetas EKO y MAX HAVELAAR, por una parte, en las especificaciones técnicas del contrato controvertido relativo al café y al té que se suministraran y, por otra parte, en los criterios de adjudicación relativos a los ingredientes que se suministraran. El primer motivo consta de dos partes, una basada en la infracción del artículo 23, apartado 6, de la Directiva 2004/18 en lo que respecta a la utilización de la etiqueta EKO y otra en la del apartado 8 de dicho artículo en lo que atañe a la utilización de la etiqueta MAX HAVELAAR. </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9"/>
        </w:numPr>
        <w:spacing w:line="360" w:lineRule="auto"/>
        <w:jc w:val="both"/>
        <w:rPr>
          <w:rFonts w:eastAsiaTheme="minorHAnsi"/>
          <w:i/>
          <w:sz w:val="24"/>
          <w:szCs w:val="24"/>
          <w:lang w:eastAsia="en-US"/>
        </w:rPr>
      </w:pPr>
      <w:r w:rsidRPr="00EB4634">
        <w:rPr>
          <w:rFonts w:eastAsiaTheme="minorHAnsi"/>
          <w:i/>
          <w:sz w:val="24"/>
          <w:szCs w:val="24"/>
          <w:lang w:eastAsia="en-US"/>
        </w:rPr>
        <w:t>El tercer motivo se basa en la infracción del artículo 53, apartado 1, de dicha Directiva y se fundamenta en dos imputaciones mediante las que la Comisión alega que esta última disposición se opone a la utilización de etiquetas y que las etiquetas indicadas no estaban vinculadas al objeto del contrato controvertido.</w:t>
      </w:r>
    </w:p>
    <w:p w:rsidR="00EB4634" w:rsidRPr="00EB4634" w:rsidRDefault="00EB4634" w:rsidP="00EB4634">
      <w:pPr>
        <w:pStyle w:val="Sinespaciado"/>
        <w:spacing w:line="360" w:lineRule="auto"/>
        <w:jc w:val="both"/>
        <w:rPr>
          <w:rFonts w:eastAsiaTheme="minorHAnsi"/>
          <w:i/>
          <w:sz w:val="24"/>
          <w:szCs w:val="24"/>
          <w:lang w:eastAsia="en-US"/>
        </w:rPr>
      </w:pPr>
    </w:p>
    <w:p w:rsidR="00EB4634" w:rsidRPr="00EB4634" w:rsidRDefault="00EB4634" w:rsidP="008377CE">
      <w:pPr>
        <w:pStyle w:val="Sinespaciado"/>
        <w:numPr>
          <w:ilvl w:val="0"/>
          <w:numId w:val="19"/>
        </w:numPr>
        <w:spacing w:line="360" w:lineRule="auto"/>
        <w:jc w:val="both"/>
        <w:rPr>
          <w:rFonts w:eastAsiaTheme="minorHAnsi"/>
          <w:i/>
          <w:sz w:val="24"/>
          <w:szCs w:val="24"/>
          <w:lang w:eastAsia="en-US"/>
        </w:rPr>
      </w:pPr>
      <w:r w:rsidRPr="00EB4634">
        <w:rPr>
          <w:rFonts w:eastAsiaTheme="minorHAnsi"/>
          <w:i/>
          <w:sz w:val="24"/>
          <w:szCs w:val="24"/>
          <w:lang w:eastAsia="en-US"/>
        </w:rPr>
        <w:t>El segundo motivo tiene por objeto el requisito de que los licitadores reúnan los «criterios de sostenibilidad de las compras y de responsabilidad social corporativa». Se subdivide en tres partes, basadas, respectivamente, en la infracción de los artículos 44, apartado 2, párrafo primero, y 48 de la Directiva 2004/18, en la medida en que la Comisión considera que dicho requisito no se corresponde con ninguno de los que esos artículos autorizan, la infracción del artículo 44, apartado 2, párrafo segundo, de dicha Directiva, por cuanto la Comisión opina que dicha exigencia no está vinculada al objeto del contrato, y el incumplimiento de la obligación de transparencia prevista en el artículo 2 de esa Directiva, puesto que las expresiones «sostenibilidad de las compras» y «responsabilidad social corporativa» no presentaban, según la Comisión, un grado suficiente de claridad.</w:t>
      </w:r>
    </w:p>
    <w:p w:rsidR="007579E1" w:rsidRPr="00EB4634" w:rsidRDefault="007579E1" w:rsidP="00EB4634">
      <w:pPr>
        <w:pStyle w:val="Sinespaciado"/>
        <w:spacing w:line="360" w:lineRule="auto"/>
        <w:jc w:val="both"/>
        <w:rPr>
          <w:rFonts w:eastAsiaTheme="minorHAnsi"/>
          <w:i/>
          <w:sz w:val="24"/>
          <w:szCs w:val="24"/>
          <w:lang w:eastAsia="en-US"/>
        </w:rPr>
      </w:pPr>
    </w:p>
    <w:p w:rsidR="00EB4634" w:rsidRPr="007579E1" w:rsidRDefault="00EB4634" w:rsidP="008377CE">
      <w:pPr>
        <w:pStyle w:val="Sinespaciado"/>
        <w:numPr>
          <w:ilvl w:val="0"/>
          <w:numId w:val="14"/>
        </w:numPr>
        <w:spacing w:line="360" w:lineRule="auto"/>
        <w:jc w:val="both"/>
        <w:rPr>
          <w:rFonts w:eastAsiaTheme="minorHAnsi"/>
          <w:i/>
          <w:sz w:val="24"/>
          <w:szCs w:val="24"/>
          <w:u w:val="single"/>
          <w:lang w:eastAsia="en-US"/>
        </w:rPr>
      </w:pPr>
      <w:r w:rsidRPr="007579E1">
        <w:rPr>
          <w:rFonts w:eastAsiaTheme="minorHAnsi"/>
          <w:sz w:val="24"/>
          <w:szCs w:val="24"/>
          <w:u w:val="single"/>
          <w:lang w:eastAsia="en-US"/>
        </w:rPr>
        <w:t>PARTES IMPLICADAS EN EL PROCESO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20"/>
        </w:numPr>
        <w:spacing w:line="360" w:lineRule="auto"/>
        <w:jc w:val="both"/>
        <w:rPr>
          <w:rFonts w:eastAsiaTheme="minorHAnsi"/>
          <w:sz w:val="24"/>
          <w:szCs w:val="24"/>
          <w:lang w:eastAsia="en-US"/>
        </w:rPr>
      </w:pPr>
      <w:r w:rsidRPr="00EB4634">
        <w:rPr>
          <w:rFonts w:eastAsiaTheme="minorHAnsi"/>
          <w:sz w:val="24"/>
          <w:szCs w:val="24"/>
          <w:lang w:eastAsia="en-US"/>
        </w:rPr>
        <w:t xml:space="preserve">La Comisión Europea: Parte demandante. </w:t>
      </w:r>
    </w:p>
    <w:p w:rsidR="007579E1" w:rsidRDefault="00EB4634" w:rsidP="008377CE">
      <w:pPr>
        <w:pStyle w:val="Sinespaciado"/>
        <w:numPr>
          <w:ilvl w:val="0"/>
          <w:numId w:val="20"/>
        </w:numPr>
        <w:spacing w:line="360" w:lineRule="auto"/>
        <w:jc w:val="both"/>
        <w:rPr>
          <w:rFonts w:eastAsiaTheme="minorHAnsi"/>
          <w:sz w:val="24"/>
          <w:szCs w:val="24"/>
          <w:lang w:eastAsia="en-US"/>
        </w:rPr>
      </w:pPr>
      <w:r w:rsidRPr="00EB4634">
        <w:rPr>
          <w:rFonts w:eastAsiaTheme="minorHAnsi"/>
          <w:sz w:val="24"/>
          <w:szCs w:val="24"/>
          <w:lang w:eastAsia="en-US"/>
        </w:rPr>
        <w:t xml:space="preserve">Reino de los Países Bajos: Parte demandada. </w:t>
      </w:r>
    </w:p>
    <w:p w:rsidR="00EB4634" w:rsidRPr="007579E1" w:rsidRDefault="00EB4634" w:rsidP="008377CE">
      <w:pPr>
        <w:pStyle w:val="Sinespaciado"/>
        <w:numPr>
          <w:ilvl w:val="0"/>
          <w:numId w:val="14"/>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lastRenderedPageBreak/>
        <w:t>RESOLUCION DE LA RECLAMACIÓN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La primera parte del primer motivo se basa la infracción del artículo 23, apartado 6, de la Directiva 2004/18 en lo que respecta a la utilización de la etiqueta EKO en las especificaciones técnicas del café y el té que se suministraran.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Tras analizar el caso, el Tribunal dictamina que, efectivamente, las especificaciones técnicas eran incompatible con el artículo 23, apartado 6, de la Directiva 2004/18, en base a que, aunque la Directiva 2004/18, en su artículo 23, admita que puedan formularse exigencias o términos de rendimiento en base a características medioambientales, también establece la necesidad de establecer especificaciones técnicas con suficiente claridad, sin ocasionar mayores problemas de comprensibilidad a los posibles licitadores en cuanto a dichas exigencias. En este sentido, el artículo 23, apartado 6, de la directiva aquí examinada, permite a los órganos adjudicares la capacidad de remitirse a la especificaciones detalladas de una etiqueta ecológica, pero no recurrir a la etiqueta ecológica como tal, permitiendo además, el párrafo segundo de dicho apartado 6, que se pueda utilizar la etiqueta ecológica de manera subsidiaria, a tenor de que sirva como una prueba del cumplimiento de </w:t>
      </w:r>
      <w:r w:rsidRPr="00EB4634">
        <w:rPr>
          <w:rFonts w:eastAsiaTheme="minorHAnsi"/>
          <w:i/>
          <w:sz w:val="24"/>
          <w:szCs w:val="24"/>
          <w:lang w:eastAsia="en-US"/>
        </w:rPr>
        <w:t>«las especificaciones técnicas definidas en el pliego de condiciones»</w:t>
      </w:r>
      <w:r w:rsidRPr="00EB4634">
        <w:rPr>
          <w:rFonts w:eastAsiaTheme="minorHAnsi"/>
          <w:sz w:val="24"/>
          <w:szCs w:val="24"/>
          <w:lang w:eastAsia="en-US"/>
        </w:rPr>
        <w:t xml:space="preserve">, debiendo además, los poderes adjudicadores, admitir otros medios de prueba sobre dichas especificaciones, como por ejemplo </w:t>
      </w:r>
      <w:r w:rsidRPr="00EB4634">
        <w:rPr>
          <w:rFonts w:eastAsiaTheme="minorHAnsi"/>
          <w:i/>
          <w:sz w:val="24"/>
          <w:szCs w:val="24"/>
          <w:lang w:eastAsia="en-US"/>
        </w:rPr>
        <w:t>“un expediente técnico del fabricante o un informe de pruebas de un organismo reconocido</w:t>
      </w:r>
      <w:r w:rsidRPr="00EB4634">
        <w:rPr>
          <w:rFonts w:eastAsiaTheme="minorHAns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La segunda parte del primer motivo se basa en la infracción del artículo 23, apartado 8, de la Directiva 2004/18 en lo que respecta a la utilización de la etiqueta MAX HAVELAAR en las especificaciones técnicas del café y el té que se suministraran.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Ante todo, cabe mencionar que el apartado 8 del artículo 23 prohíbe, en principio, que las especificaciones técnicas </w:t>
      </w:r>
      <w:r w:rsidRPr="00EB4634">
        <w:rPr>
          <w:rFonts w:eastAsiaTheme="minorHAnsi"/>
          <w:i/>
          <w:sz w:val="24"/>
          <w:szCs w:val="24"/>
          <w:lang w:eastAsia="en-US"/>
        </w:rPr>
        <w:t>« [mencionen] una procedencia determinada o un procedimiento concreto, [o hagan] referencia a una marca, [...] a un origen o a una producción determinados con la finalidad de favorecer o descartar ciertas empresas o ciertos productos».</w:t>
      </w: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 xml:space="preserve">Por otro lado, el Tribunal entiende que los 4 criterios, ya mencionados anteriormente, que derivan del concepto de productos de comercio justo, al cual hace referencia la etiqueta MAX HAVELAAR, no se ajustan al concepto de “especificación técnica” que dicta la Directiva </w:t>
      </w:r>
      <w:r w:rsidRPr="00EB4634">
        <w:rPr>
          <w:rFonts w:eastAsiaTheme="minorHAnsi"/>
          <w:sz w:val="24"/>
          <w:szCs w:val="24"/>
          <w:lang w:eastAsia="en-US"/>
        </w:rPr>
        <w:lastRenderedPageBreak/>
        <w:t>2004/18 en su punto 1, letra b) del Anexo VI, ya que esta misma se refiere “</w:t>
      </w:r>
      <w:r w:rsidRPr="00EB4634">
        <w:rPr>
          <w:rFonts w:eastAsiaTheme="minorHAnsi"/>
          <w:i/>
          <w:sz w:val="24"/>
          <w:szCs w:val="24"/>
          <w:lang w:eastAsia="en-US"/>
        </w:rPr>
        <w:t>a las características de los propios productos, de su fabricación, de su envasado o de su utilización”</w:t>
      </w:r>
      <w:r w:rsidRPr="00EB4634">
        <w:rPr>
          <w:rFonts w:eastAsiaTheme="minorHAnsi"/>
          <w:sz w:val="24"/>
          <w:szCs w:val="24"/>
          <w:lang w:eastAsia="en-US"/>
        </w:rPr>
        <w:t>, mientras que en base a la propia definición dada de productos de comercio justo, estos se “</w:t>
      </w:r>
      <w:r w:rsidRPr="00EB4634">
        <w:rPr>
          <w:rFonts w:eastAsiaTheme="minorHAnsi"/>
          <w:i/>
          <w:sz w:val="24"/>
          <w:szCs w:val="24"/>
          <w:lang w:eastAsia="en-US"/>
        </w:rPr>
        <w:t>refieren a las condiciones en las que el proveedor adquirió el producto.”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Sin  embargo, estos criterios si se reflejan en el concepto de “condiciones de ejecución del contrato”, dado por el artículo 26 de la directiva 2004/18, según el cual se habilita como condiciones especiales para la ejecución del contrato, siempre y cuando cumplan todas las normas del derecho comunitario, condiciones de tipo social y medioambiental.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Finalmente, el tribunal, en base a los motivos aquí mencionados, declaro desestimar esta segunda parte del primer motivo, teniendo como resultado característico la admisibilidad de productos de comercio justo como condición de ejecución del contrato.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tercer motivo se basa en la infracción del artículo 53, apartado 1, de la Directiva 2004/18 en lo que se refiere a los criterios de adjudicación relativos a los ingredientes que se suministraran, guardando pues relación con la pretensión primera, ya que también se basa en la “imposición” de las etiquetas ya mencionadas.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La Comisión entiende que, por una parte, dichas exigencias respecto de las etiquetas no tienen relación con el objeto del contrato, y por otra, que la exigencia de tales criterios suponen un atentado contra el principio de no discriminación e igualdad de acceso, en concreto con los licitadores no neerlandeses. Por su parte, los Países Bajos entienden que dichos criterios de adjudicación si son transparentes, pudiéndose ser conocidos por las posibles empresas licitadoras en el ámbito de dicho mercado ya que estas etiquetas responden de la normativa de la Unión Europea, añadiendo además que dichos posibles licitadores podría obtener información fácilmente sobre dichas etiquetas. Por último, recalca la distinción entre especificaciones técnicas y criterios de adjudicación, el cual no es exigido fehacientemente ahora la asignación del contrato.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a esta primer parte, consistente en la supuesta falta de relación con el objeto del contrato, el Tribunal reconoce que carece de fundamento, ya que, por un lado, las etiquetas analizadas, en base a que tienen por objeto productos procedentes de agricultura ecológica y comercio justo, se pueden entender como criterios medioambientales, los cuales si son </w:t>
      </w:r>
      <w:r w:rsidRPr="00EB4634">
        <w:rPr>
          <w:rFonts w:eastAsiaTheme="minorHAnsi"/>
          <w:sz w:val="24"/>
          <w:szCs w:val="24"/>
          <w:lang w:eastAsia="en-US"/>
        </w:rPr>
        <w:lastRenderedPageBreak/>
        <w:t xml:space="preserve">aceptados por este articulo 53, apartado 1, letra a) (Recordemos, este artículo no supone una lista cerrada, sino que la expresión “por ejemplo”, posibilita la entrada de nuevos criterios aunque no estén recogidos en el listado); por otro lado, se deprende del subcapítulo 1.4 del pliego de condiciones que el contrato del objeto se basa  en el suministro de café y té, lo cual, al ser las etiquetas indicaciones sobre la forma y procedencia de esos suministros, si se entiende que guarden relación directa con el objeto del contrato.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relación con el posible ataque a los criterios de no discriminación y claridad, el Tribunal de Justicia entiende que este si efectivo realmente, ya que realmente, no supone diferencia alguna la distinción entre criterios de adjudicación y especificaciones técnicas, debiendo existir siempre una calidad y precisión total  sobre los productos y sus ingredientes solicitados por el contrato, y que además, tampoco es subsanada con la aplicación del número 12 de la nota informativa, en al cual se permitía que a falta de usar esas etiquetas, podría usarse etiquetas equivalentes. Así, se entiende que conceder puntos adicionales en base a unos criterios de adjudicación, sin indicar claramente en que se basan los mismo, en este caso, las etiquetas, supone un ataque contra los principios de no discriminación y claridad, siendo por lo tanto este motivo fundado.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El segundo motivo se basa en la infracción de los artículos 2, 44, apartado 2, y 48 de la Directiva 2004/18 en lo que respecta al requisito relativo al cumplimiento de los criterios de «sostenibilidad de las compras» y de «responsabilidad social corporativa»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Como primer punto, el Tribunal aclara la calificación de la cláusula emitida en pliego de condiciones, es decir, la referida los “criterios de sostenibilidad”, entendiendo por ella que efectivamente se trata unos “niveles mínimos de capacidad” exigidos por el contrato, y no de una posible condición de ejecución como declara el Renio de los Países Bajos. Esto se debe a que en efectivamente la cláusula mantenida por la Sección 4 del Subcapítulo 4.4 (“Requisitos mínimos”) es de igual terminología que la expresada en el apartado 2 del artículo 44 de la Directiva 2004/18. A raíz de esto los posibles licitadores solo pueden entenderlos como requisitos mínimos que a falta de cumplimiento suponen la exclusión de la licitación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base a  la supuesta a la supuesta infracción de los artículos 44, apartado 2, y 48 de la Directiva 2004/18, el Tribunal considera que esta es real, debido a que en ningún momento se entiende que lo pedido por el contrato, (véase: “</w:t>
      </w:r>
      <w:r w:rsidRPr="00EB4634">
        <w:rPr>
          <w:rFonts w:eastAsiaTheme="minorHAnsi"/>
          <w:i/>
          <w:sz w:val="24"/>
          <w:szCs w:val="24"/>
          <w:lang w:eastAsia="en-US"/>
        </w:rPr>
        <w:t xml:space="preserve">indicar los licitadores reúnan los criterios de </w:t>
      </w:r>
      <w:r w:rsidRPr="00EB4634">
        <w:rPr>
          <w:rFonts w:eastAsiaTheme="minorHAnsi"/>
          <w:i/>
          <w:sz w:val="24"/>
          <w:szCs w:val="24"/>
          <w:lang w:eastAsia="en-US"/>
        </w:rPr>
        <w:lastRenderedPageBreak/>
        <w:t>sostenibilidad de las compras y de responsabilidad social corporativa, e indiquen cómo reúnen esos criterios y contribuyen a mejorar la sostenibilidad del mercado del café y a una producción de café responsable desde el punto de vista ecológico, social y económico”),</w:t>
      </w:r>
      <w:r w:rsidRPr="00EB4634">
        <w:rPr>
          <w:rFonts w:eastAsiaTheme="minorHAnsi"/>
          <w:sz w:val="24"/>
          <w:szCs w:val="24"/>
          <w:lang w:eastAsia="en-US"/>
        </w:rPr>
        <w:t xml:space="preserve"> que se establece como requisitos mínimos de aptitud, pueda entenderse como tal, ya que, a tenor del artículo 48, apartado 2, letra c), </w:t>
      </w:r>
      <w:r w:rsidRPr="00EB4634">
        <w:rPr>
          <w:rFonts w:eastAsiaTheme="minorHAnsi"/>
          <w:i/>
          <w:sz w:val="24"/>
          <w:szCs w:val="24"/>
          <w:lang w:eastAsia="en-US"/>
        </w:rPr>
        <w:t xml:space="preserve">no puede asimilarse a «una descripción de las instalaciones técnicas, de las medidas empleadas por el proveedor para garantizar la calidad y de los medios de estudio e investigación de su empresa»; </w:t>
      </w:r>
      <w:r w:rsidRPr="00EB4634">
        <w:rPr>
          <w:rFonts w:eastAsiaTheme="minorHAnsi"/>
          <w:sz w:val="24"/>
          <w:szCs w:val="24"/>
          <w:lang w:eastAsia="en-US"/>
        </w:rPr>
        <w:t xml:space="preserve">por otro lado, respecto al artículo 44, tampoco considera estos requisitos, no pueden asemejarse a los factores obligatorios enumerados por el artículo 44 para considerarlos como auténticos niveles mínimos de capacidad.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Y por último, respecto a la posible infracción del artículo 2 de la Directiva 2004/18, el Tribunal efectivamente declara que esta ha sido vulnerada. Nuevamente volvemos a dar otra vuelta al principio de transparencia y no discriminación. Así, el tribunal entiende, al igual que se deriva de las conclusiones del abogado general, que este requisito respecto a los «criterios de sostenibilidad de las compras y de responsabilidad social corporativa», no cumplen con los principios de claridad, transparencia y no discriminación ya que no se especifican realmente cuales son los requisitos o modelos de evolución para determinar que dichos criterios deben ser cumplidos.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8377CE">
      <w:pPr>
        <w:pStyle w:val="Sinespaciado"/>
        <w:numPr>
          <w:ilvl w:val="0"/>
          <w:numId w:val="14"/>
        </w:numPr>
        <w:spacing w:line="360" w:lineRule="auto"/>
        <w:jc w:val="both"/>
        <w:rPr>
          <w:rFonts w:eastAsiaTheme="minorHAnsi"/>
          <w:sz w:val="24"/>
          <w:szCs w:val="24"/>
          <w:u w:val="single"/>
          <w:lang w:eastAsia="en-US"/>
        </w:rPr>
      </w:pPr>
      <w:r w:rsidRPr="007579E1">
        <w:rPr>
          <w:rFonts w:eastAsiaTheme="minorHAnsi"/>
          <w:sz w:val="24"/>
          <w:szCs w:val="24"/>
          <w:u w:val="single"/>
          <w:lang w:eastAsia="en-US"/>
        </w:rPr>
        <w:t>TIPO DE CLÁUSULA Y MODO DE INTRODUCCIÓN</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 raíz de esta sentencia, podrías decir que literalmente la inclusión del clausulas sociales, en este caso basadas en su totalidad en criterios medioambientales, se ha realizado a través de prácticamente todas las fases del proceso. Así, en este caso, vamos a señalar por un lado las que realmente han sido introducidas de forma correcta, y por otro, como acabamos de ver, las que, por diferentes motivos, se han rechazado.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este caso, vemos que la etiqueta MAX HAVELAAR, la cual se refiere al uso de productos de comercio justo, ha sido admitida como condición de ejecución del contrato. </w:t>
      </w:r>
    </w:p>
    <w:p w:rsid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Las otras situaciones que han sido desestimadas por el tribunal ha sido, pues, la inclusión de la etiqueta EKO, como especificación técnica, la inclusión de ambas etiquetas como criterios de adjudicación, y por último, también como posibles condiciones de ejecución, los requisitos de «sostenibilidad de las compras» y de «responsabilidad social corporativa»</w:t>
      </w:r>
    </w:p>
    <w:p w:rsidR="00EB4634" w:rsidRPr="007579E1" w:rsidRDefault="00EB4634" w:rsidP="00EB4634">
      <w:pPr>
        <w:pStyle w:val="Sinespaciado"/>
        <w:spacing w:line="360" w:lineRule="auto"/>
        <w:jc w:val="both"/>
        <w:rPr>
          <w:rFonts w:eastAsiaTheme="minorHAnsi"/>
          <w:b/>
          <w:sz w:val="24"/>
          <w:szCs w:val="24"/>
          <w:u w:val="single"/>
          <w:lang w:eastAsia="en-US"/>
        </w:rPr>
      </w:pPr>
      <w:r w:rsidRPr="007579E1">
        <w:rPr>
          <w:rFonts w:eastAsiaTheme="minorHAnsi"/>
          <w:b/>
          <w:sz w:val="24"/>
          <w:szCs w:val="24"/>
          <w:u w:val="single"/>
          <w:lang w:eastAsia="en-US"/>
        </w:rPr>
        <w:lastRenderedPageBreak/>
        <w:t>5. REGIMEN JURIDICO EN ESPAÑA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7579E1" w:rsidRDefault="00EB4634" w:rsidP="00EB4634">
      <w:pPr>
        <w:pStyle w:val="Sinespaciado"/>
        <w:spacing w:line="360" w:lineRule="auto"/>
        <w:jc w:val="both"/>
        <w:rPr>
          <w:rFonts w:eastAsiaTheme="minorHAnsi"/>
          <w:i/>
          <w:sz w:val="24"/>
          <w:szCs w:val="24"/>
          <w:u w:val="single"/>
          <w:lang w:eastAsia="en-US"/>
        </w:rPr>
      </w:pPr>
      <w:r w:rsidRPr="007579E1">
        <w:rPr>
          <w:rFonts w:eastAsiaTheme="minorHAnsi"/>
          <w:i/>
          <w:sz w:val="24"/>
          <w:szCs w:val="24"/>
          <w:u w:val="single"/>
          <w:lang w:eastAsia="en-US"/>
        </w:rPr>
        <w:t>5.1. MARCO NORMATIVO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Dentro del marco normativo Español podemos diferenciar varios apartados. El primero de ellos se basa en su regulación más genérica. En segundo lugar, analizaremos, de forma separada, tres de los ámbitos más importantes que forman la CPSR, siendo estos, la no discriminación contra personas discapacitadas, la igualdad de género, y por último la protección medioambiental.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sz w:val="24"/>
          <w:szCs w:val="24"/>
          <w:u w:val="single"/>
          <w:lang w:eastAsia="en-US"/>
        </w:rPr>
      </w:pPr>
      <w:r w:rsidRPr="009E04B5">
        <w:rPr>
          <w:rFonts w:eastAsiaTheme="minorHAnsi"/>
          <w:sz w:val="24"/>
          <w:szCs w:val="24"/>
          <w:u w:val="single"/>
          <w:lang w:eastAsia="en-US"/>
        </w:rPr>
        <w:t xml:space="preserve">5.1.1 RÉGIMEN GENERAL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Realmente, la primera mención, y teóricamente más importante que podemos entender, en cierto modo, como sustento de la inserción de cláusulas sociales es la Constitución Española. En la CE existe un artículo en concreto que, si bien no es una mención expresa a estas cláusulas sociales, ya que cuando fue redactado ni siquiera se concedía a existencia de estas como tales, si defiende, entre otras cosas, la necesidad de incluir políticas sociales en nuestra sociedad. El artículo 40.1 CE establece exactamente que: “</w:t>
      </w:r>
      <w:r w:rsidRPr="00EB4634">
        <w:rPr>
          <w:rFonts w:eastAsiaTheme="minorHAnsi"/>
          <w:i/>
          <w:sz w:val="24"/>
          <w:szCs w:val="24"/>
          <w:lang w:eastAsia="en-US"/>
        </w:rPr>
        <w:t>Los poderes públicos promoverán las condiciones favorables para el progreso social y económico y para una distribución de la renta regional y personal más equitativa, en el marco de una política de estabilidad económica. De manera especial realizarán una política orientada al pleno empleo.”</w:t>
      </w:r>
      <w:r w:rsidRPr="00EB4634">
        <w:rPr>
          <w:rFonts w:eastAsiaTheme="minorHAnsi"/>
          <w:i/>
          <w:sz w:val="24"/>
          <w:szCs w:val="24"/>
          <w:vertAlign w:val="superscript"/>
          <w:lang w:eastAsia="en-US"/>
        </w:rPr>
        <w:footnoteReference w:id="31"/>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Aunque es cierto que actualmente en España el régimen jurídico de la Compra Publica Socialmente Responsable, y por ende el de las clausulas sociales, se sustenta en el Real Decreto Legislativo 3/2011 de 14 de noviembre, por el que se aprueba el Texto Refundido de la Ley de Contratos del Sector Público, (en adelante, TRLCSP) el cual constituye un cuerpo normativo, cuanto menos, extenso (cuenta con 334 artículos, 31 disposiciones adicionales, 8 disposiciones transitorias, 6 disposiciones finales y 3 anexos).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 xml:space="preserve">Las diferentes menciones por parte del texto hacia la inclusión de cláusulas sociales son variadas, partiendo desde la del artículo 22.1, el cual defiende que los contratos deben ser celebrados para la consecución de diferentes </w:t>
      </w:r>
      <w:r w:rsidRPr="00EB4634">
        <w:rPr>
          <w:rFonts w:eastAsiaTheme="minorHAnsi"/>
          <w:i/>
          <w:sz w:val="24"/>
          <w:szCs w:val="24"/>
          <w:lang w:eastAsia="en-US"/>
        </w:rPr>
        <w:t>“fines institucionales”</w:t>
      </w:r>
      <w:r w:rsidRPr="00EB4634">
        <w:rPr>
          <w:rFonts w:eastAsiaTheme="minorHAnsi"/>
          <w:sz w:val="24"/>
          <w:szCs w:val="24"/>
          <w:vertAlign w:val="superscript"/>
          <w:lang w:eastAsia="en-US"/>
        </w:rPr>
        <w:footnoteReference w:id="32"/>
      </w:r>
      <w:r w:rsidRPr="00EB4634">
        <w:rPr>
          <w:rFonts w:eastAsiaTheme="minorHAnsi"/>
          <w:i/>
          <w:sz w:val="24"/>
          <w:szCs w:val="24"/>
          <w:lang w:eastAsia="en-US"/>
        </w:rPr>
        <w:t xml:space="preserve">; </w:t>
      </w:r>
      <w:r w:rsidRPr="00EB4634">
        <w:rPr>
          <w:rFonts w:eastAsiaTheme="minorHAnsi"/>
          <w:sz w:val="24"/>
          <w:szCs w:val="24"/>
          <w:lang w:eastAsia="en-US"/>
        </w:rPr>
        <w:t xml:space="preserve">hasta el más que especifico artículo 25.1, el cual establece, literalmente que </w:t>
      </w:r>
      <w:r w:rsidRPr="00EB4634">
        <w:rPr>
          <w:rFonts w:eastAsiaTheme="minorHAnsi"/>
          <w:i/>
          <w:sz w:val="24"/>
          <w:szCs w:val="24"/>
          <w:lang w:eastAsia="en-US"/>
        </w:rPr>
        <w:t>“en los contratos del sector público podrán incluirse cualesquiera pactos, cláusulas y condiciones, siempre que no sean contrarios al interés público, al ordenamiento jurídico y a los principios de buena administración.”</w:t>
      </w:r>
      <w:r w:rsidRPr="00EB4634">
        <w:rPr>
          <w:rFonts w:eastAsiaTheme="minorHAnsi"/>
          <w:i/>
          <w:sz w:val="24"/>
          <w:szCs w:val="24"/>
          <w:vertAlign w:val="superscript"/>
          <w:lang w:eastAsia="en-US"/>
        </w:rPr>
        <w:footnoteReference w:id="33"/>
      </w:r>
      <w:r w:rsidRPr="00EB4634">
        <w:rPr>
          <w:rFonts w:eastAsiaTheme="minorHAnsi"/>
          <w:i/>
          <w:sz w:val="24"/>
          <w:szCs w:val="24"/>
          <w:lang w:eastAsia="en-US"/>
        </w:rPr>
        <w:t>.</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Ahora bien, ¿Qué opciones realmente nos da esta Ley de Contratos del Sector Publico para introducir cláusulas sociales? Pues bien, sirviéndonos otra vez del cuadro que ya vimos anteriormente veremos realmente como pueden ser introducidas en un contrato.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Formas de introducción de las Clausulas sociales en la contratación pública.</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9E04B5">
      <w:pPr>
        <w:pStyle w:val="Sinespaciado"/>
        <w:spacing w:line="360" w:lineRule="auto"/>
        <w:jc w:val="center"/>
        <w:rPr>
          <w:rFonts w:eastAsiaTheme="minorHAnsi"/>
          <w:sz w:val="24"/>
          <w:szCs w:val="24"/>
          <w:lang w:eastAsia="en-US"/>
        </w:rPr>
      </w:pPr>
      <w:r w:rsidRPr="00EB4634">
        <w:rPr>
          <w:rFonts w:eastAsiaTheme="minorHAnsi"/>
          <w:noProof/>
          <w:sz w:val="24"/>
          <w:szCs w:val="24"/>
        </w:rPr>
        <w:drawing>
          <wp:inline distT="0" distB="0" distL="0" distR="0" wp14:anchorId="0F5A06BD" wp14:editId="0BC14346">
            <wp:extent cx="3828415" cy="208470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8415" cy="2084705"/>
                    </a:xfrm>
                    <a:prstGeom prst="rect">
                      <a:avLst/>
                    </a:prstGeom>
                    <a:noFill/>
                  </pic:spPr>
                </pic:pic>
              </a:graphicData>
            </a:graphic>
          </wp:inline>
        </w:drawing>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i/>
          <w:sz w:val="24"/>
          <w:szCs w:val="24"/>
          <w:lang w:eastAsia="en-US"/>
        </w:rPr>
        <w:t xml:space="preserve">Guía de Contratación Pública Socialmente Responsable </w:t>
      </w:r>
      <w:r w:rsidRPr="00EB4634">
        <w:rPr>
          <w:rFonts w:eastAsiaTheme="minorHAnsi"/>
          <w:i/>
          <w:sz w:val="24"/>
          <w:szCs w:val="24"/>
          <w:vertAlign w:val="superscript"/>
          <w:lang w:eastAsia="en-US"/>
        </w:rPr>
        <w:footnoteReference w:id="34"/>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Respecto al objeto del contrato, además de los ya mencionados artículos 22.1 y 25.2 TRLCSP, es necesario descartar el artículo 86.1 TRLCSP</w:t>
      </w:r>
      <w:r w:rsidRPr="00EB4634">
        <w:rPr>
          <w:rFonts w:eastAsiaTheme="minorHAnsi"/>
          <w:sz w:val="24"/>
          <w:szCs w:val="24"/>
          <w:vertAlign w:val="superscript"/>
          <w:lang w:eastAsia="en-US"/>
        </w:rPr>
        <w:footnoteReference w:id="35"/>
      </w:r>
      <w:r w:rsidRPr="00EB4634">
        <w:rPr>
          <w:rFonts w:eastAsiaTheme="minorHAnsi"/>
          <w:sz w:val="24"/>
          <w:szCs w:val="24"/>
          <w:lang w:eastAsia="en-US"/>
        </w:rPr>
        <w:t xml:space="preserve">. Las prohibiciones de contratar se </w:t>
      </w:r>
      <w:r w:rsidRPr="00EB4634">
        <w:rPr>
          <w:rFonts w:eastAsiaTheme="minorHAnsi"/>
          <w:sz w:val="24"/>
          <w:szCs w:val="24"/>
          <w:lang w:eastAsia="en-US"/>
        </w:rPr>
        <w:lastRenderedPageBreak/>
        <w:t>establecen en su artículo 60.1 TRLCSP, el cual establece las mismas para personas que básicamente hayan incurrido infracción en el ámbito de no discriminación de las personas con discapacidad, la igualdad de mujeres y hombres o en materia ambiental</w:t>
      </w:r>
      <w:r w:rsidRPr="00EB4634">
        <w:rPr>
          <w:rFonts w:eastAsiaTheme="minorHAnsi"/>
          <w:sz w:val="24"/>
          <w:szCs w:val="24"/>
          <w:vertAlign w:val="superscript"/>
          <w:lang w:eastAsia="en-US"/>
        </w:rPr>
        <w:footnoteReference w:id="36"/>
      </w:r>
      <w:r w:rsidRPr="00EB4634">
        <w:rPr>
          <w:rFonts w:eastAsiaTheme="minorHAnsi"/>
          <w:sz w:val="24"/>
          <w:szCs w:val="24"/>
          <w:lang w:eastAsia="en-US"/>
        </w:rPr>
        <w:t>. La solvencia técnica se encuentra reflejada en el artículo 62 TRLCSP</w:t>
      </w:r>
      <w:r w:rsidRPr="00EB4634">
        <w:rPr>
          <w:rFonts w:eastAsiaTheme="minorHAnsi"/>
          <w:sz w:val="24"/>
          <w:szCs w:val="24"/>
          <w:vertAlign w:val="superscript"/>
          <w:lang w:eastAsia="en-US"/>
        </w:rPr>
        <w:footnoteReference w:id="37"/>
      </w:r>
      <w:r w:rsidRPr="00EB4634">
        <w:rPr>
          <w:rFonts w:eastAsiaTheme="minorHAnsi"/>
          <w:sz w:val="24"/>
          <w:szCs w:val="24"/>
          <w:lang w:eastAsia="en-US"/>
        </w:rPr>
        <w:t xml:space="preserve">, mientras que los contratos reservados se encuentran regulados en la disposición adicional quinta. </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Respecto los criterios de adjudicación descartar el articulo 150 TRLCSP,</w:t>
      </w:r>
      <w:r w:rsidRPr="00EB4634">
        <w:rPr>
          <w:rFonts w:eastAsiaTheme="minorHAnsi"/>
          <w:sz w:val="24"/>
          <w:szCs w:val="24"/>
          <w:vertAlign w:val="superscript"/>
          <w:lang w:eastAsia="en-US"/>
        </w:rPr>
        <w:footnoteReference w:id="38"/>
      </w:r>
      <w:r w:rsidRPr="00EB4634">
        <w:rPr>
          <w:rFonts w:eastAsiaTheme="minorHAnsi"/>
          <w:sz w:val="24"/>
          <w:szCs w:val="24"/>
          <w:lang w:eastAsia="en-US"/>
        </w:rPr>
        <w:t xml:space="preserve"> a cuyo tener es debido destacar, la importancia por un lado la exigencia de la vinculación de los criterios con el objeto del contrato, argumento que, como ya hemos visto en la jurisprudencia anterior, es capaz de inhabilitar a una clausulas social, y por otro lado, la concreta puntualización que muestra hacia los criterios medioambientales, representando un pilar muy importante en este cuerpo normativo. Los criterios de preferencia regulan en la disposición adicional 4, mientras que por último, las condiciones de ejecución se regulan por el artículo 118 TRLCPS.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 xml:space="preserve">Básicamente con esta breve descripción podemos comprobar que el texto está integrado con todo tipo de posibilidades para incluir diferentes tipos de cláusulas sociales – laboras – ambientales o de otros tipos en cualquier fase del procedimiento.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Retrocediendo un poco, la falta de definición dada al concepto de contratos reservados obedece a que, en mi opinión, es una posibilidad con mayor calado que las demás, es decir, dentro de ese concepto se presentan una serie de instituciones que merecen un análisis independiente. Así, como ya hemos mencionado, los contratos reservados se regulan en la disposición adicional 5, “</w:t>
      </w:r>
      <w:r w:rsidRPr="00EB4634">
        <w:rPr>
          <w:rFonts w:eastAsiaTheme="minorHAnsi"/>
          <w:i/>
          <w:sz w:val="24"/>
          <w:szCs w:val="24"/>
          <w:lang w:eastAsia="en-US"/>
        </w:rPr>
        <w:t>pudiendo reservarse la participación en los procedimientos de adjudicación de contratos a Centros Especiales de Empleo, o reservar su ejecución en el marco de programas de empleo protegido, cuando al menos el 70 por 100 de los trabajadores afectados sean personas con discapacidad que, debido a la índole o a la gravedad de sus deficiencias, no puedan ejercer una actividad profesional en condiciones normales”.</w:t>
      </w:r>
      <w:r w:rsidRPr="00EB4634">
        <w:rPr>
          <w:rFonts w:eastAsiaTheme="minorHAnsi"/>
          <w:i/>
          <w:sz w:val="24"/>
          <w:szCs w:val="24"/>
          <w:vertAlign w:val="superscript"/>
          <w:lang w:eastAsia="en-US"/>
        </w:rPr>
        <w:footnoteReference w:id="39"/>
      </w:r>
      <w:r w:rsidRPr="00EB4634">
        <w:rPr>
          <w:rFonts w:eastAsiaTheme="minorHAnsi"/>
          <w:i/>
          <w:sz w:val="24"/>
          <w:szCs w:val="24"/>
          <w:lang w:eastAsia="en-US"/>
        </w:rPr>
        <w:t xml:space="preserve">. </w:t>
      </w:r>
      <w:r w:rsidRPr="00EB4634">
        <w:rPr>
          <w:rFonts w:eastAsiaTheme="minorHAnsi"/>
          <w:sz w:val="24"/>
          <w:szCs w:val="24"/>
          <w:lang w:eastAsia="en-US"/>
        </w:rPr>
        <w:t xml:space="preserve">Esto se traduce en que la administración posibilita reservar un “trozo del pastel” a diferentes empresas con una tipología muy singular.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Por un lado, encontramos las llamadas Empresas de Inserción Laboral, reguladas por la Ley 44/2007, de 13 de diciembre, para la regulación del régimen de las empresas de inserción. Estas empresas tienen como objeto principal la inserción en el mercado laboral de personas en </w:t>
      </w:r>
      <w:r w:rsidRPr="00EB4634">
        <w:rPr>
          <w:rFonts w:eastAsiaTheme="minorHAnsi"/>
          <w:i/>
          <w:sz w:val="24"/>
          <w:szCs w:val="24"/>
          <w:lang w:eastAsia="en-US"/>
        </w:rPr>
        <w:t>“situación de exclusión social”</w:t>
      </w:r>
      <w:r w:rsidRPr="00EB4634">
        <w:rPr>
          <w:rFonts w:eastAsiaTheme="minorHAnsi"/>
          <w:i/>
          <w:sz w:val="24"/>
          <w:szCs w:val="24"/>
          <w:vertAlign w:val="superscript"/>
          <w:lang w:eastAsia="en-US"/>
        </w:rPr>
        <w:footnoteReference w:id="40"/>
      </w:r>
      <w:r w:rsidRPr="00EB4634">
        <w:rPr>
          <w:rFonts w:eastAsiaTheme="minorHAnsi"/>
          <w:i/>
          <w:sz w:val="24"/>
          <w:szCs w:val="24"/>
          <w:lang w:eastAsia="en-US"/>
        </w:rPr>
        <w:t>,</w:t>
      </w:r>
      <w:r w:rsidRPr="00EB4634">
        <w:rPr>
          <w:rFonts w:eastAsiaTheme="minorHAnsi"/>
          <w:sz w:val="24"/>
          <w:szCs w:val="24"/>
          <w:lang w:eastAsia="en-US"/>
        </w:rPr>
        <w:t xml:space="preserve"> debiendo estar comprendidas además por una plantilla entre el 30% y 50% de personas en esta situación de exclusión social.</w:t>
      </w:r>
      <w:r w:rsidRPr="00EB4634">
        <w:rPr>
          <w:rFonts w:eastAsiaTheme="minorHAnsi"/>
          <w:sz w:val="24"/>
          <w:szCs w:val="24"/>
          <w:vertAlign w:val="superscript"/>
          <w:lang w:eastAsia="en-US"/>
        </w:rPr>
        <w:footnoteReference w:id="41"/>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otro lado, también están los denominados Centros Especiales de Empleo, regulados por el Real Decreto 2273/1985, de 4 de diciembre. En tipo de empresas tienen un tiene un mayor enfoque sobre las personas con discapacidad</w:t>
      </w:r>
      <w:r w:rsidRPr="00EB4634">
        <w:rPr>
          <w:rFonts w:eastAsiaTheme="minorHAnsi"/>
          <w:sz w:val="24"/>
          <w:szCs w:val="24"/>
          <w:vertAlign w:val="superscript"/>
          <w:lang w:eastAsia="en-US"/>
        </w:rPr>
        <w:footnoteReference w:id="42"/>
      </w:r>
      <w:r w:rsidRPr="00EB4634">
        <w:rPr>
          <w:rFonts w:eastAsiaTheme="minorHAnsi"/>
          <w:sz w:val="24"/>
          <w:szCs w:val="24"/>
          <w:lang w:eastAsia="en-US"/>
        </w:rPr>
        <w:t>, y como característica principal, su plantilla debe estar compuesta al menos con un 70% de trabajadores con discapacidad igual o superior a un 33%, obtener la calificación como tales y estar inscritas en el registro correspondiente.</w:t>
      </w:r>
      <w:r w:rsidRPr="00EB4634">
        <w:rPr>
          <w:rFonts w:eastAsiaTheme="minorHAnsi"/>
          <w:sz w:val="24"/>
          <w:szCs w:val="24"/>
          <w:vertAlign w:val="superscript"/>
          <w:lang w:eastAsia="en-US"/>
        </w:rPr>
        <w:footnoteReference w:id="43"/>
      </w:r>
    </w:p>
    <w:p w:rsidR="00EB4634" w:rsidRDefault="00EB4634" w:rsidP="00EB4634">
      <w:pPr>
        <w:pStyle w:val="Sinespaciado"/>
        <w:spacing w:line="360" w:lineRule="auto"/>
        <w:jc w:val="both"/>
        <w:rPr>
          <w:rFonts w:eastAsiaTheme="minorHAnsi"/>
          <w:sz w:val="24"/>
          <w:szCs w:val="24"/>
          <w:lang w:eastAsia="en-US"/>
        </w:rPr>
      </w:pPr>
    </w:p>
    <w:p w:rsidR="009E04B5" w:rsidRDefault="009E04B5" w:rsidP="00EB4634">
      <w:pPr>
        <w:pStyle w:val="Sinespaciado"/>
        <w:spacing w:line="360" w:lineRule="auto"/>
        <w:jc w:val="both"/>
        <w:rPr>
          <w:rFonts w:eastAsiaTheme="minorHAnsi"/>
          <w:sz w:val="24"/>
          <w:szCs w:val="24"/>
          <w:lang w:eastAsia="en-US"/>
        </w:rPr>
      </w:pPr>
    </w:p>
    <w:p w:rsidR="009E04B5" w:rsidRPr="00EB4634" w:rsidRDefault="009E04B5"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sz w:val="24"/>
          <w:szCs w:val="24"/>
          <w:u w:val="single"/>
          <w:lang w:eastAsia="en-US"/>
        </w:rPr>
      </w:pPr>
      <w:r w:rsidRPr="009E04B5">
        <w:rPr>
          <w:rFonts w:eastAsiaTheme="minorHAnsi"/>
          <w:sz w:val="24"/>
          <w:szCs w:val="24"/>
          <w:u w:val="single"/>
          <w:lang w:eastAsia="en-US"/>
        </w:rPr>
        <w:lastRenderedPageBreak/>
        <w:t xml:space="preserve">5.1.2 INTEGRACION DE PERSONAS </w:t>
      </w:r>
      <w:r w:rsidR="003145A5">
        <w:rPr>
          <w:rFonts w:eastAsiaTheme="minorHAnsi"/>
          <w:sz w:val="24"/>
          <w:szCs w:val="24"/>
          <w:u w:val="single"/>
          <w:lang w:eastAsia="en-US"/>
        </w:rPr>
        <w:t>CON DISCAPACIDAD</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Según los datos de uno de los mayores estudios estadísticos de los últimos años, en España, en 2008, hay 3,85 millones de personas que afirma sufrir alguna limitación o discapacidad, de los cuales se estima que solo unos 420.000 estaban trabajando</w:t>
      </w:r>
      <w:r w:rsidRPr="00EB4634">
        <w:rPr>
          <w:rFonts w:eastAsiaTheme="minorHAnsi"/>
          <w:sz w:val="24"/>
          <w:szCs w:val="24"/>
          <w:vertAlign w:val="superscript"/>
          <w:lang w:eastAsia="en-US"/>
        </w:rPr>
        <w:footnoteReference w:id="44"/>
      </w:r>
      <w:r w:rsidRPr="00EB4634">
        <w:rPr>
          <w:rFonts w:eastAsiaTheme="minorHAnsi"/>
          <w:sz w:val="24"/>
          <w:szCs w:val="24"/>
          <w:lang w:eastAsia="en-US"/>
        </w:rPr>
        <w:t xml:space="preserve">. Con estos datos lo único que quiero poner de manifiesto es, por un lado, la gran cantidad de personas que sufren algún tipo de discapacidad, y por otro, la diferencia tan grande entre las personas que la sufren y las personas que tienen empleo.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Al margen de lo ya estudiado en este trabajo, la regulación estatal sobre persona con discapacidad se basa principalmente en el Decreto Legislativo 1/2013, de 29 de noviembre, por el que se aprueba el Texto Refundido de la Ley General de derechos de las personas con discapacidad y de su inclusión social, como sustituto de la Ley 13/1982 de 7 de Abril, de Integración Social de los Minusválidos.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Esta ley, obviamente tiene como objeto principal garantizar la protección y la integración en todos los ámbitos de la sociedad de las personas con discapacidad, además de establecer un régimen de infracciones en caso de violar “</w:t>
      </w:r>
      <w:r w:rsidRPr="00EB4634">
        <w:rPr>
          <w:rFonts w:eastAsiaTheme="minorHAnsi"/>
          <w:i/>
          <w:sz w:val="24"/>
          <w:szCs w:val="24"/>
          <w:lang w:eastAsia="en-US"/>
        </w:rPr>
        <w:t>los principios de igualdad de oportunidades, no discriminación y accesibilidad universal de las personas con discapacidad</w:t>
      </w:r>
      <w:r w:rsidRPr="00EB4634">
        <w:rPr>
          <w:rFonts w:eastAsiaTheme="minorHAnsi"/>
          <w:sz w:val="24"/>
          <w:szCs w:val="24"/>
          <w:lang w:eastAsia="en-US"/>
        </w:rPr>
        <w:t>.”</w:t>
      </w:r>
      <w:r w:rsidRPr="00EB4634">
        <w:rPr>
          <w:rFonts w:eastAsiaTheme="minorHAnsi"/>
          <w:sz w:val="24"/>
          <w:szCs w:val="24"/>
          <w:vertAlign w:val="superscript"/>
          <w:lang w:eastAsia="en-US"/>
        </w:rPr>
        <w:footnoteReference w:id="45"/>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i/>
          <w:sz w:val="24"/>
          <w:szCs w:val="24"/>
          <w:lang w:eastAsia="en-US"/>
        </w:rPr>
      </w:pPr>
      <w:r w:rsidRPr="00EB4634">
        <w:rPr>
          <w:rFonts w:eastAsiaTheme="minorHAnsi"/>
          <w:sz w:val="24"/>
          <w:szCs w:val="24"/>
          <w:lang w:eastAsia="en-US"/>
        </w:rPr>
        <w:t>A efectos de esta ley, según el artículo 4, “</w:t>
      </w:r>
      <w:r w:rsidRPr="00EB4634">
        <w:rPr>
          <w:rFonts w:eastAsiaTheme="minorHAnsi"/>
          <w:i/>
          <w:sz w:val="24"/>
          <w:szCs w:val="24"/>
          <w:lang w:eastAsia="en-US"/>
        </w:rPr>
        <w:t>son personas con discapacidad aquellas que presentan deficiencias físicas, mentales, intelectuales o sensoriales, previsiblemente permanentes que, al interactuar con diversas barreras, puedan impedir su participación plena y efectiva en la sociedad, en igualdad de condiciones con los demás.”</w:t>
      </w:r>
      <w:r w:rsidRPr="00EB4634">
        <w:rPr>
          <w:rFonts w:eastAsiaTheme="minorHAnsi"/>
          <w:i/>
          <w:sz w:val="24"/>
          <w:szCs w:val="24"/>
          <w:vertAlign w:val="superscript"/>
          <w:lang w:eastAsia="en-US"/>
        </w:rPr>
        <w:footnoteReference w:id="46"/>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relación a su inclusión en el mercado laboral, la medida principal de este cuerpo legislativo es la reserva del 2% de puesto de trabajos para personas con disparidad para empresas con más de 50 trabajadores. </w:t>
      </w:r>
      <w:r w:rsidRPr="00EB4634">
        <w:rPr>
          <w:rFonts w:eastAsiaTheme="minorHAnsi"/>
          <w:sz w:val="24"/>
          <w:szCs w:val="24"/>
          <w:vertAlign w:val="superscript"/>
          <w:lang w:eastAsia="en-US"/>
        </w:rPr>
        <w:footnoteReference w:id="47"/>
      </w:r>
    </w:p>
    <w:p w:rsidR="00EB4634" w:rsidRPr="00EB4634" w:rsidRDefault="00EB4634" w:rsidP="00EB4634">
      <w:pPr>
        <w:pStyle w:val="Sinespaciado"/>
        <w:spacing w:line="360" w:lineRule="auto"/>
        <w:jc w:val="both"/>
        <w:rPr>
          <w:rFonts w:eastAsiaTheme="minorHAnsi"/>
          <w:sz w:val="24"/>
          <w:szCs w:val="24"/>
          <w:lang w:eastAsia="en-US"/>
        </w:rPr>
      </w:pPr>
    </w:p>
    <w:p w:rsid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lastRenderedPageBreak/>
        <w:t>Por último, la protección de personas con discapacidad es ampliada por otro tipo de normas, por ejemplo, el Real Decreto Legislativo 5/2000, de 4 de agosto, por el que se aprueba el texto refundido de la Ley sobre Infracciones y Sanciones en el Orden Social, el cual señala en su artículo 15, que se considerara como infracción grave “</w:t>
      </w:r>
      <w:r w:rsidRPr="00EB4634">
        <w:rPr>
          <w:rFonts w:eastAsiaTheme="minorHAnsi"/>
          <w:i/>
          <w:sz w:val="24"/>
          <w:szCs w:val="24"/>
          <w:lang w:eastAsia="en-US"/>
        </w:rPr>
        <w:t>el incumplimiento en materia de integración laboral de minusválidos de la obligación legal de reserva de puestos de trabajo para minusválidos, o de la aplicación de sus medidas alternativas de carácter excepcional”.</w:t>
      </w:r>
      <w:r w:rsidRPr="00EB4634">
        <w:rPr>
          <w:rFonts w:eastAsiaTheme="minorHAnsi"/>
          <w:sz w:val="24"/>
          <w:szCs w:val="24"/>
          <w:lang w:eastAsia="en-US"/>
        </w:rPr>
        <w:t xml:space="preserve"> </w:t>
      </w:r>
      <w:r w:rsidRPr="00EB4634">
        <w:rPr>
          <w:rFonts w:eastAsiaTheme="minorHAnsi"/>
          <w:sz w:val="24"/>
          <w:szCs w:val="24"/>
          <w:vertAlign w:val="superscript"/>
          <w:lang w:eastAsia="en-US"/>
        </w:rPr>
        <w:footnoteReference w:id="48"/>
      </w:r>
    </w:p>
    <w:p w:rsidR="009E04B5" w:rsidRPr="00EB4634" w:rsidRDefault="009E04B5"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sz w:val="24"/>
          <w:szCs w:val="24"/>
          <w:u w:val="single"/>
          <w:lang w:eastAsia="en-US"/>
        </w:rPr>
      </w:pPr>
      <w:r w:rsidRPr="009E04B5">
        <w:rPr>
          <w:rFonts w:eastAsiaTheme="minorHAnsi"/>
          <w:sz w:val="24"/>
          <w:szCs w:val="24"/>
          <w:u w:val="single"/>
          <w:lang w:eastAsia="en-US"/>
        </w:rPr>
        <w:t>5.1.3 IGUALDAD DE GÉNERO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El primer garante de defensa respecto a la igualdad de género es la Constitución Española, en su artículo 14, declarando que no puede existir desigualada por razón de sexo. </w:t>
      </w:r>
      <w:r w:rsidRPr="00EB4634">
        <w:rPr>
          <w:rFonts w:eastAsiaTheme="minorHAnsi"/>
          <w:sz w:val="24"/>
          <w:szCs w:val="24"/>
          <w:vertAlign w:val="superscript"/>
          <w:lang w:eastAsia="en-US"/>
        </w:rPr>
        <w:footnoteReference w:id="49"/>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Por otro lado, encuentra su fundamento normativo en la Ley Orgánica 3/2007, de 22 de marzo, para la igualdad efectiva de mujeres y hombres, donde destaca, respecto a su relación con las clausulas sociales, el artículo 34, el cual establece que “</w:t>
      </w:r>
      <w:r w:rsidRPr="00EB4634">
        <w:rPr>
          <w:rFonts w:eastAsiaTheme="minorHAnsi"/>
          <w:i/>
          <w:sz w:val="24"/>
          <w:szCs w:val="24"/>
          <w:lang w:eastAsia="en-US"/>
        </w:rPr>
        <w:t>los órganos de contratación podrán establecer en los pliegos de cláusulas administrativas particulares la preferencia en la adjudicación de los contratos de las proposiciones presentadas por aquellas empresas que, en el momento de acreditar su solvencia técnica o profesional apliquen medidas tendentes a promover la igualdad efectiva entre mujeres y hombres en el mercado de trabajo.”</w:t>
      </w:r>
      <w:r w:rsidRPr="00EB4634">
        <w:rPr>
          <w:rFonts w:eastAsiaTheme="minorHAnsi"/>
          <w:sz w:val="24"/>
          <w:szCs w:val="24"/>
          <w:lang w:eastAsia="en-US"/>
        </w:rPr>
        <w:t xml:space="preserve"> </w:t>
      </w:r>
      <w:r w:rsidRPr="00EB4634">
        <w:rPr>
          <w:rFonts w:eastAsiaTheme="minorHAnsi"/>
          <w:sz w:val="24"/>
          <w:szCs w:val="24"/>
          <w:vertAlign w:val="superscript"/>
          <w:lang w:eastAsia="en-US"/>
        </w:rPr>
        <w:footnoteReference w:id="50"/>
      </w:r>
    </w:p>
    <w:p w:rsidR="00EB4634" w:rsidRPr="00EB4634" w:rsidRDefault="00EB4634"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sz w:val="24"/>
          <w:szCs w:val="24"/>
          <w:u w:val="single"/>
          <w:lang w:eastAsia="en-US"/>
        </w:rPr>
      </w:pPr>
      <w:r w:rsidRPr="009E04B5">
        <w:rPr>
          <w:rFonts w:eastAsiaTheme="minorHAnsi"/>
          <w:sz w:val="24"/>
          <w:szCs w:val="24"/>
          <w:u w:val="single"/>
          <w:lang w:eastAsia="en-US"/>
        </w:rPr>
        <w:t>5.1.4 MATERIA MEDIOAMBIENTAL</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regulación en materia medioambiental es muy amplia, lo cual en este apartado nos limitaremos básicamente a nombrarla, teniendo en cuanta que cada norma tiene un sector de aplicación diferente. Así, las normas son las siguientes: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Real Decreto Legislativo 1/2008, de 11 de enero, por el que se aprueba el Texto Refundido de la Ley de Evaluación de Impacto Ambiental de Proyectos.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Ley 22/1988, de 28 de julio, de Costas.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Ley 4/1989, de 27 de marzo, de Conservación de los Espacios Naturales y de la Flora y Fauna Silvestres.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Ley 11/1997, de 24 de abril, de Envases y Residuos de Envases.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Ley 10/1998, de 21 de abril, de Residuos.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Texto Refundido de la Ley de Aguas, aprobado por Real Decreto Legislativo 1/2001, de 20 de julio.</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8377CE">
      <w:pPr>
        <w:pStyle w:val="Sinespaciado"/>
        <w:numPr>
          <w:ilvl w:val="0"/>
          <w:numId w:val="21"/>
        </w:numPr>
        <w:spacing w:line="360" w:lineRule="auto"/>
        <w:jc w:val="both"/>
        <w:rPr>
          <w:rFonts w:eastAsiaTheme="minorHAnsi"/>
          <w:sz w:val="24"/>
          <w:szCs w:val="24"/>
          <w:lang w:eastAsia="en-US"/>
        </w:rPr>
      </w:pPr>
      <w:r w:rsidRPr="00EB4634">
        <w:rPr>
          <w:rFonts w:eastAsiaTheme="minorHAnsi"/>
          <w:sz w:val="24"/>
          <w:szCs w:val="24"/>
          <w:lang w:eastAsia="en-US"/>
        </w:rPr>
        <w:t>La Ley 16/2002, de 1 de julio, de Prevención y Control Integrados de la Contaminación.</w:t>
      </w:r>
    </w:p>
    <w:p w:rsidR="00EB4634" w:rsidRDefault="00EB4634" w:rsidP="00EB4634">
      <w:pPr>
        <w:pStyle w:val="Sinespaciado"/>
        <w:spacing w:line="360" w:lineRule="auto"/>
        <w:jc w:val="both"/>
        <w:rPr>
          <w:rFonts w:eastAsiaTheme="minorHAnsi"/>
          <w:sz w:val="24"/>
          <w:szCs w:val="24"/>
          <w:lang w:eastAsia="en-US"/>
        </w:rPr>
      </w:pPr>
    </w:p>
    <w:p w:rsidR="009E04B5" w:rsidRPr="00EB4634" w:rsidRDefault="009E04B5"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b/>
          <w:sz w:val="24"/>
          <w:szCs w:val="24"/>
          <w:u w:val="single"/>
          <w:lang w:eastAsia="en-US"/>
        </w:rPr>
      </w:pPr>
      <w:r w:rsidRPr="009E04B5">
        <w:rPr>
          <w:rFonts w:eastAsiaTheme="minorHAnsi"/>
          <w:b/>
          <w:sz w:val="24"/>
          <w:szCs w:val="24"/>
          <w:u w:val="single"/>
          <w:lang w:eastAsia="en-US"/>
        </w:rPr>
        <w:t>6. CONCLUSIONES</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Del</w:t>
      </w:r>
      <w:r w:rsidR="003145A5">
        <w:rPr>
          <w:rFonts w:eastAsiaTheme="minorHAnsi"/>
          <w:sz w:val="24"/>
          <w:szCs w:val="24"/>
          <w:lang w:eastAsia="en-US"/>
        </w:rPr>
        <w:t xml:space="preserve"> análisis de la normativa europea </w:t>
      </w:r>
      <w:r w:rsidRPr="00EB4634">
        <w:rPr>
          <w:rFonts w:eastAsiaTheme="minorHAnsi"/>
          <w:sz w:val="24"/>
          <w:szCs w:val="24"/>
          <w:lang w:eastAsia="en-US"/>
        </w:rPr>
        <w:t xml:space="preserve">podemos decir que la figura de las clausulas sociales ha sufrido una gran evolución en los últimos años. Armándose de diferentes cuerpos normativos y de la jurisprudencia por parte del Tribunal de Justicia se ha conseguido construir una estructura bastante sólida alrededor de estas cláusulas sociales y de la contratación pública socialmente responsable.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a la jurisprudencia por parte del Tribunal de Justicia, desde que empezara a seguir una línea proteccionista sobre la inclusión de estas cláusulas, ha ayudado muchísimo a la evolución de las mismas, centrándose siempre en varios aspectos que para este tribunal aparecen como inamovibles, como lo son el principio de transparencia, claridad y no discriminación por la inclusión de estas cláusulas, la necesaria y real vinculación de las mismas con el objeto del contrato.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línea proteccionista del tribunal ha seguido un claro camino en cuanto a  las facetas que pretende proteger, estas son, la discapacidad, la igualdad de género, y de forma muy destacada, todos los aspectos relativos a la protección medioambiental.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Respecto a la regulación de dichas clausulas en el sistema español simplemente se ha seguido la línea dibuja desde la Unión Europea, sin querer, en mi opinión dar un paso realmente efectivo para mejorar las condiciones de la contratación pública.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Del propio estudio realizado podemos ver como las leyes en materia de discapacidad e igualdad de género tienen una carencia de aplicaciones prácticas reales en torno a su inclusión como cláusulas sociales.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En general, creo que en ambos casos, aunque se haya producido un gran avance en los últimos años, aún sigue faltando mucho terreno por cubrir. Con esto quiero decir que en muchas ocasiones, se plasman ideas y objetivos muy bonitos y progresistas en los diferentes cuerpos normativos, que carecen de eficacia práctica en el día a día de la sociedad.</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La inclusión de cláusulas sociales, o más bien, la contratación pública socialmente responsable es algo muy importante en la sociedad, más aun cuando se nos llena la boca de decir que somos una sociedad moderna, progresista y que se preocupa de los derechos humanos. Pero la realidad posiblemente es otra, ya que a diario vemos diferentes atropellos sociales y una sociedad cada vez más ermitaña, con menor preocupación social hacia los menos desfavorecidos. Y no podemos obviar que para mejorar esta situación se debe partir desde arriba, desde los que malamente llamamos “los que mandan”.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En conclusión, aunque hayamos avanzado mucho en relativamente poco tiempo, no podemos considerar que sea suficiente, nunca podemos considerarlo, ya que este tema tiene tal importante para el desarrollo que debe de estar siempre en continua mejora y evolución. </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 </w:t>
      </w: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Pr="00EB4634" w:rsidRDefault="00EB4634" w:rsidP="00EB4634">
      <w:pPr>
        <w:pStyle w:val="Sinespaciado"/>
        <w:spacing w:line="360" w:lineRule="auto"/>
        <w:jc w:val="both"/>
        <w:rPr>
          <w:rFonts w:eastAsiaTheme="minorHAnsi"/>
          <w:sz w:val="24"/>
          <w:szCs w:val="24"/>
          <w:lang w:eastAsia="en-US"/>
        </w:rPr>
      </w:pPr>
    </w:p>
    <w:p w:rsidR="00EB4634" w:rsidRDefault="00EB4634" w:rsidP="00EB4634">
      <w:pPr>
        <w:pStyle w:val="Sinespaciado"/>
        <w:spacing w:line="360" w:lineRule="auto"/>
        <w:jc w:val="both"/>
        <w:rPr>
          <w:rFonts w:eastAsiaTheme="minorHAnsi"/>
          <w:sz w:val="24"/>
          <w:szCs w:val="24"/>
          <w:lang w:eastAsia="en-US"/>
        </w:rPr>
      </w:pPr>
    </w:p>
    <w:p w:rsidR="009E04B5" w:rsidRPr="00EB4634" w:rsidRDefault="009E04B5" w:rsidP="00EB4634">
      <w:pPr>
        <w:pStyle w:val="Sinespaciado"/>
        <w:spacing w:line="360" w:lineRule="auto"/>
        <w:jc w:val="both"/>
        <w:rPr>
          <w:rFonts w:eastAsiaTheme="minorHAnsi"/>
          <w:sz w:val="24"/>
          <w:szCs w:val="24"/>
          <w:lang w:eastAsia="en-US"/>
        </w:rPr>
      </w:pPr>
    </w:p>
    <w:p w:rsidR="00EB4634" w:rsidRPr="009E04B5" w:rsidRDefault="00EB4634" w:rsidP="00EB4634">
      <w:pPr>
        <w:pStyle w:val="Sinespaciado"/>
        <w:spacing w:line="360" w:lineRule="auto"/>
        <w:jc w:val="both"/>
        <w:rPr>
          <w:rFonts w:eastAsiaTheme="minorHAnsi"/>
          <w:b/>
          <w:sz w:val="24"/>
          <w:szCs w:val="24"/>
          <w:u w:val="single"/>
          <w:lang w:eastAsia="en-US"/>
        </w:rPr>
      </w:pPr>
      <w:r w:rsidRPr="009E04B5">
        <w:rPr>
          <w:rFonts w:eastAsiaTheme="minorHAnsi"/>
          <w:b/>
          <w:sz w:val="24"/>
          <w:szCs w:val="24"/>
          <w:u w:val="single"/>
          <w:lang w:eastAsia="en-US"/>
        </w:rPr>
        <w:lastRenderedPageBreak/>
        <w:t xml:space="preserve">7. BIBLIOGRAFÍA </w:t>
      </w:r>
    </w:p>
    <w:p w:rsidR="00EB4634" w:rsidRDefault="00EB4634" w:rsidP="00EB4634">
      <w:pPr>
        <w:pStyle w:val="Sinespaciado"/>
        <w:spacing w:line="360" w:lineRule="auto"/>
        <w:jc w:val="both"/>
        <w:rPr>
          <w:rFonts w:eastAsiaTheme="minorHAnsi"/>
          <w:sz w:val="24"/>
          <w:szCs w:val="24"/>
          <w:lang w:eastAsia="en-US"/>
        </w:rPr>
      </w:pPr>
    </w:p>
    <w:p w:rsidR="00D83D4B" w:rsidRPr="00EB4634" w:rsidRDefault="00D83D4B" w:rsidP="00D83D4B">
      <w:pPr>
        <w:pStyle w:val="Sinespaciado"/>
        <w:spacing w:line="360" w:lineRule="auto"/>
        <w:jc w:val="both"/>
        <w:rPr>
          <w:rFonts w:eastAsiaTheme="minorHAnsi"/>
          <w:sz w:val="24"/>
          <w:szCs w:val="24"/>
          <w:lang w:eastAsia="en-US"/>
        </w:rPr>
      </w:pPr>
      <w:proofErr w:type="spellStart"/>
      <w:r w:rsidRPr="00EB4634">
        <w:rPr>
          <w:rFonts w:eastAsiaTheme="minorHAnsi"/>
          <w:sz w:val="24"/>
          <w:szCs w:val="24"/>
          <w:lang w:eastAsia="en-US"/>
        </w:rPr>
        <w:t>Cerutti</w:t>
      </w:r>
      <w:proofErr w:type="spellEnd"/>
      <w:r w:rsidRPr="00EB4634">
        <w:rPr>
          <w:rFonts w:eastAsiaTheme="minorHAnsi"/>
          <w:sz w:val="24"/>
          <w:szCs w:val="24"/>
          <w:lang w:eastAsia="en-US"/>
        </w:rPr>
        <w:t xml:space="preserve"> C. (2012), Concepto de organismo de derecho público en la normativa contractual pública europea. Revista: Noticias de la Unión Europea (Numero 329). </w:t>
      </w:r>
    </w:p>
    <w:p w:rsidR="00D83D4B" w:rsidRPr="00EB4634" w:rsidRDefault="00D83D4B" w:rsidP="00D83D4B">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Disponible: </w:t>
      </w:r>
      <w:hyperlink r:id="rId12" w:history="1">
        <w:r w:rsidRPr="00EB4634">
          <w:rPr>
            <w:rFonts w:eastAsia="Calibri"/>
            <w:color w:val="0000FF" w:themeColor="hyperlink"/>
            <w:sz w:val="24"/>
            <w:szCs w:val="24"/>
            <w:lang w:eastAsia="en-US"/>
          </w:rPr>
          <w:t>http://www.academia.edu/5687181/Concepto_de_organismo_de_Derecho_P%C3%BAblico_en_la_normativa_contractual_p%C3%BAblica_europea</w:t>
        </w:r>
      </w:hyperlink>
      <w:r w:rsidRPr="00EB4634">
        <w:rPr>
          <w:rFonts w:eastAsiaTheme="minorHAnsi"/>
          <w:sz w:val="24"/>
          <w:szCs w:val="24"/>
          <w:lang w:eastAsia="en-US"/>
        </w:rPr>
        <w:t xml:space="preserve"> </w:t>
      </w:r>
    </w:p>
    <w:p w:rsidR="00D83D4B" w:rsidRDefault="00D83D4B" w:rsidP="00EB4634">
      <w:pPr>
        <w:pStyle w:val="Sinespaciado"/>
        <w:spacing w:line="360" w:lineRule="auto"/>
        <w:jc w:val="both"/>
        <w:rPr>
          <w:rFonts w:eastAsiaTheme="minorHAnsi"/>
          <w:sz w:val="24"/>
          <w:szCs w:val="24"/>
          <w:lang w:eastAsia="en-US"/>
        </w:rPr>
      </w:pPr>
    </w:p>
    <w:p w:rsidR="00D83D4B" w:rsidRPr="00EB4634" w:rsidRDefault="00D83D4B" w:rsidP="00D83D4B">
      <w:pPr>
        <w:pStyle w:val="Sinespaciado"/>
        <w:spacing w:line="360" w:lineRule="auto"/>
        <w:jc w:val="both"/>
        <w:rPr>
          <w:rFonts w:eastAsiaTheme="minorHAnsi"/>
          <w:sz w:val="24"/>
          <w:szCs w:val="24"/>
          <w:lang w:eastAsia="en-US"/>
        </w:rPr>
      </w:pPr>
      <w:proofErr w:type="spellStart"/>
      <w:r w:rsidRPr="00EB4634">
        <w:rPr>
          <w:rFonts w:eastAsiaTheme="minorHAnsi"/>
          <w:sz w:val="24"/>
          <w:szCs w:val="24"/>
          <w:lang w:eastAsia="en-US"/>
        </w:rPr>
        <w:t>Cosculluela</w:t>
      </w:r>
      <w:proofErr w:type="spellEnd"/>
      <w:r w:rsidRPr="00EB4634">
        <w:rPr>
          <w:rFonts w:eastAsiaTheme="minorHAnsi"/>
          <w:sz w:val="24"/>
          <w:szCs w:val="24"/>
          <w:lang w:eastAsia="en-US"/>
        </w:rPr>
        <w:t xml:space="preserve"> Montaner, L. </w:t>
      </w:r>
      <w:r w:rsidRPr="00EB4634">
        <w:rPr>
          <w:rFonts w:eastAsiaTheme="minorHAnsi"/>
          <w:i/>
          <w:sz w:val="24"/>
          <w:szCs w:val="24"/>
          <w:lang w:eastAsia="en-US"/>
        </w:rPr>
        <w:t>La Ley de Contratos del Sector Público</w:t>
      </w:r>
      <w:r w:rsidRPr="00EB4634">
        <w:rPr>
          <w:rFonts w:eastAsiaTheme="minorHAnsi"/>
          <w:sz w:val="24"/>
          <w:szCs w:val="24"/>
          <w:lang w:eastAsia="en-US"/>
        </w:rPr>
        <w:t>, Revista Española de Control Externo, 27, 2007.</w:t>
      </w:r>
    </w:p>
    <w:p w:rsidR="00D83D4B" w:rsidRDefault="00D83D4B"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Disponible: </w:t>
      </w:r>
      <w:hyperlink r:id="rId13" w:history="1">
        <w:r w:rsidRPr="00EB4634">
          <w:rPr>
            <w:rFonts w:eastAsia="Calibri"/>
            <w:color w:val="0000FF" w:themeColor="hyperlink"/>
            <w:sz w:val="24"/>
            <w:szCs w:val="24"/>
            <w:lang w:eastAsia="en-US"/>
          </w:rPr>
          <w:t>www.tcu.es/export/sites/default/.content/PdfAbsys/Revista-27.pdf</w:t>
        </w:r>
      </w:hyperlink>
    </w:p>
    <w:p w:rsidR="00D83D4B" w:rsidRDefault="00D83D4B" w:rsidP="00EB4634">
      <w:pPr>
        <w:pStyle w:val="Sinespaciado"/>
        <w:spacing w:line="360" w:lineRule="auto"/>
        <w:jc w:val="both"/>
        <w:rPr>
          <w:rFonts w:eastAsiaTheme="minorHAnsi"/>
          <w:sz w:val="24"/>
          <w:szCs w:val="24"/>
          <w:lang w:eastAsia="en-US"/>
        </w:rPr>
      </w:pPr>
    </w:p>
    <w:p w:rsidR="00D83D4B" w:rsidRPr="00EB4634" w:rsidRDefault="00D83D4B" w:rsidP="00D83D4B">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Dirección general de empleo, asuntos sociales e igualdad de oportunidades de la comisión europea (2011), </w:t>
      </w:r>
      <w:r w:rsidRPr="00EB4634">
        <w:rPr>
          <w:rFonts w:eastAsiaTheme="minorHAnsi"/>
          <w:i/>
          <w:sz w:val="24"/>
          <w:szCs w:val="24"/>
          <w:lang w:eastAsia="en-US"/>
        </w:rPr>
        <w:t>Adquisiciones sociales. Una guía para considerar aspectos sociales en las contrataciones públicas</w:t>
      </w:r>
      <w:r w:rsidRPr="00EB4634">
        <w:rPr>
          <w:rFonts w:eastAsiaTheme="minorHAnsi"/>
          <w:sz w:val="24"/>
          <w:szCs w:val="24"/>
          <w:lang w:eastAsia="en-US"/>
        </w:rPr>
        <w:t>, Luxemburgo: Oficina de Publicaciones de la Unión Europea. Disponible: ec.europa.eu/social/</w:t>
      </w:r>
      <w:proofErr w:type="spellStart"/>
      <w:r w:rsidRPr="00EB4634">
        <w:rPr>
          <w:rFonts w:eastAsiaTheme="minorHAnsi"/>
          <w:sz w:val="24"/>
          <w:szCs w:val="24"/>
          <w:lang w:eastAsia="en-US"/>
        </w:rPr>
        <w:t>BlobServlet?docId</w:t>
      </w:r>
      <w:proofErr w:type="spellEnd"/>
      <w:r w:rsidRPr="00EB4634">
        <w:rPr>
          <w:rFonts w:eastAsiaTheme="minorHAnsi"/>
          <w:sz w:val="24"/>
          <w:szCs w:val="24"/>
          <w:lang w:eastAsia="en-US"/>
        </w:rPr>
        <w:t>=6457&amp;langId=es.</w:t>
      </w:r>
    </w:p>
    <w:p w:rsidR="00D83D4B" w:rsidRPr="00EB4634" w:rsidRDefault="00D83D4B" w:rsidP="00EB4634">
      <w:pPr>
        <w:pStyle w:val="Sinespaciado"/>
        <w:spacing w:line="360" w:lineRule="auto"/>
        <w:jc w:val="both"/>
        <w:rPr>
          <w:rFonts w:eastAsiaTheme="minorHAnsi"/>
          <w:sz w:val="24"/>
          <w:szCs w:val="24"/>
          <w:lang w:eastAsia="en-US"/>
        </w:rPr>
      </w:pPr>
    </w:p>
    <w:p w:rsidR="003F348D" w:rsidRDefault="00EB4634" w:rsidP="00EB4634">
      <w:pPr>
        <w:pStyle w:val="Sinespaciado"/>
        <w:spacing w:line="360" w:lineRule="auto"/>
        <w:jc w:val="both"/>
        <w:rPr>
          <w:rFonts w:eastAsiaTheme="minorHAnsi"/>
          <w:sz w:val="24"/>
          <w:szCs w:val="24"/>
          <w:lang w:eastAsia="en-US"/>
        </w:rPr>
      </w:pPr>
      <w:proofErr w:type="spellStart"/>
      <w:r w:rsidRPr="00EB4634">
        <w:rPr>
          <w:rFonts w:eastAsiaTheme="minorHAnsi"/>
          <w:sz w:val="24"/>
          <w:szCs w:val="24"/>
          <w:lang w:eastAsia="en-US"/>
        </w:rPr>
        <w:t>Lesmes</w:t>
      </w:r>
      <w:proofErr w:type="spellEnd"/>
      <w:r w:rsidRPr="00EB4634">
        <w:rPr>
          <w:rFonts w:eastAsiaTheme="minorHAnsi"/>
          <w:sz w:val="24"/>
          <w:szCs w:val="24"/>
          <w:lang w:eastAsia="en-US"/>
        </w:rPr>
        <w:t xml:space="preserve">, S. (2006) </w:t>
      </w:r>
      <w:r w:rsidRPr="00EB4634">
        <w:rPr>
          <w:rFonts w:eastAsiaTheme="minorHAnsi"/>
          <w:i/>
          <w:sz w:val="24"/>
          <w:szCs w:val="24"/>
          <w:lang w:eastAsia="en-US"/>
        </w:rPr>
        <w:t xml:space="preserve">Contratación pública e Inserción </w:t>
      </w:r>
      <w:proofErr w:type="spellStart"/>
      <w:r w:rsidRPr="00EB4634">
        <w:rPr>
          <w:rFonts w:eastAsiaTheme="minorHAnsi"/>
          <w:i/>
          <w:sz w:val="24"/>
          <w:szCs w:val="24"/>
          <w:lang w:eastAsia="en-US"/>
        </w:rPr>
        <w:t>Sociolaboral</w:t>
      </w:r>
      <w:proofErr w:type="spellEnd"/>
      <w:r w:rsidRPr="00EB4634">
        <w:rPr>
          <w:rFonts w:eastAsiaTheme="minorHAnsi"/>
          <w:i/>
          <w:sz w:val="24"/>
          <w:szCs w:val="24"/>
          <w:lang w:eastAsia="en-US"/>
        </w:rPr>
        <w:t xml:space="preserve"> de Personas en Situación Desfavorecida</w:t>
      </w:r>
      <w:r w:rsidRPr="00EB4634">
        <w:rPr>
          <w:rFonts w:eastAsiaTheme="minorHAnsi"/>
          <w:sz w:val="24"/>
          <w:szCs w:val="24"/>
          <w:lang w:eastAsia="en-US"/>
        </w:rPr>
        <w:t xml:space="preserve">. Síntesis del Manual de Cláusulas Sociales: Contratación pública e inserción social.  </w:t>
      </w:r>
    </w:p>
    <w:p w:rsidR="00EB4634" w:rsidRPr="00EB4634" w:rsidRDefault="00EB4634" w:rsidP="00EB4634">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Disponible: </w:t>
      </w:r>
      <w:hyperlink r:id="rId14" w:history="1">
        <w:r w:rsidRPr="00EB4634">
          <w:rPr>
            <w:rFonts w:eastAsia="Calibri"/>
            <w:color w:val="0000FF" w:themeColor="hyperlink"/>
            <w:sz w:val="24"/>
            <w:szCs w:val="24"/>
            <w:lang w:eastAsia="en-US"/>
          </w:rPr>
          <w:t>http://www.equalbur.org/documentos/uafse/18Contratacionpublica.pdf</w:t>
        </w:r>
      </w:hyperlink>
      <w:r w:rsidRPr="00EB4634">
        <w:rPr>
          <w:rFonts w:eastAsiaTheme="minorHAnsi"/>
          <w:sz w:val="24"/>
          <w:szCs w:val="24"/>
          <w:lang w:eastAsia="en-US"/>
        </w:rPr>
        <w:t>.</w:t>
      </w:r>
    </w:p>
    <w:p w:rsidR="00D83D4B" w:rsidRDefault="00D83D4B" w:rsidP="00EB4634">
      <w:pPr>
        <w:pStyle w:val="Sinespaciado"/>
        <w:spacing w:line="360" w:lineRule="auto"/>
        <w:jc w:val="both"/>
        <w:rPr>
          <w:rFonts w:eastAsiaTheme="minorHAnsi"/>
          <w:sz w:val="24"/>
          <w:szCs w:val="24"/>
          <w:lang w:eastAsia="en-US"/>
        </w:rPr>
      </w:pPr>
    </w:p>
    <w:p w:rsidR="00D83D4B" w:rsidRPr="00EB4634" w:rsidRDefault="00D83D4B" w:rsidP="00D83D4B">
      <w:pPr>
        <w:pStyle w:val="Sinespaciado"/>
        <w:spacing w:line="360" w:lineRule="auto"/>
        <w:jc w:val="both"/>
        <w:rPr>
          <w:rFonts w:eastAsiaTheme="minorHAnsi"/>
          <w:sz w:val="24"/>
          <w:szCs w:val="24"/>
          <w:lang w:eastAsia="en-US"/>
        </w:rPr>
      </w:pPr>
      <w:proofErr w:type="spellStart"/>
      <w:r w:rsidRPr="00EB4634">
        <w:rPr>
          <w:rFonts w:eastAsiaTheme="minorHAnsi"/>
          <w:sz w:val="24"/>
          <w:szCs w:val="24"/>
          <w:lang w:eastAsia="en-US"/>
        </w:rPr>
        <w:t>Lesmes</w:t>
      </w:r>
      <w:proofErr w:type="spellEnd"/>
      <w:r w:rsidRPr="00EB4634">
        <w:rPr>
          <w:rFonts w:eastAsiaTheme="minorHAnsi"/>
          <w:sz w:val="24"/>
          <w:szCs w:val="24"/>
          <w:lang w:eastAsia="en-US"/>
        </w:rPr>
        <w:t xml:space="preserve"> </w:t>
      </w:r>
      <w:proofErr w:type="spellStart"/>
      <w:r w:rsidRPr="00EB4634">
        <w:rPr>
          <w:rFonts w:eastAsiaTheme="minorHAnsi"/>
          <w:sz w:val="24"/>
          <w:szCs w:val="24"/>
          <w:lang w:eastAsia="en-US"/>
        </w:rPr>
        <w:t>Zabalegi</w:t>
      </w:r>
      <w:proofErr w:type="spellEnd"/>
      <w:r w:rsidRPr="00EB4634">
        <w:rPr>
          <w:rFonts w:eastAsiaTheme="minorHAnsi"/>
          <w:sz w:val="24"/>
          <w:szCs w:val="24"/>
          <w:lang w:eastAsia="en-US"/>
        </w:rPr>
        <w:t xml:space="preserve">, S. y Álvarez de </w:t>
      </w:r>
      <w:proofErr w:type="spellStart"/>
      <w:r w:rsidRPr="00EB4634">
        <w:rPr>
          <w:rFonts w:eastAsiaTheme="minorHAnsi"/>
          <w:sz w:val="24"/>
          <w:szCs w:val="24"/>
          <w:lang w:eastAsia="en-US"/>
        </w:rPr>
        <w:t>Eulate</w:t>
      </w:r>
      <w:proofErr w:type="spellEnd"/>
      <w:r w:rsidRPr="00EB4634">
        <w:rPr>
          <w:rFonts w:eastAsiaTheme="minorHAnsi"/>
          <w:sz w:val="24"/>
          <w:szCs w:val="24"/>
          <w:lang w:eastAsia="en-US"/>
        </w:rPr>
        <w:t xml:space="preserve"> </w:t>
      </w:r>
      <w:proofErr w:type="spellStart"/>
      <w:r w:rsidRPr="00EB4634">
        <w:rPr>
          <w:rFonts w:eastAsiaTheme="minorHAnsi"/>
          <w:sz w:val="24"/>
          <w:szCs w:val="24"/>
          <w:lang w:eastAsia="en-US"/>
        </w:rPr>
        <w:t>Bada</w:t>
      </w:r>
      <w:proofErr w:type="spellEnd"/>
      <w:r w:rsidRPr="00EB4634">
        <w:rPr>
          <w:rFonts w:eastAsiaTheme="minorHAnsi"/>
          <w:sz w:val="24"/>
          <w:szCs w:val="24"/>
          <w:lang w:eastAsia="en-US"/>
        </w:rPr>
        <w:t xml:space="preserve">, L. </w:t>
      </w:r>
      <w:r w:rsidRPr="00EB4634">
        <w:rPr>
          <w:rFonts w:eastAsiaTheme="minorHAnsi"/>
          <w:i/>
          <w:sz w:val="24"/>
          <w:szCs w:val="24"/>
          <w:lang w:eastAsia="en-US"/>
        </w:rPr>
        <w:t>Guía de Contratación Pública Socialmente Responsable.</w:t>
      </w:r>
    </w:p>
    <w:p w:rsidR="00D83D4B" w:rsidRPr="00EB4634" w:rsidRDefault="00D83D4B" w:rsidP="00D83D4B">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Disponible: </w:t>
      </w:r>
      <w:hyperlink r:id="rId15" w:history="1">
        <w:r w:rsidRPr="00EB4634">
          <w:rPr>
            <w:rFonts w:eastAsia="Calibri"/>
            <w:color w:val="0000FF" w:themeColor="hyperlink"/>
            <w:sz w:val="24"/>
            <w:szCs w:val="24"/>
            <w:lang w:eastAsia="en-US"/>
          </w:rPr>
          <w:t>http://www.reasnet.com/clausulassociales/documentos/guias/Guia%20REAS%202014%20Contrataci%C3%B3n%20P%C3%BAblica%20Responsable.pdf</w:t>
        </w:r>
      </w:hyperlink>
    </w:p>
    <w:p w:rsidR="00D83D4B" w:rsidRPr="00EB4634" w:rsidRDefault="00D83D4B" w:rsidP="00EB4634">
      <w:pPr>
        <w:pStyle w:val="Sinespaciado"/>
        <w:spacing w:line="360" w:lineRule="auto"/>
        <w:jc w:val="both"/>
        <w:rPr>
          <w:rFonts w:eastAsiaTheme="minorHAnsi"/>
          <w:sz w:val="24"/>
          <w:szCs w:val="24"/>
          <w:lang w:eastAsia="en-US"/>
        </w:rPr>
      </w:pPr>
    </w:p>
    <w:p w:rsidR="003F348D" w:rsidRDefault="00EB4634" w:rsidP="003F348D">
      <w:pPr>
        <w:pStyle w:val="Sinespaciado"/>
        <w:spacing w:line="360" w:lineRule="auto"/>
        <w:jc w:val="both"/>
        <w:rPr>
          <w:rFonts w:eastAsiaTheme="minorHAnsi"/>
          <w:sz w:val="24"/>
          <w:szCs w:val="24"/>
          <w:lang w:eastAsia="en-US"/>
        </w:rPr>
      </w:pPr>
      <w:r w:rsidRPr="00EB4634">
        <w:rPr>
          <w:rFonts w:eastAsiaTheme="minorHAnsi"/>
          <w:sz w:val="24"/>
          <w:szCs w:val="24"/>
          <w:lang w:eastAsia="en-US"/>
        </w:rPr>
        <w:t xml:space="preserve">Miranda Boto, J.M., Contratación pública y cláusulas de empleo y condiciones de trabajo en el derecho de la Unión Europea. </w:t>
      </w:r>
      <w:proofErr w:type="spellStart"/>
      <w:r w:rsidRPr="00EB4634">
        <w:rPr>
          <w:rFonts w:eastAsiaTheme="minorHAnsi"/>
          <w:sz w:val="24"/>
          <w:szCs w:val="24"/>
          <w:lang w:eastAsia="en-US"/>
        </w:rPr>
        <w:t>Lex</w:t>
      </w:r>
      <w:proofErr w:type="spellEnd"/>
      <w:r w:rsidRPr="00EB4634">
        <w:rPr>
          <w:rFonts w:eastAsiaTheme="minorHAnsi"/>
          <w:sz w:val="24"/>
          <w:szCs w:val="24"/>
          <w:lang w:eastAsia="en-US"/>
        </w:rPr>
        <w:t xml:space="preserve"> Social, Revista jurídica de los Derechos Sociales. (Vol. 6,  nº 2) (2016).</w:t>
      </w:r>
    </w:p>
    <w:p w:rsidR="00EB4634" w:rsidRPr="003F348D" w:rsidRDefault="00EB4634" w:rsidP="003F348D">
      <w:pPr>
        <w:pStyle w:val="Sinespaciado"/>
        <w:spacing w:line="360" w:lineRule="auto"/>
        <w:jc w:val="both"/>
        <w:rPr>
          <w:rFonts w:eastAsiaTheme="minorHAnsi"/>
          <w:sz w:val="24"/>
          <w:szCs w:val="24"/>
          <w:lang w:eastAsia="en-US"/>
        </w:rPr>
      </w:pPr>
      <w:r w:rsidRPr="003F348D">
        <w:rPr>
          <w:rFonts w:eastAsiaTheme="minorHAnsi"/>
          <w:sz w:val="24"/>
          <w:szCs w:val="24"/>
          <w:lang w:eastAsia="en-US"/>
        </w:rPr>
        <w:t xml:space="preserve">Disponible: </w:t>
      </w:r>
      <w:hyperlink r:id="rId16" w:history="1">
        <w:r w:rsidRPr="003F348D">
          <w:rPr>
            <w:rFonts w:eastAsia="Calibri"/>
            <w:color w:val="0000FF" w:themeColor="hyperlink"/>
            <w:sz w:val="24"/>
            <w:szCs w:val="24"/>
            <w:lang w:eastAsia="en-US"/>
          </w:rPr>
          <w:t>https://www.upo.es/revistas/index.php/lex_social/article/download/1975/1607</w:t>
        </w:r>
      </w:hyperlink>
      <w:r w:rsidRPr="003F348D">
        <w:rPr>
          <w:rFonts w:eastAsiaTheme="minorHAnsi"/>
          <w:sz w:val="24"/>
          <w:szCs w:val="24"/>
          <w:lang w:eastAsia="en-US"/>
        </w:rPr>
        <w:t xml:space="preserve">. </w:t>
      </w:r>
    </w:p>
    <w:p w:rsidR="00EB4634" w:rsidRPr="003F348D" w:rsidRDefault="00EB4634" w:rsidP="003F348D">
      <w:pPr>
        <w:pStyle w:val="Sinespaciado"/>
        <w:spacing w:line="360" w:lineRule="auto"/>
        <w:jc w:val="both"/>
        <w:rPr>
          <w:rFonts w:eastAsiaTheme="minorHAnsi"/>
          <w:sz w:val="24"/>
          <w:szCs w:val="24"/>
          <w:lang w:eastAsia="en-US"/>
        </w:rPr>
      </w:pPr>
    </w:p>
    <w:p w:rsidR="005A40F1" w:rsidRPr="00EB4634" w:rsidRDefault="005A40F1" w:rsidP="00EB4634">
      <w:pPr>
        <w:pStyle w:val="Sinespaciado"/>
        <w:spacing w:line="360" w:lineRule="auto"/>
        <w:jc w:val="both"/>
        <w:rPr>
          <w:sz w:val="24"/>
          <w:szCs w:val="24"/>
        </w:rPr>
      </w:pPr>
    </w:p>
    <w:sectPr w:rsidR="005A40F1" w:rsidRPr="00EB4634" w:rsidSect="005A40F1">
      <w:footerReference w:type="default" r:id="rId17"/>
      <w:pgSz w:w="11906" w:h="16838"/>
      <w:pgMar w:top="1418" w:right="1418" w:bottom="1418"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6AC" w:rsidRDefault="00EB66AC" w:rsidP="00EB4634">
      <w:r>
        <w:separator/>
      </w:r>
    </w:p>
  </w:endnote>
  <w:endnote w:type="continuationSeparator" w:id="0">
    <w:p w:rsidR="00EB66AC" w:rsidRDefault="00EB66AC" w:rsidP="00EB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NewBskvll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569467"/>
      <w:docPartObj>
        <w:docPartGallery w:val="Page Numbers (Bottom of Page)"/>
        <w:docPartUnique/>
      </w:docPartObj>
    </w:sdtPr>
    <w:sdtEndPr/>
    <w:sdtContent>
      <w:p w:rsidR="008636FB" w:rsidRDefault="008636FB">
        <w:pPr>
          <w:pStyle w:val="Piedepgina"/>
          <w:jc w:val="right"/>
        </w:pPr>
        <w:r>
          <w:fldChar w:fldCharType="begin"/>
        </w:r>
        <w:r>
          <w:instrText>PAGE   \* MERGEFORMAT</w:instrText>
        </w:r>
        <w:r>
          <w:fldChar w:fldCharType="separate"/>
        </w:r>
        <w:r w:rsidR="003F348D">
          <w:rPr>
            <w:noProof/>
          </w:rPr>
          <w:t>49</w:t>
        </w:r>
        <w:r>
          <w:fldChar w:fldCharType="end"/>
        </w:r>
      </w:p>
    </w:sdtContent>
  </w:sdt>
  <w:p w:rsidR="00EB4634" w:rsidRDefault="00EB46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6AC" w:rsidRDefault="00EB66AC" w:rsidP="00EB4634">
      <w:r>
        <w:separator/>
      </w:r>
    </w:p>
  </w:footnote>
  <w:footnote w:type="continuationSeparator" w:id="0">
    <w:p w:rsidR="00EB66AC" w:rsidRDefault="00EB66AC" w:rsidP="00EB4634">
      <w:r>
        <w:continuationSeparator/>
      </w:r>
    </w:p>
  </w:footnote>
  <w:footnote w:id="1">
    <w:p w:rsidR="00EB4634" w:rsidRPr="004F38D1" w:rsidRDefault="00EB4634" w:rsidP="00EB4634">
      <w:pPr>
        <w:pStyle w:val="Textonotapie"/>
        <w:jc w:val="both"/>
        <w:rPr>
          <w:rFonts w:ascii="Times New Roman" w:hAnsi="Times New Roman" w:cs="Times New Roman"/>
          <w:lang w:val="en-US"/>
        </w:rPr>
      </w:pPr>
      <w:r w:rsidRPr="004F38D1">
        <w:rPr>
          <w:rStyle w:val="Refdenotaalpie"/>
          <w:rFonts w:ascii="Times New Roman" w:hAnsi="Times New Roman" w:cs="Times New Roman"/>
        </w:rPr>
        <w:footnoteRef/>
      </w:r>
      <w:r w:rsidRPr="004F38D1">
        <w:rPr>
          <w:rFonts w:ascii="Times New Roman" w:hAnsi="Times New Roman" w:cs="Times New Roman"/>
        </w:rPr>
        <w:t xml:space="preserve"> </w:t>
      </w:r>
      <w:r w:rsidR="003145A5" w:rsidRPr="004F38D1">
        <w:rPr>
          <w:rFonts w:ascii="Times New Roman" w:hAnsi="Times New Roman" w:cs="Times New Roman"/>
        </w:rPr>
        <w:t>LESMES</w:t>
      </w:r>
      <w:r w:rsidRPr="004F38D1">
        <w:rPr>
          <w:rFonts w:ascii="Times New Roman" w:hAnsi="Times New Roman" w:cs="Times New Roman"/>
        </w:rPr>
        <w:t>, S. (2006)</w:t>
      </w:r>
      <w:r w:rsidR="003145A5">
        <w:rPr>
          <w:rFonts w:ascii="Times New Roman" w:hAnsi="Times New Roman" w:cs="Times New Roman"/>
        </w:rPr>
        <w:t xml:space="preserve">, </w:t>
      </w:r>
      <w:r w:rsidRPr="003145A5">
        <w:rPr>
          <w:rFonts w:ascii="Times New Roman" w:hAnsi="Times New Roman" w:cs="Times New Roman"/>
          <w:i/>
        </w:rPr>
        <w:t xml:space="preserve">Contratación pública e Inserción </w:t>
      </w:r>
      <w:proofErr w:type="spellStart"/>
      <w:r w:rsidRPr="003145A5">
        <w:rPr>
          <w:rFonts w:ascii="Times New Roman" w:hAnsi="Times New Roman" w:cs="Times New Roman"/>
          <w:i/>
        </w:rPr>
        <w:t>Sociolaboral</w:t>
      </w:r>
      <w:proofErr w:type="spellEnd"/>
      <w:r w:rsidRPr="003145A5">
        <w:rPr>
          <w:rFonts w:ascii="Times New Roman" w:hAnsi="Times New Roman" w:cs="Times New Roman"/>
          <w:i/>
        </w:rPr>
        <w:t xml:space="preserve"> de Personas en Situación Desfavorecida</w:t>
      </w:r>
      <w:r w:rsidRPr="004F38D1">
        <w:rPr>
          <w:rFonts w:ascii="Times New Roman" w:hAnsi="Times New Roman" w:cs="Times New Roman"/>
        </w:rPr>
        <w:t xml:space="preserve">. </w:t>
      </w:r>
      <w:r>
        <w:rPr>
          <w:rFonts w:ascii="Times New Roman" w:hAnsi="Times New Roman" w:cs="Times New Roman"/>
        </w:rPr>
        <w:t xml:space="preserve">Síntesis del </w:t>
      </w:r>
      <w:r w:rsidRPr="004F38D1">
        <w:rPr>
          <w:rFonts w:ascii="Times New Roman" w:hAnsi="Times New Roman" w:cs="Times New Roman"/>
        </w:rPr>
        <w:t>Manual de Cláusulas Sociales: Contrataci</w:t>
      </w:r>
      <w:r>
        <w:rPr>
          <w:rFonts w:ascii="Times New Roman" w:hAnsi="Times New Roman" w:cs="Times New Roman"/>
        </w:rPr>
        <w:t xml:space="preserve">ón pública e inserción social. </w:t>
      </w:r>
      <w:r w:rsidRPr="004F38D1">
        <w:rPr>
          <w:rFonts w:ascii="Times New Roman" w:hAnsi="Times New Roman" w:cs="Times New Roman"/>
        </w:rPr>
        <w:t xml:space="preserve">p, 7. </w:t>
      </w:r>
      <w:r w:rsidRPr="004F38D1">
        <w:rPr>
          <w:rFonts w:ascii="Times New Roman" w:hAnsi="Times New Roman" w:cs="Times New Roman"/>
          <w:lang w:val="en-US"/>
        </w:rPr>
        <w:t>Disponible on-line:</w:t>
      </w:r>
      <w:r>
        <w:rPr>
          <w:rFonts w:ascii="Times New Roman" w:hAnsi="Times New Roman" w:cs="Times New Roman"/>
          <w:lang w:val="en-US"/>
        </w:rPr>
        <w:t xml:space="preserve"> </w:t>
      </w:r>
      <w:r w:rsidR="003F348D">
        <w:fldChar w:fldCharType="begin"/>
      </w:r>
      <w:r w:rsidR="003F348D" w:rsidRPr="003F348D">
        <w:rPr>
          <w:lang w:val="en-US"/>
        </w:rPr>
        <w:instrText xml:space="preserve"> HYPERLINK "http://www.equalbur.org/documentos/uafse/18Contratacionpublica.pdf" </w:instrText>
      </w:r>
      <w:r w:rsidR="003F348D">
        <w:fldChar w:fldCharType="separate"/>
      </w:r>
      <w:r w:rsidRPr="00C26D04">
        <w:rPr>
          <w:rStyle w:val="Hipervnculo"/>
          <w:rFonts w:ascii="Times New Roman" w:hAnsi="Times New Roman" w:cs="Times New Roman"/>
          <w:lang w:val="en-US"/>
        </w:rPr>
        <w:t>http://www.equalbur.org/documentos/uafse/18Contratacionpublica.pdf</w:t>
      </w:r>
      <w:r w:rsidR="003F348D">
        <w:rPr>
          <w:rStyle w:val="Hipervnculo"/>
          <w:rFonts w:ascii="Times New Roman" w:hAnsi="Times New Roman" w:cs="Times New Roman"/>
          <w:lang w:val="en-US"/>
        </w:rPr>
        <w:fldChar w:fldCharType="end"/>
      </w:r>
      <w:r>
        <w:rPr>
          <w:rFonts w:ascii="Times New Roman" w:hAnsi="Times New Roman" w:cs="Times New Roman"/>
          <w:lang w:val="en-US"/>
        </w:rPr>
        <w:t xml:space="preserve"> </w:t>
      </w:r>
    </w:p>
  </w:footnote>
  <w:footnote w:id="2">
    <w:p w:rsidR="00EB4634" w:rsidRPr="004F38D1" w:rsidRDefault="00EB4634" w:rsidP="00EB4634">
      <w:pPr>
        <w:pStyle w:val="Textonotapie"/>
        <w:jc w:val="both"/>
        <w:rPr>
          <w:rFonts w:ascii="Times New Roman" w:hAnsi="Times New Roman" w:cs="Times New Roman"/>
        </w:rPr>
      </w:pPr>
      <w:r w:rsidRPr="004F38D1">
        <w:rPr>
          <w:rStyle w:val="Refdenotaalpie"/>
          <w:rFonts w:ascii="Times New Roman" w:hAnsi="Times New Roman" w:cs="Times New Roman"/>
        </w:rPr>
        <w:footnoteRef/>
      </w:r>
      <w:r w:rsidRPr="004F38D1">
        <w:rPr>
          <w:rFonts w:ascii="Times New Roman" w:hAnsi="Times New Roman" w:cs="Times New Roman"/>
        </w:rPr>
        <w:t xml:space="preserve"> </w:t>
      </w:r>
      <w:r>
        <w:rPr>
          <w:rFonts w:ascii="Times New Roman" w:hAnsi="Times New Roman" w:cs="Times New Roman"/>
        </w:rPr>
        <w:t xml:space="preserve"> </w:t>
      </w:r>
      <w:r w:rsidRPr="004F38D1">
        <w:rPr>
          <w:rFonts w:ascii="Times New Roman" w:hAnsi="Times New Roman" w:cs="Times New Roman"/>
        </w:rPr>
        <w:t>Sentencia del Tribunal Supremo de 23 de mayo de 1997.</w:t>
      </w:r>
    </w:p>
  </w:footnote>
  <w:footnote w:id="3">
    <w:p w:rsidR="00EB4634" w:rsidRPr="00E9337E" w:rsidRDefault="00EB4634" w:rsidP="00EB4634">
      <w:pPr>
        <w:pStyle w:val="Textonotapie"/>
        <w:jc w:val="both"/>
        <w:rPr>
          <w:rFonts w:ascii="Times New Roman" w:hAnsi="Times New Roman" w:cs="Times New Roman"/>
        </w:rPr>
      </w:pPr>
      <w:r w:rsidRPr="00447EDC">
        <w:rPr>
          <w:rStyle w:val="Refdenotaalpie"/>
          <w:rFonts w:ascii="Times New Roman" w:hAnsi="Times New Roman" w:cs="Times New Roman"/>
        </w:rPr>
        <w:footnoteRef/>
      </w:r>
      <w:r w:rsidRPr="00447EDC">
        <w:rPr>
          <w:rFonts w:ascii="Times New Roman" w:hAnsi="Times New Roman" w:cs="Times New Roman"/>
        </w:rPr>
        <w:t xml:space="preserve"> DIRECCIÓN GENERAL DE EMPLEO, ASUNTOS SOCIALES E IGUALDAD DE OPORTUNIDADES DE LA COMISIÓN EUROPEA (2011)</w:t>
      </w:r>
      <w:r>
        <w:rPr>
          <w:rFonts w:ascii="Times New Roman" w:hAnsi="Times New Roman" w:cs="Times New Roman"/>
        </w:rPr>
        <w:t xml:space="preserve">, </w:t>
      </w:r>
      <w:r w:rsidRPr="00447EDC">
        <w:rPr>
          <w:rFonts w:ascii="Times New Roman" w:hAnsi="Times New Roman" w:cs="Times New Roman"/>
          <w:i/>
        </w:rPr>
        <w:t>Adquisiciones sociales. Una guía para considerar aspectos sociales en las contrataciones públicas</w:t>
      </w:r>
      <w:r>
        <w:rPr>
          <w:rFonts w:ascii="Times New Roman" w:hAnsi="Times New Roman" w:cs="Times New Roman"/>
        </w:rPr>
        <w:t>, Luxemburgo: Ofi</w:t>
      </w:r>
      <w:r w:rsidRPr="00E9337E">
        <w:rPr>
          <w:rFonts w:ascii="Times New Roman" w:hAnsi="Times New Roman" w:cs="Times New Roman"/>
        </w:rPr>
        <w:t>cina de Publicaciones de la Unión Europea</w:t>
      </w:r>
      <w:r>
        <w:rPr>
          <w:rFonts w:ascii="Times New Roman" w:hAnsi="Times New Roman" w:cs="Times New Roman"/>
        </w:rPr>
        <w:t xml:space="preserve">, p 7. Disponible </w:t>
      </w:r>
      <w:proofErr w:type="spellStart"/>
      <w:r>
        <w:rPr>
          <w:rFonts w:ascii="Times New Roman" w:hAnsi="Times New Roman" w:cs="Times New Roman"/>
        </w:rPr>
        <w:t>on</w:t>
      </w:r>
      <w:proofErr w:type="spellEnd"/>
      <w:r>
        <w:rPr>
          <w:rFonts w:ascii="Times New Roman" w:hAnsi="Times New Roman" w:cs="Times New Roman"/>
        </w:rPr>
        <w:t xml:space="preserve"> – line: </w:t>
      </w:r>
      <w:r w:rsidRPr="00E9337E">
        <w:rPr>
          <w:rFonts w:ascii="Times New Roman" w:hAnsi="Times New Roman" w:cs="Times New Roman"/>
        </w:rPr>
        <w:t>ec.europa.eu/social/</w:t>
      </w:r>
      <w:proofErr w:type="spellStart"/>
      <w:r w:rsidRPr="00E9337E">
        <w:rPr>
          <w:rFonts w:ascii="Times New Roman" w:hAnsi="Times New Roman" w:cs="Times New Roman"/>
        </w:rPr>
        <w:t>BlobServlet?docId</w:t>
      </w:r>
      <w:proofErr w:type="spellEnd"/>
      <w:r w:rsidRPr="00E9337E">
        <w:rPr>
          <w:rFonts w:ascii="Times New Roman" w:hAnsi="Times New Roman" w:cs="Times New Roman"/>
        </w:rPr>
        <w:t>=6457&amp;langId=es</w:t>
      </w:r>
      <w:r>
        <w:rPr>
          <w:rFonts w:ascii="Times New Roman" w:hAnsi="Times New Roman" w:cs="Times New Roman"/>
        </w:rPr>
        <w:t xml:space="preserve"> </w:t>
      </w:r>
    </w:p>
  </w:footnote>
  <w:footnote w:id="4">
    <w:p w:rsidR="00EB4634" w:rsidRPr="00E9337E" w:rsidRDefault="00EB4634" w:rsidP="00EB4634">
      <w:pPr>
        <w:pStyle w:val="Textonotapie"/>
        <w:jc w:val="both"/>
        <w:rPr>
          <w:rFonts w:ascii="Times New Roman" w:hAnsi="Times New Roman" w:cs="Times New Roman"/>
        </w:rPr>
      </w:pPr>
      <w:r w:rsidRPr="00E9337E">
        <w:rPr>
          <w:rStyle w:val="Refdenotaalpie"/>
          <w:rFonts w:ascii="Times New Roman" w:hAnsi="Times New Roman" w:cs="Times New Roman"/>
        </w:rPr>
        <w:footnoteRef/>
      </w:r>
      <w:r>
        <w:rPr>
          <w:rFonts w:ascii="Times New Roman" w:hAnsi="Times New Roman" w:cs="Times New Roman"/>
        </w:rPr>
        <w:t xml:space="preserve"> </w:t>
      </w:r>
      <w:r w:rsidRPr="00E9337E">
        <w:rPr>
          <w:rFonts w:ascii="Times New Roman" w:hAnsi="Times New Roman" w:cs="Times New Roman"/>
        </w:rPr>
        <w:t xml:space="preserve">DIRECCIÓN GENERAL DE EMPLEO, ASUNTOS SOCIALES E IGUALDAD DE OPORTUNIDADES DE LA COMISIÓN EUROPEA (2011), </w:t>
      </w:r>
      <w:r w:rsidRPr="003145A5">
        <w:rPr>
          <w:rFonts w:ascii="Times New Roman" w:hAnsi="Times New Roman" w:cs="Times New Roman"/>
          <w:i/>
        </w:rPr>
        <w:t>Adquisiciones sociales</w:t>
      </w:r>
      <w:r w:rsidRPr="00E9337E">
        <w:rPr>
          <w:rFonts w:ascii="Times New Roman" w:hAnsi="Times New Roman" w:cs="Times New Roman"/>
        </w:rPr>
        <w:t xml:space="preserve">. </w:t>
      </w:r>
      <w:r>
        <w:rPr>
          <w:rFonts w:ascii="Times New Roman" w:hAnsi="Times New Roman" w:cs="Times New Roman"/>
        </w:rPr>
        <w:t>p</w:t>
      </w:r>
      <w:r w:rsidRPr="00E9337E">
        <w:rPr>
          <w:rFonts w:ascii="Times New Roman" w:hAnsi="Times New Roman" w:cs="Times New Roman"/>
        </w:rPr>
        <w:t>p</w:t>
      </w:r>
      <w:r>
        <w:rPr>
          <w:rFonts w:ascii="Times New Roman" w:hAnsi="Times New Roman" w:cs="Times New Roman"/>
        </w:rPr>
        <w:t>.</w:t>
      </w:r>
      <w:r w:rsidRPr="00E9337E">
        <w:rPr>
          <w:rFonts w:ascii="Times New Roman" w:hAnsi="Times New Roman" w:cs="Times New Roman"/>
        </w:rPr>
        <w:t xml:space="preserve"> 9 -10.</w:t>
      </w:r>
    </w:p>
  </w:footnote>
  <w:footnote w:id="5">
    <w:p w:rsidR="00EB4634" w:rsidRDefault="00EB4634" w:rsidP="00EB4634">
      <w:pPr>
        <w:pStyle w:val="Textonotapie"/>
        <w:jc w:val="both"/>
      </w:pPr>
      <w:r>
        <w:rPr>
          <w:rStyle w:val="Refdenotaalpie"/>
        </w:rPr>
        <w:footnoteRef/>
      </w:r>
      <w:r>
        <w:rPr>
          <w:rFonts w:ascii="Times New Roman" w:hAnsi="Times New Roman" w:cs="Times New Roman"/>
        </w:rPr>
        <w:t xml:space="preserve"> </w:t>
      </w:r>
      <w:r w:rsidRPr="00E9337E">
        <w:rPr>
          <w:rFonts w:ascii="Times New Roman" w:hAnsi="Times New Roman" w:cs="Times New Roman"/>
        </w:rPr>
        <w:t xml:space="preserve">DIRECCIÓN GENERAL DE EMPLEO, ASUNTOS SOCIALES E IGUALDAD DE OPORTUNIDADES DE LA COMISIÓN EUROPEA (2011), Adquisiciones sociales. </w:t>
      </w:r>
      <w:r>
        <w:rPr>
          <w:rFonts w:ascii="Times New Roman" w:hAnsi="Times New Roman" w:cs="Times New Roman"/>
        </w:rPr>
        <w:t>p</w:t>
      </w:r>
      <w:r w:rsidRPr="00E9337E">
        <w:rPr>
          <w:rFonts w:ascii="Times New Roman" w:hAnsi="Times New Roman" w:cs="Times New Roman"/>
        </w:rPr>
        <w:t>p</w:t>
      </w:r>
      <w:r>
        <w:rPr>
          <w:rFonts w:ascii="Times New Roman" w:hAnsi="Times New Roman" w:cs="Times New Roman"/>
        </w:rPr>
        <w:t>. 7 – 10.</w:t>
      </w:r>
    </w:p>
  </w:footnote>
  <w:footnote w:id="6">
    <w:p w:rsidR="00EB4634" w:rsidRPr="003445F1" w:rsidRDefault="00EB4634" w:rsidP="00EB4634">
      <w:pPr>
        <w:pStyle w:val="Textonotapie"/>
        <w:jc w:val="both"/>
        <w:rPr>
          <w:rFonts w:ascii="Times New Roman" w:hAnsi="Times New Roman" w:cs="Times New Roman"/>
        </w:rPr>
      </w:pPr>
      <w:r>
        <w:rPr>
          <w:rStyle w:val="Refdenotaalpie"/>
        </w:rPr>
        <w:footnoteRef/>
      </w:r>
      <w:r>
        <w:t xml:space="preserve"> </w:t>
      </w:r>
      <w:r w:rsidRPr="00E9337E">
        <w:rPr>
          <w:rFonts w:ascii="Times New Roman" w:hAnsi="Times New Roman" w:cs="Times New Roman"/>
        </w:rPr>
        <w:t xml:space="preserve">DIRECCIÓN GENERAL DE EMPLEO, ASUNTOS SOCIALES E IGUALDAD DE OPORTUNIDADES DE LA COMISIÓN EUROPEA (2011), Adquisiciones sociales. </w:t>
      </w:r>
      <w:r>
        <w:rPr>
          <w:rFonts w:ascii="Times New Roman" w:hAnsi="Times New Roman" w:cs="Times New Roman"/>
        </w:rPr>
        <w:t xml:space="preserve">p. 7. </w:t>
      </w:r>
    </w:p>
  </w:footnote>
  <w:footnote w:id="7">
    <w:p w:rsidR="00EB4634" w:rsidRPr="003445F1" w:rsidRDefault="00EB4634" w:rsidP="00EB4634">
      <w:pPr>
        <w:pStyle w:val="Textonotapie"/>
        <w:jc w:val="both"/>
        <w:rPr>
          <w:rFonts w:ascii="Times New Roman" w:hAnsi="Times New Roman" w:cs="Times New Roman"/>
        </w:rPr>
      </w:pPr>
      <w:r>
        <w:rPr>
          <w:rStyle w:val="Refdenotaalpie"/>
        </w:rPr>
        <w:footnoteRef/>
      </w:r>
      <w:r>
        <w:t xml:space="preserve"> </w:t>
      </w:r>
      <w:r w:rsidRPr="00E9337E">
        <w:rPr>
          <w:rFonts w:ascii="Times New Roman" w:hAnsi="Times New Roman" w:cs="Times New Roman"/>
        </w:rPr>
        <w:t xml:space="preserve">DIRECCIÓN GENERAL DE EMPLEO, ASUNTOS SOCIALES E IGUALDAD DE OPORTUNIDADES DE LA COMISIÓN EUROPEA (2011), Adquisiciones sociales. </w:t>
      </w:r>
      <w:r>
        <w:rPr>
          <w:rFonts w:ascii="Times New Roman" w:hAnsi="Times New Roman" w:cs="Times New Roman"/>
        </w:rPr>
        <w:t>p</w:t>
      </w:r>
      <w:r w:rsidRPr="00E9337E">
        <w:rPr>
          <w:rFonts w:ascii="Times New Roman" w:hAnsi="Times New Roman" w:cs="Times New Roman"/>
        </w:rPr>
        <w:t>p</w:t>
      </w:r>
      <w:r>
        <w:rPr>
          <w:rFonts w:ascii="Times New Roman" w:hAnsi="Times New Roman" w:cs="Times New Roman"/>
        </w:rPr>
        <w:t>. 15 y 18.</w:t>
      </w:r>
    </w:p>
  </w:footnote>
  <w:footnote w:id="8">
    <w:p w:rsidR="00EB4634" w:rsidRPr="00707594" w:rsidRDefault="00EB4634" w:rsidP="00EB4634">
      <w:pPr>
        <w:pStyle w:val="Textonotapie"/>
        <w:jc w:val="both"/>
        <w:rPr>
          <w:rFonts w:ascii="Times New Roman" w:hAnsi="Times New Roman" w:cs="Times New Roman"/>
          <w:lang w:val="en-US"/>
        </w:rPr>
      </w:pPr>
      <w:r>
        <w:rPr>
          <w:rStyle w:val="Refdenotaalpie"/>
        </w:rPr>
        <w:footnoteRef/>
      </w:r>
      <w:r>
        <w:t xml:space="preserve"> </w:t>
      </w:r>
      <w:r w:rsidRPr="005D149B">
        <w:t xml:space="preserve">  </w:t>
      </w:r>
      <w:r>
        <w:rPr>
          <w:rFonts w:ascii="Times New Roman" w:hAnsi="Times New Roman" w:cs="Times New Roman"/>
        </w:rPr>
        <w:t xml:space="preserve">MIRANDA BOTO, J.M., </w:t>
      </w:r>
      <w:r w:rsidRPr="009D43E5">
        <w:rPr>
          <w:rFonts w:ascii="Times New Roman" w:hAnsi="Times New Roman" w:cs="Times New Roman"/>
          <w:i/>
        </w:rPr>
        <w:t>Contratación pública y cláusulas de empleo y condiciones de trabajo en el derecho de la Unión Europea</w:t>
      </w:r>
      <w:r>
        <w:rPr>
          <w:rFonts w:ascii="Times New Roman" w:hAnsi="Times New Roman" w:cs="Times New Roman"/>
        </w:rPr>
        <w:t xml:space="preserve">. </w:t>
      </w:r>
      <w:proofErr w:type="spellStart"/>
      <w:r>
        <w:rPr>
          <w:rFonts w:ascii="Times New Roman" w:hAnsi="Times New Roman" w:cs="Times New Roman"/>
        </w:rPr>
        <w:t>Lex</w:t>
      </w:r>
      <w:proofErr w:type="spellEnd"/>
      <w:r>
        <w:rPr>
          <w:rFonts w:ascii="Times New Roman" w:hAnsi="Times New Roman" w:cs="Times New Roman"/>
        </w:rPr>
        <w:t xml:space="preserve"> Social, Revista jurídica de los Derechos Sociales. (Vol. 6,  nº 2) (2016), pp. 73. </w:t>
      </w:r>
      <w:r w:rsidRPr="00707594">
        <w:rPr>
          <w:rFonts w:ascii="Times New Roman" w:hAnsi="Times New Roman" w:cs="Times New Roman"/>
          <w:lang w:val="en-US"/>
        </w:rPr>
        <w:t xml:space="preserve">Disponible on - line: </w:t>
      </w:r>
      <w:r w:rsidR="003F348D">
        <w:fldChar w:fldCharType="begin"/>
      </w:r>
      <w:r w:rsidR="003F348D" w:rsidRPr="003F348D">
        <w:rPr>
          <w:lang w:val="en-US"/>
        </w:rPr>
        <w:instrText xml:space="preserve"> HYPERLINK "https://www.upo.es/revistas/index.php/lex_social/article/download/1975/1607" </w:instrText>
      </w:r>
      <w:r w:rsidR="003F348D">
        <w:fldChar w:fldCharType="separate"/>
      </w:r>
      <w:r w:rsidRPr="00707594">
        <w:rPr>
          <w:rStyle w:val="Hipervnculo"/>
          <w:rFonts w:ascii="Times New Roman" w:hAnsi="Times New Roman" w:cs="Times New Roman"/>
          <w:lang w:val="en-US"/>
        </w:rPr>
        <w:t>https://www.upo.es/revistas/index.php/lex_social/article/download/1975/1607</w:t>
      </w:r>
      <w:r w:rsidR="003F348D">
        <w:rPr>
          <w:rStyle w:val="Hipervnculo"/>
          <w:rFonts w:ascii="Times New Roman" w:hAnsi="Times New Roman" w:cs="Times New Roman"/>
          <w:lang w:val="en-US"/>
        </w:rPr>
        <w:fldChar w:fldCharType="end"/>
      </w:r>
      <w:r w:rsidRPr="00707594">
        <w:rPr>
          <w:rFonts w:ascii="Times New Roman" w:hAnsi="Times New Roman" w:cs="Times New Roman"/>
          <w:lang w:val="en-US"/>
        </w:rPr>
        <w:t>.</w:t>
      </w:r>
    </w:p>
  </w:footnote>
  <w:footnote w:id="9">
    <w:p w:rsidR="00EB4634" w:rsidRPr="009D43E5" w:rsidRDefault="00EB4634" w:rsidP="00EB4634">
      <w:pPr>
        <w:pStyle w:val="Textonotapie"/>
        <w:jc w:val="both"/>
        <w:rPr>
          <w:rFonts w:ascii="Times New Roman" w:hAnsi="Times New Roman" w:cs="Times New Roman"/>
        </w:rPr>
      </w:pPr>
      <w:r w:rsidRPr="009D43E5">
        <w:rPr>
          <w:rStyle w:val="Refdenotaalpie"/>
          <w:rFonts w:ascii="Times New Roman" w:hAnsi="Times New Roman" w:cs="Times New Roman"/>
        </w:rPr>
        <w:footnoteRef/>
      </w:r>
      <w:r w:rsidRPr="009D43E5">
        <w:rPr>
          <w:rFonts w:ascii="Times New Roman" w:hAnsi="Times New Roman" w:cs="Times New Roman"/>
        </w:rPr>
        <w:t xml:space="preserve"> </w:t>
      </w:r>
      <w:r>
        <w:rPr>
          <w:rFonts w:ascii="Times New Roman" w:hAnsi="Times New Roman" w:cs="Times New Roman"/>
        </w:rPr>
        <w:t xml:space="preserve"> </w:t>
      </w:r>
      <w:r w:rsidRPr="009D43E5">
        <w:rPr>
          <w:rFonts w:ascii="Times New Roman" w:hAnsi="Times New Roman" w:cs="Times New Roman"/>
        </w:rPr>
        <w:t>COM (96) 583 de 26 de noviembre de 1996</w:t>
      </w:r>
      <w:r>
        <w:rPr>
          <w:rFonts w:ascii="Times New Roman" w:hAnsi="Times New Roman" w:cs="Times New Roman"/>
        </w:rPr>
        <w:t>.</w:t>
      </w:r>
    </w:p>
  </w:footnote>
  <w:footnote w:id="10">
    <w:p w:rsidR="00EB4634" w:rsidRPr="009D43E5" w:rsidRDefault="00EB4634" w:rsidP="00EB4634">
      <w:pPr>
        <w:pStyle w:val="Textonotapie"/>
        <w:jc w:val="both"/>
        <w:rPr>
          <w:rFonts w:ascii="Times New Roman" w:hAnsi="Times New Roman" w:cs="Times New Roman"/>
        </w:rPr>
      </w:pPr>
      <w:r w:rsidRPr="009D43E5">
        <w:rPr>
          <w:rStyle w:val="Refdenotaalpie"/>
          <w:rFonts w:ascii="Times New Roman" w:hAnsi="Times New Roman" w:cs="Times New Roman"/>
        </w:rPr>
        <w:footnoteRef/>
      </w:r>
      <w:r w:rsidRPr="009D43E5">
        <w:rPr>
          <w:rFonts w:ascii="Times New Roman" w:hAnsi="Times New Roman" w:cs="Times New Roman"/>
        </w:rPr>
        <w:t xml:space="preserve"> COM (96)</w:t>
      </w:r>
      <w:r>
        <w:rPr>
          <w:rFonts w:ascii="Times New Roman" w:hAnsi="Times New Roman" w:cs="Times New Roman"/>
        </w:rPr>
        <w:t xml:space="preserve"> 583 de 26 de noviembre de 1996;</w:t>
      </w:r>
      <w:r w:rsidRPr="009D43E5">
        <w:rPr>
          <w:rFonts w:ascii="Times New Roman" w:hAnsi="Times New Roman" w:cs="Times New Roman"/>
        </w:rPr>
        <w:t xml:space="preserve"> </w:t>
      </w:r>
      <w:r>
        <w:rPr>
          <w:rFonts w:ascii="Times New Roman" w:hAnsi="Times New Roman" w:cs="Times New Roman"/>
        </w:rPr>
        <w:t xml:space="preserve">realmente </w:t>
      </w:r>
      <w:r w:rsidRPr="009D43E5">
        <w:rPr>
          <w:rFonts w:ascii="Times New Roman" w:hAnsi="Times New Roman" w:cs="Times New Roman"/>
        </w:rPr>
        <w:t>se hace</w:t>
      </w:r>
      <w:r>
        <w:rPr>
          <w:rFonts w:ascii="Times New Roman" w:hAnsi="Times New Roman" w:cs="Times New Roman"/>
        </w:rPr>
        <w:t xml:space="preserve"> solo</w:t>
      </w:r>
      <w:r w:rsidRPr="009D43E5">
        <w:rPr>
          <w:rFonts w:ascii="Times New Roman" w:hAnsi="Times New Roman" w:cs="Times New Roman"/>
        </w:rPr>
        <w:t xml:space="preserve"> una ínfima mención a las clausulas sociales, la cual se encuentra en el epígrafe “Contratación pública y aspectos sociales” (Apartados 5.38 a 5.44), donde se podría destacar, por ejemplo, el apartado 5.42, el cual establece: </w:t>
      </w:r>
      <w:r w:rsidRPr="00355203">
        <w:rPr>
          <w:rFonts w:ascii="Times New Roman" w:hAnsi="Times New Roman" w:cs="Times New Roman"/>
          <w:i/>
        </w:rPr>
        <w:t>“Una segunda posibilidad consiste en imponer como condición de ejecución de los contratos públicos adjudicados el respeto de obligaciones de carácter social, encaminadas por ejemplo a fomentar el empleo de las mujeres o a favorecer la protección de determinadas categorías desfavorecidas. […]”.</w:t>
      </w:r>
    </w:p>
  </w:footnote>
  <w:footnote w:id="11">
    <w:p w:rsidR="00EB4634" w:rsidRPr="0027351B" w:rsidRDefault="00EB4634" w:rsidP="00EB4634">
      <w:pPr>
        <w:pStyle w:val="Textonotapie"/>
        <w:jc w:val="both"/>
        <w:rPr>
          <w:rFonts w:ascii="Times New Roman" w:hAnsi="Times New Roman" w:cs="Times New Roman"/>
        </w:rPr>
      </w:pPr>
      <w:r w:rsidRPr="0027351B">
        <w:rPr>
          <w:rStyle w:val="Refdenotaalpie"/>
          <w:rFonts w:ascii="Times New Roman" w:hAnsi="Times New Roman" w:cs="Times New Roman"/>
        </w:rPr>
        <w:footnoteRef/>
      </w:r>
      <w:r w:rsidRPr="0027351B">
        <w:rPr>
          <w:rFonts w:ascii="Times New Roman" w:hAnsi="Times New Roman" w:cs="Times New Roman"/>
        </w:rPr>
        <w:t xml:space="preserve"> COM (98) 143 de 11 de marzo de 1998</w:t>
      </w:r>
      <w:r>
        <w:rPr>
          <w:rFonts w:ascii="Times New Roman" w:hAnsi="Times New Roman" w:cs="Times New Roman"/>
        </w:rPr>
        <w:t>.</w:t>
      </w:r>
    </w:p>
  </w:footnote>
  <w:footnote w:id="12">
    <w:p w:rsidR="00EB4634" w:rsidRPr="0027351B" w:rsidRDefault="00EB4634" w:rsidP="00EB4634">
      <w:pPr>
        <w:pStyle w:val="Textonotapie"/>
        <w:jc w:val="both"/>
        <w:rPr>
          <w:rFonts w:ascii="Times New Roman" w:hAnsi="Times New Roman" w:cs="Times New Roman"/>
        </w:rPr>
      </w:pPr>
      <w:r>
        <w:rPr>
          <w:rStyle w:val="Refdenotaalpie"/>
        </w:rPr>
        <w:footnoteRef/>
      </w:r>
      <w:r>
        <w:t xml:space="preserve"> </w:t>
      </w:r>
      <w:r w:rsidRPr="0027351B">
        <w:rPr>
          <w:rFonts w:ascii="Times New Roman" w:hAnsi="Times New Roman" w:cs="Times New Roman"/>
        </w:rPr>
        <w:t>COM (98) 143 de 11 de marzo de 1998.</w:t>
      </w:r>
    </w:p>
  </w:footnote>
  <w:footnote w:id="13">
    <w:p w:rsidR="00EB4634" w:rsidRDefault="00EB4634" w:rsidP="00EB4634">
      <w:pPr>
        <w:pStyle w:val="Textonotapie"/>
        <w:jc w:val="both"/>
      </w:pPr>
      <w:r>
        <w:rPr>
          <w:rStyle w:val="Refdenotaalpie"/>
        </w:rPr>
        <w:footnoteRef/>
      </w:r>
      <w:r>
        <w:t xml:space="preserve"> </w:t>
      </w:r>
      <w:r w:rsidRPr="0027351B">
        <w:rPr>
          <w:rFonts w:ascii="Times New Roman" w:hAnsi="Times New Roman" w:cs="Times New Roman"/>
        </w:rPr>
        <w:t>COM (98) 143 de 11 de marzo de 1998</w:t>
      </w:r>
      <w:r>
        <w:rPr>
          <w:rFonts w:ascii="Times New Roman" w:hAnsi="Times New Roman" w:cs="Times New Roman"/>
        </w:rPr>
        <w:t>.</w:t>
      </w:r>
    </w:p>
  </w:footnote>
  <w:footnote w:id="14">
    <w:p w:rsidR="00EB4634" w:rsidRDefault="00EB4634" w:rsidP="00EB4634">
      <w:pPr>
        <w:pStyle w:val="Textonotapie"/>
        <w:jc w:val="both"/>
      </w:pPr>
      <w:r>
        <w:rPr>
          <w:rStyle w:val="Refdenotaalpie"/>
        </w:rPr>
        <w:footnoteRef/>
      </w:r>
      <w:r>
        <w:t xml:space="preserve"> </w:t>
      </w:r>
      <w:r w:rsidRPr="0027351B">
        <w:rPr>
          <w:rFonts w:ascii="Times New Roman" w:hAnsi="Times New Roman" w:cs="Times New Roman"/>
        </w:rPr>
        <w:t>COM (2001</w:t>
      </w:r>
      <w:r>
        <w:rPr>
          <w:rFonts w:ascii="Times New Roman" w:hAnsi="Times New Roman" w:cs="Times New Roman"/>
        </w:rPr>
        <w:t>) 566 de 15 de octubre de 2001.</w:t>
      </w:r>
    </w:p>
  </w:footnote>
  <w:footnote w:id="15">
    <w:p w:rsidR="00EB4634" w:rsidRPr="00707594" w:rsidRDefault="00EB4634" w:rsidP="00EB4634">
      <w:pPr>
        <w:pStyle w:val="Textonotapie"/>
        <w:jc w:val="both"/>
        <w:rPr>
          <w:rFonts w:ascii="Times New Roman" w:hAnsi="Times New Roman" w:cs="Times New Roman"/>
          <w:lang w:val="en-US"/>
        </w:rPr>
      </w:pPr>
      <w:r>
        <w:rPr>
          <w:rStyle w:val="Refdenotaalpie"/>
        </w:rPr>
        <w:footnoteRef/>
      </w:r>
      <w:r>
        <w:t xml:space="preserve"> </w:t>
      </w:r>
      <w:r w:rsidR="003145A5" w:rsidRPr="0027351B">
        <w:rPr>
          <w:rFonts w:ascii="Times New Roman" w:hAnsi="Times New Roman" w:cs="Times New Roman"/>
        </w:rPr>
        <w:t>COSCULLUELA MONTANER,</w:t>
      </w:r>
      <w:r w:rsidR="003145A5">
        <w:rPr>
          <w:rFonts w:ascii="Times New Roman" w:hAnsi="Times New Roman" w:cs="Times New Roman"/>
        </w:rPr>
        <w:t xml:space="preserve"> L.</w:t>
      </w:r>
      <w:r w:rsidR="003145A5" w:rsidRPr="0027351B">
        <w:rPr>
          <w:rFonts w:ascii="Times New Roman" w:hAnsi="Times New Roman" w:cs="Times New Roman"/>
        </w:rPr>
        <w:t xml:space="preserve">, </w:t>
      </w:r>
      <w:r w:rsidR="003145A5" w:rsidRPr="003145A5">
        <w:rPr>
          <w:rFonts w:ascii="Times New Roman" w:hAnsi="Times New Roman" w:cs="Times New Roman"/>
          <w:i/>
        </w:rPr>
        <w:t>La</w:t>
      </w:r>
      <w:r w:rsidRPr="003145A5">
        <w:rPr>
          <w:rFonts w:ascii="Times New Roman" w:hAnsi="Times New Roman" w:cs="Times New Roman"/>
          <w:i/>
        </w:rPr>
        <w:t xml:space="preserve"> Ley de Contratos del Sector Público</w:t>
      </w:r>
      <w:r w:rsidRPr="0027351B">
        <w:rPr>
          <w:rFonts w:ascii="Times New Roman" w:hAnsi="Times New Roman" w:cs="Times New Roman"/>
        </w:rPr>
        <w:t>, Revista Española de C</w:t>
      </w:r>
      <w:r>
        <w:rPr>
          <w:rFonts w:ascii="Times New Roman" w:hAnsi="Times New Roman" w:cs="Times New Roman"/>
        </w:rPr>
        <w:t xml:space="preserve">ontrol Externo, 27, 2007, p.16. </w:t>
      </w:r>
      <w:r w:rsidRPr="00707594">
        <w:rPr>
          <w:rFonts w:ascii="Times New Roman" w:hAnsi="Times New Roman" w:cs="Times New Roman"/>
          <w:lang w:val="en-US"/>
        </w:rPr>
        <w:t xml:space="preserve">Disponible on - line: </w:t>
      </w:r>
      <w:r w:rsidR="003F348D">
        <w:fldChar w:fldCharType="begin"/>
      </w:r>
      <w:r w:rsidR="003F348D" w:rsidRPr="003F348D">
        <w:rPr>
          <w:lang w:val="en-US"/>
        </w:rPr>
        <w:instrText xml:space="preserve"> HYPERLINK "http://www.tcu.es/export/sites/default/.content/PdfAbsys/Revista-27.pdf" </w:instrText>
      </w:r>
      <w:r w:rsidR="003F348D">
        <w:fldChar w:fldCharType="separate"/>
      </w:r>
      <w:r w:rsidRPr="00707594">
        <w:rPr>
          <w:rStyle w:val="Hipervnculo"/>
          <w:rFonts w:ascii="Times New Roman" w:hAnsi="Times New Roman" w:cs="Times New Roman"/>
          <w:lang w:val="en-US"/>
        </w:rPr>
        <w:t>www.tcu.es/export/sites/default/.content/PdfAbsys/Revista-27.pdf</w:t>
      </w:r>
      <w:r w:rsidR="003F348D">
        <w:rPr>
          <w:rStyle w:val="Hipervnculo"/>
          <w:rFonts w:ascii="Times New Roman" w:hAnsi="Times New Roman" w:cs="Times New Roman"/>
          <w:lang w:val="en-US"/>
        </w:rPr>
        <w:fldChar w:fldCharType="end"/>
      </w:r>
      <w:r w:rsidRPr="00707594">
        <w:rPr>
          <w:rFonts w:ascii="Times New Roman" w:hAnsi="Times New Roman" w:cs="Times New Roman"/>
          <w:lang w:val="en-US"/>
        </w:rPr>
        <w:t xml:space="preserve"> </w:t>
      </w:r>
    </w:p>
  </w:footnote>
  <w:footnote w:id="16">
    <w:p w:rsidR="00EB4634" w:rsidRPr="00543670" w:rsidRDefault="00EB4634" w:rsidP="00EB4634">
      <w:pPr>
        <w:pStyle w:val="Textonotapie"/>
        <w:jc w:val="both"/>
        <w:rPr>
          <w:rFonts w:ascii="Times New Roman" w:hAnsi="Times New Roman" w:cs="Times New Roman"/>
        </w:rPr>
      </w:pPr>
      <w:r w:rsidRPr="00543670">
        <w:rPr>
          <w:rStyle w:val="Refdenotaalpie"/>
          <w:rFonts w:ascii="Times New Roman" w:hAnsi="Times New Roman" w:cs="Times New Roman"/>
        </w:rPr>
        <w:footnoteRef/>
      </w:r>
      <w:r w:rsidRPr="00543670">
        <w:rPr>
          <w:rFonts w:ascii="Times New Roman" w:hAnsi="Times New Roman" w:cs="Times New Roman"/>
        </w:rPr>
        <w:t xml:space="preserve"> MIRANDA BOTO, J.M., </w:t>
      </w:r>
      <w:r w:rsidRPr="00543670">
        <w:rPr>
          <w:rFonts w:ascii="Times New Roman" w:hAnsi="Times New Roman" w:cs="Times New Roman"/>
          <w:i/>
        </w:rPr>
        <w:t>Contratación pública y cláusulas de empleo y condiciones de trabajo en el derecho de la Unión Europea</w:t>
      </w:r>
      <w:r w:rsidRPr="00543670">
        <w:rPr>
          <w:rFonts w:ascii="Times New Roman" w:hAnsi="Times New Roman" w:cs="Times New Roman"/>
        </w:rPr>
        <w:t xml:space="preserve">. P 76. </w:t>
      </w:r>
    </w:p>
  </w:footnote>
  <w:footnote w:id="17">
    <w:p w:rsidR="00EB4634" w:rsidRPr="00FE39A5" w:rsidRDefault="00EB4634" w:rsidP="00EB4634">
      <w:pPr>
        <w:pStyle w:val="Textonotapie"/>
        <w:jc w:val="both"/>
        <w:rPr>
          <w:rFonts w:ascii="Times New Roman" w:hAnsi="Times New Roman" w:cs="Times New Roman"/>
        </w:rPr>
      </w:pPr>
      <w:r w:rsidRPr="00FE39A5">
        <w:rPr>
          <w:rStyle w:val="Refdenotaalpie"/>
          <w:rFonts w:ascii="Times New Roman" w:hAnsi="Times New Roman" w:cs="Times New Roman"/>
        </w:rPr>
        <w:footnoteRef/>
      </w:r>
      <w:r w:rsidRPr="00FE39A5">
        <w:rPr>
          <w:rFonts w:ascii="Times New Roman" w:hAnsi="Times New Roman" w:cs="Times New Roman"/>
        </w:rPr>
        <w:t xml:space="preserve"> Artículo 2.1 de la Directiva 2014/24/UE del Parlamento Europeo y del Consejo de 26 de febrero de 2014 sobre contratación pública. (DOUE-L-2014-80598).</w:t>
      </w:r>
    </w:p>
  </w:footnote>
  <w:footnote w:id="18">
    <w:p w:rsidR="00EB4634" w:rsidRPr="00FE39A5" w:rsidRDefault="00EB4634" w:rsidP="00EB4634">
      <w:pPr>
        <w:pStyle w:val="Textonotapie"/>
        <w:jc w:val="both"/>
        <w:rPr>
          <w:rFonts w:ascii="Times New Roman" w:hAnsi="Times New Roman" w:cs="Times New Roman"/>
        </w:rPr>
      </w:pPr>
      <w:r w:rsidRPr="00FE39A5">
        <w:rPr>
          <w:rStyle w:val="Refdenotaalpie"/>
          <w:rFonts w:ascii="Times New Roman" w:hAnsi="Times New Roman" w:cs="Times New Roman"/>
        </w:rPr>
        <w:footnoteRef/>
      </w:r>
      <w:r w:rsidRPr="00FE39A5">
        <w:rPr>
          <w:rFonts w:ascii="Times New Roman" w:hAnsi="Times New Roman" w:cs="Times New Roman"/>
        </w:rPr>
        <w:t xml:space="preserve"> Artículo 2.1 de la Directiva 2014/24/UE del Parlamento Europeo y del Consejo de 26 de febrero de 2014 sobre contratación pública. (DOUE-L-2014-80598).</w:t>
      </w:r>
    </w:p>
  </w:footnote>
  <w:footnote w:id="19">
    <w:p w:rsidR="00EB4634" w:rsidRPr="00EB4634" w:rsidRDefault="00EB4634" w:rsidP="00EB4634">
      <w:pPr>
        <w:pStyle w:val="Textonotapie"/>
        <w:jc w:val="both"/>
        <w:rPr>
          <w:rFonts w:ascii="Times New Roman" w:hAnsi="Times New Roman" w:cs="Times New Roman"/>
        </w:rPr>
      </w:pPr>
      <w:r w:rsidRPr="00FE39A5">
        <w:rPr>
          <w:rStyle w:val="Refdenotaalpie"/>
          <w:rFonts w:ascii="Times New Roman" w:hAnsi="Times New Roman" w:cs="Times New Roman"/>
        </w:rPr>
        <w:footnoteRef/>
      </w:r>
      <w:r w:rsidRPr="00FE39A5">
        <w:rPr>
          <w:rFonts w:ascii="Times New Roman" w:hAnsi="Times New Roman" w:cs="Times New Roman"/>
        </w:rPr>
        <w:t xml:space="preserve"> </w:t>
      </w:r>
      <w:r w:rsidR="003145A5" w:rsidRPr="00FE39A5">
        <w:rPr>
          <w:rFonts w:ascii="Times New Roman" w:hAnsi="Times New Roman" w:cs="Times New Roman"/>
        </w:rPr>
        <w:t>CERUTTI</w:t>
      </w:r>
      <w:r w:rsidR="003145A5">
        <w:rPr>
          <w:rFonts w:ascii="Times New Roman" w:hAnsi="Times New Roman" w:cs="Times New Roman"/>
        </w:rPr>
        <w:t>,</w:t>
      </w:r>
      <w:r w:rsidR="003145A5" w:rsidRPr="00FE39A5">
        <w:rPr>
          <w:rFonts w:ascii="Times New Roman" w:hAnsi="Times New Roman" w:cs="Times New Roman"/>
        </w:rPr>
        <w:t xml:space="preserve"> C. </w:t>
      </w:r>
      <w:r w:rsidRPr="00FE39A5">
        <w:rPr>
          <w:rFonts w:ascii="Times New Roman" w:hAnsi="Times New Roman" w:cs="Times New Roman"/>
        </w:rPr>
        <w:t xml:space="preserve">(2012), </w:t>
      </w:r>
      <w:r w:rsidRPr="00FE39A5">
        <w:rPr>
          <w:rFonts w:ascii="Times New Roman" w:hAnsi="Times New Roman" w:cs="Times New Roman"/>
          <w:i/>
        </w:rPr>
        <w:t>Concepto de organismo de derecho público en la normativa contractual pública</w:t>
      </w:r>
      <w:r w:rsidRPr="00FE39A5">
        <w:rPr>
          <w:rFonts w:ascii="Times New Roman" w:hAnsi="Times New Roman" w:cs="Times New Roman"/>
        </w:rPr>
        <w:t xml:space="preserve"> europea. Revista: Noticias de la Unión Europea (Numero 329), p 169. </w:t>
      </w:r>
      <w:r w:rsidRPr="00EB4634">
        <w:rPr>
          <w:rFonts w:ascii="Times New Roman" w:hAnsi="Times New Roman" w:cs="Times New Roman"/>
        </w:rPr>
        <w:t xml:space="preserve">Disponible </w:t>
      </w:r>
      <w:proofErr w:type="spellStart"/>
      <w:r w:rsidRPr="00EB4634">
        <w:rPr>
          <w:rFonts w:ascii="Times New Roman" w:hAnsi="Times New Roman" w:cs="Times New Roman"/>
        </w:rPr>
        <w:t>on</w:t>
      </w:r>
      <w:proofErr w:type="spellEnd"/>
      <w:r w:rsidRPr="00EB4634">
        <w:rPr>
          <w:rFonts w:ascii="Times New Roman" w:hAnsi="Times New Roman" w:cs="Times New Roman"/>
        </w:rPr>
        <w:t xml:space="preserve"> – line: </w:t>
      </w:r>
      <w:hyperlink r:id="rId1" w:history="1">
        <w:r w:rsidRPr="00EB4634">
          <w:rPr>
            <w:rStyle w:val="Hipervnculo"/>
            <w:rFonts w:ascii="Times New Roman" w:hAnsi="Times New Roman" w:cs="Times New Roman"/>
          </w:rPr>
          <w:t>http://www.academia.edu/5687181/Concepto_de_organismo_de_Derecho_P%C3%BAblico_en_la_normativa_contractual_p%C3%BAblica_europea</w:t>
        </w:r>
      </w:hyperlink>
      <w:r w:rsidRPr="00EB4634">
        <w:rPr>
          <w:rFonts w:ascii="Times New Roman" w:hAnsi="Times New Roman" w:cs="Times New Roman"/>
        </w:rPr>
        <w:t xml:space="preserve">  </w:t>
      </w:r>
    </w:p>
  </w:footnote>
  <w:footnote w:id="20">
    <w:p w:rsidR="00EB4634" w:rsidRPr="00FE39A5" w:rsidRDefault="00EB4634" w:rsidP="00EB4634">
      <w:pPr>
        <w:pStyle w:val="Textonotapie"/>
        <w:jc w:val="both"/>
        <w:rPr>
          <w:rFonts w:ascii="Times New Roman" w:hAnsi="Times New Roman" w:cs="Times New Roman"/>
        </w:rPr>
      </w:pPr>
      <w:r w:rsidRPr="00FE39A5">
        <w:rPr>
          <w:rStyle w:val="Refdenotaalpie"/>
          <w:rFonts w:ascii="Times New Roman" w:hAnsi="Times New Roman" w:cs="Times New Roman"/>
        </w:rPr>
        <w:footnoteRef/>
      </w:r>
      <w:r w:rsidRPr="00FE39A5">
        <w:rPr>
          <w:rFonts w:ascii="Times New Roman" w:hAnsi="Times New Roman" w:cs="Times New Roman"/>
        </w:rPr>
        <w:t xml:space="preserve"> Considerando 21 de la Directiva 2014/24/UE del Parlamento Europeo y del Consejo de 26 de febrero de 2014 sobre contratación pública. (DOUE-L-2014-80598).</w:t>
      </w:r>
    </w:p>
  </w:footnote>
  <w:footnote w:id="21">
    <w:p w:rsidR="00EB4634" w:rsidRPr="00FE39A5" w:rsidRDefault="00EB4634" w:rsidP="00EB4634">
      <w:pPr>
        <w:pStyle w:val="Textonotapie"/>
        <w:jc w:val="both"/>
        <w:rPr>
          <w:rFonts w:ascii="Times New Roman" w:hAnsi="Times New Roman" w:cs="Times New Roman"/>
        </w:rPr>
      </w:pPr>
      <w:r w:rsidRPr="00FE39A5">
        <w:rPr>
          <w:rStyle w:val="Refdenotaalpie"/>
          <w:rFonts w:ascii="Times New Roman" w:hAnsi="Times New Roman" w:cs="Times New Roman"/>
        </w:rPr>
        <w:footnoteRef/>
      </w:r>
      <w:r w:rsidRPr="00FE39A5">
        <w:rPr>
          <w:rFonts w:ascii="Times New Roman" w:hAnsi="Times New Roman" w:cs="Times New Roman"/>
        </w:rPr>
        <w:t xml:space="preserve"> Sentencia del Tribunal Supremo de 23 de mayo de 1997.</w:t>
      </w:r>
    </w:p>
  </w:footnote>
  <w:footnote w:id="22">
    <w:p w:rsidR="00EB4634" w:rsidRDefault="00EB4634" w:rsidP="00EB4634">
      <w:pPr>
        <w:pStyle w:val="Textonotapie"/>
        <w:jc w:val="both"/>
      </w:pPr>
      <w:r w:rsidRPr="00FE39A5">
        <w:rPr>
          <w:rStyle w:val="Refdenotaalpie"/>
          <w:rFonts w:ascii="Times New Roman" w:hAnsi="Times New Roman" w:cs="Times New Roman"/>
        </w:rPr>
        <w:footnoteRef/>
      </w:r>
      <w:r w:rsidRPr="00FE39A5">
        <w:rPr>
          <w:rFonts w:ascii="Times New Roman" w:hAnsi="Times New Roman" w:cs="Times New Roman"/>
        </w:rPr>
        <w:t xml:space="preserve"> Anexo X de la Directiva 2014/24/UE del Parlamento Europeo y del Consejo de 26 de febrero de 2014 sobre contratación pública. (DOUE-L-2014-80598).</w:t>
      </w:r>
    </w:p>
  </w:footnote>
  <w:footnote w:id="23">
    <w:p w:rsidR="00EB4634" w:rsidRPr="007812D5" w:rsidRDefault="00EB4634" w:rsidP="00EB4634">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Considerando 97 </w:t>
      </w:r>
      <w:r w:rsidRPr="00FE39A5">
        <w:rPr>
          <w:rFonts w:ascii="Times New Roman" w:hAnsi="Times New Roman" w:cs="Times New Roman"/>
        </w:rPr>
        <w:t>de la Directiva 2014/24/UE del Parlamento Europeo y del Consejo de 26 de febrero de 2014 sobre contratación pública. (DOUE-L-2014-80598).</w:t>
      </w:r>
    </w:p>
  </w:footnote>
  <w:footnote w:id="24">
    <w:p w:rsidR="00EB4634" w:rsidRPr="00707594" w:rsidRDefault="00EB4634" w:rsidP="00EB4634">
      <w:pPr>
        <w:pStyle w:val="Textonotapie"/>
        <w:jc w:val="both"/>
        <w:rPr>
          <w:rFonts w:ascii="Times New Roman" w:hAnsi="Times New Roman" w:cs="Times New Roman"/>
          <w:lang w:val="en-US"/>
        </w:rPr>
      </w:pPr>
      <w:r w:rsidRPr="007812D5">
        <w:rPr>
          <w:rStyle w:val="Refdenotaalpie"/>
          <w:rFonts w:ascii="Times New Roman" w:hAnsi="Times New Roman" w:cs="Times New Roman"/>
        </w:rPr>
        <w:footnoteRef/>
      </w:r>
      <w:r w:rsidRPr="007812D5">
        <w:rPr>
          <w:rFonts w:ascii="Times New Roman" w:hAnsi="Times New Roman" w:cs="Times New Roman"/>
        </w:rPr>
        <w:t xml:space="preserve">  </w:t>
      </w:r>
      <w:r w:rsidR="003145A5" w:rsidRPr="007812D5">
        <w:rPr>
          <w:rFonts w:ascii="Times New Roman" w:hAnsi="Times New Roman" w:cs="Times New Roman"/>
        </w:rPr>
        <w:t>LESMES ZABALEGI, S. Y ÁLVAREZ DE EULATE BADA, L</w:t>
      </w:r>
      <w:r w:rsidRPr="007812D5">
        <w:rPr>
          <w:rFonts w:ascii="Times New Roman" w:hAnsi="Times New Roman" w:cs="Times New Roman"/>
        </w:rPr>
        <w:t xml:space="preserve">. </w:t>
      </w:r>
      <w:r w:rsidRPr="007812D5">
        <w:rPr>
          <w:rFonts w:ascii="Times New Roman" w:hAnsi="Times New Roman" w:cs="Times New Roman"/>
          <w:i/>
        </w:rPr>
        <w:t>Guía de Contratación Pública Socialmente Responsable</w:t>
      </w:r>
      <w:r>
        <w:rPr>
          <w:rFonts w:ascii="Times New Roman" w:hAnsi="Times New Roman" w:cs="Times New Roman"/>
          <w:i/>
        </w:rPr>
        <w:t xml:space="preserve">, </w:t>
      </w:r>
      <w:r>
        <w:rPr>
          <w:rFonts w:ascii="Times New Roman" w:hAnsi="Times New Roman" w:cs="Times New Roman"/>
        </w:rPr>
        <w:t xml:space="preserve">p 10. </w:t>
      </w:r>
      <w:r w:rsidRPr="00707594">
        <w:rPr>
          <w:rFonts w:ascii="Times New Roman" w:hAnsi="Times New Roman" w:cs="Times New Roman"/>
          <w:lang w:val="en-US"/>
        </w:rPr>
        <w:t>Disponible on – line</w:t>
      </w:r>
      <w:r>
        <w:rPr>
          <w:rFonts w:ascii="Times New Roman" w:hAnsi="Times New Roman" w:cs="Times New Roman"/>
          <w:lang w:val="en-US"/>
        </w:rPr>
        <w:t xml:space="preserve">: </w:t>
      </w:r>
      <w:r w:rsidR="003F348D">
        <w:fldChar w:fldCharType="begin"/>
      </w:r>
      <w:r w:rsidR="003F348D" w:rsidRPr="003F348D">
        <w:rPr>
          <w:lang w:val="en-US"/>
        </w:rPr>
        <w:instrText xml:space="preserve"> HYPERLINK "http://www.reasnet.com/clausulassociales/documentos/guias/Guia%20REAS%202014%20Contrataci%C3%B3n%20P%C3%BAblica%20Responsable.pdf" </w:instrText>
      </w:r>
      <w:r w:rsidR="003F348D">
        <w:fldChar w:fldCharType="separate"/>
      </w:r>
      <w:r w:rsidRPr="00707594">
        <w:rPr>
          <w:rStyle w:val="Hipervnculo"/>
          <w:rFonts w:ascii="Times New Roman" w:hAnsi="Times New Roman" w:cs="Times New Roman"/>
          <w:lang w:val="en-US"/>
        </w:rPr>
        <w:t>http://www.reasnet.com/clausulassociales/documentos/guias/Guia%20REAS%202014%20Contrataci%C3%B3n%20P%C3%BAblica%20Responsable.pdf</w:t>
      </w:r>
      <w:r w:rsidR="003F348D">
        <w:rPr>
          <w:rStyle w:val="Hipervnculo"/>
          <w:rFonts w:ascii="Times New Roman" w:hAnsi="Times New Roman" w:cs="Times New Roman"/>
          <w:lang w:val="en-US"/>
        </w:rPr>
        <w:fldChar w:fldCharType="end"/>
      </w:r>
      <w:r w:rsidRPr="00707594">
        <w:rPr>
          <w:rFonts w:ascii="Times New Roman" w:hAnsi="Times New Roman" w:cs="Times New Roman"/>
          <w:lang w:val="en-US"/>
        </w:rPr>
        <w:t xml:space="preserve"> </w:t>
      </w:r>
    </w:p>
  </w:footnote>
  <w:footnote w:id="25">
    <w:p w:rsidR="00EB4634" w:rsidRPr="00535411" w:rsidRDefault="00EB4634" w:rsidP="00EB4634">
      <w:pPr>
        <w:pStyle w:val="Textonotapie"/>
        <w:jc w:val="both"/>
        <w:rPr>
          <w:rFonts w:ascii="Times New Roman" w:hAnsi="Times New Roman" w:cs="Times New Roman"/>
        </w:rPr>
      </w:pPr>
      <w:r>
        <w:rPr>
          <w:rStyle w:val="Refdenotaalpie"/>
        </w:rPr>
        <w:footnoteRef/>
      </w:r>
      <w:r>
        <w:t xml:space="preserve"> </w:t>
      </w:r>
      <w:r w:rsidRPr="00535411">
        <w:rPr>
          <w:rFonts w:ascii="Times New Roman" w:hAnsi="Times New Roman" w:cs="Times New Roman"/>
        </w:rPr>
        <w:t xml:space="preserve">Artículo 2.3 del Reglamento (UE) nº 651/2014 de la Comisión, de 17 de junio de 2014, publicado en el Diario Oficial de la Unión Europea (L- 187/1). </w:t>
      </w:r>
    </w:p>
  </w:footnote>
  <w:footnote w:id="26">
    <w:p w:rsidR="00EB4634" w:rsidRPr="00A64ADC" w:rsidRDefault="00EB4634" w:rsidP="00EB4634">
      <w:pPr>
        <w:pStyle w:val="Textonotapie"/>
        <w:jc w:val="both"/>
        <w:rPr>
          <w:rFonts w:ascii="Times New Roman" w:hAnsi="Times New Roman" w:cs="Times New Roman"/>
        </w:rPr>
      </w:pPr>
      <w:r>
        <w:rPr>
          <w:rStyle w:val="Refdenotaalpie"/>
        </w:rPr>
        <w:footnoteRef/>
      </w:r>
      <w:r>
        <w:t xml:space="preserve"> </w:t>
      </w:r>
      <w:r w:rsidRPr="00535411">
        <w:rPr>
          <w:rFonts w:ascii="Times New Roman" w:hAnsi="Times New Roman" w:cs="Times New Roman"/>
        </w:rPr>
        <w:t>Artículo</w:t>
      </w:r>
      <w:r>
        <w:rPr>
          <w:rFonts w:ascii="Times New Roman" w:hAnsi="Times New Roman" w:cs="Times New Roman"/>
        </w:rPr>
        <w:t xml:space="preserve"> 2.4</w:t>
      </w:r>
      <w:r w:rsidRPr="00535411">
        <w:rPr>
          <w:rFonts w:ascii="Times New Roman" w:hAnsi="Times New Roman" w:cs="Times New Roman"/>
        </w:rPr>
        <w:t xml:space="preserve"> del Reglamento (UE) nº 651/2014 de la Comisión, de 17 de junio de 2014, publicado en el Diario Oficial de la Unión Europea (L- 187/1). </w:t>
      </w:r>
    </w:p>
  </w:footnote>
  <w:footnote w:id="27">
    <w:p w:rsidR="00EB4634" w:rsidRPr="00923E87" w:rsidRDefault="00EB4634" w:rsidP="00EB4634">
      <w:pPr>
        <w:pStyle w:val="Textonotapie"/>
        <w:jc w:val="both"/>
        <w:rPr>
          <w:rFonts w:ascii="Times New Roman" w:hAnsi="Times New Roman" w:cs="Times New Roman"/>
        </w:rPr>
      </w:pPr>
      <w:r>
        <w:rPr>
          <w:rStyle w:val="Refdenotaalpie"/>
        </w:rPr>
        <w:footnoteRef/>
      </w:r>
      <w:r>
        <w:t xml:space="preserve"> </w:t>
      </w:r>
      <w:r w:rsidRPr="00535411">
        <w:rPr>
          <w:rFonts w:ascii="Times New Roman" w:hAnsi="Times New Roman" w:cs="Times New Roman"/>
        </w:rPr>
        <w:t>Artículo</w:t>
      </w:r>
      <w:r>
        <w:rPr>
          <w:rFonts w:ascii="Times New Roman" w:hAnsi="Times New Roman" w:cs="Times New Roman"/>
        </w:rPr>
        <w:t xml:space="preserve"> 2.100</w:t>
      </w:r>
      <w:r w:rsidRPr="00535411">
        <w:rPr>
          <w:rFonts w:ascii="Times New Roman" w:hAnsi="Times New Roman" w:cs="Times New Roman"/>
        </w:rPr>
        <w:t xml:space="preserve"> del Reglamento (UE) nº 651/2014 de la Comisión, de 17 de junio de 2014, publicado en el Diario Oficial de la Unión Europea (L- 187/1). </w:t>
      </w:r>
    </w:p>
  </w:footnote>
  <w:footnote w:id="28">
    <w:p w:rsidR="00EB4634" w:rsidRPr="00923E87" w:rsidRDefault="00EB4634" w:rsidP="00EB4634">
      <w:pPr>
        <w:pStyle w:val="Textonotapie"/>
        <w:jc w:val="both"/>
        <w:rPr>
          <w:rFonts w:ascii="Times New Roman" w:hAnsi="Times New Roman" w:cs="Times New Roman"/>
        </w:rPr>
      </w:pPr>
      <w:r>
        <w:rPr>
          <w:rStyle w:val="Refdenotaalpie"/>
        </w:rPr>
        <w:footnoteRef/>
      </w:r>
      <w:r>
        <w:t xml:space="preserve"> </w:t>
      </w:r>
      <w:r w:rsidRPr="00923E87">
        <w:rPr>
          <w:rFonts w:ascii="Times New Roman" w:hAnsi="Times New Roman" w:cs="Times New Roman"/>
        </w:rPr>
        <w:t xml:space="preserve">Sentencia del Tribunal de Justicia de 17 de septiembre de 2002. </w:t>
      </w:r>
      <w:r>
        <w:rPr>
          <w:rFonts w:ascii="Times New Roman" w:hAnsi="Times New Roman" w:cs="Times New Roman"/>
        </w:rPr>
        <w:t xml:space="preserve"> </w:t>
      </w:r>
      <w:r w:rsidRPr="00923E87">
        <w:rPr>
          <w:rFonts w:ascii="Times New Roman" w:hAnsi="Times New Roman" w:cs="Times New Roman"/>
        </w:rPr>
        <w:t>Asunto C-513/99.</w:t>
      </w:r>
      <w:r>
        <w:rPr>
          <w:rFonts w:ascii="Times New Roman" w:hAnsi="Times New Roman" w:cs="Times New Roman"/>
        </w:rPr>
        <w:t xml:space="preserve"> TODO LO EXPUESTO EN ESTE APATADO, “ASUNTO CONCORDIA”, PROCEDE DE LA SENTENCIA AQUÍ MENCIONADA.</w:t>
      </w:r>
    </w:p>
  </w:footnote>
  <w:footnote w:id="29">
    <w:p w:rsidR="00EB4634" w:rsidRPr="00855D12" w:rsidRDefault="00EB4634" w:rsidP="00EB4634">
      <w:pPr>
        <w:pStyle w:val="Sinespaciado"/>
        <w:jc w:val="both"/>
      </w:pPr>
      <w:r w:rsidRPr="00855D12">
        <w:rPr>
          <w:rStyle w:val="Refdenotaalpie"/>
        </w:rPr>
        <w:footnoteRef/>
      </w:r>
      <w:r w:rsidRPr="00855D12">
        <w:t xml:space="preserve"> Sentencia del Sentencia del Tribunal de Justicia (Sala cuarta) 20 de Septiembre de 1988. </w:t>
      </w:r>
      <w:r>
        <w:t xml:space="preserve"> </w:t>
      </w:r>
      <w:r w:rsidRPr="00855D12">
        <w:t>Asunto 31/87. TODO LO EXPUESTO EN ESTE APATADO</w:t>
      </w:r>
      <w:r>
        <w:t>,</w:t>
      </w:r>
      <w:r w:rsidRPr="00855D12">
        <w:t xml:space="preserve"> “GEBROEDERS BEENTJES BV”</w:t>
      </w:r>
      <w:r>
        <w:t>,</w:t>
      </w:r>
      <w:r w:rsidRPr="00855D12">
        <w:t xml:space="preserve"> PROCEDE DE LA SENTENCIA AQUÍ MENCIONADA.</w:t>
      </w:r>
    </w:p>
    <w:p w:rsidR="00EB4634" w:rsidRDefault="00EB4634" w:rsidP="00EB4634">
      <w:pPr>
        <w:pStyle w:val="Textonotapie"/>
      </w:pPr>
    </w:p>
  </w:footnote>
  <w:footnote w:id="30">
    <w:p w:rsidR="00EB4634" w:rsidRPr="00A64ADC" w:rsidRDefault="00EB4634" w:rsidP="00EB4634">
      <w:pPr>
        <w:pStyle w:val="Sinespaciado"/>
        <w:jc w:val="both"/>
      </w:pPr>
      <w:r w:rsidRPr="00A64ADC">
        <w:rPr>
          <w:rStyle w:val="Refdenotaalpie"/>
        </w:rPr>
        <w:footnoteRef/>
      </w:r>
      <w:r w:rsidRPr="00A64ADC">
        <w:t xml:space="preserve"> Sentencia del Sentencia del Sentencia del Tribunal de Justicia (Sala Tercera) de 10 de Mayo de 2012.</w:t>
      </w:r>
    </w:p>
    <w:p w:rsidR="00EB4634" w:rsidRPr="00A64ADC" w:rsidRDefault="00EB4634" w:rsidP="00EB4634">
      <w:pPr>
        <w:pStyle w:val="Sinespaciado"/>
        <w:jc w:val="both"/>
      </w:pPr>
      <w:r w:rsidRPr="00A64ADC">
        <w:t>Asunto C 368/10.TODO LO EXPUESTO EN ESTE APATADO “NOORD-HOLLAND” PROCEDE DE LA SENTENCIA AQUÍ MENCIONADA.</w:t>
      </w:r>
    </w:p>
  </w:footnote>
  <w:footnote w:id="31">
    <w:p w:rsidR="00EB4634" w:rsidRPr="00E25CBE" w:rsidRDefault="00EB4634" w:rsidP="00EB4634">
      <w:pPr>
        <w:pStyle w:val="Textonotapie"/>
        <w:jc w:val="both"/>
        <w:rPr>
          <w:rFonts w:ascii="Times New Roman" w:hAnsi="Times New Roman" w:cs="Times New Roman"/>
          <w:i/>
        </w:rPr>
      </w:pPr>
      <w:r w:rsidRPr="00E25CBE">
        <w:rPr>
          <w:rStyle w:val="Refdenotaalpie"/>
          <w:rFonts w:ascii="Times New Roman" w:hAnsi="Times New Roman" w:cs="Times New Roman"/>
        </w:rPr>
        <w:footnoteRef/>
      </w:r>
      <w:r w:rsidRPr="00E25CBE">
        <w:rPr>
          <w:rFonts w:ascii="Times New Roman" w:hAnsi="Times New Roman" w:cs="Times New Roman"/>
        </w:rPr>
        <w:t xml:space="preserve"> Artículo 40.1 de la Constitución Española de 1978.  Además se debe descartar también el </w:t>
      </w:r>
      <w:r w:rsidR="003145A5">
        <w:rPr>
          <w:rFonts w:ascii="Times New Roman" w:hAnsi="Times New Roman" w:cs="Times New Roman"/>
        </w:rPr>
        <w:t>a</w:t>
      </w:r>
      <w:r w:rsidR="003145A5" w:rsidRPr="00E25CBE">
        <w:rPr>
          <w:rFonts w:ascii="Times New Roman" w:hAnsi="Times New Roman" w:cs="Times New Roman"/>
        </w:rPr>
        <w:t>rtículo</w:t>
      </w:r>
      <w:r w:rsidRPr="00E25CBE">
        <w:rPr>
          <w:rFonts w:ascii="Times New Roman" w:hAnsi="Times New Roman" w:cs="Times New Roman"/>
        </w:rPr>
        <w:t xml:space="preserve"> 40.2 de forma complementaria: </w:t>
      </w:r>
      <w:r>
        <w:rPr>
          <w:rFonts w:ascii="Times New Roman" w:hAnsi="Times New Roman" w:cs="Times New Roman"/>
        </w:rPr>
        <w:t>“</w:t>
      </w:r>
      <w:r w:rsidRPr="00E25CBE">
        <w:rPr>
          <w:rFonts w:ascii="Times New Roman" w:hAnsi="Times New Roman" w:cs="Times New Roman"/>
          <w:i/>
        </w:rPr>
        <w:t>Asimismo, los poderes públicos fomentarán una política que garantice la formación y readaptación profesionales; velarán por la seguridad e higiene en el trabajo y garantizarán el descanso necesario, mediante la limitación de la jornada laboral, las vacaciones periódicas retribuidas y la promoción de centros adecuados</w:t>
      </w:r>
      <w:r>
        <w:rPr>
          <w:rFonts w:ascii="Times New Roman" w:hAnsi="Times New Roman" w:cs="Times New Roman"/>
          <w:i/>
        </w:rPr>
        <w:t>.”</w:t>
      </w:r>
    </w:p>
  </w:footnote>
  <w:footnote w:id="32">
    <w:p w:rsidR="00EB4634" w:rsidRPr="005A3AC6" w:rsidRDefault="00EB4634" w:rsidP="00EB4634">
      <w:pPr>
        <w:pStyle w:val="Textonotapie"/>
        <w:jc w:val="both"/>
        <w:rPr>
          <w:rFonts w:ascii="Times New Roman" w:hAnsi="Times New Roman" w:cs="Times New Roman"/>
        </w:rPr>
      </w:pPr>
      <w:r w:rsidRPr="005A3AC6">
        <w:rPr>
          <w:rStyle w:val="Refdenotaalpie"/>
          <w:rFonts w:ascii="Times New Roman" w:hAnsi="Times New Roman" w:cs="Times New Roman"/>
        </w:rPr>
        <w:footnoteRef/>
      </w:r>
      <w:r w:rsidRPr="005A3AC6">
        <w:rPr>
          <w:rFonts w:ascii="Times New Roman" w:hAnsi="Times New Roman" w:cs="Times New Roman"/>
        </w:rPr>
        <w:t xml:space="preserve"> Artículo 22.1</w:t>
      </w:r>
      <w:r w:rsidRPr="005A3AC6">
        <w:t xml:space="preserve"> </w:t>
      </w:r>
      <w:r w:rsidRPr="005A3AC6">
        <w:rPr>
          <w:rFonts w:ascii="Times New Roman" w:hAnsi="Times New Roman" w:cs="Times New Roman"/>
        </w:rPr>
        <w:t xml:space="preserve">Real Decreto Legislativo 3/2011 de 14 de noviembre, por el que se aprueba el Texto Refundido de la Ley de Contratos del Sector Público: </w:t>
      </w:r>
      <w:r>
        <w:rPr>
          <w:rFonts w:ascii="Times New Roman" w:hAnsi="Times New Roman" w:cs="Times New Roman"/>
        </w:rPr>
        <w:t>“</w:t>
      </w:r>
      <w:r w:rsidRPr="005A3AC6">
        <w:rPr>
          <w:rFonts w:ascii="Times New Roman" w:hAnsi="Times New Roman" w:cs="Times New Roman"/>
          <w:i/>
        </w:rPr>
        <w:t>Los entes, organismos y entidades del sector público no podrán celebrar otros contratos que aquellos que sean necesarios para el cumplimiento y realización de sus fines institucionales. A tal efecto, la naturaleza y extensión de las necesidades que pretenden cubrirse mediante el contrato proyectado, así como la idoneidad de su objeto y contenido para satisfacerlas, deben ser determinadas con precisión, dejando constancia de ello en la documentación preparatoria, antes de iniciar el procedimiento encaminado a su adjudicación.”</w:t>
      </w:r>
    </w:p>
  </w:footnote>
  <w:footnote w:id="33">
    <w:p w:rsidR="00EB4634" w:rsidRPr="005A3AC6" w:rsidRDefault="00EB4634" w:rsidP="00EB4634">
      <w:pPr>
        <w:pStyle w:val="Textonotapie"/>
        <w:jc w:val="both"/>
        <w:rPr>
          <w:rFonts w:ascii="Times New Roman" w:hAnsi="Times New Roman" w:cs="Times New Roman"/>
        </w:rPr>
      </w:pPr>
      <w:r w:rsidRPr="005A3AC6">
        <w:rPr>
          <w:rStyle w:val="Refdenotaalpie"/>
          <w:rFonts w:ascii="Times New Roman" w:hAnsi="Times New Roman" w:cs="Times New Roman"/>
        </w:rPr>
        <w:footnoteRef/>
      </w:r>
      <w:r w:rsidRPr="005A3AC6">
        <w:rPr>
          <w:rFonts w:ascii="Times New Roman" w:hAnsi="Times New Roman" w:cs="Times New Roman"/>
        </w:rPr>
        <w:t xml:space="preserve"> Artículo 25.1 del Real Decreto Legislativo 3/2011 de 14 de noviembre, por el que se aprueba el Texto Refundido de la Ley de Contratos del Sector Público</w:t>
      </w:r>
      <w:r>
        <w:rPr>
          <w:rFonts w:ascii="Times New Roman" w:hAnsi="Times New Roman" w:cs="Times New Roman"/>
        </w:rPr>
        <w:t>.</w:t>
      </w:r>
    </w:p>
  </w:footnote>
  <w:footnote w:id="34">
    <w:p w:rsidR="00EB4634" w:rsidRPr="002E5D3A" w:rsidRDefault="00EB4634" w:rsidP="00EB4634">
      <w:pPr>
        <w:pStyle w:val="Textonotapie"/>
        <w:jc w:val="both"/>
        <w:rPr>
          <w:rFonts w:ascii="Times New Roman" w:hAnsi="Times New Roman" w:cs="Times New Roman"/>
        </w:rPr>
      </w:pPr>
      <w:r w:rsidRPr="002E5D3A">
        <w:rPr>
          <w:rStyle w:val="Refdenotaalpie"/>
          <w:rFonts w:ascii="Times New Roman" w:hAnsi="Times New Roman" w:cs="Times New Roman"/>
        </w:rPr>
        <w:footnoteRef/>
      </w:r>
      <w:r w:rsidRPr="002E5D3A">
        <w:rPr>
          <w:rFonts w:ascii="Times New Roman" w:hAnsi="Times New Roman" w:cs="Times New Roman"/>
        </w:rPr>
        <w:t xml:space="preserve"> </w:t>
      </w:r>
      <w:r w:rsidR="003145A5" w:rsidRPr="002E5D3A">
        <w:rPr>
          <w:rFonts w:ascii="Times New Roman" w:hAnsi="Times New Roman" w:cs="Times New Roman"/>
        </w:rPr>
        <w:t>LESMES ZABALEGI, S. Y ÁLVAREZ DE EULATE BADA</w:t>
      </w:r>
      <w:r w:rsidRPr="002E5D3A">
        <w:rPr>
          <w:rFonts w:ascii="Times New Roman" w:hAnsi="Times New Roman" w:cs="Times New Roman"/>
        </w:rPr>
        <w:t xml:space="preserve">, L. </w:t>
      </w:r>
      <w:r w:rsidRPr="002E5D3A">
        <w:rPr>
          <w:rFonts w:ascii="Times New Roman" w:hAnsi="Times New Roman" w:cs="Times New Roman"/>
          <w:i/>
        </w:rPr>
        <w:t xml:space="preserve">Guía de Contratación Pública Socialmente Responsable. </w:t>
      </w:r>
    </w:p>
  </w:footnote>
  <w:footnote w:id="35">
    <w:p w:rsidR="00EB4634" w:rsidRPr="00FB339C" w:rsidRDefault="00EB4634" w:rsidP="00EB4634">
      <w:pPr>
        <w:pStyle w:val="Textonotapie"/>
        <w:jc w:val="both"/>
        <w:rPr>
          <w:rFonts w:ascii="Times New Roman" w:hAnsi="Times New Roman" w:cs="Times New Roman"/>
        </w:rPr>
      </w:pPr>
      <w:r w:rsidRPr="00FB339C">
        <w:rPr>
          <w:rStyle w:val="Refdenotaalpie"/>
          <w:rFonts w:ascii="Times New Roman" w:hAnsi="Times New Roman" w:cs="Times New Roman"/>
        </w:rPr>
        <w:footnoteRef/>
      </w:r>
      <w:r w:rsidRPr="00FB339C">
        <w:rPr>
          <w:rFonts w:ascii="Times New Roman" w:hAnsi="Times New Roman" w:cs="Times New Roman"/>
        </w:rPr>
        <w:t xml:space="preserve"> </w:t>
      </w:r>
      <w:r>
        <w:rPr>
          <w:rFonts w:ascii="Times New Roman" w:hAnsi="Times New Roman" w:cs="Times New Roman"/>
        </w:rPr>
        <w:t xml:space="preserve"> </w:t>
      </w:r>
      <w:r w:rsidRPr="00FB339C">
        <w:rPr>
          <w:rFonts w:ascii="Times New Roman" w:hAnsi="Times New Roman" w:cs="Times New Roman"/>
        </w:rPr>
        <w:t>Artículo 86.1 TRLCSP: “El objeto de los contratos del sector público deberá ser determinado.”</w:t>
      </w:r>
    </w:p>
  </w:footnote>
  <w:footnote w:id="36">
    <w:p w:rsidR="00EB4634" w:rsidRPr="00FB339C" w:rsidRDefault="00EB4634" w:rsidP="00EB4634">
      <w:pPr>
        <w:pStyle w:val="Textonotapie"/>
        <w:jc w:val="both"/>
        <w:rPr>
          <w:rFonts w:ascii="Times New Roman" w:hAnsi="Times New Roman" w:cs="Times New Roman"/>
          <w:i/>
        </w:rPr>
      </w:pPr>
      <w:r w:rsidRPr="00FB339C">
        <w:rPr>
          <w:rStyle w:val="Refdenotaalpie"/>
          <w:rFonts w:ascii="Times New Roman" w:hAnsi="Times New Roman" w:cs="Times New Roman"/>
        </w:rPr>
        <w:footnoteRef/>
      </w:r>
      <w:r w:rsidRPr="00FB339C">
        <w:rPr>
          <w:rFonts w:ascii="Times New Roman" w:hAnsi="Times New Roman" w:cs="Times New Roman"/>
        </w:rPr>
        <w:t xml:space="preserve"> Artículo</w:t>
      </w:r>
      <w:r>
        <w:rPr>
          <w:rFonts w:ascii="Times New Roman" w:hAnsi="Times New Roman" w:cs="Times New Roman"/>
        </w:rPr>
        <w:t xml:space="preserve"> </w:t>
      </w:r>
      <w:r w:rsidRPr="00FB339C">
        <w:rPr>
          <w:rFonts w:ascii="Times New Roman" w:hAnsi="Times New Roman" w:cs="Times New Roman"/>
        </w:rPr>
        <w:t xml:space="preserve">60.1.c TRLCSP: 1. </w:t>
      </w:r>
      <w:r w:rsidRPr="00FB339C">
        <w:rPr>
          <w:rFonts w:ascii="Times New Roman" w:hAnsi="Times New Roman" w:cs="Times New Roman"/>
          <w:i/>
        </w:rPr>
        <w:t xml:space="preserve">“No podrán contratar con el sector público las personas en quienes concurra alguna de las circunstancias siguientes: c) Haber sido sancionadas con carácter firme por infracción grave en materia de disciplina de mercado, en materia profesional o en materia de integración laboral y de igualdad de oportunidades y no discriminación de las personas con discapacidad, o por infracción muy grave en materia social, incluidas las infracciones en materia de prevención de riesgos laborales, de acuerdo con lo dispuesto en el texto refundido de la Ley sobre Infracciones y Sanciones en el Orden Social, aprobado por el Real Decreto Legislativo 5/2000, de 4 de agosto, así como por la infracción grave prevista en el artículo 22.2 del mismo, o por infracción muy grave en materia medioambiental, de acuerdo con lo establecido en el Real Decreto Legislativo 1/2008, de 11 de enero, por el que se aprueba el Texto Refundido de la Ley de </w:t>
      </w:r>
      <w:proofErr w:type="spellStart"/>
      <w:r w:rsidRPr="00FB339C">
        <w:rPr>
          <w:rFonts w:ascii="Times New Roman" w:hAnsi="Times New Roman" w:cs="Times New Roman"/>
          <w:i/>
        </w:rPr>
        <w:t>de</w:t>
      </w:r>
      <w:proofErr w:type="spellEnd"/>
      <w:r w:rsidRPr="00FB339C">
        <w:rPr>
          <w:rFonts w:ascii="Times New Roman" w:hAnsi="Times New Roman" w:cs="Times New Roman"/>
          <w:i/>
        </w:rPr>
        <w:t xml:space="preserve"> Evaluación de Impacto Ambiental de Proyectos; en la Ley 22/1988, de 28 de julio, de Costas; en la Ley 4/1989, de 27 de marzo, de Conservación de los Espacios Naturales y de la Flora y Fauna Silvestres; en la Ley 11/1997, de 24 de abril, de Envases y Residuos de Envases; en la Ley 10/1998, de 21 de abril, de Residuos; en el Texto Refundido de la Ley de Aguas, aprobado por Real Decreto Legislativo 1/2001, de 20 de julio, y en la Ley 16/2002, de 1 de julio, de Prevención y Control Integrados de la Contaminación”</w:t>
      </w:r>
      <w:r>
        <w:rPr>
          <w:rFonts w:ascii="Times New Roman" w:hAnsi="Times New Roman" w:cs="Times New Roman"/>
          <w:i/>
        </w:rPr>
        <w:t>.</w:t>
      </w:r>
    </w:p>
  </w:footnote>
  <w:footnote w:id="37">
    <w:p w:rsidR="00EB4634" w:rsidRPr="00FB339C" w:rsidRDefault="00EB4634" w:rsidP="00EB4634">
      <w:pPr>
        <w:pStyle w:val="Textonotapie"/>
        <w:jc w:val="both"/>
        <w:rPr>
          <w:rFonts w:ascii="Times New Roman" w:hAnsi="Times New Roman" w:cs="Times New Roman"/>
          <w:i/>
        </w:rPr>
      </w:pPr>
      <w:r w:rsidRPr="00FB339C">
        <w:rPr>
          <w:rStyle w:val="Refdenotaalpie"/>
          <w:rFonts w:ascii="Times New Roman" w:hAnsi="Times New Roman" w:cs="Times New Roman"/>
        </w:rPr>
        <w:footnoteRef/>
      </w:r>
      <w:r w:rsidRPr="00FB339C">
        <w:rPr>
          <w:rFonts w:ascii="Times New Roman" w:hAnsi="Times New Roman" w:cs="Times New Roman"/>
        </w:rPr>
        <w:t xml:space="preserve"> Articulo 62 TRLCSP: </w:t>
      </w:r>
      <w:r w:rsidRPr="00FB339C">
        <w:rPr>
          <w:rFonts w:ascii="Times New Roman" w:hAnsi="Times New Roman" w:cs="Times New Roman"/>
          <w:i/>
        </w:rPr>
        <w:t>“1. Para celebrar contratos con el sector público los empresarios deberán acreditar estar en posesión de las condiciones mínimas de solvencia económica y financiera y profesional o técnica que se determinen por el órgano de contratación. Este requisito será sustituido por el de la clasificación, cuando ésta sea exigible conforme a lo dispuesto en esta Ley. 2. Los requisitos mínimos de solvencia que deba reunir el empresario y la documentación requerida para acreditar los mismos se indicarán en el anuncio de licitación y se especificarán en el pliego del contrato, debiendo estar vinculados a su objeto y ser proporcionales al mismo.”</w:t>
      </w:r>
    </w:p>
  </w:footnote>
  <w:footnote w:id="38">
    <w:p w:rsidR="00EB4634" w:rsidRPr="00F94D2A" w:rsidRDefault="00EB4634" w:rsidP="00EB4634">
      <w:pPr>
        <w:pStyle w:val="Textonotapie"/>
        <w:jc w:val="both"/>
        <w:rPr>
          <w:rFonts w:ascii="Times New Roman" w:hAnsi="Times New Roman" w:cs="Times New Roman"/>
          <w:i/>
        </w:rPr>
      </w:pPr>
      <w:r w:rsidRPr="00F94D2A">
        <w:rPr>
          <w:rStyle w:val="Refdenotaalpie"/>
          <w:rFonts w:ascii="Times New Roman" w:hAnsi="Times New Roman" w:cs="Times New Roman"/>
        </w:rPr>
        <w:footnoteRef/>
      </w:r>
      <w:r w:rsidRPr="00F94D2A">
        <w:rPr>
          <w:rFonts w:ascii="Times New Roman" w:hAnsi="Times New Roman" w:cs="Times New Roman"/>
        </w:rPr>
        <w:t xml:space="preserve"> Articulo 150.1 y 3.h TRLCPS: </w:t>
      </w:r>
      <w:r>
        <w:rPr>
          <w:rFonts w:ascii="Times New Roman" w:hAnsi="Times New Roman" w:cs="Times New Roman"/>
        </w:rPr>
        <w:t>“</w:t>
      </w:r>
      <w:r w:rsidRPr="00F94D2A">
        <w:rPr>
          <w:rFonts w:ascii="Times New Roman" w:hAnsi="Times New Roman" w:cs="Times New Roman"/>
          <w:i/>
        </w:rPr>
        <w:t>1. Para la valoración de las proposiciones y la determinación de la oferta económicamente más ventajosa deberá atenderse a criterios directamente vinculados al objeto del contrato, tales como la calidad, el precio, la fórmula utilizable para revisar las retribuciones ligadas a la utilización de la obra o a la prestación del servicio, el plazo de ejecución o entrega de la prestación, el coste de utilización, las características medioambientales o vinculadas con la satisfacción de exigencias sociales que respondan a necesidades, definidas en las especificaciones del contrato, propias de las categorías de población especialmente desfavorecidas a las que pertenezcan los usuarios o beneficiarios de las prestaciones a contratar, la rentabilidad, el valor técnico, las características estéticas o funcionales, la disponibilidad y coste de los repuestos, el mantenimiento, la asistencia técnica, el servicio postventa u otros semejantes. 3. La valoración de más de un criterio procederá, en particular, en la adjudicación de los siguientes contratos: h) Contratos cuya ejecución pueda tener un impacto significativo en el medio ambiente, en cuya adjudicación se valorarán condiciones ambientales mensurables, tales como el menor impacto ambiental, el ahorro y el uso eficiente del agua y la energía y de los materiales, el coste ambiental del ciclo de vida, los procedimientos y métodos de producción ecológicos, la generación y gestión de residuos o el uso de materiales reciclados o reutilizados o de materiales ecológicos.</w:t>
      </w:r>
      <w:r>
        <w:rPr>
          <w:rFonts w:ascii="Times New Roman" w:hAnsi="Times New Roman" w:cs="Times New Roman"/>
          <w:i/>
        </w:rPr>
        <w:t>”</w:t>
      </w:r>
    </w:p>
  </w:footnote>
  <w:footnote w:id="39">
    <w:p w:rsidR="00EB4634" w:rsidRPr="008828D2" w:rsidRDefault="00EB4634" w:rsidP="00EB4634">
      <w:pPr>
        <w:pStyle w:val="Textonotapie"/>
        <w:jc w:val="both"/>
        <w:rPr>
          <w:rFonts w:ascii="Times New Roman" w:hAnsi="Times New Roman" w:cs="Times New Roman"/>
        </w:rPr>
      </w:pPr>
      <w:r w:rsidRPr="008828D2">
        <w:rPr>
          <w:rStyle w:val="Refdenotaalpie"/>
          <w:rFonts w:ascii="Times New Roman" w:hAnsi="Times New Roman" w:cs="Times New Roman"/>
        </w:rPr>
        <w:footnoteRef/>
      </w:r>
      <w:r w:rsidRPr="008828D2">
        <w:rPr>
          <w:rFonts w:ascii="Times New Roman" w:hAnsi="Times New Roman" w:cs="Times New Roman"/>
        </w:rPr>
        <w:t xml:space="preserve"> Disposición adicional quinta. Contratos Reservados</w:t>
      </w:r>
      <w:r>
        <w:rPr>
          <w:rFonts w:ascii="Times New Roman" w:hAnsi="Times New Roman" w:cs="Times New Roman"/>
        </w:rPr>
        <w:t>.</w:t>
      </w:r>
      <w:r w:rsidRPr="008828D2">
        <w:rPr>
          <w:rFonts w:ascii="Times New Roman" w:hAnsi="Times New Roman" w:cs="Times New Roman"/>
        </w:rPr>
        <w:t xml:space="preserve"> TRLCPS. </w:t>
      </w:r>
    </w:p>
  </w:footnote>
  <w:footnote w:id="40">
    <w:p w:rsidR="00EB4634" w:rsidRPr="00711D98" w:rsidRDefault="00EB4634" w:rsidP="00EB4634">
      <w:pPr>
        <w:pStyle w:val="Textonotapie"/>
        <w:jc w:val="both"/>
        <w:rPr>
          <w:rFonts w:ascii="Times New Roman" w:hAnsi="Times New Roman" w:cs="Times New Roman"/>
        </w:rPr>
      </w:pPr>
      <w:r w:rsidRPr="00711D98">
        <w:rPr>
          <w:rStyle w:val="Refdenotaalpie"/>
          <w:rFonts w:ascii="Times New Roman" w:hAnsi="Times New Roman" w:cs="Times New Roman"/>
        </w:rPr>
        <w:footnoteRef/>
      </w:r>
      <w:r w:rsidRPr="00711D98">
        <w:rPr>
          <w:rFonts w:ascii="Times New Roman" w:hAnsi="Times New Roman" w:cs="Times New Roman"/>
        </w:rPr>
        <w:t xml:space="preserve"> Artículo 1 de Ley 44/2007, de 13 de diciembre, para la regulación del régimen de las empresas de inserción.</w:t>
      </w:r>
    </w:p>
  </w:footnote>
  <w:footnote w:id="41">
    <w:p w:rsidR="00EB4634" w:rsidRPr="00711D98" w:rsidRDefault="00EB4634" w:rsidP="00EB4634">
      <w:pPr>
        <w:pStyle w:val="Textonotapie"/>
        <w:jc w:val="both"/>
        <w:rPr>
          <w:rFonts w:ascii="Times New Roman" w:hAnsi="Times New Roman" w:cs="Times New Roman"/>
        </w:rPr>
      </w:pPr>
      <w:r w:rsidRPr="00711D98">
        <w:rPr>
          <w:rStyle w:val="Refdenotaalpie"/>
          <w:rFonts w:ascii="Times New Roman" w:hAnsi="Times New Roman" w:cs="Times New Roman"/>
        </w:rPr>
        <w:footnoteRef/>
      </w:r>
      <w:r w:rsidRPr="00711D98">
        <w:rPr>
          <w:rFonts w:ascii="Times New Roman" w:hAnsi="Times New Roman" w:cs="Times New Roman"/>
        </w:rPr>
        <w:t xml:space="preserve"> Artículo 5 de Ley 44/2007, de 13 de diciembre, para la regulación del régimen de las empresas de inserción.</w:t>
      </w:r>
    </w:p>
  </w:footnote>
  <w:footnote w:id="42">
    <w:p w:rsidR="00EB4634" w:rsidRPr="00955A18" w:rsidRDefault="00EB4634" w:rsidP="00EB4634">
      <w:pPr>
        <w:pStyle w:val="Textonotapie"/>
        <w:jc w:val="both"/>
        <w:rPr>
          <w:rFonts w:ascii="Times New Roman" w:hAnsi="Times New Roman" w:cs="Times New Roman"/>
        </w:rPr>
      </w:pPr>
      <w:r w:rsidRPr="00955A18">
        <w:rPr>
          <w:rStyle w:val="Refdenotaalpie"/>
          <w:rFonts w:ascii="Times New Roman" w:hAnsi="Times New Roman" w:cs="Times New Roman"/>
        </w:rPr>
        <w:footnoteRef/>
      </w:r>
      <w:r w:rsidRPr="00955A18">
        <w:rPr>
          <w:rFonts w:ascii="Times New Roman" w:hAnsi="Times New Roman" w:cs="Times New Roman"/>
        </w:rPr>
        <w:t xml:space="preserve"> Artículo 1 de Real Decreto 2273/1985, de 4 de diciembre por el que se aprueba el Reglamento de los Centros Especiales de Empleo definidos en el artículo 42 de la Ley 13/1982, de 7 de abril, de Integración Social del Minusválido.</w:t>
      </w:r>
    </w:p>
  </w:footnote>
  <w:footnote w:id="43">
    <w:p w:rsidR="00EB4634" w:rsidRPr="00955A18" w:rsidRDefault="00EB4634" w:rsidP="00EB4634">
      <w:pPr>
        <w:pStyle w:val="Textonotapie"/>
        <w:jc w:val="both"/>
        <w:rPr>
          <w:rFonts w:ascii="Times New Roman" w:hAnsi="Times New Roman" w:cs="Times New Roman"/>
        </w:rPr>
      </w:pPr>
      <w:r w:rsidRPr="00955A18">
        <w:rPr>
          <w:rStyle w:val="Refdenotaalpie"/>
          <w:rFonts w:ascii="Times New Roman" w:hAnsi="Times New Roman" w:cs="Times New Roman"/>
        </w:rPr>
        <w:footnoteRef/>
      </w:r>
      <w:r w:rsidRPr="00955A18">
        <w:rPr>
          <w:rFonts w:ascii="Times New Roman" w:hAnsi="Times New Roman" w:cs="Times New Roman"/>
        </w:rPr>
        <w:t xml:space="preserve"> Disposición adicional </w:t>
      </w:r>
      <w:r>
        <w:rPr>
          <w:rFonts w:ascii="Times New Roman" w:hAnsi="Times New Roman" w:cs="Times New Roman"/>
        </w:rPr>
        <w:t xml:space="preserve">quinta. Contratos Reservados. </w:t>
      </w:r>
      <w:r w:rsidRPr="00955A18">
        <w:rPr>
          <w:rFonts w:ascii="Times New Roman" w:hAnsi="Times New Roman" w:cs="Times New Roman"/>
        </w:rPr>
        <w:t>TRLCPS.</w:t>
      </w:r>
    </w:p>
  </w:footnote>
  <w:footnote w:id="44">
    <w:p w:rsidR="00EB4634" w:rsidRPr="00475393" w:rsidRDefault="00EB4634" w:rsidP="00EB4634">
      <w:pPr>
        <w:pStyle w:val="Textonotapie"/>
        <w:jc w:val="both"/>
        <w:rPr>
          <w:rFonts w:ascii="Times New Roman" w:hAnsi="Times New Roman" w:cs="Times New Roman"/>
        </w:rPr>
      </w:pPr>
      <w:r w:rsidRPr="00475393">
        <w:rPr>
          <w:rStyle w:val="Refdenotaalpie"/>
          <w:rFonts w:ascii="Times New Roman" w:hAnsi="Times New Roman" w:cs="Times New Roman"/>
        </w:rPr>
        <w:footnoteRef/>
      </w:r>
      <w:r w:rsidRPr="00475393">
        <w:rPr>
          <w:rFonts w:ascii="Times New Roman" w:hAnsi="Times New Roman" w:cs="Times New Roman"/>
        </w:rPr>
        <w:t xml:space="preserve"> Encuesta de Discapacidad, Autonomía Personal y </w:t>
      </w:r>
      <w:r>
        <w:rPr>
          <w:rFonts w:ascii="Times New Roman" w:hAnsi="Times New Roman" w:cs="Times New Roman"/>
        </w:rPr>
        <w:t>Situaciones de Dependencia.</w:t>
      </w:r>
      <w:r w:rsidRPr="00475393">
        <w:rPr>
          <w:rFonts w:ascii="Times New Roman" w:hAnsi="Times New Roman" w:cs="Times New Roman"/>
        </w:rPr>
        <w:t xml:space="preserve"> </w:t>
      </w:r>
      <w:r>
        <w:rPr>
          <w:rFonts w:ascii="Times New Roman" w:hAnsi="Times New Roman" w:cs="Times New Roman"/>
        </w:rPr>
        <w:t xml:space="preserve">EDAD </w:t>
      </w:r>
      <w:r w:rsidRPr="00475393">
        <w:rPr>
          <w:rFonts w:ascii="Times New Roman" w:hAnsi="Times New Roman" w:cs="Times New Roman"/>
        </w:rPr>
        <w:t>2008. Instituto</w:t>
      </w:r>
      <w:r>
        <w:rPr>
          <w:rFonts w:ascii="Times New Roman" w:hAnsi="Times New Roman" w:cs="Times New Roman"/>
        </w:rPr>
        <w:t xml:space="preserve"> </w:t>
      </w:r>
      <w:r w:rsidRPr="00475393">
        <w:rPr>
          <w:rFonts w:ascii="Times New Roman" w:hAnsi="Times New Roman" w:cs="Times New Roman"/>
        </w:rPr>
        <w:t>Nacional de Estadística</w:t>
      </w:r>
      <w:r>
        <w:rPr>
          <w:rFonts w:ascii="Times New Roman" w:hAnsi="Times New Roman" w:cs="Times New Roman"/>
        </w:rPr>
        <w:t xml:space="preserve">. Disponible </w:t>
      </w:r>
      <w:proofErr w:type="spellStart"/>
      <w:r>
        <w:rPr>
          <w:rFonts w:ascii="Times New Roman" w:hAnsi="Times New Roman" w:cs="Times New Roman"/>
        </w:rPr>
        <w:t>on</w:t>
      </w:r>
      <w:proofErr w:type="spellEnd"/>
      <w:r>
        <w:rPr>
          <w:rFonts w:ascii="Times New Roman" w:hAnsi="Times New Roman" w:cs="Times New Roman"/>
        </w:rPr>
        <w:t xml:space="preserve"> - line: </w:t>
      </w:r>
      <w:hyperlink r:id="rId2" w:history="1">
        <w:r w:rsidRPr="00674A1D">
          <w:rPr>
            <w:rStyle w:val="Hipervnculo"/>
            <w:rFonts w:ascii="Times New Roman" w:hAnsi="Times New Roman" w:cs="Times New Roman"/>
          </w:rPr>
          <w:t>http://www.ine.es/revistas/cifraine/1009.pdf</w:t>
        </w:r>
      </w:hyperlink>
      <w:r>
        <w:rPr>
          <w:rFonts w:ascii="Times New Roman" w:hAnsi="Times New Roman" w:cs="Times New Roman"/>
        </w:rPr>
        <w:t xml:space="preserve"> </w:t>
      </w:r>
    </w:p>
  </w:footnote>
  <w:footnote w:id="45">
    <w:p w:rsidR="00EB4634" w:rsidRPr="00DF4421" w:rsidRDefault="00EB4634" w:rsidP="00EB4634">
      <w:pPr>
        <w:pStyle w:val="Textonotapie"/>
        <w:jc w:val="both"/>
        <w:rPr>
          <w:rFonts w:ascii="Times New Roman" w:hAnsi="Times New Roman" w:cs="Times New Roman"/>
        </w:rPr>
      </w:pPr>
      <w:r w:rsidRPr="00DF4421">
        <w:rPr>
          <w:rStyle w:val="Refdenotaalpie"/>
          <w:rFonts w:ascii="Times New Roman" w:hAnsi="Times New Roman" w:cs="Times New Roman"/>
        </w:rPr>
        <w:footnoteRef/>
      </w:r>
      <w:r w:rsidRPr="00DF4421">
        <w:rPr>
          <w:rFonts w:ascii="Times New Roman" w:hAnsi="Times New Roman" w:cs="Times New Roman"/>
        </w:rPr>
        <w:t xml:space="preserve"> Artículo 1 del Decreto Legisla</w:t>
      </w:r>
      <w:r>
        <w:rPr>
          <w:rFonts w:ascii="Times New Roman" w:hAnsi="Times New Roman" w:cs="Times New Roman"/>
        </w:rPr>
        <w:t xml:space="preserve">tivo 1/2013, de 29 de noviembre, </w:t>
      </w:r>
      <w:r w:rsidRPr="00B6460E">
        <w:rPr>
          <w:rFonts w:ascii="Times New Roman" w:hAnsi="Times New Roman" w:cs="Times New Roman"/>
        </w:rPr>
        <w:t>por el que se aprueba el Texto Refundido de la Ley General de derechos de las personas con discapacidad y de su inclusión social.</w:t>
      </w:r>
    </w:p>
  </w:footnote>
  <w:footnote w:id="46">
    <w:p w:rsidR="00EB4634" w:rsidRPr="00DF4421" w:rsidRDefault="00EB4634" w:rsidP="00EB4634">
      <w:pPr>
        <w:pStyle w:val="Textonotapie"/>
        <w:rPr>
          <w:rFonts w:ascii="Times New Roman" w:hAnsi="Times New Roman" w:cs="Times New Roman"/>
        </w:rPr>
      </w:pPr>
      <w:r w:rsidRPr="00DF4421">
        <w:rPr>
          <w:rStyle w:val="Refdenotaalpie"/>
          <w:rFonts w:ascii="Times New Roman" w:hAnsi="Times New Roman" w:cs="Times New Roman"/>
        </w:rPr>
        <w:footnoteRef/>
      </w:r>
      <w:r w:rsidRPr="00DF4421">
        <w:rPr>
          <w:rFonts w:ascii="Times New Roman" w:hAnsi="Times New Roman" w:cs="Times New Roman"/>
        </w:rPr>
        <w:t xml:space="preserve"> Artículo 4 del Decreto Legislativo 1/2013, de 29 de noviembre.</w:t>
      </w:r>
    </w:p>
  </w:footnote>
  <w:footnote w:id="47">
    <w:p w:rsidR="00EB4634" w:rsidRPr="00DF4421" w:rsidRDefault="00EB4634" w:rsidP="00EB4634">
      <w:pPr>
        <w:pStyle w:val="Textonotapie"/>
        <w:jc w:val="both"/>
        <w:rPr>
          <w:rFonts w:ascii="Times New Roman" w:hAnsi="Times New Roman" w:cs="Times New Roman"/>
        </w:rPr>
      </w:pPr>
      <w:r w:rsidRPr="00DF4421">
        <w:rPr>
          <w:rStyle w:val="Refdenotaalpie"/>
          <w:rFonts w:ascii="Times New Roman" w:hAnsi="Times New Roman" w:cs="Times New Roman"/>
        </w:rPr>
        <w:footnoteRef/>
      </w:r>
      <w:r w:rsidRPr="00DF4421">
        <w:rPr>
          <w:rFonts w:ascii="Times New Roman" w:hAnsi="Times New Roman" w:cs="Times New Roman"/>
        </w:rPr>
        <w:t xml:space="preserve"> Artículo 42. Cuota de reserva de puestos de trabajo para personas con discapacidad, del Decreto Legislativo 1/2013, de 29 de noviembre.</w:t>
      </w:r>
    </w:p>
  </w:footnote>
  <w:footnote w:id="48">
    <w:p w:rsidR="00EB4634" w:rsidRPr="00071825" w:rsidRDefault="00EB4634" w:rsidP="00EB4634">
      <w:pPr>
        <w:pStyle w:val="Textonotapie"/>
        <w:jc w:val="both"/>
        <w:rPr>
          <w:rFonts w:ascii="Times New Roman" w:hAnsi="Times New Roman" w:cs="Times New Roman"/>
        </w:rPr>
      </w:pPr>
      <w:r w:rsidRPr="00071825">
        <w:rPr>
          <w:rStyle w:val="Refdenotaalpie"/>
          <w:rFonts w:ascii="Times New Roman" w:hAnsi="Times New Roman" w:cs="Times New Roman"/>
        </w:rPr>
        <w:footnoteRef/>
      </w:r>
      <w:r w:rsidRPr="00071825">
        <w:rPr>
          <w:rFonts w:ascii="Times New Roman" w:hAnsi="Times New Roman" w:cs="Times New Roman"/>
        </w:rPr>
        <w:t xml:space="preserve"> Artículo 15.3 del Real Decreto Legislativo 5/2000, de 4 de agosto, por el que se aprueba el texto refundido de la Ley sobre Infracciones y Sanciones en el Orden Socia</w:t>
      </w:r>
      <w:r>
        <w:rPr>
          <w:rFonts w:ascii="Times New Roman" w:hAnsi="Times New Roman" w:cs="Times New Roman"/>
        </w:rPr>
        <w:t>l.</w:t>
      </w:r>
    </w:p>
  </w:footnote>
  <w:footnote w:id="49">
    <w:p w:rsidR="00EB4634" w:rsidRPr="00590B7B" w:rsidRDefault="00EB4634" w:rsidP="00EB4634">
      <w:pPr>
        <w:pStyle w:val="Textonotapie"/>
        <w:jc w:val="both"/>
        <w:rPr>
          <w:rFonts w:ascii="Times New Roman" w:hAnsi="Times New Roman" w:cs="Times New Roman"/>
          <w:i/>
        </w:rPr>
      </w:pPr>
      <w:r w:rsidRPr="00590B7B">
        <w:rPr>
          <w:rStyle w:val="Refdenotaalpie"/>
          <w:rFonts w:ascii="Times New Roman" w:hAnsi="Times New Roman" w:cs="Times New Roman"/>
        </w:rPr>
        <w:footnoteRef/>
      </w:r>
      <w:r w:rsidRPr="00590B7B">
        <w:rPr>
          <w:rFonts w:ascii="Times New Roman" w:hAnsi="Times New Roman" w:cs="Times New Roman"/>
        </w:rPr>
        <w:t xml:space="preserve"> Artículo 14 de la Constitución Española de 1978: </w:t>
      </w:r>
      <w:r>
        <w:rPr>
          <w:rFonts w:ascii="Times New Roman" w:hAnsi="Times New Roman" w:cs="Times New Roman"/>
        </w:rPr>
        <w:t>“</w:t>
      </w:r>
      <w:r w:rsidRPr="00590B7B">
        <w:rPr>
          <w:rFonts w:ascii="Times New Roman" w:hAnsi="Times New Roman" w:cs="Times New Roman"/>
          <w:i/>
        </w:rPr>
        <w:t>Los españoles son iguales ante la ley, sin que pueda prevalecer discriminación alguna por razón de nacimiento, raza, sexo, religión, opinión o cualquier otra condición o circunstancia personal o social.</w:t>
      </w:r>
      <w:r>
        <w:rPr>
          <w:rFonts w:ascii="Times New Roman" w:hAnsi="Times New Roman" w:cs="Times New Roman"/>
          <w:i/>
        </w:rPr>
        <w:t>”</w:t>
      </w:r>
    </w:p>
  </w:footnote>
  <w:footnote w:id="50">
    <w:p w:rsidR="00EB4634" w:rsidRPr="00397C7D" w:rsidRDefault="00EB4634" w:rsidP="00EB4634">
      <w:pPr>
        <w:pStyle w:val="Textonotapie"/>
        <w:jc w:val="both"/>
        <w:rPr>
          <w:rFonts w:ascii="Times New Roman" w:hAnsi="Times New Roman" w:cs="Times New Roman"/>
        </w:rPr>
      </w:pPr>
      <w:r w:rsidRPr="00397C7D">
        <w:rPr>
          <w:rStyle w:val="Refdenotaalpie"/>
          <w:rFonts w:ascii="Times New Roman" w:hAnsi="Times New Roman" w:cs="Times New Roman"/>
        </w:rPr>
        <w:footnoteRef/>
      </w:r>
      <w:r w:rsidRPr="00397C7D">
        <w:rPr>
          <w:rFonts w:ascii="Times New Roman" w:hAnsi="Times New Roman" w:cs="Times New Roman"/>
        </w:rPr>
        <w:t xml:space="preserve"> Artículo 34 de la Ley Orgánica 3/2007, de 22 de marzo, para la igualdad efectiva de mujeres y hombres.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861"/>
    <w:multiLevelType w:val="hybridMultilevel"/>
    <w:tmpl w:val="6C7A0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AD4E94"/>
    <w:multiLevelType w:val="hybridMultilevel"/>
    <w:tmpl w:val="011C01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9E5106"/>
    <w:multiLevelType w:val="hybridMultilevel"/>
    <w:tmpl w:val="7B784C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FBD4ABC"/>
    <w:multiLevelType w:val="hybridMultilevel"/>
    <w:tmpl w:val="6E78876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9804CAD"/>
    <w:multiLevelType w:val="hybridMultilevel"/>
    <w:tmpl w:val="7F788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19731DC"/>
    <w:multiLevelType w:val="hybridMultilevel"/>
    <w:tmpl w:val="2CFC1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79B035C"/>
    <w:multiLevelType w:val="hybridMultilevel"/>
    <w:tmpl w:val="05248A3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3ACF631D"/>
    <w:multiLevelType w:val="hybridMultilevel"/>
    <w:tmpl w:val="0C1E4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17A1FE6"/>
    <w:multiLevelType w:val="hybridMultilevel"/>
    <w:tmpl w:val="4D0897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B9B50FF"/>
    <w:multiLevelType w:val="hybridMultilevel"/>
    <w:tmpl w:val="DFF8B9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E0014D3"/>
    <w:multiLevelType w:val="hybridMultilevel"/>
    <w:tmpl w:val="4D3A148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FE82A6D"/>
    <w:multiLevelType w:val="hybridMultilevel"/>
    <w:tmpl w:val="2CE23F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01278AF"/>
    <w:multiLevelType w:val="hybridMultilevel"/>
    <w:tmpl w:val="AD3A287C"/>
    <w:lvl w:ilvl="0" w:tplc="7E68DA1A">
      <w:numFmt w:val="bullet"/>
      <w:lvlText w:val="-"/>
      <w:lvlJc w:val="left"/>
      <w:pPr>
        <w:ind w:left="420" w:hanging="360"/>
      </w:pPr>
      <w:rPr>
        <w:rFonts w:ascii="Times New Roman" w:eastAsiaTheme="minorHAnsi"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3">
    <w:nsid w:val="566B1852"/>
    <w:multiLevelType w:val="hybridMultilevel"/>
    <w:tmpl w:val="5CB05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6A6568C"/>
    <w:multiLevelType w:val="hybridMultilevel"/>
    <w:tmpl w:val="81202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9391F44"/>
    <w:multiLevelType w:val="hybridMultilevel"/>
    <w:tmpl w:val="A9B660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D205CBB"/>
    <w:multiLevelType w:val="hybridMultilevel"/>
    <w:tmpl w:val="325ECA1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F9645EE"/>
    <w:multiLevelType w:val="hybridMultilevel"/>
    <w:tmpl w:val="46769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CAF4805"/>
    <w:multiLevelType w:val="hybridMultilevel"/>
    <w:tmpl w:val="F6B4223A"/>
    <w:lvl w:ilvl="0" w:tplc="53D2208C">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4E67BDA"/>
    <w:multiLevelType w:val="hybridMultilevel"/>
    <w:tmpl w:val="944A4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7775BC1"/>
    <w:multiLevelType w:val="hybridMultilevel"/>
    <w:tmpl w:val="62585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9A16962"/>
    <w:multiLevelType w:val="hybridMultilevel"/>
    <w:tmpl w:val="F198E66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F937ED7"/>
    <w:multiLevelType w:val="hybridMultilevel"/>
    <w:tmpl w:val="E6F4B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4"/>
  </w:num>
  <w:num w:numId="4">
    <w:abstractNumId w:val="4"/>
  </w:num>
  <w:num w:numId="5">
    <w:abstractNumId w:val="11"/>
  </w:num>
  <w:num w:numId="6">
    <w:abstractNumId w:val="0"/>
  </w:num>
  <w:num w:numId="7">
    <w:abstractNumId w:val="16"/>
  </w:num>
  <w:num w:numId="8">
    <w:abstractNumId w:val="15"/>
  </w:num>
  <w:num w:numId="9">
    <w:abstractNumId w:val="6"/>
  </w:num>
  <w:num w:numId="10">
    <w:abstractNumId w:val="8"/>
  </w:num>
  <w:num w:numId="11">
    <w:abstractNumId w:val="3"/>
  </w:num>
  <w:num w:numId="12">
    <w:abstractNumId w:val="9"/>
  </w:num>
  <w:num w:numId="13">
    <w:abstractNumId w:val="22"/>
  </w:num>
  <w:num w:numId="14">
    <w:abstractNumId w:val="10"/>
  </w:num>
  <w:num w:numId="15">
    <w:abstractNumId w:val="21"/>
  </w:num>
  <w:num w:numId="16">
    <w:abstractNumId w:val="13"/>
  </w:num>
  <w:num w:numId="17">
    <w:abstractNumId w:val="7"/>
  </w:num>
  <w:num w:numId="18">
    <w:abstractNumId w:val="19"/>
  </w:num>
  <w:num w:numId="19">
    <w:abstractNumId w:val="2"/>
  </w:num>
  <w:num w:numId="20">
    <w:abstractNumId w:val="5"/>
  </w:num>
  <w:num w:numId="21">
    <w:abstractNumId w:val="1"/>
  </w:num>
  <w:num w:numId="22">
    <w:abstractNumId w:val="12"/>
  </w:num>
  <w:num w:numId="2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3E"/>
    <w:rsid w:val="0000596D"/>
    <w:rsid w:val="0006403A"/>
    <w:rsid w:val="0008453E"/>
    <w:rsid w:val="000C25AA"/>
    <w:rsid w:val="00102AB0"/>
    <w:rsid w:val="001523DF"/>
    <w:rsid w:val="001651B2"/>
    <w:rsid w:val="00181EDB"/>
    <w:rsid w:val="003145A5"/>
    <w:rsid w:val="003F348D"/>
    <w:rsid w:val="00462AF9"/>
    <w:rsid w:val="0047337E"/>
    <w:rsid w:val="005A40F1"/>
    <w:rsid w:val="00682ED9"/>
    <w:rsid w:val="006847DD"/>
    <w:rsid w:val="00692F72"/>
    <w:rsid w:val="00714A8E"/>
    <w:rsid w:val="00732721"/>
    <w:rsid w:val="0074392C"/>
    <w:rsid w:val="007579E1"/>
    <w:rsid w:val="008377CE"/>
    <w:rsid w:val="008636FB"/>
    <w:rsid w:val="00885BB4"/>
    <w:rsid w:val="00893C79"/>
    <w:rsid w:val="008D2EFC"/>
    <w:rsid w:val="008E1780"/>
    <w:rsid w:val="00935F0F"/>
    <w:rsid w:val="00972042"/>
    <w:rsid w:val="00982AF2"/>
    <w:rsid w:val="009D433F"/>
    <w:rsid w:val="009E04B5"/>
    <w:rsid w:val="00A52907"/>
    <w:rsid w:val="00A96634"/>
    <w:rsid w:val="00B9129F"/>
    <w:rsid w:val="00D114D2"/>
    <w:rsid w:val="00D406A5"/>
    <w:rsid w:val="00D5404E"/>
    <w:rsid w:val="00D83D4B"/>
    <w:rsid w:val="00E3686C"/>
    <w:rsid w:val="00EB4634"/>
    <w:rsid w:val="00EB66AC"/>
    <w:rsid w:val="00F238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ar"/>
    <w:uiPriority w:val="9"/>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uiPriority w:val="99"/>
    <w:rsid w:val="008E1780"/>
    <w:rPr>
      <w:rFonts w:ascii="Tahoma" w:hAnsi="Tahoma" w:cs="Tahoma"/>
      <w:sz w:val="16"/>
      <w:szCs w:val="16"/>
    </w:rPr>
  </w:style>
  <w:style w:type="character" w:customStyle="1" w:styleId="TextodegloboCar">
    <w:name w:val="Texto de globo Car"/>
    <w:basedOn w:val="Fuentedeprrafopredeter"/>
    <w:link w:val="Textodeglobo"/>
    <w:uiPriority w:val="99"/>
    <w:rsid w:val="008E1780"/>
    <w:rPr>
      <w:rFonts w:ascii="Tahoma" w:hAnsi="Tahoma" w:cs="Tahoma"/>
      <w:sz w:val="16"/>
      <w:szCs w:val="16"/>
    </w:rPr>
  </w:style>
  <w:style w:type="paragraph" w:styleId="Subttulo">
    <w:name w:val="Subtitle"/>
    <w:basedOn w:val="Normal"/>
    <w:next w:val="Normal"/>
    <w:link w:val="SubttuloCar"/>
    <w:qFormat/>
    <w:rsid w:val="006847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6847DD"/>
    <w:rPr>
      <w:rFonts w:asciiTheme="majorHAnsi" w:eastAsiaTheme="majorEastAsia" w:hAnsiTheme="majorHAnsi" w:cstheme="majorBidi"/>
      <w:i/>
      <w:iCs/>
      <w:color w:val="4F81BD" w:themeColor="accent1"/>
      <w:spacing w:val="15"/>
      <w:sz w:val="24"/>
      <w:szCs w:val="24"/>
    </w:rPr>
  </w:style>
  <w:style w:type="paragraph" w:styleId="Sinespaciado">
    <w:name w:val="No Spacing"/>
    <w:uiPriority w:val="1"/>
    <w:qFormat/>
    <w:rsid w:val="005A40F1"/>
  </w:style>
  <w:style w:type="numbering" w:customStyle="1" w:styleId="Sinlista1">
    <w:name w:val="Sin lista1"/>
    <w:next w:val="Sinlista"/>
    <w:uiPriority w:val="99"/>
    <w:semiHidden/>
    <w:unhideWhenUsed/>
    <w:rsid w:val="00EB4634"/>
  </w:style>
  <w:style w:type="character" w:customStyle="1" w:styleId="Ttulo1Car">
    <w:name w:val="Título 1 Car"/>
    <w:basedOn w:val="Fuentedeprrafopredeter"/>
    <w:link w:val="Ttulo1"/>
    <w:uiPriority w:val="9"/>
    <w:rsid w:val="00EB4634"/>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extonotapie">
    <w:name w:val="footnote text"/>
    <w:basedOn w:val="Normal"/>
    <w:link w:val="TextonotapieCar"/>
    <w:uiPriority w:val="99"/>
    <w:unhideWhenUsed/>
    <w:rsid w:val="00EB4634"/>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EB4634"/>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EB4634"/>
    <w:rPr>
      <w:vertAlign w:val="superscript"/>
    </w:rPr>
  </w:style>
  <w:style w:type="character" w:styleId="Hipervnculo">
    <w:name w:val="Hyperlink"/>
    <w:basedOn w:val="Fuentedeprrafopredeter"/>
    <w:uiPriority w:val="99"/>
    <w:unhideWhenUsed/>
    <w:rsid w:val="00EB4634"/>
    <w:rPr>
      <w:color w:val="0000FF" w:themeColor="hyperlink"/>
      <w:u w:val="single"/>
    </w:rPr>
  </w:style>
  <w:style w:type="paragraph" w:styleId="Prrafodelista">
    <w:name w:val="List Paragraph"/>
    <w:basedOn w:val="Normal"/>
    <w:uiPriority w:val="34"/>
    <w:qFormat/>
    <w:rsid w:val="00EB4634"/>
    <w:pPr>
      <w:spacing w:after="200" w:line="276"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EB4634"/>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B4634"/>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EB4634"/>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B4634"/>
    <w:rPr>
      <w:rFonts w:asciiTheme="minorHAnsi" w:eastAsiaTheme="minorHAnsi" w:hAnsiTheme="minorHAnsi" w:cstheme="minorBidi"/>
      <w:sz w:val="22"/>
      <w:szCs w:val="22"/>
      <w:lang w:eastAsia="en-US"/>
    </w:rPr>
  </w:style>
  <w:style w:type="paragraph" w:styleId="TtulodeTDC">
    <w:name w:val="TOC Heading"/>
    <w:basedOn w:val="Ttulo1"/>
    <w:next w:val="Normal"/>
    <w:uiPriority w:val="39"/>
    <w:unhideWhenUsed/>
    <w:qFormat/>
    <w:rsid w:val="00EB4634"/>
    <w:pPr>
      <w:keepLines/>
      <w:spacing w:before="480" w:line="276" w:lineRule="auto"/>
      <w:outlineLvl w:val="9"/>
    </w:pPr>
    <w:rPr>
      <w:rFonts w:asciiTheme="majorHAnsi" w:eastAsiaTheme="majorEastAsia" w:hAnsiTheme="majorHAnsi" w:cstheme="majorBidi"/>
      <w:b/>
      <w:bCs/>
      <w:outline w:val="0"/>
      <w:color w:val="365F91"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ar"/>
    <w:uiPriority w:val="9"/>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uiPriority w:val="99"/>
    <w:rsid w:val="008E1780"/>
    <w:rPr>
      <w:rFonts w:ascii="Tahoma" w:hAnsi="Tahoma" w:cs="Tahoma"/>
      <w:sz w:val="16"/>
      <w:szCs w:val="16"/>
    </w:rPr>
  </w:style>
  <w:style w:type="character" w:customStyle="1" w:styleId="TextodegloboCar">
    <w:name w:val="Texto de globo Car"/>
    <w:basedOn w:val="Fuentedeprrafopredeter"/>
    <w:link w:val="Textodeglobo"/>
    <w:uiPriority w:val="99"/>
    <w:rsid w:val="008E1780"/>
    <w:rPr>
      <w:rFonts w:ascii="Tahoma" w:hAnsi="Tahoma" w:cs="Tahoma"/>
      <w:sz w:val="16"/>
      <w:szCs w:val="16"/>
    </w:rPr>
  </w:style>
  <w:style w:type="paragraph" w:styleId="Subttulo">
    <w:name w:val="Subtitle"/>
    <w:basedOn w:val="Normal"/>
    <w:next w:val="Normal"/>
    <w:link w:val="SubttuloCar"/>
    <w:qFormat/>
    <w:rsid w:val="006847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6847DD"/>
    <w:rPr>
      <w:rFonts w:asciiTheme="majorHAnsi" w:eastAsiaTheme="majorEastAsia" w:hAnsiTheme="majorHAnsi" w:cstheme="majorBidi"/>
      <w:i/>
      <w:iCs/>
      <w:color w:val="4F81BD" w:themeColor="accent1"/>
      <w:spacing w:val="15"/>
      <w:sz w:val="24"/>
      <w:szCs w:val="24"/>
    </w:rPr>
  </w:style>
  <w:style w:type="paragraph" w:styleId="Sinespaciado">
    <w:name w:val="No Spacing"/>
    <w:uiPriority w:val="1"/>
    <w:qFormat/>
    <w:rsid w:val="005A40F1"/>
  </w:style>
  <w:style w:type="numbering" w:customStyle="1" w:styleId="Sinlista1">
    <w:name w:val="Sin lista1"/>
    <w:next w:val="Sinlista"/>
    <w:uiPriority w:val="99"/>
    <w:semiHidden/>
    <w:unhideWhenUsed/>
    <w:rsid w:val="00EB4634"/>
  </w:style>
  <w:style w:type="character" w:customStyle="1" w:styleId="Ttulo1Car">
    <w:name w:val="Título 1 Car"/>
    <w:basedOn w:val="Fuentedeprrafopredeter"/>
    <w:link w:val="Ttulo1"/>
    <w:uiPriority w:val="9"/>
    <w:rsid w:val="00EB4634"/>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extonotapie">
    <w:name w:val="footnote text"/>
    <w:basedOn w:val="Normal"/>
    <w:link w:val="TextonotapieCar"/>
    <w:uiPriority w:val="99"/>
    <w:unhideWhenUsed/>
    <w:rsid w:val="00EB4634"/>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EB4634"/>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EB4634"/>
    <w:rPr>
      <w:vertAlign w:val="superscript"/>
    </w:rPr>
  </w:style>
  <w:style w:type="character" w:styleId="Hipervnculo">
    <w:name w:val="Hyperlink"/>
    <w:basedOn w:val="Fuentedeprrafopredeter"/>
    <w:uiPriority w:val="99"/>
    <w:unhideWhenUsed/>
    <w:rsid w:val="00EB4634"/>
    <w:rPr>
      <w:color w:val="0000FF" w:themeColor="hyperlink"/>
      <w:u w:val="single"/>
    </w:rPr>
  </w:style>
  <w:style w:type="paragraph" w:styleId="Prrafodelista">
    <w:name w:val="List Paragraph"/>
    <w:basedOn w:val="Normal"/>
    <w:uiPriority w:val="34"/>
    <w:qFormat/>
    <w:rsid w:val="00EB4634"/>
    <w:pPr>
      <w:spacing w:after="200" w:line="276"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EB4634"/>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B4634"/>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EB4634"/>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B4634"/>
    <w:rPr>
      <w:rFonts w:asciiTheme="minorHAnsi" w:eastAsiaTheme="minorHAnsi" w:hAnsiTheme="minorHAnsi" w:cstheme="minorBidi"/>
      <w:sz w:val="22"/>
      <w:szCs w:val="22"/>
      <w:lang w:eastAsia="en-US"/>
    </w:rPr>
  </w:style>
  <w:style w:type="paragraph" w:styleId="TtulodeTDC">
    <w:name w:val="TOC Heading"/>
    <w:basedOn w:val="Ttulo1"/>
    <w:next w:val="Normal"/>
    <w:uiPriority w:val="39"/>
    <w:unhideWhenUsed/>
    <w:qFormat/>
    <w:rsid w:val="00EB4634"/>
    <w:pPr>
      <w:keepLines/>
      <w:spacing w:before="480" w:line="276" w:lineRule="auto"/>
      <w:outlineLvl w:val="9"/>
    </w:pPr>
    <w:rPr>
      <w:rFonts w:asciiTheme="majorHAnsi" w:eastAsiaTheme="majorEastAsia" w:hAnsiTheme="majorHAnsi" w:cstheme="majorBidi"/>
      <w:b/>
      <w:bCs/>
      <w:outline w:val="0"/>
      <w:color w:val="365F91"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cu.es/export/sites/default/.content/PdfAbsys/Revista-27.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cademia.edu/5687181/Concepto_de_organismo_de_Derecho_P%C3%BAblico_en_la_normativa_contractual_p%C3%BAblica_europe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po.es/revistas/index.php/lex_social/article/download/1975/16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reasnet.com/clausulassociales/documentos/guias/Guia%20REAS%202014%20Contrataci%C3%B3n%20P%C3%BAblica%20Responsable.pdf"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qualbur.org/documentos/uafse/18Contratacionpublic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ne.es/revistas/cifraine/1009.pdf" TargetMode="External"/><Relationship Id="rId1" Type="http://schemas.openxmlformats.org/officeDocument/2006/relationships/hyperlink" Target="http://www.academia.edu/5687181/Concepto_de_organismo_de_Derecho_P%C3%BAblico_en_la_normativa_contractual_p%C3%BAblica_europ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0B1E9-09BB-418B-8AF8-475001F5F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49</Pages>
  <Words>14072</Words>
  <Characters>78348</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92236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PiP 6</cp:lastModifiedBy>
  <cp:revision>14</cp:revision>
  <cp:lastPrinted>2014-04-29T09:22:00Z</cp:lastPrinted>
  <dcterms:created xsi:type="dcterms:W3CDTF">2017-06-21T20:06:00Z</dcterms:created>
  <dcterms:modified xsi:type="dcterms:W3CDTF">2017-06-29T09:48:00Z</dcterms:modified>
</cp:coreProperties>
</file>