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0C4B" w:rsidRDefault="00DA139A" w:rsidP="003E6268">
      <w:pPr>
        <w:pStyle w:val="Sinespaciado"/>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u w:val="single"/>
          <w:lang w:eastAsia="es-ES_tradnl"/>
        </w:rPr>
        <w:pict>
          <v:shapetype id="_x0000_t202" coordsize="21600,21600" o:spt="202" path="m,l,21600r21600,l21600,xe">
            <v:stroke joinstyle="miter"/>
            <v:path gradientshapeok="t" o:connecttype="rect"/>
          </v:shapetype>
          <v:shape id="_x0000_s1050" type="#_x0000_t202" style="position:absolute;left:0;text-align:left;margin-left:-85.05pt;margin-top:-69.35pt;width:180.75pt;height:840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160C4B" w:rsidRPr="00B9129F" w:rsidRDefault="00160C4B" w:rsidP="00160C4B">
                  <w:pPr>
                    <w:pStyle w:val="Ttulo2"/>
                    <w:jc w:val="center"/>
                    <w:rPr>
                      <w:color w:val="F79646" w:themeColor="accent6"/>
                      <w:sz w:val="72"/>
                    </w:rPr>
                  </w:pPr>
                  <w:r w:rsidRPr="00B9129F">
                    <w:rPr>
                      <w:color w:val="F79646" w:themeColor="accent6"/>
                      <w:sz w:val="72"/>
                    </w:rPr>
                    <w:t>Facultad de Ciencias Sociales y Jurídicas</w:t>
                  </w:r>
                </w:p>
                <w:p w:rsidR="00160C4B" w:rsidRPr="00D406A5" w:rsidRDefault="00160C4B" w:rsidP="00160C4B">
                  <w:pPr>
                    <w:pStyle w:val="Ttulo1"/>
                    <w:jc w:val="center"/>
                    <w:rPr>
                      <w:rFonts w:ascii="Arial Narrow" w:hAnsi="Arial Narrow"/>
                    </w:rPr>
                  </w:pPr>
                  <w:r w:rsidRPr="00D406A5">
                    <w:rPr>
                      <w:rFonts w:ascii="Arial Narrow" w:hAnsi="Arial Narrow"/>
                    </w:rPr>
                    <w:t>Grado en Derecho</w:t>
                  </w:r>
                </w:p>
              </w:txbxContent>
            </v:textbox>
          </v:shape>
        </w:pict>
      </w:r>
      <w:r>
        <w:rPr>
          <w:rFonts w:ascii="Times New Roman" w:hAnsi="Times New Roman" w:cs="Times New Roman"/>
          <w:b/>
          <w:noProof/>
          <w:sz w:val="24"/>
          <w:szCs w:val="24"/>
          <w:u w:val="single"/>
          <w:lang w:eastAsia="es-ES_tradnl"/>
        </w:rPr>
        <w:pict>
          <v:shape id="_x0000_s1051" type="#_x0000_t202" style="position:absolute;left:0;text-align:left;margin-left:95.7pt;margin-top:90.6pt;width:402.6pt;height:12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160C4B" w:rsidRDefault="00160C4B" w:rsidP="00160C4B">
                  <w:pPr>
                    <w:pStyle w:val="Ttulo6"/>
                    <w:rPr>
                      <w:b/>
                    </w:rPr>
                  </w:pPr>
                  <w:r>
                    <w:rPr>
                      <w:b/>
                    </w:rPr>
                    <w:t>Universidad de Jaén</w:t>
                  </w:r>
                </w:p>
                <w:p w:rsidR="00160C4B" w:rsidRDefault="00160C4B" w:rsidP="00160C4B">
                  <w:pPr>
                    <w:pStyle w:val="Ttulo3"/>
                  </w:pPr>
                  <w:r>
                    <w:t>Facultad de Ciencias Sociales y Jurídicas</w:t>
                  </w:r>
                </w:p>
                <w:p w:rsidR="00160C4B" w:rsidRDefault="00160C4B" w:rsidP="00160C4B"/>
                <w:p w:rsidR="00160C4B" w:rsidRPr="00160C4B" w:rsidRDefault="00160C4B" w:rsidP="00160C4B">
                  <w:pPr>
                    <w:pStyle w:val="Textoindependiente"/>
                    <w:rPr>
                      <w:rFonts w:ascii="Arial" w:hAnsi="Arial"/>
                      <w:b w:val="0"/>
                      <w:sz w:val="44"/>
                      <w:u w:val="single"/>
                      <w:lang w:val="es-ES_tradnl"/>
                    </w:rPr>
                  </w:pPr>
                  <w:r w:rsidRPr="00160C4B">
                    <w:rPr>
                      <w:rFonts w:ascii="Arial" w:hAnsi="Arial"/>
                      <w:sz w:val="44"/>
                      <w:lang w:val="es-ES_tradnl"/>
                    </w:rPr>
                    <w:t xml:space="preserve">                </w:t>
                  </w:r>
                  <w:r w:rsidRPr="00160C4B">
                    <w:rPr>
                      <w:rFonts w:ascii="Arial" w:hAnsi="Arial"/>
                      <w:b w:val="0"/>
                      <w:sz w:val="44"/>
                      <w:u w:val="single"/>
                      <w:lang w:val="es-ES_tradnl"/>
                    </w:rPr>
                    <w:t>Trabajo Fin de Grado</w:t>
                  </w:r>
                </w:p>
                <w:p w:rsidR="00160C4B" w:rsidRDefault="00160C4B" w:rsidP="00160C4B"/>
                <w:p w:rsidR="00160C4B" w:rsidRDefault="00160C4B" w:rsidP="00160C4B"/>
                <w:p w:rsidR="00160C4B" w:rsidRDefault="00160C4B" w:rsidP="00160C4B"/>
                <w:p w:rsidR="00160C4B" w:rsidRDefault="00160C4B" w:rsidP="00160C4B"/>
                <w:p w:rsidR="00160C4B" w:rsidRPr="00160C4B" w:rsidRDefault="00160C4B" w:rsidP="00160C4B">
                  <w:pPr>
                    <w:pStyle w:val="Textoindependiente"/>
                    <w:rPr>
                      <w:rFonts w:ascii="Arial" w:hAnsi="Arial"/>
                      <w:sz w:val="44"/>
                      <w:u w:val="single"/>
                      <w:lang w:val="es-ES_tradnl"/>
                    </w:rPr>
                  </w:pPr>
                  <w:r w:rsidRPr="00160C4B">
                    <w:rPr>
                      <w:rFonts w:ascii="Arial" w:hAnsi="Arial"/>
                      <w:sz w:val="44"/>
                      <w:u w:val="single"/>
                      <w:lang w:val="es-ES_tradnl"/>
                    </w:rPr>
                    <w:t>Trabajo Fin de Grado</w:t>
                  </w:r>
                </w:p>
              </w:txbxContent>
            </v:textbox>
          </v:shape>
        </w:pict>
      </w:r>
      <w:r w:rsidR="00160C4B">
        <w:rPr>
          <w:rFonts w:ascii="Times New Roman" w:hAnsi="Times New Roman" w:cs="Times New Roman"/>
          <w:b/>
          <w:noProof/>
          <w:sz w:val="24"/>
          <w:szCs w:val="24"/>
          <w:u w:val="single"/>
          <w:lang w:eastAsia="es-ES_tradnl"/>
        </w:rPr>
        <w:drawing>
          <wp:anchor distT="0" distB="0" distL="114300" distR="114300" simplePos="0" relativeHeight="251660288" behindDoc="0" locked="0" layoutInCell="0" allowOverlap="1">
            <wp:simplePos x="0" y="0"/>
            <wp:positionH relativeFrom="column">
              <wp:posOffset>3323590</wp:posOffset>
            </wp:positionH>
            <wp:positionV relativeFrom="paragraph">
              <wp:posOffset>13970</wp:posOffset>
            </wp:positionV>
            <wp:extent cx="946785" cy="1031240"/>
            <wp:effectExtent l="19050" t="0" r="571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6785" cy="1031240"/>
                    </a:xfrm>
                    <a:prstGeom prst="rect">
                      <a:avLst/>
                    </a:prstGeom>
                    <a:noFill/>
                  </pic:spPr>
                </pic:pic>
              </a:graphicData>
            </a:graphic>
          </wp:anchor>
        </w:drawing>
      </w: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DA139A" w:rsidP="003E6268">
      <w:pPr>
        <w:pStyle w:val="Sinespaciado"/>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u w:val="single"/>
          <w:lang w:eastAsia="es-ES_tradnl"/>
        </w:rPr>
        <w:pict>
          <v:shape id="_x0000_s1052" type="#_x0000_t202" style="position:absolute;left:0;text-align:left;margin-left:116.5pt;margin-top:13.95pt;width:372.45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160C4B" w:rsidRDefault="00160C4B" w:rsidP="00160C4B">
                  <w:pPr>
                    <w:pStyle w:val="Textoindependiente2"/>
                    <w:rPr>
                      <w:b/>
                      <w:sz w:val="64"/>
                      <w:lang w:val="es-ES_tradnl"/>
                    </w:rPr>
                  </w:pPr>
                  <w:r>
                    <w:rPr>
                      <w:b/>
                      <w:sz w:val="64"/>
                      <w:lang w:val="es-ES_tradnl"/>
                    </w:rPr>
                    <w:t>EL CONCURSO</w:t>
                  </w:r>
                </w:p>
                <w:p w:rsidR="00160C4B" w:rsidRDefault="00160C4B" w:rsidP="00160C4B">
                  <w:pPr>
                    <w:pStyle w:val="Textoindependiente2"/>
                    <w:rPr>
                      <w:b/>
                      <w:sz w:val="64"/>
                      <w:lang w:val="es-ES_tradnl"/>
                    </w:rPr>
                  </w:pPr>
                  <w:r>
                    <w:rPr>
                      <w:b/>
                      <w:sz w:val="64"/>
                      <w:lang w:val="es-ES_tradnl"/>
                    </w:rPr>
                    <w:t>DE ACREEDORES:</w:t>
                  </w:r>
                </w:p>
                <w:p w:rsidR="00160C4B" w:rsidRDefault="00160C4B" w:rsidP="00160C4B">
                  <w:pPr>
                    <w:pStyle w:val="Textoindependiente2"/>
                    <w:rPr>
                      <w:b/>
                      <w:sz w:val="64"/>
                      <w:lang w:val="es-ES_tradnl"/>
                    </w:rPr>
                  </w:pPr>
                  <w:r>
                    <w:rPr>
                      <w:b/>
                      <w:sz w:val="64"/>
                      <w:lang w:val="es-ES_tradnl"/>
                    </w:rPr>
                    <w:t>la masa pasiva</w:t>
                  </w:r>
                </w:p>
                <w:p w:rsidR="00160C4B" w:rsidRPr="00181EDB" w:rsidRDefault="00160C4B" w:rsidP="00160C4B">
                  <w:pPr>
                    <w:pStyle w:val="Textoindependiente2"/>
                    <w:jc w:val="left"/>
                    <w:rPr>
                      <w:b/>
                      <w:sz w:val="64"/>
                      <w:lang w:val="es-ES_tradnl"/>
                    </w:rPr>
                  </w:pPr>
                </w:p>
              </w:txbxContent>
            </v:textbox>
          </v:shape>
        </w:pict>
      </w: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DA139A" w:rsidP="003E6268">
      <w:pPr>
        <w:pStyle w:val="Sinespaciado"/>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u w:val="single"/>
          <w:lang w:eastAsia="es-ES_tradnl"/>
        </w:rPr>
        <w:pict>
          <v:shape id="_x0000_s1053" type="#_x0000_t202" style="position:absolute;left:0;text-align:left;margin-left:112.65pt;margin-top:9.85pt;width:356.55pt;height:223.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160C4B" w:rsidRDefault="00160C4B" w:rsidP="00160C4B">
                  <w:pPr>
                    <w:pStyle w:val="Ttulo5"/>
                    <w:jc w:val="center"/>
                    <w:rPr>
                      <w:u w:val="none"/>
                    </w:rPr>
                  </w:pPr>
                  <w:r>
                    <w:rPr>
                      <w:u w:val="none"/>
                    </w:rPr>
                    <w:t>Alumno:</w:t>
                  </w:r>
                  <w:r>
                    <w:rPr>
                      <w:u w:val="none"/>
                    </w:rPr>
                    <w:tab/>
                    <w:t>ADORACIÓN CASTELLANO GARCÍA</w:t>
                  </w:r>
                </w:p>
                <w:p w:rsidR="00160C4B" w:rsidRDefault="00160C4B" w:rsidP="00160C4B">
                  <w:pPr>
                    <w:jc w:val="center"/>
                    <w:rPr>
                      <w:rFonts w:ascii="Arial" w:hAnsi="Arial"/>
                      <w:sz w:val="32"/>
                    </w:rPr>
                  </w:pPr>
                </w:p>
                <w:p w:rsidR="00160C4B" w:rsidRDefault="00160C4B" w:rsidP="00160C4B">
                  <w:pPr>
                    <w:jc w:val="center"/>
                    <w:rPr>
                      <w:rFonts w:ascii="Arial" w:hAnsi="Arial"/>
                      <w:sz w:val="32"/>
                    </w:rPr>
                  </w:pPr>
                </w:p>
                <w:p w:rsidR="00160C4B" w:rsidRDefault="00160C4B" w:rsidP="00160C4B">
                  <w:pPr>
                    <w:jc w:val="center"/>
                    <w:rPr>
                      <w:rFonts w:ascii="Arial" w:hAnsi="Arial"/>
                      <w:sz w:val="32"/>
                    </w:rPr>
                  </w:pPr>
                </w:p>
                <w:p w:rsidR="00160C4B" w:rsidRDefault="00763E37" w:rsidP="00160C4B">
                  <w:pPr>
                    <w:jc w:val="center"/>
                    <w:rPr>
                      <w:rFonts w:ascii="Arial" w:hAnsi="Arial"/>
                      <w:sz w:val="32"/>
                    </w:rPr>
                  </w:pPr>
                  <w:r>
                    <w:rPr>
                      <w:rFonts w:ascii="Arial" w:hAnsi="Arial"/>
                      <w:sz w:val="32"/>
                    </w:rPr>
                    <w:t>JUN</w:t>
                  </w:r>
                  <w:r w:rsidR="00160C4B">
                    <w:rPr>
                      <w:rFonts w:ascii="Arial" w:hAnsi="Arial"/>
                      <w:sz w:val="32"/>
                    </w:rPr>
                    <w:t>IO, 2015</w:t>
                  </w:r>
                </w:p>
                <w:p w:rsidR="00160C4B" w:rsidRDefault="00160C4B" w:rsidP="00160C4B">
                  <w:pPr>
                    <w:jc w:val="center"/>
                    <w:rPr>
                      <w:rFonts w:ascii="Arial" w:hAnsi="Arial"/>
                      <w:sz w:val="32"/>
                    </w:rPr>
                  </w:pPr>
                </w:p>
                <w:p w:rsidR="00160C4B" w:rsidRDefault="00160C4B" w:rsidP="00160C4B">
                  <w:pPr>
                    <w:jc w:val="center"/>
                    <w:rPr>
                      <w:rFonts w:ascii="Arial" w:hAnsi="Arial"/>
                      <w:sz w:val="32"/>
                    </w:rPr>
                  </w:pPr>
                </w:p>
                <w:p w:rsidR="00160C4B" w:rsidRDefault="00160C4B" w:rsidP="00160C4B">
                  <w:pPr>
                    <w:pStyle w:val="Ttulo4"/>
                    <w:rPr>
                      <w:b/>
                      <w:sz w:val="36"/>
                    </w:rPr>
                  </w:pPr>
                </w:p>
              </w:txbxContent>
            </v:textbox>
          </v:shape>
        </w:pict>
      </w: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3E6268">
      <w:pPr>
        <w:pStyle w:val="Sinespaciado"/>
        <w:spacing w:line="360" w:lineRule="auto"/>
        <w:jc w:val="center"/>
        <w:rPr>
          <w:rFonts w:ascii="Times New Roman" w:hAnsi="Times New Roman" w:cs="Times New Roman"/>
          <w:b/>
          <w:sz w:val="24"/>
          <w:szCs w:val="24"/>
          <w:u w:val="single"/>
        </w:rPr>
      </w:pPr>
    </w:p>
    <w:p w:rsidR="00160C4B" w:rsidRDefault="00160C4B" w:rsidP="00160C4B">
      <w:pPr>
        <w:pStyle w:val="Sinespaciado"/>
        <w:spacing w:line="360" w:lineRule="auto"/>
        <w:rPr>
          <w:rFonts w:ascii="Times New Roman" w:hAnsi="Times New Roman" w:cs="Times New Roman"/>
          <w:b/>
          <w:sz w:val="24"/>
          <w:szCs w:val="24"/>
          <w:u w:val="single"/>
        </w:rPr>
      </w:pPr>
    </w:p>
    <w:p w:rsidR="00160C4B" w:rsidRDefault="00160C4B" w:rsidP="00160C4B">
      <w:pPr>
        <w:pStyle w:val="Sinespaciado"/>
        <w:spacing w:line="360" w:lineRule="auto"/>
        <w:rPr>
          <w:rFonts w:ascii="Times New Roman" w:hAnsi="Times New Roman" w:cs="Times New Roman"/>
          <w:b/>
          <w:sz w:val="24"/>
          <w:szCs w:val="24"/>
          <w:u w:val="single"/>
        </w:rPr>
      </w:pPr>
    </w:p>
    <w:p w:rsidR="000A233F" w:rsidRDefault="000A233F" w:rsidP="000A233F">
      <w:pPr>
        <w:pStyle w:val="Sinespaciado"/>
        <w:spacing w:line="360" w:lineRule="auto"/>
        <w:jc w:val="center"/>
        <w:rPr>
          <w:rFonts w:ascii="Times New Roman" w:hAnsi="Times New Roman" w:cs="Times New Roman"/>
          <w:b/>
          <w:sz w:val="24"/>
          <w:szCs w:val="24"/>
          <w:u w:val="single"/>
        </w:rPr>
      </w:pPr>
      <w:r w:rsidRPr="00347AC8">
        <w:rPr>
          <w:rFonts w:ascii="Times New Roman" w:hAnsi="Times New Roman" w:cs="Times New Roman"/>
          <w:b/>
          <w:sz w:val="24"/>
          <w:szCs w:val="24"/>
          <w:u w:val="single"/>
        </w:rPr>
        <w:lastRenderedPageBreak/>
        <w:t>Í</w:t>
      </w:r>
      <w:r>
        <w:rPr>
          <w:rFonts w:ascii="Times New Roman" w:hAnsi="Times New Roman" w:cs="Times New Roman"/>
          <w:b/>
          <w:sz w:val="24"/>
          <w:szCs w:val="24"/>
          <w:u w:val="single"/>
        </w:rPr>
        <w:t>NDICE</w:t>
      </w:r>
    </w:p>
    <w:p w:rsidR="000A233F" w:rsidRPr="00B261B7" w:rsidRDefault="000A233F" w:rsidP="000A233F">
      <w:pPr>
        <w:pStyle w:val="Sinespaciado"/>
        <w:numPr>
          <w:ilvl w:val="0"/>
          <w:numId w:val="1"/>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 xml:space="preserve">Introducción, objetivos perseguidos con el trabajo y metodología empleada para su redacción. </w:t>
      </w:r>
    </w:p>
    <w:p w:rsidR="000A233F" w:rsidRPr="00B261B7" w:rsidRDefault="000A233F" w:rsidP="000A233F">
      <w:pPr>
        <w:pStyle w:val="Sinespaciado"/>
        <w:numPr>
          <w:ilvl w:val="0"/>
          <w:numId w:val="1"/>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 xml:space="preserve">Resumen en español y en inglés. Palabras clave. </w:t>
      </w:r>
    </w:p>
    <w:p w:rsidR="000A233F" w:rsidRPr="00B261B7" w:rsidRDefault="000A233F" w:rsidP="000A233F">
      <w:pPr>
        <w:pStyle w:val="Sinespaciado"/>
        <w:numPr>
          <w:ilvl w:val="0"/>
          <w:numId w:val="1"/>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Aspectos generales del derecho concursal.</w:t>
      </w:r>
    </w:p>
    <w:p w:rsidR="000A233F" w:rsidRPr="00B261B7" w:rsidRDefault="000A233F" w:rsidP="000A233F">
      <w:pPr>
        <w:pStyle w:val="Sinespaciado"/>
        <w:numPr>
          <w:ilvl w:val="0"/>
          <w:numId w:val="1"/>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La masa pasiva del concurso.</w:t>
      </w:r>
    </w:p>
    <w:p w:rsidR="000A233F" w:rsidRPr="00B261B7" w:rsidRDefault="000A233F" w:rsidP="000A233F">
      <w:pPr>
        <w:pStyle w:val="Sinespaciado"/>
        <w:numPr>
          <w:ilvl w:val="0"/>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Concepto y clasificación.</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 xml:space="preserve">1.1 Concepto: créditos concursales y créditos contra la masa. </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1.2 Tipos de créditos concursales: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1.2.1 Créditos ordinarios.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 xml:space="preserve">1.2.2 Créditos privilegiados: privilegio especial y privilegio general. </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1.2.3 Créditos subordinados.</w:t>
      </w:r>
    </w:p>
    <w:p w:rsidR="000A233F" w:rsidRPr="00B261B7" w:rsidRDefault="000A233F" w:rsidP="000A233F">
      <w:pPr>
        <w:pStyle w:val="Sinespaciado"/>
        <w:numPr>
          <w:ilvl w:val="0"/>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Comunicación de créditos.</w:t>
      </w:r>
    </w:p>
    <w:p w:rsidR="000A233F" w:rsidRPr="00B261B7" w:rsidRDefault="000A233F" w:rsidP="000A233F">
      <w:pPr>
        <w:pStyle w:val="Sinespaciado"/>
        <w:numPr>
          <w:ilvl w:val="1"/>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Insinuación de créditos.</w:t>
      </w:r>
    </w:p>
    <w:p w:rsidR="000A233F" w:rsidRPr="00B261B7" w:rsidRDefault="000A233F" w:rsidP="000A233F">
      <w:pPr>
        <w:pStyle w:val="Sinespaciado"/>
        <w:numPr>
          <w:ilvl w:val="1"/>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Naturaleza jurídica de la verificación de créditos.</w:t>
      </w:r>
    </w:p>
    <w:p w:rsidR="000A233F" w:rsidRPr="00B261B7" w:rsidRDefault="000A233F" w:rsidP="000A233F">
      <w:pPr>
        <w:pStyle w:val="Sinespaciado"/>
        <w:numPr>
          <w:ilvl w:val="1"/>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 xml:space="preserve"> Concursalidad de los acreedores.</w:t>
      </w:r>
    </w:p>
    <w:p w:rsidR="000A233F" w:rsidRPr="00B261B7" w:rsidRDefault="000A233F" w:rsidP="000A233F">
      <w:pPr>
        <w:pStyle w:val="Sinespaciado"/>
        <w:numPr>
          <w:ilvl w:val="1"/>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Insinuación escrita de créditos.</w:t>
      </w:r>
    </w:p>
    <w:p w:rsidR="000A233F" w:rsidRPr="00B261B7" w:rsidRDefault="000A233F" w:rsidP="000A233F">
      <w:pPr>
        <w:pStyle w:val="Sinespaciado"/>
        <w:numPr>
          <w:ilvl w:val="0"/>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Reconocimiento de créditos.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3.1 Reconocimiento de créditos previa comunicación del acreedor.</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3.2 Reconocimiento de créditos sin previa comunicación del acreedor.</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 xml:space="preserve">3.3 Supuestos especiales de reconocimiento. </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3.3.1 Créditos condicionales.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3.3.2 Créditos con un patrimonio adicional de responsabilidad.</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3.3.3 Créditos de regreso parciales.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3.4 Impugnación de créditos por la administración concursal.</w:t>
      </w:r>
    </w:p>
    <w:p w:rsidR="000A233F" w:rsidRPr="00B261B7" w:rsidRDefault="000A233F" w:rsidP="000A233F">
      <w:pPr>
        <w:pStyle w:val="Sinespaciado"/>
        <w:numPr>
          <w:ilvl w:val="0"/>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Lista de acreedores.</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4.1 Estructura y contenido.</w:t>
      </w:r>
    </w:p>
    <w:p w:rsidR="000A233F" w:rsidRPr="00B261B7" w:rsidRDefault="000A233F" w:rsidP="000A233F">
      <w:pPr>
        <w:pStyle w:val="Sinespaciado"/>
        <w:spacing w:line="360" w:lineRule="auto"/>
        <w:ind w:left="1080"/>
        <w:jc w:val="both"/>
        <w:rPr>
          <w:rFonts w:ascii="Times New Roman" w:hAnsi="Times New Roman" w:cs="Times New Roman"/>
          <w:sz w:val="24"/>
          <w:szCs w:val="24"/>
        </w:rPr>
      </w:pPr>
      <w:r w:rsidRPr="00B261B7">
        <w:rPr>
          <w:rFonts w:ascii="Times New Roman" w:hAnsi="Times New Roman" w:cs="Times New Roman"/>
          <w:sz w:val="24"/>
          <w:szCs w:val="24"/>
        </w:rPr>
        <w:t>4.2 Publicidad e impugnación.</w:t>
      </w:r>
    </w:p>
    <w:p w:rsidR="000A233F" w:rsidRPr="00B261B7" w:rsidRDefault="000A233F" w:rsidP="000A233F">
      <w:pPr>
        <w:pStyle w:val="Sinespaciado"/>
        <w:tabs>
          <w:tab w:val="left" w:pos="1276"/>
        </w:tabs>
        <w:spacing w:line="360" w:lineRule="auto"/>
        <w:ind w:firstLine="708"/>
        <w:jc w:val="both"/>
        <w:rPr>
          <w:rFonts w:ascii="Times New Roman" w:hAnsi="Times New Roman" w:cs="Times New Roman"/>
          <w:sz w:val="24"/>
          <w:szCs w:val="24"/>
        </w:rPr>
      </w:pPr>
      <w:r w:rsidRPr="00B261B7">
        <w:rPr>
          <w:rFonts w:ascii="Times New Roman" w:hAnsi="Times New Roman" w:cs="Times New Roman"/>
          <w:sz w:val="24"/>
          <w:szCs w:val="24"/>
        </w:rPr>
        <w:t xml:space="preserve">      4.3 Falta de impugnación, modificación de la lista y efectos.</w:t>
      </w:r>
    </w:p>
    <w:p w:rsidR="000A233F" w:rsidRPr="00B261B7" w:rsidRDefault="000A233F" w:rsidP="000A233F">
      <w:pPr>
        <w:pStyle w:val="Sinespaciado"/>
        <w:numPr>
          <w:ilvl w:val="0"/>
          <w:numId w:val="2"/>
        </w:numPr>
        <w:spacing w:line="360" w:lineRule="auto"/>
        <w:jc w:val="both"/>
        <w:rPr>
          <w:rFonts w:ascii="Times New Roman" w:hAnsi="Times New Roman" w:cs="Times New Roman"/>
          <w:sz w:val="24"/>
          <w:szCs w:val="24"/>
        </w:rPr>
      </w:pPr>
      <w:r w:rsidRPr="00B261B7">
        <w:rPr>
          <w:rFonts w:ascii="Times New Roman" w:hAnsi="Times New Roman" w:cs="Times New Roman"/>
          <w:sz w:val="24"/>
          <w:szCs w:val="24"/>
        </w:rPr>
        <w:t xml:space="preserve">Caso jurisprudencial. </w:t>
      </w:r>
    </w:p>
    <w:p w:rsidR="000A233F" w:rsidRPr="00B261B7" w:rsidRDefault="000A233F" w:rsidP="000A233F">
      <w:pPr>
        <w:pStyle w:val="Sinespaciado"/>
        <w:numPr>
          <w:ilvl w:val="0"/>
          <w:numId w:val="1"/>
        </w:numPr>
        <w:spacing w:line="360" w:lineRule="auto"/>
        <w:rPr>
          <w:rFonts w:ascii="Times New Roman" w:hAnsi="Times New Roman" w:cs="Times New Roman"/>
          <w:sz w:val="24"/>
          <w:szCs w:val="24"/>
        </w:rPr>
      </w:pPr>
      <w:r w:rsidRPr="00B261B7">
        <w:rPr>
          <w:rFonts w:ascii="Times New Roman" w:hAnsi="Times New Roman" w:cs="Times New Roman"/>
          <w:sz w:val="24"/>
          <w:szCs w:val="24"/>
        </w:rPr>
        <w:t xml:space="preserve">Conclusiones. </w:t>
      </w:r>
    </w:p>
    <w:p w:rsidR="000A233F" w:rsidRPr="00B261B7" w:rsidRDefault="000A233F" w:rsidP="000A233F">
      <w:pPr>
        <w:pStyle w:val="Sinespaciado"/>
        <w:tabs>
          <w:tab w:val="left" w:pos="709"/>
        </w:tabs>
        <w:spacing w:line="360" w:lineRule="auto"/>
        <w:jc w:val="both"/>
        <w:rPr>
          <w:rFonts w:ascii="Times New Roman" w:hAnsi="Times New Roman" w:cs="Times New Roman"/>
          <w:sz w:val="20"/>
          <w:szCs w:val="20"/>
        </w:rPr>
      </w:pPr>
      <w:r w:rsidRPr="00B261B7">
        <w:rPr>
          <w:rFonts w:ascii="Times New Roman" w:hAnsi="Times New Roman" w:cs="Times New Roman"/>
          <w:sz w:val="24"/>
          <w:szCs w:val="24"/>
        </w:rPr>
        <w:t xml:space="preserve">  VI.    Bibliografía.</w:t>
      </w:r>
      <w:r w:rsidRPr="00B261B7">
        <w:rPr>
          <w:rFonts w:ascii="Times New Roman" w:hAnsi="Times New Roman" w:cs="Times New Roman"/>
          <w:sz w:val="20"/>
          <w:szCs w:val="20"/>
        </w:rPr>
        <w:t xml:space="preserve"> </w:t>
      </w:r>
    </w:p>
    <w:p w:rsidR="000A233F" w:rsidRPr="00B261B7" w:rsidRDefault="000A233F" w:rsidP="000A233F">
      <w:pPr>
        <w:pStyle w:val="Sinespaciado"/>
        <w:spacing w:line="360" w:lineRule="auto"/>
        <w:ind w:left="360"/>
        <w:rPr>
          <w:rFonts w:ascii="Times New Roman" w:hAnsi="Times New Roman" w:cs="Times New Roman"/>
          <w:sz w:val="24"/>
          <w:szCs w:val="24"/>
        </w:rPr>
      </w:pPr>
      <w:r w:rsidRPr="00B261B7">
        <w:rPr>
          <w:rFonts w:ascii="Times New Roman" w:hAnsi="Times New Roman" w:cs="Times New Roman"/>
          <w:sz w:val="24"/>
          <w:szCs w:val="24"/>
        </w:rPr>
        <w:t>Anexo IV.</w:t>
      </w:r>
    </w:p>
    <w:p w:rsidR="000A233F" w:rsidRPr="00B261B7" w:rsidRDefault="000A233F" w:rsidP="000A233F">
      <w:pPr>
        <w:pStyle w:val="Sinespaciado"/>
        <w:spacing w:line="360" w:lineRule="auto"/>
        <w:rPr>
          <w:rFonts w:ascii="Arial" w:eastAsia="Times New Roman" w:hAnsi="Arial" w:cs="Arial"/>
          <w:vanish/>
          <w:sz w:val="16"/>
          <w:szCs w:val="16"/>
          <w:lang w:eastAsia="es-ES_tradnl"/>
        </w:rPr>
      </w:pPr>
      <w:r w:rsidRPr="00B261B7">
        <w:rPr>
          <w:rFonts w:ascii="Times New Roman" w:hAnsi="Times New Roman" w:cs="Times New Roman"/>
          <w:sz w:val="24"/>
          <w:szCs w:val="24"/>
        </w:rPr>
        <w:t xml:space="preserve">      Anexo V.</w:t>
      </w:r>
    </w:p>
    <w:p w:rsidR="000A233F" w:rsidRPr="000A3616" w:rsidRDefault="000A233F" w:rsidP="000A233F">
      <w:pPr>
        <w:pStyle w:val="Sinespaciado"/>
        <w:numPr>
          <w:ilvl w:val="0"/>
          <w:numId w:val="4"/>
        </w:numPr>
        <w:spacing w:line="360" w:lineRule="auto"/>
        <w:jc w:val="both"/>
        <w:rPr>
          <w:rFonts w:ascii="Times New Roman" w:hAnsi="Times New Roman" w:cs="Times New Roman"/>
          <w:b/>
          <w:sz w:val="24"/>
          <w:szCs w:val="24"/>
        </w:rPr>
      </w:pPr>
    </w:p>
    <w:p w:rsidR="000A233F" w:rsidRPr="007A17FD" w:rsidRDefault="000A233F" w:rsidP="000A233F">
      <w:pPr>
        <w:pStyle w:val="Sinespaciado"/>
        <w:spacing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lastRenderedPageBreak/>
        <w:t>I</w:t>
      </w:r>
      <w:r w:rsidRPr="000A3616">
        <w:rPr>
          <w:rFonts w:ascii="Times New Roman" w:hAnsi="Times New Roman" w:cs="Times New Roman"/>
          <w:b/>
          <w:sz w:val="24"/>
          <w:szCs w:val="24"/>
        </w:rPr>
        <w:t xml:space="preserve">) </w:t>
      </w:r>
      <w:r>
        <w:rPr>
          <w:rFonts w:ascii="Times New Roman" w:hAnsi="Times New Roman" w:cs="Times New Roman"/>
          <w:b/>
          <w:sz w:val="24"/>
          <w:szCs w:val="24"/>
          <w:u w:val="single"/>
        </w:rPr>
        <w:t>INTRODUCCIÓN, OBJETIVOS PERSEGUIDOS CON EL TRABAJO Y METODOLOGÍA EMPLEADA PARA SU REDACCIÓN.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Trabajo de Fin de Grado constituye una de las últimas asignaturas obligatorias que se cursa en los distintos Grados. Esencialmente consiste en desarrollar un trabajo original de investigación y/o resolución de supuestos prácticos relacionados con el tema investigado, que a su vez debe estar relacionado con los conocimientos adquiridos en alguna/as de las asignaturas cursadas en el Grado en Derecho.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He escogido esta materia porque el Derecho Mercantil es una de las asignaturas que más me ha gustado durante la carrera tanto en el ámbito teórico como en el práctico, sobre todo el Derecho Concursal. Ahora bien, la elección de estudiar concretamente la masa pasiva del concurso de acreedores sí que ha tenido un motivo más personal, básicamente basado en que unos familiares hace cuestión de 7 u 8 años con la intención de adquirir un apartamento en la costa almeriense entregaron una suma de dinero a la empresa que los iba a construir pero antes de que dicha construcción finalizara se declaró insolvente y entró en concurso de acreedores. La consecuencia de esta declaración fue que pasaron a ser acreedores de la constructora, pero a día de hoy ni han adquirido el apartamento ni se les ha devuelto el dinero entregado, y aquí radica mi interés en estudiar este ámbito del Derecho concursal.</w:t>
      </w:r>
    </w:p>
    <w:p w:rsidR="000A233F" w:rsidRDefault="000A233F" w:rsidP="000A233F">
      <w:pPr>
        <w:pStyle w:val="Sinespaciado"/>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Mi objetivo principal es conocer a fondo como es el procedimiento de integración de los acreedores en la masa pasiva del concurso, las fases que tienen lugar desde que se declara el concurso hasta que queda elaborada la lista de acreedores, los criterios seguidos para ordenar a los acreedores del deudor común en dicha lista y también para el pago de los créditos, y si realmente es posible el cobro total de los mismos.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Respecto a la metodología empleada para la redacción de este trabajo, una vez elegido el tema sobre el que iba a tratar, mi punto de partida fue consultar la </w:t>
      </w:r>
      <w:proofErr w:type="spellStart"/>
      <w:r>
        <w:rPr>
          <w:rFonts w:ascii="Times New Roman" w:hAnsi="Times New Roman" w:cs="Times New Roman"/>
          <w:sz w:val="24"/>
          <w:szCs w:val="24"/>
        </w:rPr>
        <w:t>manualística</w:t>
      </w:r>
      <w:proofErr w:type="spellEnd"/>
      <w:r>
        <w:rPr>
          <w:rFonts w:ascii="Times New Roman" w:hAnsi="Times New Roman" w:cs="Times New Roman"/>
          <w:sz w:val="24"/>
          <w:szCs w:val="24"/>
        </w:rPr>
        <w:t xml:space="preserve"> sobre el derecho mercantil para elaborar el apartado de aspectos generales del derecho concursal; a continuación encontré una monografía que resulta un referente en la materia, a partir del cual fui desarrollando la teoría y complementándola con artículos de revistas jurídicas, doctrina y jurisprudencia relacionadas con cada uno de los apartados teóricos. A esa documentación consultada para hacer mi trabajo haré referencia en el apartado de bibliografía así como en las correspondientes notas a pie de página. Por último, he querido citar un caso de concurso real para mostrar un ejemplo de cómo son los documentos relativos al pasivo que van resultando de todas las fases del proceso concursal que explico en este trabajo. </w:t>
      </w:r>
    </w:p>
    <w:p w:rsidR="000A233F" w:rsidRPr="00CA35D5" w:rsidRDefault="000A233F" w:rsidP="000A233F">
      <w:pPr>
        <w:pStyle w:val="Sinespaciado"/>
        <w:spacing w:line="360" w:lineRule="auto"/>
        <w:ind w:firstLine="708"/>
        <w:jc w:val="both"/>
        <w:rPr>
          <w:rFonts w:ascii="Times New Roman" w:hAnsi="Times New Roman" w:cs="Times New Roman"/>
          <w:b/>
          <w:sz w:val="24"/>
          <w:szCs w:val="24"/>
          <w:u w:val="single"/>
        </w:rPr>
      </w:pPr>
      <w:r w:rsidRPr="00636077">
        <w:rPr>
          <w:rFonts w:ascii="Times New Roman" w:hAnsi="Times New Roman" w:cs="Times New Roman"/>
          <w:b/>
          <w:sz w:val="24"/>
          <w:szCs w:val="24"/>
        </w:rPr>
        <w:lastRenderedPageBreak/>
        <w:t>II)</w:t>
      </w:r>
      <w:r>
        <w:rPr>
          <w:rFonts w:ascii="Times New Roman" w:hAnsi="Times New Roman" w:cs="Times New Roman"/>
          <w:b/>
          <w:sz w:val="24"/>
          <w:szCs w:val="24"/>
          <w:u w:val="single"/>
        </w:rPr>
        <w:t xml:space="preserve"> RESUMEN EN ESPAÑOL Y EN INGLÉS. PALABRAS CLAVE.</w:t>
      </w:r>
    </w:p>
    <w:p w:rsidR="000A233F" w:rsidRPr="00E678CA" w:rsidRDefault="000A233F" w:rsidP="000A233F">
      <w:pPr>
        <w:pStyle w:val="Sinespaciado"/>
        <w:spacing w:line="360" w:lineRule="auto"/>
        <w:jc w:val="center"/>
        <w:rPr>
          <w:rFonts w:ascii="Times New Roman" w:hAnsi="Times New Roman" w:cs="Times New Roman"/>
          <w:i/>
          <w:sz w:val="24"/>
          <w:szCs w:val="24"/>
          <w:u w:val="single"/>
        </w:rPr>
      </w:pPr>
      <w:r>
        <w:rPr>
          <w:rFonts w:ascii="Times New Roman" w:hAnsi="Times New Roman" w:cs="Times New Roman"/>
          <w:i/>
          <w:sz w:val="24"/>
          <w:szCs w:val="24"/>
          <w:u w:val="single"/>
        </w:rPr>
        <w:t>RESUMEN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concurso de acreedores es un procedimiento regulado a través de la Ley Concursal, 22/2003, de 9 de Julio.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Supone una situación en la que el deudor, no puede hacer frente a las obligaciones que ha contraído con sus acreedores, porque el valor de los bienes que integran su patrimonio no es suficiente para ello, encontrándose en una situación de insolvencia. A través de este procedimiento de ejecución colectiva se trata de conseguir que dichos acreedores vean satisfechas sus deudas en la mayor medida posible.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Dentro de esa situación vamos a desarrollar la masa pasiva del concurso, es decir, el conjunto de créditos que los acreedores del deudor común tienen contra él. Con la finalidad de satisfacerlos se integran en esta colectividad, de forma que los pasos para su formación son: la comunicación de los créditos, su posterior reconocimiento, la consiguiente clasificación y la elaboración de la lista de acreedores.</w:t>
      </w:r>
    </w:p>
    <w:p w:rsidR="000A233F" w:rsidRPr="00E678CA" w:rsidRDefault="000A233F" w:rsidP="000A233F">
      <w:pPr>
        <w:pStyle w:val="Sinespaciado"/>
        <w:spacing w:line="360" w:lineRule="auto"/>
        <w:jc w:val="center"/>
        <w:rPr>
          <w:rFonts w:ascii="Times New Roman" w:hAnsi="Times New Roman" w:cs="Times New Roman"/>
          <w:i/>
          <w:sz w:val="24"/>
          <w:szCs w:val="24"/>
          <w:u w:val="single"/>
        </w:rPr>
      </w:pPr>
      <w:r>
        <w:rPr>
          <w:rFonts w:ascii="Times New Roman" w:hAnsi="Times New Roman" w:cs="Times New Roman"/>
          <w:i/>
          <w:sz w:val="24"/>
          <w:szCs w:val="24"/>
          <w:u w:val="single"/>
        </w:rPr>
        <w:t>PALABRAS CLAVE</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Derecho concursal, concurso de acreedores, deudor común, acreedores, créditos, deudas y masa pasiva.</w:t>
      </w:r>
    </w:p>
    <w:p w:rsidR="000A233F" w:rsidRDefault="000A233F" w:rsidP="000A233F">
      <w:pPr>
        <w:pStyle w:val="Sinespaciado"/>
        <w:spacing w:line="360" w:lineRule="auto"/>
        <w:jc w:val="both"/>
        <w:rPr>
          <w:rFonts w:ascii="Times New Roman" w:hAnsi="Times New Roman" w:cs="Times New Roman"/>
          <w:sz w:val="24"/>
          <w:szCs w:val="24"/>
        </w:rPr>
      </w:pPr>
    </w:p>
    <w:p w:rsidR="000A233F" w:rsidRDefault="000A233F" w:rsidP="000A233F">
      <w:pPr>
        <w:pStyle w:val="Sinespaciado"/>
        <w:spacing w:line="360" w:lineRule="auto"/>
        <w:jc w:val="center"/>
        <w:rPr>
          <w:rFonts w:ascii="Times New Roman" w:hAnsi="Times New Roman" w:cs="Times New Roman"/>
          <w:i/>
          <w:sz w:val="24"/>
          <w:szCs w:val="24"/>
          <w:u w:val="single"/>
          <w:lang w:val="en-US"/>
        </w:rPr>
      </w:pPr>
      <w:r w:rsidRPr="00FB2FC7">
        <w:rPr>
          <w:rFonts w:ascii="Times New Roman" w:hAnsi="Times New Roman" w:cs="Times New Roman"/>
          <w:i/>
          <w:sz w:val="24"/>
          <w:szCs w:val="24"/>
          <w:u w:val="single"/>
          <w:lang w:val="en-US"/>
        </w:rPr>
        <w:t>SUMMARY</w:t>
      </w:r>
    </w:p>
    <w:p w:rsidR="000A233F" w:rsidRDefault="000A233F" w:rsidP="000A233F">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proofErr w:type="gramStart"/>
      <w:r>
        <w:rPr>
          <w:rFonts w:ascii="Times New Roman" w:hAnsi="Times New Roman" w:cs="Times New Roman"/>
          <w:sz w:val="24"/>
          <w:szCs w:val="24"/>
          <w:lang w:val="en-US"/>
        </w:rPr>
        <w:t>creditors meeting is</w:t>
      </w:r>
      <w:proofErr w:type="gramEnd"/>
      <w:r>
        <w:rPr>
          <w:rFonts w:ascii="Times New Roman" w:hAnsi="Times New Roman" w:cs="Times New Roman"/>
          <w:sz w:val="24"/>
          <w:szCs w:val="24"/>
          <w:lang w:val="en-US"/>
        </w:rPr>
        <w:t xml:space="preserve"> a procedure which is controlled by the </w:t>
      </w:r>
      <w:proofErr w:type="spellStart"/>
      <w:r>
        <w:rPr>
          <w:rFonts w:ascii="Times New Roman" w:hAnsi="Times New Roman" w:cs="Times New Roman"/>
          <w:sz w:val="24"/>
          <w:szCs w:val="24"/>
          <w:lang w:val="en-US"/>
        </w:rPr>
        <w:t>Bankrupty</w:t>
      </w:r>
      <w:proofErr w:type="spellEnd"/>
      <w:r>
        <w:rPr>
          <w:rFonts w:ascii="Times New Roman" w:hAnsi="Times New Roman" w:cs="Times New Roman"/>
          <w:sz w:val="24"/>
          <w:szCs w:val="24"/>
          <w:lang w:val="en-US"/>
        </w:rPr>
        <w:t xml:space="preserve"> law, </w:t>
      </w:r>
      <w:r w:rsidRPr="004E4D43">
        <w:rPr>
          <w:rFonts w:ascii="Times New Roman" w:hAnsi="Times New Roman" w:cs="Times New Roman"/>
          <w:sz w:val="24"/>
          <w:szCs w:val="24"/>
          <w:lang w:val="en-US"/>
        </w:rPr>
        <w:t>22/2003, 9 of July.</w:t>
      </w:r>
    </w:p>
    <w:p w:rsidR="000A233F" w:rsidRDefault="000A233F" w:rsidP="000A233F">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involves a situation in which the debtor can’t deal with the conditions they have agreed with </w:t>
      </w:r>
      <w:proofErr w:type="spellStart"/>
      <w:r>
        <w:rPr>
          <w:rFonts w:ascii="Times New Roman" w:hAnsi="Times New Roman" w:cs="Times New Roman"/>
          <w:sz w:val="24"/>
          <w:szCs w:val="24"/>
          <w:lang w:val="en-US"/>
        </w:rPr>
        <w:t>theirs</w:t>
      </w:r>
      <w:proofErr w:type="spellEnd"/>
      <w:r>
        <w:rPr>
          <w:rFonts w:ascii="Times New Roman" w:hAnsi="Times New Roman" w:cs="Times New Roman"/>
          <w:sz w:val="24"/>
          <w:szCs w:val="24"/>
          <w:lang w:val="en-US"/>
        </w:rPr>
        <w:t xml:space="preserve"> creditors since their goods value isn’t enough to do so and he is in a situation of insolvency. Through this collective execution procedure, creditors try to solve their debts as much as possible.</w:t>
      </w:r>
    </w:p>
    <w:p w:rsidR="000A233F" w:rsidRDefault="000A233F" w:rsidP="000A233F">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context we will develop the passive mass of the tender, that is to say, the whole credits that creditors of the common debtor have against him. With the final goal of full filing them, they take part in this collectivity, in the way that the steps for its creation are: the communication of the credits, its acceptance, its next classification and the creation of the creditors list. </w:t>
      </w:r>
    </w:p>
    <w:p w:rsidR="000A233F" w:rsidRPr="00317395" w:rsidRDefault="000A233F" w:rsidP="000A233F">
      <w:pPr>
        <w:pStyle w:val="Sinespaciado"/>
        <w:spacing w:line="360" w:lineRule="auto"/>
        <w:jc w:val="center"/>
        <w:rPr>
          <w:rFonts w:ascii="Times New Roman" w:hAnsi="Times New Roman" w:cs="Times New Roman"/>
          <w:i/>
          <w:sz w:val="24"/>
          <w:szCs w:val="24"/>
          <w:u w:val="single"/>
          <w:lang w:val="en-US"/>
        </w:rPr>
      </w:pPr>
      <w:r w:rsidRPr="00317395">
        <w:rPr>
          <w:rFonts w:ascii="Times New Roman" w:hAnsi="Times New Roman" w:cs="Times New Roman"/>
          <w:i/>
          <w:sz w:val="24"/>
          <w:szCs w:val="24"/>
          <w:u w:val="single"/>
          <w:lang w:val="en-US"/>
        </w:rPr>
        <w:t>KEYWORDS</w:t>
      </w:r>
    </w:p>
    <w:p w:rsidR="000A233F" w:rsidRDefault="000A233F" w:rsidP="000A233F">
      <w:pPr>
        <w:pStyle w:val="Sinespaciado"/>
        <w:spacing w:line="360" w:lineRule="auto"/>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Bankrupty</w:t>
      </w:r>
      <w:proofErr w:type="spellEnd"/>
      <w:r>
        <w:rPr>
          <w:rFonts w:ascii="Times New Roman" w:hAnsi="Times New Roman" w:cs="Times New Roman"/>
          <w:sz w:val="24"/>
          <w:szCs w:val="24"/>
          <w:lang w:val="en-US"/>
        </w:rPr>
        <w:t xml:space="preserve"> law, creditors meeting, common debtor, creditors, credits, debts and passive mass.</w:t>
      </w:r>
      <w:proofErr w:type="gramEnd"/>
      <w:r>
        <w:rPr>
          <w:rFonts w:ascii="Times New Roman" w:hAnsi="Times New Roman" w:cs="Times New Roman"/>
          <w:sz w:val="24"/>
          <w:szCs w:val="24"/>
          <w:lang w:val="en-US"/>
        </w:rPr>
        <w:t xml:space="preserve"> </w:t>
      </w:r>
    </w:p>
    <w:p w:rsidR="000A233F" w:rsidRDefault="000A233F" w:rsidP="000A233F">
      <w:pPr>
        <w:pStyle w:val="Sinespaciado"/>
        <w:spacing w:line="360" w:lineRule="auto"/>
        <w:jc w:val="both"/>
        <w:rPr>
          <w:rFonts w:ascii="Times New Roman" w:hAnsi="Times New Roman" w:cs="Times New Roman"/>
          <w:sz w:val="24"/>
          <w:szCs w:val="24"/>
          <w:lang w:val="en-US"/>
        </w:rPr>
      </w:pPr>
    </w:p>
    <w:p w:rsidR="000A233F" w:rsidRDefault="000A233F" w:rsidP="000A233F">
      <w:pPr>
        <w:pStyle w:val="Sinespaciado"/>
        <w:tabs>
          <w:tab w:val="left" w:pos="426"/>
        </w:tabs>
        <w:spacing w:line="360" w:lineRule="auto"/>
        <w:jc w:val="both"/>
        <w:rPr>
          <w:rFonts w:ascii="Times New Roman" w:hAnsi="Times New Roman" w:cs="Times New Roman"/>
          <w:b/>
          <w:sz w:val="24"/>
          <w:szCs w:val="24"/>
        </w:rPr>
      </w:pPr>
      <w:r w:rsidRPr="001B7DF7">
        <w:rPr>
          <w:rFonts w:ascii="Times New Roman" w:hAnsi="Times New Roman" w:cs="Times New Roman"/>
          <w:b/>
          <w:sz w:val="24"/>
          <w:szCs w:val="24"/>
          <w:lang w:val="en-US"/>
        </w:rPr>
        <w:lastRenderedPageBreak/>
        <w:tab/>
      </w:r>
      <w:r w:rsidRPr="00636077">
        <w:rPr>
          <w:rFonts w:ascii="Times New Roman" w:hAnsi="Times New Roman" w:cs="Times New Roman"/>
          <w:b/>
          <w:sz w:val="24"/>
          <w:szCs w:val="24"/>
        </w:rPr>
        <w:t>III)</w:t>
      </w:r>
      <w:r>
        <w:rPr>
          <w:rFonts w:ascii="Times New Roman" w:hAnsi="Times New Roman" w:cs="Times New Roman"/>
          <w:b/>
          <w:sz w:val="24"/>
          <w:szCs w:val="24"/>
          <w:u w:val="single"/>
        </w:rPr>
        <w:t xml:space="preserve"> ASPECTOS GENERALES DEL DERECHO CONCURSA</w:t>
      </w:r>
      <w:r w:rsidRPr="0026461E">
        <w:rPr>
          <w:rFonts w:ascii="Times New Roman" w:hAnsi="Times New Roman" w:cs="Times New Roman"/>
          <w:b/>
          <w:sz w:val="24"/>
          <w:szCs w:val="24"/>
          <w:u w:val="single"/>
        </w:rPr>
        <w:t>L.</w:t>
      </w:r>
    </w:p>
    <w:p w:rsidR="000A233F" w:rsidRPr="00BA1AF4" w:rsidRDefault="000A233F" w:rsidP="000A233F">
      <w:pPr>
        <w:pStyle w:val="Sinespaciado"/>
        <w:tabs>
          <w:tab w:val="left" w:pos="426"/>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La Ley Concursal, 22/2003, de 9 de Julio (en adelante LC) como su propio nombre indica trata sobre el Derecho Concursal que es una rama del Derecho Mercantil cuyo fin u </w:t>
      </w:r>
      <w:r w:rsidRPr="00355A33">
        <w:rPr>
          <w:rFonts w:ascii="Times New Roman" w:hAnsi="Times New Roman" w:cs="Times New Roman"/>
          <w:sz w:val="24"/>
          <w:szCs w:val="24"/>
        </w:rPr>
        <w:t xml:space="preserve">objetivo </w:t>
      </w:r>
      <w:r>
        <w:rPr>
          <w:rFonts w:ascii="Times New Roman" w:hAnsi="Times New Roman" w:cs="Times New Roman"/>
          <w:sz w:val="24"/>
          <w:szCs w:val="24"/>
        </w:rPr>
        <w:t xml:space="preserve">es </w:t>
      </w:r>
      <w:r w:rsidRPr="00355A33">
        <w:rPr>
          <w:rFonts w:ascii="Times New Roman" w:hAnsi="Times New Roman" w:cs="Times New Roman"/>
          <w:sz w:val="24"/>
          <w:szCs w:val="24"/>
        </w:rPr>
        <w:t>regular el llamado “concurso de acreedores”. Éste no es más que el procedimiento mediante el cual se hace posible la concurrencia de los acreedores de un deudor común sobre el</w:t>
      </w:r>
      <w:r>
        <w:rPr>
          <w:rFonts w:ascii="Times New Roman" w:hAnsi="Times New Roman" w:cs="Times New Roman"/>
          <w:sz w:val="24"/>
          <w:szCs w:val="24"/>
        </w:rPr>
        <w:t xml:space="preserve"> patrimonio del mismo</w:t>
      </w:r>
      <w:r w:rsidRPr="00BA1AF4">
        <w:rPr>
          <w:rStyle w:val="Refdenotaalpie"/>
          <w:rFonts w:ascii="Times New Roman" w:hAnsi="Times New Roman" w:cs="Times New Roman"/>
          <w:sz w:val="24"/>
          <w:szCs w:val="24"/>
        </w:rPr>
        <w:footnoteReference w:id="1"/>
      </w:r>
      <w:r>
        <w:rPr>
          <w:rFonts w:ascii="Times New Roman" w:hAnsi="Times New Roman" w:cs="Times New Roman"/>
          <w:sz w:val="24"/>
          <w:szCs w:val="24"/>
        </w:rPr>
        <w:t xml:space="preserv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Si un deudor no cumple de forma voluntaria las obligaciones que tiene con sus acreedores, éstos podrán dirigirse contra su patrimonio para lograr un cumplimiento forzoso o bien pueden buscar una compensación por el incumplimiento. Este tipo de actuaciones pueden hacerse a título individual por cada uno de los acreedores, cosa que en la mayoría de las ocasiones les perjudicaría porque unos verían satisfechos sus créditos con el deudor mientras que otros no. Para evitar esto lo que se hace es paralizar las actuaciones individuales que son sustituidas por una organización jurídica de defensa colectiva de los acreedores. Dicha organización se basa en 2 principios fundamentales en materia concursal: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Principio de universalidad: se deben integrar todos los acreedores con todos los créditos de los que sean titulares frente al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Principio “par </w:t>
      </w:r>
      <w:proofErr w:type="spellStart"/>
      <w:r>
        <w:rPr>
          <w:rFonts w:ascii="Times New Roman" w:hAnsi="Times New Roman" w:cs="Times New Roman"/>
          <w:sz w:val="24"/>
          <w:szCs w:val="24"/>
        </w:rPr>
        <w:t>conditio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creditorum</w:t>
      </w:r>
      <w:proofErr w:type="spellEnd"/>
      <w:r>
        <w:rPr>
          <w:rFonts w:ascii="Times New Roman" w:hAnsi="Times New Roman" w:cs="Times New Roman"/>
          <w:sz w:val="24"/>
          <w:szCs w:val="24"/>
        </w:rPr>
        <w:t>”: se deben tratar por igual a todos los acreedores.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pesar de la creencia de que la </w:t>
      </w:r>
      <w:r w:rsidRPr="00746E75">
        <w:rPr>
          <w:rFonts w:ascii="Times New Roman" w:hAnsi="Times New Roman" w:cs="Times New Roman"/>
          <w:b/>
          <w:sz w:val="24"/>
          <w:szCs w:val="24"/>
        </w:rPr>
        <w:t>finalidad</w:t>
      </w:r>
      <w:r>
        <w:rPr>
          <w:rFonts w:ascii="Times New Roman" w:hAnsi="Times New Roman" w:cs="Times New Roman"/>
          <w:sz w:val="24"/>
          <w:szCs w:val="24"/>
        </w:rPr>
        <w:t xml:space="preserve"> principal del concurso es sanear el patrimonio del deudor, realmente es la de satisfacer el interés ordenado y colectivo de los acreedores. En la práctica la LC prefiere que deudor y acreedores lleguen a un acuerdo a través de convenios, por ello se opta por mantener la actividad empresarial y las unidades productivas que integran el patrimonio del deudor mientras dura el concurso.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Hay 3 </w:t>
      </w:r>
      <w:r w:rsidRPr="00746E75">
        <w:rPr>
          <w:rFonts w:ascii="Times New Roman" w:hAnsi="Times New Roman" w:cs="Times New Roman"/>
          <w:b/>
          <w:sz w:val="24"/>
          <w:szCs w:val="24"/>
        </w:rPr>
        <w:t>presupuestos</w:t>
      </w:r>
      <w:r>
        <w:rPr>
          <w:rFonts w:ascii="Times New Roman" w:hAnsi="Times New Roman" w:cs="Times New Roman"/>
          <w:sz w:val="24"/>
          <w:szCs w:val="24"/>
        </w:rPr>
        <w:t xml:space="preserve"> tasados legalmente que deben darse para que se dé un concurso de acreedores: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C35E0">
        <w:rPr>
          <w:rFonts w:ascii="Times New Roman" w:hAnsi="Times New Roman" w:cs="Times New Roman"/>
          <w:sz w:val="24"/>
          <w:szCs w:val="24"/>
          <w:u w:val="single"/>
        </w:rPr>
        <w:t>Presupuesto subjetivo</w:t>
      </w:r>
      <w:r>
        <w:rPr>
          <w:rFonts w:ascii="Times New Roman" w:hAnsi="Times New Roman" w:cs="Times New Roman"/>
          <w:sz w:val="24"/>
          <w:szCs w:val="24"/>
        </w:rPr>
        <w:t xml:space="preserve">: puede ser declarado en concurso cualquier persona natural o jurídica; con la excepción de las entidades que integran la organización territorial del Estado, los organismos públicos y demás entes de derecho público. Esta excepción no incluye a las entidades de derecho privado. En el caso de que se trate de un concurso de la herencia solo podrá declararse mientras no haya sido aceptada pura y simplemente.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5C35E0">
        <w:rPr>
          <w:rFonts w:ascii="Times New Roman" w:hAnsi="Times New Roman" w:cs="Times New Roman"/>
          <w:sz w:val="24"/>
          <w:szCs w:val="24"/>
          <w:u w:val="single"/>
        </w:rPr>
        <w:t>Presupuesto objetivo</w:t>
      </w:r>
      <w:r>
        <w:rPr>
          <w:rFonts w:ascii="Times New Roman" w:hAnsi="Times New Roman" w:cs="Times New Roman"/>
          <w:sz w:val="24"/>
          <w:szCs w:val="24"/>
        </w:rPr>
        <w:t xml:space="preserve">: es la insolvencia de un deudor entendida como una realidad económica de relevancia jurídica y caracterizada por la insuficiencia patrimonial, ya que supone la carencia de bienes realizables en valor y cantidad suficiente para satisfacer las obligaciones contraídas.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insolvencia debe acreditarse y el modo de hacerlo depende de si el concurso de acreedores es voluntario (es el propio deudor quien solicita su declaración) o necesario (quien lo solicita es un acreedor, varios o bien una persona legitimada para ello). En el primer supuesto el estado de insolvencia se va a deducir de los documentos o reflejos contables que el deudor aporte junto a la solicitud. Pero en el segundo supuesto, lo normal es que no se disponga de esos documentos contables y sea más difícil la prueba directa de la insolvencia por parte de los solicitantes. En estos casos la LC establece los llamados hechos presuntivos de la insolvencia, que si se dan se entiende acreditada la misma y son 5:</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Despacho de ejecución o apremio sin que del embargo hayan resultado bienes libres bastantes para el pago.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Sobreseimiento general en el pago corriente de las obligaciones del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Existencia de embargos por ejecuciones pendientes que afectan de forma general al patrimonio del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Alzamiento o liquidación apresurada o ruinosa de sus bienes por parte del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Incumplimiento generalizado de ciertas obligaciones concretas.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Estos hechos como presunciones legales que son admiten prueba en contrario, de manera que el deudor se puede oponer a la solicitud de concurso de los acreedores o terceros legitimados negando el hecho presuntivo o admitiéndolo pero negando el estado de insolvencia, entonces el Juez competente le solicitará que pruebe su situación de solvencia.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insolvencia puede ser actual o inminente, es decir, puede basarse respectivamente en el hecho de encontrarse en ese estado o también en circunstancias que muestra la inminencia de la insolvencia. Esto último sucederá cuando el deudor prevea que no va a poder cumplir, de forma regular, con las obligaciones que ha asumido debido a que sus bienes van a resultar insuficientes.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C35E0">
        <w:rPr>
          <w:rFonts w:ascii="Times New Roman" w:hAnsi="Times New Roman" w:cs="Times New Roman"/>
          <w:sz w:val="24"/>
          <w:szCs w:val="24"/>
          <w:u w:val="single"/>
        </w:rPr>
        <w:t>Presupuesto formal</w:t>
      </w:r>
      <w:r>
        <w:rPr>
          <w:rFonts w:ascii="Times New Roman" w:hAnsi="Times New Roman" w:cs="Times New Roman"/>
          <w:sz w:val="24"/>
          <w:szCs w:val="24"/>
        </w:rPr>
        <w:t xml:space="preserve">: el primer paso para que se declare un concurso es que lo soliciten las personas legitimadas para ello o el deudor porque no puede ser declarado sin más por el Juez. Una vez hecho esto el Juez competente decidirá si lo declara o no.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legitimación para solicitarlo la tienen: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deudor. Si es una persona jurídica lo hará la persona física que la represente, es decir, el administrador, órgano de administración u órgano de liquidación según corresponda.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acreedor/es, excepto si ha adquirido su crédito mediante actos inter vivos y a título singular después de que el mismo haya vencido y dentro de los 6 meses anteriores a la solicitud.</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·Una persona jurídica, en cuyo caso, podrán hacerlo los socios o integrantes de la misma que sean personalmente responsables de las deudas sociales.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acreedor/es, los herederos y el administrador del deudor fallecido cuando se trate de la declaración de concurso de una herencia.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Una vez solicitado el concurso, el Juez mediante auto decidirá si procede su declaración o no. Esa declaración debe publicarse en el BOE; en el registro público concursal para público conocimiento; y si procede en el registro civil cuando se trate de una persona física o en el registro mercantil cuando se trate de una persona jurídica.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LC establece que los </w:t>
      </w:r>
      <w:r w:rsidRPr="00012FBA">
        <w:rPr>
          <w:rFonts w:ascii="Times New Roman" w:hAnsi="Times New Roman" w:cs="Times New Roman"/>
          <w:b/>
          <w:sz w:val="24"/>
          <w:szCs w:val="24"/>
        </w:rPr>
        <w:t>órganos</w:t>
      </w:r>
      <w:r>
        <w:rPr>
          <w:rFonts w:ascii="Times New Roman" w:hAnsi="Times New Roman" w:cs="Times New Roman"/>
          <w:sz w:val="24"/>
          <w:szCs w:val="24"/>
        </w:rPr>
        <w:t xml:space="preserve"> del concurso pueden ser: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Necesarios: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Juez: es el órgano rector del concurso y tiene amplias facultades de dirección, supervisión y control de los demás órganos. Además es quien decide sobre todas las cuestiones procesales y de fondo. Los juzgados competentes son los de lo Mercantil.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Administración concursal: es el órgano técnico que administra el concurso. Algunas de sus funciones son la intervención o sustitución del concursado en la administración y disposición de su patrimonio; así como la delimitación de la masa activa y pasiva.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No necesarios: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Junta de acreedores: es el órgano deliberante que expresa la voluntad colectiva de todos los acreedores del concurso. Su función es la de aceptar las propuestas de convenio y por eso solo se convoca y constituye en la fase de convenio.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Ministerio Fiscal: solo interviene cuando así lo exija el interés público, antes de adoptar cualquier medida que afecte a los derechos fundamentales del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012FBA">
        <w:rPr>
          <w:rFonts w:ascii="Times New Roman" w:hAnsi="Times New Roman" w:cs="Times New Roman"/>
          <w:sz w:val="24"/>
          <w:szCs w:val="24"/>
        </w:rPr>
        <w:t>l concurso pue</w:t>
      </w:r>
      <w:r>
        <w:rPr>
          <w:rFonts w:ascii="Times New Roman" w:hAnsi="Times New Roman" w:cs="Times New Roman"/>
          <w:sz w:val="24"/>
          <w:szCs w:val="24"/>
        </w:rPr>
        <w:t>de desenvolverse</w:t>
      </w:r>
      <w:r w:rsidRPr="00012FBA">
        <w:rPr>
          <w:rFonts w:ascii="Times New Roman" w:hAnsi="Times New Roman" w:cs="Times New Roman"/>
          <w:sz w:val="24"/>
          <w:szCs w:val="24"/>
        </w:rPr>
        <w:t xml:space="preserve"> en una única fase (denom</w:t>
      </w:r>
      <w:r>
        <w:rPr>
          <w:rFonts w:ascii="Times New Roman" w:hAnsi="Times New Roman" w:cs="Times New Roman"/>
          <w:sz w:val="24"/>
          <w:szCs w:val="24"/>
        </w:rPr>
        <w:t xml:space="preserve">inada fase común, donde </w:t>
      </w:r>
      <w:r w:rsidRPr="00012FBA">
        <w:rPr>
          <w:rFonts w:ascii="Times New Roman" w:hAnsi="Times New Roman" w:cs="Times New Roman"/>
          <w:sz w:val="24"/>
          <w:szCs w:val="24"/>
        </w:rPr>
        <w:t>se permite que se pueda</w:t>
      </w:r>
      <w:r>
        <w:rPr>
          <w:rFonts w:ascii="Times New Roman" w:hAnsi="Times New Roman" w:cs="Times New Roman"/>
          <w:sz w:val="24"/>
          <w:szCs w:val="24"/>
        </w:rPr>
        <w:t xml:space="preserve"> obtener una solución </w:t>
      </w:r>
      <w:r w:rsidRPr="00012FBA">
        <w:rPr>
          <w:rFonts w:ascii="Times New Roman" w:hAnsi="Times New Roman" w:cs="Times New Roman"/>
          <w:sz w:val="24"/>
          <w:szCs w:val="24"/>
        </w:rPr>
        <w:t xml:space="preserve">a través de un convenio entre el deudor común y los acreedores), en dos fases (la común y si no se supera </w:t>
      </w:r>
      <w:r>
        <w:rPr>
          <w:rFonts w:ascii="Times New Roman" w:hAnsi="Times New Roman" w:cs="Times New Roman"/>
          <w:sz w:val="24"/>
          <w:szCs w:val="24"/>
        </w:rPr>
        <w:t>esta entramos en</w:t>
      </w:r>
      <w:r w:rsidRPr="00012FBA">
        <w:rPr>
          <w:rFonts w:ascii="Times New Roman" w:hAnsi="Times New Roman" w:cs="Times New Roman"/>
          <w:sz w:val="24"/>
          <w:szCs w:val="24"/>
        </w:rPr>
        <w:t xml:space="preserve"> la fase de convenio) o incluso puede desenvolverse en tres fases (la común, una vez superada vamos a la fase de convenio, y si no prospera ninguna de las propuestas vamos </w:t>
      </w:r>
      <w:r w:rsidRPr="00012FBA">
        <w:rPr>
          <w:rFonts w:ascii="Times New Roman" w:hAnsi="Times New Roman" w:cs="Times New Roman"/>
          <w:sz w:val="24"/>
          <w:szCs w:val="24"/>
        </w:rPr>
        <w:lastRenderedPageBreak/>
        <w:t>a la fase de liquidación donde se liquidan los bienes del deudor y con arreglo a las leyes de reparto se repart</w:t>
      </w:r>
      <w:r>
        <w:rPr>
          <w:rFonts w:ascii="Times New Roman" w:hAnsi="Times New Roman" w:cs="Times New Roman"/>
          <w:sz w:val="24"/>
          <w:szCs w:val="24"/>
        </w:rPr>
        <w:t>en los bienes entre los acreedores</w:t>
      </w:r>
      <w:r w:rsidRPr="00012FBA">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para finalizar esta introducción hay que decir que la declaración del concurso de acreedores produce numerosos </w:t>
      </w:r>
      <w:r w:rsidRPr="00E672FC">
        <w:rPr>
          <w:rFonts w:ascii="Times New Roman" w:hAnsi="Times New Roman" w:cs="Times New Roman"/>
          <w:b/>
          <w:sz w:val="24"/>
          <w:szCs w:val="24"/>
        </w:rPr>
        <w:t>efectos</w:t>
      </w:r>
      <w:r>
        <w:rPr>
          <w:rFonts w:ascii="Times New Roman" w:hAnsi="Times New Roman" w:cs="Times New Roman"/>
          <w:sz w:val="24"/>
          <w:szCs w:val="24"/>
        </w:rPr>
        <w:t xml:space="preserve"> sobre el deudor, los acreedores, los créditos y los contratos pero el más importante en razón al tema objeto de este trabajo es la formación de 2 grupos o colectivos:</w:t>
      </w:r>
    </w:p>
    <w:p w:rsidR="000A233F" w:rsidRDefault="000A233F" w:rsidP="000A233F">
      <w:pPr>
        <w:pStyle w:val="Sinespaciado"/>
        <w:tabs>
          <w:tab w:val="left" w:pos="709"/>
        </w:tabs>
        <w:spacing w:line="360" w:lineRule="auto"/>
        <w:jc w:val="both"/>
        <w:rPr>
          <w:rFonts w:ascii="Times New Roman" w:hAnsi="Times New Roman" w:cs="Times New Roman"/>
          <w:sz w:val="24"/>
          <w:szCs w:val="24"/>
        </w:rPr>
      </w:pPr>
      <w:r>
        <w:rPr>
          <w:rFonts w:ascii="Times New Roman" w:hAnsi="Times New Roman" w:cs="Times New Roman"/>
          <w:sz w:val="24"/>
          <w:szCs w:val="24"/>
        </w:rPr>
        <w:t>·La masa activa: está compuesto por todos los bienes y derechos que en el momento de declararse el concurso formen el patrimonio del deudor así  como aquellos que adquiera hasta que el mismo concluya, excepto los que sean inembargables. Se regula en el Capítulo II de la LC, concretamente los artículos 76 a 83.</w:t>
      </w:r>
    </w:p>
    <w:p w:rsidR="000A233F" w:rsidRPr="00CA35D5" w:rsidRDefault="000A233F" w:rsidP="000A233F">
      <w:pPr>
        <w:pStyle w:val="Sinespaciado"/>
        <w:spacing w:line="360" w:lineRule="auto"/>
        <w:jc w:val="both"/>
        <w:rPr>
          <w:rFonts w:ascii="Times New Roman" w:hAnsi="Times New Roman" w:cs="Times New Roman"/>
          <w:sz w:val="24"/>
          <w:szCs w:val="24"/>
        </w:rPr>
      </w:pPr>
      <w:r w:rsidRPr="00CA35D5">
        <w:rPr>
          <w:rFonts w:ascii="Times New Roman" w:hAnsi="Times New Roman" w:cs="Times New Roman"/>
          <w:sz w:val="24"/>
          <w:szCs w:val="24"/>
        </w:rPr>
        <w:t xml:space="preserve">·La masa pasiva: antes de que se declarara el concurso </w:t>
      </w:r>
      <w:r>
        <w:rPr>
          <w:rFonts w:ascii="Times New Roman" w:hAnsi="Times New Roman" w:cs="Times New Roman"/>
          <w:sz w:val="24"/>
          <w:szCs w:val="24"/>
        </w:rPr>
        <w:t xml:space="preserve">los acreedores </w:t>
      </w:r>
      <w:r w:rsidRPr="00CA35D5">
        <w:rPr>
          <w:rFonts w:ascii="Times New Roman" w:hAnsi="Times New Roman" w:cs="Times New Roman"/>
          <w:sz w:val="24"/>
          <w:szCs w:val="24"/>
        </w:rPr>
        <w:t xml:space="preserve">actuaban de forma independiente y particular pero después de la declaración pasan a integrar este colectivo que persigue un objetivo común, el cobro de los créditos que tienen con el deudor a través de un criterio de reparto lo más equitativo posible. </w:t>
      </w:r>
      <w:r>
        <w:rPr>
          <w:rFonts w:ascii="Times New Roman" w:hAnsi="Times New Roman" w:cs="Times New Roman"/>
          <w:sz w:val="24"/>
          <w:szCs w:val="24"/>
        </w:rPr>
        <w:t>Se regula en el Capítulo III de la LC, concretamente los artículos 84 a 94.</w:t>
      </w:r>
    </w:p>
    <w:p w:rsidR="000A233F" w:rsidRPr="00CA35D5" w:rsidRDefault="000A233F" w:rsidP="000A233F">
      <w:pPr>
        <w:pStyle w:val="Sinespaciado"/>
        <w:spacing w:line="360" w:lineRule="auto"/>
        <w:ind w:firstLine="708"/>
        <w:jc w:val="both"/>
        <w:rPr>
          <w:rFonts w:ascii="Times New Roman" w:hAnsi="Times New Roman" w:cs="Times New Roman"/>
          <w:sz w:val="24"/>
          <w:szCs w:val="24"/>
        </w:rPr>
      </w:pPr>
      <w:r w:rsidRPr="00636077">
        <w:rPr>
          <w:rFonts w:ascii="Times New Roman" w:hAnsi="Times New Roman" w:cs="Times New Roman"/>
          <w:b/>
          <w:sz w:val="24"/>
          <w:szCs w:val="24"/>
        </w:rPr>
        <w:t>IV)</w:t>
      </w:r>
      <w:r>
        <w:rPr>
          <w:rFonts w:ascii="Times New Roman" w:hAnsi="Times New Roman" w:cs="Times New Roman"/>
          <w:b/>
          <w:sz w:val="24"/>
          <w:szCs w:val="24"/>
        </w:rPr>
        <w:t xml:space="preserve"> </w:t>
      </w:r>
      <w:r>
        <w:rPr>
          <w:rFonts w:ascii="Times New Roman" w:hAnsi="Times New Roman" w:cs="Times New Roman"/>
          <w:b/>
          <w:sz w:val="24"/>
          <w:szCs w:val="24"/>
          <w:u w:val="single"/>
        </w:rPr>
        <w:t>LA MASA PASIVA DEL CONCURSO.</w:t>
      </w:r>
    </w:p>
    <w:p w:rsidR="000A233F" w:rsidRDefault="000A233F" w:rsidP="000A233F">
      <w:pPr>
        <w:pStyle w:val="Sinespaciado"/>
        <w:tabs>
          <w:tab w:val="left" w:pos="993"/>
          <w:tab w:val="left" w:pos="1276"/>
        </w:tabs>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1. </w:t>
      </w:r>
      <w:r w:rsidRPr="00CA35D5">
        <w:rPr>
          <w:rFonts w:ascii="Times New Roman" w:hAnsi="Times New Roman" w:cs="Times New Roman"/>
          <w:b/>
          <w:sz w:val="24"/>
          <w:szCs w:val="24"/>
        </w:rPr>
        <w:t>Concepto</w:t>
      </w:r>
      <w:r>
        <w:rPr>
          <w:rFonts w:ascii="Times New Roman" w:hAnsi="Times New Roman" w:cs="Times New Roman"/>
          <w:b/>
          <w:sz w:val="24"/>
          <w:szCs w:val="24"/>
        </w:rPr>
        <w:t xml:space="preserve"> y clasificación.  </w:t>
      </w:r>
    </w:p>
    <w:p w:rsidR="000A233F" w:rsidRDefault="000A233F" w:rsidP="000A233F">
      <w:pPr>
        <w:pStyle w:val="Sinespaciado"/>
        <w:spacing w:line="360" w:lineRule="auto"/>
        <w:ind w:left="1080"/>
        <w:jc w:val="both"/>
        <w:rPr>
          <w:rFonts w:ascii="Times New Roman" w:hAnsi="Times New Roman" w:cs="Times New Roman"/>
          <w:b/>
          <w:sz w:val="24"/>
          <w:szCs w:val="24"/>
        </w:rPr>
      </w:pPr>
      <w:r w:rsidRPr="007C685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C6850">
        <w:rPr>
          <w:rFonts w:ascii="Times New Roman" w:hAnsi="Times New Roman" w:cs="Times New Roman"/>
          <w:sz w:val="24"/>
          <w:szCs w:val="24"/>
        </w:rPr>
        <w:t>1.1</w:t>
      </w:r>
      <w:r>
        <w:rPr>
          <w:rFonts w:ascii="Times New Roman" w:hAnsi="Times New Roman" w:cs="Times New Roman"/>
          <w:b/>
          <w:sz w:val="24"/>
          <w:szCs w:val="24"/>
        </w:rPr>
        <w:t xml:space="preserve"> Concepto: créditos concursales y créditos contra la masa</w:t>
      </w:r>
      <w:r w:rsidRPr="003856EB">
        <w:rPr>
          <w:rFonts w:ascii="Times New Roman" w:hAnsi="Times New Roman" w:cs="Times New Roman"/>
          <w:sz w:val="24"/>
          <w:szCs w:val="24"/>
        </w:rPr>
        <w:t>.</w:t>
      </w:r>
      <w:r>
        <w:rPr>
          <w:rFonts w:ascii="Times New Roman" w:hAnsi="Times New Roman" w:cs="Times New Roman"/>
          <w:b/>
          <w:sz w:val="24"/>
          <w:szCs w:val="24"/>
        </w:rPr>
        <w:t xml:space="preserve"> </w:t>
      </w:r>
    </w:p>
    <w:p w:rsidR="000A233F" w:rsidRPr="00BA1AF4"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De una forma coloquial se puede decir que la masa pasiva está formada por el conjunto de deudas que tiene una persona con otras, de forma que éstas se dirigen contra el patrimonio de la primera para tratar de satisfacerlas.  Ahora bien, desde el punto de vista legal para definirla hay que acudir al artículo 84.1 de la LC que dice que van a integrar la masa pasiva todos aquellos créditos de los que sean titulares los acreedores de un deudor común y que no tengan la consideración de créditos contra la masa</w:t>
      </w:r>
      <w:r w:rsidRPr="003856EB">
        <w:rPr>
          <w:rStyle w:val="Refdenotaalpie"/>
          <w:rFonts w:ascii="Times New Roman" w:hAnsi="Times New Roman" w:cs="Times New Roman"/>
          <w:sz w:val="24"/>
          <w:szCs w:val="24"/>
        </w:rPr>
        <w:footnoteReference w:id="2"/>
      </w:r>
      <w:r>
        <w:rPr>
          <w:rFonts w:ascii="Times New Roman" w:hAnsi="Times New Roman" w:cs="Times New Roman"/>
          <w:sz w:val="24"/>
          <w:szCs w:val="24"/>
        </w:rPr>
        <w:t>. De esta definición podemos extraer la existencia de dos tipos de créditos:</w:t>
      </w:r>
    </w:p>
    <w:p w:rsidR="000A233F" w:rsidRDefault="000A233F" w:rsidP="000A233F">
      <w:pPr>
        <w:pStyle w:val="Sinespaciado"/>
        <w:tabs>
          <w:tab w:val="left" w:pos="709"/>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Los </w:t>
      </w:r>
      <w:r w:rsidRPr="00EA7596">
        <w:rPr>
          <w:rFonts w:ascii="Times New Roman" w:hAnsi="Times New Roman" w:cs="Times New Roman"/>
          <w:b/>
          <w:sz w:val="24"/>
          <w:szCs w:val="24"/>
        </w:rPr>
        <w:t>créditos concursales</w:t>
      </w:r>
      <w:r>
        <w:rPr>
          <w:rFonts w:ascii="Times New Roman" w:hAnsi="Times New Roman" w:cs="Times New Roman"/>
          <w:sz w:val="24"/>
          <w:szCs w:val="24"/>
        </w:rPr>
        <w:t>: son aquellos que van a integrar la masa pasiva por no tener la consideración de créditos contra la masa.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Los </w:t>
      </w:r>
      <w:r w:rsidRPr="00EA7596">
        <w:rPr>
          <w:rFonts w:ascii="Times New Roman" w:hAnsi="Times New Roman" w:cs="Times New Roman"/>
          <w:b/>
          <w:sz w:val="24"/>
          <w:szCs w:val="24"/>
        </w:rPr>
        <w:t>créditos contra la masa</w:t>
      </w:r>
      <w:r>
        <w:rPr>
          <w:rFonts w:ascii="Times New Roman" w:hAnsi="Times New Roman" w:cs="Times New Roman"/>
          <w:sz w:val="24"/>
          <w:szCs w:val="24"/>
        </w:rPr>
        <w:t>: son aquellos que recoge el artículo 84.2 de la LC, que no van a formar parte de la masa pasiva y son los siguientes:</w:t>
      </w:r>
    </w:p>
    <w:p w:rsidR="000A233F" w:rsidRPr="00C472AF" w:rsidRDefault="000A233F" w:rsidP="000A233F">
      <w:pPr>
        <w:pStyle w:val="Sinespaciado"/>
        <w:spacing w:line="360" w:lineRule="auto"/>
        <w:jc w:val="both"/>
        <w:rPr>
          <w:rFonts w:ascii="Times New Roman" w:hAnsi="Times New Roman" w:cs="Times New Roman"/>
          <w:sz w:val="24"/>
          <w:szCs w:val="24"/>
        </w:rPr>
      </w:pPr>
      <w:r w:rsidRPr="006E3BDB">
        <w:rPr>
          <w:rFonts w:ascii="Times New Roman" w:hAnsi="Times New Roman" w:cs="Times New Roman"/>
          <w:i/>
          <w:sz w:val="24"/>
          <w:szCs w:val="24"/>
        </w:rPr>
        <w:t>“</w:t>
      </w:r>
      <w:r w:rsidRPr="008D7DBE">
        <w:rPr>
          <w:rFonts w:ascii="Times New Roman" w:hAnsi="Times New Roman" w:cs="Times New Roman"/>
          <w:i/>
          <w:sz w:val="24"/>
          <w:szCs w:val="24"/>
        </w:rPr>
        <w:t>Los créditos por salar</w:t>
      </w:r>
      <w:r>
        <w:rPr>
          <w:rFonts w:ascii="Times New Roman" w:hAnsi="Times New Roman" w:cs="Times New Roman"/>
          <w:i/>
          <w:sz w:val="24"/>
          <w:szCs w:val="24"/>
        </w:rPr>
        <w:t>ios por los últimos 30 días</w:t>
      </w:r>
      <w:r w:rsidRPr="008D7DBE">
        <w:rPr>
          <w:rFonts w:ascii="Times New Roman" w:hAnsi="Times New Roman" w:cs="Times New Roman"/>
          <w:i/>
          <w:sz w:val="24"/>
          <w:szCs w:val="24"/>
        </w:rPr>
        <w:t xml:space="preserve"> de trabajo efectivo anteriores a la declaración de concurso y en cuantía que no supere el doble del salario mínimo interprofesional</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w:t>
      </w:r>
      <w:r w:rsidRPr="008D7DBE">
        <w:rPr>
          <w:rFonts w:ascii="Times New Roman" w:hAnsi="Times New Roman" w:cs="Times New Roman"/>
          <w:i/>
          <w:sz w:val="24"/>
          <w:szCs w:val="24"/>
        </w:rPr>
        <w:t>Los de costas y gastos judiciales necesarios para la tramitación del procedimiento y sus incidentes</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de costas y gastos judiciales ocasionados por la asistencia y representación del deudor, de la administración concursal o de acreedores legitimados en los juicios que, en interés de la masa, continúen o inicien conforme a lo dispuesto en esta Ley</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de alimentos del deudor y de las personas respecto de las cuales tuviera el deber legal de prestarlos</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generados por el ejercicio de la actividad profesional o empresarial del deudor tras la declaración del concurso, incluyendo los créditos laborales, comprendidas en ellos las indemnizaciones de despido o extinción de los contratos de trabajo, así como los recargos sobre las prestaciones por incumplimiento de las obligaciones en materia de salud laboral</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que resulten de prestaciones a cargo del concursado en los contratos con obligaciones recíprocas pendientes de cumplimiento que continúen en vigor tras la declaración de concurso, y de obligaciones de restitución e indemnización en caso de resolución voluntaria o por incumplimiento del concursado</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que, en los casos de pago de créditos con privilegio especial sin realización de los bienes o derechos afectos, en los de rehabilitación de contratos o de enervación de desahucio y en los demás previstos en esta Ley, correspondan por las cantidades debidas y las de vencimiento futuro a cargo del concursado</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que, en los casos de rescisión concursal de actos realizados por el deudor, correspondan a la devolución de contraprestaciones recibidas por éste</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que resulten de obligaciones válidamente contraídas durante el procedimiento por la administración concursal o, con la autorización o conformidad de ésta, por el concursado sometido a intervención</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que resulten de obligaciones nacidas de la ley o de responsabilidad extracontractual del concursado con posterioridad a la declaración de concurso y hasta la conclusión del mismo</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El cincuenta por ciento de los créditos que supongan nuevos ingresos de tesorería y hayan sido concedidos en el marco de un acuerdo de refinanciación</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sidRPr="009755C9">
        <w:rPr>
          <w:rFonts w:ascii="Times New Roman" w:hAnsi="Times New Roman" w:cs="Times New Roman"/>
          <w:sz w:val="24"/>
          <w:szCs w:val="24"/>
        </w:rPr>
        <w:t xml:space="preserve">Este apartado no será de aplicación hasta el de 2 de Octubre de 2016, y en su lugar van a tener la consideración de créditos contra la masa </w:t>
      </w:r>
      <w:r>
        <w:rPr>
          <w:rFonts w:ascii="Times New Roman" w:hAnsi="Times New Roman" w:cs="Times New Roman"/>
          <w:sz w:val="24"/>
          <w:szCs w:val="24"/>
        </w:rPr>
        <w:t>hasta dicha fecha: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·Los que supongan nuevos ingresos de tesorería y hayan sido concedidos en acuerdos de refinanciación según lo que establece el artículo 71 bis o la Disposición Adicional Cuarta de la LC.</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·Los que se concedan en acuerdos de refinanciación por el deudor o personal relacionadas con el que supongan nuevos ingresos de tesorería.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·Los que procedan de intereses devengados por los nuevos ingresos de tesorería.</w:t>
      </w:r>
    </w:p>
    <w:p w:rsidR="000A233F" w:rsidRPr="009755C9"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concedidos al concursado para financiar el plan de viabilidad al que se refiere el artículo 100.5 de la LC. </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Cualesquiera otros créditos a los que esta ley atribuya expresamente tal consideración</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Este último apartado del artículo deja la puerta abierta a la consideración de créditos contra la masa a otros que la ley califique como tal y algunos de ellos son por ejemplo: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·Aquellos que pueden ser satisfechos sobre bienes que los acreedores han obtenido del patrimonio del deudor como consecuencia de la ejecución de derechos reales o de una sentencia judicial.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·Aquellos a cuyos titulares se les permite continuar una ejecución que se inició antes de que se declarara el concurso.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·Aquellos con garantía real que en el momento de abrirse el procedimiento tuviesen publicada la subasta del bien o derecho afecto a su ejecución, y ese bien o derecho se haya calificado como no necesario para la continuidad de la actividad empresarial del deudor; o no esté afecto a la misma.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·Aquellos cuyo titular sea el cónyuge casado en régimen de gananciales o en cualquier otro, incluso si se dirigen contra la sociedad conyugal.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Hay que tener muy claro que los créditos contra la masa son los créditos provocados por el concurso, y no los créditos que provocan el concurso</w:t>
      </w:r>
      <w:r>
        <w:rPr>
          <w:rStyle w:val="Refdenotaalpie"/>
          <w:rFonts w:ascii="Times New Roman" w:hAnsi="Times New Roman" w:cs="Times New Roman"/>
          <w:sz w:val="24"/>
          <w:szCs w:val="24"/>
        </w:rPr>
        <w:footnoteReference w:id="3"/>
      </w:r>
      <w:r>
        <w:rPr>
          <w:rFonts w:ascii="Times New Roman" w:hAnsi="Times New Roman" w:cs="Times New Roman"/>
          <w:sz w:val="24"/>
          <w:szCs w:val="24"/>
        </w:rPr>
        <w:t>. Respecto a esto unos autores sostienen que son las deudas de la masa pero hay que distinguir dentro de éstas las obligaciones de la masa y los gastos de la masa; mientras que otros afirman que más que deudas de la masa son las deudas que nacen de la sustanciación del proceso</w:t>
      </w:r>
      <w:r>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Además dado que son créditos con un carácter extra concursal no se les aplican las reglas del concurso, de ahí que algún autor afirme que los acreedores titulares de </w:t>
      </w:r>
      <w:r>
        <w:rPr>
          <w:rFonts w:ascii="Times New Roman" w:hAnsi="Times New Roman" w:cs="Times New Roman"/>
          <w:sz w:val="24"/>
          <w:szCs w:val="24"/>
        </w:rPr>
        <w:lastRenderedPageBreak/>
        <w:t>créditos contra la masa no son privilegiados sino ordinarios pero extra concursalmente hablando</w:t>
      </w:r>
      <w:r>
        <w:rPr>
          <w:rStyle w:val="Refdenotaalpie"/>
          <w:rFonts w:ascii="Times New Roman" w:hAnsi="Times New Roman" w:cs="Times New Roman"/>
          <w:sz w:val="24"/>
          <w:szCs w:val="24"/>
        </w:rPr>
        <w:footnoteReference w:id="5"/>
      </w:r>
      <w:r>
        <w:rPr>
          <w:rFonts w:ascii="Times New Roman" w:hAnsi="Times New Roman" w:cs="Times New Roman"/>
          <w:sz w:val="24"/>
          <w:szCs w:val="24"/>
        </w:rPr>
        <w:t xml:space="preserv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En lo que respecta al pago de este tipo de créditos hay que remitirse al artículo 154 de la LC que establece que con carácter previo al pago de los créditos concursales habría que deducir de la masa activa los bienes y derechos, que no estén afectos al pago de créditos con privilegio especial y que sean necesarios para satisfacerlos. Esta es una diferencia esencial que tienen con los créditos concursales, ya que deben satisfacerse con cargo a la masa activa del concurso y de forma previa al pago de los concursales</w:t>
      </w:r>
      <w:r>
        <w:rPr>
          <w:rStyle w:val="Refdenotaalpie"/>
          <w:rFonts w:ascii="Times New Roman" w:hAnsi="Times New Roman" w:cs="Times New Roman"/>
          <w:sz w:val="24"/>
          <w:szCs w:val="24"/>
        </w:rPr>
        <w:footnoteReference w:id="6"/>
      </w:r>
      <w:r>
        <w:rPr>
          <w:rFonts w:ascii="Times New Roman" w:hAnsi="Times New Roman" w:cs="Times New Roman"/>
          <w:sz w:val="24"/>
          <w:szCs w:val="24"/>
        </w:rPr>
        <w:t>.</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 xml:space="preserve">  </w:t>
      </w:r>
      <w:r w:rsidRPr="007C6850">
        <w:rPr>
          <w:rFonts w:ascii="Times New Roman" w:hAnsi="Times New Roman" w:cs="Times New Roman"/>
          <w:sz w:val="24"/>
          <w:szCs w:val="24"/>
        </w:rPr>
        <w:t>1.2</w:t>
      </w:r>
      <w:r>
        <w:rPr>
          <w:rFonts w:ascii="Times New Roman" w:hAnsi="Times New Roman" w:cs="Times New Roman"/>
          <w:b/>
          <w:sz w:val="24"/>
          <w:szCs w:val="24"/>
        </w:rPr>
        <w:t xml:space="preserve"> Tipos de créditos concursales:</w:t>
      </w:r>
    </w:p>
    <w:p w:rsidR="000A233F" w:rsidRPr="00635526" w:rsidRDefault="000A233F" w:rsidP="000A233F">
      <w:pPr>
        <w:pStyle w:val="Sinespaciado"/>
        <w:tabs>
          <w:tab w:val="left" w:pos="1134"/>
          <w:tab w:val="left" w:pos="1276"/>
        </w:tabs>
        <w:spacing w:line="360" w:lineRule="auto"/>
        <w:jc w:val="both"/>
        <w:rPr>
          <w:rFonts w:ascii="Times New Roman" w:hAnsi="Times New Roman" w:cs="Times New Roman"/>
          <w:sz w:val="24"/>
          <w:szCs w:val="24"/>
        </w:rPr>
      </w:pPr>
      <w:r w:rsidRPr="00652801">
        <w:rPr>
          <w:rFonts w:ascii="Times New Roman" w:hAnsi="Times New Roman" w:cs="Times New Roman"/>
          <w:sz w:val="24"/>
          <w:szCs w:val="24"/>
        </w:rPr>
        <w:t xml:space="preserve">A esta clasificación se refieren los artículos </w:t>
      </w:r>
      <w:r>
        <w:rPr>
          <w:rFonts w:ascii="Times New Roman" w:hAnsi="Times New Roman" w:cs="Times New Roman"/>
          <w:sz w:val="24"/>
          <w:szCs w:val="24"/>
        </w:rPr>
        <w:t xml:space="preserve">89 a 92 de la LC. El primero de estos artículos en su apartado número 1 dice que los créditos incluidos en la lista de acreedores, es decir, los créditos concursales se van a clasificar en: ordinarios, privilegiados y subordinados.  </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 xml:space="preserve">     </w:t>
      </w:r>
      <w:r w:rsidRPr="007C6850">
        <w:rPr>
          <w:rFonts w:ascii="Times New Roman" w:hAnsi="Times New Roman" w:cs="Times New Roman"/>
          <w:sz w:val="24"/>
          <w:szCs w:val="24"/>
        </w:rPr>
        <w:t>1.2.1</w:t>
      </w:r>
      <w:r>
        <w:rPr>
          <w:rFonts w:ascii="Times New Roman" w:hAnsi="Times New Roman" w:cs="Times New Roman"/>
          <w:b/>
          <w:sz w:val="24"/>
          <w:szCs w:val="24"/>
        </w:rPr>
        <w:t xml:space="preserve"> Créditos ordinarios.</w:t>
      </w:r>
    </w:p>
    <w:p w:rsidR="000A233F" w:rsidRPr="00E41C92"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La LC los define en sentido negativo en el artículo 89.3 de la LC porque dice que son aquellos que no gozan de  ningún privilegio ni tampoco han sido subordinados.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Son los créditos comunes que se satisfacen después de los créditos contra la masa y de los créditos privilegiados, si queda obviamente remanente en la masa activa para ello</w:t>
      </w:r>
      <w:r w:rsidRPr="003856EB">
        <w:rPr>
          <w:rStyle w:val="Refdenotaalpie"/>
          <w:rFonts w:ascii="Times New Roman" w:hAnsi="Times New Roman" w:cs="Times New Roman"/>
          <w:sz w:val="24"/>
          <w:szCs w:val="24"/>
        </w:rPr>
        <w:footnoteReference w:id="7"/>
      </w:r>
      <w:r>
        <w:rPr>
          <w:rFonts w:ascii="Times New Roman" w:hAnsi="Times New Roman" w:cs="Times New Roman"/>
          <w:sz w:val="24"/>
          <w:szCs w:val="24"/>
        </w:rPr>
        <w:t xml:space="preserve">. En lo que respecta al pago de estos créditos hay que remitirse al artículo 157 de la LC que establece que el método que se usa para pagar tipo de créditos es el de la prorrata de forma que dependiendo de la liquidez de la masa activa existirá la posibilidad de que solo se paguen parcialmente, pero siempre y cuando el importe de ese pago no sea inferior al 5% del total del crédito (aunque es cierto que si el acreedor titular consiente podrá recibir una cantidad inferior a ese porcentaje). Hay que tener en cuenta que si un crédito privilegiado no se satisface totalmente con los bienes y derechos afectos al mismo, en la parte no satisfecha pasará a ser un crédito ordinario y por lo tanto a regirse por las reglas de pago del artículo al que nos referimos, cosa que reduce aún más las posibilidades de satisfacción de los créditos ordinarios.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Cuando el Juez del concurso lo estime conveniente podrá autorizar en determinados casos que se paguen créditos ordinarios con antelación, siempre y cuando esté cubierto el pago de los créditos contra la masa y los créditos privilegiados. Incluso podrá hacerlo </w:t>
      </w:r>
      <w:r>
        <w:rPr>
          <w:rFonts w:ascii="Times New Roman" w:hAnsi="Times New Roman" w:cs="Times New Roman"/>
          <w:sz w:val="24"/>
          <w:szCs w:val="24"/>
        </w:rPr>
        <w:lastRenderedPageBreak/>
        <w:t>antes de que concluya el plazo para efectuar las impugnaciones pertinentes si previamente adopta las medidas cautelares que considere oportunas.</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 xml:space="preserve">     </w:t>
      </w:r>
      <w:r w:rsidRPr="007C6850">
        <w:rPr>
          <w:rFonts w:ascii="Times New Roman" w:hAnsi="Times New Roman" w:cs="Times New Roman"/>
          <w:sz w:val="24"/>
          <w:szCs w:val="24"/>
        </w:rPr>
        <w:t>1.2.2</w:t>
      </w:r>
      <w:r>
        <w:rPr>
          <w:rFonts w:ascii="Times New Roman" w:hAnsi="Times New Roman" w:cs="Times New Roman"/>
          <w:b/>
          <w:sz w:val="24"/>
          <w:szCs w:val="24"/>
        </w:rPr>
        <w:t xml:space="preserve"> Créditos privilegiados: privilegio especial y privilegio general.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7E5676">
        <w:rPr>
          <w:rFonts w:ascii="Times New Roman" w:hAnsi="Times New Roman" w:cs="Times New Roman"/>
          <w:sz w:val="24"/>
          <w:szCs w:val="24"/>
          <w:u w:val="single"/>
        </w:rPr>
        <w:t>Créditos con privilegio especial</w:t>
      </w:r>
      <w:r>
        <w:rPr>
          <w:rFonts w:ascii="Times New Roman" w:hAnsi="Times New Roman" w:cs="Times New Roman"/>
          <w:sz w:val="24"/>
          <w:szCs w:val="24"/>
        </w:rPr>
        <w:t xml:space="preserve">. </w:t>
      </w:r>
    </w:p>
    <w:p w:rsidR="000A233F" w:rsidRPr="00E41C92"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Son aquellos tipos de créditos concursales que afectan a determinados bienes o derechos del deudor, se satisfacen en primer lugar y resumidamente se puede decir que son los que están garantizados con hipoteca, prenda, anticresis, valores anotados en cuenta, créditos refaccionarios y cuotas de arrendamiento financieros</w:t>
      </w:r>
      <w:r>
        <w:rPr>
          <w:rStyle w:val="Refdenotaalpie"/>
          <w:rFonts w:ascii="Times New Roman" w:hAnsi="Times New Roman" w:cs="Times New Roman"/>
          <w:sz w:val="24"/>
          <w:szCs w:val="24"/>
        </w:rPr>
        <w:footnoteReference w:id="8"/>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Están contemplados en el artículo 90 de la LC: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8D7DBE">
        <w:rPr>
          <w:rFonts w:ascii="Times New Roman" w:hAnsi="Times New Roman" w:cs="Times New Roman"/>
          <w:i/>
          <w:sz w:val="24"/>
          <w:szCs w:val="24"/>
        </w:rPr>
        <w:t>Los créditos garantizados con hipoteca voluntaria o legal, mobiliaria o inmobiliaria, o prenda sin desplazamiento, sobre los bienes o derechos hipotecados o pignorados</w:t>
      </w:r>
      <w:r>
        <w:rPr>
          <w:rFonts w:ascii="Times New Roman" w:hAnsi="Times New Roman" w:cs="Times New Roman"/>
          <w:i/>
          <w:sz w:val="24"/>
          <w:szCs w:val="24"/>
        </w:rPr>
        <w:t>”</w:t>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Estas garantías son las denominadas reales y protegen a un acreedor de cualquier pretensión de los demás acreedores debido al gran valor que poseen; pero para que este tipo de créditos ostenten la condición de privilegiados es necesario que su respectiva garantía esté constituida con los requisitos y de acuerdo a las formalidades previstas en su legislación específica para poder ser oponibles a terceros.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garantizados con anticres</w:t>
      </w:r>
      <w:r>
        <w:rPr>
          <w:rFonts w:ascii="Times New Roman" w:hAnsi="Times New Roman" w:cs="Times New Roman"/>
          <w:i/>
          <w:sz w:val="24"/>
          <w:szCs w:val="24"/>
        </w:rPr>
        <w:t>is</w:t>
      </w:r>
      <w:r w:rsidRPr="008D7DBE">
        <w:rPr>
          <w:rFonts w:ascii="Times New Roman" w:hAnsi="Times New Roman" w:cs="Times New Roman"/>
          <w:i/>
          <w:sz w:val="24"/>
          <w:szCs w:val="24"/>
        </w:rPr>
        <w:t>, sobre los frutos del inmueble gravado</w:t>
      </w:r>
      <w:r>
        <w:rPr>
          <w:rFonts w:ascii="Times New Roman" w:hAnsi="Times New Roman" w:cs="Times New Roman"/>
          <w:i/>
          <w:sz w:val="24"/>
          <w:szCs w:val="24"/>
        </w:rPr>
        <w:t>”</w:t>
      </w:r>
      <w:r>
        <w:rPr>
          <w:rFonts w:ascii="Times New Roman" w:hAnsi="Times New Roman" w:cs="Times New Roman"/>
          <w:sz w:val="24"/>
          <w:szCs w:val="24"/>
        </w:rPr>
        <w:t xml:space="preserve">. </w:t>
      </w:r>
    </w:p>
    <w:p w:rsidR="000A233F" w:rsidRDefault="000A233F" w:rsidP="000A233F">
      <w:pPr>
        <w:pStyle w:val="Sinespaciado"/>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La anticresis e</w:t>
      </w:r>
      <w:r w:rsidRPr="00442D4A">
        <w:rPr>
          <w:rFonts w:ascii="Times New Roman" w:hAnsi="Times New Roman" w:cs="Times New Roman"/>
          <w:sz w:val="24"/>
          <w:szCs w:val="24"/>
        </w:rPr>
        <w:t xml:space="preserve">s un </w:t>
      </w:r>
      <w:hyperlink r:id="rId9" w:history="1">
        <w:r w:rsidRPr="00442D4A">
          <w:rPr>
            <w:rStyle w:val="Hipervnculo"/>
            <w:rFonts w:ascii="Times New Roman" w:hAnsi="Times New Roman" w:cs="Times New Roman"/>
            <w:color w:val="auto"/>
            <w:sz w:val="24"/>
            <w:szCs w:val="24"/>
            <w:lang w:val="es-ES"/>
          </w:rPr>
          <w:t>derecho real de garantía</w:t>
        </w:r>
      </w:hyperlink>
      <w:r>
        <w:rPr>
          <w:rFonts w:ascii="Times New Roman" w:hAnsi="Times New Roman" w:cs="Times New Roman"/>
          <w:sz w:val="24"/>
          <w:szCs w:val="24"/>
          <w:lang w:val="es-ES"/>
        </w:rPr>
        <w:t xml:space="preserve"> que si se constituye sobre bienes inmuebles </w:t>
      </w:r>
      <w:r w:rsidRPr="00442D4A">
        <w:rPr>
          <w:rFonts w:ascii="Times New Roman" w:hAnsi="Times New Roman" w:cs="Times New Roman"/>
          <w:sz w:val="24"/>
          <w:szCs w:val="24"/>
          <w:lang w:val="es-ES"/>
        </w:rPr>
        <w:t xml:space="preserve">asegura el </w:t>
      </w:r>
      <w:hyperlink r:id="rId10" w:history="1">
        <w:r w:rsidRPr="00442D4A">
          <w:rPr>
            <w:rStyle w:val="Hipervnculo"/>
            <w:rFonts w:ascii="Times New Roman" w:hAnsi="Times New Roman" w:cs="Times New Roman"/>
            <w:color w:val="auto"/>
            <w:sz w:val="24"/>
            <w:szCs w:val="24"/>
            <w:lang w:val="es-ES"/>
          </w:rPr>
          <w:t>cumplimiento</w:t>
        </w:r>
      </w:hyperlink>
      <w:r w:rsidRPr="00442D4A">
        <w:rPr>
          <w:rFonts w:ascii="Times New Roman" w:hAnsi="Times New Roman" w:cs="Times New Roman"/>
          <w:sz w:val="24"/>
          <w:szCs w:val="24"/>
          <w:lang w:val="es-ES"/>
        </w:rPr>
        <w:t xml:space="preserve"> de la </w:t>
      </w:r>
      <w:hyperlink r:id="rId11" w:history="1">
        <w:r w:rsidRPr="00442D4A">
          <w:rPr>
            <w:rStyle w:val="Hipervnculo"/>
            <w:rFonts w:ascii="Times New Roman" w:hAnsi="Times New Roman" w:cs="Times New Roman"/>
            <w:color w:val="auto"/>
            <w:sz w:val="24"/>
            <w:szCs w:val="24"/>
            <w:lang w:val="es-ES"/>
          </w:rPr>
          <w:t>obligación</w:t>
        </w:r>
      </w:hyperlink>
      <w:r w:rsidRPr="00442D4A">
        <w:rPr>
          <w:rFonts w:ascii="Times New Roman" w:hAnsi="Times New Roman" w:cs="Times New Roman"/>
          <w:sz w:val="24"/>
          <w:szCs w:val="24"/>
          <w:lang w:val="es-ES"/>
        </w:rPr>
        <w:t xml:space="preserve"> garantizada</w:t>
      </w:r>
      <w:r>
        <w:rPr>
          <w:rFonts w:ascii="Times New Roman" w:hAnsi="Times New Roman" w:cs="Times New Roman"/>
          <w:sz w:val="24"/>
          <w:szCs w:val="24"/>
          <w:lang w:val="es-ES"/>
        </w:rPr>
        <w:t xml:space="preserve">, ya sea aplicando los frutos que da la cosa al pago de la deuda o </w:t>
      </w:r>
      <w:r w:rsidRPr="00442D4A">
        <w:rPr>
          <w:rFonts w:ascii="Times New Roman" w:hAnsi="Times New Roman" w:cs="Times New Roman"/>
          <w:sz w:val="24"/>
          <w:szCs w:val="24"/>
          <w:lang w:val="es-ES"/>
        </w:rPr>
        <w:t xml:space="preserve">instando la venta del </w:t>
      </w:r>
      <w:hyperlink r:id="rId12" w:history="1">
        <w:r w:rsidRPr="00442D4A">
          <w:rPr>
            <w:rStyle w:val="Hipervnculo"/>
            <w:rFonts w:ascii="Times New Roman" w:hAnsi="Times New Roman" w:cs="Times New Roman"/>
            <w:color w:val="auto"/>
            <w:sz w:val="24"/>
            <w:szCs w:val="24"/>
            <w:lang w:val="es-ES"/>
          </w:rPr>
          <w:t>inmueble</w:t>
        </w:r>
      </w:hyperlink>
      <w:r w:rsidRPr="00442D4A">
        <w:rPr>
          <w:rFonts w:ascii="Times New Roman" w:hAnsi="Times New Roman" w:cs="Times New Roman"/>
          <w:sz w:val="24"/>
          <w:szCs w:val="24"/>
          <w:lang w:val="es-ES"/>
        </w:rPr>
        <w:t xml:space="preserve"> para su pago. </w:t>
      </w:r>
    </w:p>
    <w:p w:rsidR="000A233F" w:rsidRPr="00442D4A"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privilegio que se les reconoce a los titulares de este tipo de créditos recae sobre los frutos de la cosa gravada.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refaccionarios, sobre los bienes refaccionados, incluidos los de los trabajadores sobre los objetos por ellos elaborados mientras sean propiedad o estén en posesión del concursado</w:t>
      </w:r>
      <w:r>
        <w:rPr>
          <w:rFonts w:ascii="Times New Roman" w:hAnsi="Times New Roman" w:cs="Times New Roman"/>
          <w:i/>
          <w:sz w:val="24"/>
          <w:szCs w:val="24"/>
        </w:rPr>
        <w:t>”</w:t>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Los créditos refaccionarios son un d</w:t>
      </w:r>
      <w:hyperlink r:id="rId13" w:history="1">
        <w:r>
          <w:rPr>
            <w:rStyle w:val="Hipervnculo"/>
            <w:rFonts w:ascii="Times New Roman" w:hAnsi="Times New Roman" w:cs="Times New Roman"/>
            <w:color w:val="auto"/>
            <w:sz w:val="24"/>
            <w:szCs w:val="24"/>
          </w:rPr>
          <w:t>erecho</w:t>
        </w:r>
      </w:hyperlink>
      <w:r>
        <w:rPr>
          <w:rFonts w:ascii="Times New Roman" w:hAnsi="Times New Roman" w:cs="Times New Roman"/>
          <w:sz w:val="24"/>
          <w:szCs w:val="24"/>
        </w:rPr>
        <w:t xml:space="preserve"> de crédito derivado de un contrato de préstamo en virtud del cual una persona (acreedor del concurso) p</w:t>
      </w:r>
      <w:r w:rsidRPr="00FE4270">
        <w:rPr>
          <w:rFonts w:ascii="Times New Roman" w:hAnsi="Times New Roman" w:cs="Times New Roman"/>
          <w:sz w:val="24"/>
          <w:szCs w:val="24"/>
        </w:rPr>
        <w:t>resta a</w:t>
      </w:r>
      <w:r>
        <w:rPr>
          <w:rFonts w:ascii="Times New Roman" w:hAnsi="Times New Roman" w:cs="Times New Roman"/>
          <w:sz w:val="24"/>
          <w:szCs w:val="24"/>
        </w:rPr>
        <w:t xml:space="preserve"> otra una cantidad de dinero para que la destine a </w:t>
      </w:r>
      <w:r w:rsidRPr="00FE4270">
        <w:rPr>
          <w:rFonts w:ascii="Times New Roman" w:hAnsi="Times New Roman" w:cs="Times New Roman"/>
          <w:sz w:val="24"/>
          <w:szCs w:val="24"/>
        </w:rPr>
        <w:t xml:space="preserve">obras de construcción, </w:t>
      </w:r>
      <w:hyperlink r:id="rId14" w:history="1">
        <w:r w:rsidRPr="00FE4270">
          <w:rPr>
            <w:rStyle w:val="Hipervnculo"/>
            <w:rFonts w:ascii="Times New Roman" w:hAnsi="Times New Roman" w:cs="Times New Roman"/>
            <w:color w:val="auto"/>
            <w:sz w:val="24"/>
            <w:szCs w:val="24"/>
          </w:rPr>
          <w:t>reparación</w:t>
        </w:r>
      </w:hyperlink>
      <w:r w:rsidRPr="00FE4270">
        <w:rPr>
          <w:rFonts w:ascii="Times New Roman" w:hAnsi="Times New Roman" w:cs="Times New Roman"/>
          <w:sz w:val="24"/>
          <w:szCs w:val="24"/>
        </w:rPr>
        <w:t xml:space="preserve"> y conservación de un bien. </w:t>
      </w:r>
      <w:r>
        <w:rPr>
          <w:rFonts w:ascii="Times New Roman" w:hAnsi="Times New Roman" w:cs="Times New Roman"/>
          <w:sz w:val="24"/>
          <w:szCs w:val="24"/>
        </w:rPr>
        <w:t xml:space="preserve">Para que se consideren como una causa de privilegio es necesario que estén anotados en el </w:t>
      </w:r>
      <w:hyperlink r:id="rId15" w:history="1">
        <w:r w:rsidRPr="00FE4270">
          <w:rPr>
            <w:rStyle w:val="Hipervnculo"/>
            <w:rFonts w:ascii="Times New Roman" w:hAnsi="Times New Roman" w:cs="Times New Roman"/>
            <w:color w:val="auto"/>
            <w:sz w:val="24"/>
            <w:szCs w:val="24"/>
          </w:rPr>
          <w:t>Registro de la Propiedad</w:t>
        </w:r>
      </w:hyperlink>
      <w:r>
        <w:rPr>
          <w:rFonts w:ascii="Times New Roman" w:hAnsi="Times New Roman" w:cs="Times New Roman"/>
          <w:sz w:val="24"/>
          <w:szCs w:val="24"/>
        </w:rPr>
        <w:t>.</w:t>
      </w:r>
    </w:p>
    <w:p w:rsidR="000A233F" w:rsidRPr="00FE4270"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privilegio consiste en que el acreedor en lugar de tener preferencia sobre la parte del bien objeto de refacción que ha resultado afectada por la reparación, la tiene sobre la totalidad del mismo.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por cuotas de arrendamiento financiero o plazos de compraventa con precio aplazado de bienes muebles o inmuebles, a favor de los arrendadores o vendedores y, en su caso, de los financiadores, sobre los bienes arrendados o vendidos con reserva de dominio, con prohibición de disponer o con condición resolutoria en caso de falta de pago</w:t>
      </w:r>
      <w:r>
        <w:rPr>
          <w:rFonts w:ascii="Times New Roman" w:hAnsi="Times New Roman" w:cs="Times New Roman"/>
          <w:i/>
          <w:sz w:val="24"/>
          <w:szCs w:val="24"/>
        </w:rPr>
        <w:t>”</w:t>
      </w:r>
      <w:r w:rsidRPr="00495265">
        <w:rPr>
          <w:rFonts w:ascii="Times New Roman" w:hAnsi="Times New Roman" w:cs="Times New Roman"/>
          <w:sz w:val="24"/>
          <w:szCs w:val="24"/>
        </w:rPr>
        <w:t>.</w:t>
      </w:r>
    </w:p>
    <w:p w:rsidR="000A233F" w:rsidRPr="006823E1"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El privilegio recae sobre los créditos por cuotas o créditos por plazos impagados pero no sobre los intereses, las indemnizaciones y costas porque respecto a éstos el crédito tendrá la consideración de ordinario o subordinado según corresponda.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con garantía de valores representados mediante anotaciones en cuenta, sobre los valores gravados</w:t>
      </w:r>
      <w:r>
        <w:rPr>
          <w:rFonts w:ascii="Times New Roman" w:hAnsi="Times New Roman" w:cs="Times New Roman"/>
          <w:i/>
          <w:sz w:val="24"/>
          <w:szCs w:val="24"/>
        </w:rPr>
        <w:t>”</w:t>
      </w:r>
      <w:r w:rsidRPr="00495265">
        <w:rPr>
          <w:rFonts w:ascii="Times New Roman" w:hAnsi="Times New Roman" w:cs="Times New Roman"/>
          <w:sz w:val="24"/>
          <w:szCs w:val="24"/>
        </w:rPr>
        <w:t>.</w:t>
      </w:r>
    </w:p>
    <w:p w:rsidR="000A233F" w:rsidRPr="00495265"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que este tipo de créditos ostenten la condición de privilegiados es necesario que su respectiva garantía esté constituida con los requisitos y de acuerdo a las formalidades previstas en su legislación específica para poder ser oponibles a terceros.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garantizados con prenda constituida en documento público, sobre los bienes o derechos pignorados que estén en posesión del acreedor o de un tercero</w:t>
      </w:r>
      <w:r>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Hay que tener en cuenta que la enumeración que hace el artículo 90 de la LC es solo eso, una enumeración y que por lo tanto las causas de preferencia no están jerarquizadas; y también que el privilegio especial solo alcanza a la parte del crédito que no exceda del valor de su garantía y en la parte restante se calificará según su naturaleza</w:t>
      </w:r>
      <w:r w:rsidRPr="003856EB">
        <w:rPr>
          <w:rStyle w:val="Refdenotaalpie"/>
          <w:rFonts w:ascii="Times New Roman" w:hAnsi="Times New Roman" w:cs="Times New Roman"/>
          <w:sz w:val="24"/>
          <w:szCs w:val="24"/>
        </w:rPr>
        <w:footnoteReference w:id="9"/>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que respecta al pago de este tipo de créditos debemos remitirnos al artículo 155 de la LC que dice se hará con cargo a los bienes o derechos a los cuales estén afectos. Existe la posibilidad de que la administración concursal opte por atender el pago de estos créditos con cargo a la masa y sin realización de los bienes o derechos afectos, pero para ello será necesario que no haya transcurrido el plazo de un año desde que se declaró el concurso sin que se haya abierto la fase de liquidación o bien que subsista la suspensión de la ejecución iniciada antes declararse el concurso.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realización de los bienes y derechos afectos a créditos con privilegio especial se debe hacer en subasta, salvo que el Juez del concurso autorice la venta directa al acreedor </w:t>
      </w:r>
      <w:r>
        <w:rPr>
          <w:rFonts w:ascii="Times New Roman" w:hAnsi="Times New Roman" w:cs="Times New Roman"/>
          <w:sz w:val="24"/>
          <w:szCs w:val="24"/>
        </w:rPr>
        <w:lastRenderedPageBreak/>
        <w:t xml:space="preserve">privilegiado siempre y cuando dicha venta se haga por un importe superior al mínimo pactado. En el caso de que un bien o derecho esté afecto a varios créditos con privilegio especial, los pagos se llevarán a cabo siguiendo un criterio de prioridad temporal.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b) </w:t>
      </w:r>
      <w:r w:rsidRPr="007E5676">
        <w:rPr>
          <w:rFonts w:ascii="Times New Roman" w:hAnsi="Times New Roman" w:cs="Times New Roman"/>
          <w:sz w:val="24"/>
          <w:szCs w:val="24"/>
          <w:u w:val="single"/>
        </w:rPr>
        <w:t>Créditos con privilegio general</w:t>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aquellos cuyo origen está en una decisión del legislador que expresamente los ha considerado como causas de cobro preferente.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Están contemplados en el artículo 91 de la LC y son:</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por salarios que no tengan reconocido privilegio especial, en la cuantía que resulte de multiplicar el triple del salario mínimo interprofesional por el número de días de salario pendientes de pago, las indemnizaciones derivadas de la extinción de los contratos, en la cuantía correspondiente al mínimo legal calculada sobre una base que no supere el triple del salario mínimo interprofesional, las indemnizaciones derivadas de accidente de trabajo y enfermedad profesional, devengados con anterioridad a la declaración de concurso. Igual privilegio ostentarán los capitales coste de Seguridad Social de los que sea legalmente responsable el concursado, y los recargos sobre las prestaciones por incumplimiento de las obligaciones en materia de salud laboral, siempre que sean devengadas con anterioridad a la declaración de concurso</w:t>
      </w:r>
      <w:r>
        <w:rPr>
          <w:rFonts w:ascii="Times New Roman" w:hAnsi="Times New Roman" w:cs="Times New Roman"/>
          <w:i/>
          <w:sz w:val="24"/>
          <w:szCs w:val="24"/>
        </w:rPr>
        <w:t>”.</w:t>
      </w:r>
    </w:p>
    <w:p w:rsidR="000A233F" w:rsidRPr="004133DD"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Son los comúnmente llamados créditos salariales, y se incluyen en este apartado todos aquellos que no gocen de un privilegio especial.</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Las cantidades correspondientes a retenciones tributarias y de Seguridad Social debidas por el concursado en cumplimiento de una obligación legal</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de personas naturales derivados del trabajo personal no dependiente y los que correspondan al propio autor por la cesión de los derechos de explotación de la obra objeto de propiedad intelectual, devengados durante los seis meses anteriores a la declaración del concurso</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 xml:space="preserve">Los créditos tributarios y demás de Derecho público, así como los créditos de la Seguridad Social que no gocen de privilegio especial conforme al </w:t>
      </w:r>
      <w:r>
        <w:rPr>
          <w:rFonts w:ascii="Times New Roman" w:hAnsi="Times New Roman" w:cs="Times New Roman"/>
          <w:i/>
          <w:sz w:val="24"/>
          <w:szCs w:val="24"/>
        </w:rPr>
        <w:t>a</w:t>
      </w:r>
      <w:r w:rsidRPr="008D7DBE">
        <w:rPr>
          <w:rFonts w:ascii="Times New Roman" w:hAnsi="Times New Roman" w:cs="Times New Roman"/>
          <w:i/>
          <w:sz w:val="24"/>
          <w:szCs w:val="24"/>
        </w:rPr>
        <w:t>partado 1 del artículo 90, ni del privilegio general del número 2.º de este artículo. Este privilegio podrá ejercerse para el conjunto de los créditos de la Hacienda Pública y para el conjunto de los créditos de la Seguridad Social, respectivamente, hasta el cincuenta por ciento de su importe</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“L</w:t>
      </w:r>
      <w:r w:rsidRPr="008D7DBE">
        <w:rPr>
          <w:rFonts w:ascii="Times New Roman" w:hAnsi="Times New Roman" w:cs="Times New Roman"/>
          <w:i/>
          <w:sz w:val="24"/>
          <w:szCs w:val="24"/>
        </w:rPr>
        <w:t>os créditos por responsabilidad civil extracontractual. No obstante, los daños personales no asegurados se tramitarán en concurrencia con los cr</w:t>
      </w:r>
      <w:r>
        <w:rPr>
          <w:rFonts w:ascii="Times New Roman" w:hAnsi="Times New Roman" w:cs="Times New Roman"/>
          <w:i/>
          <w:sz w:val="24"/>
          <w:szCs w:val="24"/>
        </w:rPr>
        <w:t>éditos recogidos en el número 4</w:t>
      </w:r>
      <w:r w:rsidRPr="008D7DBE">
        <w:rPr>
          <w:rFonts w:ascii="Times New Roman" w:hAnsi="Times New Roman" w:cs="Times New Roman"/>
          <w:i/>
          <w:sz w:val="24"/>
          <w:szCs w:val="24"/>
        </w:rPr>
        <w:t xml:space="preserve"> de este artículo</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8D7DBE"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en concepto de responsabilidad civil derivada de delito contra la Hacienda Pública y contra la Seguridad Social</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que supongan nuevos ingresos de tesorería concedidos en el marco de un acuerdo de refinanciación que reúna las condiciones previstas en el artículo 71.6 y en la cuantía no reconocida como crédito contra la masa</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50131A" w:rsidRDefault="000A233F" w:rsidP="000A233F">
      <w:pPr>
        <w:pStyle w:val="Sinespaciado"/>
        <w:spacing w:line="360" w:lineRule="auto"/>
        <w:jc w:val="both"/>
        <w:rPr>
          <w:rFonts w:ascii="Times New Roman" w:hAnsi="Times New Roman" w:cs="Times New Roman"/>
          <w:sz w:val="24"/>
          <w:szCs w:val="24"/>
        </w:rPr>
      </w:pPr>
      <w:r w:rsidRPr="009755C9">
        <w:rPr>
          <w:rFonts w:ascii="Times New Roman" w:hAnsi="Times New Roman" w:cs="Times New Roman"/>
          <w:sz w:val="24"/>
          <w:szCs w:val="24"/>
        </w:rPr>
        <w:t>Este apartado no será de aplicación hasta el de 2 de Octubre de 2016</w:t>
      </w:r>
      <w:r>
        <w:rPr>
          <w:rFonts w:ascii="Times New Roman" w:hAnsi="Times New Roman" w:cs="Times New Roman"/>
          <w:sz w:val="24"/>
          <w:szCs w:val="24"/>
        </w:rPr>
        <w:t xml:space="preserve"> al igual que tampoco se van a considerar como créditos contra la masa los contenidos en el artículo 84.2 apartado 11 </w:t>
      </w:r>
      <w:r w:rsidRPr="009755C9">
        <w:rPr>
          <w:rFonts w:ascii="Times New Roman" w:hAnsi="Times New Roman" w:cs="Times New Roman"/>
          <w:sz w:val="24"/>
          <w:szCs w:val="24"/>
        </w:rPr>
        <w:t>y en su lugar van a tener la considera</w:t>
      </w:r>
      <w:r>
        <w:rPr>
          <w:rFonts w:ascii="Times New Roman" w:hAnsi="Times New Roman" w:cs="Times New Roman"/>
          <w:sz w:val="24"/>
          <w:szCs w:val="24"/>
        </w:rPr>
        <w:t xml:space="preserve">ción de tales los créditos que ya explicamos cuando citamos ese apartado. </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D7DBE">
        <w:rPr>
          <w:rFonts w:ascii="Times New Roman" w:hAnsi="Times New Roman" w:cs="Times New Roman"/>
          <w:i/>
          <w:sz w:val="24"/>
          <w:szCs w:val="24"/>
        </w:rPr>
        <w:t>Los créditos de que fuera titular el acreedor a instancia del cual se hubiere declarado el concurso y que no tuvieren el carácter de subordinados, hasta el cincuenta por ciento de su importe</w:t>
      </w:r>
      <w:r>
        <w:rPr>
          <w:rFonts w:ascii="Times New Roman" w:hAnsi="Times New Roman" w:cs="Times New Roman"/>
          <w:i/>
          <w:sz w:val="24"/>
          <w:szCs w:val="24"/>
        </w:rPr>
        <w:t>”</w:t>
      </w:r>
      <w:r w:rsidRPr="008D7DBE">
        <w:rPr>
          <w:rFonts w:ascii="Times New Roman" w:hAnsi="Times New Roman" w:cs="Times New Roman"/>
          <w:i/>
          <w:sz w:val="24"/>
          <w:szCs w:val="24"/>
        </w:rPr>
        <w:t>.</w:t>
      </w:r>
    </w:p>
    <w:p w:rsidR="000A233F" w:rsidRPr="00E41C92"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sz w:val="24"/>
          <w:szCs w:val="24"/>
        </w:rPr>
        <w:t>En lo que respecta al pago de este tipo de créditos debemos remitirnos al artículo 156 de la LC que dice que se procederá al pago de los mismos una vez estén deducidos de la masa activa los bienes y derechos necesarios para la satisfacción de los créditos contra la masa y también aquellos afectos a créditos con privilegio especial, pero respetando el orden establecido por el artículo 91 de la LC y dentro de cada tipo de privilegio general usando el método de la prorrata.</w:t>
      </w:r>
      <w:r w:rsidRPr="000A2FAC">
        <w:rPr>
          <w:rFonts w:ascii="Times New Roman" w:hAnsi="Times New Roman" w:cs="Times New Roman"/>
          <w:sz w:val="24"/>
          <w:szCs w:val="24"/>
        </w:rPr>
        <w:t xml:space="preserve"> </w:t>
      </w:r>
      <w:r>
        <w:rPr>
          <w:rFonts w:ascii="Times New Roman" w:hAnsi="Times New Roman" w:cs="Times New Roman"/>
          <w:sz w:val="24"/>
          <w:szCs w:val="24"/>
        </w:rPr>
        <w:t>Cuando el Juez del concurso lo estime conveniente podrá autorizar que se paguen este tipo de créditos antes de que concluya el plazo para efectuar las impugnaciones pertinentes si previamente adopta las medidas cautelares que considere oportunas.</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 xml:space="preserve">     </w:t>
      </w:r>
      <w:r w:rsidRPr="007C6850">
        <w:rPr>
          <w:rFonts w:ascii="Times New Roman" w:hAnsi="Times New Roman" w:cs="Times New Roman"/>
          <w:sz w:val="24"/>
          <w:szCs w:val="24"/>
        </w:rPr>
        <w:t>1.2.3</w:t>
      </w:r>
      <w:r>
        <w:rPr>
          <w:rFonts w:ascii="Times New Roman" w:hAnsi="Times New Roman" w:cs="Times New Roman"/>
          <w:b/>
          <w:sz w:val="24"/>
          <w:szCs w:val="24"/>
        </w:rPr>
        <w:t xml:space="preserve"> Créditos subordinados.</w:t>
      </w:r>
    </w:p>
    <w:p w:rsidR="000A233F" w:rsidRPr="00137BE7"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El artículo 92 de la LC es el que recoge los considerados como créditos subordinados, y son los siguientes:</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que, habiendo sido comunicados tardíamente, sean incluidos por la administración concursal en la lista de acreedores, así como los que, no habiendo sido comunicados, o habiéndolo sido de forma tardía, sean incluidos en dicha lista por comunicaciones posteriores o por el juez al resolver sobre la impugnación de ésta</w:t>
      </w:r>
      <w:r>
        <w:rPr>
          <w:rFonts w:ascii="Times New Roman" w:hAnsi="Times New Roman" w:cs="Times New Roman"/>
          <w:i/>
          <w:sz w:val="24"/>
          <w:szCs w:val="24"/>
        </w:rPr>
        <w:t xml:space="preserve"> (…)”</w:t>
      </w:r>
    </w:p>
    <w:p w:rsidR="000A233F" w:rsidRPr="00B31C9C"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 dos excepciones: que sean créditos cuya existencia resulte de la documentación del deudor o que para su determinación sea necesaria la actuación de las Administraciones públicas en su función inspectora</w:t>
      </w:r>
      <w:r>
        <w:rPr>
          <w:rStyle w:val="Refdenotaalpie"/>
          <w:rFonts w:ascii="Times New Roman" w:hAnsi="Times New Roman" w:cs="Times New Roman"/>
          <w:sz w:val="24"/>
          <w:szCs w:val="24"/>
        </w:rPr>
        <w:footnoteReference w:id="10"/>
      </w:r>
      <w:r>
        <w:rPr>
          <w:rFonts w:ascii="Times New Roman" w:hAnsi="Times New Roman" w:cs="Times New Roman"/>
          <w:sz w:val="24"/>
          <w:szCs w:val="24"/>
        </w:rPr>
        <w:t xml:space="preserve">. </w:t>
      </w:r>
    </w:p>
    <w:p w:rsidR="000A233F" w:rsidRPr="0083694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que por pacto contractual tengan el carácter de subordinados respecto de todos los demás créditos contra el deudor</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Pr="0083694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por recargos e intereses de cualquier clase, incluidos los moratorios, salvo los correspondientes a créditos con garantía real hasta donde alcance la respectiva garantía</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Pr="0083694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por multas y demás sanciones pecuniarias</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 xml:space="preserve">Los créditos de que fuera titular alguna de las personas especialmente relacionadas con el deudor a las que se refiere el artículo siguiente, excepto los </w:t>
      </w:r>
      <w:r>
        <w:rPr>
          <w:rFonts w:ascii="Times New Roman" w:hAnsi="Times New Roman" w:cs="Times New Roman"/>
          <w:i/>
          <w:sz w:val="24"/>
          <w:szCs w:val="24"/>
        </w:rPr>
        <w:t>comprendidos en el artículo 91.1</w:t>
      </w:r>
      <w:r w:rsidRPr="0083694F">
        <w:rPr>
          <w:rFonts w:ascii="Times New Roman" w:hAnsi="Times New Roman" w:cs="Times New Roman"/>
          <w:i/>
          <w:sz w:val="24"/>
          <w:szCs w:val="24"/>
        </w:rPr>
        <w:t>º cuand</w:t>
      </w:r>
      <w:r>
        <w:rPr>
          <w:rFonts w:ascii="Times New Roman" w:hAnsi="Times New Roman" w:cs="Times New Roman"/>
          <w:i/>
          <w:sz w:val="24"/>
          <w:szCs w:val="24"/>
        </w:rPr>
        <w:t>o el deudor sea persona natural (…)”</w:t>
      </w:r>
    </w:p>
    <w:p w:rsidR="000A233F" w:rsidRPr="0083694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Se exceptúan de esta regla los créditos por alimentos nacidos y vencidos antes de la declaración de concurso que tendrán la consideración de crédito ordinario</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sidRPr="004121A2">
        <w:rPr>
          <w:rStyle w:val="Refdenotaalpie"/>
          <w:rFonts w:ascii="Times New Roman" w:hAnsi="Times New Roman" w:cs="Times New Roman"/>
          <w:sz w:val="24"/>
          <w:szCs w:val="24"/>
        </w:rPr>
        <w:footnoteReference w:id="11"/>
      </w:r>
      <w:r>
        <w:rPr>
          <w:rFonts w:ascii="Times New Roman" w:hAnsi="Times New Roman" w:cs="Times New Roman"/>
          <w:sz w:val="24"/>
          <w:szCs w:val="24"/>
        </w:rPr>
        <w:t xml:space="preserve">En relación con este tipo de créditos hay que acudir al artículo 93 de la LC que dice quienes son consideradas personas especialmente relacionadas con el deudor, pero dichas personas serán unas u otras dependiendo de si el deudor es: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persona física: los ascendientes, descendientes y hermanos del concursado; el cónyuge del concursado o quien lo hubiese sido en los dos años anteriores a la declaración del concurso, su pareja de hecho inscrita o las personas que convivan con él en una relación de afectividad en ese mismo periodo; los cónyuges de los ascendientes, descendientes y hermanos del concursado; las personas jurídicas controladas por el concursado o por alguna de las personas citadas en los apartados anteriores; las personas jurídicas que formen parte del grupo de empresas controladas por el concursado; y las personas jurídicas de las cuales alguna de las personas citadas sean administradores.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persona jurídica: los socios que conforme a la ley sean personal e ilimitadamente responsables de las deudas sociales así como aquellas personas especialmente relacionadas con ellos según lo descrito en el supuesto de que el deudor fuese una persona física; los administradores de hecho o de derecho, los liquidadores del concurso, los apoderados de la empresa y quienes hayan ostentado alguna de estas </w:t>
      </w:r>
      <w:r>
        <w:rPr>
          <w:rFonts w:ascii="Times New Roman" w:hAnsi="Times New Roman" w:cs="Times New Roman"/>
          <w:sz w:val="24"/>
          <w:szCs w:val="24"/>
        </w:rPr>
        <w:lastRenderedPageBreak/>
        <w:t xml:space="preserve">condiciones en los dos años anteriores a la declaración del concurso; y las sociedades que formen parte del mismo grupo que la persona jurídica declarada en concurso. </w:t>
      </w:r>
    </w:p>
    <w:p w:rsidR="000A233F" w:rsidRPr="0083694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que como consecuencia de rescisión concursal resulten a favor de quien en la sentencia haya sido declarado parte de mala fe en el acto impugnado</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3694F">
        <w:rPr>
          <w:rFonts w:ascii="Times New Roman" w:hAnsi="Times New Roman" w:cs="Times New Roman"/>
          <w:i/>
          <w:sz w:val="24"/>
          <w:szCs w:val="24"/>
        </w:rPr>
        <w:t>Los créditos derivados de los contratos con obligaciones recíprocas a que se refieren los artículos 61, 62, 68 y 69, cuando el juez constate, previo informe de la administración concursal, que el acreedor obstaculiza de forma reiterada el cumplimiento del contrato en perjuicio del interés del concurso</w:t>
      </w:r>
      <w:r>
        <w:rPr>
          <w:rFonts w:ascii="Times New Roman" w:hAnsi="Times New Roman" w:cs="Times New Roman"/>
          <w:i/>
          <w:sz w:val="24"/>
          <w:szCs w:val="24"/>
        </w:rPr>
        <w:t>”</w:t>
      </w:r>
      <w:r w:rsidRPr="0083694F">
        <w:rPr>
          <w:rFonts w:ascii="Times New Roman" w:hAnsi="Times New Roman" w:cs="Times New Roman"/>
          <w:i/>
          <w:sz w:val="24"/>
          <w:szCs w:val="24"/>
        </w:rPr>
        <w:t>.</w:t>
      </w:r>
    </w:p>
    <w:p w:rsidR="000A233F" w:rsidRPr="00137BE7" w:rsidRDefault="000A233F" w:rsidP="000A233F">
      <w:pPr>
        <w:pStyle w:val="Sinespaciado"/>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En lo que respecta al pago de este tipo de créditos debemos remitirnos al artículo 158 de la LC que dice que no se va a llevar a cabo hasta que se hayan satisfecho en su totalidad los créditos ordinarios. Si llega el momento de hacer frente al pago de los créditos subordinados habrá que respetar el orden establecido por el artículo 92 de la LC y dentro de cada tipo de subordinación se usará el método de la prorrata. </w:t>
      </w:r>
    </w:p>
    <w:p w:rsidR="000A233F" w:rsidRDefault="000A233F" w:rsidP="000A233F">
      <w:pPr>
        <w:pStyle w:val="Sinespaciado"/>
        <w:tabs>
          <w:tab w:val="left" w:pos="993"/>
        </w:tabs>
        <w:spacing w:line="360" w:lineRule="auto"/>
        <w:ind w:left="708"/>
        <w:jc w:val="both"/>
        <w:rPr>
          <w:rFonts w:ascii="Times New Roman" w:hAnsi="Times New Roman" w:cs="Times New Roman"/>
          <w:sz w:val="24"/>
          <w:szCs w:val="24"/>
        </w:rPr>
      </w:pPr>
      <w:r>
        <w:rPr>
          <w:rFonts w:ascii="Times New Roman" w:hAnsi="Times New Roman" w:cs="Times New Roman"/>
          <w:b/>
          <w:sz w:val="24"/>
          <w:szCs w:val="24"/>
        </w:rPr>
        <w:tab/>
      </w:r>
      <w:r w:rsidRPr="00801DB7">
        <w:rPr>
          <w:rFonts w:ascii="Times New Roman" w:hAnsi="Times New Roman" w:cs="Times New Roman"/>
          <w:sz w:val="24"/>
          <w:szCs w:val="24"/>
        </w:rPr>
        <w:t>2.</w:t>
      </w:r>
      <w:r w:rsidRPr="00801DB7">
        <w:rPr>
          <w:rFonts w:ascii="Times New Roman" w:hAnsi="Times New Roman" w:cs="Times New Roman"/>
          <w:b/>
          <w:sz w:val="24"/>
          <w:szCs w:val="24"/>
        </w:rPr>
        <w:t xml:space="preserve"> Comunicación de créditos</w:t>
      </w:r>
      <w:r>
        <w:rPr>
          <w:rFonts w:ascii="Times New Roman" w:hAnsi="Times New Roman" w:cs="Times New Roman"/>
          <w:sz w:val="24"/>
          <w:szCs w:val="24"/>
        </w:rPr>
        <w:t xml:space="preserve">.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 esta fase se refiere el artículo 85 de la LC. Es una fase esencial en el proceso de verificación de la masa pasiva porque consiste en comunicar a la Administración Concursal la existencia de créditos contra el concursado de los cuales son titulares los comunicantes. Según el primer apartado de este artículo los acreedores van a disponer del plazo de un mes para comunicar a la Administración Concursal que poseen créditos contra la persona que ha entrado en concurso de acreedores. Ese plazo se cuenta desde que se difunda la última publicación establecida por el auto de declaración del concurso que puede ser</w:t>
      </w:r>
      <w:r>
        <w:rPr>
          <w:rStyle w:val="Refdenotaalpie"/>
          <w:rFonts w:ascii="Times New Roman" w:hAnsi="Times New Roman" w:cs="Times New Roman"/>
          <w:sz w:val="24"/>
          <w:szCs w:val="24"/>
        </w:rPr>
        <w:footnoteReference w:id="12"/>
      </w:r>
      <w:r>
        <w:rPr>
          <w:rFonts w:ascii="Times New Roman" w:hAnsi="Times New Roman" w:cs="Times New Roman"/>
          <w:sz w:val="24"/>
          <w:szCs w:val="24"/>
        </w:rPr>
        <w:t>:</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·El anuncio del concurso en el Boletín Oficial del Estado (BOE en adelante).</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anuncio del concurso en uno de los diarios de mayor difusión de la provincia en la cual el deudor tenga su centro de intereses.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anuncio en uno de los diarios de mayor difusión de la provincia en la cual radique el domicilio del deudor siempre y cuando no coincida con el anterior.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Dicha comunicación se hará a través de un documento escrito que debe estar firmado por el acreedor, un interesado en el crédito o quien represente a alguno de los dos anteriores; y se presentará en domicilio que se haya indicado para tal efecto aunque también puede llevarse a cabo a través de medios electrónicos. Además de la firma señalada deberá contener el nombre, domicilio y demás datos personales del acreedor; </w:t>
      </w:r>
      <w:r>
        <w:rPr>
          <w:rFonts w:ascii="Times New Roman" w:hAnsi="Times New Roman" w:cs="Times New Roman"/>
          <w:sz w:val="24"/>
          <w:szCs w:val="24"/>
        </w:rPr>
        <w:lastRenderedPageBreak/>
        <w:t xml:space="preserve">el concepto, la cuantía, la fecha o fechas de adquisición y de vencimiento, las características y la calificación que se pretende obtener del crédito del cual es titular el acreedor comunicante; si se tratase de un crédito con privilegio especial además habría que añadir los bienes y derechos a los cuales afecta el mismo así como sus datos registrales; y un domicilio o una dirección electrónica para que la Administración concursal comunique todo lo que sea necesario.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Además el escrito debe ir acompañado de una copia impresa del título o de los documentos que reflejan el crédito, o en formato electrónico si se ha presentado a través de este medio de comunicación. Si estuviésemos ante un supuesto de concursos simultáneos de deudores solidarios, el acreedor junto con todo lo demás indicado podrá presentar un escrito que comunique la existencia de los mismos a la Administración concursal de cada uno de los distintos concursos.</w:t>
      </w:r>
    </w:p>
    <w:p w:rsidR="000A233F" w:rsidRDefault="000A233F" w:rsidP="000A233F">
      <w:pPr>
        <w:pStyle w:val="Sinespaciado"/>
        <w:tabs>
          <w:tab w:val="left" w:pos="993"/>
        </w:tabs>
        <w:spacing w:line="360" w:lineRule="auto"/>
        <w:ind w:left="708"/>
        <w:jc w:val="both"/>
        <w:rPr>
          <w:rFonts w:ascii="Times New Roman" w:hAnsi="Times New Roman" w:cs="Times New Roman"/>
          <w:b/>
          <w:sz w:val="24"/>
          <w:szCs w:val="24"/>
        </w:rPr>
      </w:pPr>
      <w:r>
        <w:rPr>
          <w:rFonts w:ascii="Times New Roman" w:hAnsi="Times New Roman" w:cs="Times New Roman"/>
          <w:sz w:val="24"/>
          <w:szCs w:val="24"/>
        </w:rPr>
        <w:t xml:space="preserve">         2.1 </w:t>
      </w:r>
      <w:r>
        <w:rPr>
          <w:rFonts w:ascii="Times New Roman" w:hAnsi="Times New Roman" w:cs="Times New Roman"/>
          <w:b/>
          <w:sz w:val="24"/>
          <w:szCs w:val="24"/>
        </w:rPr>
        <w:t>Insinuación de créditos.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El proceso de formación de la masa pasiva es complejo ya que hay que comprobar que cada uno de los créditos que lo van a integrar tengan derecho a ello. Son muchas las dudas que han ido surgiendo y también la jurisprudencia que se ha sentado sobre las mismas con el paso del tiempo, incluyendo en ésta los recursos y sentencias resueltos por el Tribunal Supremo (TS en adelante) que ha marcado unas líneas de actuación</w:t>
      </w:r>
      <w:r w:rsidRPr="00104E2A">
        <w:rPr>
          <w:rStyle w:val="Refdenotaalpie"/>
          <w:rFonts w:ascii="Times New Roman" w:hAnsi="Times New Roman" w:cs="Times New Roman"/>
          <w:sz w:val="24"/>
          <w:szCs w:val="24"/>
        </w:rPr>
        <w:footnoteReference w:id="13"/>
      </w:r>
      <w:r>
        <w:rPr>
          <w:rFonts w:ascii="Times New Roman" w:hAnsi="Times New Roman" w:cs="Times New Roman"/>
          <w:sz w:val="24"/>
          <w:szCs w:val="24"/>
        </w:rPr>
        <w:t>.</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En este proceso es necesaria la intervención de todos los interesados en que sus créditos sean reconocidos; así como la del concursado a pesar de que sea la Administración concursal quien tiene un papel determinante. La comprobación de la que hablamos recibe el nombre de verificación que consiste en: la comunicación o insinuación de créditos, la justificación de los mismos, su posterior reconocimiento por la Administración concursal y la posibilidad de impugnación de la lista de acreedores elaborada. Esta verificación puede hacerse de forma directa en el procedimiento concursal o en otros procedimientos específicos y singulares de cada crédito; pero teniendo en cuenta que estos procedimientos no pueden perjudicar el proceso concursal porque aunque están eventualmente conectados son procesos independientes entre sí.</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Esa conexión existe porque las resoluciones de los procedimientos específicos van a influir en la tramitación del proceso concursal ya que se integran en él con la finalidad de ayudar a dilucidar si se reconocen los créditos en cuestión o no. Ahora bien, esas resoluciones ayudan a la Administración concursal en su trabajo pero no la eximen de </w:t>
      </w:r>
      <w:r>
        <w:rPr>
          <w:rFonts w:ascii="Times New Roman" w:hAnsi="Times New Roman" w:cs="Times New Roman"/>
          <w:sz w:val="24"/>
          <w:szCs w:val="24"/>
        </w:rPr>
        <w:lastRenderedPageBreak/>
        <w:t xml:space="preserve">llevar a cabo las correspondientes verificaciones según las pautas concursales establecidas. También hay que tener en cuenta aquellos supuestos en los cuales un acreedor, cuyo crédito no ha sido reconocido en el proceso todavía, porque sí ha seguido un proceso específico y singular pero no lo ha comunicado a la Administración concursal tendrá la consideración de crédito litigioso o subordinado según se estime. En estos casos aunque el acreedor no actúe dentro del concurso puede la Administración concursal intervenir e incluir ese crédito en la lista de acuerdo con la resolución de su proceso singular. Pero esto no siempre sucede porque puede pasar que un crédito se comunique o insinúe por su acreedor titular cuando la lista esté ya cerrada y en estos casos el artículo 53 de la LC establece que el Juez del concurso queda vinculado por todas aquellas sentencias y laudos firmes que se dicten antes o después de la declaración del concurso y por lo tanto deberá situarlas dentro del proceso y en el lugar que corresponda. En definitiva se trata de procesos independientes al que para nosotros es el principal, a pesar de que influyan en él, y que dependiendo de su resolución podrán constar en el concurso.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verificación de los créditos es un presupuesto esencial del concurso porque con ésta se elabora la lista de acreedores que supone la determinación de la masa pasiva o lo que es lo mismo de la cantidad de la deuda del concursado. Además aunque el artículo 49 de la LC predica la integración universal de créditos realmente no es tan universal porque hay excepciones de créditos que no se integran en la masa pasiva y es en la justificación de esas excepciones donde radica la importancia de llevar a cabo una buena calificación de los créditos.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El proceso de verificación de los créditos alegados por los acreedores tiene como fin obtener un título que les habilite a formar parte del concurso. Puede hacerse según la LC a través de dos vías: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 instancia de parte: a solicitud de los acreedores, es la regla general. Si los acreedores no comunican sus créditos dentro del plazo</w:t>
      </w:r>
      <w:r w:rsidRPr="00274E0F">
        <w:rPr>
          <w:rFonts w:ascii="Times New Roman" w:hAnsi="Times New Roman" w:cs="Times New Roman"/>
          <w:sz w:val="24"/>
          <w:szCs w:val="24"/>
        </w:rPr>
        <w:t xml:space="preserve"> </w:t>
      </w:r>
      <w:r>
        <w:rPr>
          <w:rFonts w:ascii="Times New Roman" w:hAnsi="Times New Roman" w:cs="Times New Roman"/>
          <w:sz w:val="24"/>
          <w:szCs w:val="24"/>
        </w:rPr>
        <w:t>de un mes desde las publicaciones citadas cuando hemos desarrollado el contenido de su artículo 85, la LC dice que serán calificados como subordinados.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oficio” o de forma forzosa: hay excepciones a la regla general que es la anterior vía, en las cuales el acreedor acredita o la administración concursal reconoce que el crédito en cuestión resulta de la contabilidad del concursado y por lo tanto debe tenerse como efectiva su existencia. Aunque recibe este nombre, realmente no es una verdadera vía de oficio porque es necesaria la intervención de los acreedores. Estas excepciones </w:t>
      </w:r>
      <w:r>
        <w:rPr>
          <w:rFonts w:ascii="Times New Roman" w:hAnsi="Times New Roman" w:cs="Times New Roman"/>
          <w:sz w:val="24"/>
          <w:szCs w:val="24"/>
        </w:rPr>
        <w:lastRenderedPageBreak/>
        <w:t xml:space="preserve">consisten en que haya créditos que se reconozcan debido a que constan en los libros y reflejos contables del deudor y por lo tanto no será necesaria la comunicación por parte de los acreedores. Aunque puede suceder que el deudor no presente los documentos contables en los cuales figura el crédito, pero en estos casos si pasado el plazo establecido legalmente para la comunicación se presentan dichos documentos y el crédito aparece en ellos no se considerará como subordinado. Es importante saber que los acreedores cuyos créditos sean reconocidos por esta vía quedan exonerados de comunicarlos pero no de justificarlos.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objetivo en general de este proceso es delimitar el montante exacto de la deuda del concursado para confeccionar la lista de acreedores, tarea que es bastante compleja y por ello para agilizar los trámites de reconocimiento de créditos se estableció la vía “de oficio”. En este sentido se entiende que un crédito consta en la documentación del deudor cuando su existencia resulta de la misma, es decir, cuando de ella se puede extraer de forma cierta y manifiesta que el crédito existe ya sea porque figura escrito o porque lo que consta es el negocio del cual derivó.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Lo que hay que tener claro es que ya sea por una vía o por otra como se lleve a cabo el reconocimiento de los créditos, los acreedores se someten a las reglas del concurso para hacer valer el derecho que tienen contra el deudor.</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Numerosa jurisprudencia considera que los acreedores han perdido el papel de protagonistas en esta fase del proceso concursal, quedando sustituidos por la administración concursal. Ahora se los acreedores se limitan a la insinuación de sus créditos con la posterior posibilidad de impugnación de la lista de acreedores provisional; mientras que antes de la reforma de 2003 la masa de acreedores era la encargada de decidir si los créditos se reconocían o no y en caso positivo como se clasificaban. Pero el cambio se ha debido a que el legislador considera que es preferible que sea un administrador concursal o varios si la administración concursal tiene dos o tres miembros quien se encargue de sustanciar la verificación de créditos y así lo manifiesta en la exposición de motivos de la LC. Esto no significa que los acreedores hayan quedado fuera de juego porque tienen que participar activamente para que sea la administración concursal quien los haga pasar de acreedores concursales a acreedores concurrentes.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También hay que decir que no se obliga a ningún acreedor a participar en el proceso porque dicha actuación es un derecho que tienen derivado de su crédito pero que puede no ser ejercitado rechazando participar en el concurso. Quien sí tiene la obligación de </w:t>
      </w:r>
      <w:r>
        <w:rPr>
          <w:rFonts w:ascii="Times New Roman" w:hAnsi="Times New Roman" w:cs="Times New Roman"/>
          <w:sz w:val="24"/>
          <w:szCs w:val="24"/>
        </w:rPr>
        <w:lastRenderedPageBreak/>
        <w:t>actuar es la administración concursal que tiene encomendada entre otras la tarea de llevar a cabo la verificación del pasivo del deudor, por lo tanto la función de ésta no es meramente dispositiva o auxiliar del Juez del concurso sino que tiene un poder de disposición sobre la lista de acreedores.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Para que los acreedores actúen es necesaria la comunicación de la declaración del concurso a los mismos, cosa que tiene 2 funciones: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·Acercar el auto de declaración del concurso a los acreedores para que conozcan la situación de insolvencia del deudor.</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·Estimularlos para que actúen en el proceso ejercitando su pretensión.</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Esa comunicación la hace la administración concursal de forma individualizada a cada acreedor para que ya estando informados de la declaración del concurso se encarguen de recabar toda la documentación necesaria para justificar su actuación. En esta tarea es fundamental la diligencia de la administración concursal pero no cabe duda de que necesitan la ayuda de otros expertos que la auxilien en esta compleja labor, porque cualquier actuación negligente u omisión por parte de ésta puede suponer un grave daño a la masa del concurso o a alguno de los acreedores en concreto cuando no se le reconozca su crédito o se le reconozca por una cantidad menor de la que tiene realmente. En numerosas ocasiones se articulan medios o instrumentos adicionales de ayuda a la administración concursal en esta fase del concurso, para evitar el resultado de las omisiones por su parte y facilitar la intervención de los acreedores como por ejemplo las páginas web.</w:t>
      </w:r>
    </w:p>
    <w:p w:rsidR="000A233F" w:rsidRPr="00A74BBB"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Hay un detalle que hasta ahora no habíamos mencionado y es que la LC permite al deudor entregar una lista de acreedores elaborada por él en el momento de la declaración del concurso. Ésta se usa como punto de partida pero no se toma como cierta totalmente ya que lo normal es que esté incompleta. De esto se deduce que el deudor tiene el deber de colaborar con la administración concursal y con el Juez aportándoles toda la documentación que le sea requerida; cosa que no sucede con los acreedores porque este deber solo lo tiene el deudor con los dos órganos citados. </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   2.2 </w:t>
      </w:r>
      <w:r>
        <w:rPr>
          <w:rFonts w:ascii="Times New Roman" w:hAnsi="Times New Roman" w:cs="Times New Roman"/>
          <w:b/>
          <w:sz w:val="24"/>
          <w:szCs w:val="24"/>
        </w:rPr>
        <w:t>Naturaleza jurídica de la verificación de créditos.</w:t>
      </w:r>
    </w:p>
    <w:p w:rsidR="000A233F" w:rsidRPr="00137BE7"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Los acreedores deben justificar las relaciones jurídicas que han dado lugar a los créditos que quieren que les sean reconocidos en el concurso; pero no solo ellos deben justificar </w:t>
      </w:r>
      <w:r>
        <w:rPr>
          <w:rFonts w:ascii="Times New Roman" w:hAnsi="Times New Roman" w:cs="Times New Roman"/>
          <w:sz w:val="24"/>
          <w:szCs w:val="24"/>
        </w:rPr>
        <w:lastRenderedPageBreak/>
        <w:t>sus pretensiones sino que también la administración concursal debe explicar porque un acreedor es excluido de la lista de acreedores</w:t>
      </w:r>
      <w:r w:rsidRPr="00D80F96">
        <w:rPr>
          <w:rStyle w:val="Refdenotaalpie"/>
          <w:rFonts w:ascii="Times New Roman" w:hAnsi="Times New Roman" w:cs="Times New Roman"/>
          <w:sz w:val="24"/>
          <w:szCs w:val="24"/>
        </w:rPr>
        <w:footnoteReference w:id="14"/>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esto surge la discusión doctrinal sobre si la fase de verificación tiene una naturaleza ejecutiva o declarativa. Para aclarar esta cuestión hay que partir del hecho de que es obligatorio el procedimiento de verificación de créditos pero esto no significa que sea un proceso automático. Con la verificación se obtiene el título necesario para participar en el concurso, es decir, a través de ese título la administración concursal declara y reconoce la existencia de los créditos contra el deudor. Pero la verificación no tiene como función solo la de fijar el montante del pasivo sino que además debe comprobarlo y valorarlo título por título, independientemente de la clasificación que tenga cada uno porque todos deben ser comprobados sin excepción.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una correcta y eficaz comprobación por parte de la administración concursal, cada acreedor debe probar la existencia de su crédito porque lo que se comprueban son créditos y no expectativas de derechos.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tiene una labor analítica en el sentido de que aunque el concursado en el momento de la declaración del concurso debe presentar el inventario de bienes y derechos así como una primera lista de acreedores, es la encargada de analizar esos listados y comprobarlos para decidir que acreedores tienen derecho a participar en el concurso. Con la finalidad de elaborar la lista definitiva de acreedores, la administración concursal puede y debe enjuiciar  examinar todas las pruebas que estén a su alcance ya sea aportadas por el deudor, los acreedores o que consten en los reflejos contables del deudor.</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Administración concursal tiene a su disposición los medios de prueba a los que hace referencia el Código de Comercio cuando se remite a los artículos 51 y 1214 del Código Civil y al artículo 299 de la Ley de Enjuiciamiento Civil; algunos son las facturas o los libros de comercio. Claro está que los acreedores también pueden disponer de estos medios de prueba que después serán valorados por la administración concursal.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Después de que los acreedores demanden el reconocimiento de sus créditos aportando los correspondientes documentos justificativos y de que la administración concursal lleve a cabo las valoraciones y  comprobaciones oportunas concluirá la </w:t>
      </w:r>
      <w:proofErr w:type="spellStart"/>
      <w:r>
        <w:rPr>
          <w:rFonts w:ascii="Times New Roman" w:hAnsi="Times New Roman" w:cs="Times New Roman"/>
          <w:sz w:val="24"/>
          <w:szCs w:val="24"/>
        </w:rPr>
        <w:t>concursalidad</w:t>
      </w:r>
      <w:proofErr w:type="spellEnd"/>
      <w:r>
        <w:rPr>
          <w:rFonts w:ascii="Times New Roman" w:hAnsi="Times New Roman" w:cs="Times New Roman"/>
          <w:sz w:val="24"/>
          <w:szCs w:val="24"/>
        </w:rPr>
        <w:t xml:space="preserve"> o </w:t>
      </w:r>
      <w:proofErr w:type="spellStart"/>
      <w:r>
        <w:rPr>
          <w:rFonts w:ascii="Times New Roman" w:hAnsi="Times New Roman" w:cs="Times New Roman"/>
          <w:sz w:val="24"/>
          <w:szCs w:val="24"/>
        </w:rPr>
        <w:t>extraconcursalidad</w:t>
      </w:r>
      <w:proofErr w:type="spellEnd"/>
      <w:r>
        <w:rPr>
          <w:rFonts w:ascii="Times New Roman" w:hAnsi="Times New Roman" w:cs="Times New Roman"/>
          <w:sz w:val="24"/>
          <w:szCs w:val="24"/>
        </w:rPr>
        <w:t xml:space="preserve"> de los mismos, quedando así redactada la primera lista de acreedores provisional. Dicha lista expresará la identidad del acreedor, la causa, cuantía principal, </w:t>
      </w:r>
      <w:r>
        <w:rPr>
          <w:rFonts w:ascii="Times New Roman" w:hAnsi="Times New Roman" w:cs="Times New Roman"/>
          <w:sz w:val="24"/>
          <w:szCs w:val="24"/>
        </w:rPr>
        <w:lastRenderedPageBreak/>
        <w:t>intereses, fecha de origen, fecha de vencimiento, garantías y calificación de cada crédito; además debe presentarse en el plazo de 2 meses (salvo prórroga) junto con el inventario de bienes y derechos y de un informe de evaluación de las propuestas de convenio presentadas.</w:t>
      </w:r>
    </w:p>
    <w:p w:rsidR="000A233F" w:rsidRPr="00035E57"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publicada dicha lista debe ser revisada por los acreedores para que vean como han quedado reflejados en ella y si están o no conformes con dicho reflejo, en el caso de que no lo estuviera o no apareciesen en la misma deberán proceder a la impugnación de la lista. </w:t>
      </w:r>
    </w:p>
    <w:p w:rsidR="000A233F" w:rsidRDefault="000A233F" w:rsidP="000A233F">
      <w:pPr>
        <w:pStyle w:val="Sinespaciado"/>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2.3</w:t>
      </w:r>
      <w:r>
        <w:rPr>
          <w:rFonts w:ascii="Times New Roman" w:hAnsi="Times New Roman" w:cs="Times New Roman"/>
          <w:b/>
          <w:sz w:val="24"/>
          <w:szCs w:val="24"/>
        </w:rPr>
        <w:t xml:space="preserve"> </w:t>
      </w:r>
      <w:r w:rsidRPr="00FB203B">
        <w:rPr>
          <w:rFonts w:ascii="Times New Roman" w:hAnsi="Times New Roman" w:cs="Times New Roman"/>
          <w:b/>
          <w:sz w:val="24"/>
          <w:szCs w:val="24"/>
        </w:rPr>
        <w:t>Concursalidad de los acreedores</w:t>
      </w:r>
      <w:r w:rsidRPr="00DB15D0">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que el principio de Concursalidad sea efectivo es necesario que los acreedores insinúen sus créditos o soliciten a la administración concursal ser incorporados al proceso de una forma justificada porque solo así tendrán posibilidad de ver satisfechos sus créditos. De esto se deduce que la declaración de un concurso no solo supone la situación de insolvencia de un deudor sino también la situación de incertidumbre de sus acreedores que podrá solventarse si estos comunican sus créditos para concurrir al concurso. Este principio abarca a todos los acreedores independientemente de las condiciones relativas a sus créditos y la no comunicación podría suponer la pérdida del derecho a formar parte del proceso concursal, salvo que se trate de un caso de comunicación automática o forzosa por parte de la administración concursal, o su calificación como subordinado</w:t>
      </w:r>
      <w:r w:rsidRPr="00DB15D0">
        <w:rPr>
          <w:rStyle w:val="Refdenotaalpie"/>
          <w:rFonts w:ascii="Times New Roman" w:hAnsi="Times New Roman" w:cs="Times New Roman"/>
          <w:sz w:val="24"/>
          <w:szCs w:val="24"/>
        </w:rPr>
        <w:footnoteReference w:id="15"/>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verificación de créditos comienza con su insinuación o con la demanda de admisión a la administración concursal, la cual se hará por escrito debiendo de ir acompañada de los documentos justificativos de los créditos. Con este escrito se facilita bastante el trabajo de la administración concursal y además son muchas las facilidades ofertadas para que los acreedores comuniquen sus créditos.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regla general todos los créditos se integran en el pasivo pero como toda regla tiene sus excepciones, ésta tiene las llamadas exclusiones. Algunas de ellas son los conocidos como acreedores de dominio, los acreedores de arrendamiento financiero o los acreedores titulares de una obligación personalísima del deudor.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principio de Concursalidad no distingue entre acreedores nacionales y extranjeros porque ambos tipos son acreedores del deudor, pero sí hay que decir que el caso de los </w:t>
      </w:r>
      <w:r>
        <w:rPr>
          <w:rFonts w:ascii="Times New Roman" w:hAnsi="Times New Roman" w:cs="Times New Roman"/>
          <w:sz w:val="24"/>
          <w:szCs w:val="24"/>
        </w:rPr>
        <w:lastRenderedPageBreak/>
        <w:t xml:space="preserve">acreedores extranjeros es más complejo por la necesidad de comunicación entre los estados de éste y del deudor para la sustanciación del proceso.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Está claro que aquel acreedor que no desee formar parte del concurso no comunicará su crédito o en el caso de que conste de modo automático puede renunciar, pero puede suceder que si estamos ante un concurso de grandes dimensiones muchos de esos acreedores no sepan si su crédito consta o no en los reflejos contables del deudor; por ello esto se ha tratado de solucionar a través de dos vías: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·Llamamiento en el BOE y en uno de los periódicos de mayor difusión.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·Notificaciones personales a los acreedores.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Con estas vías se trata de estimular la actuación de los acreedores y consecuentemente agilizar los trámites que debe llevar a cabo la administración concursal. Con el paso de los años los medios electrónicos o telemáticos han cobrado fuerza en este sector por la fluidez que dan a las comunicaciones entre acreedores y administración concursal pero las otras dos vías son las que se tienen en cuenta a los efectos de publicidad de la declaración del concurso. Esto se debe a que la LC no contempla como medio de publicidad Internet, es decir, no es un medio obligatorio sino complementario.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Una duda que suele surgir es si el plazo para la comunicación (un mes) se cuenta desde la comunicación genérica o desde la individualizada, y la solución a la misma es la primera opción porque es la que lleva a cabo el Juez del concurso con carácter general, mientras que la individualizada la realiza la administración concursal pero solo a aquellos acreedores cuya existencia conozca.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Pueden surgir complicaciones cuando en el concurso haya acreedores extranjeros especialmente </w:t>
      </w:r>
      <w:proofErr w:type="gramStart"/>
      <w:r>
        <w:rPr>
          <w:rFonts w:ascii="Times New Roman" w:hAnsi="Times New Roman" w:cs="Times New Roman"/>
          <w:sz w:val="24"/>
          <w:szCs w:val="24"/>
        </w:rPr>
        <w:t>relacionadas</w:t>
      </w:r>
      <w:proofErr w:type="gramEnd"/>
      <w:r>
        <w:rPr>
          <w:rFonts w:ascii="Times New Roman" w:hAnsi="Times New Roman" w:cs="Times New Roman"/>
          <w:sz w:val="24"/>
          <w:szCs w:val="24"/>
        </w:rPr>
        <w:t xml:space="preserve"> con el conocimiento del mismo y con el cómputo de los plazos. En este sentido la LC establece que la administración concursal debe informar de forma individualizada a los acreedores extranjeros por escrito de la situación del deudor para que conozcan la existencia del concurso. Aquí hay una diferencia entre los acreedores nacionales y los extranjeros, la cual consiste en que a los primeros se les puede comunicar el concurso directamente mientras que a los segundos no porque necesariamente debe hacerse por escrito.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Además hay que tener en cuenta los otros medios de publicidad del concurso porque es complicado que los acreedores extranjeros accedan tanto al BOE como a los diarios nacionales, locales o regionales; por eso la LC también contempla la publicidad internacional que consiste en que la administración concursal solicite la publicidad del auto de declaración del concurso en un  medio extranjero cuando la misma convenga al </w:t>
      </w:r>
      <w:r>
        <w:rPr>
          <w:rFonts w:ascii="Times New Roman" w:hAnsi="Times New Roman" w:cs="Times New Roman"/>
          <w:sz w:val="24"/>
          <w:szCs w:val="24"/>
        </w:rPr>
        <w:lastRenderedPageBreak/>
        <w:t>concurso. Pero a pesar de esta publicidad la verdad es que la situación de los acreedores extranjeros está en desventaja respecto de los nacionales, pero el plazo de insinuación o comunicación es el mismo para ambos.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Ahora bien en estos casos hay que tener en cuenta una norma, el Reglamento Europeo 1346/2000 sobre procedimientos de insolvencia</w:t>
      </w:r>
      <w:r>
        <w:rPr>
          <w:rStyle w:val="Refdenotaalpie"/>
          <w:rFonts w:ascii="Times New Roman" w:hAnsi="Times New Roman" w:cs="Times New Roman"/>
          <w:sz w:val="24"/>
          <w:szCs w:val="24"/>
        </w:rPr>
        <w:footnoteReference w:id="16"/>
      </w:r>
      <w:r>
        <w:rPr>
          <w:rFonts w:ascii="Times New Roman" w:hAnsi="Times New Roman" w:cs="Times New Roman"/>
          <w:sz w:val="24"/>
          <w:szCs w:val="24"/>
        </w:rPr>
        <w:t xml:space="preserve"> que establece:</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contenido de la notificación que la administración concursal debe enviar a los acreedores extranjeros (plazo, órgano, sanción correspondiente por incumplimiento de plazo, y en el supuesto de que se trate de créditos con garantía real también deberá indicarse si el crédito se tiene que presentar o no).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lengua de la notificación. En principio se redactará en la lengua oficial del estado en el cual esté abierto el concurso, pero el título de la notificación deberá aparecer en todas las lenguas oficiales de la UE.</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que respecta a los medios electrónicos pueden ayudar en ciertos casos pero no son un medio elemental en la materia porque no todas las empresas tienen un sitio web ni tampoco todos los acreedores tiene correo electrónico o en el caso de que lo tengan no tiene porqué habérselo facilitado al deudor.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tiene el deber de comunicar individualizada mente a los acreedores del concurso el auto que lo declara. Puede suceder que con dicha comunicación solo se informe de la existencia del proceso concursal para animar a los acreedores a actuar en el mismo; o bien que además se les informe de la cuantía de su crédito y la calificación dada al mismo según los reflejos contables del deudor y entonces los acreedores deberán decir a la administración concursal si están conformes o no con la información suministrada.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Como hemos dicho anteriormente el deber de comunicación de la administración concursal no sustituye la carga de los acreedores que deben comunicar sus créditos si desean formar parte del concurso, ya que éste es el cauce ordinario para participar en él pero no es el único. Aunque no hay que olvidar que en ningún caso se puede obligar a un acreedor a comunicar su crédito y por lo tanto a entrar en el concurso si éste no lo desea. En el caso de que la comunicación sea tardía acarreará el acreedor con las correspondientes consecuencias, las cuales más adelante explicaremos.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Ahora bien, distinto es el caso de los acreedores que desconocen el concurso y no han anticipado la insolvencia del deudor. Está claro que no todos los acreedores pueden </w:t>
      </w:r>
      <w:r>
        <w:rPr>
          <w:rFonts w:ascii="Times New Roman" w:hAnsi="Times New Roman" w:cs="Times New Roman"/>
          <w:sz w:val="24"/>
          <w:szCs w:val="24"/>
        </w:rPr>
        <w:lastRenderedPageBreak/>
        <w:t>permitirse económicamente conocer en todo momento la exacta situación financiera del deudor pero los que al menos sigan la actividad del mismo podrán comunicar sus créditos en el plazo establecido legalmente e incluso garantizarlos con carácter previo a la declaración del concurso.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los que no pueden llevar a cabo dicha observancia solo queda la opción de comunicar de forma individualiza sus créditos a la administración concursal e insinuarlos en el proceso de verificación para que sean tenidos como concurrentes.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ya hemos comentado la comunicación de los créditos es voluntaria y supone que éstos pasen a ser concurrentes. Para ello es necesario que se pruebe tanto la relación jurídica que une al acreedor con el deudor concursado como la fecha de la misma y el crédito resultante de ella, porque el crédito que no resulte comunicado (salvo los casos de reconocimiento forzoso o automático) o debidamente probado será ineficaz en el concurso. Es esencial por tanto llevar a cabo de forma efectiva la prueba del crédito en toda su extensión, ya que la misma no solo se dirige a la administración concursal sino también al resto de acreedores implicados porque de la prueba depende la confección de la lista de acreedores. Es decir, la inclusión o no de un acreedor </w:t>
      </w:r>
      <w:proofErr w:type="gramStart"/>
      <w:r>
        <w:rPr>
          <w:rFonts w:ascii="Times New Roman" w:hAnsi="Times New Roman" w:cs="Times New Roman"/>
          <w:sz w:val="24"/>
          <w:szCs w:val="24"/>
        </w:rPr>
        <w:t>afecta</w:t>
      </w:r>
      <w:proofErr w:type="gramEnd"/>
      <w:r>
        <w:rPr>
          <w:rFonts w:ascii="Times New Roman" w:hAnsi="Times New Roman" w:cs="Times New Roman"/>
          <w:sz w:val="24"/>
          <w:szCs w:val="24"/>
        </w:rPr>
        <w:t xml:space="preserve"> a los demás ya que de eso puede depender el aumento o la reducción de las posibilidades de satisfacción de sus créditos.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que respecta a los créditos privilegiados además los acreedores deberán comunicar cuales son las causas de preferencia, probarlas y justificarlas. Lo más normal es que los privilegios surjan de negociaciones y por ello es importante probar ese negocio para hacer valer el crédito preferencial frente a los demás acreedores ya que la preferencia no vale frente al deudor, porque éste no efectuará el pago sino que esa tarea corresponde a la administración concursal. Cuando este tipo de acreedor no comunica su crédito en el tiempo que corresponde acarreará con las consecuencias oportunas pero en la mayoría de los casos no serán créditos ineficaces porque las garantías que convierten un crédito en privilegiado suelen constar en documento público y esto le va a dar la posibilidad al acreedor de impugnar la lista de acreedores provisional que se apruebe. Además de que la LC contempla el reconocimiento forzoso por parte de la administración concursal de los créditos que consten en registros públicos.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Cuando se trata de créditos subordinados los acreedores también deben comunicarlos y poner los medios para que sean verificados, porque seguramente cuando lleven a cabo la comunicación </w:t>
      </w:r>
      <w:proofErr w:type="gramStart"/>
      <w:r>
        <w:rPr>
          <w:rFonts w:ascii="Times New Roman" w:hAnsi="Times New Roman" w:cs="Times New Roman"/>
          <w:sz w:val="24"/>
          <w:szCs w:val="24"/>
        </w:rPr>
        <w:t>ignorarán</w:t>
      </w:r>
      <w:proofErr w:type="gramEnd"/>
      <w:r>
        <w:rPr>
          <w:rFonts w:ascii="Times New Roman" w:hAnsi="Times New Roman" w:cs="Times New Roman"/>
          <w:sz w:val="24"/>
          <w:szCs w:val="24"/>
        </w:rPr>
        <w:t xml:space="preserve"> que serán calificados como tales, ya que esto se hace conforme a una serie de criterios objetivos y automáticos que no se refieren a las circunstancias </w:t>
      </w:r>
      <w:r>
        <w:rPr>
          <w:rFonts w:ascii="Times New Roman" w:hAnsi="Times New Roman" w:cs="Times New Roman"/>
          <w:sz w:val="24"/>
          <w:szCs w:val="24"/>
        </w:rPr>
        <w:lastRenderedPageBreak/>
        <w:t>del crédito. Se puede decir que los créditos subordinados son todo lo contrario a los privilegiados, ya que los titulares de los primeros quedan relegados en la tutela de sus créditos mientras que los segundos tienen una preferencia de trato.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Otro supuesto es el de los créditos por intereses, que la mayoría de las veces la LC califica como subordinados pero no distingue el tipo de interés de que se trate. Es lógico que no tenga la misma calificación un crédito principal que uno por intereses ya que no tiene la misma categoría jurídica. Lo que sí distingue la LC es si dichos intereses se generan antes (</w:t>
      </w:r>
      <w:proofErr w:type="spellStart"/>
      <w:r>
        <w:rPr>
          <w:rFonts w:ascii="Times New Roman" w:hAnsi="Times New Roman" w:cs="Times New Roman"/>
          <w:sz w:val="24"/>
          <w:szCs w:val="24"/>
        </w:rPr>
        <w:t>preconcursales</w:t>
      </w:r>
      <w:proofErr w:type="spellEnd"/>
      <w:r>
        <w:rPr>
          <w:rFonts w:ascii="Times New Roman" w:hAnsi="Times New Roman" w:cs="Times New Roman"/>
          <w:sz w:val="24"/>
          <w:szCs w:val="24"/>
        </w:rPr>
        <w:t>) o después de la declaración del concurso (</w:t>
      </w:r>
      <w:proofErr w:type="spellStart"/>
      <w:r>
        <w:rPr>
          <w:rFonts w:ascii="Times New Roman" w:hAnsi="Times New Roman" w:cs="Times New Roman"/>
          <w:sz w:val="24"/>
          <w:szCs w:val="24"/>
        </w:rPr>
        <w:t>postconcursales</w:t>
      </w:r>
      <w:proofErr w:type="spellEnd"/>
      <w:r>
        <w:rPr>
          <w:rFonts w:ascii="Times New Roman" w:hAnsi="Times New Roman" w:cs="Times New Roman"/>
          <w:sz w:val="24"/>
          <w:szCs w:val="24"/>
        </w:rPr>
        <w:t xml:space="preserve">) porque dependiendo del momento les dará un tratamiento u otro.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empezar la LC veta la posibilidad de que los créditos devenguen intereses una vez declarado el concurso, salvo los supuestos tasados legalmente, de forma que si procede que devenguen intereses el crédito se calificará como subordinado; mientras que los devengados antes de la declaración del concurso tendrán la misma consideración que el crédito principal.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subordinación de los créditos por intereses </w:t>
      </w:r>
      <w:proofErr w:type="spellStart"/>
      <w:r>
        <w:rPr>
          <w:rFonts w:ascii="Times New Roman" w:hAnsi="Times New Roman" w:cs="Times New Roman"/>
          <w:sz w:val="24"/>
          <w:szCs w:val="24"/>
        </w:rPr>
        <w:t>postconcursales</w:t>
      </w:r>
      <w:proofErr w:type="spellEnd"/>
      <w:r>
        <w:rPr>
          <w:rFonts w:ascii="Times New Roman" w:hAnsi="Times New Roman" w:cs="Times New Roman"/>
          <w:sz w:val="24"/>
          <w:szCs w:val="24"/>
        </w:rPr>
        <w:t xml:space="preserve"> es general, es decir, no depende del tipo de crédito que sea el principal. Esto supone que en el caso de que proceda la liquidación de los créditos en el concurso, los créditos por este tipo de intereses se van a satisfacer después de los ordinarios y dentro de los subordinados en el nivel correspondiente que normalmente será el tercero. Ahora bien, si lo que procede es la suspensión material del concurso, este tipo de créditos sufrirá las mismas consecuencias que el resto.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conclusión de este apartado es que solo se subordinan los créditos por intereses devengados tras la declaración del concurso, porque los </w:t>
      </w:r>
      <w:proofErr w:type="spellStart"/>
      <w:r>
        <w:rPr>
          <w:rFonts w:ascii="Times New Roman" w:hAnsi="Times New Roman" w:cs="Times New Roman"/>
          <w:sz w:val="24"/>
          <w:szCs w:val="24"/>
        </w:rPr>
        <w:t>preconcursales</w:t>
      </w:r>
      <w:proofErr w:type="spellEnd"/>
      <w:r>
        <w:rPr>
          <w:rFonts w:ascii="Times New Roman" w:hAnsi="Times New Roman" w:cs="Times New Roman"/>
          <w:sz w:val="24"/>
          <w:szCs w:val="24"/>
        </w:rPr>
        <w:t xml:space="preserve"> concurren junto con el crédito principal respectivo.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Otra casuística distinta es la que se da cuando se trata de concursos simultáneos. Los acreedores en estos casos pueden comunicar sus créditos a la administración concursal de cada concurso pero dicha comunicación tiene como límite la cuantía del crédito ya que cobrará como máximo dicha cantidad. Hasta tal punto llega este límite que se le exige al acreedor presentar los escritos a través de los cuales ha comunicado su crédito en los distintos procedimientos a cada administración concursal así como también aquellos documentos que justifique que parte del crédito le ha sido abonada en un concurso u otro de forma que una administración concursal puede retener el pago hasta que el acreedor presente los justificantes de pago de las otras administraciones concursales.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De esto se deduce que el acreedor en cada concurso simultáneo puede comunicar la totalidad del crédito, pero esto no significa que si va recibiendo pagos dicha cantidad permanezca fija, sino que dichos pagos también deber ser comunicados a todas las administraciones concursales para ser descontados del mismo. Con esto se trata de evitar que los acreedores en estos casos cobren una cantidad superior a la de su crédito.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concluir este apartado es esencial hablar de la comunicación tardía de créditos, que es la que se hace después de aprobarse la lista definitiva de acreedores y que supone la calificación de los mismos como subordinados. Dicha calificación se entiende como un castigo a la falta de diligencia del acreedor que no ha respetado el tipo dado para la comunicación de los créditos. Ahora bien, no se calificará como subordinado el crédito de un acreedor que no haya sido culpable de la tardanza porque la misma se debió a la negligencia de la administración concursal.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retraso en la comunicación se entiende que se produce cuando un acreedor tardíamente comunica su identidad o los datos que permiten identificar su crédito, pero no cuando lo que comunica de forma tardía es el tipo de crédito o el bien afecto al mismo en el caso de que lo haya.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Dentro de esta comunicación tardía hay que hacer una matización que es la que se recogió en la </w:t>
      </w:r>
      <w:r w:rsidRPr="003856EB">
        <w:rPr>
          <w:rFonts w:ascii="Times New Roman" w:hAnsi="Times New Roman" w:cs="Times New Roman"/>
          <w:i/>
          <w:sz w:val="24"/>
          <w:szCs w:val="24"/>
        </w:rPr>
        <w:t>Sentencia de 27 de Julio de 2005 del Juzgado de lo Mercantil nº 1 de Madrid</w:t>
      </w:r>
      <w:r>
        <w:rPr>
          <w:rFonts w:ascii="Times New Roman" w:hAnsi="Times New Roman" w:cs="Times New Roman"/>
          <w:sz w:val="24"/>
          <w:szCs w:val="24"/>
        </w:rPr>
        <w:t>:</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·Comunicación transcurrido el plazo de un mes dado para la comunicación de créditos, pero no habiendo finalizado el plazo de dos meses concedido a la administración concursal para entregar el informe concursal.</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·Comunicación transcurridos los dos plazos anteriores.</w:t>
      </w:r>
    </w:p>
    <w:p w:rsidR="000A233F" w:rsidRPr="00BA35C3"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primera posibilidad se prevé como consecuencia la calificación del crédito como subordinado mientras que para la segunda se prevé la pérdida del derecho por parte del acreedor a formar parte del concurso de acreedores. </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2.4 </w:t>
      </w:r>
      <w:r>
        <w:rPr>
          <w:rFonts w:ascii="Times New Roman" w:hAnsi="Times New Roman" w:cs="Times New Roman"/>
          <w:b/>
          <w:sz w:val="24"/>
          <w:szCs w:val="24"/>
        </w:rPr>
        <w:t>Insinuación escrita de créditos.</w:t>
      </w:r>
    </w:p>
    <w:p w:rsidR="000A233F" w:rsidRPr="00137BE7"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Es indudable que la insinuación de créditos es el único medio idóneo para entrar a formar parte del pasivo de un concurso, ya que es imposible que un acreedor trate de hacer valer su crédito en el concurso a través de otro medio.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ya hemos dicho en varias ocasiones la comunicación o insinuación de créditos es un acto voluntario pero imprescindible para manifestar a la administración concursal la existencia de una pretensión contra el deudor. A la solicitud de integración al pasivo deben acompañar todos los documentos que justifiquen la relación existente entre </w:t>
      </w:r>
      <w:r>
        <w:rPr>
          <w:rFonts w:ascii="Times New Roman" w:hAnsi="Times New Roman" w:cs="Times New Roman"/>
          <w:sz w:val="24"/>
          <w:szCs w:val="24"/>
        </w:rPr>
        <w:lastRenderedPageBreak/>
        <w:t>acreedor y deudor concursado, ya que son los que demuestran la existencia del crédito.</w:t>
      </w:r>
      <w:r w:rsidRPr="00DB093B">
        <w:rPr>
          <w:rFonts w:ascii="Times New Roman" w:hAnsi="Times New Roman" w:cs="Times New Roman"/>
          <w:sz w:val="24"/>
          <w:szCs w:val="24"/>
        </w:rPr>
        <w:t xml:space="preserve"> </w:t>
      </w:r>
      <w:r>
        <w:rPr>
          <w:rFonts w:ascii="Times New Roman" w:hAnsi="Times New Roman" w:cs="Times New Roman"/>
          <w:sz w:val="24"/>
          <w:szCs w:val="24"/>
        </w:rPr>
        <w:t>Se entiende que un crédito consta en la documentación aportada por el acreedor cuando de la misma se deduce su existencia</w:t>
      </w:r>
      <w:r w:rsidRPr="00057A46">
        <w:rPr>
          <w:rStyle w:val="Refdenotaalpie"/>
          <w:rFonts w:ascii="Times New Roman" w:hAnsi="Times New Roman" w:cs="Times New Roman"/>
          <w:sz w:val="24"/>
          <w:szCs w:val="24"/>
        </w:rPr>
        <w:footnoteReference w:id="17"/>
      </w:r>
      <w:r>
        <w:rPr>
          <w:rFonts w:ascii="Times New Roman" w:hAnsi="Times New Roman" w:cs="Times New Roman"/>
          <w:sz w:val="24"/>
          <w:szCs w:val="24"/>
        </w:rPr>
        <w:t xml:space="preserve">. Algunos ejemplos son las facturas, escrituras, recibos, albaranes, títulos valor…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Este trámite debe llevarse a cabo por escrito en el Juzgado que esté llevando el concurso y el destinatario es la administración concursal. No puede hacer directamente hablando con el administrador concursal ni con el Juez del concurso sino que necesariamente tiene que hacerse por escrito. Y en el caso de que un acreedor sea titular de varios créditos contra el deudor deberá realizar una comunicación por cada crédito, es decir, individualizada.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En lo que respecta a los créditos contra la masa, éstos no deben ser comunicados ya que tampoco van a pasar por la fase de reconocimiento, pero pueden aparecer enumerados en una lista de créditos contra la masa que elabora la administración concursal y que solo tiene un valor informativo, ya que juntando esta lista con la de créditos concursales se puede conocer la totalidad de la deuda del concursado.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créditos contra la masa como ya hemos explicado en el primer epígrafe son todos aquellos que no se califican como concursales y por ello no integran la masa pasiva. Se entiende que son aquellos créditos que provoca la declaración del concurso, por ello se dice que los acreedores titulares de este tipo de créditos son </w:t>
      </w:r>
      <w:proofErr w:type="spellStart"/>
      <w:r>
        <w:rPr>
          <w:rFonts w:ascii="Times New Roman" w:hAnsi="Times New Roman" w:cs="Times New Roman"/>
          <w:sz w:val="24"/>
          <w:szCs w:val="24"/>
        </w:rPr>
        <w:t>extraconcursales</w:t>
      </w:r>
      <w:proofErr w:type="spellEnd"/>
      <w:r>
        <w:rPr>
          <w:rFonts w:ascii="Times New Roman" w:hAnsi="Times New Roman" w:cs="Times New Roman"/>
          <w:sz w:val="24"/>
          <w:szCs w:val="24"/>
        </w:rPr>
        <w:t xml:space="preserve"> y no les afectan las normas del concurso.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Estos créditos se pagan a medida que vencen, independientemente de en qué fase se encuentre el concurso porque lo hacen posible, así que es justo que sus titulares cobren antes que los titulares de los demás créditos. Ahora bien, hay un límite para el cobro de estos créditos y es que no se pueden satisfacer con cargo a bienes o derechos que estén afectos a créditos con privilegio especial aunque los bienes de la masa activa sean insuficientes para el pago de la totalidad de créditos contra la masa. Además deben satisfacerse incluso antes que los créditos con privilegio general; es más si hay créditos contra la masa que no han vencido pero que lo harán en un futuro no muy lejano, la administración concursal debe guardar una provisión suficiente para satisfacerlos.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Evidentemente mientras más créditos contra la masa haya en un concurso, menores serán las posibilidades del resto de acreedores ordinarios de ver satisfechos sus créditos.</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Junto al escrito de comunicación de créditos, en el caso de que un acreedor sea titular de una pretensión crediticia deberá aportar la documentación necesaria para probarla y acreditarla. Uno de esos documentos indudablemente debe ser el título original o una copia autenticada del mismo. Pero hay que saber que la falta de prueba no supone la inadmisibilidad del crédito pero sí una disminución de las posibilidades de que éste se integre en el pasivo.</w:t>
      </w:r>
    </w:p>
    <w:p w:rsidR="000A233F" w:rsidRPr="00052C6B" w:rsidRDefault="000A233F" w:rsidP="000A233F">
      <w:pPr>
        <w:pStyle w:val="Sinespaciado"/>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Los créditos reflejados en títulos valor también presentan alguna particularidad pues para probarlos al acreedor le basta con aportar el título que lo documenta, sobra decir que la fecha de dicho título debe ser anterior a la declaración del concurso porque de lo contrario no se reconocería el título y también que se presume la veracidad de dicha fecha. Ahora bien, dentro de los títulos valor hay que distinguir los cambiarios de los que llevan aparejada ejecución porque los primeros como el pagaré no tienen fuerza ejecutiva así que no gozan de un reconocimiento automático y por ello deben ser probados y acreditados directamente con los documentos originales; mientras que los segundos sí gozan de reconocimiento automático.</w:t>
      </w:r>
    </w:p>
    <w:p w:rsidR="000A233F" w:rsidRDefault="000A233F" w:rsidP="000A233F">
      <w:pPr>
        <w:pStyle w:val="Sinespaciado"/>
        <w:tabs>
          <w:tab w:val="left" w:pos="993"/>
        </w:tabs>
        <w:spacing w:line="360" w:lineRule="auto"/>
        <w:ind w:left="372" w:firstLine="336"/>
        <w:jc w:val="both"/>
        <w:rPr>
          <w:rFonts w:ascii="Times New Roman" w:hAnsi="Times New Roman" w:cs="Times New Roman"/>
          <w:b/>
          <w:sz w:val="24"/>
          <w:szCs w:val="24"/>
        </w:rPr>
      </w:pPr>
      <w:r>
        <w:rPr>
          <w:rFonts w:ascii="Times New Roman" w:hAnsi="Times New Roman" w:cs="Times New Roman"/>
          <w:sz w:val="24"/>
          <w:szCs w:val="24"/>
        </w:rPr>
        <w:t xml:space="preserve">     </w:t>
      </w:r>
      <w:r w:rsidRPr="00A74BBB">
        <w:rPr>
          <w:rFonts w:ascii="Times New Roman" w:hAnsi="Times New Roman" w:cs="Times New Roman"/>
          <w:sz w:val="24"/>
          <w:szCs w:val="24"/>
        </w:rPr>
        <w:t>3.</w:t>
      </w:r>
      <w:r>
        <w:rPr>
          <w:rFonts w:ascii="Times New Roman" w:hAnsi="Times New Roman" w:cs="Times New Roman"/>
          <w:b/>
          <w:sz w:val="24"/>
          <w:szCs w:val="24"/>
        </w:rPr>
        <w:t xml:space="preserve"> Reconocimiento de créditos.</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 esta fase se refiere el artículo 86 de la LC. Es la segunda fase de la delimitación de la masa pasiva y proporciona una información más precisa sobre los acreedores que la van a integrar. El resultado de esta fase es la formación de la lista de acreedores que será provisional, en el caso de que se produzcan impugnaciones; o definitiva, si las mismas no se producen. La administración concursal es el órgano encargado de decidir si un crédito debe formar parte de la masa pasiva o no, en caso afirmativo el acreedor titular del mismo obtiene el título que le habilita para ello.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LC no establece un plazo para verificar el reconocimiento de créditos pero se entiende que la administración concursal tiene el mismo plazo del que dispone para elaborar la lista de acreedores, o sea, 2 meses desde que acepta su cargo. Este plazo es de máximos, lo cual favorece y es suficiente para reunir todos los documentos que van a integrar el informe concursal así como para elaborarlo. La administración concursal dispone de 5 días para comparecer ante el Juez del concurso y aceptar o rechazar tal cargo. Si lo acepta desde ese día empieza a correr el plazo de 2 meses para elaborar la lista, pero antes de que expire dicho plazo podrá solicitar una prórroga alegando y fundamentando causas objetivas de la insuficiencia del tiempo para dicha tarea tal y como contempla el artículo 74 de la LC. Dicha prórroga será de un mes o incluso menos según decida el Juez del concurso. </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Una vez que la lista de acreedores esté redactada, se abre la posibilidad de las impugnaciones tanto para los incluidos en ella, los excluidos, la administración concursal como para el deudor. Si un crédito se reconoce y no resulta impugnado, cuando finalice el plazo para ello ya no se podrá modificar y quedará incluido en el proceso como se reconoció. Pero si un crédito resulta excluido y no se impugna queda al margen del proceso concursal de modo definitivo.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 apartado 1 del artículo 86 de la LC se desprende que hay que distinguir 3 tipos de reconocimiento distintos dependiendo de si media comunicación previa del acreedor o no y si se trata de un supuesto especial de reconocimiento. </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   </w:t>
      </w:r>
      <w:r w:rsidRPr="00A74BBB">
        <w:rPr>
          <w:rFonts w:ascii="Times New Roman" w:hAnsi="Times New Roman" w:cs="Times New Roman"/>
          <w:sz w:val="24"/>
          <w:szCs w:val="24"/>
        </w:rPr>
        <w:t>3.1</w:t>
      </w:r>
      <w:r>
        <w:rPr>
          <w:rFonts w:ascii="Times New Roman" w:hAnsi="Times New Roman" w:cs="Times New Roman"/>
          <w:b/>
          <w:sz w:val="24"/>
          <w:szCs w:val="24"/>
        </w:rPr>
        <w:t xml:space="preserve"> Reconocimiento de créditos previa comunicación del acreedor</w:t>
      </w:r>
      <w:r w:rsidRPr="00CB6832">
        <w:rPr>
          <w:rFonts w:ascii="Times New Roman" w:hAnsi="Times New Roman" w:cs="Times New Roman"/>
          <w:sz w:val="24"/>
          <w:szCs w:val="24"/>
        </w:rPr>
        <w:t>.</w:t>
      </w:r>
    </w:p>
    <w:p w:rsidR="000A233F" w:rsidRPr="00137BE7" w:rsidRDefault="000A233F" w:rsidP="000A233F">
      <w:pPr>
        <w:pStyle w:val="Sinespaciado"/>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Es el que se da después de una compleja labor que corresponde a la administración concursal en la cual analiza, comprueba, ratifica o rechaza los créditos insinuados por los acreedores en la fase anterior de comunicación de créditos.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Mucha doctrina sostiene que la administración concursal tiene libre discrecionalidad a la hora de desempeñar su labor, y en este sentido habla la </w:t>
      </w:r>
      <w:r w:rsidRPr="00CB6832">
        <w:rPr>
          <w:rFonts w:ascii="Times New Roman" w:hAnsi="Times New Roman" w:cs="Times New Roman"/>
          <w:i/>
          <w:sz w:val="24"/>
          <w:szCs w:val="24"/>
        </w:rPr>
        <w:t xml:space="preserve">Sentencia del Juzgado de lo Mercantil nº 1 de Oviedo de 10 de Mayo de 2006 </w:t>
      </w:r>
      <w:r>
        <w:rPr>
          <w:rFonts w:ascii="Times New Roman" w:hAnsi="Times New Roman" w:cs="Times New Roman"/>
          <w:sz w:val="24"/>
          <w:szCs w:val="24"/>
        </w:rPr>
        <w:t>cuando dice que en la tarea de verificación y reconocimiento de créditos opera con discrecionalidad mientras que cuando se trata de créditos de reconocimiento forzoso o automático (que es el caso que analizaremos en el siguiente apartado) ésta se ve reducida considerablemente</w:t>
      </w:r>
      <w:r w:rsidRPr="00CB6832">
        <w:rPr>
          <w:rStyle w:val="Refdenotaalpie"/>
          <w:rFonts w:ascii="Times New Roman" w:hAnsi="Times New Roman" w:cs="Times New Roman"/>
          <w:sz w:val="24"/>
          <w:szCs w:val="24"/>
        </w:rPr>
        <w:footnoteReference w:id="18"/>
      </w:r>
      <w:r>
        <w:rPr>
          <w:rFonts w:ascii="Times New Roman" w:hAnsi="Times New Roman" w:cs="Times New Roman"/>
          <w:sz w:val="24"/>
          <w:szCs w:val="24"/>
        </w:rPr>
        <w:t xml:space="preserv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debe comprobar todos los extremos de los créditos para decidir justificadamente si concede al acreedor titular el título que le habilita para concurrir al concurso; y el margen de discrecionalidad del que dispone le servirá para decidir tanto la concurrencia de un acreedor como la condición de su crédito en función de la documentación analizada.</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Además la administración concursal puede impugnar la inclusión de determinados créditos en la masa pasiva cuando considere que falta algún elemento que le impide obtener esa condición. Pero esta impugnación es distinta de la que pueden realizar los acreedores después de que se elabore la lista provisional de acreedores; ya que pueden impugnar por no estar de acuerdo con la calificación dada a su crédito o con la cuantía reconocida, pero también porque no se les haya reconocido su crédito.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Juez del concurso, en caso de impugnación de la lista de acreedores será quien tenga la última palabra sobre la inclusión o no de los créditos en cuestión en la lista. Si su </w:t>
      </w:r>
      <w:r>
        <w:rPr>
          <w:rFonts w:ascii="Times New Roman" w:hAnsi="Times New Roman" w:cs="Times New Roman"/>
          <w:sz w:val="24"/>
          <w:szCs w:val="24"/>
        </w:rPr>
        <w:lastRenderedPageBreak/>
        <w:t xml:space="preserve">decisión es negativa, los acreedores no podrán reclamar más en esta fase, pero sí podrán apelar extra concursalmente.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Claro está que cualquier decisión de la administración concursal debe estar justificada así como individualizada, especialmente cuando se trata de rechazar la admisión de un crédito al pasivo porque deben estar claramente contemplados los motivos de la exclusión. Además en caso de rechazo la administración concursal debe comunicar personalmente al acreedor esa decisión por un medio que acredite la recepción de esa información, junto con la indicación de que disponen de un plazo de 10 días si desean realizar alegaciones. Esta comunicación también debe darse en el caso de los acreedores cuyo crédito ha sido reconocido pero no ha mediado comunicación previa por su parte. A parte de que se comunique de forma individualizada la admisión al pasivo así como la exclusión del mismo, la lista de acreedores comprende una relación de los créditos admitidos y otra de los excluidos.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Aunque sea la administración concursal quien decide sobre esta tarea, la decisión final la tiene el Juez del concurso en caso de impugnación. Por eso podemos decir que la fase de reconocimiento se compone de dos sub-fases: una de la cual está a cargo la administración concursal y otra a cargo del Juez del concurso.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acreedores no siempre van a estar conformes con la calificación dada por la administración concursal o incluso pueden no estarlo tampoco con la admisión de créditos de otros acreedores por saber que su base no es de acuerdo a derecho, por ello también pueden impugnar el reconocimiento de un crédito ajeno siempre y cuando tengan pruebas de sus alegaciones.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deudor en esta fase tampoco tiene mucho protagonismo porque todo el trabajo lo desempeña la administración concursal y debido a esto en muchos casos necesita la ayuda de auxiliares, expertos contables,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que les facilite la tarea porque estas personas pueden ayudar a la hora de obtener la información necesaria para justificar tanto la admisión de un crédito como su exclusión.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En el caso de que se produzca la impugnación de la lista, la administración concursal ostentará la condición de demandada al igual que el deudor concursado; debido a que aunque la primera es la autora directa de la lista, el segundo es la persona que más puede ayudarla a fijar el montante del pasivo.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Ahora bien, hay que tener en cuenta que en esta fase no solo se reconoce la existencia de un crédito sino también su idoneidad para formar parte de la masa pasiva. </w:t>
      </w:r>
    </w:p>
    <w:p w:rsidR="000A233F" w:rsidRPr="00E52ADB"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Como ya hemos dicho al principio, el resultado de esta labor de reconocimiento es la formación de la lista de acreedores pero es necesario aclarar que un acreedor no puede formar parte de la misma por una cantidad superior a la que solicitó pero sí por una inferior. En el caso de que un crédito se reconozca parcialmente debe justificarse de tal manera por parte de la administración concursal, que le permita al acreedor titular esgrimir todas las razones que tenga ante la exclusión. Pero si un crédito no es reconocido dentro del concurso, no significa que no pueda serlo fuera del mismo pero este reconocimiento extra concursal no tendrá eficacia para el proceso concursal. </w:t>
      </w:r>
    </w:p>
    <w:p w:rsidR="000A233F" w:rsidRDefault="000A233F" w:rsidP="000A233F">
      <w:pPr>
        <w:pStyle w:val="Sinespaciado"/>
        <w:tabs>
          <w:tab w:val="left" w:pos="1276"/>
        </w:tabs>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   </w:t>
      </w:r>
      <w:r w:rsidRPr="00C16D13">
        <w:rPr>
          <w:rFonts w:ascii="Times New Roman" w:hAnsi="Times New Roman" w:cs="Times New Roman"/>
          <w:sz w:val="24"/>
          <w:szCs w:val="24"/>
        </w:rPr>
        <w:t>3.2</w:t>
      </w:r>
      <w:r>
        <w:rPr>
          <w:rFonts w:ascii="Times New Roman" w:hAnsi="Times New Roman" w:cs="Times New Roman"/>
          <w:b/>
          <w:sz w:val="24"/>
          <w:szCs w:val="24"/>
        </w:rPr>
        <w:t xml:space="preserve"> Reconocimiento de créditos sin previa comunicación del acreedor.</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Es el conocido como reconocimiento forzoso, obligatorio o automático de créditos y está contemplado en el artículo 86.2 de la LC. Se refiere a aquellos créditos que en la fase de comunicación no precisaban ser comunicados por los acreedores y ahora tampoco necesitan ser verificados por la administración concursal debido a que su reconocimiento se produce de forma automática.</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Pero una cosa es que la administración concursal no tenga que reconocerlos y otra que no esté obligada a verificarlos y que no pueda impugnarlos, porque estas dos últimas cosas sí que están dentro de las facultades otorgadas a la misma ya que dependiendo de los resultados de su verificación procederá o no a impugnar el crédito en cuestión</w:t>
      </w:r>
      <w:r w:rsidRPr="00CB6832">
        <w:rPr>
          <w:rStyle w:val="Refdenotaalpie"/>
          <w:rFonts w:ascii="Times New Roman" w:hAnsi="Times New Roman" w:cs="Times New Roman"/>
          <w:sz w:val="24"/>
          <w:szCs w:val="24"/>
        </w:rPr>
        <w:footnoteReference w:id="19"/>
      </w:r>
      <w:r>
        <w:rPr>
          <w:rFonts w:ascii="Times New Roman" w:hAnsi="Times New Roman" w:cs="Times New Roman"/>
          <w:sz w:val="24"/>
          <w:szCs w:val="24"/>
        </w:rPr>
        <w:t xml:space="preserve">.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Del artículo citado se desprenden que los supuestos en los que se produce el reconocimiento de créditos sin mediar la comunicación previa del acreedor son:</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a) Créditos que constan en los libros y documentos del deudor.</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Todos los empresarios están obligados a llevar una contabilidad y a conservarla en su suporte original de modo que sea posible verificar en cualquier momento y con garantías plenas lo dispuesto en la misma. En este sentido el Código de Comercio dice en sus artículos 25 y 30 que esa contabilidad debe llevarse de forma ordenada y adecuada tanto a la dimensión como a la actividad de la empresa, y guardarse durante 6 años respectivamente. Dependiendo del tipo de empresa de que se trate tendrá como obligatorios unos libros y como facultativos otros, pero de forma general los obligatorios son el Inventario, las Cuentas Anuales y el Diario.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función de la contabilidad de una empresa es informar sobre su patrimonio al empresario, sus acreedores y sus socios ya que refleja la economía de la empresa. Además de llevarse en orden, todos los reflejos contables deben ser claros, veraces y </w:t>
      </w:r>
      <w:r>
        <w:rPr>
          <w:rFonts w:ascii="Times New Roman" w:hAnsi="Times New Roman" w:cs="Times New Roman"/>
          <w:sz w:val="24"/>
          <w:szCs w:val="24"/>
        </w:rPr>
        <w:lastRenderedPageBreak/>
        <w:t>fieles a los actos y negocios jurídicos que se llevan a cabo porque de esto depende su valor probatorio. Si se presentan irregularidades entre la documentación contable del deudor y las pruebas aportadas por los acreedores, la situación de la empresa no se podrá deducir de esa contabilidad y en el ámbito del reconocimiento de créditos esto significa que no se van a poder individualizar los créditos existentes a partir de la misma.</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b) Créditos reconocidos por sentencia o laudo.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La LC establece el reconocimiento forzoso de los créditos que constan en títulos ejecutivos, y estos son los enumerados en el artículo 517 LEC pero dentro de éste hay que distinguir los judiciales de los extrajudiciales. En este apartado solo vamos a referirnos a los judiciales que son las sentencias firmes y los laudos o resoluciones arbitrales y acuerdos de mediación; porque a los extrajudiciales nos referiremos en el apartado siguiente.</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tiene la facultad de impugnar por ejemplo un laudo firme cuando considere que está encubriendo un fraude o que no cumple con las formalidades requeridas legalmente; si dichas formalidades se cumple la labor de este órgano concursal se facilita ligeramente.</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tipo de créditos existe una particularidad que es la integrada por las resoluciones extranjeras. Para reconocer una decisión extranjera la </w:t>
      </w:r>
      <w:r w:rsidRPr="000B7F1D">
        <w:rPr>
          <w:rFonts w:ascii="Times New Roman" w:hAnsi="Times New Roman" w:cs="Times New Roman"/>
          <w:i/>
          <w:sz w:val="24"/>
          <w:szCs w:val="24"/>
        </w:rPr>
        <w:t>Sentencia del Tribunal Supremo de 24 de Octubre de 2007</w:t>
      </w:r>
      <w:r>
        <w:rPr>
          <w:rFonts w:ascii="Times New Roman" w:hAnsi="Times New Roman" w:cs="Times New Roman"/>
          <w:sz w:val="24"/>
          <w:szCs w:val="24"/>
        </w:rPr>
        <w:t xml:space="preserve"> dice que de acuerdo con lo que establece la LEC, la misma no debe haberse dictado en rebeldía. Ahora bien, hay que tener claro que una resolución judicial extranjera no es un título ejecutivo en España y por lo tanto los tribunales nacionales no están directamente vinculados por ella, de forma que debe pasar por la fase de reconocimiento para tener efecto de cosa juzgada. Para que una decisión extranjera sea eficaz en nuestro país a los efectos de un concurso de acreedores debe pasar por la fase de reconocimiento de créditos.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Si la decisión extranjera procede de un país miembro de la UE gozará de un reconocimiento automático siempre y cuando cumpla con los requisitos establecidos por el Reglamento 44/2001 o Bruselas I</w:t>
      </w:r>
      <w:r>
        <w:rPr>
          <w:rStyle w:val="Refdenotaalpie"/>
          <w:rFonts w:ascii="Times New Roman" w:hAnsi="Times New Roman" w:cs="Times New Roman"/>
          <w:sz w:val="24"/>
          <w:szCs w:val="24"/>
        </w:rPr>
        <w:footnoteReference w:id="20"/>
      </w:r>
      <w:r>
        <w:rPr>
          <w:rFonts w:ascii="Times New Roman" w:hAnsi="Times New Roman" w:cs="Times New Roman"/>
          <w:sz w:val="24"/>
          <w:szCs w:val="24"/>
        </w:rPr>
        <w:t xml:space="preserve">, relativo a la competencia, reconocimiento y ejecución de resoluciones judiciales en materia civil y mercantil. Este Reglamento entiende como resoluciones judiciales las que son definitivas, las provisionales, las firmes, las no firmes y las dictadas en rebeldía del demandado que recae sobre materias </w:t>
      </w:r>
      <w:r>
        <w:rPr>
          <w:rFonts w:ascii="Times New Roman" w:hAnsi="Times New Roman" w:cs="Times New Roman"/>
          <w:sz w:val="24"/>
          <w:szCs w:val="24"/>
        </w:rPr>
        <w:lastRenderedPageBreak/>
        <w:t>civiles o mercantiles de carácter patrimonial. Aunque por supuesto queda abierta la vía de impugnación.</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Pero si la decisión extranjera procede de un país no miembro de la UE necesariamente tendrá que ser homologada de acuerdo a las normas que rigen las relaciones entre España y ese país o en defecto de las mismas, según las normas procesales españoles.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Por lo tanto si un acreedor tiene una decisión judicial extranjera que le reconoce un crédito contra el deudor concursado y la misma ha sido reconocida por las normas del derecho procesal español la administración concursal tendrá que reconocer dicho crédito de forma automática. Pero si no ha obtenido ese reconocimiento por parte del derecho español deberá solicitarlo como un procedimiento acumulado al concurso.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c) Créditos que constan en documentos con fuerza ejecutiva.</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Son aquellos que constan en los títulos ejecutivos extra judiciales que enumera el artículo 517 LEC como por ejemplo las escrituras públicas, pólizas de contratos mercantiles, resoluciones que aprueben u homologuen transacciones judiciales, títulos al portador o nominativos, certificados relativos a valores representados mediante anotaciones en cuenta y demás resoluciones procesales o documentos que tengan aparejada ejecución.</w:t>
      </w:r>
    </w:p>
    <w:p w:rsidR="000A233F" w:rsidRDefault="000A233F" w:rsidP="000A233F">
      <w:pPr>
        <w:pStyle w:val="Sinespaciado"/>
        <w:tabs>
          <w:tab w:val="left" w:pos="1276"/>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 fuerza ejecutiva reside en el carácter formal del documento que refleja la relación o el negocio jurídico existente entre acreedor y deudor concursado. Cuando se trata de este tipo de documentos, la administración concursal se centra en analizar su formalidad sin entrar a cuestionar el aspecto material y normalmente después de esto se produce el reconocimiento forzoso quedando expedita la vía de la impugnación. </w:t>
      </w:r>
    </w:p>
    <w:p w:rsidR="000A233F" w:rsidRDefault="000A233F" w:rsidP="000A233F">
      <w:pPr>
        <w:pStyle w:val="Sinespaciado"/>
        <w:tabs>
          <w:tab w:val="left" w:pos="1276"/>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d) Créditos reconocidos en certificaciones administrativas.</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Son créditos cuya existencia queda demostrada objetivamente por este tipo de documentos expedidos por una Administración Pública, que es el sujeto con quien el deudor concursado tiene una obligación pendiente.</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Este tipo de créditos también deben ser insinuados y reconocidos por la administración concursal, así como pueden ser objeto de impugnación de acuerdo a los mecanismos que resulten aplicables dependiendo del tipo de acto administrativo de que se trate.</w:t>
      </w:r>
      <w:r w:rsidRPr="00696035">
        <w:rPr>
          <w:rFonts w:ascii="Times New Roman" w:hAnsi="Times New Roman" w:cs="Times New Roman"/>
          <w:sz w:val="24"/>
          <w:szCs w:val="24"/>
        </w:rPr>
        <w:t xml:space="preserve"> </w:t>
      </w:r>
      <w:r>
        <w:rPr>
          <w:rFonts w:ascii="Times New Roman" w:hAnsi="Times New Roman" w:cs="Times New Roman"/>
          <w:sz w:val="24"/>
          <w:szCs w:val="24"/>
        </w:rPr>
        <w:t xml:space="preserve">Incluso la LC los considera créditos sometidos a condición resolutoria, lo que significa que si resultan impugnados, dicha impugnación será de acuerdo a lo establecido para </w:t>
      </w:r>
      <w:r>
        <w:rPr>
          <w:rFonts w:ascii="Times New Roman" w:hAnsi="Times New Roman" w:cs="Times New Roman"/>
          <w:sz w:val="24"/>
          <w:szCs w:val="24"/>
        </w:rPr>
        <w:lastRenderedPageBreak/>
        <w:t>este tipo de créditos y el encargado de tomar la decisión final será el Juez del concurso</w:t>
      </w:r>
      <w:r>
        <w:rPr>
          <w:rStyle w:val="Refdenotaalpie"/>
          <w:rFonts w:ascii="Times New Roman" w:hAnsi="Times New Roman" w:cs="Times New Roman"/>
          <w:sz w:val="24"/>
          <w:szCs w:val="24"/>
        </w:rPr>
        <w:footnoteReference w:id="21"/>
      </w:r>
      <w:r>
        <w:rPr>
          <w:rFonts w:ascii="Times New Roman" w:hAnsi="Times New Roman" w:cs="Times New Roman"/>
          <w:sz w:val="24"/>
          <w:szCs w:val="24"/>
        </w:rPr>
        <w:t xml:space="preserve">.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 una Administración Pública comunica un crédito, obviamente debe aportar los medios de prueba oportunos, pero no puede pretender que se le reconozca todos los créditos que pueda tener con el deudor concursado si no los ha comunicado individualizada mente, como ya explicamos en la fase de comunicación de créditos. Y en lo que respecta a la certificación administrativa, ésta debe indicar: el órgano del que procede; el concepto, la causa, la cuantía, la fecha de vencimiento y la calificación del crédito.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 Créditos garantizados con garantía real inscrita en registro público.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Están favorecidos con el reconocimiento automático por la veracidad, exactitud y legitimidad que se le presume a todo lo inscrito en un registro público, de acuerdo con el principio de apariencia y seguridad jurídica.</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Extra concursalmente hablando, este tipo de inscripciones suponen la existencia de un derecho y además legitima para que el mismo sea ejecutado; cosa que se traduce dentro del concurso en la constancia de la existencia de un crédito que deriva de tal derecho.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no puede dudar de la veracidad de estos créditos, siempre y cuando consten en un registro público como por ejemplo el Registro de Bienes Muebles o el Registro de la Propiedad, y no en un registro privado.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tener constancia de lo inscrito en un registro público se pueden solicitar certificados de su contenido pero éstos deben estar individualizados a un derecho en concreto. Si en algún momento se produce una discordancia entre lo que dice el certificado expedido y lo que dispone un asiento registral primará lo inscrito en el registro; esta cuestión se puede plantear en el caso de que se produzca una modificación del derecho inscrito por ejemplo por haberse despachado su ejecución después de la expedición del certificado. Así lo que procede es restituir el certificado para que se practique la correspondiente inscripción en el mismo.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 Créditos de los trabajadores.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aquellos cuya existencia resulta de la documentación del deudor concursado y por ello también gozan de un reconocimiento automático. No solo son aquellos de índole salarial sino todos los relacionados con los trabajadores como pueden ser los derivados </w:t>
      </w:r>
      <w:r>
        <w:rPr>
          <w:rFonts w:ascii="Times New Roman" w:hAnsi="Times New Roman" w:cs="Times New Roman"/>
          <w:sz w:val="24"/>
          <w:szCs w:val="24"/>
        </w:rPr>
        <w:lastRenderedPageBreak/>
        <w:t xml:space="preserve">de la extinción de un contrato, de una baja por enfermedad, de una baja por accidente laboral, etc.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Estos créditos están incluidos dentro de los clasificados como créditos con privilegio general como ya explicamos en el epígrafe 1.2.2 b); además de que se si se refieren al salario por los últimos 30 días de trabajo serán calificados como créditos contra la masa como también desarrollamos en el epígrafe 1.1.</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Aunque estos créditos consten en los libros o documentos del deudor y por ello sea reconocidos automáticamente, los trabajadores si quieren pueden comunicarlos ya que disponen de medios lo suficientemente idóneos para acreditarlos como pueden ser las nóminas, los partes de baja por accidente, los partes de baja por enfermedad o incluso los contratos. En este sentido a parte de comunicar, también pueden impugnar si no están conformes con la calificación dada a su crédito, la cuantía reconocida o cualquier otro extremo del crédito. Además si la comunicación se produce de forma tardía no serán calificados como subordinados, precisamente por la constancia en la documentación del concurso. </w:t>
      </w:r>
    </w:p>
    <w:p w:rsidR="000A233F" w:rsidRDefault="000A233F" w:rsidP="000A233F">
      <w:pPr>
        <w:pStyle w:val="Sinespaciado"/>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   </w:t>
      </w:r>
      <w:r w:rsidRPr="00C16D13">
        <w:rPr>
          <w:rFonts w:ascii="Times New Roman" w:hAnsi="Times New Roman" w:cs="Times New Roman"/>
          <w:sz w:val="24"/>
          <w:szCs w:val="24"/>
        </w:rPr>
        <w:t>3.3</w:t>
      </w:r>
      <w:r>
        <w:rPr>
          <w:rFonts w:ascii="Times New Roman" w:hAnsi="Times New Roman" w:cs="Times New Roman"/>
          <w:b/>
          <w:sz w:val="24"/>
          <w:szCs w:val="24"/>
        </w:rPr>
        <w:t xml:space="preserve"> Supuestos especiales de reconocimiento.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 estos supuestos se refiere el artículo 87 de la LC y principalmente son aquellos que no gozan del reconocimiento automático o forzoso explicado en el apartado anterior debido a que dependen del cumplimiento de una condición o a que tienen un patrimonio añadido de responsabilidad. A continuación vamos a desgranar los supuestos:</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3.3.1 </w:t>
      </w:r>
      <w:r w:rsidRPr="000A3616">
        <w:rPr>
          <w:rFonts w:ascii="Times New Roman" w:hAnsi="Times New Roman" w:cs="Times New Roman"/>
          <w:b/>
          <w:sz w:val="24"/>
          <w:szCs w:val="24"/>
        </w:rPr>
        <w:t>Créditos condicionales</w:t>
      </w:r>
      <w:r>
        <w:rPr>
          <w:rFonts w:ascii="Times New Roman" w:hAnsi="Times New Roman" w:cs="Times New Roman"/>
          <w:sz w:val="24"/>
          <w:szCs w:val="24"/>
        </w:rPr>
        <w:t>.</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Son aquellos derivados de un contrato o negocio jurídico en el cual las partes han introducido una condición que regule sus efectos y por lo tanto la efectividad del mismo depende de que se cumpla esa condición impuesta. Hay dos tipos de condiciones: resolutorias y suspensivas. Dependiendo de si el crédito en cuestión está sometido a otra la integración al pasivo se producirá de una forma u otra, pero a esto nos vamos a referir a continuación</w:t>
      </w:r>
      <w:r w:rsidRPr="00CB6832">
        <w:rPr>
          <w:rStyle w:val="Refdenotaalpie"/>
          <w:rFonts w:ascii="Times New Roman" w:hAnsi="Times New Roman" w:cs="Times New Roman"/>
          <w:sz w:val="24"/>
          <w:szCs w:val="24"/>
        </w:rPr>
        <w:footnoteReference w:id="22"/>
      </w:r>
      <w:r>
        <w:rPr>
          <w:rFonts w:ascii="Times New Roman" w:hAnsi="Times New Roman" w:cs="Times New Roman"/>
          <w:sz w:val="24"/>
          <w:szCs w:val="24"/>
        </w:rPr>
        <w:t>.</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Lo común en estos créditos es la inseguridad derivada de la incertidumbre sobre si se cumplirá la condición impuesta o no, así como su carácter voluntario porque normalmente el cumplimiento de la misma depende de una persona que puede ser una de las partes, ambas o un tercero ajeno al negocio jurídico celebrado. Trasladando esto al concurso de acreedores el cumplimiento de la condición puede depender del:</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·Deudor concursado o de la administración concursal según si ésta le ha intervenido o suspendido sus facultades de administración sobre su patrimonio. En estos casos se considerará como un crédito contra la masa.</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·Acreedor. Solo se calificará como crédito contra la masa si la administración concursal ejecuta la contraprestación en la que consiste la condición con carga a la masa activa.</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a) Créditos sometidos a condición resolutoria.</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créditos eficaces porque la condición a la que se ha sometido el contrato o negocio jurídico del que derivan supone que éste despliegue sus efectos hasta que se cumpla la condición, momento en el cual dichos efectos cesan. Puede suceder que esa condición no se cumpla y en este caso el derecho contenido en el negocio jurídico se consolida y es plenamente ejercitable sin condición alguna.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Estos créditos se van a comunicar y calificar según corresponda, reconocer, impugnar y en definitiva son tratados como los demás tipos de créditos.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obligaciones sometidas a condición resolutoria de origen legal suelen ser de derecho público y por eso el artículo 87.2 de la LC dice que a estos créditos se les va a aplicar el régimen de los créditos sometidos a este tipo de condiciones. La LC no dice nada para el caso de que estos créditos se comuniquen de forma tardía, así que se les aplica lo dispuesto en el artículo 85 de la misma.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acreedor puede ejercer su derecho en el proceso concursal pero si la condición se cumple ese derecho acaba. En este sentido se ha planteado una polémica sobre si todo lo efectuado por el acreedor en el proceso mientras su derecho tenía eficacia es válido o no, y la solución que da la LC es que lo decidan los demás acreedores, la administración concursal y el deudor. Ahora bien, lo que sí concreta la LC es que el acreedor cuyo crédito estaba sometido a condición resolutoria devuelva las cantidades que se le hayan abonado así como que se haga responsable de sus actos en el proceso aunque éste haya concluido, lo que supondría la reapertura del mismo por entrar a la masa activa nuevos bienes. También habrá que observar en todo caso el modo de proceder del acreedor, es decir, si actúa de buena o de mala fe; porque por ejemplo si la condición a la que está sometida su crédito se cumple y aún sabiéndolo sigue actuando en el proceso se le podrá exigir la responsabilidad derivada de sus actos por los daños causados. Además la LC contempla la posibilidad en su artículo 87.4 de constituir fianzas para el caso de que se cumpla la condición resolutoria y el acreedor devuelva lo percibido.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 Créditos sujetos a condición suspensiva.</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créditos con una eficacia completamente distinta a aquellos sujetos a condición resolutoria, porque lo que tiene el acreedor en este caso no es un derecho plenamente ejercitable hasta que se cumpla una condición, sino una expectativa de derecho que puede afianzarse o no y debido a esta incertidumbre se los califica como créditos contingentes ordinarios.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Obviamente deben ser comunicados y reconocidos por la administración concursal ya que son una realidad referente al patrimonio del deudor y por eso sus titulares pueden intervenir en el proceso concursal pero solo van a figurar en la lista de acreedores con un valor simbólico. Ahora bien, esto no significa que el crédito en cuestión no pueda valorarse por si la condición suspensiva se cumple. Durante la fase de reconocimiento de créditos, la administración concursal analizará el crédito, lo valorará y si ve como probable la posibilidad de que se cumpla la condición estará obligada a comunicarlo al Juez del concurso para que éste decida si procede o no guardar provisiones con cargo a la masa para satisfacer el crédito. También puede hacerse esto a instancia del acreedor, pero nunca de oficio por el Juez. Si el Juez no considera oportuna esta reserva simplemente no se hará.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 el proceso concursal concluye y la condición no se confirma, la reserva que se hiciera para satisfacer el crédito condicionado a la misma deberá reintegrarse a la masa activa para proceder al reparto mediante la reapertura del procedimiento. Pero si dicha condición se cumple, el crédito contingente ordinario sometido a ella no se calificará como crédito contra la masa porque surge del cumplimiento de la condición y no de una actividad del concursado. Además si dicho cumplimiento se produce durante la sustanciación del proceso concursal el Juez podrá autorizar al acreedor titular al ejercicio de sus derechos desde ese momento pero no sobre las actuaciones efectuadas previamente.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Todo esto se traduce en que los derechos que el acreedor titular de un crédito contingente tiene limitados son los de adhesión, voto y cobro; pero puede ejercer todos los demás aunque la condición no se haya cumplido, así puede impugnar un crédito, su calificación, su cuantía… o llevar a cabo cualquier otra actuación que pueda perjudicar su derecho. </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c) Créditos litigiosos.</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aquellos que en el momento de declararse el concurso están siendo objeto de un litigio que debe solucionarse mientras se tramita el proceso concursal, tal y como se </w:t>
      </w:r>
      <w:r>
        <w:rPr>
          <w:rFonts w:ascii="Times New Roman" w:hAnsi="Times New Roman" w:cs="Times New Roman"/>
          <w:sz w:val="24"/>
          <w:szCs w:val="24"/>
        </w:rPr>
        <w:lastRenderedPageBreak/>
        <w:t xml:space="preserve">dice en la </w:t>
      </w:r>
      <w:r w:rsidRPr="006409A4">
        <w:rPr>
          <w:rFonts w:ascii="Times New Roman" w:hAnsi="Times New Roman" w:cs="Times New Roman"/>
          <w:i/>
          <w:sz w:val="24"/>
          <w:szCs w:val="24"/>
        </w:rPr>
        <w:t>Sentencia del Juzgado de lo Mercantil nº 5 de Madrid de 16 de Febrero de 2010</w:t>
      </w:r>
      <w:r>
        <w:rPr>
          <w:rFonts w:ascii="Times New Roman" w:hAnsi="Times New Roman" w:cs="Times New Roman"/>
          <w:sz w:val="24"/>
          <w:szCs w:val="24"/>
        </w:rPr>
        <w:t>. Son tratados de forma similar a los créditos sometidos a condición suspensiva y también son contingentes ya que no serán tenidos en cuenta en el concurso hasta que se reconozca su existencia en el respectivo procedimiento que se está tramitando.</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Para que un crédito tenga esta calificación se requiere demostrar que cuando fue declarado el concurso había un procedimiento abierto tendente a probar la existencia del mismo y se mantendrá hasta que éste no finalice recayendo sentencia firme.</w:t>
      </w:r>
    </w:p>
    <w:p w:rsidR="000A233F" w:rsidRDefault="000A233F" w:rsidP="000A233F">
      <w:pPr>
        <w:pStyle w:val="Sinespaciado"/>
        <w:tabs>
          <w:tab w:val="left" w:pos="993"/>
          <w:tab w:val="left" w:pos="14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 la existencia de este tipo de créditos esté cuestionada en un litigio no significa que en el proceso concursal no puedan ser verificados, porque sus acreedores titulares deben comunicarlos. La administración concursal los incluirá en la lista de acreedores como un crédito sin cuantía y por ello sus titulares tienen limitados sus derechos de participación en el concurso, así que si resulta reconocida la existencia del crédito en el respectivo procedimiento podrá el acreedor ejercer plenamente todos los derechos que le corresponden como tal. Pero si resulta que no se reconoce su existencia se podrán anular todos aquellos actos llevados a cabo por el acreedor que hayan sido decisivos en el concurso.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3.3.2 </w:t>
      </w:r>
      <w:r w:rsidRPr="000A3616">
        <w:rPr>
          <w:rFonts w:ascii="Times New Roman" w:hAnsi="Times New Roman" w:cs="Times New Roman"/>
          <w:b/>
          <w:sz w:val="24"/>
          <w:szCs w:val="24"/>
        </w:rPr>
        <w:t xml:space="preserve">Créditos </w:t>
      </w:r>
      <w:r>
        <w:rPr>
          <w:rFonts w:ascii="Times New Roman" w:hAnsi="Times New Roman" w:cs="Times New Roman"/>
          <w:b/>
          <w:sz w:val="24"/>
          <w:szCs w:val="24"/>
        </w:rPr>
        <w:t xml:space="preserve">con </w:t>
      </w:r>
      <w:r w:rsidRPr="000A3616">
        <w:rPr>
          <w:rFonts w:ascii="Times New Roman" w:hAnsi="Times New Roman" w:cs="Times New Roman"/>
          <w:b/>
          <w:sz w:val="24"/>
          <w:szCs w:val="24"/>
        </w:rPr>
        <w:t>un patrimonio adicional de responsabilidad</w:t>
      </w:r>
      <w:r>
        <w:rPr>
          <w:rFonts w:ascii="Times New Roman" w:hAnsi="Times New Roman" w:cs="Times New Roman"/>
          <w:sz w:val="24"/>
          <w:szCs w:val="24"/>
        </w:rPr>
        <w:t>.</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Son aquellos créditos asegurados con garantías personas como una fianza, aval solidario, solidaridad de varios coobligados (de los cuales uno es el deudor concursado)…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Fiador y avalista son obligados solidarios con el deudor, por lo cual tienen que cumplir con su obligación frente a los acreedores pero también poseen un derecho respecto al deudor de no asumir la totalidad del riesgo de su insolvencia.</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Aquellos créditos cuyo acreedor titular esté respaldado por una fianza serán reconocidos por su importe total, con independencia de que en el caso de que el fiador pague el acreedor éste pase a ser acreedor del deudor concursado.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fiador tendrá que pagar al acreedor principal una vez sea declarado el concurso, de forma que no procedería que dicho acreedor comunicara su crédito en la fase correspondiente para su posterior reconocimiento. Únicamente se podría reconocer en el caso de que el fiador no pagase la totalidad del crédito al acreedor, en cuyo supuesto solo se le reconocería la parte no percibida. Por lo tanto cuando se declare un concurso, el acreedor principal cuyo crédito goza de una fianza tendrá que ver satisfecho su crédito para que el fiador pueda entrar a formar parte del concurso ahora como acreedor del deudor concursado.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También podrá participar en el concurso el fiador si el acreedor del crédito respaldado por una fianza renuncia a entrar en el concurso. Pero lo que nunca puede suceder es que participen simultáneamente acreedor principal y fiador; tampoco pasará en caso de no reconocerse el crédito al acreedor principal, se reconozca la participación en el concurso del fiador. Lo que sí puede suceder es que el acreedor y el fiador pacten que éste último participe de forma preferente al primero en el concurso.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fiador tiene dos opciones después de pagar al acreedor: entrar en el concurso y que su crédito sea calificado por la administración concursal (podrá calificarse como ordinario o subordinado según su criterio) o esperar a que concluya el concurso y tratar de ejercer su derecho de reembolso contra el deudor.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3.3.3 </w:t>
      </w:r>
      <w:r w:rsidRPr="000A3616">
        <w:rPr>
          <w:rFonts w:ascii="Times New Roman" w:hAnsi="Times New Roman" w:cs="Times New Roman"/>
          <w:b/>
          <w:sz w:val="24"/>
          <w:szCs w:val="24"/>
        </w:rPr>
        <w:t>Créditos de regreso parciales</w:t>
      </w:r>
      <w:r>
        <w:rPr>
          <w:rFonts w:ascii="Times New Roman" w:hAnsi="Times New Roman" w:cs="Times New Roman"/>
          <w:sz w:val="24"/>
          <w:szCs w:val="24"/>
        </w:rPr>
        <w:t xml:space="preserve">.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Son aquellos procedentes de que un acreedor antes de que se declare el concurso haya recibido de un fiador, avalista o deudor solidario (llamados garantes) una parte de su crédito y por lo tanto proceda que entre a formar parte del concurso por la parte restante que le queda sin cobra; así como aquellos que proceden de pagar esa parte del crédito, de forma que quien entra al concurso es el garante por la cantidad abonada al acreedor principal.</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insinuación de estos créditos normalmente la hacen los acreedores porque su reconocimiento obra en interés de éstos pero nada impide que lo ejerza el garante porque con ello se favorece su derecho de reembolso. Si se diese la situación de que ambos comunican la totalidad del crédito el del garante se reconocerá como sometido a condición suspensiva y si lo que comunica el acreedor es la parte que le queda por cobrar no se calificará el del garante así sino como subordinado.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acreedor principal tiene preferencia de cobro respecto del garante y una vez que aquel haya cobrado éste se subroga en su lugar por la totalidad de la cantidad abonada. </w:t>
      </w:r>
    </w:p>
    <w:p w:rsidR="000A233F" w:rsidRDefault="000A233F" w:rsidP="000A233F">
      <w:pPr>
        <w:pStyle w:val="Sinespaciado"/>
        <w:tabs>
          <w:tab w:val="left" w:pos="993"/>
          <w:tab w:val="left" w:pos="1276"/>
        </w:tabs>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    3.4 </w:t>
      </w:r>
      <w:r>
        <w:rPr>
          <w:rFonts w:ascii="Times New Roman" w:hAnsi="Times New Roman" w:cs="Times New Roman"/>
          <w:b/>
          <w:sz w:val="24"/>
          <w:szCs w:val="24"/>
        </w:rPr>
        <w:t>Impugnación de créditos por la administración concursal.</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función se refiere a aquellos créditos que a pesar de haber sido reconocidos por la administración concursal, ya sea de manera automática o no, son incoados por ésta debido a que no está de acuerdo en que se hagan valer en el proceso concursal. Tendrá que hacerlo en el plazo de dos meses concedido para emitir el informe concursal. Esta impugnación se hace por la vía del incidente concursal, pero si gozan de un reconocimiento automático o forzoso se hará a través del juicio ordinario (lo que significa que no se pueden hacer en vía de recurso ni tampoco en vía de oposición a la ejecución, sino a través del incidente concursal) o en el caso de que se trate de alguna </w:t>
      </w:r>
      <w:r>
        <w:rPr>
          <w:rFonts w:ascii="Times New Roman" w:hAnsi="Times New Roman" w:cs="Times New Roman"/>
          <w:sz w:val="24"/>
          <w:szCs w:val="24"/>
        </w:rPr>
        <w:lastRenderedPageBreak/>
        <w:t>especialidad (a la cual a continuación haremos referencia) se hará según su legislación específica</w:t>
      </w:r>
      <w:r w:rsidRPr="00E52ADB">
        <w:rPr>
          <w:rStyle w:val="Refdenotaalpie"/>
          <w:rFonts w:ascii="Times New Roman" w:hAnsi="Times New Roman" w:cs="Times New Roman"/>
          <w:sz w:val="24"/>
          <w:szCs w:val="24"/>
        </w:rPr>
        <w:footnoteReference w:id="23"/>
      </w:r>
      <w:r>
        <w:rPr>
          <w:rFonts w:ascii="Times New Roman" w:hAnsi="Times New Roman" w:cs="Times New Roman"/>
          <w:sz w:val="24"/>
          <w:szCs w:val="24"/>
        </w:rPr>
        <w:t xml:space="preserve">. </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La administración concursal es la única con potestad para impugnar en esta fase del proceso concursal, porque una cosa es la impugnación de créditos en la fase de reconocimiento y otra la impugnación de la lista de acreedores (que explicaremos en el epígrafe siguiente) en la cual hay más sujetos con potestad impugnatoria.</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En el caso que nos ocupa, si un crédito de reconocimiento automático se impugna por la administración concursal y resulta que ésta lleva razón en sus argumentos, dicho carácter automático decae. Puede suceder que un crédito de este tipo no haya sido cuestionado por la administración concursal pero sí lo sea a través del derecho de oposición por un acreedor o incluso por el propio deudor.</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Como ya adelantábamos hay ciertos créditos que presentan particularidades a la hora de ser impugnados, y son aquellos incluidos dentro de los supuestos especiales de reconocimiento:</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·Créditos fruto de laudos o convenios arbitrales que resulten fraudulentos. Su impugnación se hará por medio del juicio ordinario verbal. Es necesario acudir a la Ley de Arbitraje, concretamente a su artículo 41 en el cual se establece una lista tasada de los motivos de impugnación de los mismos entre los cuales están su inexistencia o que sean contrarios al orden públicos, pero en lo que respecta al concurso la administración concursal solo puede impugnarlos por fraude.</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·Créditos que consten en títulos ejecutivos, judiciales o extrajudiciales. La administración concursal puede dudar sobre su contenido, veracidad, existencia o alcance y en este sentido podrá oponerse a la ejecución por motivos de fondo, prescripción, compensación o defectos procesales del título. Esta impugnación también se lleva a cabo a través del juicio ordinario. </w:t>
      </w:r>
    </w:p>
    <w:p w:rsidR="000A233F"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·Créditos derivados de un acto administrativo. La impugnación se hará por los cauces admitidos por la legislación específica y ante la autoridad correspondiente, es decir, a través de la vía administrativa o contencioso-administrativa</w:t>
      </w:r>
      <w:r>
        <w:rPr>
          <w:rStyle w:val="Refdenotaalpie"/>
          <w:rFonts w:ascii="Times New Roman" w:hAnsi="Times New Roman" w:cs="Times New Roman"/>
          <w:sz w:val="24"/>
          <w:szCs w:val="24"/>
        </w:rPr>
        <w:footnoteReference w:id="24"/>
      </w:r>
      <w:r>
        <w:rPr>
          <w:rFonts w:ascii="Times New Roman" w:hAnsi="Times New Roman" w:cs="Times New Roman"/>
          <w:sz w:val="24"/>
          <w:szCs w:val="24"/>
        </w:rPr>
        <w:t>.</w:t>
      </w:r>
    </w:p>
    <w:p w:rsidR="000A233F" w:rsidRPr="00881CA5" w:rsidRDefault="000A233F" w:rsidP="000A233F">
      <w:pPr>
        <w:pStyle w:val="Sinespaciado"/>
        <w:tabs>
          <w:tab w:val="left" w:pos="993"/>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·Créditos garantizados con garantía real. La administración concursal puede alegar la extinción de dicha garantía o de la obligación garantizada, error en la cantidad exigida, </w:t>
      </w:r>
      <w:r>
        <w:rPr>
          <w:rFonts w:ascii="Times New Roman" w:hAnsi="Times New Roman" w:cs="Times New Roman"/>
          <w:sz w:val="24"/>
          <w:szCs w:val="24"/>
        </w:rPr>
        <w:lastRenderedPageBreak/>
        <w:t xml:space="preserve">falsedad del título en el que consta la garantía real, entre otros supuestos en el juicio ordinario. </w:t>
      </w:r>
    </w:p>
    <w:p w:rsidR="000A233F" w:rsidRDefault="000A233F" w:rsidP="000A233F">
      <w:pPr>
        <w:pStyle w:val="Sinespaciado"/>
        <w:tabs>
          <w:tab w:val="left" w:pos="993"/>
        </w:tabs>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4. </w:t>
      </w:r>
      <w:r>
        <w:rPr>
          <w:rFonts w:ascii="Times New Roman" w:hAnsi="Times New Roman" w:cs="Times New Roman"/>
          <w:b/>
          <w:sz w:val="24"/>
          <w:szCs w:val="24"/>
        </w:rPr>
        <w:t>L</w:t>
      </w:r>
      <w:r w:rsidRPr="00D3092A">
        <w:rPr>
          <w:rFonts w:ascii="Times New Roman" w:hAnsi="Times New Roman" w:cs="Times New Roman"/>
          <w:b/>
          <w:sz w:val="24"/>
          <w:szCs w:val="24"/>
        </w:rPr>
        <w:t>ista de acreedores</w:t>
      </w:r>
      <w:r>
        <w:rPr>
          <w:rFonts w:ascii="Times New Roman" w:hAnsi="Times New Roman" w:cs="Times New Roman"/>
          <w:b/>
          <w:sz w:val="24"/>
          <w:szCs w:val="24"/>
        </w:rPr>
        <w:t>.</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A todo lo relacionado con esta lista es refieren los artículos 94 a 97 ter de la LC.</w:t>
      </w:r>
    </w:p>
    <w:p w:rsidR="000A233F" w:rsidRDefault="000A233F" w:rsidP="000A233F">
      <w:pPr>
        <w:pStyle w:val="Sinespaciado"/>
        <w:tabs>
          <w:tab w:val="left" w:pos="993"/>
        </w:tabs>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   </w:t>
      </w:r>
      <w:r w:rsidRPr="002F270E">
        <w:rPr>
          <w:rFonts w:ascii="Times New Roman" w:hAnsi="Times New Roman" w:cs="Times New Roman"/>
          <w:sz w:val="24"/>
          <w:szCs w:val="24"/>
        </w:rPr>
        <w:t>4.1</w:t>
      </w:r>
      <w:r>
        <w:rPr>
          <w:rFonts w:ascii="Times New Roman" w:hAnsi="Times New Roman" w:cs="Times New Roman"/>
          <w:b/>
          <w:sz w:val="24"/>
          <w:szCs w:val="24"/>
        </w:rPr>
        <w:t xml:space="preserve"> Estructura y contenido.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transcurridas todas las fases que hemos explicado en los epígrafes anteriores, en el plazo de dos meses la administración concursal debe emitir el informe concursal junto con el resultado de todo ese proceso: la lista de acreedores (provisional), que según el artículo 94 de la LC va a estar compuesta por una lista de los créditos concursales, por un lado los admitidos en ella y por otro los excluidos de ella, y otra de los créditos contra la masa.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Esta es un complemento del informe concursal ya que al igual que el inventario no forma parte de él sino que lo complementan. Tanto la lista, como el inventario o el informe pueden ser impugnados. La LC no prevé como tal la impugnación del informe concursal porque lo que prevé es la impugnación de dos de sus partes: lista de acreedores e inventario. Además de éstas también se compone por una explicación de todas las circunstancias que puedan resultar relevantes  para el concurso, por ejemplo los datos del deudor, su contabilidad, las decisiones de la administración concursal desde que asumió el cargo, las propuestas de convenio que se hayan presentado y en definitiva la situación patrimonial en la que se encuentra el deudor</w:t>
      </w:r>
      <w:r w:rsidRPr="003B7162">
        <w:rPr>
          <w:rStyle w:val="Refdenotaalpie"/>
          <w:rFonts w:ascii="Times New Roman" w:hAnsi="Times New Roman" w:cs="Times New Roman"/>
          <w:sz w:val="24"/>
          <w:szCs w:val="24"/>
        </w:rPr>
        <w:footnoteReference w:id="25"/>
      </w:r>
      <w:r>
        <w:rPr>
          <w:rFonts w:ascii="Times New Roman" w:hAnsi="Times New Roman" w:cs="Times New Roman"/>
          <w:sz w:val="24"/>
          <w:szCs w:val="24"/>
        </w:rPr>
        <w:t>.</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Respecto a la impugnación del informe hay un debate doctrinal entre quienes sostienen que lo que se puede impugnar es el inventario y la lista de acreedores; y quienes piensan que debe poder impugnarse todo el informe en su conjunto, pero la decisión del legislador ha sido optar por la primera postura.</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fundamental partir del hecho de que para impugnar una exclusión de la lista de acreedores solo hay un medio: el incidente concursal. Los interesados disponen de un plazo de 10 días a contar desde que se publica que la administración concursal ha presentado el informe al Juez del concurso, transcurrido el cual no se podrá solicitar la modificación de ningún extremo de la lista. Al otorgar este plazo lo que el legislador pretende es tener una información del pasivo lo más adecuada posible a la realidad y por ello con el periodo de impugnación puede modificar la lista o ratificarla y hacerla </w:t>
      </w:r>
      <w:r>
        <w:rPr>
          <w:rFonts w:ascii="Times New Roman" w:hAnsi="Times New Roman" w:cs="Times New Roman"/>
          <w:sz w:val="24"/>
          <w:szCs w:val="24"/>
        </w:rPr>
        <w:lastRenderedPageBreak/>
        <w:t xml:space="preserve">definitiva. La lista también se convertirá en definitiva si durante este plazo no se producen impugnaciones.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Cuando un acreedor ha sido excluido de la lista lo que busca a través del incidente concursal es que el Juez valore su situación y considere la decisión de la administración concursal. Un acreedor también puede impugnar la lista por un crédito de otro, es decir, no lo hace por haber sido excluido o incluido en ésta de forma distinta a como él lo solicitó sino que está impugnado la admisión de otro acreedor en el pasivo.</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Todas las decisiones de la administración concursal deben estar motivadas, porque de esa motivación dependen las impugnaciones. Ya se trate de una admisión o de una exclusión la explicación debe ser minuciosa y clara además de hacer referencia a todos los extremos del crédito. Pero en el caso de las exclusiones la justificación de los motivos es si cabe más importante debido a que depende esos argumentos la defensa del acreedor para poder acudir al incidente concursal. Esto significa que si un acreedor no entiende los motivos de su exclusión de la lista por estar redactados de forma ambigua se está limitado su derecho de oposición a la lista.</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ya hemos dicho un acreedor también puede impugnar la admisión de otro, pero también puede hacerlo el deudor o cualquier otro interesado en el proceso concursal y para ello es fundamental la actuación de la administración concursal en aras de motivar sus decisiones valorando y adjuntado todos los documentos que se hayan aportado para justificar los créditos.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Hay que tener claro que las impugnaciones se hacen ante el Juez del concurso y no ante la administración concursal porque es aquel quien tiene la última palabra respecto a la inclusión o exclusión de un acreedor en la lista, y por lo tanto no es posible acudir directamente a la administración concursal para que ésta modifique la lista una vez publicada.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Desde que la lista se publica no es posible su modificación por parte de la administración concursal, de forma que el único medio admitido por el legislador  para impugnar es el incidente concursal.</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lista de acreedores como ya dijimos está formada por una lista de acreedores concursales distinguiendo los incluidos de los excluidos y otra de créditos contra la masa. Aunque debemos tener presente siempre que a pesar de esas partes en las que se divide es un documento único. La primera relación está ordenada alfabéticamente y en el caso de los acreedores concursales incluidos incluye la identidad de éste; la causa, cuantía, clasificación, fecha de adquisición, fecha de vencimiento y garantías del </w:t>
      </w:r>
      <w:r>
        <w:rPr>
          <w:rFonts w:ascii="Times New Roman" w:hAnsi="Times New Roman" w:cs="Times New Roman"/>
          <w:sz w:val="24"/>
          <w:szCs w:val="24"/>
        </w:rPr>
        <w:lastRenderedPageBreak/>
        <w:t>crédito. En lo que respecta a la lista de créditos contra la masa, no está ordenada alfabéticamente porque esto no tendría sentido, sino por la fecha de devengo del crédito; además es necesario que detalle su procedencia y cuantía.</w:t>
      </w:r>
    </w:p>
    <w:p w:rsidR="000A233F" w:rsidRPr="0097604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acreedores titulares de créditos contra la masa también pueden impugnar a través del incidente concursal. </w:t>
      </w:r>
    </w:p>
    <w:p w:rsidR="000A233F" w:rsidRPr="00C23FF0" w:rsidRDefault="000A233F" w:rsidP="000A233F">
      <w:pPr>
        <w:pStyle w:val="Sinespaciado"/>
        <w:tabs>
          <w:tab w:val="left" w:pos="1276"/>
        </w:tabs>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   </w:t>
      </w:r>
      <w:r w:rsidRPr="002F270E">
        <w:rPr>
          <w:rFonts w:ascii="Times New Roman" w:hAnsi="Times New Roman" w:cs="Times New Roman"/>
          <w:sz w:val="24"/>
          <w:szCs w:val="24"/>
        </w:rPr>
        <w:t>4.2</w:t>
      </w:r>
      <w:r>
        <w:rPr>
          <w:rFonts w:ascii="Times New Roman" w:hAnsi="Times New Roman" w:cs="Times New Roman"/>
          <w:b/>
          <w:sz w:val="24"/>
          <w:szCs w:val="24"/>
        </w:rPr>
        <w:t xml:space="preserve"> Publicidad e impugnación.</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La lista de acreedores una vez elaborada, aunque tenga carácter provisional, debe hacerse pública para que los acreedores y demás interesados conozcan su contenido y decidan si van a impugnarla o no. El paso de la publicidad es fundamental ya que de él depende que se haga definitiva. El artículo 95 de la LC prevé dos sistemas de comunicación de la lista:</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·Uno genérico: consiste en divulgar que se ha presentado el informe concursal en el Juzgado correspondiente. En el tablón de anuncios del Juzgado se publicará la presentación de dicho informe quedando éste con todos los documentos que lo acompañan en la Secretaria del Juzgado para que pueda ser consultado por los interesados, a los cuales se les permite solicitar una copia del mismo.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específico: consiste en comunicar de forma personalizada a cada acreedor que haya comunicado su crédito y al deudor la presentación del informe concursal por parte de la administración concursal que incluye el inventario de la masa activa y la lista de acreedores. Esta comunicación además es publicada en el Registro Público Concursal y debe enviarse al menos 10 días antes de que el informe concursal se deposite en el Juzgado; y es necesario informar al destinatario de que dispone de un plazo de 10 días para impugnar la lista de acreedores si lo desea a contar no desde la comunicación personalizada sino desde la comunicación general.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que la administración concursal posea la dirección electrónica de los acreedores también podrá comunicarles la presentación del informe telemáticamente.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Juez del concurso puede acordar otros medios complementarios de publicidad si lo considera pertinente. Esta decisión puede ser adoptada de oficio o a instancia de parte, ya que tanto la administración concursal como el deudor pueden ayudarle a dilucidar la magnitud del proceso que debe ser tenida en cuenta a la hora de la publicidad.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impugnación de la lista de acreedores es un momento esencial del proceso concursal porque en caso de que se produzcan reacciones por parte de los acreedores o cualesquiera otros interesados, el Juez va a comprobar la labor de la administración </w:t>
      </w:r>
      <w:r>
        <w:rPr>
          <w:rFonts w:ascii="Times New Roman" w:hAnsi="Times New Roman" w:cs="Times New Roman"/>
          <w:sz w:val="24"/>
          <w:szCs w:val="24"/>
        </w:rPr>
        <w:lastRenderedPageBreak/>
        <w:t xml:space="preserve">concursal. Si dichas reacciones no se producen en este momento no se podrán llevar a cabo una vez transcurrido el plazo otorgado para ello.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Pues bien, la vía para la impugnación es el </w:t>
      </w:r>
      <w:r w:rsidRPr="0097604F">
        <w:rPr>
          <w:rFonts w:ascii="Times New Roman" w:hAnsi="Times New Roman" w:cs="Times New Roman"/>
          <w:sz w:val="24"/>
          <w:szCs w:val="24"/>
          <w:u w:val="single"/>
        </w:rPr>
        <w:t>incidente concursal</w:t>
      </w:r>
      <w:r>
        <w:rPr>
          <w:rFonts w:ascii="Times New Roman" w:hAnsi="Times New Roman" w:cs="Times New Roman"/>
          <w:sz w:val="24"/>
          <w:szCs w:val="24"/>
        </w:rPr>
        <w:t xml:space="preserve"> y a éste nos hemos referido también como medio para llevar a cabo otros trámites a lo largo de todas las fases explicadas para la determinación de la masa pasiva del concurso, por eso considero importante hacer una breve mención sobre el mismo.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Se entiende que es el único medio idóneo para tratar cualquier cuestión que se suscite en el proceso concursa, salvo para aquellas que tengan señalado otro cauce específico. Hay 2 modalidades de incidente: el ordinario que se usa para cuestiones estrictamente concursales (es el que nos interesa en este apartado a los efectos de la impugnación de la lista de acreedores) y otro que se usa para cuestiones laborales. Ninguno de los dos supone la paralización del proceso concursal, pero sí que pueden implicar la suspensión de algunas actuaciones relacionadas con la cuestión sometida a incidente.</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un procedimiento que se tramita igual que una demanda en un juicio declarativo ordinario ante el Juez del concurso. Una vez admitida la demanda incidental y emplazadas las partes, el demandado para contestar a la ésta tiene 10 días y pasados éstos habiéndose presentado la contestación sigue el proceso por los trámites del juicio verbal. No se admiten allanamientos del deudor ni de la administración concursal. Este medio tiene mucho éxito porque apenas se lleva a cabo en unos días y por las garantís que ofrece ya que solo admite el recurso de reposición (cuando se trata de autos o providencias) y el de apelación (cuando se trata de sentencias). Lo que significa que se evitan largas dilaciones de las cuestiones en conflicto y también del proceso concursal, ya que todas las cuestiones que surgen durante el concurso se tramitan por esta vía, salvo aquellas que tengan asignada otra específica.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Compete ahora pasar a otra cuestión, la legitimación para impugnar la lista de acreedores. El artículo 96 de la LC dice que cualquier interesado puede oponerse a la lista de acreedores y por lo tanto la legitimación activa la tiene cualquier persona que acredite tener un interés que ha resultado lesionado. Así que incluye a todos los acreedores, el deudor y otros posibles afectados como por ejemplo aquellas personas que reciben alimentos del deudor. Respecto a la legitimación pasiva, hay que decir que corresponde a la administración concursal. El deudor también puede ser demandado al igual que un acreedor titular de un crédito que ha sido admitido en la lista de acreedores y contra cuya admisión se manifiesta otro acreedor. En definitiva todos los acreedores pueden impugnar la lista ya sea por un crédito propio o ajeno. El supuesto más común </w:t>
      </w:r>
      <w:r>
        <w:rPr>
          <w:rFonts w:ascii="Times New Roman" w:hAnsi="Times New Roman" w:cs="Times New Roman"/>
          <w:sz w:val="24"/>
          <w:szCs w:val="24"/>
        </w:rPr>
        <w:lastRenderedPageBreak/>
        <w:t xml:space="preserve">de impugnación es el que llevan a cabo aquellos acreedores que han resultado excluidos de la lista o que han sido incluidos por una cantidad o en una clasificación distinta de la que solicitaron.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En lo que respecta al contenido de la impugnación el artículo 96 de la LC dice que será la inclusión o la exclusión de un crédito de la lista de acreedores, pero dentro de la inclusión puede ser por la clasificación dada o la cuantía reconocida. En el caso de la exclusión, el acreedor titular del crédito excluido tiene en el incidente la posibilidad de demostrar la existencia de su crédito así como de probar que debe formar parte del concurso ya que una de las causas de exclusión más comunes es la falta de presentación de documentos suficientes que prueben dicha existencia.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Cuando se trate de un crédito de reconocimiento automático o forzoso no podrán ser impugnados por otros acreedores ni por el deudor, únicamente por la administración concursal y no por la vía del incidente sino a través del juicio ordinario o del cauce específico que establezca su propia legislación.</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Como ya hemos señalado el plazo para impugnar la lista de acreedores es de 10 días  desde la comunicación general, por eso se dice que ésta es un presupuesto necesario para el ejercicio del derecho de impugnación. Ahora bien, hay que tener claro que ni la comunicación general ni la personalizada incluyen los datos de la lista de acreedores ni del inventario, únicamente informan de que el informe concursal ha sido presentado en el Juzgado. De forma que si un acreedor desea consultarlos tiene que acudir a la Secretaria del Juzgado para que le entreguen una copia del mismo.</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impugnante cuando interpone una demanda incidental debe adjuntar los documentos que fundamentan su pretensión. Tanto demandante como demandado deben estar asistidos por abogado, pero en el caso de la administración concursal actuará como tal el administrador letrado y en caso de que no lo sea deberá designar un abogado. La demanda se notificará a los legitimados pasivos además se les entregará una copia para que en un plazo de 10 días contesten. Una vez presentada la contestación el proceso sigue por los trámites del juicio verbal. Es normal que haya varias impugnaciones por ello la LC faculta al Juez para acumularlas y resolverlas en una única sentencia. </w:t>
      </w:r>
    </w:p>
    <w:p w:rsidR="000A233F" w:rsidRDefault="000A233F" w:rsidP="000A233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Tras practicar las pruebas consideradas oportunas por el Juez, éste dictará una sentencia con efectos de cosa juzgada. Las costas del incidente serán asignadas a la parte que haya visto desestimada su pretensión. En los 5 días siguientes a la notificación de la última sentencia dictada en materia de impugnaciones, la administración concursal llevará a cabo las modificaciones consecuentes de las mismas en la lista de acreedores </w:t>
      </w:r>
      <w:r>
        <w:rPr>
          <w:rFonts w:ascii="Times New Roman" w:hAnsi="Times New Roman" w:cs="Times New Roman"/>
          <w:sz w:val="24"/>
          <w:szCs w:val="24"/>
        </w:rPr>
        <w:lastRenderedPageBreak/>
        <w:t xml:space="preserve">motivándolas adecuadamente. Una vez hecho esto trasladará el texto definitivo al Juez, quedando así fijado el pasivo del concurso. Dentro de los 5 días siguientes a la finalización del plazo de impugnaciones se publicarán las listas definitivas en el Registro Público Concursal. </w:t>
      </w:r>
    </w:p>
    <w:p w:rsidR="000A233F" w:rsidRDefault="000A233F" w:rsidP="000A233F">
      <w:pPr>
        <w:pStyle w:val="Sinespaciado"/>
        <w:tabs>
          <w:tab w:val="left" w:pos="1276"/>
        </w:tabs>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         4.3 </w:t>
      </w:r>
      <w:r w:rsidRPr="00C23FF0">
        <w:rPr>
          <w:rFonts w:ascii="Times New Roman" w:hAnsi="Times New Roman" w:cs="Times New Roman"/>
          <w:b/>
          <w:sz w:val="24"/>
          <w:szCs w:val="24"/>
        </w:rPr>
        <w:t>Falta de impugnación, modificación de la lista y efectos.</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Puede suceder que no haya impugnaciones de la lista de acreedores y a esto se refiere el artículo 97 de la LC. Concretamente su apartado 1 dice que una vez haya pasado el plazo concedido para las impugnaciones no se podrá solicitar la modificación de la lista, pero sí es posible recurrir las modificaciones introducidas como consecuencia de esas impugnaciones. Si un acreedor no está conforme con la exclusión de su crédito o con la calificación dada a éste pero no impugna se entiende que acepta la categoría dada.</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Ahora bien cuando un crédito no es reconocido, no pierde su eficacia ni se extingue, únicamente no es ejercitable dentro del concurso pero sí fuera.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su apartado 2 se refiere a aquellos supuestos en los que un acreedor es calificado como persona especialmente relacionada con el deudor, en los cuales si no impugna en el tiempo concedido para ello y en la forma prevista se extinguirán las garantías constituidas respecto de su crédito.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su apartado 3 se recogen una serie de supuestos en los que se permite modificar la lista de acreedores definitiva, por ejemplo cuando después de presentarse ésta se inicie un proceso penal o administrativo del que puede resultar reconocido un crédito concursal. Y en su apartado 4 se hace referencia a las reglas que se aplicarán a aquellos casos en los que proceda modificar o sustituir a un acreedor en la lista definitiva. </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También puede darse el caso créditos que se comuniquen por sus titulares en el periodo que media desde que concluye el plazo para impugnar hasta que se presenta la lista definitiva. El reconocimiento y la clasificación de éstos se harán según las reglas contenidas en el artículo 92 de la LC y de las cuales ya hablamos en el epígrafe correspondiente. La administración concursal decidirá sobre ellos directamente cuando presente el texto definitivo y el acreedor titular podrá oponerse al trato dado por ella a través del incidente concursal dentro de los 10 días siguientes a que aquella comunique dicho texto.</w:t>
      </w:r>
    </w:p>
    <w:p w:rsidR="000A233F" w:rsidRDefault="000A233F" w:rsidP="000A233F">
      <w:pPr>
        <w:pStyle w:val="Sinespaciado"/>
        <w:tabs>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que respecta a la modificación de la lista de acreedores definitiva, a esta cuestión se refiere el artículo 97 bis de la LC. Únicamente se puede solicitar antes de que se apruebe la propuesta de convenio que se haya presentado, antes de que se hayan presentado en el Juzgado los informes sobre la liquidación o bien antes de que la </w:t>
      </w:r>
      <w:r>
        <w:rPr>
          <w:rFonts w:ascii="Times New Roman" w:hAnsi="Times New Roman" w:cs="Times New Roman"/>
          <w:sz w:val="24"/>
          <w:szCs w:val="24"/>
        </w:rPr>
        <w:lastRenderedPageBreak/>
        <w:t xml:space="preserve">administración concursal presente un escrito informando de la insuficiencia de la masa activa para satisfacer los créditos contra la masa. Si procede su solicitud, los acreedores la enviarán a la administración concursal junto con la exposición de la modificación que </w:t>
      </w:r>
      <w:proofErr w:type="gramStart"/>
      <w:r>
        <w:rPr>
          <w:rFonts w:ascii="Times New Roman" w:hAnsi="Times New Roman" w:cs="Times New Roman"/>
          <w:sz w:val="24"/>
          <w:szCs w:val="24"/>
        </w:rPr>
        <w:t>desean</w:t>
      </w:r>
      <w:proofErr w:type="gramEnd"/>
      <w:r>
        <w:rPr>
          <w:rFonts w:ascii="Times New Roman" w:hAnsi="Times New Roman" w:cs="Times New Roman"/>
          <w:sz w:val="24"/>
          <w:szCs w:val="24"/>
        </w:rPr>
        <w:t xml:space="preserve"> que se lleve a cabo y la motivación de ésta. La administración concursal informará al Juez del concurso sobre esta solicitud y éste en los 5 días siguientes a la misma decidirá si rechaza la pretensión o la admite. En caso de admisión el Juez lo comunicará a las partes afectadas por la modificación para que en un plazo de 10 días manifiesten si se oponen a la misma o no, en caso negativo el Juez ordenará su práctica.</w:t>
      </w:r>
    </w:p>
    <w:p w:rsidR="000A233F" w:rsidRDefault="000A233F" w:rsidP="000A233F">
      <w:pPr>
        <w:pStyle w:val="Sinespaciado"/>
        <w:tabs>
          <w:tab w:val="left" w:pos="426"/>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por último el artículo 97 ter habla de los efectos de esa modificación. En el caso de que se lleve a cabo una solicitud de modificación de la lista de acreedores se seguirá tramitando la fase de convenio o de liquidación, aunque es posible que se adopten medidas cautelares con el fin de asegurar la efectividad de la modificación. Esto significa que si se modifica la lista no se verán afectadas las operaciones de liquidación que se hayan hecho antes de dicha solicitud así como tampoco el convenio alcanzado. </w:t>
      </w:r>
    </w:p>
    <w:p w:rsidR="000A233F" w:rsidRDefault="000A233F" w:rsidP="000A233F">
      <w:pPr>
        <w:pStyle w:val="Sinespaciado"/>
        <w:tabs>
          <w:tab w:val="left" w:pos="993"/>
        </w:tabs>
        <w:spacing w:line="36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     5. Caso jurisprudencial.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sidRPr="0001327A">
        <w:rPr>
          <w:rFonts w:ascii="Times New Roman" w:hAnsi="Times New Roman" w:cs="Times New Roman"/>
          <w:sz w:val="24"/>
          <w:szCs w:val="24"/>
        </w:rPr>
        <w:t xml:space="preserve">Para finalizar </w:t>
      </w:r>
      <w:r>
        <w:rPr>
          <w:rFonts w:ascii="Times New Roman" w:hAnsi="Times New Roman" w:cs="Times New Roman"/>
          <w:sz w:val="24"/>
          <w:szCs w:val="24"/>
        </w:rPr>
        <w:t>este trabajo vamos a incluir a modo de ejemplo el caso de una empresa jiennense que en el año 2013 entró en concurso voluntario de acreedores, su denominación social es “Comercial de maderas y ferretería, S.A” más conocida como COMAFER S/A.</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 tenido acceso al informe concursal que fue elaborado por la administración concursal y de éste en lo que respecta a la masa pasiva cabe extraer un par de documentos importantes: la lista de acreedores ordenados alfabéticamente; la lista de créditos contra la masa; la lista de acreedores ordenados según la clasificación de sus créditos y la lista de acreedores cuyos créditos han sido incluidos en el pasivo pero con diferencias. </w: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r>
        <w:rPr>
          <w:rFonts w:ascii="Times New Roman" w:hAnsi="Times New Roman" w:cs="Times New Roman"/>
          <w:sz w:val="24"/>
          <w:szCs w:val="24"/>
        </w:rPr>
        <w:t>Dado que el número de acreedores total asciende a 74, resulta imposible incluir como anexo la lista de acreedores ordenados alfabéticamente ya que está compuesta por una ficha para cada acreedor en la que se especifica la identidad de los mismos, el crédito o los créditos que tiene con el deudor, la cuantía y calificación de los mismos así como las oportunas observaciones hechas por la administración. Pero si podemos incluir el listado de créditos contra la masa y un cuadro resumen en el que se reflejan todos los acreedores del concurso ordenados de acuerdo a la calificación dada a sus créditos.</w:t>
      </w:r>
    </w:p>
    <w:p w:rsidR="000A233F" w:rsidRDefault="000A233F" w:rsidP="000A233F">
      <w:pPr>
        <w:spacing w:before="62"/>
        <w:rPr>
          <w:rFonts w:ascii="Times New Roman" w:hAnsi="Times New Roman" w:cs="Times New Roman"/>
          <w:sz w:val="24"/>
          <w:szCs w:val="24"/>
        </w:rPr>
      </w:pPr>
    </w:p>
    <w:p w:rsidR="000A233F" w:rsidRPr="000D0204" w:rsidRDefault="000A233F" w:rsidP="000A233F">
      <w:pPr>
        <w:spacing w:before="62"/>
        <w:jc w:val="center"/>
        <w:rPr>
          <w:rFonts w:ascii="Century Gothic" w:eastAsia="Century Gothic" w:hAnsi="Century Gothic" w:cs="Century Gothic"/>
          <w:sz w:val="20"/>
          <w:szCs w:val="20"/>
        </w:rPr>
      </w:pPr>
      <w:r>
        <w:rPr>
          <w:rFonts w:ascii="Century Gothic"/>
          <w:b/>
          <w:color w:val="528ED5"/>
          <w:sz w:val="20"/>
          <w:u w:val="single" w:color="528ED5"/>
        </w:rPr>
        <w:lastRenderedPageBreak/>
        <w:t>LISTA DE C</w:t>
      </w:r>
      <w:r w:rsidRPr="000D0204">
        <w:rPr>
          <w:rFonts w:ascii="Century Gothic"/>
          <w:b/>
          <w:color w:val="528ED5"/>
          <w:sz w:val="20"/>
          <w:u w:val="single" w:color="528ED5"/>
        </w:rPr>
        <w:t>REDITOS</w:t>
      </w:r>
      <w:r w:rsidRPr="000D0204">
        <w:rPr>
          <w:rFonts w:ascii="Century Gothic"/>
          <w:b/>
          <w:color w:val="528ED5"/>
          <w:spacing w:val="-7"/>
          <w:sz w:val="20"/>
          <w:u w:val="single" w:color="528ED5"/>
        </w:rPr>
        <w:t xml:space="preserve"> </w:t>
      </w:r>
      <w:r w:rsidRPr="000D0204">
        <w:rPr>
          <w:rFonts w:ascii="Century Gothic"/>
          <w:b/>
          <w:color w:val="528ED5"/>
          <w:sz w:val="20"/>
          <w:u w:val="single" w:color="528ED5"/>
        </w:rPr>
        <w:t>CONTRA</w:t>
      </w:r>
      <w:r w:rsidRPr="000D0204">
        <w:rPr>
          <w:rFonts w:ascii="Century Gothic"/>
          <w:b/>
          <w:color w:val="528ED5"/>
          <w:spacing w:val="-7"/>
          <w:sz w:val="20"/>
          <w:u w:val="single" w:color="528ED5"/>
        </w:rPr>
        <w:t xml:space="preserve"> </w:t>
      </w:r>
      <w:r w:rsidRPr="000D0204">
        <w:rPr>
          <w:rFonts w:ascii="Century Gothic"/>
          <w:b/>
          <w:color w:val="528ED5"/>
          <w:sz w:val="20"/>
          <w:u w:val="single" w:color="528ED5"/>
        </w:rPr>
        <w:t>LA</w:t>
      </w:r>
      <w:r w:rsidRPr="000D0204">
        <w:rPr>
          <w:rFonts w:ascii="Century Gothic"/>
          <w:b/>
          <w:color w:val="528ED5"/>
          <w:spacing w:val="-7"/>
          <w:sz w:val="20"/>
          <w:u w:val="single" w:color="528ED5"/>
        </w:rPr>
        <w:t xml:space="preserve"> </w:t>
      </w:r>
      <w:r w:rsidRPr="000D0204">
        <w:rPr>
          <w:rFonts w:ascii="Century Gothic"/>
          <w:b/>
          <w:color w:val="528ED5"/>
          <w:sz w:val="20"/>
          <w:u w:val="single" w:color="528ED5"/>
        </w:rPr>
        <w:t>MASA</w:t>
      </w:r>
      <w:r w:rsidRPr="000D0204">
        <w:rPr>
          <w:rFonts w:ascii="Century Gothic"/>
          <w:b/>
          <w:color w:val="528ED5"/>
          <w:spacing w:val="-7"/>
          <w:sz w:val="20"/>
          <w:u w:val="single" w:color="528ED5"/>
        </w:rPr>
        <w:t xml:space="preserve"> </w:t>
      </w:r>
      <w:r>
        <w:rPr>
          <w:rFonts w:ascii="Century Gothic"/>
          <w:b/>
          <w:color w:val="528ED5"/>
          <w:sz w:val="20"/>
          <w:u w:val="single" w:color="528ED5"/>
        </w:rPr>
        <w:t>DEVENG</w:t>
      </w:r>
      <w:r w:rsidRPr="000D0204">
        <w:rPr>
          <w:rFonts w:ascii="Century Gothic"/>
          <w:b/>
          <w:color w:val="528ED5"/>
          <w:sz w:val="20"/>
          <w:u w:val="single" w:color="528ED5"/>
        </w:rPr>
        <w:t>ADOS</w:t>
      </w:r>
      <w:r w:rsidRPr="000D0204">
        <w:rPr>
          <w:rFonts w:ascii="Century Gothic"/>
          <w:b/>
          <w:color w:val="528ED5"/>
          <w:spacing w:val="-6"/>
          <w:sz w:val="20"/>
          <w:u w:val="single" w:color="528ED5"/>
        </w:rPr>
        <w:t xml:space="preserve"> </w:t>
      </w:r>
      <w:r w:rsidRPr="000D0204">
        <w:rPr>
          <w:rFonts w:ascii="Century Gothic"/>
          <w:b/>
          <w:color w:val="528ED5"/>
          <w:sz w:val="20"/>
          <w:u w:val="single" w:color="528ED5"/>
        </w:rPr>
        <w:t>Y</w:t>
      </w:r>
      <w:r w:rsidRPr="000D0204">
        <w:rPr>
          <w:rFonts w:ascii="Century Gothic"/>
          <w:b/>
          <w:color w:val="528ED5"/>
          <w:spacing w:val="-7"/>
          <w:sz w:val="20"/>
          <w:u w:val="single" w:color="528ED5"/>
        </w:rPr>
        <w:t xml:space="preserve"> </w:t>
      </w:r>
      <w:r w:rsidRPr="000D0204">
        <w:rPr>
          <w:rFonts w:ascii="Century Gothic"/>
          <w:b/>
          <w:color w:val="528ED5"/>
          <w:sz w:val="20"/>
          <w:u w:val="single" w:color="528ED5"/>
        </w:rPr>
        <w:t>PENDIENTES</w:t>
      </w:r>
      <w:r w:rsidRPr="000D0204">
        <w:rPr>
          <w:rFonts w:ascii="Century Gothic"/>
          <w:b/>
          <w:color w:val="528ED5"/>
          <w:spacing w:val="-6"/>
          <w:sz w:val="20"/>
          <w:u w:val="single" w:color="528ED5"/>
        </w:rPr>
        <w:t xml:space="preserve"> </w:t>
      </w:r>
      <w:r w:rsidRPr="000D0204">
        <w:rPr>
          <w:rFonts w:ascii="Century Gothic"/>
          <w:b/>
          <w:color w:val="528ED5"/>
          <w:sz w:val="20"/>
          <w:u w:val="single" w:color="528ED5"/>
        </w:rPr>
        <w:t>DE</w:t>
      </w:r>
      <w:r w:rsidRPr="000D0204">
        <w:rPr>
          <w:rFonts w:ascii="Century Gothic"/>
          <w:b/>
          <w:color w:val="528ED5"/>
          <w:spacing w:val="-7"/>
          <w:sz w:val="20"/>
          <w:u w:val="single" w:color="528ED5"/>
        </w:rPr>
        <w:t xml:space="preserve"> </w:t>
      </w:r>
      <w:r w:rsidRPr="000D0204">
        <w:rPr>
          <w:rFonts w:ascii="Century Gothic"/>
          <w:b/>
          <w:color w:val="528ED5"/>
          <w:sz w:val="20"/>
          <w:u w:val="single" w:color="528ED5"/>
        </w:rPr>
        <w:t>PAGO</w:t>
      </w:r>
    </w:p>
    <w:p w:rsidR="000A233F" w:rsidRDefault="000A233F" w:rsidP="000A233F">
      <w:pPr>
        <w:widowControl w:val="0"/>
        <w:spacing w:before="27" w:after="0" w:line="240" w:lineRule="auto"/>
        <w:rPr>
          <w:rFonts w:ascii="Century Gothic" w:eastAsia="Calibri" w:hAnsi="Century Gothic" w:cs="Times New Roman"/>
          <w:b/>
          <w:color w:val="FFFFFF"/>
          <w:sz w:val="20"/>
          <w:u w:val="single" w:color="FFFFFF"/>
        </w:rPr>
      </w:pPr>
      <w:r w:rsidRPr="00CA7B2D">
        <w:rPr>
          <w:rFonts w:ascii="Century Gothic" w:eastAsia="Calibri" w:hAnsi="Century Gothic" w:cs="Times New Roman"/>
          <w:b/>
          <w:color w:val="FFFFFF"/>
          <w:sz w:val="20"/>
          <w:u w:val="single" w:color="FFFFFF"/>
        </w:rPr>
        <w:t>RÉDI</w:t>
      </w:r>
    </w:p>
    <w:p w:rsidR="000A233F" w:rsidRPr="00CA7B2D" w:rsidRDefault="000A233F" w:rsidP="000A233F">
      <w:pPr>
        <w:widowControl w:val="0"/>
        <w:spacing w:before="27" w:after="0" w:line="240" w:lineRule="auto"/>
        <w:ind w:left="2927"/>
        <w:rPr>
          <w:rFonts w:ascii="Century Gothic" w:eastAsia="Century Gothic" w:hAnsi="Century Gothic" w:cs="Century Gothic"/>
          <w:sz w:val="20"/>
          <w:szCs w:val="20"/>
        </w:rPr>
      </w:pPr>
      <w:r w:rsidRPr="00CA7B2D">
        <w:rPr>
          <w:rFonts w:ascii="Century Gothic" w:eastAsia="Calibri" w:hAnsi="Century Gothic" w:cs="Times New Roman"/>
          <w:b/>
          <w:color w:val="FFFFFF"/>
          <w:sz w:val="20"/>
          <w:u w:val="single" w:color="FFFFFF"/>
        </w:rPr>
        <w:t>TOS CONTRA LA</w:t>
      </w:r>
      <w:r w:rsidRPr="00CA7B2D">
        <w:rPr>
          <w:rFonts w:ascii="Century Gothic" w:eastAsia="Calibri" w:hAnsi="Century Gothic" w:cs="Times New Roman"/>
          <w:b/>
          <w:color w:val="FFFFFF"/>
          <w:spacing w:val="-19"/>
          <w:sz w:val="20"/>
          <w:u w:val="single" w:color="FFFFFF"/>
        </w:rPr>
        <w:t xml:space="preserve"> </w:t>
      </w:r>
      <w:r w:rsidRPr="00CA7B2D">
        <w:rPr>
          <w:rFonts w:ascii="Century Gothic" w:eastAsia="Calibri" w:hAnsi="Century Gothic" w:cs="Times New Roman"/>
          <w:b/>
          <w:color w:val="FFFFFF"/>
          <w:sz w:val="20"/>
          <w:u w:val="single" w:color="FFFFFF"/>
        </w:rPr>
        <w:t>MA</w:t>
      </w:r>
    </w:p>
    <w:tbl>
      <w:tblPr>
        <w:tblStyle w:val="TableNormal"/>
        <w:tblW w:w="9384" w:type="dxa"/>
        <w:tblInd w:w="-409" w:type="dxa"/>
        <w:tblLayout w:type="fixed"/>
        <w:tblLook w:val="01E0"/>
      </w:tblPr>
      <w:tblGrid>
        <w:gridCol w:w="1121"/>
        <w:gridCol w:w="3074"/>
        <w:gridCol w:w="3439"/>
        <w:gridCol w:w="1750"/>
      </w:tblGrid>
      <w:tr w:rsidR="000A233F" w:rsidTr="00E910D0">
        <w:trPr>
          <w:trHeight w:hRule="exact" w:val="514"/>
        </w:trPr>
        <w:tc>
          <w:tcPr>
            <w:tcW w:w="1121" w:type="dxa"/>
            <w:tcBorders>
              <w:top w:val="single" w:sz="15" w:space="0" w:color="528ED5"/>
              <w:left w:val="single" w:sz="15" w:space="0" w:color="528ED5"/>
              <w:bottom w:val="single" w:sz="15" w:space="0" w:color="528ED5"/>
              <w:right w:val="single" w:sz="15" w:space="0" w:color="528ED5"/>
            </w:tcBorders>
          </w:tcPr>
          <w:p w:rsidR="000A233F" w:rsidRDefault="000A233F" w:rsidP="00E910D0">
            <w:pPr>
              <w:pStyle w:val="TableParagraph"/>
              <w:spacing w:line="118" w:lineRule="exact"/>
              <w:ind w:left="177" w:firstLine="64"/>
              <w:rPr>
                <w:rFonts w:ascii="Century Gothic"/>
                <w:b/>
                <w:sz w:val="20"/>
              </w:rPr>
            </w:pPr>
          </w:p>
          <w:p w:rsidR="000A233F" w:rsidRDefault="000A233F" w:rsidP="00E910D0">
            <w:pPr>
              <w:pStyle w:val="TableParagraph"/>
              <w:spacing w:line="118" w:lineRule="exact"/>
              <w:ind w:left="177" w:firstLine="64"/>
              <w:rPr>
                <w:rFonts w:ascii="Century Gothic" w:eastAsia="Century Gothic" w:hAnsi="Century Gothic" w:cs="Century Gothic"/>
                <w:sz w:val="20"/>
                <w:szCs w:val="20"/>
              </w:rPr>
            </w:pPr>
            <w:proofErr w:type="spellStart"/>
            <w:r>
              <w:rPr>
                <w:rFonts w:ascii="Century Gothic"/>
                <w:b/>
                <w:sz w:val="20"/>
              </w:rPr>
              <w:t>Fecha</w:t>
            </w:r>
            <w:proofErr w:type="spellEnd"/>
          </w:p>
          <w:p w:rsidR="000A233F" w:rsidRDefault="000A233F" w:rsidP="00E910D0">
            <w:pPr>
              <w:pStyle w:val="TableParagraph"/>
              <w:spacing w:before="14"/>
              <w:ind w:left="177"/>
              <w:rPr>
                <w:rFonts w:ascii="Century Gothic" w:eastAsia="Century Gothic" w:hAnsi="Century Gothic" w:cs="Century Gothic"/>
                <w:sz w:val="20"/>
                <w:szCs w:val="20"/>
              </w:rPr>
            </w:pPr>
            <w:proofErr w:type="spellStart"/>
            <w:r>
              <w:rPr>
                <w:rFonts w:ascii="Century Gothic"/>
                <w:b/>
                <w:sz w:val="20"/>
              </w:rPr>
              <w:t>Factura</w:t>
            </w:r>
            <w:proofErr w:type="spellEnd"/>
          </w:p>
        </w:tc>
        <w:tc>
          <w:tcPr>
            <w:tcW w:w="3074" w:type="dxa"/>
            <w:tcBorders>
              <w:top w:val="single" w:sz="15" w:space="0" w:color="528ED5"/>
              <w:left w:val="single" w:sz="15" w:space="0" w:color="528ED5"/>
              <w:bottom w:val="single" w:sz="15" w:space="0" w:color="528ED5"/>
              <w:right w:val="single" w:sz="15" w:space="0" w:color="528ED5"/>
            </w:tcBorders>
          </w:tcPr>
          <w:p w:rsidR="000A233F" w:rsidRDefault="000A233F" w:rsidP="00E910D0">
            <w:pPr>
              <w:pStyle w:val="TableParagraph"/>
              <w:spacing w:before="132"/>
              <w:ind w:left="995"/>
              <w:rPr>
                <w:rFonts w:ascii="Century Gothic" w:eastAsia="Century Gothic" w:hAnsi="Century Gothic" w:cs="Century Gothic"/>
                <w:sz w:val="20"/>
                <w:szCs w:val="20"/>
              </w:rPr>
            </w:pPr>
            <w:r>
              <w:rPr>
                <w:rFonts w:ascii="Century Gothic"/>
                <w:b/>
                <w:sz w:val="20"/>
              </w:rPr>
              <w:t>ACREEDOR</w:t>
            </w:r>
          </w:p>
        </w:tc>
        <w:tc>
          <w:tcPr>
            <w:tcW w:w="3439" w:type="dxa"/>
            <w:tcBorders>
              <w:top w:val="single" w:sz="15" w:space="0" w:color="528ED5"/>
              <w:left w:val="single" w:sz="15" w:space="0" w:color="528ED5"/>
              <w:bottom w:val="single" w:sz="15" w:space="0" w:color="528ED5"/>
              <w:right w:val="single" w:sz="15" w:space="0" w:color="528ED5"/>
            </w:tcBorders>
          </w:tcPr>
          <w:p w:rsidR="000A233F" w:rsidRDefault="000A233F" w:rsidP="00E910D0">
            <w:pPr>
              <w:pStyle w:val="TableParagraph"/>
              <w:spacing w:before="132"/>
              <w:ind w:left="4"/>
              <w:jc w:val="center"/>
              <w:rPr>
                <w:rFonts w:ascii="Century Gothic" w:eastAsia="Century Gothic" w:hAnsi="Century Gothic" w:cs="Century Gothic"/>
                <w:sz w:val="20"/>
                <w:szCs w:val="20"/>
              </w:rPr>
            </w:pPr>
            <w:r>
              <w:rPr>
                <w:rFonts w:ascii="Century Gothic"/>
                <w:b/>
                <w:sz w:val="20"/>
              </w:rPr>
              <w:t>CONCEPTO</w:t>
            </w:r>
          </w:p>
        </w:tc>
        <w:tc>
          <w:tcPr>
            <w:tcW w:w="1750" w:type="dxa"/>
            <w:tcBorders>
              <w:top w:val="single" w:sz="15" w:space="0" w:color="528ED5"/>
              <w:left w:val="single" w:sz="15" w:space="0" w:color="528ED5"/>
              <w:bottom w:val="single" w:sz="15" w:space="0" w:color="528ED5"/>
              <w:right w:val="single" w:sz="15" w:space="0" w:color="528ED5"/>
            </w:tcBorders>
          </w:tcPr>
          <w:p w:rsidR="000A233F" w:rsidRDefault="000A233F" w:rsidP="00E910D0">
            <w:pPr>
              <w:pStyle w:val="TableParagraph"/>
              <w:spacing w:before="132"/>
              <w:ind w:left="449"/>
              <w:rPr>
                <w:rFonts w:ascii="Century Gothic" w:eastAsia="Century Gothic" w:hAnsi="Century Gothic" w:cs="Century Gothic"/>
                <w:sz w:val="20"/>
                <w:szCs w:val="20"/>
              </w:rPr>
            </w:pPr>
            <w:r>
              <w:rPr>
                <w:rFonts w:ascii="Century Gothic"/>
                <w:b/>
                <w:sz w:val="20"/>
              </w:rPr>
              <w:t>IMPORTE</w:t>
            </w:r>
          </w:p>
        </w:tc>
      </w:tr>
      <w:tr w:rsidR="000A233F" w:rsidTr="00E910D0">
        <w:trPr>
          <w:trHeight w:hRule="exact" w:val="528"/>
        </w:trPr>
        <w:tc>
          <w:tcPr>
            <w:tcW w:w="1121" w:type="dxa"/>
            <w:tcBorders>
              <w:top w:val="single" w:sz="15" w:space="0" w:color="528ED5"/>
              <w:left w:val="single" w:sz="8" w:space="0" w:color="000000"/>
              <w:bottom w:val="single" w:sz="8" w:space="0" w:color="000000"/>
              <w:right w:val="single" w:sz="8" w:space="0" w:color="000000"/>
            </w:tcBorders>
          </w:tcPr>
          <w:p w:rsidR="000A233F" w:rsidRDefault="000A233F" w:rsidP="00E910D0">
            <w:pPr>
              <w:pStyle w:val="TableParagraph"/>
              <w:spacing w:before="123"/>
              <w:jc w:val="center"/>
              <w:rPr>
                <w:rFonts w:ascii="Century Gothic" w:eastAsia="Century Gothic" w:hAnsi="Century Gothic" w:cs="Century Gothic"/>
                <w:sz w:val="20"/>
                <w:szCs w:val="20"/>
              </w:rPr>
            </w:pPr>
            <w:r>
              <w:rPr>
                <w:rFonts w:ascii="Century Gothic"/>
                <w:sz w:val="20"/>
              </w:rPr>
              <w:t>25-10-13</w:t>
            </w:r>
          </w:p>
        </w:tc>
        <w:tc>
          <w:tcPr>
            <w:tcW w:w="3074" w:type="dxa"/>
            <w:tcBorders>
              <w:top w:val="single" w:sz="15" w:space="0" w:color="528ED5"/>
              <w:left w:val="single" w:sz="8" w:space="0" w:color="000000"/>
              <w:bottom w:val="single" w:sz="8" w:space="0" w:color="000000"/>
              <w:right w:val="single" w:sz="8" w:space="0" w:color="000000"/>
            </w:tcBorders>
          </w:tcPr>
          <w:p w:rsidR="000A233F" w:rsidRPr="000D0204" w:rsidRDefault="000A233F" w:rsidP="00E910D0">
            <w:pPr>
              <w:pStyle w:val="TableParagraph"/>
              <w:spacing w:line="171" w:lineRule="exact"/>
              <w:ind w:left="28"/>
              <w:rPr>
                <w:rFonts w:ascii="Century Gothic" w:eastAsia="Century Gothic" w:hAnsi="Century Gothic" w:cs="Century Gothic"/>
                <w:sz w:val="20"/>
                <w:szCs w:val="20"/>
                <w:lang w:val="es-ES_tradnl"/>
              </w:rPr>
            </w:pPr>
            <w:r w:rsidRPr="000D0204">
              <w:rPr>
                <w:rFonts w:ascii="Century Gothic"/>
                <w:sz w:val="20"/>
                <w:lang w:val="es-ES_tradnl"/>
              </w:rPr>
              <w:t>ROSPOSTIGO Y</w:t>
            </w:r>
            <w:r w:rsidRPr="000D0204">
              <w:rPr>
                <w:rFonts w:ascii="Century Gothic"/>
                <w:spacing w:val="-10"/>
                <w:sz w:val="20"/>
                <w:lang w:val="es-ES_tradnl"/>
              </w:rPr>
              <w:t xml:space="preserve"> </w:t>
            </w:r>
            <w:r w:rsidRPr="000D0204">
              <w:rPr>
                <w:rFonts w:ascii="Century Gothic"/>
                <w:sz w:val="20"/>
                <w:lang w:val="es-ES_tradnl"/>
              </w:rPr>
              <w:t>ROJO</w:t>
            </w:r>
          </w:p>
          <w:p w:rsidR="000A233F" w:rsidRPr="000D0204" w:rsidRDefault="000A233F" w:rsidP="00E910D0">
            <w:pPr>
              <w:pStyle w:val="TableParagraph"/>
              <w:spacing w:before="14"/>
              <w:ind w:left="28"/>
              <w:rPr>
                <w:rFonts w:ascii="Century Gothic" w:eastAsia="Century Gothic" w:hAnsi="Century Gothic" w:cs="Century Gothic"/>
                <w:sz w:val="20"/>
                <w:szCs w:val="20"/>
                <w:lang w:val="es-ES_tradnl"/>
              </w:rPr>
            </w:pPr>
            <w:r w:rsidRPr="000D0204">
              <w:rPr>
                <w:rFonts w:ascii="Century Gothic"/>
                <w:sz w:val="20"/>
                <w:lang w:val="es-ES_tradnl"/>
              </w:rPr>
              <w:t>CONCURSAL,</w:t>
            </w:r>
            <w:r w:rsidRPr="000D0204">
              <w:rPr>
                <w:rFonts w:ascii="Century Gothic"/>
                <w:spacing w:val="-8"/>
                <w:sz w:val="20"/>
                <w:lang w:val="es-ES_tradnl"/>
              </w:rPr>
              <w:t xml:space="preserve"> </w:t>
            </w:r>
            <w:r w:rsidRPr="000D0204">
              <w:rPr>
                <w:rFonts w:ascii="Century Gothic"/>
                <w:sz w:val="20"/>
                <w:lang w:val="es-ES_tradnl"/>
              </w:rPr>
              <w:t>S.L.P</w:t>
            </w:r>
          </w:p>
        </w:tc>
        <w:tc>
          <w:tcPr>
            <w:tcW w:w="3439" w:type="dxa"/>
            <w:tcBorders>
              <w:top w:val="single" w:sz="15" w:space="0" w:color="528ED5"/>
              <w:left w:val="single" w:sz="8" w:space="0" w:color="000000"/>
              <w:bottom w:val="single" w:sz="8" w:space="0" w:color="000000"/>
              <w:right w:val="single" w:sz="8" w:space="0" w:color="000000"/>
            </w:tcBorders>
          </w:tcPr>
          <w:p w:rsidR="000A233F" w:rsidRPr="000D0204" w:rsidRDefault="000A233F" w:rsidP="00E910D0">
            <w:pPr>
              <w:pStyle w:val="TableParagraph"/>
              <w:spacing w:before="1"/>
              <w:rPr>
                <w:rFonts w:ascii="Century Gothic" w:eastAsia="Century Gothic" w:hAnsi="Century Gothic" w:cs="Century Gothic"/>
                <w:b/>
                <w:bCs/>
                <w:sz w:val="18"/>
                <w:szCs w:val="18"/>
                <w:lang w:val="es-ES_tradnl"/>
              </w:rPr>
            </w:pPr>
          </w:p>
          <w:p w:rsidR="000A233F" w:rsidRDefault="000A233F" w:rsidP="00E910D0">
            <w:pPr>
              <w:pStyle w:val="TableParagraph"/>
              <w:ind w:left="25"/>
              <w:jc w:val="center"/>
              <w:rPr>
                <w:rFonts w:ascii="Century Gothic" w:eastAsia="Century Gothic" w:hAnsi="Century Gothic" w:cs="Century Gothic"/>
                <w:sz w:val="20"/>
                <w:szCs w:val="20"/>
              </w:rPr>
            </w:pPr>
            <w:proofErr w:type="spellStart"/>
            <w:r>
              <w:rPr>
                <w:rFonts w:ascii="Century Gothic"/>
                <w:sz w:val="20"/>
              </w:rPr>
              <w:t>Honorarios</w:t>
            </w:r>
            <w:proofErr w:type="spellEnd"/>
            <w:r>
              <w:rPr>
                <w:rFonts w:ascii="Century Gothic"/>
                <w:spacing w:val="-15"/>
                <w:sz w:val="20"/>
              </w:rPr>
              <w:t xml:space="preserve"> </w:t>
            </w:r>
            <w:r>
              <w:rPr>
                <w:rFonts w:ascii="Century Gothic"/>
                <w:sz w:val="20"/>
              </w:rPr>
              <w:t>AC</w:t>
            </w:r>
          </w:p>
        </w:tc>
        <w:tc>
          <w:tcPr>
            <w:tcW w:w="1750" w:type="dxa"/>
            <w:tcBorders>
              <w:top w:val="single" w:sz="15" w:space="0" w:color="528ED5"/>
              <w:left w:val="single" w:sz="8" w:space="0" w:color="000000"/>
              <w:bottom w:val="single" w:sz="8" w:space="0" w:color="000000"/>
              <w:right w:val="single" w:sz="8" w:space="0" w:color="000000"/>
            </w:tcBorders>
          </w:tcPr>
          <w:p w:rsidR="000A233F" w:rsidRDefault="000A233F" w:rsidP="00E910D0">
            <w:pPr>
              <w:pStyle w:val="TableParagraph"/>
              <w:spacing w:before="1"/>
              <w:rPr>
                <w:rFonts w:ascii="Century Gothic" w:eastAsia="Century Gothic" w:hAnsi="Century Gothic" w:cs="Century Gothic"/>
                <w:b/>
                <w:bCs/>
                <w:sz w:val="18"/>
                <w:szCs w:val="18"/>
              </w:rPr>
            </w:pPr>
          </w:p>
          <w:p w:rsidR="000A233F" w:rsidRDefault="000A233F" w:rsidP="00E910D0">
            <w:pPr>
              <w:pStyle w:val="TableParagraph"/>
              <w:ind w:right="255"/>
              <w:jc w:val="right"/>
              <w:rPr>
                <w:rFonts w:ascii="Century Gothic" w:eastAsia="Century Gothic" w:hAnsi="Century Gothic" w:cs="Century Gothic"/>
                <w:sz w:val="20"/>
                <w:szCs w:val="20"/>
              </w:rPr>
            </w:pPr>
            <w:r>
              <w:rPr>
                <w:rFonts w:ascii="Century Gothic"/>
                <w:spacing w:val="-1"/>
                <w:w w:val="95"/>
                <w:sz w:val="20"/>
              </w:rPr>
              <w:t>5.688,52</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4"/>
              <w:jc w:val="center"/>
              <w:rPr>
                <w:rFonts w:ascii="Century Gothic" w:eastAsia="Century Gothic" w:hAnsi="Century Gothic" w:cs="Century Gothic"/>
                <w:sz w:val="20"/>
                <w:szCs w:val="20"/>
              </w:rPr>
            </w:pPr>
            <w:r>
              <w:rPr>
                <w:rFonts w:ascii="Century Gothic"/>
                <w:sz w:val="20"/>
              </w:rPr>
              <w:t>25-10-13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28"/>
              <w:rPr>
                <w:rFonts w:ascii="Century Gothic" w:eastAsia="Century Gothic" w:hAnsi="Century Gothic" w:cs="Century Gothic"/>
                <w:sz w:val="20"/>
                <w:szCs w:val="20"/>
              </w:rPr>
            </w:pPr>
            <w:r>
              <w:rPr>
                <w:rFonts w:ascii="Century Gothic"/>
                <w:sz w:val="20"/>
              </w:rPr>
              <w:t>FERNANDO GONZALEZ</w:t>
            </w:r>
            <w:r>
              <w:rPr>
                <w:rFonts w:ascii="Century Gothic"/>
                <w:spacing w:val="-27"/>
                <w:sz w:val="20"/>
              </w:rPr>
              <w:t xml:space="preserve"> </w:t>
            </w:r>
            <w:r>
              <w:rPr>
                <w:rFonts w:ascii="Century Gothic"/>
                <w:sz w:val="20"/>
              </w:rPr>
              <w:t>VAZQUE</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38"/>
              <w:jc w:val="center"/>
              <w:rPr>
                <w:rFonts w:ascii="Century Gothic" w:eastAsia="Century Gothic" w:hAnsi="Century Gothic" w:cs="Century Gothic"/>
                <w:sz w:val="20"/>
                <w:szCs w:val="20"/>
              </w:rPr>
            </w:pPr>
            <w:proofErr w:type="spellStart"/>
            <w:r>
              <w:rPr>
                <w:rFonts w:ascii="Century Gothic"/>
                <w:sz w:val="20"/>
              </w:rPr>
              <w:t>Honorarios</w:t>
            </w:r>
            <w:proofErr w:type="spellEnd"/>
            <w:r>
              <w:rPr>
                <w:rFonts w:ascii="Century Gothic"/>
                <w:spacing w:val="-25"/>
                <w:sz w:val="20"/>
              </w:rPr>
              <w:t xml:space="preserve"> </w:t>
            </w:r>
            <w:proofErr w:type="spellStart"/>
            <w:r>
              <w:rPr>
                <w:rFonts w:ascii="Century Gothic"/>
                <w:sz w:val="20"/>
              </w:rPr>
              <w:t>abogado</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55"/>
              <w:jc w:val="right"/>
              <w:rPr>
                <w:rFonts w:ascii="Century Gothic" w:eastAsia="Century Gothic" w:hAnsi="Century Gothic" w:cs="Century Gothic"/>
                <w:sz w:val="20"/>
                <w:szCs w:val="20"/>
              </w:rPr>
            </w:pPr>
            <w:r>
              <w:rPr>
                <w:rFonts w:ascii="Century Gothic"/>
                <w:spacing w:val="-1"/>
                <w:w w:val="95"/>
                <w:sz w:val="20"/>
              </w:rPr>
              <w:t>5.688,52</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4"/>
              <w:jc w:val="center"/>
              <w:rPr>
                <w:rFonts w:ascii="Century Gothic" w:eastAsia="Century Gothic" w:hAnsi="Century Gothic" w:cs="Century Gothic"/>
                <w:sz w:val="20"/>
                <w:szCs w:val="20"/>
              </w:rPr>
            </w:pPr>
            <w:r>
              <w:rPr>
                <w:rFonts w:ascii="Century Gothic"/>
                <w:sz w:val="20"/>
              </w:rPr>
              <w:t>25-10-13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28"/>
              <w:rPr>
                <w:rFonts w:ascii="Century Gothic" w:eastAsia="Century Gothic" w:hAnsi="Century Gothic" w:cs="Century Gothic"/>
                <w:sz w:val="20"/>
                <w:szCs w:val="20"/>
              </w:rPr>
            </w:pPr>
            <w:r>
              <w:rPr>
                <w:rFonts w:ascii="Century Gothic" w:hAnsi="Century Gothic"/>
                <w:sz w:val="20"/>
              </w:rPr>
              <w:t>MARIA JESUS CRUZ</w:t>
            </w:r>
            <w:r>
              <w:rPr>
                <w:rFonts w:ascii="Century Gothic" w:hAnsi="Century Gothic"/>
                <w:spacing w:val="-19"/>
                <w:sz w:val="20"/>
              </w:rPr>
              <w:t xml:space="preserve"> </w:t>
            </w:r>
            <w:r>
              <w:rPr>
                <w:rFonts w:ascii="Century Gothic" w:hAnsi="Century Gothic"/>
                <w:sz w:val="20"/>
              </w:rPr>
              <w:t>ORDOÑEZ</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34"/>
              <w:jc w:val="center"/>
              <w:rPr>
                <w:rFonts w:ascii="Century Gothic" w:eastAsia="Century Gothic" w:hAnsi="Century Gothic" w:cs="Century Gothic"/>
                <w:sz w:val="20"/>
                <w:szCs w:val="20"/>
              </w:rPr>
            </w:pPr>
            <w:proofErr w:type="spellStart"/>
            <w:r>
              <w:rPr>
                <w:rFonts w:ascii="Century Gothic"/>
                <w:sz w:val="20"/>
              </w:rPr>
              <w:t>Honoarios</w:t>
            </w:r>
            <w:proofErr w:type="spellEnd"/>
            <w:r>
              <w:rPr>
                <w:rFonts w:ascii="Century Gothic"/>
                <w:spacing w:val="-27"/>
                <w:sz w:val="20"/>
              </w:rPr>
              <w:t xml:space="preserve"> </w:t>
            </w:r>
            <w:proofErr w:type="spellStart"/>
            <w:r>
              <w:rPr>
                <w:rFonts w:ascii="Century Gothic"/>
                <w:sz w:val="20"/>
              </w:rPr>
              <w:t>procurador</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49"/>
              <w:jc w:val="right"/>
              <w:rPr>
                <w:rFonts w:ascii="Century Gothic" w:eastAsia="Century Gothic" w:hAnsi="Century Gothic" w:cs="Century Gothic"/>
                <w:sz w:val="20"/>
                <w:szCs w:val="20"/>
              </w:rPr>
            </w:pPr>
            <w:r>
              <w:rPr>
                <w:rFonts w:ascii="Century Gothic"/>
                <w:sz w:val="20"/>
              </w:rPr>
              <w:t>Sin</w:t>
            </w:r>
            <w:r>
              <w:rPr>
                <w:rFonts w:ascii="Century Gothic"/>
                <w:spacing w:val="-6"/>
                <w:sz w:val="20"/>
              </w:rPr>
              <w:t xml:space="preserve"> </w:t>
            </w:r>
            <w:proofErr w:type="spellStart"/>
            <w:r>
              <w:rPr>
                <w:rFonts w:ascii="Century Gothic"/>
                <w:sz w:val="20"/>
              </w:rPr>
              <w:t>determinar</w:t>
            </w:r>
            <w:proofErr w:type="spellEnd"/>
          </w:p>
        </w:tc>
      </w:tr>
      <w:tr w:rsidR="000A233F" w:rsidTr="00E910D0">
        <w:trPr>
          <w:trHeight w:hRule="exact" w:val="5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25"/>
              <w:jc w:val="center"/>
              <w:rPr>
                <w:rFonts w:ascii="Century Gothic" w:eastAsia="Century Gothic" w:hAnsi="Century Gothic" w:cs="Century Gothic"/>
                <w:sz w:val="20"/>
                <w:szCs w:val="20"/>
              </w:rPr>
            </w:pPr>
            <w:r>
              <w:rPr>
                <w:rFonts w:ascii="Century Gothic"/>
                <w:sz w:val="20"/>
              </w:rPr>
              <w:t>31-10-13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125"/>
              <w:ind w:left="28"/>
              <w:rPr>
                <w:rFonts w:ascii="Century Gothic" w:eastAsia="Century Gothic" w:hAnsi="Century Gothic" w:cs="Century Gothic"/>
                <w:sz w:val="20"/>
                <w:szCs w:val="20"/>
                <w:lang w:val="es-ES_tradnl"/>
              </w:rPr>
            </w:pPr>
            <w:r w:rsidRPr="000D0204">
              <w:rPr>
                <w:rFonts w:ascii="Century Gothic"/>
                <w:sz w:val="20"/>
                <w:lang w:val="es-ES_tradnl"/>
              </w:rPr>
              <w:t>MANUEL GARCIA ASESORES</w:t>
            </w:r>
            <w:r w:rsidRPr="000D0204">
              <w:rPr>
                <w:rFonts w:ascii="Century Gothic"/>
                <w:spacing w:val="-19"/>
                <w:sz w:val="20"/>
                <w:lang w:val="es-ES_tradnl"/>
              </w:rPr>
              <w:t xml:space="preserve"> </w:t>
            </w:r>
            <w:r w:rsidRPr="000D0204">
              <w:rPr>
                <w:rFonts w:ascii="Century Gothic"/>
                <w:sz w:val="20"/>
                <w:lang w:val="es-ES_tradnl"/>
              </w:rPr>
              <w:t>S.L.</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25"/>
              <w:jc w:val="center"/>
              <w:rPr>
                <w:rFonts w:ascii="Century Gothic" w:eastAsia="Century Gothic" w:hAnsi="Century Gothic" w:cs="Century Gothic"/>
                <w:sz w:val="20"/>
                <w:szCs w:val="20"/>
              </w:rPr>
            </w:pPr>
            <w:proofErr w:type="spellStart"/>
            <w:r>
              <w:rPr>
                <w:rFonts w:ascii="Century Gothic"/>
                <w:sz w:val="20"/>
              </w:rPr>
              <w:t>Honorarios</w:t>
            </w:r>
            <w:proofErr w:type="spellEnd"/>
            <w:r>
              <w:rPr>
                <w:rFonts w:ascii="Century Gothic"/>
                <w:spacing w:val="-15"/>
                <w:sz w:val="20"/>
              </w:rPr>
              <w:t xml:space="preserve"> </w:t>
            </w:r>
            <w:proofErr w:type="spellStart"/>
            <w:r>
              <w:rPr>
                <w:rFonts w:ascii="Century Gothic"/>
                <w:sz w:val="20"/>
              </w:rPr>
              <w:t>Mes</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25"/>
              <w:ind w:right="209"/>
              <w:jc w:val="right"/>
              <w:rPr>
                <w:rFonts w:ascii="Century Gothic" w:eastAsia="Century Gothic" w:hAnsi="Century Gothic" w:cs="Century Gothic"/>
                <w:sz w:val="20"/>
                <w:szCs w:val="20"/>
              </w:rPr>
            </w:pPr>
            <w:r>
              <w:rPr>
                <w:rFonts w:ascii="Century Gothic"/>
                <w:spacing w:val="-1"/>
                <w:w w:val="95"/>
                <w:sz w:val="20"/>
              </w:rPr>
              <w:t>119,79</w:t>
            </w:r>
          </w:p>
        </w:tc>
      </w:tr>
      <w:tr w:rsidR="000A233F" w:rsidTr="00E910D0">
        <w:trPr>
          <w:trHeight w:hRule="exact" w:val="370"/>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3"/>
              <w:jc w:val="center"/>
              <w:rPr>
                <w:rFonts w:ascii="Century Gothic" w:eastAsia="Century Gothic" w:hAnsi="Century Gothic" w:cs="Century Gothic"/>
                <w:sz w:val="20"/>
                <w:szCs w:val="20"/>
              </w:rPr>
            </w:pPr>
            <w:r>
              <w:rPr>
                <w:rFonts w:ascii="Century Gothic"/>
                <w:sz w:val="20"/>
              </w:rPr>
              <w:t>31-10-13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53"/>
              <w:ind w:left="28"/>
              <w:rPr>
                <w:rFonts w:ascii="Century Gothic" w:eastAsia="Century Gothic" w:hAnsi="Century Gothic" w:cs="Century Gothic"/>
                <w:sz w:val="20"/>
                <w:szCs w:val="20"/>
                <w:lang w:val="es-ES_tradnl"/>
              </w:rPr>
            </w:pPr>
            <w:r w:rsidRPr="000D0204">
              <w:rPr>
                <w:rFonts w:ascii="Century Gothic"/>
                <w:sz w:val="20"/>
                <w:lang w:val="es-ES_tradnl"/>
              </w:rPr>
              <w:t>MANUEL GARCIA ASESORES</w:t>
            </w:r>
            <w:r w:rsidRPr="000D0204">
              <w:rPr>
                <w:rFonts w:ascii="Century Gothic"/>
                <w:spacing w:val="-19"/>
                <w:sz w:val="20"/>
                <w:lang w:val="es-ES_tradnl"/>
              </w:rPr>
              <w:t xml:space="preserve"> </w:t>
            </w:r>
            <w:r w:rsidRPr="000D0204">
              <w:rPr>
                <w:rFonts w:ascii="Century Gothic"/>
                <w:sz w:val="20"/>
                <w:lang w:val="es-ES_tradnl"/>
              </w:rPr>
              <w:t>S.L.</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3"/>
              <w:jc w:val="center"/>
              <w:rPr>
                <w:rFonts w:ascii="Century Gothic" w:eastAsia="Century Gothic" w:hAnsi="Century Gothic" w:cs="Century Gothic"/>
                <w:sz w:val="20"/>
                <w:szCs w:val="20"/>
              </w:rPr>
            </w:pPr>
            <w:proofErr w:type="spellStart"/>
            <w:r>
              <w:rPr>
                <w:rFonts w:ascii="Century Gothic"/>
                <w:sz w:val="20"/>
              </w:rPr>
              <w:t>Honorarios</w:t>
            </w:r>
            <w:proofErr w:type="spellEnd"/>
            <w:r>
              <w:rPr>
                <w:rFonts w:ascii="Century Gothic"/>
                <w:spacing w:val="-15"/>
                <w:sz w:val="20"/>
              </w:rPr>
              <w:t xml:space="preserve"> </w:t>
            </w:r>
            <w:proofErr w:type="spellStart"/>
            <w:r>
              <w:rPr>
                <w:rFonts w:ascii="Century Gothic"/>
                <w:sz w:val="20"/>
              </w:rPr>
              <w:t>Mes</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3"/>
              <w:ind w:right="209"/>
              <w:jc w:val="right"/>
              <w:rPr>
                <w:rFonts w:ascii="Century Gothic" w:eastAsia="Century Gothic" w:hAnsi="Century Gothic" w:cs="Century Gothic"/>
                <w:sz w:val="20"/>
                <w:szCs w:val="20"/>
              </w:rPr>
            </w:pPr>
            <w:r>
              <w:rPr>
                <w:rFonts w:ascii="Century Gothic"/>
                <w:spacing w:val="-1"/>
                <w:w w:val="95"/>
                <w:sz w:val="20"/>
              </w:rPr>
              <w:t>363,00</w:t>
            </w:r>
          </w:p>
        </w:tc>
      </w:tr>
      <w:tr w:rsidR="000A233F" w:rsidTr="00E910D0">
        <w:trPr>
          <w:trHeight w:hRule="exact" w:val="355"/>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46"/>
              <w:jc w:val="center"/>
              <w:rPr>
                <w:rFonts w:ascii="Century Gothic" w:eastAsia="Century Gothic" w:hAnsi="Century Gothic" w:cs="Century Gothic"/>
                <w:sz w:val="20"/>
                <w:szCs w:val="20"/>
              </w:rPr>
            </w:pPr>
            <w:r>
              <w:rPr>
                <w:rFonts w:ascii="Century Gothic"/>
                <w:sz w:val="20"/>
              </w:rPr>
              <w:t>31-10-13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8"/>
              <w:ind w:left="28"/>
              <w:rPr>
                <w:rFonts w:ascii="Century Gothic" w:eastAsia="Century Gothic" w:hAnsi="Century Gothic" w:cs="Century Gothic"/>
                <w:sz w:val="20"/>
                <w:szCs w:val="20"/>
              </w:rPr>
            </w:pPr>
            <w:r>
              <w:rPr>
                <w:rFonts w:ascii="Century Gothic"/>
                <w:sz w:val="20"/>
              </w:rPr>
              <w:t>OBJETIVO INTERNET</w:t>
            </w:r>
            <w:r>
              <w:rPr>
                <w:rFonts w:ascii="Century Gothic"/>
                <w:spacing w:val="-24"/>
                <w:sz w:val="20"/>
              </w:rPr>
              <w:t xml:space="preserve"> </w:t>
            </w:r>
            <w:r>
              <w:rPr>
                <w:rFonts w:ascii="Century Gothic"/>
                <w:sz w:val="20"/>
              </w:rPr>
              <w:t>S.L.</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8"/>
              <w:ind w:left="8"/>
              <w:jc w:val="center"/>
              <w:rPr>
                <w:rFonts w:ascii="Century Gothic" w:eastAsia="Century Gothic" w:hAnsi="Century Gothic" w:cs="Century Gothic"/>
                <w:sz w:val="20"/>
                <w:szCs w:val="20"/>
              </w:rPr>
            </w:pPr>
            <w:proofErr w:type="spellStart"/>
            <w:r>
              <w:rPr>
                <w:rFonts w:ascii="Century Gothic" w:hAnsi="Century Gothic"/>
                <w:sz w:val="20"/>
              </w:rPr>
              <w:t>Informática</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58"/>
              <w:ind w:right="257"/>
              <w:jc w:val="right"/>
              <w:rPr>
                <w:rFonts w:ascii="Century Gothic" w:eastAsia="Century Gothic" w:hAnsi="Century Gothic" w:cs="Century Gothic"/>
                <w:sz w:val="20"/>
                <w:szCs w:val="20"/>
              </w:rPr>
            </w:pPr>
            <w:r>
              <w:rPr>
                <w:rFonts w:ascii="Century Gothic"/>
                <w:spacing w:val="-1"/>
                <w:w w:val="95"/>
                <w:sz w:val="20"/>
              </w:rPr>
              <w:t>54,45</w:t>
            </w:r>
          </w:p>
        </w:tc>
      </w:tr>
      <w:tr w:rsidR="000A233F" w:rsidTr="00E910D0">
        <w:trPr>
          <w:trHeight w:hRule="exact" w:val="326"/>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9"/>
              <w:ind w:left="14"/>
              <w:jc w:val="center"/>
              <w:rPr>
                <w:rFonts w:ascii="Century Gothic" w:eastAsia="Century Gothic" w:hAnsi="Century Gothic" w:cs="Century Gothic"/>
                <w:sz w:val="20"/>
                <w:szCs w:val="20"/>
              </w:rPr>
            </w:pPr>
            <w:r>
              <w:rPr>
                <w:rFonts w:ascii="Century Gothic"/>
                <w:sz w:val="20"/>
              </w:rPr>
              <w:t>13-11-13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9"/>
              <w:ind w:left="28"/>
              <w:rPr>
                <w:rFonts w:ascii="Century Gothic" w:eastAsia="Century Gothic" w:hAnsi="Century Gothic" w:cs="Century Gothic"/>
                <w:sz w:val="20"/>
                <w:szCs w:val="20"/>
              </w:rPr>
            </w:pPr>
            <w:r>
              <w:rPr>
                <w:rFonts w:ascii="Century Gothic"/>
                <w:sz w:val="20"/>
              </w:rPr>
              <w:t>ENDESA ENERGIA</w:t>
            </w:r>
            <w:r>
              <w:rPr>
                <w:rFonts w:ascii="Century Gothic"/>
                <w:spacing w:val="-20"/>
                <w:sz w:val="20"/>
              </w:rPr>
              <w:t xml:space="preserve"> </w:t>
            </w:r>
            <w:r>
              <w:rPr>
                <w:rFonts w:ascii="Century Gothic"/>
                <w:sz w:val="20"/>
              </w:rPr>
              <w:t>S.A.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9"/>
              <w:ind w:left="17"/>
              <w:jc w:val="center"/>
              <w:rPr>
                <w:rFonts w:ascii="Century Gothic" w:eastAsia="Century Gothic" w:hAnsi="Century Gothic" w:cs="Century Gothic"/>
                <w:sz w:val="20"/>
                <w:szCs w:val="20"/>
              </w:rPr>
            </w:pPr>
            <w:proofErr w:type="spellStart"/>
            <w:r>
              <w:rPr>
                <w:rFonts w:ascii="Century Gothic"/>
                <w:sz w:val="20"/>
              </w:rPr>
              <w:t>Suministro</w:t>
            </w:r>
            <w:proofErr w:type="spellEnd"/>
            <w:r>
              <w:rPr>
                <w:rFonts w:ascii="Century Gothic"/>
                <w:spacing w:val="-6"/>
                <w:sz w:val="20"/>
              </w:rPr>
              <w:t xml:space="preserve"> </w:t>
            </w:r>
            <w:r>
              <w:rPr>
                <w:rFonts w:ascii="Century Gothic"/>
                <w:sz w:val="20"/>
              </w:rPr>
              <w:t>Luz</w:t>
            </w:r>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9"/>
              <w:ind w:right="257"/>
              <w:jc w:val="right"/>
              <w:rPr>
                <w:rFonts w:ascii="Century Gothic" w:eastAsia="Century Gothic" w:hAnsi="Century Gothic" w:cs="Century Gothic"/>
                <w:sz w:val="20"/>
                <w:szCs w:val="20"/>
              </w:rPr>
            </w:pPr>
            <w:r>
              <w:rPr>
                <w:rFonts w:ascii="Century Gothic"/>
                <w:spacing w:val="-1"/>
                <w:w w:val="95"/>
                <w:sz w:val="20"/>
              </w:rPr>
              <w:t>169,38</w:t>
            </w:r>
          </w:p>
        </w:tc>
      </w:tr>
      <w:tr w:rsidR="000A233F" w:rsidTr="00E910D0">
        <w:trPr>
          <w:trHeight w:hRule="exact" w:val="38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87"/>
              <w:ind w:left="14"/>
              <w:jc w:val="center"/>
              <w:rPr>
                <w:rFonts w:ascii="Century Gothic" w:eastAsia="Century Gothic" w:hAnsi="Century Gothic" w:cs="Century Gothic"/>
                <w:sz w:val="20"/>
                <w:szCs w:val="20"/>
              </w:rPr>
            </w:pPr>
            <w:r>
              <w:rPr>
                <w:rFonts w:ascii="Century Gothic"/>
                <w:sz w:val="20"/>
              </w:rPr>
              <w:t>13-12-13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60"/>
              <w:ind w:left="28"/>
              <w:rPr>
                <w:rFonts w:ascii="Century Gothic" w:eastAsia="Century Gothic" w:hAnsi="Century Gothic" w:cs="Century Gothic"/>
                <w:sz w:val="20"/>
                <w:szCs w:val="20"/>
                <w:lang w:val="es-ES_tradnl"/>
              </w:rPr>
            </w:pPr>
            <w:r w:rsidRPr="000D0204">
              <w:rPr>
                <w:rFonts w:ascii="Century Gothic"/>
                <w:sz w:val="20"/>
                <w:lang w:val="es-ES_tradnl"/>
              </w:rPr>
              <w:t>FCC MEDIO AMBIENTE</w:t>
            </w:r>
            <w:r w:rsidRPr="000D0204">
              <w:rPr>
                <w:rFonts w:ascii="Century Gothic"/>
                <w:spacing w:val="-12"/>
                <w:sz w:val="20"/>
                <w:lang w:val="es-ES_tradnl"/>
              </w:rPr>
              <w:t xml:space="preserve"> </w:t>
            </w:r>
            <w:r w:rsidRPr="000D0204">
              <w:rPr>
                <w:rFonts w:ascii="Century Gothic"/>
                <w:sz w:val="20"/>
                <w:lang w:val="es-ES_tradnl"/>
              </w:rPr>
              <w:t>S.A.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60"/>
              <w:ind w:right="1"/>
              <w:jc w:val="center"/>
              <w:rPr>
                <w:rFonts w:ascii="Century Gothic" w:eastAsia="Century Gothic" w:hAnsi="Century Gothic" w:cs="Century Gothic"/>
                <w:sz w:val="20"/>
                <w:szCs w:val="20"/>
              </w:rPr>
            </w:pPr>
            <w:proofErr w:type="spellStart"/>
            <w:r>
              <w:rPr>
                <w:rFonts w:ascii="Century Gothic"/>
                <w:sz w:val="20"/>
              </w:rPr>
              <w:t>Recogida</w:t>
            </w:r>
            <w:proofErr w:type="spellEnd"/>
            <w:r>
              <w:rPr>
                <w:rFonts w:ascii="Century Gothic"/>
                <w:spacing w:val="-8"/>
                <w:sz w:val="20"/>
              </w:rPr>
              <w:t xml:space="preserve"> </w:t>
            </w:r>
            <w:r>
              <w:rPr>
                <w:rFonts w:ascii="Century Gothic"/>
                <w:sz w:val="20"/>
              </w:rPr>
              <w:t>Material</w:t>
            </w:r>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60"/>
              <w:ind w:right="209"/>
              <w:jc w:val="right"/>
              <w:rPr>
                <w:rFonts w:ascii="Century Gothic" w:eastAsia="Century Gothic" w:hAnsi="Century Gothic" w:cs="Century Gothic"/>
                <w:sz w:val="20"/>
                <w:szCs w:val="20"/>
              </w:rPr>
            </w:pPr>
            <w:r>
              <w:rPr>
                <w:rFonts w:ascii="Century Gothic"/>
                <w:spacing w:val="-1"/>
                <w:w w:val="95"/>
                <w:sz w:val="20"/>
              </w:rPr>
              <w:t>112,53</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4"/>
              <w:ind w:left="57"/>
              <w:jc w:val="center"/>
              <w:rPr>
                <w:rFonts w:ascii="Century Gothic" w:eastAsia="Century Gothic" w:hAnsi="Century Gothic" w:cs="Century Gothic"/>
                <w:sz w:val="20"/>
                <w:szCs w:val="20"/>
              </w:rPr>
            </w:pPr>
            <w:r>
              <w:rPr>
                <w:rFonts w:ascii="Century Gothic"/>
                <w:sz w:val="20"/>
              </w:rPr>
              <w:t>01-11-13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28"/>
              <w:rPr>
                <w:rFonts w:ascii="Century Gothic" w:eastAsia="Century Gothic" w:hAnsi="Century Gothic" w:cs="Century Gothic"/>
                <w:sz w:val="20"/>
                <w:szCs w:val="20"/>
              </w:rPr>
            </w:pPr>
            <w:r>
              <w:rPr>
                <w:rFonts w:ascii="Century Gothic" w:hAnsi="Century Gothic"/>
                <w:sz w:val="20"/>
              </w:rPr>
              <w:t>SECURITAS DIRECT</w:t>
            </w:r>
            <w:r>
              <w:rPr>
                <w:rFonts w:ascii="Century Gothic" w:hAnsi="Century Gothic"/>
                <w:spacing w:val="-22"/>
                <w:sz w:val="20"/>
              </w:rPr>
              <w:t xml:space="preserve"> </w:t>
            </w:r>
            <w:r>
              <w:rPr>
                <w:rFonts w:ascii="Century Gothic" w:hAnsi="Century Gothic"/>
                <w:sz w:val="20"/>
              </w:rPr>
              <w:t>ESPAÑA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23"/>
              <w:jc w:val="center"/>
              <w:rPr>
                <w:rFonts w:ascii="Century Gothic" w:eastAsia="Century Gothic" w:hAnsi="Century Gothic" w:cs="Century Gothic"/>
                <w:sz w:val="20"/>
                <w:szCs w:val="20"/>
              </w:rPr>
            </w:pPr>
            <w:proofErr w:type="spellStart"/>
            <w:r>
              <w:rPr>
                <w:rFonts w:ascii="Century Gothic"/>
                <w:sz w:val="20"/>
              </w:rPr>
              <w:t>Alarma</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57"/>
              <w:jc w:val="right"/>
              <w:rPr>
                <w:rFonts w:ascii="Century Gothic" w:eastAsia="Century Gothic" w:hAnsi="Century Gothic" w:cs="Century Gothic"/>
                <w:sz w:val="20"/>
                <w:szCs w:val="20"/>
              </w:rPr>
            </w:pPr>
            <w:r>
              <w:rPr>
                <w:rFonts w:ascii="Century Gothic"/>
                <w:spacing w:val="-1"/>
                <w:w w:val="95"/>
                <w:sz w:val="20"/>
              </w:rPr>
              <w:t>64,44</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4"/>
              <w:ind w:left="57"/>
              <w:jc w:val="center"/>
              <w:rPr>
                <w:rFonts w:ascii="Century Gothic" w:eastAsia="Century Gothic" w:hAnsi="Century Gothic" w:cs="Century Gothic"/>
                <w:sz w:val="20"/>
                <w:szCs w:val="20"/>
              </w:rPr>
            </w:pPr>
            <w:r>
              <w:rPr>
                <w:rFonts w:ascii="Century Gothic"/>
                <w:sz w:val="20"/>
              </w:rPr>
              <w:t>01-11-13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17"/>
              <w:ind w:left="28"/>
              <w:rPr>
                <w:rFonts w:ascii="Century Gothic" w:eastAsia="Century Gothic" w:hAnsi="Century Gothic" w:cs="Century Gothic"/>
                <w:sz w:val="20"/>
                <w:szCs w:val="20"/>
                <w:lang w:val="es-ES_tradnl"/>
              </w:rPr>
            </w:pPr>
            <w:r w:rsidRPr="000D0204">
              <w:rPr>
                <w:rFonts w:ascii="Century Gothic"/>
                <w:sz w:val="20"/>
                <w:lang w:val="es-ES_tradnl"/>
              </w:rPr>
              <w:t>TRANSPORTES M.A.HERRERA</w:t>
            </w:r>
            <w:r w:rsidRPr="000D0204">
              <w:rPr>
                <w:rFonts w:ascii="Century Gothic"/>
                <w:spacing w:val="-16"/>
                <w:sz w:val="20"/>
                <w:lang w:val="es-ES_tradnl"/>
              </w:rPr>
              <w:t xml:space="preserve"> </w:t>
            </w:r>
            <w:r w:rsidRPr="000D0204">
              <w:rPr>
                <w:rFonts w:ascii="Century Gothic"/>
                <w:sz w:val="20"/>
                <w:lang w:val="es-ES_tradnl"/>
              </w:rPr>
              <w:t>VA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12"/>
              <w:jc w:val="center"/>
              <w:rPr>
                <w:rFonts w:ascii="Century Gothic" w:eastAsia="Century Gothic" w:hAnsi="Century Gothic" w:cs="Century Gothic"/>
                <w:sz w:val="20"/>
                <w:szCs w:val="20"/>
              </w:rPr>
            </w:pPr>
            <w:proofErr w:type="spellStart"/>
            <w:r>
              <w:rPr>
                <w:rFonts w:ascii="Century Gothic"/>
                <w:sz w:val="20"/>
              </w:rPr>
              <w:t>Portes</w:t>
            </w:r>
            <w:proofErr w:type="spellEnd"/>
            <w:r>
              <w:rPr>
                <w:rFonts w:ascii="Century Gothic"/>
                <w:sz w:val="20"/>
              </w:rPr>
              <w:t xml:space="preserve"> y </w:t>
            </w:r>
            <w:proofErr w:type="spellStart"/>
            <w:r>
              <w:rPr>
                <w:rFonts w:ascii="Century Gothic"/>
                <w:sz w:val="20"/>
              </w:rPr>
              <w:t>alquiler</w:t>
            </w:r>
            <w:proofErr w:type="spellEnd"/>
            <w:r>
              <w:rPr>
                <w:rFonts w:ascii="Century Gothic"/>
                <w:spacing w:val="-20"/>
                <w:sz w:val="20"/>
              </w:rPr>
              <w:t xml:space="preserve"> </w:t>
            </w:r>
            <w:proofErr w:type="spellStart"/>
            <w:r>
              <w:rPr>
                <w:rFonts w:ascii="Century Gothic"/>
                <w:sz w:val="20"/>
              </w:rPr>
              <w:t>contenedor</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57"/>
              <w:jc w:val="right"/>
              <w:rPr>
                <w:rFonts w:ascii="Century Gothic" w:eastAsia="Century Gothic" w:hAnsi="Century Gothic" w:cs="Century Gothic"/>
                <w:sz w:val="20"/>
                <w:szCs w:val="20"/>
              </w:rPr>
            </w:pPr>
            <w:r>
              <w:rPr>
                <w:rFonts w:ascii="Century Gothic"/>
                <w:spacing w:val="-1"/>
                <w:w w:val="95"/>
                <w:sz w:val="20"/>
              </w:rPr>
              <w:t>109,08</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24"/>
              <w:ind w:left="57"/>
              <w:jc w:val="center"/>
              <w:rPr>
                <w:rFonts w:ascii="Century Gothic" w:eastAsia="Century Gothic" w:hAnsi="Century Gothic" w:cs="Century Gothic"/>
                <w:sz w:val="20"/>
                <w:szCs w:val="20"/>
              </w:rPr>
            </w:pPr>
            <w:r>
              <w:rPr>
                <w:rFonts w:ascii="Century Gothic"/>
                <w:sz w:val="20"/>
              </w:rPr>
              <w:t>19-11-13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24"/>
              <w:ind w:left="28"/>
              <w:rPr>
                <w:rFonts w:ascii="Century Gothic" w:eastAsia="Century Gothic" w:hAnsi="Century Gothic" w:cs="Century Gothic"/>
                <w:sz w:val="20"/>
                <w:szCs w:val="20"/>
                <w:lang w:val="es-ES_tradnl"/>
              </w:rPr>
            </w:pPr>
            <w:r w:rsidRPr="000D0204">
              <w:rPr>
                <w:rFonts w:ascii="Century Gothic" w:hAnsi="Century Gothic"/>
                <w:sz w:val="20"/>
                <w:lang w:val="es-ES_tradnl"/>
              </w:rPr>
              <w:t>TELEFÓNICA DE ESPAÑA</w:t>
            </w:r>
            <w:r w:rsidRPr="000D0204">
              <w:rPr>
                <w:rFonts w:ascii="Century Gothic" w:hAnsi="Century Gothic"/>
                <w:spacing w:val="-19"/>
                <w:sz w:val="20"/>
                <w:lang w:val="es-ES_tradnl"/>
              </w:rPr>
              <w:t xml:space="preserve"> </w:t>
            </w:r>
            <w:r w:rsidRPr="000D0204">
              <w:rPr>
                <w:rFonts w:ascii="Century Gothic" w:hAnsi="Century Gothic"/>
                <w:sz w:val="20"/>
                <w:lang w:val="es-ES_tradnl"/>
              </w:rPr>
              <w:t>S.A.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18"/>
              <w:jc w:val="center"/>
              <w:rPr>
                <w:rFonts w:ascii="Century Gothic" w:eastAsia="Century Gothic" w:hAnsi="Century Gothic" w:cs="Century Gothic"/>
                <w:sz w:val="20"/>
                <w:szCs w:val="20"/>
              </w:rPr>
            </w:pPr>
            <w:proofErr w:type="spellStart"/>
            <w:r>
              <w:rPr>
                <w:rFonts w:ascii="Century Gothic" w:hAnsi="Century Gothic"/>
                <w:sz w:val="20"/>
              </w:rPr>
              <w:t>Consumo</w:t>
            </w:r>
            <w:proofErr w:type="spellEnd"/>
            <w:r>
              <w:rPr>
                <w:rFonts w:ascii="Century Gothic" w:hAnsi="Century Gothic"/>
                <w:spacing w:val="-9"/>
                <w:sz w:val="20"/>
              </w:rPr>
              <w:t xml:space="preserve"> </w:t>
            </w:r>
            <w:proofErr w:type="spellStart"/>
            <w:r>
              <w:rPr>
                <w:rFonts w:ascii="Century Gothic" w:hAnsi="Century Gothic"/>
                <w:sz w:val="20"/>
              </w:rPr>
              <w:t>teléfonico</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57"/>
              <w:jc w:val="right"/>
              <w:rPr>
                <w:rFonts w:ascii="Century Gothic" w:eastAsia="Century Gothic" w:hAnsi="Century Gothic" w:cs="Century Gothic"/>
                <w:sz w:val="20"/>
                <w:szCs w:val="20"/>
              </w:rPr>
            </w:pPr>
            <w:r>
              <w:rPr>
                <w:rFonts w:ascii="Century Gothic"/>
                <w:spacing w:val="-1"/>
                <w:w w:val="95"/>
                <w:sz w:val="20"/>
              </w:rPr>
              <w:t>222,58</w:t>
            </w:r>
          </w:p>
        </w:tc>
      </w:tr>
      <w:tr w:rsidR="000A233F" w:rsidTr="00E910D0">
        <w:trPr>
          <w:trHeight w:hRule="exact" w:val="655"/>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1"/>
              <w:rPr>
                <w:rFonts w:ascii="Century Gothic" w:eastAsia="Century Gothic" w:hAnsi="Century Gothic" w:cs="Century Gothic"/>
                <w:b/>
                <w:bCs/>
                <w:sz w:val="15"/>
                <w:szCs w:val="15"/>
              </w:rPr>
            </w:pPr>
          </w:p>
          <w:p w:rsidR="000A233F" w:rsidRDefault="000A233F" w:rsidP="00E910D0">
            <w:pPr>
              <w:pStyle w:val="TableParagraph"/>
              <w:ind w:left="57"/>
              <w:jc w:val="center"/>
              <w:rPr>
                <w:rFonts w:ascii="Century Gothic" w:eastAsia="Century Gothic" w:hAnsi="Century Gothic" w:cs="Century Gothic"/>
                <w:sz w:val="20"/>
                <w:szCs w:val="20"/>
              </w:rPr>
            </w:pPr>
            <w:r>
              <w:rPr>
                <w:rFonts w:ascii="Century Gothic"/>
                <w:sz w:val="20"/>
              </w:rPr>
              <w:t>28-11-13</w:t>
            </w:r>
          </w:p>
        </w:tc>
        <w:tc>
          <w:tcPr>
            <w:tcW w:w="3074"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11"/>
              <w:rPr>
                <w:rFonts w:ascii="Century Gothic" w:eastAsia="Century Gothic" w:hAnsi="Century Gothic" w:cs="Century Gothic"/>
                <w:b/>
                <w:bCs/>
                <w:sz w:val="15"/>
                <w:szCs w:val="15"/>
                <w:lang w:val="es-ES_tradnl"/>
              </w:rPr>
            </w:pPr>
          </w:p>
          <w:p w:rsidR="000A233F" w:rsidRPr="000D0204" w:rsidRDefault="000A233F" w:rsidP="00E910D0">
            <w:pPr>
              <w:pStyle w:val="TableParagraph"/>
              <w:ind w:left="28"/>
              <w:rPr>
                <w:rFonts w:ascii="Century Gothic" w:eastAsia="Century Gothic" w:hAnsi="Century Gothic" w:cs="Century Gothic"/>
                <w:sz w:val="20"/>
                <w:szCs w:val="20"/>
                <w:lang w:val="es-ES_tradnl"/>
              </w:rPr>
            </w:pPr>
            <w:r w:rsidRPr="000D0204">
              <w:rPr>
                <w:rFonts w:ascii="Century Gothic"/>
                <w:sz w:val="20"/>
                <w:lang w:val="es-ES_tradnl"/>
              </w:rPr>
              <w:t>MANUEL GARCIA ASESORES</w:t>
            </w:r>
            <w:r w:rsidRPr="000D0204">
              <w:rPr>
                <w:rFonts w:ascii="Century Gothic"/>
                <w:spacing w:val="-19"/>
                <w:sz w:val="20"/>
                <w:lang w:val="es-ES_tradnl"/>
              </w:rPr>
              <w:t xml:space="preserve"> </w:t>
            </w:r>
            <w:r w:rsidRPr="000D0204">
              <w:rPr>
                <w:rFonts w:ascii="Century Gothic"/>
                <w:sz w:val="20"/>
                <w:lang w:val="es-ES_tradnl"/>
              </w:rPr>
              <w:t>S.L.</w:t>
            </w:r>
          </w:p>
        </w:tc>
        <w:tc>
          <w:tcPr>
            <w:tcW w:w="3439" w:type="dxa"/>
            <w:tcBorders>
              <w:top w:val="single" w:sz="8" w:space="0" w:color="000000"/>
              <w:left w:val="single" w:sz="8" w:space="0" w:color="000000"/>
              <w:bottom w:val="single" w:sz="8" w:space="0" w:color="000000"/>
              <w:right w:val="single" w:sz="8" w:space="0" w:color="000000"/>
            </w:tcBorders>
          </w:tcPr>
          <w:p w:rsidR="000A233F" w:rsidRPr="000D0204" w:rsidRDefault="000A233F" w:rsidP="00E910D0">
            <w:pPr>
              <w:pStyle w:val="TableParagraph"/>
              <w:spacing w:before="11"/>
              <w:rPr>
                <w:rFonts w:ascii="Century Gothic" w:eastAsia="Century Gothic" w:hAnsi="Century Gothic" w:cs="Century Gothic"/>
                <w:b/>
                <w:bCs/>
                <w:sz w:val="15"/>
                <w:szCs w:val="15"/>
                <w:lang w:val="es-ES_tradnl"/>
              </w:rPr>
            </w:pPr>
          </w:p>
          <w:p w:rsidR="000A233F" w:rsidRDefault="000A233F" w:rsidP="00E910D0">
            <w:pPr>
              <w:pStyle w:val="TableParagraph"/>
              <w:jc w:val="center"/>
              <w:rPr>
                <w:rFonts w:ascii="Century Gothic" w:eastAsia="Century Gothic" w:hAnsi="Century Gothic" w:cs="Century Gothic"/>
                <w:sz w:val="20"/>
                <w:szCs w:val="20"/>
              </w:rPr>
            </w:pPr>
            <w:proofErr w:type="spellStart"/>
            <w:r>
              <w:rPr>
                <w:rFonts w:ascii="Century Gothic"/>
                <w:sz w:val="20"/>
              </w:rPr>
              <w:t>Honorarios</w:t>
            </w:r>
            <w:proofErr w:type="spellEnd"/>
            <w:r>
              <w:rPr>
                <w:rFonts w:ascii="Century Gothic"/>
                <w:spacing w:val="-15"/>
                <w:sz w:val="20"/>
              </w:rPr>
              <w:t xml:space="preserve"> </w:t>
            </w:r>
            <w:proofErr w:type="spellStart"/>
            <w:r>
              <w:rPr>
                <w:rFonts w:ascii="Century Gothic"/>
                <w:sz w:val="20"/>
              </w:rPr>
              <w:t>Mes</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1"/>
              <w:rPr>
                <w:rFonts w:ascii="Century Gothic" w:eastAsia="Century Gothic" w:hAnsi="Century Gothic" w:cs="Century Gothic"/>
                <w:b/>
                <w:bCs/>
                <w:sz w:val="15"/>
                <w:szCs w:val="15"/>
              </w:rPr>
            </w:pPr>
          </w:p>
          <w:p w:rsidR="000A233F" w:rsidRDefault="000A233F" w:rsidP="00E910D0">
            <w:pPr>
              <w:pStyle w:val="TableParagraph"/>
              <w:ind w:right="209"/>
              <w:jc w:val="right"/>
              <w:rPr>
                <w:rFonts w:ascii="Century Gothic" w:eastAsia="Century Gothic" w:hAnsi="Century Gothic" w:cs="Century Gothic"/>
                <w:sz w:val="20"/>
                <w:szCs w:val="20"/>
              </w:rPr>
            </w:pPr>
            <w:r>
              <w:rPr>
                <w:rFonts w:ascii="Century Gothic"/>
                <w:spacing w:val="-1"/>
                <w:w w:val="95"/>
                <w:sz w:val="20"/>
              </w:rPr>
              <w:t>504,57</w:t>
            </w:r>
          </w:p>
        </w:tc>
      </w:tr>
      <w:tr w:rsidR="000A233F" w:rsidTr="00E910D0">
        <w:trPr>
          <w:trHeight w:hRule="exact" w:val="314"/>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71"/>
              <w:jc w:val="center"/>
              <w:rPr>
                <w:rFonts w:ascii="Century Gothic" w:eastAsia="Century Gothic" w:hAnsi="Century Gothic" w:cs="Century Gothic"/>
                <w:sz w:val="20"/>
                <w:szCs w:val="20"/>
              </w:rPr>
            </w:pPr>
            <w:r>
              <w:rPr>
                <w:rFonts w:ascii="Century Gothic"/>
                <w:sz w:val="20"/>
              </w:rPr>
              <w:t>30-10-13</w:t>
            </w:r>
          </w:p>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28"/>
              <w:rPr>
                <w:rFonts w:ascii="Century Gothic" w:eastAsia="Century Gothic" w:hAnsi="Century Gothic" w:cs="Century Gothic"/>
                <w:sz w:val="20"/>
                <w:szCs w:val="20"/>
              </w:rPr>
            </w:pPr>
            <w:r>
              <w:rPr>
                <w:rFonts w:ascii="Century Gothic"/>
                <w:sz w:val="20"/>
              </w:rPr>
              <w:t>ENDESA ENERGIA</w:t>
            </w:r>
            <w:r>
              <w:rPr>
                <w:rFonts w:ascii="Century Gothic"/>
                <w:spacing w:val="-20"/>
                <w:sz w:val="20"/>
              </w:rPr>
              <w:t xml:space="preserve"> </w:t>
            </w:r>
            <w:r>
              <w:rPr>
                <w:rFonts w:ascii="Century Gothic"/>
                <w:sz w:val="20"/>
              </w:rPr>
              <w:t>S.A.</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left="17"/>
              <w:jc w:val="center"/>
              <w:rPr>
                <w:rFonts w:ascii="Century Gothic" w:eastAsia="Century Gothic" w:hAnsi="Century Gothic" w:cs="Century Gothic"/>
                <w:sz w:val="20"/>
                <w:szCs w:val="20"/>
              </w:rPr>
            </w:pPr>
            <w:proofErr w:type="spellStart"/>
            <w:r>
              <w:rPr>
                <w:rFonts w:ascii="Century Gothic"/>
                <w:sz w:val="20"/>
              </w:rPr>
              <w:t>Suministro</w:t>
            </w:r>
            <w:proofErr w:type="spellEnd"/>
            <w:r>
              <w:rPr>
                <w:rFonts w:ascii="Century Gothic"/>
                <w:spacing w:val="-6"/>
                <w:sz w:val="20"/>
              </w:rPr>
              <w:t xml:space="preserve"> </w:t>
            </w:r>
            <w:r>
              <w:rPr>
                <w:rFonts w:ascii="Century Gothic"/>
                <w:sz w:val="20"/>
              </w:rPr>
              <w:t>Luz</w:t>
            </w:r>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7"/>
              <w:ind w:right="255"/>
              <w:jc w:val="right"/>
              <w:rPr>
                <w:rFonts w:ascii="Century Gothic" w:eastAsia="Century Gothic" w:hAnsi="Century Gothic" w:cs="Century Gothic"/>
                <w:sz w:val="20"/>
                <w:szCs w:val="20"/>
              </w:rPr>
            </w:pPr>
            <w:r>
              <w:rPr>
                <w:rFonts w:ascii="Century Gothic"/>
                <w:spacing w:val="-1"/>
                <w:w w:val="95"/>
                <w:sz w:val="20"/>
              </w:rPr>
              <w:t>1.150,01</w:t>
            </w:r>
          </w:p>
        </w:tc>
      </w:tr>
      <w:tr w:rsidR="000A233F" w:rsidTr="00E910D0">
        <w:trPr>
          <w:trHeight w:hRule="exact" w:val="322"/>
        </w:trPr>
        <w:tc>
          <w:tcPr>
            <w:tcW w:w="1121" w:type="dxa"/>
            <w:tcBorders>
              <w:top w:val="single" w:sz="8" w:space="0" w:color="000000"/>
              <w:left w:val="single" w:sz="8" w:space="0" w:color="000000"/>
              <w:bottom w:val="single" w:sz="8" w:space="0" w:color="000000"/>
              <w:right w:val="single" w:sz="8" w:space="0" w:color="000000"/>
            </w:tcBorders>
          </w:tcPr>
          <w:p w:rsidR="000A233F" w:rsidRDefault="000A233F" w:rsidP="00E910D0"/>
        </w:tc>
        <w:tc>
          <w:tcPr>
            <w:tcW w:w="3074"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0"/>
              <w:ind w:left="28"/>
              <w:rPr>
                <w:rFonts w:ascii="Century Gothic" w:eastAsia="Century Gothic" w:hAnsi="Century Gothic" w:cs="Century Gothic"/>
                <w:sz w:val="20"/>
                <w:szCs w:val="20"/>
              </w:rPr>
            </w:pPr>
            <w:r>
              <w:rPr>
                <w:rFonts w:ascii="Century Gothic"/>
                <w:sz w:val="20"/>
              </w:rPr>
              <w:t>EXCMO. AYTO</w:t>
            </w:r>
            <w:r>
              <w:rPr>
                <w:rFonts w:ascii="Century Gothic"/>
                <w:spacing w:val="-14"/>
                <w:sz w:val="20"/>
              </w:rPr>
              <w:t xml:space="preserve"> </w:t>
            </w:r>
            <w:r>
              <w:rPr>
                <w:rFonts w:ascii="Century Gothic"/>
                <w:sz w:val="20"/>
              </w:rPr>
              <w:t>JAEN</w:t>
            </w:r>
          </w:p>
        </w:tc>
        <w:tc>
          <w:tcPr>
            <w:tcW w:w="3439"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0"/>
              <w:ind w:left="18"/>
              <w:jc w:val="center"/>
              <w:rPr>
                <w:rFonts w:ascii="Century Gothic" w:eastAsia="Century Gothic" w:hAnsi="Century Gothic" w:cs="Century Gothic"/>
                <w:sz w:val="20"/>
                <w:szCs w:val="20"/>
              </w:rPr>
            </w:pPr>
            <w:proofErr w:type="spellStart"/>
            <w:r>
              <w:rPr>
                <w:rFonts w:ascii="Century Gothic"/>
                <w:sz w:val="20"/>
              </w:rPr>
              <w:t>Tasa</w:t>
            </w:r>
            <w:proofErr w:type="spellEnd"/>
            <w:r>
              <w:rPr>
                <w:rFonts w:ascii="Century Gothic"/>
                <w:spacing w:val="-12"/>
                <w:sz w:val="20"/>
              </w:rPr>
              <w:t xml:space="preserve"> </w:t>
            </w:r>
            <w:proofErr w:type="spellStart"/>
            <w:r>
              <w:rPr>
                <w:rFonts w:ascii="Century Gothic"/>
                <w:sz w:val="20"/>
              </w:rPr>
              <w:t>Basura</w:t>
            </w:r>
            <w:proofErr w:type="spellEnd"/>
          </w:p>
        </w:tc>
        <w:tc>
          <w:tcPr>
            <w:tcW w:w="1750" w:type="dxa"/>
            <w:tcBorders>
              <w:top w:val="single" w:sz="8" w:space="0" w:color="000000"/>
              <w:left w:val="single" w:sz="8" w:space="0" w:color="000000"/>
              <w:bottom w:val="single" w:sz="8" w:space="0" w:color="000000"/>
              <w:right w:val="single" w:sz="8" w:space="0" w:color="000000"/>
            </w:tcBorders>
          </w:tcPr>
          <w:p w:rsidR="000A233F" w:rsidRDefault="000A233F" w:rsidP="00E910D0">
            <w:pPr>
              <w:pStyle w:val="TableParagraph"/>
              <w:spacing w:before="10"/>
              <w:ind w:right="257"/>
              <w:jc w:val="right"/>
              <w:rPr>
                <w:rFonts w:ascii="Century Gothic" w:eastAsia="Century Gothic" w:hAnsi="Century Gothic" w:cs="Century Gothic"/>
                <w:sz w:val="20"/>
                <w:szCs w:val="20"/>
              </w:rPr>
            </w:pPr>
            <w:r>
              <w:rPr>
                <w:rFonts w:ascii="Century Gothic"/>
                <w:spacing w:val="-1"/>
                <w:w w:val="95"/>
                <w:sz w:val="20"/>
              </w:rPr>
              <w:t>104,78</w:t>
            </w:r>
          </w:p>
        </w:tc>
      </w:tr>
      <w:tr w:rsidR="000A233F" w:rsidRPr="00571DDE" w:rsidTr="00E910D0">
        <w:trPr>
          <w:trHeight w:hRule="exact" w:val="509"/>
        </w:trPr>
        <w:tc>
          <w:tcPr>
            <w:tcW w:w="9384" w:type="dxa"/>
            <w:gridSpan w:val="4"/>
            <w:tcBorders>
              <w:top w:val="single" w:sz="8" w:space="0" w:color="000000"/>
              <w:left w:val="nil"/>
              <w:bottom w:val="nil"/>
              <w:right w:val="nil"/>
            </w:tcBorders>
            <w:shd w:val="clear" w:color="auto" w:fill="528ED5"/>
          </w:tcPr>
          <w:p w:rsidR="000A233F" w:rsidRPr="000D0204" w:rsidRDefault="000A233F" w:rsidP="00E910D0">
            <w:pPr>
              <w:pStyle w:val="TableParagraph"/>
              <w:tabs>
                <w:tab w:val="left" w:pos="8092"/>
              </w:tabs>
              <w:spacing w:before="153"/>
              <w:ind w:left="2155"/>
              <w:rPr>
                <w:rFonts w:ascii="Century Gothic" w:eastAsia="Century Gothic" w:hAnsi="Century Gothic" w:cs="Century Gothic"/>
                <w:lang w:val="es-ES_tradnl"/>
              </w:rPr>
            </w:pPr>
            <w:r w:rsidRPr="000D0204">
              <w:rPr>
                <w:rFonts w:ascii="Century Gothic" w:hAnsi="Century Gothic"/>
                <w:b/>
                <w:color w:val="FFFFFF"/>
                <w:sz w:val="20"/>
                <w:lang w:val="es-ES_tradnl"/>
              </w:rPr>
              <w:t>TOTAL CRÉDITOS CONTRA LA</w:t>
            </w:r>
            <w:r w:rsidRPr="000D0204">
              <w:rPr>
                <w:rFonts w:ascii="Century Gothic" w:hAnsi="Century Gothic"/>
                <w:b/>
                <w:color w:val="FFFFFF"/>
                <w:spacing w:val="-17"/>
                <w:sz w:val="20"/>
                <w:lang w:val="es-ES_tradnl"/>
              </w:rPr>
              <w:t xml:space="preserve"> </w:t>
            </w:r>
            <w:r w:rsidRPr="000D0204">
              <w:rPr>
                <w:rFonts w:ascii="Century Gothic" w:hAnsi="Century Gothic"/>
                <w:b/>
                <w:color w:val="FFFFFF"/>
                <w:sz w:val="20"/>
                <w:lang w:val="es-ES_tradnl"/>
              </w:rPr>
              <w:t>MASA</w:t>
            </w:r>
            <w:r w:rsidRPr="000D0204">
              <w:rPr>
                <w:rFonts w:ascii="Times New Roman" w:hAnsi="Times New Roman"/>
                <w:b/>
                <w:color w:val="FFFFFF"/>
                <w:sz w:val="20"/>
                <w:lang w:val="es-ES_tradnl"/>
              </w:rPr>
              <w:tab/>
            </w:r>
            <w:r w:rsidRPr="000D0204">
              <w:rPr>
                <w:rFonts w:ascii="Century Gothic" w:hAnsi="Century Gothic"/>
                <w:b/>
                <w:color w:val="FFFFFF"/>
                <w:lang w:val="es-ES_tradnl"/>
              </w:rPr>
              <w:t>14.351,65</w:t>
            </w:r>
          </w:p>
        </w:tc>
      </w:tr>
    </w:tbl>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DA139A" w:rsidP="000A233F">
      <w:pPr>
        <w:pStyle w:val="Sinespaciado"/>
        <w:tabs>
          <w:tab w:val="left" w:pos="993"/>
        </w:tabs>
        <w:spacing w:line="360" w:lineRule="auto"/>
        <w:jc w:val="both"/>
        <w:rPr>
          <w:rFonts w:ascii="Century Gothic" w:eastAsia="Century Gothic" w:hAnsi="Century Gothic" w:cs="Century Gothic"/>
          <w:position w:val="-40"/>
          <w:sz w:val="20"/>
          <w:szCs w:val="20"/>
        </w:rPr>
      </w:pPr>
      <w:r>
        <w:rPr>
          <w:rFonts w:ascii="Century Gothic" w:eastAsia="Century Gothic" w:hAnsi="Century Gothic" w:cs="Century Gothic"/>
          <w:position w:val="-40"/>
          <w:sz w:val="20"/>
          <w:szCs w:val="20"/>
        </w:rPr>
      </w:r>
      <w:r>
        <w:rPr>
          <w:rFonts w:ascii="Century Gothic" w:eastAsia="Century Gothic" w:hAnsi="Century Gothic" w:cs="Century Gothic"/>
          <w:position w:val="-40"/>
          <w:sz w:val="20"/>
          <w:szCs w:val="20"/>
        </w:rPr>
        <w:pict>
          <v:group id="_x0000_s1055" style="width:445.2pt;height:101.55pt;mso-position-horizontal-relative:char;mso-position-vertical-relative:line" coordsize="9135,2031">
            <v:group id="_x0000_s1056" style="position:absolute;width:9135;height:2031" coordsize="9135,2031">
              <v:shape id="_x0000_s1057" style="position:absolute;width:9135;height:2031" coordsize="9135,2031" path="m9125,l7,,2,2,,7,,2021r2,7l7,2030r9118,l9132,2028r2,-7l17,2021,7,2014r10,l17,17,7,17,17,7r9117,l9132,2,9125,xe" fillcolor="#bbb" stroked="f">
                <v:path arrowok="t"/>
              </v:shape>
              <v:shape id="_x0000_s1058" style="position:absolute;width:9135;height:2031" coordsize="9135,2031" path="m17,2014r-10,l17,2021r,-7xe" fillcolor="#bbb" stroked="f">
                <v:path arrowok="t"/>
              </v:shape>
              <v:shape id="_x0000_s1059" style="position:absolute;width:9135;height:2031" coordsize="9135,2031" path="m9118,2014r-9101,l17,2021r9101,l9118,2014xe" fillcolor="#bbb" stroked="f">
                <v:path arrowok="t"/>
              </v:shape>
              <v:shape id="_x0000_s1060" style="position:absolute;width:9135;height:2031" coordsize="9135,2031" path="m9118,7r,2014l9125,2014r9,l9134,17r-9,l9118,7xe" fillcolor="#bbb" stroked="f">
                <v:path arrowok="t"/>
              </v:shape>
              <v:shape id="_x0000_s1061" style="position:absolute;width:9135;height:2031" coordsize="9135,2031" path="m9134,2014r-9,l9118,2021r16,l9134,2014xe" fillcolor="#bbb" stroked="f">
                <v:path arrowok="t"/>
              </v:shape>
              <v:shape id="_x0000_s1062" style="position:absolute;width:9135;height:2031" coordsize="9135,2031" path="m17,7l7,17r10,l17,7xe" fillcolor="#bbb" stroked="f">
                <v:path arrowok="t"/>
              </v:shape>
              <v:shape id="_x0000_s1063" style="position:absolute;width:9135;height:2031" coordsize="9135,2031" path="m9118,7l17,7r,10l9118,17r,-10xe" fillcolor="#bbb" stroked="f">
                <v:path arrowok="t"/>
              </v:shape>
              <v:shape id="_x0000_s1064" style="position:absolute;width:9135;height:2031" coordsize="9135,2031" path="m9134,7r-16,l9125,17r9,l9134,7xe" fillcolor="#bbb" stroked="f">
                <v:path arrowok="t"/>
              </v:shape>
              <v:shape id="_x0000_s1065" type="#_x0000_t202" style="position:absolute;width:9135;height:2031" filled="f" stroked="f">
                <v:textbox style="mso-next-textbox:#_x0000_s1065" inset="0,0,0,0">
                  <w:txbxContent>
                    <w:p w:rsidR="000A233F" w:rsidRPr="000D0204" w:rsidRDefault="000A233F" w:rsidP="000A233F">
                      <w:pPr>
                        <w:spacing w:before="78" w:line="237" w:lineRule="auto"/>
                        <w:ind w:left="148" w:right="479"/>
                        <w:rPr>
                          <w:rFonts w:ascii="Century Gothic" w:eastAsia="Century Gothic" w:hAnsi="Century Gothic" w:cs="Century Gothic"/>
                        </w:rPr>
                      </w:pPr>
                      <w:r w:rsidRPr="000D0204">
                        <w:rPr>
                          <w:rFonts w:ascii="Century Gothic" w:hAnsi="Century Gothic"/>
                        </w:rPr>
                        <w:t>NOTA:</w:t>
                      </w:r>
                      <w:r w:rsidRPr="000D0204">
                        <w:rPr>
                          <w:rFonts w:ascii="Century Gothic" w:hAnsi="Century Gothic"/>
                          <w:spacing w:val="-9"/>
                        </w:rPr>
                        <w:t xml:space="preserve"> </w:t>
                      </w:r>
                      <w:r w:rsidRPr="000D0204">
                        <w:rPr>
                          <w:rFonts w:ascii="Century Gothic" w:hAnsi="Century Gothic"/>
                        </w:rPr>
                        <w:t>Se</w:t>
                      </w:r>
                      <w:r w:rsidRPr="000D0204">
                        <w:rPr>
                          <w:rFonts w:ascii="Century Gothic" w:hAnsi="Century Gothic"/>
                          <w:spacing w:val="-9"/>
                        </w:rPr>
                        <w:t xml:space="preserve"> </w:t>
                      </w:r>
                      <w:r w:rsidRPr="000D0204">
                        <w:rPr>
                          <w:rFonts w:ascii="Century Gothic" w:hAnsi="Century Gothic"/>
                        </w:rPr>
                        <w:t>incluyen</w:t>
                      </w:r>
                      <w:r w:rsidRPr="000D0204">
                        <w:rPr>
                          <w:rFonts w:ascii="Century Gothic" w:hAnsi="Century Gothic"/>
                          <w:spacing w:val="-10"/>
                        </w:rPr>
                        <w:t xml:space="preserve"> </w:t>
                      </w:r>
                      <w:r w:rsidRPr="000D0204">
                        <w:rPr>
                          <w:rFonts w:ascii="Century Gothic" w:hAnsi="Century Gothic"/>
                        </w:rPr>
                        <w:t>como</w:t>
                      </w:r>
                      <w:r w:rsidRPr="000D0204">
                        <w:rPr>
                          <w:rFonts w:ascii="Century Gothic" w:hAnsi="Century Gothic"/>
                          <w:spacing w:val="-12"/>
                        </w:rPr>
                        <w:t xml:space="preserve"> </w:t>
                      </w:r>
                      <w:r w:rsidRPr="000D0204">
                        <w:rPr>
                          <w:rFonts w:ascii="Century Gothic" w:hAnsi="Century Gothic"/>
                        </w:rPr>
                        <w:t>créditos</w:t>
                      </w:r>
                      <w:r w:rsidRPr="000D0204">
                        <w:rPr>
                          <w:rFonts w:ascii="Century Gothic" w:hAnsi="Century Gothic"/>
                          <w:spacing w:val="-5"/>
                        </w:rPr>
                        <w:t xml:space="preserve"> </w:t>
                      </w:r>
                      <w:r w:rsidRPr="000D0204">
                        <w:rPr>
                          <w:rFonts w:ascii="Century Gothic" w:hAnsi="Century Gothic"/>
                        </w:rPr>
                        <w:t>contra</w:t>
                      </w:r>
                      <w:r w:rsidRPr="000D0204">
                        <w:rPr>
                          <w:rFonts w:ascii="Century Gothic" w:hAnsi="Century Gothic"/>
                          <w:spacing w:val="-6"/>
                        </w:rPr>
                        <w:t xml:space="preserve"> </w:t>
                      </w:r>
                      <w:r w:rsidRPr="000D0204">
                        <w:rPr>
                          <w:rFonts w:ascii="Century Gothic" w:hAnsi="Century Gothic"/>
                        </w:rPr>
                        <w:t>la</w:t>
                      </w:r>
                      <w:r w:rsidRPr="000D0204">
                        <w:rPr>
                          <w:rFonts w:ascii="Century Gothic" w:hAnsi="Century Gothic"/>
                          <w:spacing w:val="-9"/>
                        </w:rPr>
                        <w:t xml:space="preserve"> </w:t>
                      </w:r>
                      <w:r w:rsidRPr="000D0204">
                        <w:rPr>
                          <w:rFonts w:ascii="Century Gothic" w:hAnsi="Century Gothic"/>
                        </w:rPr>
                        <w:t>masa,</w:t>
                      </w:r>
                      <w:r w:rsidRPr="000D0204">
                        <w:rPr>
                          <w:rFonts w:ascii="Century Gothic" w:hAnsi="Century Gothic"/>
                          <w:spacing w:val="-11"/>
                        </w:rPr>
                        <w:t xml:space="preserve"> </w:t>
                      </w:r>
                      <w:r w:rsidRPr="000D0204">
                        <w:rPr>
                          <w:rFonts w:ascii="Century Gothic" w:hAnsi="Century Gothic"/>
                        </w:rPr>
                        <w:t>aquellos</w:t>
                      </w:r>
                      <w:r w:rsidRPr="000D0204">
                        <w:rPr>
                          <w:rFonts w:ascii="Century Gothic" w:hAnsi="Century Gothic"/>
                          <w:spacing w:val="-14"/>
                        </w:rPr>
                        <w:t xml:space="preserve"> </w:t>
                      </w:r>
                      <w:r w:rsidRPr="000D0204">
                        <w:rPr>
                          <w:rFonts w:ascii="Century Gothic" w:hAnsi="Century Gothic"/>
                        </w:rPr>
                        <w:t>créditos</w:t>
                      </w:r>
                      <w:r w:rsidRPr="000D0204">
                        <w:rPr>
                          <w:rFonts w:ascii="Century Gothic" w:hAnsi="Century Gothic"/>
                          <w:spacing w:val="-5"/>
                        </w:rPr>
                        <w:t xml:space="preserve"> </w:t>
                      </w:r>
                      <w:r w:rsidRPr="000D0204">
                        <w:rPr>
                          <w:rFonts w:ascii="Century Gothic" w:hAnsi="Century Gothic"/>
                        </w:rPr>
                        <w:t>de</w:t>
                      </w:r>
                      <w:r w:rsidRPr="000D0204">
                        <w:rPr>
                          <w:rFonts w:ascii="Century Gothic" w:hAnsi="Century Gothic"/>
                          <w:spacing w:val="-9"/>
                        </w:rPr>
                        <w:t xml:space="preserve"> </w:t>
                      </w:r>
                      <w:r w:rsidRPr="000D0204">
                        <w:rPr>
                          <w:rFonts w:ascii="Century Gothic" w:hAnsi="Century Gothic"/>
                        </w:rPr>
                        <w:t>los</w:t>
                      </w:r>
                      <w:r w:rsidRPr="000D0204">
                        <w:rPr>
                          <w:rFonts w:ascii="Century Gothic" w:hAnsi="Century Gothic"/>
                          <w:spacing w:val="-12"/>
                        </w:rPr>
                        <w:t xml:space="preserve"> </w:t>
                      </w:r>
                      <w:r w:rsidRPr="000D0204">
                        <w:rPr>
                          <w:rFonts w:ascii="Century Gothic" w:hAnsi="Century Gothic"/>
                        </w:rPr>
                        <w:t>que</w:t>
                      </w:r>
                      <w:r w:rsidRPr="000D0204">
                        <w:rPr>
                          <w:rFonts w:ascii="Century Gothic" w:hAnsi="Century Gothic"/>
                          <w:spacing w:val="-6"/>
                        </w:rPr>
                        <w:t xml:space="preserve"> </w:t>
                      </w:r>
                      <w:r w:rsidRPr="000D0204">
                        <w:rPr>
                          <w:rFonts w:ascii="Century Gothic" w:hAnsi="Century Gothic"/>
                        </w:rPr>
                        <w:t>la</w:t>
                      </w:r>
                      <w:r w:rsidRPr="000D0204">
                        <w:rPr>
                          <w:rFonts w:ascii="Times New Roman" w:hAnsi="Times New Roman"/>
                          <w:w w:val="99"/>
                        </w:rPr>
                        <w:t xml:space="preserve"> </w:t>
                      </w:r>
                      <w:r w:rsidRPr="000D0204">
                        <w:rPr>
                          <w:rFonts w:ascii="Century Gothic" w:hAnsi="Century Gothic"/>
                        </w:rPr>
                        <w:t>Administración</w:t>
                      </w:r>
                      <w:r w:rsidRPr="000D0204">
                        <w:rPr>
                          <w:rFonts w:ascii="Century Gothic" w:hAnsi="Century Gothic"/>
                          <w:spacing w:val="-7"/>
                        </w:rPr>
                        <w:t xml:space="preserve"> </w:t>
                      </w:r>
                      <w:r w:rsidRPr="000D0204">
                        <w:rPr>
                          <w:rFonts w:ascii="Century Gothic" w:hAnsi="Century Gothic"/>
                        </w:rPr>
                        <w:t>Concursal</w:t>
                      </w:r>
                      <w:r w:rsidRPr="000D0204">
                        <w:rPr>
                          <w:rFonts w:ascii="Century Gothic" w:hAnsi="Century Gothic"/>
                          <w:spacing w:val="-11"/>
                        </w:rPr>
                        <w:t xml:space="preserve"> </w:t>
                      </w:r>
                      <w:r w:rsidRPr="000D0204">
                        <w:rPr>
                          <w:rFonts w:ascii="Century Gothic" w:hAnsi="Century Gothic"/>
                        </w:rPr>
                        <w:t>ha</w:t>
                      </w:r>
                      <w:r w:rsidRPr="000D0204">
                        <w:rPr>
                          <w:rFonts w:ascii="Century Gothic" w:hAnsi="Century Gothic"/>
                          <w:spacing w:val="-8"/>
                        </w:rPr>
                        <w:t xml:space="preserve"> </w:t>
                      </w:r>
                      <w:r w:rsidRPr="000D0204">
                        <w:rPr>
                          <w:rFonts w:ascii="Century Gothic" w:hAnsi="Century Gothic"/>
                        </w:rPr>
                        <w:t>tenido</w:t>
                      </w:r>
                      <w:r w:rsidRPr="000D0204">
                        <w:rPr>
                          <w:rFonts w:ascii="Century Gothic" w:hAnsi="Century Gothic"/>
                          <w:spacing w:val="-5"/>
                        </w:rPr>
                        <w:t xml:space="preserve"> </w:t>
                      </w:r>
                      <w:r w:rsidRPr="000D0204">
                        <w:rPr>
                          <w:rFonts w:ascii="Century Gothic" w:hAnsi="Century Gothic"/>
                        </w:rPr>
                        <w:t>conocimiento</w:t>
                      </w:r>
                      <w:r w:rsidRPr="000D0204">
                        <w:rPr>
                          <w:rFonts w:ascii="Century Gothic" w:hAnsi="Century Gothic"/>
                          <w:spacing w:val="-9"/>
                        </w:rPr>
                        <w:t xml:space="preserve"> </w:t>
                      </w:r>
                      <w:r w:rsidRPr="000D0204">
                        <w:rPr>
                          <w:rFonts w:ascii="Century Gothic" w:hAnsi="Century Gothic"/>
                        </w:rPr>
                        <w:t>a</w:t>
                      </w:r>
                      <w:r w:rsidRPr="000D0204">
                        <w:rPr>
                          <w:rFonts w:ascii="Century Gothic" w:hAnsi="Century Gothic"/>
                          <w:spacing w:val="-11"/>
                        </w:rPr>
                        <w:t xml:space="preserve"> </w:t>
                      </w:r>
                      <w:r w:rsidRPr="000D0204">
                        <w:rPr>
                          <w:rFonts w:ascii="Century Gothic" w:hAnsi="Century Gothic"/>
                        </w:rPr>
                        <w:t>fecha</w:t>
                      </w:r>
                      <w:r w:rsidRPr="000D0204">
                        <w:rPr>
                          <w:rFonts w:ascii="Century Gothic" w:hAnsi="Century Gothic"/>
                          <w:spacing w:val="-12"/>
                        </w:rPr>
                        <w:t xml:space="preserve"> </w:t>
                      </w:r>
                      <w:r w:rsidRPr="000D0204">
                        <w:rPr>
                          <w:rFonts w:ascii="Century Gothic" w:hAnsi="Century Gothic"/>
                        </w:rPr>
                        <w:t>de</w:t>
                      </w:r>
                      <w:r w:rsidRPr="000D0204">
                        <w:rPr>
                          <w:rFonts w:ascii="Century Gothic" w:hAnsi="Century Gothic"/>
                          <w:spacing w:val="-8"/>
                        </w:rPr>
                        <w:t xml:space="preserve"> </w:t>
                      </w:r>
                      <w:r w:rsidRPr="000D0204">
                        <w:rPr>
                          <w:rFonts w:ascii="Century Gothic" w:hAnsi="Century Gothic"/>
                        </w:rPr>
                        <w:t>este</w:t>
                      </w:r>
                      <w:r w:rsidRPr="000D0204">
                        <w:rPr>
                          <w:rFonts w:ascii="Century Gothic" w:hAnsi="Century Gothic"/>
                          <w:spacing w:val="-6"/>
                        </w:rPr>
                        <w:t xml:space="preserve"> </w:t>
                      </w:r>
                      <w:r w:rsidRPr="000D0204">
                        <w:rPr>
                          <w:rFonts w:ascii="Century Gothic" w:hAnsi="Century Gothic"/>
                        </w:rPr>
                        <w:t>informe,</w:t>
                      </w:r>
                      <w:r w:rsidRPr="000D0204">
                        <w:rPr>
                          <w:rFonts w:ascii="Century Gothic" w:hAnsi="Century Gothic"/>
                          <w:spacing w:val="-12"/>
                        </w:rPr>
                        <w:t xml:space="preserve"> </w:t>
                      </w:r>
                      <w:r w:rsidRPr="000D0204">
                        <w:rPr>
                          <w:rFonts w:ascii="Century Gothic" w:hAnsi="Century Gothic"/>
                        </w:rPr>
                        <w:t>sin</w:t>
                      </w:r>
                      <w:r w:rsidRPr="000D0204">
                        <w:rPr>
                          <w:rFonts w:ascii="Times New Roman" w:hAnsi="Times New Roman"/>
                          <w:w w:val="99"/>
                        </w:rPr>
                        <w:t xml:space="preserve"> </w:t>
                      </w:r>
                      <w:r w:rsidRPr="000D0204">
                        <w:rPr>
                          <w:rFonts w:ascii="Century Gothic" w:hAnsi="Century Gothic"/>
                        </w:rPr>
                        <w:t>perjuicio</w:t>
                      </w:r>
                      <w:r w:rsidRPr="000D0204">
                        <w:rPr>
                          <w:rFonts w:ascii="Century Gothic" w:hAnsi="Century Gothic"/>
                          <w:spacing w:val="-12"/>
                        </w:rPr>
                        <w:t xml:space="preserve"> </w:t>
                      </w:r>
                      <w:r w:rsidRPr="000D0204">
                        <w:rPr>
                          <w:rFonts w:ascii="Century Gothic" w:hAnsi="Century Gothic"/>
                        </w:rPr>
                        <w:t>de</w:t>
                      </w:r>
                      <w:r w:rsidRPr="000D0204">
                        <w:rPr>
                          <w:rFonts w:ascii="Century Gothic" w:hAnsi="Century Gothic"/>
                          <w:spacing w:val="-11"/>
                        </w:rPr>
                        <w:t xml:space="preserve"> </w:t>
                      </w:r>
                      <w:r w:rsidRPr="000D0204">
                        <w:rPr>
                          <w:rFonts w:ascii="Century Gothic" w:hAnsi="Century Gothic"/>
                        </w:rPr>
                        <w:t>los</w:t>
                      </w:r>
                      <w:r w:rsidRPr="000D0204">
                        <w:rPr>
                          <w:rFonts w:ascii="Century Gothic" w:hAnsi="Century Gothic"/>
                          <w:spacing w:val="-16"/>
                        </w:rPr>
                        <w:t xml:space="preserve"> </w:t>
                      </w:r>
                      <w:r w:rsidRPr="000D0204">
                        <w:rPr>
                          <w:rFonts w:ascii="Century Gothic" w:hAnsi="Century Gothic"/>
                        </w:rPr>
                        <w:t>créditos</w:t>
                      </w:r>
                      <w:r w:rsidRPr="000D0204">
                        <w:rPr>
                          <w:rFonts w:ascii="Century Gothic" w:hAnsi="Century Gothic"/>
                          <w:spacing w:val="-12"/>
                        </w:rPr>
                        <w:t xml:space="preserve"> </w:t>
                      </w:r>
                      <w:r w:rsidRPr="000D0204">
                        <w:rPr>
                          <w:rFonts w:ascii="Century Gothic" w:hAnsi="Century Gothic"/>
                        </w:rPr>
                        <w:t>que</w:t>
                      </w:r>
                      <w:r w:rsidRPr="000D0204">
                        <w:rPr>
                          <w:rFonts w:ascii="Century Gothic" w:hAnsi="Century Gothic"/>
                          <w:spacing w:val="-11"/>
                        </w:rPr>
                        <w:t xml:space="preserve"> </w:t>
                      </w:r>
                      <w:r w:rsidRPr="000D0204">
                        <w:rPr>
                          <w:rFonts w:ascii="Century Gothic" w:hAnsi="Century Gothic"/>
                        </w:rPr>
                        <w:t>puedan</w:t>
                      </w:r>
                      <w:r w:rsidRPr="000D0204">
                        <w:rPr>
                          <w:rFonts w:ascii="Century Gothic" w:hAnsi="Century Gothic"/>
                          <w:spacing w:val="-15"/>
                        </w:rPr>
                        <w:t xml:space="preserve"> </w:t>
                      </w:r>
                      <w:r w:rsidRPr="000D0204">
                        <w:rPr>
                          <w:rFonts w:ascii="Century Gothic" w:hAnsi="Century Gothic"/>
                        </w:rPr>
                        <w:t>generarse</w:t>
                      </w:r>
                      <w:r w:rsidRPr="000D0204">
                        <w:rPr>
                          <w:rFonts w:ascii="Century Gothic" w:hAnsi="Century Gothic"/>
                          <w:spacing w:val="-10"/>
                        </w:rPr>
                        <w:t xml:space="preserve"> </w:t>
                      </w:r>
                      <w:r w:rsidRPr="000D0204">
                        <w:rPr>
                          <w:rFonts w:ascii="Century Gothic" w:hAnsi="Century Gothic"/>
                        </w:rPr>
                        <w:t>con</w:t>
                      </w:r>
                      <w:r w:rsidRPr="000D0204">
                        <w:rPr>
                          <w:rFonts w:ascii="Century Gothic" w:hAnsi="Century Gothic"/>
                          <w:spacing w:val="-17"/>
                        </w:rPr>
                        <w:t xml:space="preserve"> </w:t>
                      </w:r>
                      <w:r w:rsidRPr="000D0204">
                        <w:rPr>
                          <w:rFonts w:ascii="Century Gothic" w:hAnsi="Century Gothic"/>
                        </w:rPr>
                        <w:t>posterioridad.</w:t>
                      </w:r>
                    </w:p>
                  </w:txbxContent>
                </v:textbox>
              </v:shape>
            </v:group>
            <w10:wrap type="none"/>
            <w10:anchorlock/>
          </v:group>
        </w:pict>
      </w: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0A233F" w:rsidP="000A233F">
      <w:pPr>
        <w:pStyle w:val="Sinespaciado"/>
        <w:tabs>
          <w:tab w:val="left" w:pos="993"/>
        </w:tabs>
        <w:spacing w:line="360" w:lineRule="auto"/>
        <w:jc w:val="both"/>
        <w:rPr>
          <w:rFonts w:ascii="Times New Roman" w:hAnsi="Times New Roman" w:cs="Times New Roman"/>
          <w:sz w:val="24"/>
          <w:szCs w:val="24"/>
        </w:rPr>
      </w:pPr>
    </w:p>
    <w:p w:rsidR="000A233F" w:rsidRDefault="000A233F" w:rsidP="000A233F">
      <w:pPr>
        <w:pStyle w:val="Textoindependiente"/>
        <w:spacing w:before="69"/>
        <w:ind w:left="119" w:right="-12"/>
        <w:rPr>
          <w:lang w:val="es-ES_tradnl"/>
        </w:rPr>
      </w:pPr>
    </w:p>
    <w:p w:rsidR="000A233F" w:rsidRDefault="000A233F" w:rsidP="000A233F">
      <w:pPr>
        <w:pStyle w:val="Textoindependiente"/>
        <w:spacing w:before="69"/>
        <w:ind w:left="119" w:right="-12"/>
        <w:rPr>
          <w:lang w:val="es-ES_tradnl"/>
        </w:rPr>
      </w:pPr>
    </w:p>
    <w:p w:rsidR="000A233F" w:rsidRDefault="000A233F" w:rsidP="000A233F">
      <w:pPr>
        <w:pStyle w:val="Textoindependiente"/>
        <w:spacing w:before="69"/>
        <w:ind w:left="119" w:right="-12"/>
        <w:rPr>
          <w:lang w:val="es-ES_tradnl"/>
        </w:rPr>
      </w:pPr>
    </w:p>
    <w:p w:rsidR="000A233F" w:rsidRDefault="000A233F" w:rsidP="000A233F">
      <w:pPr>
        <w:pStyle w:val="Textoindependiente"/>
        <w:spacing w:before="69"/>
        <w:ind w:left="119" w:right="-12"/>
        <w:rPr>
          <w:lang w:val="es-ES_tradnl"/>
        </w:rPr>
      </w:pPr>
    </w:p>
    <w:p w:rsidR="000A233F" w:rsidRDefault="000A233F" w:rsidP="000A233F">
      <w:pPr>
        <w:pStyle w:val="Textoindependiente"/>
        <w:spacing w:before="69"/>
        <w:ind w:left="119" w:right="-12"/>
        <w:rPr>
          <w:lang w:val="es-ES_tradnl"/>
        </w:rPr>
      </w:pPr>
    </w:p>
    <w:p w:rsidR="000A233F" w:rsidRPr="000D0204" w:rsidRDefault="000A233F" w:rsidP="000A233F">
      <w:pPr>
        <w:pStyle w:val="Textoindependiente"/>
        <w:spacing w:before="69"/>
        <w:ind w:left="119" w:right="-12"/>
        <w:rPr>
          <w:b w:val="0"/>
          <w:bCs w:val="0"/>
          <w:lang w:val="es-ES_tradnl"/>
        </w:rPr>
      </w:pPr>
      <w:r w:rsidRPr="000D0204">
        <w:rPr>
          <w:lang w:val="es-ES_tradnl"/>
        </w:rPr>
        <w:t>COMERCIAL</w:t>
      </w:r>
      <w:r w:rsidRPr="000D0204">
        <w:rPr>
          <w:spacing w:val="-8"/>
          <w:lang w:val="es-ES_tradnl"/>
        </w:rPr>
        <w:t xml:space="preserve"> </w:t>
      </w:r>
      <w:r w:rsidRPr="000D0204">
        <w:rPr>
          <w:lang w:val="es-ES_tradnl"/>
        </w:rPr>
        <w:t>DE</w:t>
      </w:r>
      <w:r w:rsidRPr="000D0204">
        <w:rPr>
          <w:spacing w:val="-8"/>
          <w:lang w:val="es-ES_tradnl"/>
        </w:rPr>
        <w:t xml:space="preserve"> </w:t>
      </w:r>
      <w:r w:rsidRPr="000D0204">
        <w:rPr>
          <w:lang w:val="es-ES_tradnl"/>
        </w:rPr>
        <w:t>MADERAS</w:t>
      </w:r>
      <w:r w:rsidRPr="000D0204">
        <w:rPr>
          <w:spacing w:val="-8"/>
          <w:lang w:val="es-ES_tradnl"/>
        </w:rPr>
        <w:t xml:space="preserve"> </w:t>
      </w:r>
      <w:r w:rsidRPr="000D0204">
        <w:rPr>
          <w:lang w:val="es-ES_tradnl"/>
        </w:rPr>
        <w:t>Y</w:t>
      </w:r>
      <w:r w:rsidRPr="000D0204">
        <w:rPr>
          <w:spacing w:val="-8"/>
          <w:lang w:val="es-ES_tradnl"/>
        </w:rPr>
        <w:t xml:space="preserve"> </w:t>
      </w:r>
      <w:r w:rsidRPr="000D0204">
        <w:rPr>
          <w:lang w:val="es-ES_tradnl"/>
        </w:rPr>
        <w:t>FERRETERIA,</w:t>
      </w:r>
      <w:r w:rsidRPr="000D0204">
        <w:rPr>
          <w:spacing w:val="-8"/>
          <w:lang w:val="es-ES_tradnl"/>
        </w:rPr>
        <w:t xml:space="preserve"> </w:t>
      </w:r>
      <w:r w:rsidRPr="000D0204">
        <w:rPr>
          <w:lang w:val="es-ES_tradnl"/>
        </w:rPr>
        <w:t>S.A</w:t>
      </w:r>
    </w:p>
    <w:p w:rsidR="000A233F" w:rsidRDefault="000A233F" w:rsidP="000A233F">
      <w:pPr>
        <w:pStyle w:val="Textoindependiente"/>
        <w:ind w:left="119" w:right="-12"/>
        <w:rPr>
          <w:lang w:val="es-ES_tradnl"/>
        </w:rPr>
      </w:pPr>
      <w:r w:rsidRPr="000D0204">
        <w:rPr>
          <w:lang w:val="es-ES_tradnl"/>
        </w:rPr>
        <w:t>Concurso Voluntario</w:t>
      </w:r>
      <w:r w:rsidRPr="000D0204">
        <w:rPr>
          <w:spacing w:val="-33"/>
          <w:lang w:val="es-ES_tradnl"/>
        </w:rPr>
        <w:t xml:space="preserve"> </w:t>
      </w:r>
      <w:r>
        <w:rPr>
          <w:spacing w:val="-33"/>
          <w:lang w:val="es-ES_tradnl"/>
        </w:rPr>
        <w:t xml:space="preserve"> </w:t>
      </w:r>
      <w:r w:rsidRPr="000D0204">
        <w:rPr>
          <w:lang w:val="es-ES_tradnl"/>
        </w:rPr>
        <w:t>409/13</w:t>
      </w:r>
    </w:p>
    <w:p w:rsidR="000A233F" w:rsidRPr="00200924" w:rsidRDefault="000A233F" w:rsidP="000A233F">
      <w:pPr>
        <w:spacing w:before="19"/>
        <w:rPr>
          <w:rFonts w:ascii="Century Gothic" w:eastAsia="Century Gothic" w:hAnsi="Century Gothic" w:cs="Century Gothic"/>
          <w:sz w:val="28"/>
          <w:szCs w:val="28"/>
        </w:rPr>
      </w:pPr>
      <w:r w:rsidRPr="00200924">
        <w:rPr>
          <w:rFonts w:ascii="Century Gothic" w:hAnsi="Century Gothic"/>
          <w:b/>
          <w:color w:val="4E81BD"/>
          <w:sz w:val="28"/>
          <w:u w:val="thick" w:color="4E81BD"/>
        </w:rPr>
        <w:lastRenderedPageBreak/>
        <w:t>LISTA DE ACREEDORES SEGÚN LA CALIFICACIÓN DE SU</w:t>
      </w:r>
      <w:r w:rsidRPr="00200924">
        <w:rPr>
          <w:rFonts w:ascii="Century Gothic" w:hAnsi="Century Gothic"/>
          <w:b/>
          <w:color w:val="4E81BD"/>
          <w:spacing w:val="11"/>
          <w:sz w:val="28"/>
          <w:u w:val="thick" w:color="4E81BD"/>
        </w:rPr>
        <w:t xml:space="preserve"> </w:t>
      </w:r>
      <w:r w:rsidRPr="00200924">
        <w:rPr>
          <w:rFonts w:ascii="Century Gothic" w:hAnsi="Century Gothic"/>
          <w:b/>
          <w:color w:val="4E81BD"/>
          <w:sz w:val="28"/>
          <w:u w:val="thick" w:color="4E81BD"/>
        </w:rPr>
        <w:t>CRÉDITO</w:t>
      </w:r>
    </w:p>
    <w:p w:rsidR="000A233F" w:rsidRPr="00200924" w:rsidRDefault="000A233F" w:rsidP="000A233F">
      <w:pPr>
        <w:spacing w:before="2"/>
        <w:rPr>
          <w:rFonts w:ascii="Century Gothic" w:eastAsia="Century Gothic" w:hAnsi="Century Gothic" w:cs="Century Gothic"/>
          <w:b/>
          <w:bCs/>
          <w:sz w:val="24"/>
          <w:szCs w:val="24"/>
        </w:rPr>
      </w:pPr>
    </w:p>
    <w:tbl>
      <w:tblPr>
        <w:tblStyle w:val="TableNormal"/>
        <w:tblW w:w="8765" w:type="dxa"/>
        <w:tblInd w:w="19" w:type="dxa"/>
        <w:tblLayout w:type="fixed"/>
        <w:tblLook w:val="01E0"/>
      </w:tblPr>
      <w:tblGrid>
        <w:gridCol w:w="6010"/>
        <w:gridCol w:w="1289"/>
        <w:gridCol w:w="1466"/>
      </w:tblGrid>
      <w:tr w:rsidR="000A233F" w:rsidTr="00E910D0">
        <w:trPr>
          <w:trHeight w:hRule="exact" w:val="305"/>
        </w:trPr>
        <w:tc>
          <w:tcPr>
            <w:tcW w:w="6010"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20"/>
              <w:jc w:val="center"/>
              <w:rPr>
                <w:rFonts w:ascii="Century Gothic" w:eastAsia="Century Gothic" w:hAnsi="Century Gothic" w:cs="Century Gothic"/>
                <w:sz w:val="20"/>
                <w:szCs w:val="20"/>
              </w:rPr>
            </w:pPr>
            <w:r>
              <w:rPr>
                <w:rFonts w:ascii="Century Gothic"/>
                <w:b/>
                <w:sz w:val="20"/>
              </w:rPr>
              <w:t>ACREEDOR</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336"/>
              <w:rPr>
                <w:rFonts w:ascii="Century Gothic" w:eastAsia="Century Gothic" w:hAnsi="Century Gothic" w:cs="Century Gothic"/>
                <w:sz w:val="20"/>
                <w:szCs w:val="20"/>
              </w:rPr>
            </w:pPr>
            <w:r>
              <w:rPr>
                <w:rFonts w:ascii="Century Gothic"/>
                <w:b/>
                <w:sz w:val="20"/>
              </w:rPr>
              <w:t>CLASE</w:t>
            </w:r>
          </w:p>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592"/>
              <w:rPr>
                <w:rFonts w:ascii="Century Gothic" w:eastAsia="Century Gothic" w:hAnsi="Century Gothic" w:cs="Century Gothic"/>
                <w:sz w:val="20"/>
                <w:szCs w:val="20"/>
              </w:rPr>
            </w:pPr>
            <w:r>
              <w:rPr>
                <w:rFonts w:ascii="Century Gothic"/>
                <w:b/>
                <w:sz w:val="20"/>
              </w:rPr>
              <w:t>IMPORTE</w:t>
            </w:r>
          </w:p>
        </w:tc>
      </w:tr>
    </w:tbl>
    <w:p w:rsidR="000A233F" w:rsidRDefault="000A233F" w:rsidP="000A233F">
      <w:pPr>
        <w:spacing w:before="1"/>
        <w:rPr>
          <w:rFonts w:ascii="Century Gothic" w:eastAsia="Century Gothic" w:hAnsi="Century Gothic" w:cs="Century Gothic"/>
          <w:b/>
          <w:bCs/>
          <w:sz w:val="24"/>
          <w:szCs w:val="24"/>
        </w:rPr>
      </w:pPr>
    </w:p>
    <w:tbl>
      <w:tblPr>
        <w:tblStyle w:val="TableNormal"/>
        <w:tblW w:w="9312" w:type="dxa"/>
        <w:tblInd w:w="-361" w:type="dxa"/>
        <w:tblLayout w:type="fixed"/>
        <w:tblLook w:val="01E0"/>
      </w:tblPr>
      <w:tblGrid>
        <w:gridCol w:w="547"/>
        <w:gridCol w:w="6010"/>
        <w:gridCol w:w="1289"/>
        <w:gridCol w:w="1466"/>
      </w:tblGrid>
      <w:tr w:rsidR="000A233F" w:rsidTr="00E910D0">
        <w:trPr>
          <w:trHeight w:hRule="exact" w:val="305"/>
        </w:trPr>
        <w:tc>
          <w:tcPr>
            <w:tcW w:w="547"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20"/>
              <w:jc w:val="center"/>
              <w:rPr>
                <w:rFonts w:ascii="Century Gothic" w:eastAsia="Century Gothic" w:hAnsi="Century Gothic" w:cs="Century Gothic"/>
                <w:sz w:val="20"/>
                <w:szCs w:val="20"/>
              </w:rPr>
            </w:pPr>
            <w:r>
              <w:rPr>
                <w:rFonts w:ascii="Century Gothic"/>
                <w:b/>
                <w:sz w:val="20"/>
              </w:rPr>
              <w:t>I.</w:t>
            </w:r>
          </w:p>
        </w:tc>
        <w:tc>
          <w:tcPr>
            <w:tcW w:w="6010" w:type="dxa"/>
            <w:tcBorders>
              <w:top w:val="single" w:sz="15" w:space="0" w:color="4E81BD"/>
              <w:left w:val="single" w:sz="15" w:space="0" w:color="4E81BD"/>
              <w:bottom w:val="single" w:sz="15" w:space="0" w:color="4E81BD"/>
              <w:right w:val="single" w:sz="15" w:space="0" w:color="4E81BD"/>
            </w:tcBorders>
          </w:tcPr>
          <w:p w:rsidR="000A233F" w:rsidRPr="00200924" w:rsidRDefault="000A233F" w:rsidP="00E910D0">
            <w:pPr>
              <w:pStyle w:val="TableParagraph"/>
              <w:spacing w:line="238" w:lineRule="exact"/>
              <w:ind w:left="336"/>
              <w:rPr>
                <w:rFonts w:ascii="Century Gothic" w:eastAsia="Century Gothic" w:hAnsi="Century Gothic" w:cs="Century Gothic"/>
                <w:sz w:val="20"/>
                <w:szCs w:val="20"/>
                <w:lang w:val="es-ES_tradnl"/>
              </w:rPr>
            </w:pPr>
            <w:r w:rsidRPr="00200924">
              <w:rPr>
                <w:rFonts w:ascii="Century Gothic" w:hAnsi="Century Gothic"/>
                <w:b/>
                <w:sz w:val="20"/>
                <w:lang w:val="es-ES_tradnl"/>
              </w:rPr>
              <w:t>ACREEDORES CON CRÉDITOS CON PRIVILEGIO</w:t>
            </w:r>
            <w:r w:rsidRPr="00200924">
              <w:rPr>
                <w:rFonts w:ascii="Century Gothic" w:hAnsi="Century Gothic"/>
                <w:b/>
                <w:spacing w:val="-38"/>
                <w:sz w:val="20"/>
                <w:lang w:val="es-ES_tradnl"/>
              </w:rPr>
              <w:t xml:space="preserve"> </w:t>
            </w:r>
            <w:r w:rsidRPr="00200924">
              <w:rPr>
                <w:rFonts w:ascii="Century Gothic" w:hAnsi="Century Gothic"/>
                <w:b/>
                <w:sz w:val="20"/>
                <w:lang w:val="es-ES_tradnl"/>
              </w:rPr>
              <w:t>ESPECIAL</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336"/>
              <w:rPr>
                <w:rFonts w:ascii="Century Gothic" w:eastAsia="Century Gothic" w:hAnsi="Century Gothic" w:cs="Century Gothic"/>
                <w:sz w:val="20"/>
                <w:szCs w:val="20"/>
              </w:rPr>
            </w:pPr>
            <w:r>
              <w:rPr>
                <w:rFonts w:ascii="Century Gothic"/>
                <w:b/>
                <w:sz w:val="20"/>
              </w:rPr>
              <w:t>CLASE</w:t>
            </w:r>
          </w:p>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315"/>
              <w:rPr>
                <w:rFonts w:ascii="Century Gothic" w:eastAsia="Century Gothic" w:hAnsi="Century Gothic" w:cs="Century Gothic"/>
                <w:sz w:val="20"/>
                <w:szCs w:val="20"/>
              </w:rPr>
            </w:pPr>
            <w:r>
              <w:rPr>
                <w:rFonts w:ascii="Century Gothic"/>
                <w:b/>
                <w:sz w:val="20"/>
              </w:rPr>
              <w:t>IMPORTE</w:t>
            </w:r>
          </w:p>
        </w:tc>
      </w:tr>
      <w:tr w:rsidR="000A233F" w:rsidTr="00E910D0">
        <w:trPr>
          <w:trHeight w:hRule="exact" w:val="335"/>
        </w:trPr>
        <w:tc>
          <w:tcPr>
            <w:tcW w:w="547" w:type="dxa"/>
            <w:tcBorders>
              <w:top w:val="single" w:sz="15" w:space="0" w:color="4E81BD"/>
              <w:left w:val="nil"/>
              <w:bottom w:val="nil"/>
              <w:right w:val="single" w:sz="1" w:space="0" w:color="000000"/>
            </w:tcBorders>
          </w:tcPr>
          <w:p w:rsidR="000A233F" w:rsidRDefault="000A233F" w:rsidP="00E910D0"/>
        </w:tc>
        <w:tc>
          <w:tcPr>
            <w:tcW w:w="6010"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25"/>
              <w:ind w:left="34"/>
              <w:rPr>
                <w:rFonts w:ascii="Century Gothic" w:eastAsia="Century Gothic" w:hAnsi="Century Gothic" w:cs="Century Gothic"/>
                <w:sz w:val="18"/>
                <w:szCs w:val="18"/>
              </w:rPr>
            </w:pPr>
            <w:r>
              <w:rPr>
                <w:rFonts w:ascii="Century Gothic"/>
                <w:sz w:val="18"/>
              </w:rPr>
              <w:t>BANCO SANTANDER</w:t>
            </w:r>
            <w:r>
              <w:rPr>
                <w:rFonts w:ascii="Century Gothic"/>
                <w:spacing w:val="-5"/>
                <w:sz w:val="18"/>
              </w:rPr>
              <w:t xml:space="preserve"> </w:t>
            </w:r>
            <w:r>
              <w:rPr>
                <w:rFonts w:ascii="Century Gothic"/>
                <w:sz w:val="18"/>
              </w:rPr>
              <w:t>SA</w:t>
            </w:r>
          </w:p>
        </w:tc>
        <w:tc>
          <w:tcPr>
            <w:tcW w:w="128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5"/>
              <w:ind w:left="377"/>
              <w:rPr>
                <w:rFonts w:ascii="Century Gothic" w:eastAsia="Century Gothic" w:hAnsi="Century Gothic" w:cs="Century Gothic"/>
                <w:sz w:val="20"/>
                <w:szCs w:val="20"/>
              </w:rPr>
            </w:pPr>
            <w:r>
              <w:rPr>
                <w:rFonts w:ascii="Century Gothic"/>
                <w:sz w:val="20"/>
              </w:rPr>
              <w:t>90.1.4</w:t>
            </w:r>
          </w:p>
        </w:tc>
        <w:tc>
          <w:tcPr>
            <w:tcW w:w="1466" w:type="dxa"/>
            <w:tcBorders>
              <w:top w:val="single" w:sz="15" w:space="0" w:color="4E81BD"/>
              <w:left w:val="single" w:sz="1" w:space="0" w:color="000000"/>
              <w:bottom w:val="single" w:sz="15" w:space="0" w:color="4E81BD"/>
              <w:right w:val="single" w:sz="1" w:space="0" w:color="000000"/>
            </w:tcBorders>
          </w:tcPr>
          <w:p w:rsidR="000A233F" w:rsidRDefault="000A233F" w:rsidP="00E910D0">
            <w:pPr>
              <w:pStyle w:val="TableParagraph"/>
              <w:spacing w:before="25"/>
              <w:ind w:right="248"/>
              <w:jc w:val="right"/>
              <w:rPr>
                <w:rFonts w:ascii="Century Gothic" w:eastAsia="Century Gothic" w:hAnsi="Century Gothic" w:cs="Century Gothic"/>
                <w:sz w:val="18"/>
                <w:szCs w:val="18"/>
              </w:rPr>
            </w:pPr>
            <w:r>
              <w:rPr>
                <w:rFonts w:ascii="Century Gothic"/>
                <w:spacing w:val="-1"/>
                <w:w w:val="95"/>
                <w:sz w:val="18"/>
              </w:rPr>
              <w:t>20.787,61</w:t>
            </w:r>
          </w:p>
        </w:tc>
      </w:tr>
      <w:tr w:rsidR="000A233F" w:rsidTr="00E910D0">
        <w:trPr>
          <w:trHeight w:hRule="exact" w:val="332"/>
        </w:trPr>
        <w:tc>
          <w:tcPr>
            <w:tcW w:w="7846" w:type="dxa"/>
            <w:gridSpan w:val="3"/>
            <w:tcBorders>
              <w:top w:val="nil"/>
              <w:left w:val="nil"/>
              <w:bottom w:val="nil"/>
              <w:right w:val="single" w:sz="15" w:space="0" w:color="4E81BD"/>
            </w:tcBorders>
          </w:tcPr>
          <w:p w:rsidR="000A233F" w:rsidRDefault="000A233F" w:rsidP="00E910D0"/>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before="4"/>
              <w:ind w:right="279"/>
              <w:jc w:val="right"/>
              <w:rPr>
                <w:rFonts w:ascii="Century Gothic" w:eastAsia="Century Gothic" w:hAnsi="Century Gothic" w:cs="Century Gothic"/>
                <w:sz w:val="20"/>
                <w:szCs w:val="20"/>
              </w:rPr>
            </w:pPr>
            <w:r>
              <w:rPr>
                <w:rFonts w:ascii="Century Gothic"/>
                <w:b/>
                <w:w w:val="95"/>
                <w:sz w:val="20"/>
              </w:rPr>
              <w:t>20.787,61</w:t>
            </w:r>
          </w:p>
        </w:tc>
      </w:tr>
    </w:tbl>
    <w:p w:rsidR="000A233F" w:rsidRDefault="000A233F" w:rsidP="000A233F">
      <w:pPr>
        <w:spacing w:before="1"/>
        <w:rPr>
          <w:rFonts w:ascii="Century Gothic" w:eastAsia="Century Gothic" w:hAnsi="Century Gothic" w:cs="Century Gothic"/>
          <w:b/>
          <w:bCs/>
          <w:sz w:val="10"/>
          <w:szCs w:val="10"/>
        </w:rPr>
      </w:pPr>
    </w:p>
    <w:tbl>
      <w:tblPr>
        <w:tblStyle w:val="TableNormal"/>
        <w:tblW w:w="9313" w:type="dxa"/>
        <w:tblInd w:w="-372" w:type="dxa"/>
        <w:tblLayout w:type="fixed"/>
        <w:tblLook w:val="01E0"/>
      </w:tblPr>
      <w:tblGrid>
        <w:gridCol w:w="548"/>
        <w:gridCol w:w="6010"/>
        <w:gridCol w:w="1289"/>
        <w:gridCol w:w="1466"/>
      </w:tblGrid>
      <w:tr w:rsidR="000A233F" w:rsidTr="00E910D0">
        <w:trPr>
          <w:trHeight w:hRule="exact" w:val="305"/>
        </w:trPr>
        <w:tc>
          <w:tcPr>
            <w:tcW w:w="548"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180"/>
              <w:rPr>
                <w:rFonts w:ascii="Century Gothic" w:eastAsia="Century Gothic" w:hAnsi="Century Gothic" w:cs="Century Gothic"/>
                <w:sz w:val="20"/>
                <w:szCs w:val="20"/>
              </w:rPr>
            </w:pPr>
            <w:r>
              <w:rPr>
                <w:rFonts w:ascii="Century Gothic"/>
                <w:b/>
                <w:sz w:val="20"/>
              </w:rPr>
              <w:t>II.</w:t>
            </w:r>
          </w:p>
        </w:tc>
        <w:tc>
          <w:tcPr>
            <w:tcW w:w="6010" w:type="dxa"/>
            <w:tcBorders>
              <w:top w:val="single" w:sz="15" w:space="0" w:color="4E81BD"/>
              <w:left w:val="single" w:sz="15" w:space="0" w:color="4E81BD"/>
              <w:bottom w:val="single" w:sz="15" w:space="0" w:color="4E81BD"/>
              <w:right w:val="single" w:sz="15" w:space="0" w:color="4E81BD"/>
            </w:tcBorders>
          </w:tcPr>
          <w:p w:rsidR="000A233F" w:rsidRPr="00200924" w:rsidRDefault="000A233F" w:rsidP="00E910D0">
            <w:pPr>
              <w:pStyle w:val="TableParagraph"/>
              <w:spacing w:line="238" w:lineRule="exact"/>
              <w:ind w:left="332"/>
              <w:rPr>
                <w:rFonts w:ascii="Century Gothic" w:eastAsia="Century Gothic" w:hAnsi="Century Gothic" w:cs="Century Gothic"/>
                <w:sz w:val="20"/>
                <w:szCs w:val="20"/>
                <w:lang w:val="es-ES_tradnl"/>
              </w:rPr>
            </w:pPr>
            <w:r w:rsidRPr="00200924">
              <w:rPr>
                <w:rFonts w:ascii="Century Gothic" w:hAnsi="Century Gothic"/>
                <w:b/>
                <w:sz w:val="20"/>
                <w:lang w:val="es-ES_tradnl"/>
              </w:rPr>
              <w:t>ACREEDORES CON CRÉDITOS CON PRIVILEGIO</w:t>
            </w:r>
            <w:r w:rsidRPr="00200924">
              <w:rPr>
                <w:rFonts w:ascii="Century Gothic" w:hAnsi="Century Gothic"/>
                <w:b/>
                <w:spacing w:val="-38"/>
                <w:sz w:val="20"/>
                <w:lang w:val="es-ES_tradnl"/>
              </w:rPr>
              <w:t xml:space="preserve"> </w:t>
            </w:r>
            <w:r w:rsidRPr="00200924">
              <w:rPr>
                <w:rFonts w:ascii="Century Gothic" w:hAnsi="Century Gothic"/>
                <w:b/>
                <w:sz w:val="20"/>
                <w:lang w:val="es-ES_tradnl"/>
              </w:rPr>
              <w:t>GENERAL</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18"/>
              <w:jc w:val="center"/>
              <w:rPr>
                <w:rFonts w:ascii="Century Gothic" w:eastAsia="Century Gothic" w:hAnsi="Century Gothic" w:cs="Century Gothic"/>
                <w:sz w:val="20"/>
                <w:szCs w:val="20"/>
              </w:rPr>
            </w:pPr>
            <w:r>
              <w:rPr>
                <w:rFonts w:ascii="Century Gothic"/>
                <w:b/>
                <w:sz w:val="20"/>
              </w:rPr>
              <w:t>CLASE</w:t>
            </w:r>
          </w:p>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314"/>
              <w:rPr>
                <w:rFonts w:ascii="Century Gothic" w:eastAsia="Century Gothic" w:hAnsi="Century Gothic" w:cs="Century Gothic"/>
                <w:sz w:val="20"/>
                <w:szCs w:val="20"/>
              </w:rPr>
            </w:pPr>
            <w:r>
              <w:rPr>
                <w:rFonts w:ascii="Century Gothic"/>
                <w:b/>
                <w:sz w:val="20"/>
              </w:rPr>
              <w:t>IMPORTE</w:t>
            </w:r>
          </w:p>
        </w:tc>
      </w:tr>
      <w:tr w:rsidR="000A233F" w:rsidTr="00E910D0">
        <w:trPr>
          <w:trHeight w:hRule="exact" w:val="320"/>
        </w:trPr>
        <w:tc>
          <w:tcPr>
            <w:tcW w:w="548" w:type="dxa"/>
            <w:vMerge w:val="restart"/>
            <w:tcBorders>
              <w:top w:val="single" w:sz="15" w:space="0" w:color="4E81BD"/>
              <w:left w:val="nil"/>
              <w:right w:val="single" w:sz="1" w:space="0" w:color="000000"/>
            </w:tcBorders>
          </w:tcPr>
          <w:p w:rsidR="000A233F" w:rsidRDefault="000A233F" w:rsidP="00E910D0"/>
        </w:tc>
        <w:tc>
          <w:tcPr>
            <w:tcW w:w="6010" w:type="dxa"/>
            <w:tcBorders>
              <w:top w:val="single" w:sz="15" w:space="0" w:color="4E81BD"/>
              <w:left w:val="single" w:sz="1" w:space="0" w:color="000000"/>
              <w:bottom w:val="single" w:sz="1" w:space="0" w:color="000000"/>
              <w:right w:val="single" w:sz="1" w:space="0" w:color="000000"/>
            </w:tcBorders>
          </w:tcPr>
          <w:p w:rsidR="000A233F" w:rsidRPr="00200924" w:rsidRDefault="000A233F" w:rsidP="00E910D0">
            <w:pPr>
              <w:pStyle w:val="TableParagraph"/>
              <w:spacing w:before="17"/>
              <w:ind w:left="36"/>
              <w:rPr>
                <w:rFonts w:ascii="Century Gothic" w:eastAsia="Century Gothic" w:hAnsi="Century Gothic" w:cs="Century Gothic"/>
                <w:sz w:val="20"/>
                <w:szCs w:val="20"/>
                <w:lang w:val="es-ES_tradnl"/>
              </w:rPr>
            </w:pPr>
            <w:r w:rsidRPr="00200924">
              <w:rPr>
                <w:rFonts w:ascii="Century Gothic" w:hAnsi="Century Gothic"/>
                <w:sz w:val="20"/>
                <w:lang w:val="es-ES_tradnl"/>
              </w:rPr>
              <w:t>AGENCIA ESTATAL DE ADMINISTRACIÓN</w:t>
            </w:r>
            <w:r w:rsidRPr="00200924">
              <w:rPr>
                <w:rFonts w:ascii="Century Gothic" w:hAnsi="Century Gothic"/>
                <w:spacing w:val="-33"/>
                <w:sz w:val="20"/>
                <w:lang w:val="es-ES_tradnl"/>
              </w:rPr>
              <w:t xml:space="preserve"> </w:t>
            </w:r>
            <w:r w:rsidRPr="00200924">
              <w:rPr>
                <w:rFonts w:ascii="Century Gothic" w:hAnsi="Century Gothic"/>
                <w:sz w:val="20"/>
                <w:lang w:val="es-ES_tradnl"/>
              </w:rPr>
              <w:t>TRIBUTARIA</w:t>
            </w:r>
          </w:p>
        </w:tc>
        <w:tc>
          <w:tcPr>
            <w:tcW w:w="128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0"/>
              <w:ind w:left="16"/>
              <w:jc w:val="center"/>
              <w:rPr>
                <w:rFonts w:ascii="Century Gothic" w:eastAsia="Century Gothic" w:hAnsi="Century Gothic" w:cs="Century Gothic"/>
                <w:sz w:val="20"/>
                <w:szCs w:val="20"/>
              </w:rPr>
            </w:pPr>
            <w:r>
              <w:rPr>
                <w:rFonts w:ascii="Century Gothic"/>
                <w:sz w:val="20"/>
              </w:rPr>
              <w:t>91.4</w:t>
            </w:r>
          </w:p>
        </w:tc>
        <w:tc>
          <w:tcPr>
            <w:tcW w:w="1466"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0"/>
              <w:ind w:right="265"/>
              <w:jc w:val="right"/>
              <w:rPr>
                <w:rFonts w:ascii="Century Gothic" w:eastAsia="Century Gothic" w:hAnsi="Century Gothic" w:cs="Century Gothic"/>
                <w:sz w:val="20"/>
                <w:szCs w:val="20"/>
              </w:rPr>
            </w:pPr>
            <w:r>
              <w:rPr>
                <w:rFonts w:ascii="Century Gothic"/>
                <w:spacing w:val="-1"/>
                <w:w w:val="95"/>
                <w:sz w:val="20"/>
              </w:rPr>
              <w:t>14.540,67</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AYUNTAMIENTO DE</w:t>
            </w:r>
            <w:r>
              <w:rPr>
                <w:rFonts w:ascii="Century Gothic"/>
                <w:spacing w:val="-4"/>
                <w:sz w:val="18"/>
              </w:rPr>
              <w:t xml:space="preserve"> </w:t>
            </w:r>
            <w:r>
              <w:rPr>
                <w:rFonts w:ascii="Century Gothic"/>
                <w:sz w:val="18"/>
              </w:rPr>
              <w:t>JAEN</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12"/>
              <w:ind w:left="16"/>
              <w:jc w:val="center"/>
              <w:rPr>
                <w:rFonts w:ascii="Century Gothic" w:eastAsia="Century Gothic" w:hAnsi="Century Gothic" w:cs="Century Gothic"/>
                <w:sz w:val="20"/>
                <w:szCs w:val="20"/>
              </w:rPr>
            </w:pPr>
            <w:r>
              <w:rPr>
                <w:rFonts w:ascii="Century Gothic"/>
                <w:sz w:val="20"/>
              </w:rPr>
              <w:t>91.4</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1.626,41</w:t>
            </w:r>
          </w:p>
        </w:tc>
      </w:tr>
      <w:tr w:rsidR="000A233F" w:rsidTr="00E910D0">
        <w:trPr>
          <w:trHeight w:hRule="exact" w:val="290"/>
        </w:trPr>
        <w:tc>
          <w:tcPr>
            <w:tcW w:w="548" w:type="dxa"/>
            <w:vMerge/>
            <w:tcBorders>
              <w:left w:val="nil"/>
              <w:right w:val="single" w:sz="1" w:space="0" w:color="000000"/>
            </w:tcBorders>
          </w:tcPr>
          <w:p w:rsidR="000A233F" w:rsidRDefault="000A233F" w:rsidP="00E910D0"/>
        </w:tc>
        <w:tc>
          <w:tcPr>
            <w:tcW w:w="6010" w:type="dxa"/>
            <w:vMerge w:val="restart"/>
            <w:tcBorders>
              <w:top w:val="single" w:sz="1" w:space="0" w:color="000000"/>
              <w:left w:val="single" w:sz="1" w:space="0" w:color="000000"/>
              <w:right w:val="single" w:sz="1" w:space="0" w:color="000000"/>
            </w:tcBorders>
          </w:tcPr>
          <w:p w:rsidR="000A233F" w:rsidRPr="00200924" w:rsidRDefault="000A233F" w:rsidP="00E910D0">
            <w:pPr>
              <w:pStyle w:val="TableParagraph"/>
              <w:spacing w:before="163"/>
              <w:ind w:left="35"/>
              <w:rPr>
                <w:rFonts w:ascii="Century Gothic" w:eastAsia="Century Gothic" w:hAnsi="Century Gothic" w:cs="Century Gothic"/>
                <w:sz w:val="20"/>
                <w:szCs w:val="20"/>
                <w:lang w:val="es-ES_tradnl"/>
              </w:rPr>
            </w:pPr>
            <w:r w:rsidRPr="00200924">
              <w:rPr>
                <w:rFonts w:ascii="Century Gothic" w:hAnsi="Century Gothic"/>
                <w:sz w:val="20"/>
                <w:lang w:val="es-ES_tradnl"/>
              </w:rPr>
              <w:t>AGENCIA ESTATAL DE ADMINISTRACIÓN</w:t>
            </w:r>
            <w:r w:rsidRPr="00200924">
              <w:rPr>
                <w:rFonts w:ascii="Century Gothic" w:hAnsi="Century Gothic"/>
                <w:spacing w:val="-33"/>
                <w:sz w:val="20"/>
                <w:lang w:val="es-ES_tradnl"/>
              </w:rPr>
              <w:t xml:space="preserve"> </w:t>
            </w:r>
            <w:r w:rsidRPr="00200924">
              <w:rPr>
                <w:rFonts w:ascii="Century Gothic" w:hAnsi="Century Gothic"/>
                <w:sz w:val="20"/>
                <w:lang w:val="es-ES_tradnl"/>
              </w:rPr>
              <w:t>TRIBUTARIA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15"/>
              <w:ind w:left="16"/>
              <w:jc w:val="center"/>
              <w:rPr>
                <w:rFonts w:ascii="Century Gothic" w:eastAsia="Century Gothic" w:hAnsi="Century Gothic" w:cs="Century Gothic"/>
                <w:sz w:val="20"/>
                <w:szCs w:val="20"/>
              </w:rPr>
            </w:pPr>
            <w:r>
              <w:rPr>
                <w:rFonts w:ascii="Century Gothic"/>
                <w:sz w:val="20"/>
              </w:rPr>
              <w:t>91.2</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15"/>
              <w:ind w:right="265"/>
              <w:jc w:val="right"/>
              <w:rPr>
                <w:rFonts w:ascii="Century Gothic" w:eastAsia="Century Gothic" w:hAnsi="Century Gothic" w:cs="Century Gothic"/>
                <w:sz w:val="20"/>
                <w:szCs w:val="20"/>
              </w:rPr>
            </w:pPr>
            <w:r>
              <w:rPr>
                <w:rFonts w:ascii="Century Gothic"/>
                <w:spacing w:val="-1"/>
                <w:w w:val="95"/>
                <w:sz w:val="20"/>
              </w:rPr>
              <w:t>1.470,34</w:t>
            </w:r>
          </w:p>
        </w:tc>
      </w:tr>
      <w:tr w:rsidR="000A233F" w:rsidTr="00E910D0">
        <w:trPr>
          <w:trHeight w:hRule="exact" w:val="305"/>
        </w:trPr>
        <w:tc>
          <w:tcPr>
            <w:tcW w:w="548" w:type="dxa"/>
            <w:vMerge/>
            <w:tcBorders>
              <w:left w:val="nil"/>
              <w:bottom w:val="nil"/>
              <w:right w:val="single" w:sz="1" w:space="0" w:color="000000"/>
            </w:tcBorders>
          </w:tcPr>
          <w:p w:rsidR="000A233F" w:rsidRDefault="000A233F" w:rsidP="00E910D0"/>
        </w:tc>
        <w:tc>
          <w:tcPr>
            <w:tcW w:w="6010" w:type="dxa"/>
            <w:vMerge/>
            <w:tcBorders>
              <w:left w:val="single" w:sz="1" w:space="0" w:color="000000"/>
              <w:bottom w:val="single" w:sz="1" w:space="0" w:color="000000"/>
              <w:right w:val="single" w:sz="1" w:space="0" w:color="000000"/>
            </w:tcBorders>
          </w:tcPr>
          <w:p w:rsidR="000A233F" w:rsidRDefault="000A233F" w:rsidP="00E910D0"/>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10"/>
              <w:ind w:left="16"/>
              <w:jc w:val="center"/>
              <w:rPr>
                <w:rFonts w:ascii="Century Gothic" w:eastAsia="Century Gothic" w:hAnsi="Century Gothic" w:cs="Century Gothic"/>
                <w:sz w:val="20"/>
                <w:szCs w:val="20"/>
              </w:rPr>
            </w:pPr>
            <w:r>
              <w:rPr>
                <w:rFonts w:ascii="Century Gothic"/>
                <w:sz w:val="20"/>
              </w:rPr>
              <w:t>91.4</w:t>
            </w:r>
          </w:p>
        </w:tc>
        <w:tc>
          <w:tcPr>
            <w:tcW w:w="1466" w:type="dxa"/>
            <w:tcBorders>
              <w:top w:val="single" w:sz="1" w:space="0" w:color="000000"/>
              <w:left w:val="single" w:sz="1" w:space="0" w:color="000000"/>
              <w:bottom w:val="single" w:sz="15" w:space="0" w:color="4E81BD"/>
              <w:right w:val="single" w:sz="1" w:space="0" w:color="000000"/>
            </w:tcBorders>
          </w:tcPr>
          <w:p w:rsidR="000A233F" w:rsidRDefault="000A233F" w:rsidP="00E910D0">
            <w:pPr>
              <w:pStyle w:val="TableParagraph"/>
              <w:spacing w:before="10"/>
              <w:ind w:right="265"/>
              <w:jc w:val="right"/>
              <w:rPr>
                <w:rFonts w:ascii="Century Gothic" w:eastAsia="Century Gothic" w:hAnsi="Century Gothic" w:cs="Century Gothic"/>
                <w:sz w:val="20"/>
                <w:szCs w:val="20"/>
              </w:rPr>
            </w:pPr>
            <w:r>
              <w:rPr>
                <w:rFonts w:ascii="Century Gothic"/>
                <w:spacing w:val="-1"/>
                <w:w w:val="95"/>
                <w:sz w:val="20"/>
              </w:rPr>
              <w:t>6.384,68</w:t>
            </w:r>
          </w:p>
        </w:tc>
      </w:tr>
      <w:tr w:rsidR="000A233F" w:rsidTr="00E910D0">
        <w:trPr>
          <w:trHeight w:hRule="exact" w:val="304"/>
        </w:trPr>
        <w:tc>
          <w:tcPr>
            <w:tcW w:w="7847" w:type="dxa"/>
            <w:gridSpan w:val="3"/>
            <w:tcBorders>
              <w:top w:val="nil"/>
              <w:left w:val="nil"/>
              <w:bottom w:val="nil"/>
              <w:right w:val="single" w:sz="15" w:space="0" w:color="4E81BD"/>
            </w:tcBorders>
          </w:tcPr>
          <w:p w:rsidR="000A233F" w:rsidRDefault="000A233F" w:rsidP="00E910D0"/>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7" w:lineRule="exact"/>
              <w:ind w:right="281"/>
              <w:jc w:val="right"/>
              <w:rPr>
                <w:rFonts w:ascii="Century Gothic" w:eastAsia="Century Gothic" w:hAnsi="Century Gothic" w:cs="Century Gothic"/>
                <w:sz w:val="20"/>
                <w:szCs w:val="20"/>
              </w:rPr>
            </w:pPr>
            <w:r>
              <w:rPr>
                <w:rFonts w:ascii="Century Gothic"/>
                <w:b/>
                <w:w w:val="95"/>
                <w:sz w:val="20"/>
              </w:rPr>
              <w:t>24.022,10</w:t>
            </w:r>
          </w:p>
        </w:tc>
      </w:tr>
    </w:tbl>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tbl>
      <w:tblPr>
        <w:tblStyle w:val="TableNormal"/>
        <w:tblW w:w="9422" w:type="dxa"/>
        <w:tblInd w:w="-415" w:type="dxa"/>
        <w:tblLayout w:type="fixed"/>
        <w:tblLook w:val="01E0"/>
      </w:tblPr>
      <w:tblGrid>
        <w:gridCol w:w="555"/>
        <w:gridCol w:w="6080"/>
        <w:gridCol w:w="1304"/>
        <w:gridCol w:w="1483"/>
      </w:tblGrid>
      <w:tr w:rsidR="000A233F" w:rsidTr="00E910D0">
        <w:trPr>
          <w:trHeight w:hRule="exact" w:val="305"/>
        </w:trPr>
        <w:tc>
          <w:tcPr>
            <w:tcW w:w="555"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153"/>
              <w:rPr>
                <w:rFonts w:ascii="Century Gothic" w:eastAsia="Century Gothic" w:hAnsi="Century Gothic" w:cs="Century Gothic"/>
                <w:sz w:val="20"/>
                <w:szCs w:val="20"/>
              </w:rPr>
            </w:pPr>
            <w:r>
              <w:rPr>
                <w:rFonts w:ascii="Century Gothic"/>
                <w:b/>
                <w:sz w:val="20"/>
              </w:rPr>
              <w:t>III.</w:t>
            </w:r>
          </w:p>
        </w:tc>
        <w:tc>
          <w:tcPr>
            <w:tcW w:w="6080"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980"/>
              <w:rPr>
                <w:rFonts w:ascii="Century Gothic" w:eastAsia="Century Gothic" w:hAnsi="Century Gothic" w:cs="Century Gothic"/>
                <w:sz w:val="20"/>
                <w:szCs w:val="20"/>
              </w:rPr>
            </w:pPr>
            <w:r>
              <w:rPr>
                <w:rFonts w:ascii="Century Gothic" w:hAnsi="Century Gothic"/>
                <w:b/>
                <w:sz w:val="20"/>
              </w:rPr>
              <w:t>ACREEDORES CON CRÉDITOS</w:t>
            </w:r>
            <w:r>
              <w:rPr>
                <w:rFonts w:ascii="Century Gothic" w:hAnsi="Century Gothic"/>
                <w:b/>
                <w:spacing w:val="-22"/>
                <w:sz w:val="20"/>
              </w:rPr>
              <w:t xml:space="preserve"> </w:t>
            </w:r>
            <w:r>
              <w:rPr>
                <w:rFonts w:ascii="Century Gothic" w:hAnsi="Century Gothic"/>
                <w:b/>
                <w:sz w:val="20"/>
              </w:rPr>
              <w:t>ORDINARIOS</w:t>
            </w:r>
          </w:p>
        </w:tc>
        <w:tc>
          <w:tcPr>
            <w:tcW w:w="1304"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17"/>
              <w:jc w:val="center"/>
              <w:rPr>
                <w:rFonts w:ascii="Century Gothic" w:eastAsia="Century Gothic" w:hAnsi="Century Gothic" w:cs="Century Gothic"/>
                <w:sz w:val="20"/>
                <w:szCs w:val="20"/>
              </w:rPr>
            </w:pPr>
            <w:r>
              <w:rPr>
                <w:rFonts w:ascii="Century Gothic"/>
                <w:b/>
                <w:sz w:val="20"/>
              </w:rPr>
              <w:t>CLASE</w:t>
            </w:r>
          </w:p>
        </w:tc>
        <w:tc>
          <w:tcPr>
            <w:tcW w:w="1483"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8" w:lineRule="exact"/>
              <w:ind w:left="314"/>
              <w:rPr>
                <w:rFonts w:ascii="Century Gothic" w:eastAsia="Century Gothic" w:hAnsi="Century Gothic" w:cs="Century Gothic"/>
                <w:sz w:val="20"/>
                <w:szCs w:val="20"/>
              </w:rPr>
            </w:pPr>
            <w:r>
              <w:rPr>
                <w:rFonts w:ascii="Century Gothic"/>
                <w:b/>
                <w:sz w:val="20"/>
              </w:rPr>
              <w:t>IMPORTE</w:t>
            </w:r>
          </w:p>
        </w:tc>
      </w:tr>
      <w:tr w:rsidR="000A233F" w:rsidTr="00E910D0">
        <w:trPr>
          <w:trHeight w:hRule="exact" w:val="306"/>
        </w:trPr>
        <w:tc>
          <w:tcPr>
            <w:tcW w:w="555" w:type="dxa"/>
            <w:vMerge w:val="restart"/>
            <w:tcBorders>
              <w:top w:val="single" w:sz="15" w:space="0" w:color="4E81BD"/>
              <w:left w:val="nil"/>
              <w:right w:val="single" w:sz="1" w:space="0" w:color="000000"/>
            </w:tcBorders>
          </w:tcPr>
          <w:p w:rsidR="000A233F" w:rsidRDefault="000A233F" w:rsidP="00E910D0"/>
        </w:tc>
        <w:tc>
          <w:tcPr>
            <w:tcW w:w="6080"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5"/>
              <w:ind w:left="33"/>
              <w:rPr>
                <w:rFonts w:ascii="Century Gothic" w:eastAsia="Century Gothic" w:hAnsi="Century Gothic" w:cs="Century Gothic"/>
                <w:sz w:val="18"/>
                <w:szCs w:val="18"/>
              </w:rPr>
            </w:pPr>
            <w:r>
              <w:rPr>
                <w:rFonts w:ascii="Century Gothic"/>
                <w:sz w:val="18"/>
              </w:rPr>
              <w:t>4SCREENCOMUNICCION</w:t>
            </w:r>
            <w:r>
              <w:rPr>
                <w:rFonts w:ascii="Century Gothic"/>
                <w:spacing w:val="-18"/>
                <w:sz w:val="18"/>
              </w:rPr>
              <w:t xml:space="preserve"> </w:t>
            </w:r>
            <w:r>
              <w:rPr>
                <w:rFonts w:ascii="Century Gothic"/>
                <w:sz w:val="18"/>
              </w:rPr>
              <w:t>SL</w:t>
            </w:r>
          </w:p>
        </w:tc>
        <w:tc>
          <w:tcPr>
            <w:tcW w:w="1304"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5"/>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5"/>
              <w:ind w:right="249"/>
              <w:jc w:val="right"/>
              <w:rPr>
                <w:rFonts w:ascii="Century Gothic" w:eastAsia="Century Gothic" w:hAnsi="Century Gothic" w:cs="Century Gothic"/>
                <w:sz w:val="18"/>
                <w:szCs w:val="18"/>
              </w:rPr>
            </w:pPr>
            <w:r>
              <w:rPr>
                <w:rFonts w:ascii="Century Gothic"/>
                <w:spacing w:val="-1"/>
                <w:w w:val="95"/>
                <w:sz w:val="18"/>
              </w:rPr>
              <w:t>350,90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hAnsi="Century Gothic"/>
                <w:sz w:val="18"/>
                <w:lang w:val="es-ES_tradnl"/>
              </w:rPr>
              <w:t>AGENCIA ESTATAL DE ADMINISTRACIÓN</w:t>
            </w:r>
            <w:r w:rsidRPr="00200924">
              <w:rPr>
                <w:rFonts w:ascii="Century Gothic" w:hAnsi="Century Gothic"/>
                <w:spacing w:val="-13"/>
                <w:sz w:val="18"/>
                <w:lang w:val="es-ES_tradnl"/>
              </w:rPr>
              <w:t xml:space="preserve"> </w:t>
            </w:r>
            <w:r w:rsidRPr="00200924">
              <w:rPr>
                <w:rFonts w:ascii="Century Gothic" w:hAnsi="Century Gothic"/>
                <w:sz w:val="18"/>
                <w:lang w:val="es-ES_tradnl"/>
              </w:rPr>
              <w:t>TRIBUTARIA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3"/>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14.540,68</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hAnsi="Century Gothic"/>
                <w:sz w:val="18"/>
              </w:rPr>
              <w:t>ALFA LUM ESPAÑA</w:t>
            </w:r>
            <w:r>
              <w:rPr>
                <w:rFonts w:ascii="Century Gothic" w:hAnsi="Century Gothic"/>
                <w:spacing w:val="-8"/>
                <w:sz w:val="18"/>
              </w:rPr>
              <w:t xml:space="preserve"> </w:t>
            </w:r>
            <w:r>
              <w:rPr>
                <w:rFonts w:ascii="Century Gothic" w:hAns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3.483,56</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sz w:val="18"/>
                <w:lang w:val="es-ES_tradnl"/>
              </w:rPr>
              <w:t>AMIBILIA Y DE LA IGLESIA</w:t>
            </w:r>
            <w:r w:rsidRPr="00200924">
              <w:rPr>
                <w:rFonts w:ascii="Century Gothic"/>
                <w:spacing w:val="-12"/>
                <w:sz w:val="18"/>
                <w:lang w:val="es-ES_tradnl"/>
              </w:rPr>
              <w:t xml:space="preserve"> </w:t>
            </w:r>
            <w:r w:rsidRPr="00200924">
              <w:rPr>
                <w:rFonts w:ascii="Century Gothic"/>
                <w:sz w:val="18"/>
                <w:lang w:val="es-ES_tradnl"/>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497,96</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ANZUR DE MOLDURAS</w:t>
            </w:r>
            <w:r>
              <w:rPr>
                <w:rFonts w:ascii="Century Gothic"/>
                <w:spacing w:val="-5"/>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9.227,70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sz w:val="18"/>
                <w:lang w:val="es-ES_tradnl"/>
              </w:rPr>
              <w:t>ARAGONESA DE CHAPAS Y TABLEROS</w:t>
            </w:r>
            <w:r w:rsidRPr="00200924">
              <w:rPr>
                <w:rFonts w:ascii="Century Gothic"/>
                <w:spacing w:val="-8"/>
                <w:sz w:val="18"/>
                <w:lang w:val="es-ES_tradnl"/>
              </w:rPr>
              <w:t xml:space="preserve"> </w:t>
            </w:r>
            <w:r w:rsidRPr="00200924">
              <w:rPr>
                <w:rFonts w:ascii="Century Gothic"/>
                <w:sz w:val="18"/>
                <w:lang w:val="es-ES_tradnl"/>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6.888,44</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AUXITRESUR</w:t>
            </w:r>
            <w:r>
              <w:rPr>
                <w:rFonts w:ascii="Century Gothic"/>
                <w:spacing w:val="-2"/>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434,98</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AYUNTAMIENTO DE</w:t>
            </w:r>
            <w:r>
              <w:rPr>
                <w:rFonts w:ascii="Century Gothic"/>
                <w:spacing w:val="-4"/>
                <w:sz w:val="18"/>
              </w:rPr>
              <w:t xml:space="preserve"> </w:t>
            </w:r>
            <w:r>
              <w:rPr>
                <w:rFonts w:ascii="Century Gothic"/>
                <w:sz w:val="18"/>
              </w:rPr>
              <w:t>JAEN</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1.626,41</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BANCO</w:t>
            </w:r>
            <w:r>
              <w:rPr>
                <w:rFonts w:ascii="Century Gothic"/>
                <w:spacing w:val="-5"/>
                <w:sz w:val="18"/>
              </w:rPr>
              <w:t xml:space="preserve"> </w:t>
            </w:r>
            <w:r>
              <w:rPr>
                <w:rFonts w:ascii="Century Gothic"/>
                <w:sz w:val="18"/>
              </w:rPr>
              <w:t>POPULAR</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1.866,77</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BANCO SANTANDER</w:t>
            </w:r>
            <w:r>
              <w:rPr>
                <w:rFonts w:ascii="Century Gothic"/>
                <w:spacing w:val="-5"/>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5.507,79</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BARNIBAR</w:t>
            </w:r>
            <w:r>
              <w:rPr>
                <w:rFonts w:ascii="Century Gothic"/>
                <w:spacing w:val="-8"/>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683,30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BECUSA</w:t>
            </w:r>
            <w:r>
              <w:rPr>
                <w:rFonts w:ascii="Century Gothic"/>
                <w:spacing w:val="-6"/>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2.441,16</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CAJONERAS MONAGO</w:t>
            </w:r>
            <w:r>
              <w:rPr>
                <w:rFonts w:ascii="Century Gothic"/>
                <w:spacing w:val="-3"/>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457,49</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CALERO PUBLICIDAD</w:t>
            </w:r>
            <w:r>
              <w:rPr>
                <w:rFonts w:ascii="Century Gothic"/>
                <w:spacing w:val="-3"/>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223,17</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CAT MADER</w:t>
            </w:r>
            <w:r>
              <w:rPr>
                <w:rFonts w:ascii="Century Gothic"/>
                <w:spacing w:val="-3"/>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3.974,30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CERRAJERIA ARTISTICA CORTES</w:t>
            </w:r>
            <w:r>
              <w:rPr>
                <w:rFonts w:ascii="Century Gothic"/>
                <w:spacing w:val="-5"/>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553,30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CHAPAS NORTE</w:t>
            </w:r>
            <w:r>
              <w:rPr>
                <w:rFonts w:ascii="Century Gothic"/>
                <w:spacing w:val="-3"/>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685,84</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sz w:val="18"/>
                <w:lang w:val="es-ES_tradnl"/>
              </w:rPr>
              <w:t>CIA SEVILLANA DE ELECTRICIDAD,</w:t>
            </w:r>
            <w:r w:rsidRPr="00200924">
              <w:rPr>
                <w:rFonts w:ascii="Century Gothic"/>
                <w:spacing w:val="-17"/>
                <w:sz w:val="18"/>
                <w:lang w:val="es-ES_tradnl"/>
              </w:rPr>
              <w:t xml:space="preserve"> </w:t>
            </w:r>
            <w:r w:rsidRPr="00200924">
              <w:rPr>
                <w:rFonts w:ascii="Century Gothic"/>
                <w:sz w:val="18"/>
                <w:lang w:val="es-ES_tradnl"/>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6.435,12</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CIAL FAMA</w:t>
            </w:r>
            <w:r>
              <w:rPr>
                <w:rFonts w:ascii="Century Gothic"/>
                <w:spacing w:val="-3"/>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411,64</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sz w:val="18"/>
                <w:lang w:val="es-ES_tradnl"/>
              </w:rPr>
              <w:t>COMERCIAL DE LUBRICANTES FUENPAR</w:t>
            </w:r>
            <w:r w:rsidRPr="00200924">
              <w:rPr>
                <w:rFonts w:ascii="Century Gothic"/>
                <w:spacing w:val="-7"/>
                <w:sz w:val="18"/>
                <w:lang w:val="es-ES_tradnl"/>
              </w:rPr>
              <w:t xml:space="preserve"> </w:t>
            </w:r>
            <w:r w:rsidRPr="00200924">
              <w:rPr>
                <w:rFonts w:ascii="Century Gothic"/>
                <w:sz w:val="18"/>
                <w:lang w:val="es-ES_tradnl"/>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3"/>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2.660,70</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COMPONENTES LOSAN</w:t>
            </w:r>
            <w:r>
              <w:rPr>
                <w:rFonts w:ascii="Century Gothic"/>
                <w:spacing w:val="-3"/>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1.109,95</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DIFUSIONES ELSA</w:t>
            </w:r>
            <w:r>
              <w:rPr>
                <w:rFonts w:ascii="Century Gothic"/>
                <w:spacing w:val="-13"/>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Century Gothic" w:eastAsia="Century Gothic" w:hAnsi="Century Gothic" w:cs="Century Gothic"/>
                <w:sz w:val="18"/>
                <w:szCs w:val="18"/>
              </w:rPr>
            </w:pPr>
            <w:r>
              <w:rPr>
                <w:rFonts w:ascii="Century Gothic"/>
                <w:spacing w:val="-1"/>
                <w:w w:val="95"/>
                <w:sz w:val="18"/>
              </w:rPr>
              <w:t>2.894,94</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ENDESA ENERGIA</w:t>
            </w:r>
            <w:r>
              <w:rPr>
                <w:rFonts w:ascii="Century Gothic"/>
                <w:spacing w:val="-12"/>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980,63</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Pr="00200924" w:rsidRDefault="000A233F" w:rsidP="00E910D0">
            <w:pPr>
              <w:pStyle w:val="TableParagraph"/>
              <w:spacing w:before="32"/>
              <w:ind w:left="33"/>
              <w:rPr>
                <w:rFonts w:ascii="Century Gothic" w:eastAsia="Century Gothic" w:hAnsi="Century Gothic" w:cs="Century Gothic"/>
                <w:sz w:val="18"/>
                <w:szCs w:val="18"/>
                <w:lang w:val="es-ES_tradnl"/>
              </w:rPr>
            </w:pPr>
            <w:r w:rsidRPr="00200924">
              <w:rPr>
                <w:rFonts w:ascii="Century Gothic"/>
                <w:sz w:val="18"/>
                <w:lang w:val="es-ES_tradnl"/>
              </w:rPr>
              <w:t>ESTACION DE SERVICIO MIRABUENO</w:t>
            </w:r>
            <w:r w:rsidRPr="00200924">
              <w:rPr>
                <w:rFonts w:ascii="Century Gothic"/>
                <w:spacing w:val="-13"/>
                <w:sz w:val="18"/>
                <w:lang w:val="es-ES_tradnl"/>
              </w:rPr>
              <w:t xml:space="preserve"> </w:t>
            </w:r>
            <w:r w:rsidRPr="00200924">
              <w:rPr>
                <w:rFonts w:ascii="Century Gothic"/>
                <w:sz w:val="18"/>
                <w:lang w:val="es-ES_tradnl"/>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389,52</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FIBRAS DE MADEIRA</w:t>
            </w:r>
            <w:r>
              <w:rPr>
                <w:rFonts w:ascii="Century Gothic"/>
                <w:spacing w:val="-5"/>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275,81</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FINANCIERA MADERERA</w:t>
            </w:r>
            <w:r>
              <w:rPr>
                <w:rFonts w:ascii="Century Gothic"/>
                <w:spacing w:val="-3"/>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50"/>
              <w:jc w:val="right"/>
              <w:rPr>
                <w:rFonts w:ascii="Century Gothic" w:eastAsia="Century Gothic" w:hAnsi="Century Gothic" w:cs="Century Gothic"/>
                <w:sz w:val="18"/>
                <w:szCs w:val="18"/>
              </w:rPr>
            </w:pPr>
            <w:r>
              <w:rPr>
                <w:rFonts w:ascii="Century Gothic"/>
                <w:spacing w:val="-1"/>
                <w:w w:val="95"/>
                <w:sz w:val="18"/>
              </w:rPr>
              <w:t>40.754,67</w:t>
            </w:r>
          </w:p>
        </w:tc>
      </w:tr>
      <w:tr w:rsidR="000A233F" w:rsidTr="00E910D0">
        <w:trPr>
          <w:trHeight w:hRule="exact" w:val="305"/>
        </w:trPr>
        <w:tc>
          <w:tcPr>
            <w:tcW w:w="555" w:type="dxa"/>
            <w:vMerge/>
            <w:tcBorders>
              <w:left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FRESMA</w:t>
            </w:r>
            <w:r>
              <w:rPr>
                <w:rFonts w:ascii="Century Gothic"/>
                <w:spacing w:val="-2"/>
                <w:sz w:val="18"/>
              </w:rPr>
              <w:t xml:space="preserve"> </w:t>
            </w:r>
            <w:r>
              <w:rPr>
                <w:rFonts w:ascii="Century Gothic"/>
                <w:sz w:val="18"/>
              </w:rPr>
              <w:t>SA</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526,69</w:t>
            </w:r>
          </w:p>
        </w:tc>
      </w:tr>
      <w:tr w:rsidR="000A233F" w:rsidTr="00E910D0">
        <w:trPr>
          <w:trHeight w:hRule="exact" w:val="305"/>
        </w:trPr>
        <w:tc>
          <w:tcPr>
            <w:tcW w:w="555" w:type="dxa"/>
            <w:vMerge/>
            <w:tcBorders>
              <w:left w:val="nil"/>
              <w:bottom w:val="nil"/>
              <w:right w:val="single" w:sz="1" w:space="0" w:color="000000"/>
            </w:tcBorders>
          </w:tcPr>
          <w:p w:rsidR="000A233F" w:rsidRDefault="000A233F" w:rsidP="00E910D0"/>
        </w:tc>
        <w:tc>
          <w:tcPr>
            <w:tcW w:w="608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Century Gothic" w:eastAsia="Century Gothic" w:hAnsi="Century Gothic" w:cs="Century Gothic"/>
                <w:sz w:val="18"/>
                <w:szCs w:val="18"/>
              </w:rPr>
            </w:pPr>
            <w:r>
              <w:rPr>
                <w:rFonts w:ascii="Century Gothic"/>
                <w:sz w:val="18"/>
              </w:rPr>
              <w:t>GDK DANKAMI</w:t>
            </w:r>
            <w:r>
              <w:rPr>
                <w:rFonts w:ascii="Century Gothic"/>
                <w:spacing w:val="-10"/>
                <w:sz w:val="18"/>
              </w:rPr>
              <w:t xml:space="preserve"> </w:t>
            </w:r>
            <w:r>
              <w:rPr>
                <w:rFonts w:ascii="Century Gothic"/>
                <w:sz w:val="18"/>
              </w:rPr>
              <w:t>SL</w:t>
            </w:r>
          </w:p>
        </w:tc>
        <w:tc>
          <w:tcPr>
            <w:tcW w:w="1304"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Century Gothic" w:eastAsia="Century Gothic" w:hAnsi="Century Gothic" w:cs="Century Gothic"/>
                <w:sz w:val="18"/>
                <w:szCs w:val="18"/>
              </w:rPr>
            </w:pPr>
            <w:r>
              <w:rPr>
                <w:rFonts w:ascii="Century Gothic"/>
                <w:sz w:val="18"/>
              </w:rPr>
              <w:t>89.3</w:t>
            </w:r>
          </w:p>
        </w:tc>
        <w:tc>
          <w:tcPr>
            <w:tcW w:w="1483"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Century Gothic" w:eastAsia="Century Gothic" w:hAnsi="Century Gothic" w:cs="Century Gothic"/>
                <w:sz w:val="18"/>
                <w:szCs w:val="18"/>
              </w:rPr>
            </w:pPr>
            <w:r>
              <w:rPr>
                <w:rFonts w:ascii="Century Gothic"/>
                <w:spacing w:val="-1"/>
                <w:w w:val="95"/>
                <w:sz w:val="18"/>
              </w:rPr>
              <w:t>289,77</w:t>
            </w:r>
          </w:p>
        </w:tc>
      </w:tr>
    </w:tbl>
    <w:tbl>
      <w:tblPr>
        <w:tblStyle w:val="TableNormal"/>
        <w:tblpPr w:leftFromText="141" w:rightFromText="141" w:vertAnchor="text" w:horzAnchor="page" w:tblpX="1838" w:tblpY="328"/>
        <w:tblW w:w="8808" w:type="dxa"/>
        <w:tblLayout w:type="fixed"/>
        <w:tblLook w:val="01E0"/>
      </w:tblPr>
      <w:tblGrid>
        <w:gridCol w:w="6010"/>
        <w:gridCol w:w="1289"/>
        <w:gridCol w:w="1509"/>
      </w:tblGrid>
      <w:tr w:rsidR="000A233F" w:rsidTr="00E910D0">
        <w:trPr>
          <w:trHeight w:hRule="exact" w:val="305"/>
        </w:trPr>
        <w:tc>
          <w:tcPr>
            <w:tcW w:w="6010"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980"/>
              <w:rPr>
                <w:rFonts w:ascii="Verdana" w:eastAsia="Verdana" w:hAnsi="Verdana" w:cs="Verdana"/>
                <w:sz w:val="20"/>
                <w:szCs w:val="20"/>
              </w:rPr>
            </w:pPr>
            <w:r>
              <w:rPr>
                <w:rFonts w:ascii="Verdana" w:hAnsi="Verdana"/>
                <w:b/>
                <w:w w:val="85"/>
                <w:sz w:val="20"/>
              </w:rPr>
              <w:t>ACREEDORES</w:t>
            </w:r>
            <w:r>
              <w:rPr>
                <w:rFonts w:ascii="Verdana" w:hAnsi="Verdana"/>
                <w:b/>
                <w:spacing w:val="-34"/>
                <w:w w:val="85"/>
                <w:sz w:val="20"/>
              </w:rPr>
              <w:t xml:space="preserve"> </w:t>
            </w:r>
            <w:r>
              <w:rPr>
                <w:rFonts w:ascii="Verdana" w:hAnsi="Verdana"/>
                <w:b/>
                <w:w w:val="85"/>
                <w:sz w:val="20"/>
              </w:rPr>
              <w:t>CON</w:t>
            </w:r>
            <w:r>
              <w:rPr>
                <w:rFonts w:ascii="Verdana" w:hAnsi="Verdana"/>
                <w:b/>
                <w:spacing w:val="-33"/>
                <w:w w:val="85"/>
                <w:sz w:val="20"/>
              </w:rPr>
              <w:t xml:space="preserve"> </w:t>
            </w:r>
            <w:r>
              <w:rPr>
                <w:rFonts w:ascii="Verdana" w:hAnsi="Verdana"/>
                <w:b/>
                <w:w w:val="85"/>
                <w:sz w:val="20"/>
              </w:rPr>
              <w:t>CRÉDITOS</w:t>
            </w:r>
            <w:r>
              <w:rPr>
                <w:rFonts w:ascii="Verdana" w:hAnsi="Verdana"/>
                <w:b/>
                <w:spacing w:val="-33"/>
                <w:w w:val="85"/>
                <w:sz w:val="20"/>
              </w:rPr>
              <w:t xml:space="preserve"> </w:t>
            </w:r>
            <w:r>
              <w:rPr>
                <w:rFonts w:ascii="Verdana" w:hAnsi="Verdana"/>
                <w:b/>
                <w:w w:val="85"/>
                <w:sz w:val="20"/>
              </w:rPr>
              <w:t>ORDINARIOS</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24"/>
              <w:jc w:val="center"/>
              <w:rPr>
                <w:rFonts w:ascii="Verdana" w:eastAsia="Verdana" w:hAnsi="Verdana" w:cs="Verdana"/>
                <w:sz w:val="20"/>
                <w:szCs w:val="20"/>
              </w:rPr>
            </w:pPr>
            <w:r>
              <w:rPr>
                <w:rFonts w:ascii="Verdana"/>
                <w:b/>
                <w:w w:val="95"/>
                <w:sz w:val="20"/>
              </w:rPr>
              <w:t>CLASE</w:t>
            </w:r>
          </w:p>
        </w:tc>
        <w:tc>
          <w:tcPr>
            <w:tcW w:w="150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right="291"/>
              <w:jc w:val="right"/>
              <w:rPr>
                <w:rFonts w:ascii="Verdana" w:eastAsia="Verdana" w:hAnsi="Verdana" w:cs="Verdana"/>
                <w:sz w:val="20"/>
                <w:szCs w:val="20"/>
              </w:rPr>
            </w:pPr>
            <w:r>
              <w:rPr>
                <w:rFonts w:ascii="Verdana"/>
                <w:b/>
                <w:w w:val="75"/>
                <w:sz w:val="20"/>
              </w:rPr>
              <w:t>IMPORTE</w:t>
            </w:r>
          </w:p>
        </w:tc>
      </w:tr>
      <w:tr w:rsidR="000A233F" w:rsidTr="00E910D0">
        <w:trPr>
          <w:trHeight w:hRule="exact" w:val="306"/>
        </w:trPr>
        <w:tc>
          <w:tcPr>
            <w:tcW w:w="6010"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left="33"/>
              <w:rPr>
                <w:rFonts w:ascii="Verdana" w:eastAsia="Verdana" w:hAnsi="Verdana" w:cs="Verdana"/>
                <w:sz w:val="18"/>
                <w:szCs w:val="18"/>
              </w:rPr>
            </w:pPr>
            <w:r>
              <w:rPr>
                <w:rFonts w:ascii="Verdana"/>
                <w:sz w:val="18"/>
              </w:rPr>
              <w:t>GRUPO</w:t>
            </w:r>
            <w:r>
              <w:rPr>
                <w:rFonts w:ascii="Verdana"/>
                <w:spacing w:val="-31"/>
                <w:sz w:val="18"/>
              </w:rPr>
              <w:t xml:space="preserve"> </w:t>
            </w:r>
            <w:r>
              <w:rPr>
                <w:rFonts w:ascii="Verdana"/>
                <w:sz w:val="18"/>
              </w:rPr>
              <w:t>MI</w:t>
            </w:r>
            <w:r>
              <w:rPr>
                <w:rFonts w:ascii="Verdana"/>
                <w:spacing w:val="-32"/>
                <w:sz w:val="18"/>
              </w:rPr>
              <w:t xml:space="preserve"> </w:t>
            </w:r>
            <w:r>
              <w:rPr>
                <w:rFonts w:ascii="Verdana"/>
                <w:sz w:val="18"/>
              </w:rPr>
              <w:t>MEGA</w:t>
            </w:r>
            <w:r>
              <w:rPr>
                <w:rFonts w:ascii="Verdana"/>
                <w:spacing w:val="-32"/>
                <w:sz w:val="18"/>
              </w:rPr>
              <w:t xml:space="preserve"> </w:t>
            </w:r>
            <w:r>
              <w:rPr>
                <w:rFonts w:ascii="Verdana"/>
                <w:sz w:val="18"/>
              </w:rPr>
              <w:t>SL</w:t>
            </w:r>
          </w:p>
        </w:tc>
        <w:tc>
          <w:tcPr>
            <w:tcW w:w="128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left="12"/>
              <w:jc w:val="center"/>
              <w:rPr>
                <w:rFonts w:ascii="Verdana" w:eastAsia="Verdana" w:hAnsi="Verdana" w:cs="Verdana"/>
                <w:sz w:val="18"/>
                <w:szCs w:val="18"/>
              </w:rPr>
            </w:pPr>
            <w:r>
              <w:rPr>
                <w:rFonts w:ascii="Verdana"/>
                <w:w w:val="95"/>
                <w:sz w:val="18"/>
              </w:rPr>
              <w:t>89.3</w:t>
            </w:r>
          </w:p>
        </w:tc>
        <w:tc>
          <w:tcPr>
            <w:tcW w:w="150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right="247"/>
              <w:jc w:val="right"/>
              <w:rPr>
                <w:rFonts w:ascii="Verdana" w:eastAsia="Verdana" w:hAnsi="Verdana" w:cs="Verdana"/>
                <w:sz w:val="18"/>
                <w:szCs w:val="18"/>
              </w:rPr>
            </w:pPr>
            <w:r>
              <w:rPr>
                <w:rFonts w:ascii="Verdana"/>
                <w:spacing w:val="-2"/>
                <w:w w:val="85"/>
                <w:sz w:val="18"/>
              </w:rPr>
              <w:t>17,12</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HERRAJES OCARIZ</w:t>
            </w:r>
            <w:r>
              <w:rPr>
                <w:rFonts w:ascii="Verdana"/>
                <w:spacing w:val="1"/>
                <w:w w:val="90"/>
                <w:sz w:val="18"/>
              </w:rPr>
              <w:t xml:space="preserve"> </w:t>
            </w:r>
            <w:r>
              <w:rPr>
                <w:rFonts w:ascii="Verdana"/>
                <w:w w:val="90"/>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144,56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HERRAYMA</w:t>
            </w:r>
            <w:r>
              <w:rPr>
                <w:rFonts w:ascii="Verdana"/>
                <w:spacing w:val="-38"/>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672,76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85"/>
                <w:sz w:val="18"/>
              </w:rPr>
              <w:t>INDUSTRIAS AUXILIARES FAUS</w:t>
            </w:r>
            <w:r>
              <w:rPr>
                <w:rFonts w:ascii="Verdana"/>
                <w:spacing w:val="-33"/>
                <w:w w:val="85"/>
                <w:sz w:val="18"/>
              </w:rPr>
              <w:t xml:space="preserve"> </w:t>
            </w:r>
            <w:r>
              <w:rPr>
                <w:rFonts w:ascii="Verdana"/>
                <w:w w:val="85"/>
                <w:sz w:val="18"/>
              </w:rPr>
              <w:t>SLU</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7.141,75</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INDUSTRIAS</w:t>
            </w:r>
            <w:r>
              <w:rPr>
                <w:rFonts w:ascii="Verdana"/>
                <w:spacing w:val="-25"/>
                <w:w w:val="90"/>
                <w:sz w:val="18"/>
              </w:rPr>
              <w:t xml:space="preserve"> </w:t>
            </w:r>
            <w:r>
              <w:rPr>
                <w:rFonts w:ascii="Verdana"/>
                <w:w w:val="90"/>
                <w:sz w:val="18"/>
              </w:rPr>
              <w:t>PLASTICAS</w:t>
            </w:r>
            <w:r>
              <w:rPr>
                <w:rFonts w:ascii="Verdana"/>
                <w:spacing w:val="-26"/>
                <w:w w:val="90"/>
                <w:sz w:val="18"/>
              </w:rPr>
              <w:t xml:space="preserve"> </w:t>
            </w:r>
            <w:r>
              <w:rPr>
                <w:rFonts w:ascii="Verdana"/>
                <w:w w:val="90"/>
                <w:sz w:val="18"/>
              </w:rPr>
              <w:t>DEMOL</w:t>
            </w:r>
            <w:r>
              <w:rPr>
                <w:rFonts w:ascii="Verdana"/>
                <w:spacing w:val="-25"/>
                <w:w w:val="90"/>
                <w:sz w:val="18"/>
              </w:rPr>
              <w:t xml:space="preserve"> </w:t>
            </w:r>
            <w:r>
              <w:rPr>
                <w:rFonts w:ascii="Verdana"/>
                <w:w w:val="90"/>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4.322,98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INTERBO</w:t>
            </w:r>
            <w:r>
              <w:rPr>
                <w:rFonts w:ascii="Verdana"/>
                <w:spacing w:val="-39"/>
                <w:w w:val="90"/>
                <w:sz w:val="18"/>
              </w:rPr>
              <w:t xml:space="preserve"> </w:t>
            </w:r>
            <w:r>
              <w:rPr>
                <w:rFonts w:ascii="Verdana"/>
                <w:w w:val="90"/>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5.106,30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ITALI</w:t>
            </w:r>
            <w:r>
              <w:rPr>
                <w:rFonts w:ascii="Verdana"/>
                <w:spacing w:val="-25"/>
                <w:w w:val="90"/>
                <w:sz w:val="18"/>
              </w:rPr>
              <w:t xml:space="preserve"> </w:t>
            </w:r>
            <w:r>
              <w:rPr>
                <w:rFonts w:ascii="Verdana"/>
                <w:w w:val="90"/>
                <w:sz w:val="18"/>
              </w:rPr>
              <w:t>DOOR</w:t>
            </w:r>
            <w:r>
              <w:rPr>
                <w:rFonts w:ascii="Verdana"/>
                <w:spacing w:val="-26"/>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883,48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JANDEL</w:t>
            </w:r>
            <w:r>
              <w:rPr>
                <w:rFonts w:ascii="Verdana"/>
                <w:spacing w:val="-42"/>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257,86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LETROM</w:t>
            </w:r>
            <w:r>
              <w:rPr>
                <w:rFonts w:ascii="Verdana"/>
                <w:spacing w:val="-8"/>
                <w:w w:val="95"/>
                <w:sz w:val="18"/>
              </w:rPr>
              <w:t xml:space="preserve"> </w:t>
            </w:r>
            <w:r>
              <w:rPr>
                <w:rFonts w:ascii="Verdana"/>
                <w:w w:val="95"/>
                <w:sz w:val="18"/>
              </w:rPr>
              <w:t>GMBH</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2.034,10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MADERCANT</w:t>
            </w:r>
            <w:r>
              <w:rPr>
                <w:rFonts w:ascii="Verdana"/>
                <w:spacing w:val="-13"/>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140,92</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MANUEL</w:t>
            </w:r>
            <w:r>
              <w:rPr>
                <w:rFonts w:ascii="Verdana"/>
                <w:spacing w:val="-34"/>
                <w:w w:val="95"/>
                <w:sz w:val="18"/>
              </w:rPr>
              <w:t xml:space="preserve"> </w:t>
            </w:r>
            <w:r>
              <w:rPr>
                <w:rFonts w:ascii="Verdana"/>
                <w:w w:val="95"/>
                <w:sz w:val="18"/>
              </w:rPr>
              <w:t>GARCIA</w:t>
            </w:r>
            <w:r>
              <w:rPr>
                <w:rFonts w:ascii="Verdana"/>
                <w:spacing w:val="-33"/>
                <w:w w:val="95"/>
                <w:sz w:val="18"/>
              </w:rPr>
              <w:t xml:space="preserve"> </w:t>
            </w:r>
            <w:r>
              <w:rPr>
                <w:rFonts w:ascii="Verdana"/>
                <w:w w:val="95"/>
                <w:sz w:val="18"/>
              </w:rPr>
              <w:t>ASESORES</w:t>
            </w:r>
            <w:r>
              <w:rPr>
                <w:rFonts w:ascii="Verdana"/>
                <w:spacing w:val="-34"/>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239,58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MANUFACTURAS NICOLAS</w:t>
            </w:r>
            <w:r>
              <w:rPr>
                <w:rFonts w:ascii="Verdana"/>
                <w:spacing w:val="-23"/>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896,12</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sz w:val="18"/>
              </w:rPr>
              <w:t>MATIAS</w:t>
            </w:r>
            <w:r>
              <w:rPr>
                <w:rFonts w:ascii="Verdana"/>
                <w:spacing w:val="-38"/>
                <w:sz w:val="18"/>
              </w:rPr>
              <w:t xml:space="preserve"> </w:t>
            </w:r>
            <w:r>
              <w:rPr>
                <w:rFonts w:ascii="Verdana"/>
                <w:sz w:val="18"/>
              </w:rPr>
              <w:t>COBO</w:t>
            </w:r>
            <w:r>
              <w:rPr>
                <w:rFonts w:ascii="Verdana"/>
                <w:spacing w:val="-38"/>
                <w:sz w:val="18"/>
              </w:rPr>
              <w:t xml:space="preserve"> </w:t>
            </w:r>
            <w:r>
              <w:rPr>
                <w:rFonts w:ascii="Verdana"/>
                <w:sz w:val="18"/>
              </w:rPr>
              <w:t>ROMERO</w:t>
            </w:r>
            <w:r>
              <w:rPr>
                <w:rFonts w:ascii="Verdana"/>
                <w:spacing w:val="-38"/>
                <w:sz w:val="18"/>
              </w:rPr>
              <w:t xml:space="preserve"> </w:t>
            </w:r>
            <w:r>
              <w:rPr>
                <w:rFonts w:ascii="Verdana"/>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259,60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MATRIU</w:t>
            </w:r>
            <w:r>
              <w:rPr>
                <w:rFonts w:ascii="Verdana"/>
                <w:spacing w:val="-40"/>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2.562,91</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sz w:val="18"/>
              </w:rPr>
              <w:t>MECALDE</w:t>
            </w:r>
            <w:r>
              <w:rPr>
                <w:rFonts w:ascii="Verdana"/>
                <w:spacing w:val="-40"/>
                <w:sz w:val="18"/>
              </w:rPr>
              <w:t xml:space="preserve"> </w:t>
            </w:r>
            <w:r>
              <w:rPr>
                <w:rFonts w:ascii="Verdana"/>
                <w:sz w:val="18"/>
              </w:rPr>
              <w:t>2</w:t>
            </w:r>
            <w:r>
              <w:rPr>
                <w:rFonts w:ascii="Verdana"/>
                <w:spacing w:val="-40"/>
                <w:sz w:val="18"/>
              </w:rPr>
              <w:t xml:space="preserve"> </w:t>
            </w:r>
            <w:r>
              <w:rPr>
                <w:rFonts w:ascii="Verdana"/>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9.189,06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METALES</w:t>
            </w:r>
            <w:r>
              <w:rPr>
                <w:rFonts w:ascii="Verdana"/>
                <w:spacing w:val="-36"/>
                <w:w w:val="90"/>
                <w:sz w:val="18"/>
              </w:rPr>
              <w:t xml:space="preserve"> </w:t>
            </w:r>
            <w:r>
              <w:rPr>
                <w:rFonts w:ascii="Verdana"/>
                <w:w w:val="90"/>
                <w:sz w:val="18"/>
              </w:rPr>
              <w:t>LA</w:t>
            </w:r>
            <w:r>
              <w:rPr>
                <w:rFonts w:ascii="Verdana"/>
                <w:spacing w:val="-36"/>
                <w:w w:val="90"/>
                <w:sz w:val="18"/>
              </w:rPr>
              <w:t xml:space="preserve"> </w:t>
            </w:r>
            <w:r>
              <w:rPr>
                <w:rFonts w:ascii="Verdana"/>
                <w:w w:val="90"/>
                <w:sz w:val="18"/>
              </w:rPr>
              <w:t>ESTRELLA</w:t>
            </w:r>
            <w:r>
              <w:rPr>
                <w:rFonts w:ascii="Verdana"/>
                <w:spacing w:val="-36"/>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132,72</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MEYF RAMIRES</w:t>
            </w:r>
            <w:r>
              <w:rPr>
                <w:rFonts w:ascii="Verdana"/>
                <w:spacing w:val="-31"/>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2.207,16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MICROJISA</w:t>
            </w:r>
            <w:r>
              <w:rPr>
                <w:rFonts w:ascii="Verdana"/>
                <w:spacing w:val="10"/>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351,97</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PINA</w:t>
            </w:r>
            <w:r>
              <w:rPr>
                <w:rFonts w:ascii="Verdana"/>
                <w:spacing w:val="-29"/>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11.065,95</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PUERTAS PROMA</w:t>
            </w:r>
            <w:r>
              <w:rPr>
                <w:rFonts w:ascii="Verdana"/>
                <w:spacing w:val="4"/>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13.201,18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PUERTAS</w:t>
            </w:r>
            <w:r>
              <w:rPr>
                <w:rFonts w:ascii="Verdana"/>
                <w:spacing w:val="-43"/>
                <w:w w:val="95"/>
                <w:sz w:val="18"/>
              </w:rPr>
              <w:t xml:space="preserve"> </w:t>
            </w:r>
            <w:r>
              <w:rPr>
                <w:rFonts w:ascii="Verdana"/>
                <w:w w:val="95"/>
                <w:sz w:val="18"/>
              </w:rPr>
              <w:t>ARTESANAS</w:t>
            </w:r>
            <w:r>
              <w:rPr>
                <w:rFonts w:ascii="Verdana"/>
                <w:spacing w:val="-43"/>
                <w:w w:val="95"/>
                <w:sz w:val="18"/>
              </w:rPr>
              <w:t xml:space="preserve"> </w:t>
            </w:r>
            <w:r>
              <w:rPr>
                <w:rFonts w:ascii="Verdana"/>
                <w:w w:val="95"/>
                <w:sz w:val="18"/>
              </w:rPr>
              <w:t>POZOBLANCO</w:t>
            </w:r>
            <w:r>
              <w:rPr>
                <w:rFonts w:ascii="Verdana"/>
                <w:spacing w:val="-43"/>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2.162,04</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PUERTAS DAYFOR</w:t>
            </w:r>
            <w:r>
              <w:rPr>
                <w:rFonts w:ascii="Verdana"/>
                <w:spacing w:val="-14"/>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1.104,28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PUERTAS</w:t>
            </w:r>
            <w:r>
              <w:rPr>
                <w:rFonts w:ascii="Verdana"/>
                <w:spacing w:val="-28"/>
                <w:w w:val="95"/>
                <w:sz w:val="18"/>
              </w:rPr>
              <w:t xml:space="preserve"> </w:t>
            </w:r>
            <w:r>
              <w:rPr>
                <w:rFonts w:ascii="Verdana"/>
                <w:w w:val="95"/>
                <w:sz w:val="18"/>
              </w:rPr>
              <w:t>DORAL</w:t>
            </w:r>
            <w:r>
              <w:rPr>
                <w:rFonts w:ascii="Verdana"/>
                <w:spacing w:val="-27"/>
                <w:w w:val="95"/>
                <w:sz w:val="18"/>
              </w:rPr>
              <w:t xml:space="preserve"> </w:t>
            </w:r>
            <w:r>
              <w:rPr>
                <w:rFonts w:ascii="Verdana"/>
                <w:w w:val="95"/>
                <w:sz w:val="18"/>
              </w:rPr>
              <w:t>MORENO</w:t>
            </w:r>
            <w:r>
              <w:rPr>
                <w:rFonts w:ascii="Verdana"/>
                <w:spacing w:val="-28"/>
                <w:w w:val="95"/>
                <w:sz w:val="18"/>
              </w:rPr>
              <w:t xml:space="preserve"> </w:t>
            </w:r>
            <w:r>
              <w:rPr>
                <w:rFonts w:ascii="Verdana"/>
                <w:w w:val="95"/>
                <w:sz w:val="18"/>
              </w:rPr>
              <w:t>SLU</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3.592,31</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PUERTAS</w:t>
            </w:r>
            <w:r>
              <w:rPr>
                <w:rFonts w:ascii="Verdana"/>
                <w:spacing w:val="-43"/>
                <w:w w:val="95"/>
                <w:sz w:val="18"/>
              </w:rPr>
              <w:t xml:space="preserve"> </w:t>
            </w:r>
            <w:r>
              <w:rPr>
                <w:rFonts w:ascii="Verdana"/>
                <w:w w:val="95"/>
                <w:sz w:val="18"/>
              </w:rPr>
              <w:t>SAN</w:t>
            </w:r>
            <w:r>
              <w:rPr>
                <w:rFonts w:ascii="Verdana"/>
                <w:spacing w:val="-43"/>
                <w:w w:val="95"/>
                <w:sz w:val="18"/>
              </w:rPr>
              <w:t xml:space="preserve"> </w:t>
            </w:r>
            <w:r>
              <w:rPr>
                <w:rFonts w:ascii="Verdana"/>
                <w:w w:val="95"/>
                <w:sz w:val="18"/>
              </w:rPr>
              <w:t>RAFAEL</w:t>
            </w:r>
            <w:r>
              <w:rPr>
                <w:rFonts w:ascii="Verdana"/>
                <w:spacing w:val="-43"/>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1.272,27</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RECHAPADOS</w:t>
            </w:r>
            <w:r>
              <w:rPr>
                <w:rFonts w:ascii="Verdana"/>
                <w:spacing w:val="-26"/>
                <w:w w:val="95"/>
                <w:sz w:val="18"/>
              </w:rPr>
              <w:t xml:space="preserve"> </w:t>
            </w:r>
            <w:r>
              <w:rPr>
                <w:rFonts w:ascii="Verdana"/>
                <w:w w:val="95"/>
                <w:sz w:val="18"/>
              </w:rPr>
              <w:t>HERMANOS</w:t>
            </w:r>
            <w:r>
              <w:rPr>
                <w:rFonts w:ascii="Verdana"/>
                <w:spacing w:val="-26"/>
                <w:w w:val="95"/>
                <w:sz w:val="18"/>
              </w:rPr>
              <w:t xml:space="preserve"> </w:t>
            </w:r>
            <w:r>
              <w:rPr>
                <w:rFonts w:ascii="Verdana"/>
                <w:w w:val="95"/>
                <w:sz w:val="18"/>
              </w:rPr>
              <w:t>MARTINEZ</w:t>
            </w:r>
            <w:r>
              <w:rPr>
                <w:rFonts w:ascii="Verdana"/>
                <w:spacing w:val="-26"/>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11.317,74</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85"/>
                <w:sz w:val="18"/>
              </w:rPr>
              <w:t>RIDERMU</w:t>
            </w:r>
            <w:r>
              <w:rPr>
                <w:rFonts w:ascii="Verdana"/>
                <w:spacing w:val="4"/>
                <w:w w:val="85"/>
                <w:sz w:val="18"/>
              </w:rPr>
              <w:t xml:space="preserve"> </w:t>
            </w:r>
            <w:r>
              <w:rPr>
                <w:rFonts w:ascii="Verdana"/>
                <w:w w:val="85"/>
                <w:sz w:val="18"/>
              </w:rPr>
              <w:t>S.L.L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232,25</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RUBIO</w:t>
            </w:r>
            <w:r>
              <w:rPr>
                <w:rFonts w:ascii="Verdana"/>
                <w:spacing w:val="-39"/>
                <w:w w:val="95"/>
                <w:sz w:val="18"/>
              </w:rPr>
              <w:t xml:space="preserve"> </w:t>
            </w:r>
            <w:r>
              <w:rPr>
                <w:rFonts w:ascii="Verdana"/>
                <w:w w:val="95"/>
                <w:sz w:val="18"/>
              </w:rPr>
              <w:t>Y</w:t>
            </w:r>
            <w:r>
              <w:rPr>
                <w:rFonts w:ascii="Verdana"/>
                <w:spacing w:val="-39"/>
                <w:w w:val="95"/>
                <w:sz w:val="18"/>
              </w:rPr>
              <w:t xml:space="preserve"> </w:t>
            </w:r>
            <w:r>
              <w:rPr>
                <w:rFonts w:ascii="Verdana"/>
                <w:w w:val="95"/>
                <w:sz w:val="18"/>
              </w:rPr>
              <w:t>RESA</w:t>
            </w:r>
            <w:r>
              <w:rPr>
                <w:rFonts w:ascii="Verdana"/>
                <w:spacing w:val="-39"/>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3.116,26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80"/>
                <w:sz w:val="18"/>
              </w:rPr>
              <w:t>STEEL- BRASS</w:t>
            </w:r>
            <w:r>
              <w:rPr>
                <w:rFonts w:ascii="Verdana"/>
                <w:spacing w:val="5"/>
                <w:w w:val="80"/>
                <w:sz w:val="18"/>
              </w:rPr>
              <w:t xml:space="preserve"> </w:t>
            </w:r>
            <w:r>
              <w:rPr>
                <w:rFonts w:ascii="Verdana"/>
                <w:w w:val="8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23,53</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TABLEROS LOSA</w:t>
            </w:r>
            <w:r>
              <w:rPr>
                <w:rFonts w:ascii="Verdana"/>
                <w:spacing w:val="-9"/>
                <w:w w:val="90"/>
                <w:sz w:val="18"/>
              </w:rPr>
              <w:t xml:space="preserve"> </w:t>
            </w:r>
            <w:r>
              <w:rPr>
                <w:rFonts w:ascii="Verdana"/>
                <w:w w:val="90"/>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41.592,27</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TABLEROS RACLIMA</w:t>
            </w:r>
            <w:r>
              <w:rPr>
                <w:rFonts w:ascii="Verdana"/>
                <w:spacing w:val="7"/>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57,43</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TABLEROS TRADEMA</w:t>
            </w:r>
            <w:r>
              <w:rPr>
                <w:rFonts w:ascii="Verdana"/>
                <w:spacing w:val="-12"/>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25.471,07</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TABLEROS</w:t>
            </w:r>
            <w:r>
              <w:rPr>
                <w:rFonts w:ascii="Verdana"/>
                <w:spacing w:val="-35"/>
                <w:w w:val="95"/>
                <w:sz w:val="18"/>
              </w:rPr>
              <w:t xml:space="preserve"> </w:t>
            </w:r>
            <w:r>
              <w:rPr>
                <w:rFonts w:ascii="Verdana"/>
                <w:w w:val="95"/>
                <w:sz w:val="18"/>
              </w:rPr>
              <w:t>Y</w:t>
            </w:r>
            <w:r>
              <w:rPr>
                <w:rFonts w:ascii="Verdana"/>
                <w:spacing w:val="-35"/>
                <w:w w:val="95"/>
                <w:sz w:val="18"/>
              </w:rPr>
              <w:t xml:space="preserve"> </w:t>
            </w:r>
            <w:r>
              <w:rPr>
                <w:rFonts w:ascii="Verdana"/>
                <w:w w:val="95"/>
                <w:sz w:val="18"/>
              </w:rPr>
              <w:t>RECHAPADOS</w:t>
            </w:r>
            <w:r>
              <w:rPr>
                <w:rFonts w:ascii="Verdana"/>
                <w:spacing w:val="-35"/>
                <w:w w:val="95"/>
                <w:sz w:val="18"/>
              </w:rPr>
              <w:t xml:space="preserve"> </w:t>
            </w:r>
            <w:r>
              <w:rPr>
                <w:rFonts w:ascii="Verdana"/>
                <w:w w:val="95"/>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8.292,01</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TALLERES</w:t>
            </w:r>
            <w:r>
              <w:rPr>
                <w:rFonts w:ascii="Verdana"/>
                <w:spacing w:val="-19"/>
                <w:w w:val="90"/>
                <w:sz w:val="18"/>
              </w:rPr>
              <w:t xml:space="preserve"> </w:t>
            </w:r>
            <w:r>
              <w:rPr>
                <w:rFonts w:ascii="Verdana"/>
                <w:w w:val="90"/>
                <w:sz w:val="18"/>
              </w:rPr>
              <w:t>DE</w:t>
            </w:r>
            <w:r>
              <w:rPr>
                <w:rFonts w:ascii="Verdana"/>
                <w:spacing w:val="-19"/>
                <w:w w:val="90"/>
                <w:sz w:val="18"/>
              </w:rPr>
              <w:t xml:space="preserve"> </w:t>
            </w:r>
            <w:r>
              <w:rPr>
                <w:rFonts w:ascii="Verdana"/>
                <w:w w:val="90"/>
                <w:sz w:val="18"/>
              </w:rPr>
              <w:t>ESCORIAZA</w:t>
            </w:r>
            <w:r>
              <w:rPr>
                <w:rFonts w:ascii="Verdana"/>
                <w:spacing w:val="-18"/>
                <w:w w:val="90"/>
                <w:sz w:val="18"/>
              </w:rPr>
              <w:t xml:space="preserve"> </w:t>
            </w:r>
            <w:r>
              <w:rPr>
                <w:rFonts w:ascii="Verdana"/>
                <w:w w:val="90"/>
                <w:sz w:val="18"/>
              </w:rPr>
              <w:t>SAU</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2.157,30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TECNICA</w:t>
            </w:r>
            <w:r>
              <w:rPr>
                <w:rFonts w:ascii="Verdana"/>
                <w:spacing w:val="-17"/>
                <w:w w:val="95"/>
                <w:sz w:val="18"/>
              </w:rPr>
              <w:t xml:space="preserve"> </w:t>
            </w:r>
            <w:r>
              <w:rPr>
                <w:rFonts w:ascii="Verdana"/>
                <w:w w:val="95"/>
                <w:sz w:val="18"/>
              </w:rPr>
              <w:t>Y</w:t>
            </w:r>
            <w:r>
              <w:rPr>
                <w:rFonts w:ascii="Verdana"/>
                <w:spacing w:val="-17"/>
                <w:w w:val="95"/>
                <w:sz w:val="18"/>
              </w:rPr>
              <w:t xml:space="preserve"> </w:t>
            </w:r>
            <w:r>
              <w:rPr>
                <w:rFonts w:ascii="Verdana"/>
                <w:w w:val="95"/>
                <w:sz w:val="18"/>
              </w:rPr>
              <w:t>APLICACIONES</w:t>
            </w:r>
            <w:r>
              <w:rPr>
                <w:rFonts w:ascii="Verdana"/>
                <w:spacing w:val="-18"/>
                <w:w w:val="95"/>
                <w:sz w:val="18"/>
              </w:rPr>
              <w:t xml:space="preserve"> </w:t>
            </w:r>
            <w:r>
              <w:rPr>
                <w:rFonts w:ascii="Verdana"/>
                <w:w w:val="95"/>
                <w:sz w:val="18"/>
              </w:rPr>
              <w:t>PRODUCTIVAS</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21"/>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3"/>
              <w:jc w:val="right"/>
              <w:rPr>
                <w:rFonts w:ascii="Verdana" w:eastAsia="Verdana" w:hAnsi="Verdana" w:cs="Verdana"/>
                <w:sz w:val="18"/>
                <w:szCs w:val="18"/>
              </w:rPr>
            </w:pPr>
            <w:r>
              <w:rPr>
                <w:rFonts w:ascii="Verdana"/>
                <w:spacing w:val="-2"/>
                <w:w w:val="85"/>
                <w:sz w:val="18"/>
              </w:rPr>
              <w:t>1.241,35</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TECOFIT GROUP</w:t>
            </w:r>
            <w:r>
              <w:rPr>
                <w:rFonts w:ascii="Verdana"/>
                <w:spacing w:val="-6"/>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2.693,46</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TELEFONICA</w:t>
            </w:r>
            <w:r>
              <w:rPr>
                <w:rFonts w:ascii="Verdana"/>
                <w:spacing w:val="24"/>
                <w:w w:val="90"/>
                <w:sz w:val="18"/>
              </w:rPr>
              <w:t xml:space="preserve"> </w:t>
            </w:r>
            <w:r>
              <w:rPr>
                <w:rFonts w:ascii="Verdana"/>
                <w:w w:val="90"/>
                <w:sz w:val="18"/>
              </w:rPr>
              <w:t>MOVILES</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1.768,90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Pr="00CD4863" w:rsidRDefault="000A233F" w:rsidP="00E910D0">
            <w:pPr>
              <w:pStyle w:val="TableParagraph"/>
              <w:spacing w:before="32"/>
              <w:ind w:left="33"/>
              <w:rPr>
                <w:rFonts w:ascii="Verdana" w:eastAsia="Verdana" w:hAnsi="Verdana" w:cs="Verdana"/>
                <w:sz w:val="18"/>
                <w:szCs w:val="18"/>
                <w:lang w:val="es-ES_tradnl"/>
              </w:rPr>
            </w:pPr>
            <w:r w:rsidRPr="00CD4863">
              <w:rPr>
                <w:rFonts w:ascii="Verdana"/>
                <w:w w:val="95"/>
                <w:sz w:val="18"/>
                <w:lang w:val="es-ES_tradnl"/>
              </w:rPr>
              <w:t>TESORERIA</w:t>
            </w:r>
            <w:r w:rsidRPr="00CD4863">
              <w:rPr>
                <w:rFonts w:ascii="Verdana"/>
                <w:spacing w:val="-42"/>
                <w:w w:val="95"/>
                <w:sz w:val="18"/>
                <w:lang w:val="es-ES_tradnl"/>
              </w:rPr>
              <w:t xml:space="preserve"> </w:t>
            </w:r>
            <w:r w:rsidRPr="00CD4863">
              <w:rPr>
                <w:rFonts w:ascii="Verdana"/>
                <w:w w:val="95"/>
                <w:sz w:val="18"/>
                <w:lang w:val="es-ES_tradnl"/>
              </w:rPr>
              <w:t>GENERAL</w:t>
            </w:r>
            <w:r w:rsidRPr="00CD4863">
              <w:rPr>
                <w:rFonts w:ascii="Verdana"/>
                <w:spacing w:val="-41"/>
                <w:w w:val="95"/>
                <w:sz w:val="18"/>
                <w:lang w:val="es-ES_tradnl"/>
              </w:rPr>
              <w:t xml:space="preserve"> </w:t>
            </w:r>
            <w:r w:rsidRPr="00CD4863">
              <w:rPr>
                <w:rFonts w:ascii="Verdana"/>
                <w:w w:val="95"/>
                <w:sz w:val="18"/>
                <w:lang w:val="es-ES_tradnl"/>
              </w:rPr>
              <w:t>DE</w:t>
            </w:r>
            <w:r w:rsidRPr="00CD4863">
              <w:rPr>
                <w:rFonts w:ascii="Verdana"/>
                <w:spacing w:val="-42"/>
                <w:w w:val="95"/>
                <w:sz w:val="18"/>
                <w:lang w:val="es-ES_tradnl"/>
              </w:rPr>
              <w:t xml:space="preserve"> </w:t>
            </w:r>
            <w:r w:rsidRPr="00CD4863">
              <w:rPr>
                <w:rFonts w:ascii="Verdana"/>
                <w:w w:val="95"/>
                <w:sz w:val="18"/>
                <w:lang w:val="es-ES_tradnl"/>
              </w:rPr>
              <w:t>LA</w:t>
            </w:r>
            <w:r w:rsidRPr="00CD4863">
              <w:rPr>
                <w:rFonts w:ascii="Verdana"/>
                <w:spacing w:val="-42"/>
                <w:w w:val="95"/>
                <w:sz w:val="18"/>
                <w:lang w:val="es-ES_tradnl"/>
              </w:rPr>
              <w:t xml:space="preserve"> </w:t>
            </w:r>
            <w:r w:rsidRPr="00CD4863">
              <w:rPr>
                <w:rFonts w:ascii="Verdana"/>
                <w:w w:val="95"/>
                <w:sz w:val="18"/>
                <w:lang w:val="es-ES_tradnl"/>
              </w:rPr>
              <w:t>SEGURIDAD</w:t>
            </w:r>
            <w:r w:rsidRPr="00CD4863">
              <w:rPr>
                <w:rFonts w:ascii="Verdana"/>
                <w:spacing w:val="-41"/>
                <w:w w:val="95"/>
                <w:sz w:val="18"/>
                <w:lang w:val="es-ES_tradnl"/>
              </w:rPr>
              <w:t xml:space="preserve"> </w:t>
            </w:r>
            <w:r w:rsidRPr="00CD4863">
              <w:rPr>
                <w:rFonts w:ascii="Verdana"/>
                <w:w w:val="95"/>
                <w:sz w:val="18"/>
                <w:lang w:val="es-ES_tradnl"/>
              </w:rPr>
              <w:t>SOCIAL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20"/>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3"/>
              <w:jc w:val="right"/>
              <w:rPr>
                <w:rFonts w:ascii="Verdana" w:eastAsia="Verdana" w:hAnsi="Verdana" w:cs="Verdana"/>
                <w:sz w:val="18"/>
                <w:szCs w:val="18"/>
              </w:rPr>
            </w:pPr>
            <w:r>
              <w:rPr>
                <w:rFonts w:ascii="Verdana"/>
                <w:spacing w:val="-2"/>
                <w:w w:val="85"/>
                <w:sz w:val="18"/>
              </w:rPr>
              <w:t>6.384,68</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THYSSENKRUPP</w:t>
            </w:r>
            <w:r>
              <w:rPr>
                <w:rFonts w:ascii="Verdana"/>
                <w:spacing w:val="-37"/>
                <w:w w:val="90"/>
                <w:sz w:val="18"/>
              </w:rPr>
              <w:t xml:space="preserve"> </w:t>
            </w:r>
            <w:r>
              <w:rPr>
                <w:rFonts w:ascii="Verdana"/>
                <w:w w:val="90"/>
                <w:sz w:val="18"/>
              </w:rPr>
              <w:t>PLASTIC</w:t>
            </w:r>
            <w:r>
              <w:rPr>
                <w:rFonts w:ascii="Verdana"/>
                <w:spacing w:val="-37"/>
                <w:w w:val="90"/>
                <w:sz w:val="18"/>
              </w:rPr>
              <w:t xml:space="preserve"> </w:t>
            </w:r>
            <w:r>
              <w:rPr>
                <w:rFonts w:ascii="Verdana"/>
                <w:w w:val="90"/>
                <w:sz w:val="18"/>
              </w:rPr>
              <w:t>IBERICA</w:t>
            </w:r>
            <w:r>
              <w:rPr>
                <w:rFonts w:ascii="Verdana"/>
                <w:spacing w:val="-37"/>
                <w:w w:val="90"/>
                <w:sz w:val="18"/>
              </w:rPr>
              <w:t xml:space="preserve"> </w:t>
            </w:r>
            <w:r>
              <w:rPr>
                <w:rFonts w:ascii="Verdana"/>
                <w:w w:val="90"/>
                <w:sz w:val="18"/>
              </w:rPr>
              <w:t>SLA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1.048,10</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0"/>
                <w:sz w:val="18"/>
              </w:rPr>
              <w:t>TRASERAS</w:t>
            </w:r>
            <w:r>
              <w:rPr>
                <w:rFonts w:ascii="Verdana"/>
                <w:spacing w:val="-27"/>
                <w:w w:val="90"/>
                <w:sz w:val="18"/>
              </w:rPr>
              <w:t xml:space="preserve"> </w:t>
            </w:r>
            <w:r>
              <w:rPr>
                <w:rFonts w:ascii="Verdana"/>
                <w:w w:val="90"/>
                <w:sz w:val="18"/>
              </w:rPr>
              <w:t>RM</w:t>
            </w:r>
            <w:r>
              <w:rPr>
                <w:rFonts w:ascii="Verdana"/>
                <w:spacing w:val="-27"/>
                <w:w w:val="90"/>
                <w:sz w:val="18"/>
              </w:rPr>
              <w:t xml:space="preserve"> </w:t>
            </w:r>
            <w:r>
              <w:rPr>
                <w:rFonts w:ascii="Verdana"/>
                <w:w w:val="90"/>
                <w:sz w:val="18"/>
              </w:rPr>
              <w:t>SL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5.852,47</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UNIEMBALAJE</w:t>
            </w:r>
            <w:r>
              <w:rPr>
                <w:rFonts w:ascii="Verdana"/>
                <w:spacing w:val="-32"/>
                <w:w w:val="95"/>
                <w:sz w:val="18"/>
              </w:rPr>
              <w:t xml:space="preserve"> </w:t>
            </w:r>
            <w:r>
              <w:rPr>
                <w:rFonts w:ascii="Verdana"/>
                <w:w w:val="95"/>
                <w:sz w:val="18"/>
              </w:rPr>
              <w:t>FD</w:t>
            </w:r>
            <w:r>
              <w:rPr>
                <w:rFonts w:ascii="Verdana"/>
                <w:spacing w:val="-32"/>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792,84</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Pr="00CD4863" w:rsidRDefault="000A233F" w:rsidP="00E910D0">
            <w:pPr>
              <w:pStyle w:val="TableParagraph"/>
              <w:spacing w:before="32"/>
              <w:ind w:left="33"/>
              <w:rPr>
                <w:rFonts w:ascii="Verdana" w:eastAsia="Verdana" w:hAnsi="Verdana" w:cs="Verdana"/>
                <w:sz w:val="18"/>
                <w:szCs w:val="18"/>
                <w:lang w:val="es-ES_tradnl"/>
              </w:rPr>
            </w:pPr>
            <w:r w:rsidRPr="00CD4863">
              <w:rPr>
                <w:rFonts w:ascii="Verdana"/>
                <w:w w:val="95"/>
                <w:sz w:val="18"/>
                <w:lang w:val="es-ES_tradnl"/>
              </w:rPr>
              <w:t>UNOPAN</w:t>
            </w:r>
            <w:r w:rsidRPr="00CD4863">
              <w:rPr>
                <w:rFonts w:ascii="Verdana"/>
                <w:spacing w:val="-35"/>
                <w:w w:val="95"/>
                <w:sz w:val="18"/>
                <w:lang w:val="es-ES_tradnl"/>
              </w:rPr>
              <w:t xml:space="preserve"> </w:t>
            </w:r>
            <w:r w:rsidRPr="00CD4863">
              <w:rPr>
                <w:rFonts w:ascii="Verdana"/>
                <w:w w:val="95"/>
                <w:sz w:val="18"/>
                <w:lang w:val="es-ES_tradnl"/>
              </w:rPr>
              <w:t>TABLEROS</w:t>
            </w:r>
            <w:r w:rsidRPr="00CD4863">
              <w:rPr>
                <w:rFonts w:ascii="Verdana"/>
                <w:spacing w:val="-35"/>
                <w:w w:val="95"/>
                <w:sz w:val="18"/>
                <w:lang w:val="es-ES_tradnl"/>
              </w:rPr>
              <w:t xml:space="preserve"> </w:t>
            </w:r>
            <w:r w:rsidRPr="00CD4863">
              <w:rPr>
                <w:rFonts w:ascii="Verdana"/>
                <w:w w:val="95"/>
                <w:sz w:val="18"/>
                <w:lang w:val="es-ES_tradnl"/>
              </w:rPr>
              <w:t>DE</w:t>
            </w:r>
            <w:r w:rsidRPr="00CD4863">
              <w:rPr>
                <w:rFonts w:ascii="Verdana"/>
                <w:spacing w:val="-35"/>
                <w:w w:val="95"/>
                <w:sz w:val="18"/>
                <w:lang w:val="es-ES_tradnl"/>
              </w:rPr>
              <w:t xml:space="preserve"> </w:t>
            </w:r>
            <w:r w:rsidRPr="00CD4863">
              <w:rPr>
                <w:rFonts w:ascii="Verdana"/>
                <w:w w:val="95"/>
                <w:sz w:val="18"/>
                <w:lang w:val="es-ES_tradnl"/>
              </w:rPr>
              <w:t>FIBRA</w:t>
            </w:r>
            <w:r w:rsidRPr="00CD4863">
              <w:rPr>
                <w:rFonts w:ascii="Verdana"/>
                <w:spacing w:val="-35"/>
                <w:w w:val="95"/>
                <w:sz w:val="18"/>
                <w:lang w:val="es-ES_tradnl"/>
              </w:rPr>
              <w:t xml:space="preserve"> </w:t>
            </w:r>
            <w:r w:rsidRPr="00CD4863">
              <w:rPr>
                <w:rFonts w:ascii="Verdana"/>
                <w:w w:val="95"/>
                <w:sz w:val="18"/>
                <w:lang w:val="es-ES_tradnl"/>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7"/>
              <w:jc w:val="right"/>
              <w:rPr>
                <w:rFonts w:ascii="Verdana" w:eastAsia="Verdana" w:hAnsi="Verdana" w:cs="Verdana"/>
                <w:sz w:val="18"/>
                <w:szCs w:val="18"/>
              </w:rPr>
            </w:pPr>
            <w:r>
              <w:rPr>
                <w:rFonts w:ascii="Verdana"/>
                <w:spacing w:val="-2"/>
                <w:w w:val="85"/>
                <w:sz w:val="18"/>
              </w:rPr>
              <w:t>1.172,71</w:t>
            </w:r>
          </w:p>
        </w:tc>
      </w:tr>
      <w:tr w:rsidR="000A233F" w:rsidTr="00E910D0">
        <w:trPr>
          <w:trHeight w:hRule="exact" w:val="305"/>
        </w:trPr>
        <w:tc>
          <w:tcPr>
            <w:tcW w:w="6010" w:type="dxa"/>
            <w:tcBorders>
              <w:top w:val="single" w:sz="1" w:space="0" w:color="000000"/>
              <w:left w:val="single" w:sz="1" w:space="0" w:color="000000"/>
              <w:bottom w:val="single" w:sz="1" w:space="0" w:color="000000"/>
              <w:right w:val="single" w:sz="1" w:space="0" w:color="000000"/>
            </w:tcBorders>
          </w:tcPr>
          <w:p w:rsidR="000A233F" w:rsidRPr="00CD4863" w:rsidRDefault="000A233F" w:rsidP="00E910D0">
            <w:pPr>
              <w:pStyle w:val="TableParagraph"/>
              <w:spacing w:before="32"/>
              <w:ind w:left="33"/>
              <w:rPr>
                <w:rFonts w:ascii="Verdana" w:eastAsia="Verdana" w:hAnsi="Verdana" w:cs="Verdana"/>
                <w:sz w:val="18"/>
                <w:szCs w:val="18"/>
                <w:lang w:val="es-ES_tradnl"/>
              </w:rPr>
            </w:pPr>
            <w:r w:rsidRPr="00CD4863">
              <w:rPr>
                <w:rFonts w:ascii="Verdana"/>
                <w:w w:val="95"/>
                <w:sz w:val="18"/>
                <w:lang w:val="es-ES_tradnl"/>
              </w:rPr>
              <w:lastRenderedPageBreak/>
              <w:t>VALCO MADEIRA E DERIVADOS</w:t>
            </w:r>
            <w:r w:rsidRPr="00CD4863">
              <w:rPr>
                <w:rFonts w:ascii="Verdana"/>
                <w:spacing w:val="-40"/>
                <w:w w:val="95"/>
                <w:sz w:val="18"/>
                <w:lang w:val="es-ES_tradnl"/>
              </w:rPr>
              <w:t xml:space="preserve"> </w:t>
            </w:r>
            <w:r w:rsidRPr="00CD4863">
              <w:rPr>
                <w:rFonts w:ascii="Verdana"/>
                <w:w w:val="95"/>
                <w:sz w:val="18"/>
                <w:lang w:val="es-ES_tradnl"/>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174,60</w:t>
            </w:r>
          </w:p>
        </w:tc>
      </w:tr>
      <w:tr w:rsidR="000A233F" w:rsidTr="00E910D0">
        <w:trPr>
          <w:trHeight w:hRule="exact" w:val="319"/>
        </w:trPr>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28"/>
              <w:ind w:left="33"/>
              <w:rPr>
                <w:rFonts w:ascii="Verdana" w:eastAsia="Verdana" w:hAnsi="Verdana" w:cs="Verdana"/>
                <w:sz w:val="18"/>
                <w:szCs w:val="18"/>
              </w:rPr>
            </w:pPr>
            <w:r>
              <w:rPr>
                <w:rFonts w:ascii="Verdana"/>
                <w:w w:val="95"/>
                <w:sz w:val="18"/>
              </w:rPr>
              <w:t>XTRA</w:t>
            </w:r>
            <w:r>
              <w:rPr>
                <w:rFonts w:ascii="Verdana"/>
                <w:spacing w:val="-37"/>
                <w:w w:val="95"/>
                <w:sz w:val="18"/>
              </w:rPr>
              <w:t xml:space="preserve"> </w:t>
            </w:r>
            <w:r>
              <w:rPr>
                <w:rFonts w:ascii="Verdana"/>
                <w:w w:val="95"/>
                <w:sz w:val="18"/>
              </w:rPr>
              <w:t>TELECON</w:t>
            </w:r>
            <w:r>
              <w:rPr>
                <w:rFonts w:ascii="Verdana"/>
                <w:spacing w:val="-37"/>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28"/>
              <w:ind w:left="12"/>
              <w:jc w:val="center"/>
              <w:rPr>
                <w:rFonts w:ascii="Verdana" w:eastAsia="Verdana" w:hAnsi="Verdana" w:cs="Verdana"/>
                <w:sz w:val="18"/>
                <w:szCs w:val="18"/>
              </w:rPr>
            </w:pPr>
            <w:r>
              <w:rPr>
                <w:rFonts w:ascii="Verdana"/>
                <w:w w:val="95"/>
                <w:sz w:val="18"/>
              </w:rPr>
              <w:t>89.3</w:t>
            </w:r>
          </w:p>
        </w:tc>
        <w:tc>
          <w:tcPr>
            <w:tcW w:w="1509" w:type="dxa"/>
            <w:tcBorders>
              <w:top w:val="single" w:sz="1" w:space="0" w:color="000000"/>
              <w:left w:val="single" w:sz="1" w:space="0" w:color="000000"/>
              <w:bottom w:val="single" w:sz="15" w:space="0" w:color="4E81BD"/>
              <w:right w:val="single" w:sz="1" w:space="0" w:color="000000"/>
            </w:tcBorders>
          </w:tcPr>
          <w:p w:rsidR="000A233F" w:rsidRDefault="000A233F" w:rsidP="00E910D0">
            <w:pPr>
              <w:pStyle w:val="TableParagraph"/>
              <w:spacing w:before="28"/>
              <w:ind w:right="248"/>
              <w:jc w:val="right"/>
              <w:rPr>
                <w:rFonts w:ascii="Verdana" w:eastAsia="Verdana" w:hAnsi="Verdana" w:cs="Verdana"/>
                <w:sz w:val="18"/>
                <w:szCs w:val="18"/>
              </w:rPr>
            </w:pPr>
            <w:r>
              <w:rPr>
                <w:rFonts w:ascii="Verdana"/>
                <w:spacing w:val="-2"/>
                <w:w w:val="85"/>
                <w:sz w:val="18"/>
              </w:rPr>
              <w:t>211,13</w:t>
            </w:r>
          </w:p>
        </w:tc>
      </w:tr>
      <w:tr w:rsidR="000A233F" w:rsidTr="00E910D0">
        <w:trPr>
          <w:trHeight w:hRule="exact" w:val="304"/>
        </w:trPr>
        <w:tc>
          <w:tcPr>
            <w:tcW w:w="7299" w:type="dxa"/>
            <w:gridSpan w:val="2"/>
            <w:tcBorders>
              <w:top w:val="single" w:sz="1" w:space="0" w:color="000000"/>
              <w:left w:val="nil"/>
              <w:bottom w:val="nil"/>
              <w:right w:val="single" w:sz="15" w:space="0" w:color="4E81BD"/>
            </w:tcBorders>
          </w:tcPr>
          <w:p w:rsidR="000A233F" w:rsidRDefault="000A233F" w:rsidP="00E910D0"/>
        </w:tc>
        <w:tc>
          <w:tcPr>
            <w:tcW w:w="150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5" w:lineRule="exact"/>
              <w:ind w:right="224"/>
              <w:jc w:val="right"/>
              <w:rPr>
                <w:rFonts w:ascii="Verdana" w:eastAsia="Verdana" w:hAnsi="Verdana" w:cs="Verdana"/>
                <w:sz w:val="20"/>
                <w:szCs w:val="20"/>
              </w:rPr>
            </w:pPr>
            <w:r>
              <w:rPr>
                <w:rFonts w:ascii="Verdana"/>
                <w:b/>
                <w:w w:val="75"/>
                <w:sz w:val="20"/>
              </w:rPr>
              <w:t>292.732,27</w:t>
            </w:r>
          </w:p>
        </w:tc>
      </w:tr>
    </w:tbl>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tbl>
      <w:tblPr>
        <w:tblStyle w:val="TableNormal"/>
        <w:tblW w:w="9313" w:type="dxa"/>
        <w:tblInd w:w="-372" w:type="dxa"/>
        <w:tblLayout w:type="fixed"/>
        <w:tblLook w:val="01E0"/>
      </w:tblPr>
      <w:tblGrid>
        <w:gridCol w:w="548"/>
        <w:gridCol w:w="6010"/>
        <w:gridCol w:w="1289"/>
        <w:gridCol w:w="1466"/>
      </w:tblGrid>
      <w:tr w:rsidR="000A233F" w:rsidTr="00E910D0">
        <w:trPr>
          <w:trHeight w:hRule="exact" w:val="305"/>
        </w:trPr>
        <w:tc>
          <w:tcPr>
            <w:tcW w:w="548"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139"/>
              <w:rPr>
                <w:rFonts w:ascii="Verdana" w:eastAsia="Verdana" w:hAnsi="Verdana" w:cs="Verdana"/>
                <w:sz w:val="20"/>
                <w:szCs w:val="20"/>
              </w:rPr>
            </w:pPr>
            <w:r>
              <w:rPr>
                <w:rFonts w:ascii="Verdana"/>
                <w:b/>
                <w:w w:val="85"/>
                <w:sz w:val="20"/>
              </w:rPr>
              <w:t>IV.</w:t>
            </w:r>
          </w:p>
        </w:tc>
        <w:tc>
          <w:tcPr>
            <w:tcW w:w="6010"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825"/>
              <w:rPr>
                <w:rFonts w:ascii="Verdana" w:eastAsia="Verdana" w:hAnsi="Verdana" w:cs="Verdana"/>
                <w:sz w:val="20"/>
                <w:szCs w:val="20"/>
              </w:rPr>
            </w:pPr>
            <w:r>
              <w:rPr>
                <w:rFonts w:ascii="Verdana" w:hAnsi="Verdana"/>
                <w:b/>
                <w:w w:val="85"/>
                <w:sz w:val="20"/>
              </w:rPr>
              <w:t>ACREEDORES</w:t>
            </w:r>
            <w:r>
              <w:rPr>
                <w:rFonts w:ascii="Verdana" w:hAnsi="Verdana"/>
                <w:b/>
                <w:spacing w:val="-30"/>
                <w:w w:val="85"/>
                <w:sz w:val="20"/>
              </w:rPr>
              <w:t xml:space="preserve"> </w:t>
            </w:r>
            <w:r>
              <w:rPr>
                <w:rFonts w:ascii="Verdana" w:hAnsi="Verdana"/>
                <w:b/>
                <w:w w:val="85"/>
                <w:sz w:val="20"/>
              </w:rPr>
              <w:t>CON</w:t>
            </w:r>
            <w:r>
              <w:rPr>
                <w:rFonts w:ascii="Verdana" w:hAnsi="Verdana"/>
                <w:b/>
                <w:spacing w:val="-30"/>
                <w:w w:val="85"/>
                <w:sz w:val="20"/>
              </w:rPr>
              <w:t xml:space="preserve"> </w:t>
            </w:r>
            <w:r>
              <w:rPr>
                <w:rFonts w:ascii="Verdana" w:hAnsi="Verdana"/>
                <w:b/>
                <w:w w:val="85"/>
                <w:sz w:val="20"/>
              </w:rPr>
              <w:t>CRÉDITOS</w:t>
            </w:r>
            <w:r>
              <w:rPr>
                <w:rFonts w:ascii="Verdana" w:hAnsi="Verdana"/>
                <w:b/>
                <w:spacing w:val="-30"/>
                <w:w w:val="85"/>
                <w:sz w:val="20"/>
              </w:rPr>
              <w:t xml:space="preserve"> </w:t>
            </w:r>
            <w:r>
              <w:rPr>
                <w:rFonts w:ascii="Verdana" w:hAnsi="Verdana"/>
                <w:b/>
                <w:w w:val="85"/>
                <w:sz w:val="20"/>
              </w:rPr>
              <w:t>SUBORDINADOS</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26"/>
              <w:jc w:val="center"/>
              <w:rPr>
                <w:rFonts w:ascii="Verdana" w:eastAsia="Verdana" w:hAnsi="Verdana" w:cs="Verdana"/>
                <w:sz w:val="20"/>
                <w:szCs w:val="20"/>
              </w:rPr>
            </w:pPr>
            <w:r>
              <w:rPr>
                <w:rFonts w:ascii="Verdana"/>
                <w:b/>
                <w:w w:val="95"/>
                <w:sz w:val="20"/>
              </w:rPr>
              <w:t>CLASE</w:t>
            </w:r>
          </w:p>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right="290"/>
              <w:jc w:val="right"/>
              <w:rPr>
                <w:rFonts w:ascii="Verdana" w:eastAsia="Verdana" w:hAnsi="Verdana" w:cs="Verdana"/>
                <w:sz w:val="20"/>
                <w:szCs w:val="20"/>
              </w:rPr>
            </w:pPr>
            <w:r>
              <w:rPr>
                <w:rFonts w:ascii="Verdana"/>
                <w:b/>
                <w:w w:val="75"/>
                <w:sz w:val="20"/>
              </w:rPr>
              <w:t>IMPORTE</w:t>
            </w:r>
          </w:p>
        </w:tc>
      </w:tr>
      <w:tr w:rsidR="000A233F" w:rsidTr="00E910D0">
        <w:trPr>
          <w:trHeight w:hRule="exact" w:val="306"/>
        </w:trPr>
        <w:tc>
          <w:tcPr>
            <w:tcW w:w="548" w:type="dxa"/>
            <w:vMerge w:val="restart"/>
            <w:tcBorders>
              <w:top w:val="single" w:sz="15" w:space="0" w:color="4E81BD"/>
              <w:left w:val="nil"/>
              <w:right w:val="single" w:sz="1" w:space="0" w:color="000000"/>
            </w:tcBorders>
          </w:tcPr>
          <w:p w:rsidR="000A233F" w:rsidRDefault="000A233F" w:rsidP="00E910D0"/>
        </w:tc>
        <w:tc>
          <w:tcPr>
            <w:tcW w:w="6010" w:type="dxa"/>
            <w:tcBorders>
              <w:top w:val="single" w:sz="15" w:space="0" w:color="4E81BD"/>
              <w:left w:val="single" w:sz="1" w:space="0" w:color="000000"/>
              <w:bottom w:val="single" w:sz="1" w:space="0" w:color="000000"/>
              <w:right w:val="single" w:sz="1" w:space="0" w:color="000000"/>
            </w:tcBorders>
          </w:tcPr>
          <w:p w:rsidR="000A233F" w:rsidRPr="00CD4863" w:rsidRDefault="000A233F" w:rsidP="00E910D0">
            <w:pPr>
              <w:pStyle w:val="TableParagraph"/>
              <w:spacing w:before="16"/>
              <w:ind w:left="33"/>
              <w:rPr>
                <w:rFonts w:ascii="Verdana" w:eastAsia="Verdana" w:hAnsi="Verdana" w:cs="Verdana"/>
                <w:sz w:val="18"/>
                <w:szCs w:val="18"/>
                <w:lang w:val="es-ES_tradnl"/>
              </w:rPr>
            </w:pPr>
            <w:r w:rsidRPr="00CD4863">
              <w:rPr>
                <w:rFonts w:ascii="Verdana" w:hAnsi="Verdana"/>
                <w:w w:val="90"/>
                <w:sz w:val="18"/>
                <w:lang w:val="es-ES_tradnl"/>
              </w:rPr>
              <w:t>AGENCIA ESTATAL DE ADMINISTRACIÓN</w:t>
            </w:r>
            <w:r w:rsidRPr="00CD4863">
              <w:rPr>
                <w:rFonts w:ascii="Verdana" w:hAnsi="Verdana"/>
                <w:spacing w:val="-17"/>
                <w:w w:val="90"/>
                <w:sz w:val="18"/>
                <w:lang w:val="es-ES_tradnl"/>
              </w:rPr>
              <w:t xml:space="preserve"> </w:t>
            </w:r>
            <w:r w:rsidRPr="00CD4863">
              <w:rPr>
                <w:rFonts w:ascii="Verdana" w:hAnsi="Verdana"/>
                <w:w w:val="90"/>
                <w:sz w:val="18"/>
                <w:lang w:val="es-ES_tradnl"/>
              </w:rPr>
              <w:t>TRIBUTARIA</w:t>
            </w:r>
          </w:p>
        </w:tc>
        <w:tc>
          <w:tcPr>
            <w:tcW w:w="128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left="328"/>
              <w:rPr>
                <w:rFonts w:ascii="Verdana" w:eastAsia="Verdana" w:hAnsi="Verdana" w:cs="Verdana"/>
                <w:sz w:val="18"/>
                <w:szCs w:val="18"/>
              </w:rPr>
            </w:pPr>
            <w:r>
              <w:rPr>
                <w:rFonts w:ascii="Verdana"/>
                <w:w w:val="95"/>
                <w:sz w:val="18"/>
              </w:rPr>
              <w:t>92.3</w:t>
            </w:r>
            <w:r>
              <w:rPr>
                <w:rFonts w:ascii="Verdana"/>
                <w:spacing w:val="-36"/>
                <w:w w:val="95"/>
                <w:sz w:val="18"/>
              </w:rPr>
              <w:t xml:space="preserve"> </w:t>
            </w:r>
            <w:r>
              <w:rPr>
                <w:rFonts w:ascii="Verdana"/>
                <w:w w:val="95"/>
                <w:sz w:val="18"/>
              </w:rPr>
              <w:t>Y</w:t>
            </w:r>
            <w:r>
              <w:rPr>
                <w:rFonts w:ascii="Verdana"/>
                <w:spacing w:val="-36"/>
                <w:w w:val="95"/>
                <w:sz w:val="18"/>
              </w:rPr>
              <w:t xml:space="preserve"> </w:t>
            </w:r>
            <w:r>
              <w:rPr>
                <w:rFonts w:ascii="Verdana"/>
                <w:w w:val="95"/>
                <w:sz w:val="18"/>
              </w:rPr>
              <w:t>4</w:t>
            </w:r>
          </w:p>
        </w:tc>
        <w:tc>
          <w:tcPr>
            <w:tcW w:w="1466"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right="243"/>
              <w:jc w:val="right"/>
              <w:rPr>
                <w:rFonts w:ascii="Verdana" w:eastAsia="Verdana" w:hAnsi="Verdana" w:cs="Verdana"/>
                <w:sz w:val="18"/>
                <w:szCs w:val="18"/>
              </w:rPr>
            </w:pPr>
            <w:r>
              <w:rPr>
                <w:rFonts w:ascii="Verdana"/>
                <w:spacing w:val="-2"/>
                <w:w w:val="85"/>
                <w:sz w:val="18"/>
              </w:rPr>
              <w:t>1.283,92</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ANTONIO CASTRO</w:t>
            </w:r>
            <w:r>
              <w:rPr>
                <w:rFonts w:ascii="Verdana"/>
                <w:spacing w:val="-14"/>
                <w:w w:val="95"/>
                <w:sz w:val="18"/>
              </w:rPr>
              <w:t xml:space="preserve"> </w:t>
            </w:r>
            <w:proofErr w:type="spellStart"/>
            <w:r>
              <w:rPr>
                <w:rFonts w:ascii="Verdana"/>
                <w:w w:val="95"/>
                <w:sz w:val="18"/>
              </w:rPr>
              <w:t>CASTRO</w:t>
            </w:r>
            <w:proofErr w:type="spellEnd"/>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273"/>
              <w:rPr>
                <w:rFonts w:ascii="Verdana" w:eastAsia="Verdana" w:hAnsi="Verdana" w:cs="Verdana"/>
                <w:sz w:val="18"/>
                <w:szCs w:val="18"/>
              </w:rPr>
            </w:pPr>
            <w:r>
              <w:rPr>
                <w:rFonts w:ascii="Verdana"/>
                <w:w w:val="95"/>
                <w:sz w:val="18"/>
              </w:rPr>
              <w:t>92.5</w:t>
            </w:r>
            <w:r>
              <w:rPr>
                <w:rFonts w:ascii="Verdana"/>
                <w:spacing w:val="-42"/>
                <w:w w:val="95"/>
                <w:sz w:val="18"/>
              </w:rPr>
              <w:t xml:space="preserve"> </w:t>
            </w:r>
            <w:r>
              <w:rPr>
                <w:rFonts w:ascii="Verdana"/>
                <w:w w:val="95"/>
                <w:sz w:val="18"/>
              </w:rPr>
              <w:t>Y</w:t>
            </w:r>
            <w:r>
              <w:rPr>
                <w:rFonts w:ascii="Verdana"/>
                <w:spacing w:val="-42"/>
                <w:w w:val="95"/>
                <w:sz w:val="18"/>
              </w:rPr>
              <w:t xml:space="preserve"> </w:t>
            </w:r>
            <w:r>
              <w:rPr>
                <w:rFonts w:ascii="Verdana"/>
                <w:w w:val="95"/>
                <w:sz w:val="18"/>
              </w:rPr>
              <w:t>93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9"/>
              <w:jc w:val="right"/>
              <w:rPr>
                <w:rFonts w:ascii="Verdana" w:eastAsia="Verdana" w:hAnsi="Verdana" w:cs="Verdana"/>
                <w:sz w:val="18"/>
                <w:szCs w:val="18"/>
              </w:rPr>
            </w:pPr>
            <w:r>
              <w:rPr>
                <w:rFonts w:ascii="Verdana"/>
                <w:spacing w:val="-2"/>
                <w:w w:val="85"/>
                <w:sz w:val="18"/>
              </w:rPr>
              <w:t>363.022,09</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AYUNTAMIENTO DE</w:t>
            </w:r>
            <w:r>
              <w:rPr>
                <w:rFonts w:ascii="Verdana"/>
                <w:spacing w:val="-35"/>
                <w:w w:val="95"/>
                <w:sz w:val="18"/>
              </w:rPr>
              <w:t xml:space="preserve"> </w:t>
            </w:r>
            <w:r>
              <w:rPr>
                <w:rFonts w:ascii="Verdana"/>
                <w:w w:val="95"/>
                <w:sz w:val="18"/>
              </w:rPr>
              <w:t>JAEN</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92.3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157,31</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DIPUTACION DE</w:t>
            </w:r>
            <w:r>
              <w:rPr>
                <w:rFonts w:ascii="Verdana"/>
                <w:spacing w:val="-45"/>
                <w:w w:val="95"/>
                <w:sz w:val="18"/>
              </w:rPr>
              <w:t xml:space="preserve"> </w:t>
            </w:r>
            <w:r>
              <w:rPr>
                <w:rFonts w:ascii="Verdana"/>
                <w:w w:val="95"/>
                <w:sz w:val="18"/>
              </w:rPr>
              <w:t>JAEN</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92.3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100,00</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FINANCIERA MADERERA</w:t>
            </w:r>
            <w:r>
              <w:rPr>
                <w:rFonts w:ascii="Verdana"/>
                <w:spacing w:val="-46"/>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92.3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8"/>
              <w:jc w:val="right"/>
              <w:rPr>
                <w:rFonts w:ascii="Verdana" w:eastAsia="Verdana" w:hAnsi="Verdana" w:cs="Verdana"/>
                <w:sz w:val="18"/>
                <w:szCs w:val="18"/>
              </w:rPr>
            </w:pPr>
            <w:r>
              <w:rPr>
                <w:rFonts w:ascii="Verdana"/>
                <w:spacing w:val="-2"/>
                <w:w w:val="85"/>
                <w:sz w:val="18"/>
              </w:rPr>
              <w:t>259,33</w:t>
            </w:r>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MANUEL</w:t>
            </w:r>
            <w:r>
              <w:rPr>
                <w:rFonts w:ascii="Verdana"/>
                <w:spacing w:val="-34"/>
                <w:w w:val="95"/>
                <w:sz w:val="18"/>
              </w:rPr>
              <w:t xml:space="preserve"> </w:t>
            </w:r>
            <w:r>
              <w:rPr>
                <w:rFonts w:ascii="Verdana"/>
                <w:w w:val="95"/>
                <w:sz w:val="18"/>
              </w:rPr>
              <w:t>MARMOL</w:t>
            </w:r>
            <w:r>
              <w:rPr>
                <w:rFonts w:ascii="Verdana"/>
                <w:spacing w:val="-34"/>
                <w:w w:val="95"/>
                <w:sz w:val="18"/>
              </w:rPr>
              <w:t xml:space="preserve"> </w:t>
            </w:r>
            <w:r>
              <w:rPr>
                <w:rFonts w:ascii="Verdana"/>
                <w:w w:val="95"/>
                <w:sz w:val="18"/>
              </w:rPr>
              <w:t>GUTIERREZ</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273"/>
              <w:rPr>
                <w:rFonts w:ascii="Verdana" w:eastAsia="Verdana" w:hAnsi="Verdana" w:cs="Verdana"/>
                <w:sz w:val="18"/>
                <w:szCs w:val="18"/>
              </w:rPr>
            </w:pPr>
            <w:r>
              <w:rPr>
                <w:rFonts w:ascii="Verdana"/>
                <w:w w:val="95"/>
                <w:sz w:val="18"/>
              </w:rPr>
              <w:t>92.5</w:t>
            </w:r>
            <w:r>
              <w:rPr>
                <w:rFonts w:ascii="Verdana"/>
                <w:spacing w:val="-42"/>
                <w:w w:val="95"/>
                <w:sz w:val="18"/>
              </w:rPr>
              <w:t xml:space="preserve"> </w:t>
            </w:r>
            <w:r>
              <w:rPr>
                <w:rFonts w:ascii="Verdana"/>
                <w:w w:val="95"/>
                <w:sz w:val="18"/>
              </w:rPr>
              <w:t>Y</w:t>
            </w:r>
            <w:r>
              <w:rPr>
                <w:rFonts w:ascii="Verdana"/>
                <w:spacing w:val="-42"/>
                <w:w w:val="95"/>
                <w:sz w:val="18"/>
              </w:rPr>
              <w:t xml:space="preserve"> </w:t>
            </w:r>
            <w:r>
              <w:rPr>
                <w:rFonts w:ascii="Verdana"/>
                <w:w w:val="95"/>
                <w:sz w:val="18"/>
              </w:rPr>
              <w:t>93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51"/>
              <w:jc w:val="right"/>
              <w:rPr>
                <w:rFonts w:ascii="Verdana" w:eastAsia="Verdana" w:hAnsi="Verdana" w:cs="Verdana"/>
                <w:sz w:val="18"/>
                <w:szCs w:val="18"/>
              </w:rPr>
            </w:pPr>
            <w:r>
              <w:rPr>
                <w:rFonts w:ascii="Verdana"/>
                <w:spacing w:val="-2"/>
                <w:w w:val="85"/>
                <w:sz w:val="18"/>
              </w:rPr>
              <w:t>365.473,03</w:t>
            </w:r>
          </w:p>
        </w:tc>
      </w:tr>
      <w:tr w:rsidR="000A233F" w:rsidTr="00E910D0">
        <w:trPr>
          <w:trHeight w:hRule="exact" w:val="319"/>
        </w:trPr>
        <w:tc>
          <w:tcPr>
            <w:tcW w:w="548" w:type="dxa"/>
            <w:vMerge/>
            <w:tcBorders>
              <w:left w:val="nil"/>
              <w:bottom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Pr="00CD4863" w:rsidRDefault="000A233F" w:rsidP="00E910D0">
            <w:pPr>
              <w:pStyle w:val="TableParagraph"/>
              <w:spacing w:before="28"/>
              <w:ind w:left="33"/>
              <w:rPr>
                <w:rFonts w:ascii="Verdana" w:eastAsia="Verdana" w:hAnsi="Verdana" w:cs="Verdana"/>
                <w:sz w:val="18"/>
                <w:szCs w:val="18"/>
                <w:lang w:val="es-ES_tradnl"/>
              </w:rPr>
            </w:pPr>
            <w:r w:rsidRPr="00CD4863">
              <w:rPr>
                <w:rFonts w:ascii="Verdana"/>
                <w:w w:val="95"/>
                <w:sz w:val="18"/>
                <w:lang w:val="es-ES_tradnl"/>
              </w:rPr>
              <w:t>TESORERIA</w:t>
            </w:r>
            <w:r w:rsidRPr="00CD4863">
              <w:rPr>
                <w:rFonts w:ascii="Verdana"/>
                <w:spacing w:val="-42"/>
                <w:w w:val="95"/>
                <w:sz w:val="18"/>
                <w:lang w:val="es-ES_tradnl"/>
              </w:rPr>
              <w:t xml:space="preserve"> </w:t>
            </w:r>
            <w:r w:rsidRPr="00CD4863">
              <w:rPr>
                <w:rFonts w:ascii="Verdana"/>
                <w:w w:val="95"/>
                <w:sz w:val="18"/>
                <w:lang w:val="es-ES_tradnl"/>
              </w:rPr>
              <w:t>GENERAL</w:t>
            </w:r>
            <w:r w:rsidRPr="00CD4863">
              <w:rPr>
                <w:rFonts w:ascii="Verdana"/>
                <w:spacing w:val="-41"/>
                <w:w w:val="95"/>
                <w:sz w:val="18"/>
                <w:lang w:val="es-ES_tradnl"/>
              </w:rPr>
              <w:t xml:space="preserve"> </w:t>
            </w:r>
            <w:r w:rsidRPr="00CD4863">
              <w:rPr>
                <w:rFonts w:ascii="Verdana"/>
                <w:w w:val="95"/>
                <w:sz w:val="18"/>
                <w:lang w:val="es-ES_tradnl"/>
              </w:rPr>
              <w:t>DE</w:t>
            </w:r>
            <w:r w:rsidRPr="00CD4863">
              <w:rPr>
                <w:rFonts w:ascii="Verdana"/>
                <w:spacing w:val="-42"/>
                <w:w w:val="95"/>
                <w:sz w:val="18"/>
                <w:lang w:val="es-ES_tradnl"/>
              </w:rPr>
              <w:t xml:space="preserve"> </w:t>
            </w:r>
            <w:r w:rsidRPr="00CD4863">
              <w:rPr>
                <w:rFonts w:ascii="Verdana"/>
                <w:w w:val="95"/>
                <w:sz w:val="18"/>
                <w:lang w:val="es-ES_tradnl"/>
              </w:rPr>
              <w:t>LA</w:t>
            </w:r>
            <w:r w:rsidRPr="00CD4863">
              <w:rPr>
                <w:rFonts w:ascii="Verdana"/>
                <w:spacing w:val="-42"/>
                <w:w w:val="95"/>
                <w:sz w:val="18"/>
                <w:lang w:val="es-ES_tradnl"/>
              </w:rPr>
              <w:t xml:space="preserve"> </w:t>
            </w:r>
            <w:r w:rsidRPr="00CD4863">
              <w:rPr>
                <w:rFonts w:ascii="Verdana"/>
                <w:w w:val="95"/>
                <w:sz w:val="18"/>
                <w:lang w:val="es-ES_tradnl"/>
              </w:rPr>
              <w:t>SEGURIDAD</w:t>
            </w:r>
            <w:r w:rsidRPr="00CD4863">
              <w:rPr>
                <w:rFonts w:ascii="Verdana"/>
                <w:spacing w:val="-41"/>
                <w:w w:val="95"/>
                <w:sz w:val="18"/>
                <w:lang w:val="es-ES_tradnl"/>
              </w:rPr>
              <w:t xml:space="preserve"> </w:t>
            </w:r>
            <w:r w:rsidRPr="00CD4863">
              <w:rPr>
                <w:rFonts w:ascii="Verdana"/>
                <w:w w:val="95"/>
                <w:sz w:val="18"/>
                <w:lang w:val="es-ES_tradnl"/>
              </w:rPr>
              <w:t>SOCIAL</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28"/>
              <w:ind w:left="327"/>
              <w:rPr>
                <w:rFonts w:ascii="Verdana" w:eastAsia="Verdana" w:hAnsi="Verdana" w:cs="Verdana"/>
                <w:sz w:val="18"/>
                <w:szCs w:val="18"/>
              </w:rPr>
            </w:pPr>
            <w:r>
              <w:rPr>
                <w:rFonts w:ascii="Verdana"/>
                <w:w w:val="95"/>
                <w:sz w:val="18"/>
              </w:rPr>
              <w:t>92.3</w:t>
            </w:r>
            <w:r>
              <w:rPr>
                <w:rFonts w:ascii="Verdana"/>
                <w:spacing w:val="-36"/>
                <w:w w:val="95"/>
                <w:sz w:val="18"/>
              </w:rPr>
              <w:t xml:space="preserve"> </w:t>
            </w:r>
            <w:r>
              <w:rPr>
                <w:rFonts w:ascii="Verdana"/>
                <w:w w:val="95"/>
                <w:sz w:val="18"/>
              </w:rPr>
              <w:t>Y</w:t>
            </w:r>
            <w:r>
              <w:rPr>
                <w:rFonts w:ascii="Verdana"/>
                <w:spacing w:val="-36"/>
                <w:w w:val="95"/>
                <w:sz w:val="18"/>
              </w:rPr>
              <w:t xml:space="preserve"> </w:t>
            </w:r>
            <w:r>
              <w:rPr>
                <w:rFonts w:ascii="Verdana"/>
                <w:w w:val="95"/>
                <w:sz w:val="18"/>
              </w:rPr>
              <w:t>4</w:t>
            </w:r>
          </w:p>
        </w:tc>
        <w:tc>
          <w:tcPr>
            <w:tcW w:w="1466" w:type="dxa"/>
            <w:tcBorders>
              <w:top w:val="single" w:sz="1" w:space="0" w:color="000000"/>
              <w:left w:val="single" w:sz="1" w:space="0" w:color="000000"/>
              <w:bottom w:val="single" w:sz="15" w:space="0" w:color="4E81BD"/>
              <w:right w:val="single" w:sz="1" w:space="0" w:color="000000"/>
            </w:tcBorders>
          </w:tcPr>
          <w:p w:rsidR="000A233F" w:rsidRDefault="000A233F" w:rsidP="00E910D0">
            <w:pPr>
              <w:pStyle w:val="TableParagraph"/>
              <w:spacing w:before="28"/>
              <w:ind w:right="243"/>
              <w:jc w:val="right"/>
              <w:rPr>
                <w:rFonts w:ascii="Verdana" w:eastAsia="Verdana" w:hAnsi="Verdana" w:cs="Verdana"/>
                <w:sz w:val="18"/>
                <w:szCs w:val="18"/>
              </w:rPr>
            </w:pPr>
            <w:r>
              <w:rPr>
                <w:rFonts w:ascii="Verdana"/>
                <w:spacing w:val="-2"/>
                <w:w w:val="85"/>
                <w:sz w:val="18"/>
              </w:rPr>
              <w:t>1.757,42</w:t>
            </w:r>
          </w:p>
        </w:tc>
      </w:tr>
      <w:tr w:rsidR="000A233F" w:rsidTr="00E910D0">
        <w:trPr>
          <w:trHeight w:hRule="exact" w:val="304"/>
        </w:trPr>
        <w:tc>
          <w:tcPr>
            <w:tcW w:w="7847" w:type="dxa"/>
            <w:gridSpan w:val="3"/>
            <w:tcBorders>
              <w:top w:val="nil"/>
              <w:left w:val="nil"/>
              <w:bottom w:val="nil"/>
              <w:right w:val="single" w:sz="15" w:space="0" w:color="4E81BD"/>
            </w:tcBorders>
          </w:tcPr>
          <w:p w:rsidR="000A233F" w:rsidRDefault="000A233F" w:rsidP="00E910D0"/>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5" w:lineRule="exact"/>
              <w:ind w:right="224"/>
              <w:jc w:val="right"/>
              <w:rPr>
                <w:rFonts w:ascii="Verdana" w:eastAsia="Verdana" w:hAnsi="Verdana" w:cs="Verdana"/>
                <w:sz w:val="20"/>
                <w:szCs w:val="20"/>
              </w:rPr>
            </w:pPr>
            <w:r>
              <w:rPr>
                <w:rFonts w:ascii="Verdana"/>
                <w:b/>
                <w:w w:val="75"/>
                <w:sz w:val="20"/>
              </w:rPr>
              <w:t>732.053,10</w:t>
            </w:r>
          </w:p>
        </w:tc>
      </w:tr>
    </w:tbl>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tbl>
      <w:tblPr>
        <w:tblStyle w:val="TableNormal"/>
        <w:tblW w:w="9313" w:type="dxa"/>
        <w:tblInd w:w="-372" w:type="dxa"/>
        <w:tblLayout w:type="fixed"/>
        <w:tblLook w:val="01E0"/>
      </w:tblPr>
      <w:tblGrid>
        <w:gridCol w:w="548"/>
        <w:gridCol w:w="6010"/>
        <w:gridCol w:w="1289"/>
        <w:gridCol w:w="1466"/>
      </w:tblGrid>
      <w:tr w:rsidR="000A233F" w:rsidTr="00E910D0">
        <w:trPr>
          <w:trHeight w:hRule="exact" w:val="305"/>
        </w:trPr>
        <w:tc>
          <w:tcPr>
            <w:tcW w:w="548"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165"/>
              <w:rPr>
                <w:rFonts w:ascii="Verdana" w:eastAsia="Verdana" w:hAnsi="Verdana" w:cs="Verdana"/>
                <w:sz w:val="20"/>
                <w:szCs w:val="20"/>
              </w:rPr>
            </w:pPr>
            <w:r>
              <w:rPr>
                <w:rFonts w:ascii="Verdana"/>
                <w:b/>
                <w:w w:val="95"/>
                <w:sz w:val="20"/>
              </w:rPr>
              <w:t>V.</w:t>
            </w:r>
          </w:p>
        </w:tc>
        <w:tc>
          <w:tcPr>
            <w:tcW w:w="6010"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856"/>
              <w:rPr>
                <w:rFonts w:ascii="Verdana" w:eastAsia="Verdana" w:hAnsi="Verdana" w:cs="Verdana"/>
                <w:sz w:val="20"/>
                <w:szCs w:val="20"/>
              </w:rPr>
            </w:pPr>
            <w:r>
              <w:rPr>
                <w:rFonts w:ascii="Verdana" w:hAnsi="Verdana"/>
                <w:b/>
                <w:w w:val="85"/>
                <w:sz w:val="20"/>
              </w:rPr>
              <w:t>ACREEDORES</w:t>
            </w:r>
            <w:r>
              <w:rPr>
                <w:rFonts w:ascii="Verdana" w:hAnsi="Verdana"/>
                <w:b/>
                <w:spacing w:val="-29"/>
                <w:w w:val="85"/>
                <w:sz w:val="20"/>
              </w:rPr>
              <w:t xml:space="preserve"> </w:t>
            </w:r>
            <w:r>
              <w:rPr>
                <w:rFonts w:ascii="Verdana" w:hAnsi="Verdana"/>
                <w:b/>
                <w:w w:val="85"/>
                <w:sz w:val="20"/>
              </w:rPr>
              <w:t>CON</w:t>
            </w:r>
            <w:r>
              <w:rPr>
                <w:rFonts w:ascii="Verdana" w:hAnsi="Verdana"/>
                <w:b/>
                <w:spacing w:val="-29"/>
                <w:w w:val="85"/>
                <w:sz w:val="20"/>
              </w:rPr>
              <w:t xml:space="preserve"> </w:t>
            </w:r>
            <w:r>
              <w:rPr>
                <w:rFonts w:ascii="Verdana" w:hAnsi="Verdana"/>
                <w:b/>
                <w:w w:val="85"/>
                <w:sz w:val="20"/>
              </w:rPr>
              <w:t>CRÉDITOS</w:t>
            </w:r>
            <w:r>
              <w:rPr>
                <w:rFonts w:ascii="Verdana" w:hAnsi="Verdana"/>
                <w:b/>
                <w:spacing w:val="-29"/>
                <w:w w:val="85"/>
                <w:sz w:val="20"/>
              </w:rPr>
              <w:t xml:space="preserve"> </w:t>
            </w:r>
            <w:r>
              <w:rPr>
                <w:rFonts w:ascii="Verdana" w:hAnsi="Verdana"/>
                <w:b/>
                <w:w w:val="85"/>
                <w:sz w:val="20"/>
              </w:rPr>
              <w:t>CONTINGENTES</w:t>
            </w:r>
          </w:p>
        </w:tc>
        <w:tc>
          <w:tcPr>
            <w:tcW w:w="1289"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left="26"/>
              <w:jc w:val="center"/>
              <w:rPr>
                <w:rFonts w:ascii="Verdana" w:eastAsia="Verdana" w:hAnsi="Verdana" w:cs="Verdana"/>
                <w:sz w:val="20"/>
                <w:szCs w:val="20"/>
              </w:rPr>
            </w:pPr>
            <w:r>
              <w:rPr>
                <w:rFonts w:ascii="Verdana"/>
                <w:b/>
                <w:w w:val="95"/>
                <w:sz w:val="20"/>
              </w:rPr>
              <w:t>CLASE</w:t>
            </w:r>
          </w:p>
        </w:tc>
        <w:tc>
          <w:tcPr>
            <w:tcW w:w="1466" w:type="dxa"/>
            <w:tcBorders>
              <w:top w:val="single" w:sz="15" w:space="0" w:color="4E81BD"/>
              <w:left w:val="single" w:sz="15" w:space="0" w:color="4E81BD"/>
              <w:bottom w:val="single" w:sz="15" w:space="0" w:color="4E81BD"/>
              <w:right w:val="single" w:sz="15" w:space="0" w:color="4E81BD"/>
            </w:tcBorders>
          </w:tcPr>
          <w:p w:rsidR="000A233F" w:rsidRDefault="000A233F" w:rsidP="00E910D0">
            <w:pPr>
              <w:pStyle w:val="TableParagraph"/>
              <w:spacing w:line="236" w:lineRule="exact"/>
              <w:ind w:right="290"/>
              <w:jc w:val="right"/>
              <w:rPr>
                <w:rFonts w:ascii="Verdana" w:eastAsia="Verdana" w:hAnsi="Verdana" w:cs="Verdana"/>
                <w:sz w:val="20"/>
                <w:szCs w:val="20"/>
              </w:rPr>
            </w:pPr>
            <w:r>
              <w:rPr>
                <w:rFonts w:ascii="Verdana"/>
                <w:b/>
                <w:w w:val="75"/>
                <w:sz w:val="20"/>
              </w:rPr>
              <w:t>IMPORTE</w:t>
            </w:r>
          </w:p>
        </w:tc>
      </w:tr>
      <w:tr w:rsidR="000A233F" w:rsidTr="00E910D0">
        <w:trPr>
          <w:trHeight w:hRule="exact" w:val="306"/>
        </w:trPr>
        <w:tc>
          <w:tcPr>
            <w:tcW w:w="548" w:type="dxa"/>
            <w:vMerge w:val="restart"/>
            <w:tcBorders>
              <w:top w:val="single" w:sz="15" w:space="0" w:color="4E81BD"/>
              <w:left w:val="nil"/>
              <w:right w:val="single" w:sz="1" w:space="0" w:color="000000"/>
            </w:tcBorders>
          </w:tcPr>
          <w:p w:rsidR="000A233F" w:rsidRDefault="000A233F" w:rsidP="00E910D0"/>
        </w:tc>
        <w:tc>
          <w:tcPr>
            <w:tcW w:w="6010"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left="33"/>
              <w:rPr>
                <w:rFonts w:ascii="Verdana" w:eastAsia="Verdana" w:hAnsi="Verdana" w:cs="Verdana"/>
                <w:sz w:val="18"/>
                <w:szCs w:val="18"/>
              </w:rPr>
            </w:pPr>
            <w:r>
              <w:rPr>
                <w:rFonts w:ascii="Verdana"/>
                <w:w w:val="95"/>
                <w:sz w:val="18"/>
              </w:rPr>
              <w:t>ANTONIO CASTRO</w:t>
            </w:r>
            <w:r>
              <w:rPr>
                <w:rFonts w:ascii="Verdana"/>
                <w:spacing w:val="-14"/>
                <w:w w:val="95"/>
                <w:sz w:val="18"/>
              </w:rPr>
              <w:t xml:space="preserve"> </w:t>
            </w:r>
            <w:proofErr w:type="spellStart"/>
            <w:r>
              <w:rPr>
                <w:rFonts w:ascii="Verdana"/>
                <w:w w:val="95"/>
                <w:sz w:val="18"/>
              </w:rPr>
              <w:t>CASTRO</w:t>
            </w:r>
            <w:proofErr w:type="spellEnd"/>
          </w:p>
        </w:tc>
        <w:tc>
          <w:tcPr>
            <w:tcW w:w="1289"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left="12"/>
              <w:jc w:val="center"/>
              <w:rPr>
                <w:rFonts w:ascii="Verdana" w:eastAsia="Verdana" w:hAnsi="Verdana" w:cs="Verdana"/>
                <w:sz w:val="18"/>
                <w:szCs w:val="18"/>
              </w:rPr>
            </w:pPr>
            <w:r>
              <w:rPr>
                <w:rFonts w:ascii="Verdana"/>
                <w:w w:val="95"/>
                <w:sz w:val="18"/>
              </w:rPr>
              <w:t>87.3</w:t>
            </w:r>
          </w:p>
        </w:tc>
        <w:tc>
          <w:tcPr>
            <w:tcW w:w="1466" w:type="dxa"/>
            <w:tcBorders>
              <w:top w:val="single" w:sz="15" w:space="0" w:color="4E81BD"/>
              <w:left w:val="single" w:sz="1" w:space="0" w:color="000000"/>
              <w:bottom w:val="single" w:sz="1" w:space="0" w:color="000000"/>
              <w:right w:val="single" w:sz="1" w:space="0" w:color="000000"/>
            </w:tcBorders>
          </w:tcPr>
          <w:p w:rsidR="000A233F" w:rsidRDefault="000A233F" w:rsidP="00E910D0">
            <w:pPr>
              <w:pStyle w:val="TableParagraph"/>
              <w:spacing w:before="16"/>
              <w:ind w:right="243"/>
              <w:jc w:val="right"/>
              <w:rPr>
                <w:rFonts w:ascii="Verdana" w:eastAsia="Verdana" w:hAnsi="Verdana" w:cs="Verdana"/>
                <w:sz w:val="18"/>
                <w:szCs w:val="18"/>
              </w:rPr>
            </w:pPr>
            <w:r>
              <w:rPr>
                <w:rFonts w:ascii="Verdana"/>
                <w:sz w:val="18"/>
              </w:rPr>
              <w:t>Sin</w:t>
            </w:r>
            <w:r>
              <w:rPr>
                <w:rFonts w:ascii="Verdana"/>
                <w:spacing w:val="-45"/>
                <w:sz w:val="18"/>
              </w:rPr>
              <w:t xml:space="preserve"> </w:t>
            </w:r>
            <w:proofErr w:type="spellStart"/>
            <w:r>
              <w:rPr>
                <w:rFonts w:ascii="Verdana"/>
                <w:sz w:val="18"/>
              </w:rPr>
              <w:t>cuantia</w:t>
            </w:r>
            <w:proofErr w:type="spellEnd"/>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sz w:val="18"/>
              </w:rPr>
              <w:t>BANCO</w:t>
            </w:r>
            <w:r>
              <w:rPr>
                <w:rFonts w:ascii="Verdana"/>
                <w:spacing w:val="-20"/>
                <w:sz w:val="18"/>
              </w:rPr>
              <w:t xml:space="preserve"> </w:t>
            </w:r>
            <w:r>
              <w:rPr>
                <w:rFonts w:ascii="Verdana"/>
                <w:sz w:val="18"/>
              </w:rPr>
              <w:t>POPULAR</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87.3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3"/>
              <w:jc w:val="right"/>
              <w:rPr>
                <w:rFonts w:ascii="Verdana" w:eastAsia="Verdana" w:hAnsi="Verdana" w:cs="Verdana"/>
                <w:sz w:val="18"/>
                <w:szCs w:val="18"/>
              </w:rPr>
            </w:pPr>
            <w:r>
              <w:rPr>
                <w:rFonts w:ascii="Verdana"/>
                <w:sz w:val="18"/>
              </w:rPr>
              <w:t>Sin</w:t>
            </w:r>
            <w:r>
              <w:rPr>
                <w:rFonts w:ascii="Verdana"/>
                <w:spacing w:val="-45"/>
                <w:sz w:val="18"/>
              </w:rPr>
              <w:t xml:space="preserve"> </w:t>
            </w:r>
            <w:proofErr w:type="spellStart"/>
            <w:r>
              <w:rPr>
                <w:rFonts w:ascii="Verdana"/>
                <w:sz w:val="18"/>
              </w:rPr>
              <w:t>cuantia</w:t>
            </w:r>
            <w:proofErr w:type="spellEnd"/>
          </w:p>
        </w:tc>
      </w:tr>
      <w:tr w:rsidR="000A233F" w:rsidTr="00E910D0">
        <w:trPr>
          <w:trHeight w:hRule="exact" w:val="305"/>
        </w:trPr>
        <w:tc>
          <w:tcPr>
            <w:tcW w:w="548" w:type="dxa"/>
            <w:vMerge/>
            <w:tcBorders>
              <w:left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BANCO SANTANDER</w:t>
            </w:r>
            <w:r>
              <w:rPr>
                <w:rFonts w:ascii="Verdana"/>
                <w:spacing w:val="-12"/>
                <w:w w:val="95"/>
                <w:sz w:val="18"/>
              </w:rPr>
              <w:t xml:space="preserve"> </w:t>
            </w:r>
            <w:r>
              <w:rPr>
                <w:rFonts w:ascii="Verdana"/>
                <w:w w:val="95"/>
                <w:sz w:val="18"/>
              </w:rPr>
              <w:t>SA</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87.3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3"/>
              <w:jc w:val="right"/>
              <w:rPr>
                <w:rFonts w:ascii="Verdana" w:eastAsia="Verdana" w:hAnsi="Verdana" w:cs="Verdana"/>
                <w:sz w:val="18"/>
                <w:szCs w:val="18"/>
              </w:rPr>
            </w:pPr>
            <w:r>
              <w:rPr>
                <w:rFonts w:ascii="Verdana"/>
                <w:sz w:val="18"/>
              </w:rPr>
              <w:t>Sin</w:t>
            </w:r>
            <w:r>
              <w:rPr>
                <w:rFonts w:ascii="Verdana"/>
                <w:spacing w:val="-45"/>
                <w:sz w:val="18"/>
              </w:rPr>
              <w:t xml:space="preserve"> </w:t>
            </w:r>
            <w:proofErr w:type="spellStart"/>
            <w:r>
              <w:rPr>
                <w:rFonts w:ascii="Verdana"/>
                <w:sz w:val="18"/>
              </w:rPr>
              <w:t>cuantia</w:t>
            </w:r>
            <w:proofErr w:type="spellEnd"/>
          </w:p>
        </w:tc>
      </w:tr>
      <w:tr w:rsidR="000A233F" w:rsidTr="00E910D0">
        <w:trPr>
          <w:trHeight w:hRule="exact" w:val="305"/>
        </w:trPr>
        <w:tc>
          <w:tcPr>
            <w:tcW w:w="548" w:type="dxa"/>
            <w:vMerge/>
            <w:tcBorders>
              <w:left w:val="nil"/>
              <w:bottom w:val="nil"/>
              <w:right w:val="single" w:sz="1" w:space="0" w:color="000000"/>
            </w:tcBorders>
          </w:tcPr>
          <w:p w:rsidR="000A233F" w:rsidRDefault="000A233F" w:rsidP="00E910D0"/>
        </w:tc>
        <w:tc>
          <w:tcPr>
            <w:tcW w:w="6010"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33"/>
              <w:rPr>
                <w:rFonts w:ascii="Verdana" w:eastAsia="Verdana" w:hAnsi="Verdana" w:cs="Verdana"/>
                <w:sz w:val="18"/>
                <w:szCs w:val="18"/>
              </w:rPr>
            </w:pPr>
            <w:r>
              <w:rPr>
                <w:rFonts w:ascii="Verdana"/>
                <w:w w:val="95"/>
                <w:sz w:val="18"/>
              </w:rPr>
              <w:t>MANUEL</w:t>
            </w:r>
            <w:r>
              <w:rPr>
                <w:rFonts w:ascii="Verdana"/>
                <w:spacing w:val="-34"/>
                <w:w w:val="95"/>
                <w:sz w:val="18"/>
              </w:rPr>
              <w:t xml:space="preserve"> </w:t>
            </w:r>
            <w:r>
              <w:rPr>
                <w:rFonts w:ascii="Verdana"/>
                <w:w w:val="95"/>
                <w:sz w:val="18"/>
              </w:rPr>
              <w:t>MARMOL</w:t>
            </w:r>
            <w:r>
              <w:rPr>
                <w:rFonts w:ascii="Verdana"/>
                <w:spacing w:val="-34"/>
                <w:w w:val="95"/>
                <w:sz w:val="18"/>
              </w:rPr>
              <w:t xml:space="preserve"> </w:t>
            </w:r>
            <w:r>
              <w:rPr>
                <w:rFonts w:ascii="Verdana"/>
                <w:w w:val="95"/>
                <w:sz w:val="18"/>
              </w:rPr>
              <w:t>GUTIERREZ</w:t>
            </w:r>
          </w:p>
        </w:tc>
        <w:tc>
          <w:tcPr>
            <w:tcW w:w="1289"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left="12"/>
              <w:jc w:val="center"/>
              <w:rPr>
                <w:rFonts w:ascii="Verdana" w:eastAsia="Verdana" w:hAnsi="Verdana" w:cs="Verdana"/>
                <w:sz w:val="18"/>
                <w:szCs w:val="18"/>
              </w:rPr>
            </w:pPr>
            <w:r>
              <w:rPr>
                <w:rFonts w:ascii="Verdana"/>
                <w:w w:val="95"/>
                <w:sz w:val="18"/>
              </w:rPr>
              <w:t>87.3</w:t>
            </w:r>
          </w:p>
        </w:tc>
        <w:tc>
          <w:tcPr>
            <w:tcW w:w="1466" w:type="dxa"/>
            <w:tcBorders>
              <w:top w:val="single" w:sz="1" w:space="0" w:color="000000"/>
              <w:left w:val="single" w:sz="1" w:space="0" w:color="000000"/>
              <w:bottom w:val="single" w:sz="1" w:space="0" w:color="000000"/>
              <w:right w:val="single" w:sz="1" w:space="0" w:color="000000"/>
            </w:tcBorders>
          </w:tcPr>
          <w:p w:rsidR="000A233F" w:rsidRDefault="000A233F" w:rsidP="00E910D0">
            <w:pPr>
              <w:pStyle w:val="TableParagraph"/>
              <w:spacing w:before="32"/>
              <w:ind w:right="243"/>
              <w:jc w:val="right"/>
              <w:rPr>
                <w:rFonts w:ascii="Verdana" w:eastAsia="Verdana" w:hAnsi="Verdana" w:cs="Verdana"/>
                <w:sz w:val="18"/>
                <w:szCs w:val="18"/>
              </w:rPr>
            </w:pPr>
            <w:r>
              <w:rPr>
                <w:rFonts w:ascii="Verdana"/>
                <w:sz w:val="18"/>
              </w:rPr>
              <w:t>Sin</w:t>
            </w:r>
            <w:r>
              <w:rPr>
                <w:rFonts w:ascii="Verdana"/>
                <w:spacing w:val="-45"/>
                <w:sz w:val="18"/>
              </w:rPr>
              <w:t xml:space="preserve"> </w:t>
            </w:r>
            <w:proofErr w:type="spellStart"/>
            <w:r>
              <w:rPr>
                <w:rFonts w:ascii="Verdana"/>
                <w:sz w:val="18"/>
              </w:rPr>
              <w:t>cuantia</w:t>
            </w:r>
            <w:proofErr w:type="spellEnd"/>
          </w:p>
        </w:tc>
      </w:tr>
    </w:tbl>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Pr="000D0204" w:rsidRDefault="000A233F" w:rsidP="000A233F">
      <w:pPr>
        <w:pStyle w:val="Textoindependiente"/>
        <w:spacing w:before="69"/>
        <w:ind w:left="119" w:right="-12"/>
        <w:rPr>
          <w:b w:val="0"/>
          <w:bCs w:val="0"/>
          <w:lang w:val="es-ES_tradnl"/>
        </w:rPr>
      </w:pPr>
      <w:r w:rsidRPr="000D0204">
        <w:rPr>
          <w:lang w:val="es-ES_tradnl"/>
        </w:rPr>
        <w:t>COMERCIAL</w:t>
      </w:r>
      <w:r w:rsidRPr="000D0204">
        <w:rPr>
          <w:spacing w:val="-8"/>
          <w:lang w:val="es-ES_tradnl"/>
        </w:rPr>
        <w:t xml:space="preserve"> </w:t>
      </w:r>
      <w:r w:rsidRPr="000D0204">
        <w:rPr>
          <w:lang w:val="es-ES_tradnl"/>
        </w:rPr>
        <w:t>DE</w:t>
      </w:r>
      <w:r w:rsidRPr="000D0204">
        <w:rPr>
          <w:spacing w:val="-8"/>
          <w:lang w:val="es-ES_tradnl"/>
        </w:rPr>
        <w:t xml:space="preserve"> </w:t>
      </w:r>
      <w:r w:rsidRPr="000D0204">
        <w:rPr>
          <w:lang w:val="es-ES_tradnl"/>
        </w:rPr>
        <w:t>MADERAS</w:t>
      </w:r>
      <w:r w:rsidRPr="000D0204">
        <w:rPr>
          <w:spacing w:val="-8"/>
          <w:lang w:val="es-ES_tradnl"/>
        </w:rPr>
        <w:t xml:space="preserve"> </w:t>
      </w:r>
      <w:r w:rsidRPr="000D0204">
        <w:rPr>
          <w:lang w:val="es-ES_tradnl"/>
        </w:rPr>
        <w:t>Y</w:t>
      </w:r>
      <w:r w:rsidRPr="000D0204">
        <w:rPr>
          <w:spacing w:val="-8"/>
          <w:lang w:val="es-ES_tradnl"/>
        </w:rPr>
        <w:t xml:space="preserve"> </w:t>
      </w:r>
      <w:r w:rsidRPr="000D0204">
        <w:rPr>
          <w:lang w:val="es-ES_tradnl"/>
        </w:rPr>
        <w:t>FERRETERIA,</w:t>
      </w:r>
      <w:r w:rsidRPr="000D0204">
        <w:rPr>
          <w:spacing w:val="-8"/>
          <w:lang w:val="es-ES_tradnl"/>
        </w:rPr>
        <w:t xml:space="preserve"> </w:t>
      </w:r>
      <w:r w:rsidRPr="000D0204">
        <w:rPr>
          <w:lang w:val="es-ES_tradnl"/>
        </w:rPr>
        <w:t>S.A</w:t>
      </w:r>
    </w:p>
    <w:p w:rsidR="000A233F" w:rsidRDefault="000A233F" w:rsidP="000A233F">
      <w:pPr>
        <w:pStyle w:val="Textoindependiente"/>
        <w:ind w:left="119" w:right="-12"/>
        <w:rPr>
          <w:lang w:val="es-ES_tradnl"/>
        </w:rPr>
      </w:pPr>
      <w:r w:rsidRPr="000D0204">
        <w:rPr>
          <w:lang w:val="es-ES_tradnl"/>
        </w:rPr>
        <w:t>Concurso Voluntario</w:t>
      </w:r>
      <w:r w:rsidRPr="000D0204">
        <w:rPr>
          <w:spacing w:val="-33"/>
          <w:lang w:val="es-ES_tradnl"/>
        </w:rPr>
        <w:t xml:space="preserve"> </w:t>
      </w:r>
      <w:r>
        <w:rPr>
          <w:spacing w:val="-33"/>
          <w:lang w:val="es-ES_tradnl"/>
        </w:rPr>
        <w:t xml:space="preserve"> </w:t>
      </w:r>
      <w:r w:rsidRPr="000D0204">
        <w:rPr>
          <w:lang w:val="es-ES_tradnl"/>
        </w:rPr>
        <w:t>409/13</w:t>
      </w: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b/>
        <w:t xml:space="preserve">V) </w:t>
      </w:r>
      <w:r w:rsidRPr="008E0204">
        <w:rPr>
          <w:rFonts w:ascii="Times New Roman" w:hAnsi="Times New Roman" w:cs="Times New Roman"/>
          <w:b/>
          <w:sz w:val="24"/>
          <w:szCs w:val="24"/>
          <w:u w:val="single"/>
        </w:rPr>
        <w:t>CONCLUSIONES</w:t>
      </w:r>
      <w:r>
        <w:rPr>
          <w:rFonts w:ascii="Times New Roman" w:hAnsi="Times New Roman" w:cs="Times New Roman"/>
          <w:b/>
          <w:sz w:val="24"/>
          <w:szCs w:val="24"/>
        </w:rPr>
        <w:t xml:space="preserve">. </w:t>
      </w:r>
    </w:p>
    <w:p w:rsidR="000A233F" w:rsidRPr="007F1816" w:rsidRDefault="000A233F" w:rsidP="000A233F">
      <w:pPr>
        <w:pStyle w:val="Sinespaciado"/>
        <w:spacing w:line="360" w:lineRule="auto"/>
        <w:ind w:firstLine="708"/>
        <w:jc w:val="both"/>
        <w:rPr>
          <w:rFonts w:ascii="Times New Roman" w:hAnsi="Times New Roman" w:cs="Times New Roman"/>
          <w:sz w:val="24"/>
          <w:szCs w:val="24"/>
        </w:rPr>
      </w:pPr>
      <w:r w:rsidRPr="007F1816">
        <w:rPr>
          <w:rFonts w:ascii="Times New Roman" w:hAnsi="Times New Roman" w:cs="Times New Roman"/>
          <w:sz w:val="24"/>
          <w:szCs w:val="24"/>
        </w:rPr>
        <w:t xml:space="preserve">Los créditos contra la masa se consideran los derivados del coste del concurso de acreedores, es decir, de su declaración; mientras que los concursales son aquellos créditos que han provocado el concurso. </w:t>
      </w:r>
    </w:p>
    <w:p w:rsidR="000A233F" w:rsidRDefault="000A233F" w:rsidP="000A233F">
      <w:pPr>
        <w:pStyle w:val="Sinespaciado"/>
        <w:spacing w:line="360" w:lineRule="auto"/>
        <w:ind w:firstLine="708"/>
        <w:jc w:val="both"/>
        <w:rPr>
          <w:rFonts w:ascii="Times New Roman" w:hAnsi="Times New Roman" w:cs="Times New Roman"/>
          <w:sz w:val="24"/>
          <w:szCs w:val="24"/>
        </w:rPr>
      </w:pPr>
      <w:r w:rsidRPr="007F1816">
        <w:rPr>
          <w:rFonts w:ascii="Times New Roman" w:hAnsi="Times New Roman" w:cs="Times New Roman"/>
          <w:sz w:val="24"/>
          <w:szCs w:val="24"/>
        </w:rPr>
        <w:t>La prioridad de pago de los créditos contra la masa se basa en su naturaleza extra</w:t>
      </w:r>
      <w:r>
        <w:rPr>
          <w:rFonts w:ascii="Times New Roman" w:hAnsi="Times New Roman" w:cs="Times New Roman"/>
          <w:sz w:val="24"/>
          <w:szCs w:val="24"/>
        </w:rPr>
        <w:t xml:space="preserve"> </w:t>
      </w:r>
      <w:r w:rsidRPr="007F1816">
        <w:rPr>
          <w:rFonts w:ascii="Times New Roman" w:hAnsi="Times New Roman" w:cs="Times New Roman"/>
          <w:sz w:val="24"/>
          <w:szCs w:val="24"/>
        </w:rPr>
        <w:t>concursal, es decir, en que surgen después de la declaración del concu</w:t>
      </w:r>
      <w:r>
        <w:rPr>
          <w:rFonts w:ascii="Times New Roman" w:hAnsi="Times New Roman" w:cs="Times New Roman"/>
          <w:sz w:val="24"/>
          <w:szCs w:val="24"/>
        </w:rPr>
        <w:t>rso y hay que asegurar su cobro ya que permiten que el proceso concursal se desarrolle.</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créditos más comunes o abundantes en cualquier concurso de acreedores suelen ser los ordinarios, y dada la cantidad de créditos que tienen preferencia de cobro respecto a éstos, son los que menos posibilidad tienen de satisfacerse completamente.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administración concursal es un órgano fundamental, desde mi punto de vista el más importante del concurso porque de su eficiente labor depende el correcto desarrollo del proceso y cualquier error de ésta puede perjudicar gravemente tanto al patrimonio del deudor como a los acreedores.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fase de comunicación de créditos es esencial para los acreedores, porque de ella depende en la mayor parte su inclusión o exclusión así como en el caso de la inclusión la consiguiente calificación. Si un acreedor comunica su crédito contra el deudor en tiempo, forma y con pruebas fehacientes que demuestren la existencia del mismo como regla general será incluido en la lista de acreedores; pero si lo hace fuera del plazo concedido para ello o los documentos que aporta como pruebas no justifican claramente el crédito corre el riesgo de ser excluido de la lista o en el caso de que sea admitido que se califique como subordinado.</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lo que respecta a la fase de reconocimiento de créditos, la administración concursal debe actuar siempre con cautela y motivando todas sus decisiones de acuerdo a la legalidad. De esa motivación depende el éxito de la lista de acreedores y también creo que del proceso concursal, ya que si con los argumentos dados para las inclusiones y exclusiones los acreedores, el deudor y demás interesados quedan conformes no se producirán impugnaciones y esto facilitará la conclusión del concurso.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hecho de que el incidente concursal sea la única vía para tratar todas las cuestiones relativas al concurso, salvo alguna excepción puntual, creo que favorece mucho la fluidez del proceso concursal porque dichas cuestiones se resuelven al margen de éste sin paralizarlo y una vez resueltas se incorporan al proceso o no dependiendo de la solución dada.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 mi parecer es un error que la administración concursal tenga que reconocer de forma forzosa o automática los créditos que ostentan esta calificación sin entrar a valorarlos en la fase de reconocimiento, porque puede suceder que a la hora de las impugnaciones que realiza ésta impugne de forma justificada y motivada alguno de esos créditos por no estar de acuerdo con su inclusión en el pasivo. Si en la fase previa se le permitiera verificar todo lo relacionado con ellos a pesar de la veracidad que se les presume, creo que se ahorrarían algunos trámites.</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exponente máximo de la Concursalidad de los acreedores desde mi punto de vista es el hecho de que unos acreedores puedan impugnar la inclusión al pasivo de otros. Porque aunque a primera vista pueda parecer que lo único importante para cada acreedor es la inclusión del crédito del que son titulares, también les influye la inclusión de otros acreedores porque con ello se disminuyen las posibilidades de satisfacción de los créditos. Por eso creo que es adecuado que se permita a todos los acreedores impugnar todos los créditos.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informe concursal elaborado por la administración concursal no es susceptible de impugnación, lo único que se puede impugnar es la lista de acreedores y el inventario de la masa activa. Y el único órgano competente para conocer de dichas impugnaciones es el Juez del concurso.</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medios de publicidad fijados legalmente para el conocimiento de la lista de acreedores bajo mi punto de vista son adecuados, pero creo que la notificación personalizada es esencial para los acreedores ya que si por algún motivo no pueden acudir al Juzgado o no les llega la comunicación general se estarían limitando sus derechos de participación en el concurso; por eso opino que de los dos medios el más importante es la comunicación personal e individualizada. </w:t>
      </w:r>
    </w:p>
    <w:p w:rsidR="000A233F" w:rsidRDefault="000A233F" w:rsidP="000A233F">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Y una última conclusión desde mi perspectiva más personal, es que en la mayoría de los casos el montante de la masa activa no es suficiente para satisfacer todas las deudas del concursado y aunque en la LC se hayan arbitrado reglas de preferencia de cobro creo que no son del todo justas. Yo veo que es muy relativo el hecho de que por ejemplo el trabajador de una empresa de construcción que ha entrado en concurso al cual se le deben unos meses de sueldo tenga “más derecho” o dicho de otra forma, tenga derecho a cobrar antes, que una persona que dio los ahorros de su vida para adquirir una vivienda y se ha quedado sin ésta y sin el dinero, porque dadas esas reglas de preferencia de cobro los créditos ordinarios raramente son satisfechos en su totalidad.</w:t>
      </w:r>
    </w:p>
    <w:p w:rsidR="000A233F" w:rsidRPr="006A47EE" w:rsidRDefault="000A233F" w:rsidP="000A233F">
      <w:pPr>
        <w:pStyle w:val="Sinespaciado"/>
        <w:spacing w:line="360" w:lineRule="auto"/>
        <w:ind w:firstLine="708"/>
        <w:jc w:val="both"/>
        <w:rPr>
          <w:rFonts w:ascii="Times New Roman" w:hAnsi="Times New Roman" w:cs="Times New Roman"/>
          <w:sz w:val="24"/>
          <w:szCs w:val="24"/>
        </w:rPr>
      </w:pPr>
    </w:p>
    <w:p w:rsidR="000A233F" w:rsidRDefault="000A233F" w:rsidP="000A233F">
      <w:pPr>
        <w:pStyle w:val="Sinespaciado"/>
        <w:tabs>
          <w:tab w:val="left" w:pos="426"/>
          <w:tab w:val="left" w:pos="709"/>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b/>
        <w:t xml:space="preserve">VI) </w:t>
      </w:r>
      <w:r w:rsidRPr="008E0204">
        <w:rPr>
          <w:rFonts w:ascii="Times New Roman" w:hAnsi="Times New Roman" w:cs="Times New Roman"/>
          <w:b/>
          <w:sz w:val="24"/>
          <w:szCs w:val="24"/>
          <w:u w:val="single"/>
        </w:rPr>
        <w:t>BIBLIOGRAFÍA</w:t>
      </w:r>
      <w:r>
        <w:rPr>
          <w:rFonts w:ascii="Times New Roman" w:hAnsi="Times New Roman" w:cs="Times New Roman"/>
          <w:b/>
          <w:sz w:val="24"/>
          <w:szCs w:val="24"/>
        </w:rPr>
        <w:t>.</w:t>
      </w:r>
    </w:p>
    <w:p w:rsidR="00FA271E" w:rsidRDefault="000A233F" w:rsidP="00FA271E">
      <w:pPr>
        <w:autoSpaceDE w:val="0"/>
        <w:autoSpaceDN w:val="0"/>
        <w:adjustRightInd w:val="0"/>
        <w:spacing w:after="0" w:line="360" w:lineRule="auto"/>
        <w:ind w:firstLine="708"/>
        <w:jc w:val="both"/>
        <w:rPr>
          <w:rFonts w:ascii="Times New Roman" w:hAnsi="Times New Roman" w:cs="Times New Roman"/>
          <w:sz w:val="24"/>
          <w:szCs w:val="24"/>
        </w:rPr>
      </w:pPr>
      <w:r w:rsidRPr="00AC571D">
        <w:rPr>
          <w:rFonts w:ascii="Times New Roman" w:hAnsi="Times New Roman" w:cs="Times New Roman"/>
          <w:sz w:val="20"/>
          <w:szCs w:val="20"/>
        </w:rPr>
        <w:t xml:space="preserve"> </w:t>
      </w:r>
      <w:r w:rsidR="00FA271E">
        <w:rPr>
          <w:rFonts w:ascii="Times New Roman" w:hAnsi="Times New Roman" w:cs="Times New Roman"/>
          <w:sz w:val="24"/>
          <w:szCs w:val="24"/>
        </w:rPr>
        <w:t xml:space="preserve">BERMEJO GUTIÉRREZ, N. (2015) </w:t>
      </w:r>
      <w:r w:rsidR="00FA271E">
        <w:rPr>
          <w:rFonts w:ascii="Times New Roman" w:hAnsi="Times New Roman" w:cs="Times New Roman"/>
          <w:i/>
          <w:sz w:val="24"/>
          <w:szCs w:val="24"/>
        </w:rPr>
        <w:t xml:space="preserve">Comentario al artículo 86 de la Ley Concursal. </w:t>
      </w:r>
      <w:r w:rsidR="00FA271E">
        <w:rPr>
          <w:rFonts w:ascii="Times New Roman" w:hAnsi="Times New Roman" w:cs="Times New Roman"/>
          <w:sz w:val="24"/>
          <w:szCs w:val="24"/>
        </w:rPr>
        <w:t>BIB 2015/9080. Editorial Aranzadi SA.</w:t>
      </w:r>
    </w:p>
    <w:p w:rsidR="00FA271E" w:rsidRDefault="00FA271E" w:rsidP="00FA271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GARCÍA ESCOBAR, GABRIEL A. El tratamiento de los créditos concursales y el principio par </w:t>
      </w:r>
      <w:proofErr w:type="spellStart"/>
      <w:r>
        <w:rPr>
          <w:rFonts w:ascii="Times New Roman" w:hAnsi="Times New Roman" w:cs="Times New Roman"/>
          <w:sz w:val="24"/>
          <w:szCs w:val="24"/>
        </w:rPr>
        <w:t>conditio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creditorum</w:t>
      </w:r>
      <w:proofErr w:type="spellEnd"/>
      <w:r>
        <w:rPr>
          <w:rFonts w:ascii="Times New Roman" w:hAnsi="Times New Roman" w:cs="Times New Roman"/>
          <w:sz w:val="24"/>
          <w:szCs w:val="24"/>
        </w:rPr>
        <w:t xml:space="preserve">. </w:t>
      </w:r>
      <w:r>
        <w:rPr>
          <w:rFonts w:ascii="Times New Roman" w:hAnsi="Times New Roman" w:cs="Times New Roman"/>
          <w:i/>
          <w:sz w:val="24"/>
          <w:szCs w:val="24"/>
        </w:rPr>
        <w:t>Revista Internacional de Doctrina y jurisprudencia</w:t>
      </w:r>
      <w:r>
        <w:rPr>
          <w:rFonts w:ascii="Times New Roman" w:hAnsi="Times New Roman" w:cs="Times New Roman"/>
          <w:sz w:val="24"/>
          <w:szCs w:val="24"/>
        </w:rPr>
        <w:t>.</w:t>
      </w:r>
    </w:p>
    <w:p w:rsidR="00FA271E" w:rsidRDefault="00FA271E" w:rsidP="00FA271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HERNÁNDEZ ORTEGA, A. (2013) </w:t>
      </w:r>
      <w:r>
        <w:rPr>
          <w:rFonts w:ascii="Times New Roman" w:hAnsi="Times New Roman" w:cs="Times New Roman"/>
          <w:i/>
          <w:sz w:val="24"/>
          <w:szCs w:val="24"/>
        </w:rPr>
        <w:t>Revista de la escuela de práctica jurídica de la facultad de Derecho de la Universidad de Zaragoza.</w:t>
      </w:r>
      <w:r>
        <w:rPr>
          <w:rFonts w:ascii="Times New Roman" w:hAnsi="Times New Roman" w:cs="Times New Roman"/>
          <w:sz w:val="24"/>
          <w:szCs w:val="24"/>
        </w:rPr>
        <w:t xml:space="preserve"> “Calificación de créditos. Lista provisional y definitiva de acreedores”.</w:t>
      </w:r>
    </w:p>
    <w:p w:rsidR="00FA271E" w:rsidRDefault="00FA271E" w:rsidP="00FA271E">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JIMENEZ SANCHEZ, GUILLERMO J. y DIAZ MORENO, A. (2014) Lecciones de derecho mercantil. Madrid: </w:t>
      </w:r>
      <w:proofErr w:type="spellStart"/>
      <w:r>
        <w:rPr>
          <w:rFonts w:ascii="Times New Roman" w:hAnsi="Times New Roman" w:cs="Times New Roman"/>
          <w:sz w:val="24"/>
          <w:szCs w:val="24"/>
        </w:rPr>
        <w:t>Tecnos</w:t>
      </w:r>
      <w:proofErr w:type="spellEnd"/>
      <w:r>
        <w:rPr>
          <w:rFonts w:ascii="Times New Roman" w:hAnsi="Times New Roman" w:cs="Times New Roman"/>
          <w:sz w:val="24"/>
          <w:szCs w:val="24"/>
        </w:rPr>
        <w:t xml:space="preserve">. </w:t>
      </w:r>
    </w:p>
    <w:p w:rsidR="00FA271E" w:rsidRDefault="00FA271E" w:rsidP="00FA271E">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MERCADAL J. y CUEVILLAS A. (2004) Nueva Ley Concursal, Ley 22/2003: comentarios, jurisprudencia aplicable y formularios. Barcelona: Bosch. </w:t>
      </w:r>
    </w:p>
    <w:p w:rsidR="00FA271E" w:rsidRDefault="00FA271E" w:rsidP="00FA271E">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NAVARRO CASTRO, M. (2008) Los créditos contra la masa en el concurso de acreedores. Madrid: Reus. </w:t>
      </w:r>
    </w:p>
    <w:p w:rsidR="00FA271E" w:rsidRDefault="00FA271E" w:rsidP="00FA271E">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VEIGA COPO, ABEL B. (2010) La masa pasiva del concurso de acreedores. Pamplona: </w:t>
      </w:r>
      <w:proofErr w:type="spellStart"/>
      <w:r>
        <w:rPr>
          <w:rFonts w:ascii="Times New Roman" w:hAnsi="Times New Roman" w:cs="Times New Roman"/>
          <w:sz w:val="24"/>
          <w:szCs w:val="24"/>
        </w:rPr>
        <w:t>Civitas</w:t>
      </w:r>
      <w:proofErr w:type="spellEnd"/>
      <w:r>
        <w:rPr>
          <w:rFonts w:ascii="Times New Roman" w:hAnsi="Times New Roman" w:cs="Times New Roman"/>
          <w:sz w:val="24"/>
          <w:szCs w:val="24"/>
        </w:rPr>
        <w:t>.</w:t>
      </w:r>
    </w:p>
    <w:p w:rsidR="00FA271E" w:rsidRDefault="00FA271E" w:rsidP="00FA271E">
      <w:pPr>
        <w:pStyle w:val="Sinespaciado"/>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Ley 22/2003, de 9 de Julio, Concursal. </w:t>
      </w:r>
    </w:p>
    <w:p w:rsidR="000A233F" w:rsidRPr="006525B1" w:rsidRDefault="000A233F" w:rsidP="00FA271E">
      <w:pPr>
        <w:pStyle w:val="Sinespaciado"/>
        <w:spacing w:line="360" w:lineRule="auto"/>
        <w:ind w:firstLine="708"/>
        <w:jc w:val="both"/>
        <w:rPr>
          <w:rFonts w:ascii="Times New Roman" w:hAnsi="Times New Roman" w:cs="Times New Roman"/>
          <w:sz w:val="24"/>
          <w:szCs w:val="24"/>
        </w:rPr>
      </w:pPr>
    </w:p>
    <w:p w:rsidR="000A233F" w:rsidRPr="008E0204" w:rsidRDefault="000A233F" w:rsidP="000A233F">
      <w:pPr>
        <w:pStyle w:val="Sinespaciado"/>
        <w:spacing w:line="360" w:lineRule="auto"/>
        <w:ind w:left="360"/>
        <w:jc w:val="both"/>
        <w:rPr>
          <w:rFonts w:ascii="Times New Roman" w:hAnsi="Times New Roman" w:cs="Times New Roman"/>
          <w:b/>
          <w:sz w:val="24"/>
          <w:szCs w:val="24"/>
        </w:rPr>
      </w:pPr>
    </w:p>
    <w:p w:rsidR="000A233F" w:rsidRPr="00893370" w:rsidRDefault="000A233F" w:rsidP="000A233F">
      <w:pPr>
        <w:pStyle w:val="Sinespaciado"/>
        <w:tabs>
          <w:tab w:val="left" w:pos="1276"/>
        </w:tabs>
        <w:spacing w:line="360" w:lineRule="auto"/>
        <w:jc w:val="both"/>
        <w:rPr>
          <w:rFonts w:ascii="Times New Roman" w:hAnsi="Times New Roman" w:cs="Times New Roman"/>
          <w:sz w:val="24"/>
          <w:szCs w:val="24"/>
        </w:rPr>
      </w:pPr>
    </w:p>
    <w:p w:rsidR="008E0204" w:rsidRPr="008E0204" w:rsidRDefault="008E0204" w:rsidP="008E0204">
      <w:pPr>
        <w:pStyle w:val="Sinespaciado"/>
        <w:spacing w:line="360" w:lineRule="auto"/>
        <w:ind w:left="360"/>
        <w:jc w:val="both"/>
        <w:rPr>
          <w:rFonts w:ascii="Times New Roman" w:hAnsi="Times New Roman" w:cs="Times New Roman"/>
          <w:b/>
          <w:sz w:val="24"/>
          <w:szCs w:val="24"/>
        </w:rPr>
      </w:pPr>
    </w:p>
    <w:p w:rsidR="008E0204" w:rsidRPr="00893370" w:rsidRDefault="008E0204" w:rsidP="00893370">
      <w:pPr>
        <w:pStyle w:val="Sinespaciado"/>
        <w:tabs>
          <w:tab w:val="left" w:pos="1276"/>
        </w:tabs>
        <w:spacing w:line="360" w:lineRule="auto"/>
        <w:jc w:val="both"/>
        <w:rPr>
          <w:rFonts w:ascii="Times New Roman" w:hAnsi="Times New Roman" w:cs="Times New Roman"/>
          <w:sz w:val="24"/>
          <w:szCs w:val="24"/>
        </w:rPr>
      </w:pPr>
    </w:p>
    <w:sectPr w:rsidR="008E0204" w:rsidRPr="00893370" w:rsidSect="009415BF">
      <w:footerReference w:type="default" r:id="rId16"/>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38EB" w:rsidRDefault="003238EB" w:rsidP="00347AC8">
      <w:pPr>
        <w:spacing w:after="0" w:line="240" w:lineRule="auto"/>
      </w:pPr>
      <w:r>
        <w:separator/>
      </w:r>
    </w:p>
  </w:endnote>
  <w:endnote w:type="continuationSeparator" w:id="0">
    <w:p w:rsidR="003238EB" w:rsidRDefault="003238EB" w:rsidP="00347AC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6623"/>
      <w:docPartObj>
        <w:docPartGallery w:val="Page Numbers (Bottom of Page)"/>
        <w:docPartUnique/>
      </w:docPartObj>
    </w:sdtPr>
    <w:sdtContent>
      <w:p w:rsidR="00160C4B" w:rsidRDefault="00DA139A">
        <w:pPr>
          <w:pStyle w:val="Piedepgina"/>
          <w:jc w:val="right"/>
        </w:pPr>
        <w:fldSimple w:instr=" PAGE   \* MERGEFORMAT ">
          <w:r w:rsidR="00FA271E">
            <w:rPr>
              <w:noProof/>
            </w:rPr>
            <w:t>56</w:t>
          </w:r>
        </w:fldSimple>
      </w:p>
    </w:sdtContent>
  </w:sdt>
  <w:p w:rsidR="00160C4B" w:rsidRDefault="00160C4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38EB" w:rsidRDefault="003238EB" w:rsidP="00347AC8">
      <w:pPr>
        <w:spacing w:after="0" w:line="240" w:lineRule="auto"/>
      </w:pPr>
      <w:r>
        <w:separator/>
      </w:r>
    </w:p>
  </w:footnote>
  <w:footnote w:type="continuationSeparator" w:id="0">
    <w:p w:rsidR="003238EB" w:rsidRDefault="003238EB" w:rsidP="00347AC8">
      <w:pPr>
        <w:spacing w:after="0" w:line="240" w:lineRule="auto"/>
      </w:pPr>
      <w:r>
        <w:continuationSeparator/>
      </w:r>
    </w:p>
  </w:footnote>
  <w:footnote w:id="1">
    <w:p w:rsidR="000A233F" w:rsidRPr="00F4039C" w:rsidRDefault="000A233F" w:rsidP="000A233F">
      <w:pPr>
        <w:pStyle w:val="Sinespaciado"/>
        <w:jc w:val="both"/>
        <w:rPr>
          <w:rFonts w:ascii="Times New Roman" w:hAnsi="Times New Roman" w:cs="Times New Roman"/>
          <w:sz w:val="20"/>
          <w:szCs w:val="20"/>
        </w:rPr>
      </w:pPr>
      <w:r w:rsidRPr="00F4039C">
        <w:rPr>
          <w:rStyle w:val="Refdenotaalpie"/>
          <w:rFonts w:ascii="Times New Roman" w:hAnsi="Times New Roman" w:cs="Times New Roman"/>
          <w:sz w:val="20"/>
          <w:szCs w:val="20"/>
        </w:rPr>
        <w:footnoteRef/>
      </w:r>
      <w:r>
        <w:rPr>
          <w:rFonts w:ascii="Times New Roman" w:hAnsi="Times New Roman" w:cs="Times New Roman"/>
          <w:sz w:val="20"/>
          <w:szCs w:val="20"/>
        </w:rPr>
        <w:t xml:space="preserve">Jiménez Sánchez, Guillermo J. y </w:t>
      </w:r>
      <w:r w:rsidRPr="00F4039C">
        <w:rPr>
          <w:rFonts w:ascii="Times New Roman" w:hAnsi="Times New Roman" w:cs="Times New Roman"/>
          <w:sz w:val="20"/>
          <w:szCs w:val="20"/>
        </w:rPr>
        <w:t>D</w:t>
      </w:r>
      <w:r>
        <w:rPr>
          <w:rFonts w:ascii="Times New Roman" w:hAnsi="Times New Roman" w:cs="Times New Roman"/>
          <w:sz w:val="20"/>
          <w:szCs w:val="20"/>
        </w:rPr>
        <w:t>íaz Moreno</w:t>
      </w:r>
      <w:r w:rsidRPr="00F4039C">
        <w:rPr>
          <w:rFonts w:ascii="Times New Roman" w:hAnsi="Times New Roman" w:cs="Times New Roman"/>
          <w:sz w:val="20"/>
          <w:szCs w:val="20"/>
        </w:rPr>
        <w:t xml:space="preserve">, A. (2014) Lecciones de derecho mercantil. Madrid: </w:t>
      </w:r>
      <w:proofErr w:type="spellStart"/>
      <w:r w:rsidRPr="00F4039C">
        <w:rPr>
          <w:rFonts w:ascii="Times New Roman" w:hAnsi="Times New Roman" w:cs="Times New Roman"/>
          <w:sz w:val="20"/>
          <w:szCs w:val="20"/>
        </w:rPr>
        <w:t>Tecnos</w:t>
      </w:r>
      <w:proofErr w:type="spellEnd"/>
      <w:r w:rsidRPr="00F4039C">
        <w:rPr>
          <w:rFonts w:ascii="Times New Roman" w:hAnsi="Times New Roman" w:cs="Times New Roman"/>
          <w:sz w:val="20"/>
          <w:szCs w:val="20"/>
        </w:rPr>
        <w:t xml:space="preserve">. </w:t>
      </w:r>
    </w:p>
    <w:p w:rsidR="000A233F" w:rsidRDefault="000A233F" w:rsidP="000A233F">
      <w:pPr>
        <w:pStyle w:val="Textonotapie"/>
      </w:pPr>
    </w:p>
  </w:footnote>
  <w:footnote w:id="2">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Abel B.</w:t>
      </w:r>
      <w:r w:rsidRPr="00104E2A">
        <w:rPr>
          <w:rFonts w:ascii="Times New Roman" w:hAnsi="Times New Roman" w:cs="Times New Roman"/>
        </w:rPr>
        <w:t xml:space="preserve"> (2010) </w:t>
      </w:r>
      <w:r w:rsidRPr="006E3BDB">
        <w:rPr>
          <w:rFonts w:ascii="Times New Roman" w:hAnsi="Times New Roman" w:cs="Times New Roman"/>
          <w:i/>
        </w:rPr>
        <w:t>La masa pasiva del concurso de acreedores</w:t>
      </w:r>
      <w:r w:rsidRPr="00104E2A">
        <w:rPr>
          <w:rFonts w:ascii="Times New Roman" w:hAnsi="Times New Roman" w:cs="Times New Roman"/>
        </w:rPr>
        <w:t xml:space="preserve">. Pamplona: </w:t>
      </w:r>
      <w:proofErr w:type="spellStart"/>
      <w:r w:rsidRPr="00104E2A">
        <w:rPr>
          <w:rFonts w:ascii="Times New Roman" w:hAnsi="Times New Roman" w:cs="Times New Roman"/>
        </w:rPr>
        <w:t>Civitas</w:t>
      </w:r>
      <w:proofErr w:type="spellEnd"/>
      <w:r w:rsidRPr="00104E2A">
        <w:rPr>
          <w:rFonts w:ascii="Times New Roman" w:hAnsi="Times New Roman" w:cs="Times New Roman"/>
        </w:rPr>
        <w:t>.</w:t>
      </w:r>
      <w:r>
        <w:rPr>
          <w:rFonts w:ascii="Times New Roman" w:hAnsi="Times New Roman" w:cs="Times New Roman"/>
        </w:rPr>
        <w:t xml:space="preserve"> pp. 689 a 696.</w:t>
      </w:r>
    </w:p>
  </w:footnote>
  <w:footnote w:id="3">
    <w:p w:rsidR="000A233F" w:rsidRPr="008E2832" w:rsidRDefault="000A233F" w:rsidP="000A233F">
      <w:pPr>
        <w:pStyle w:val="Textonotapie"/>
        <w:rPr>
          <w:rFonts w:ascii="Times New Roman" w:hAnsi="Times New Roman" w:cs="Times New Roman"/>
        </w:rPr>
      </w:pPr>
      <w:r w:rsidRPr="008E2832">
        <w:rPr>
          <w:rStyle w:val="Refdenotaalpie"/>
          <w:rFonts w:ascii="Times New Roman" w:hAnsi="Times New Roman" w:cs="Times New Roman"/>
        </w:rPr>
        <w:footnoteRef/>
      </w:r>
      <w:r w:rsidRPr="008E2832">
        <w:rPr>
          <w:rFonts w:ascii="Times New Roman" w:hAnsi="Times New Roman" w:cs="Times New Roman"/>
        </w:rPr>
        <w:t xml:space="preserve"> G</w:t>
      </w:r>
      <w:r>
        <w:rPr>
          <w:rFonts w:ascii="Times New Roman" w:hAnsi="Times New Roman" w:cs="Times New Roman"/>
        </w:rPr>
        <w:t>arcía-Pita, D.</w:t>
      </w:r>
      <w:r w:rsidRPr="008E2832">
        <w:rPr>
          <w:rFonts w:ascii="Times New Roman" w:hAnsi="Times New Roman" w:cs="Times New Roman"/>
        </w:rPr>
        <w:t xml:space="preserve"> </w:t>
      </w:r>
      <w:r>
        <w:rPr>
          <w:rFonts w:ascii="Times New Roman" w:hAnsi="Times New Roman" w:cs="Times New Roman"/>
        </w:rPr>
        <w:t xml:space="preserve">(2004) </w:t>
      </w:r>
      <w:r w:rsidRPr="008E2832">
        <w:rPr>
          <w:rFonts w:ascii="Times New Roman" w:hAnsi="Times New Roman" w:cs="Times New Roman"/>
        </w:rPr>
        <w:t>“</w:t>
      </w:r>
      <w:r w:rsidRPr="006E3BDB">
        <w:rPr>
          <w:rFonts w:ascii="Times New Roman" w:hAnsi="Times New Roman" w:cs="Times New Roman"/>
          <w:i/>
        </w:rPr>
        <w:t>Los créditos contra la masa</w:t>
      </w:r>
      <w:r>
        <w:rPr>
          <w:rFonts w:ascii="Times New Roman" w:hAnsi="Times New Roman" w:cs="Times New Roman"/>
        </w:rPr>
        <w:t xml:space="preserve">”, </w:t>
      </w:r>
      <w:proofErr w:type="spellStart"/>
      <w:r>
        <w:rPr>
          <w:rFonts w:ascii="Times New Roman" w:hAnsi="Times New Roman" w:cs="Times New Roman"/>
        </w:rPr>
        <w:t>ADCo</w:t>
      </w:r>
      <w:proofErr w:type="spellEnd"/>
      <w:r>
        <w:rPr>
          <w:rFonts w:ascii="Times New Roman" w:hAnsi="Times New Roman" w:cs="Times New Roman"/>
        </w:rPr>
        <w:t xml:space="preserve"> </w:t>
      </w:r>
      <w:r w:rsidRPr="008E2832">
        <w:rPr>
          <w:rFonts w:ascii="Times New Roman" w:hAnsi="Times New Roman" w:cs="Times New Roman"/>
        </w:rPr>
        <w:t xml:space="preserve">nº 3, </w:t>
      </w:r>
      <w:r>
        <w:rPr>
          <w:rFonts w:ascii="Times New Roman" w:hAnsi="Times New Roman" w:cs="Times New Roman"/>
        </w:rPr>
        <w:t>p.</w:t>
      </w:r>
      <w:r w:rsidRPr="008E2832">
        <w:rPr>
          <w:rFonts w:ascii="Times New Roman" w:hAnsi="Times New Roman" w:cs="Times New Roman"/>
        </w:rPr>
        <w:t xml:space="preserve"> 7 y ss. </w:t>
      </w:r>
    </w:p>
  </w:footnote>
  <w:footnote w:id="4">
    <w:p w:rsidR="000A233F" w:rsidRPr="008E2832" w:rsidRDefault="000A233F" w:rsidP="000A233F">
      <w:pPr>
        <w:pStyle w:val="Textonotapie"/>
        <w:rPr>
          <w:rFonts w:ascii="Times New Roman" w:hAnsi="Times New Roman" w:cs="Times New Roman"/>
        </w:rPr>
      </w:pPr>
      <w:r w:rsidRPr="008E2832">
        <w:rPr>
          <w:rStyle w:val="Refdenotaalpie"/>
          <w:rFonts w:ascii="Times New Roman" w:hAnsi="Times New Roman" w:cs="Times New Roman"/>
        </w:rPr>
        <w:footnoteRef/>
      </w:r>
      <w:r w:rsidRPr="008E2832">
        <w:rPr>
          <w:rFonts w:ascii="Times New Roman" w:hAnsi="Times New Roman" w:cs="Times New Roman"/>
        </w:rPr>
        <w:t xml:space="preserve"> </w:t>
      </w:r>
      <w:r>
        <w:rPr>
          <w:rFonts w:ascii="Times New Roman" w:hAnsi="Times New Roman" w:cs="Times New Roman"/>
        </w:rPr>
        <w:t>Beltrán Sánchez, E. y Uría-Menéndez, A. (2001) “Curso de Derecho Mercantil II”, Madrid, p. 968.</w:t>
      </w:r>
    </w:p>
  </w:footnote>
  <w:footnote w:id="5">
    <w:p w:rsidR="000A233F" w:rsidRPr="008E2832" w:rsidRDefault="000A233F" w:rsidP="000A233F">
      <w:pPr>
        <w:pStyle w:val="Textonotapie"/>
        <w:rPr>
          <w:rFonts w:ascii="Times New Roman" w:hAnsi="Times New Roman" w:cs="Times New Roman"/>
        </w:rPr>
      </w:pPr>
      <w:r w:rsidRPr="008E2832">
        <w:rPr>
          <w:rStyle w:val="Refdenotaalpie"/>
          <w:rFonts w:ascii="Times New Roman" w:hAnsi="Times New Roman" w:cs="Times New Roman"/>
        </w:rPr>
        <w:footnoteRef/>
      </w:r>
      <w:r w:rsidRPr="008E2832">
        <w:rPr>
          <w:rFonts w:ascii="Times New Roman" w:hAnsi="Times New Roman" w:cs="Times New Roman"/>
        </w:rPr>
        <w:t xml:space="preserve"> </w:t>
      </w:r>
      <w:r>
        <w:rPr>
          <w:rFonts w:ascii="Times New Roman" w:hAnsi="Times New Roman" w:cs="Times New Roman"/>
        </w:rPr>
        <w:t xml:space="preserve">Blasco </w:t>
      </w:r>
      <w:proofErr w:type="spellStart"/>
      <w:r>
        <w:rPr>
          <w:rFonts w:ascii="Times New Roman" w:hAnsi="Times New Roman" w:cs="Times New Roman"/>
        </w:rPr>
        <w:t>Gascó</w:t>
      </w:r>
      <w:proofErr w:type="spellEnd"/>
      <w:r>
        <w:rPr>
          <w:rFonts w:ascii="Times New Roman" w:hAnsi="Times New Roman" w:cs="Times New Roman"/>
        </w:rPr>
        <w:t>, F. (2004) “</w:t>
      </w:r>
      <w:r w:rsidRPr="006E3BDB">
        <w:rPr>
          <w:rFonts w:ascii="Times New Roman" w:hAnsi="Times New Roman" w:cs="Times New Roman"/>
          <w:i/>
        </w:rPr>
        <w:t>Prelación y pago de los acreedores concursales</w:t>
      </w:r>
      <w:r>
        <w:rPr>
          <w:rFonts w:ascii="Times New Roman" w:hAnsi="Times New Roman" w:cs="Times New Roman"/>
        </w:rPr>
        <w:t xml:space="preserve">”, Aranzadi. p. 73. </w:t>
      </w:r>
    </w:p>
  </w:footnote>
  <w:footnote w:id="6">
    <w:p w:rsidR="000A233F" w:rsidRDefault="000A233F" w:rsidP="000A233F">
      <w:pPr>
        <w:autoSpaceDE w:val="0"/>
        <w:autoSpaceDN w:val="0"/>
        <w:adjustRightInd w:val="0"/>
        <w:spacing w:after="0" w:line="240" w:lineRule="auto"/>
        <w:rPr>
          <w:rFonts w:ascii="Times New Roman" w:hAnsi="Times New Roman" w:cs="Times New Roman"/>
          <w:i/>
          <w:iCs/>
          <w:sz w:val="20"/>
          <w:szCs w:val="20"/>
        </w:rPr>
      </w:pPr>
      <w:r>
        <w:rPr>
          <w:rStyle w:val="Refdenotaalpie"/>
        </w:rPr>
        <w:footnoteRef/>
      </w:r>
      <w:r>
        <w:t xml:space="preserve"> </w:t>
      </w:r>
      <w:r>
        <w:rPr>
          <w:rFonts w:ascii="Times New Roman" w:hAnsi="Times New Roman" w:cs="Times New Roman"/>
          <w:sz w:val="20"/>
          <w:szCs w:val="20"/>
        </w:rPr>
        <w:t xml:space="preserve">Tato Plaza,  A. (2003) “Reconocimiento y graduación de créditos en la nueva ley concursal”, </w:t>
      </w:r>
      <w:r>
        <w:rPr>
          <w:rFonts w:ascii="Times New Roman" w:hAnsi="Times New Roman" w:cs="Times New Roman"/>
          <w:i/>
          <w:iCs/>
          <w:sz w:val="20"/>
          <w:szCs w:val="20"/>
        </w:rPr>
        <w:t>Revista</w:t>
      </w:r>
    </w:p>
    <w:p w:rsidR="000A233F" w:rsidRDefault="000A233F" w:rsidP="000A233F">
      <w:pPr>
        <w:pStyle w:val="Textonotapie"/>
      </w:pPr>
      <w:proofErr w:type="spellStart"/>
      <w:r>
        <w:rPr>
          <w:rFonts w:ascii="Times New Roman" w:hAnsi="Times New Roman" w:cs="Times New Roman"/>
          <w:i/>
          <w:iCs/>
        </w:rPr>
        <w:t>Xurídica</w:t>
      </w:r>
      <w:proofErr w:type="spellEnd"/>
      <w:r>
        <w:rPr>
          <w:rFonts w:ascii="Times New Roman" w:hAnsi="Times New Roman" w:cs="Times New Roman"/>
          <w:i/>
          <w:iCs/>
        </w:rPr>
        <w:t xml:space="preserve"> Galega</w:t>
      </w:r>
      <w:r>
        <w:rPr>
          <w:rFonts w:ascii="Times New Roman" w:hAnsi="Times New Roman" w:cs="Times New Roman"/>
        </w:rPr>
        <w:t>, Nº 40. pp. 39 a 40.</w:t>
      </w:r>
    </w:p>
  </w:footnote>
  <w:footnote w:id="7">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w:t>
      </w:r>
      <w:r w:rsidRPr="00104E2A">
        <w:rPr>
          <w:rFonts w:ascii="Times New Roman" w:hAnsi="Times New Roman" w:cs="Times New Roman"/>
        </w:rPr>
        <w:t>La masa pasiva</w:t>
      </w:r>
      <w:r>
        <w:rPr>
          <w:rFonts w:ascii="Times New Roman" w:hAnsi="Times New Roman" w:cs="Times New Roman"/>
        </w:rPr>
        <w:t>… pp. 687 a 689.</w:t>
      </w:r>
    </w:p>
  </w:footnote>
  <w:footnote w:id="8">
    <w:p w:rsidR="000A233F" w:rsidRPr="00F4039C" w:rsidRDefault="000A233F" w:rsidP="000A233F">
      <w:pPr>
        <w:pStyle w:val="Textonotapie"/>
        <w:jc w:val="both"/>
        <w:rPr>
          <w:rFonts w:ascii="Times New Roman" w:hAnsi="Times New Roman" w:cs="Times New Roman"/>
        </w:rPr>
      </w:pPr>
      <w:r w:rsidRPr="00F4039C">
        <w:rPr>
          <w:rStyle w:val="Refdenotaalpie"/>
          <w:rFonts w:ascii="Times New Roman" w:hAnsi="Times New Roman" w:cs="Times New Roman"/>
        </w:rPr>
        <w:footnoteRef/>
      </w:r>
      <w:r>
        <w:rPr>
          <w:rFonts w:ascii="Times New Roman" w:hAnsi="Times New Roman" w:cs="Times New Roman"/>
        </w:rPr>
        <w:t xml:space="preserve"> García Escobar, Gabriel A. (2010) El tratamiento de los créditos concursales y el principio par </w:t>
      </w:r>
      <w:proofErr w:type="spellStart"/>
      <w:r>
        <w:rPr>
          <w:rFonts w:ascii="Times New Roman" w:hAnsi="Times New Roman" w:cs="Times New Roman"/>
        </w:rPr>
        <w:t>conditio</w:t>
      </w:r>
      <w:proofErr w:type="spellEnd"/>
      <w:r>
        <w:rPr>
          <w:rFonts w:ascii="Times New Roman" w:hAnsi="Times New Roman" w:cs="Times New Roman"/>
        </w:rPr>
        <w:t xml:space="preserve"> </w:t>
      </w:r>
      <w:proofErr w:type="spellStart"/>
      <w:r>
        <w:rPr>
          <w:rFonts w:ascii="Times New Roman" w:hAnsi="Times New Roman" w:cs="Times New Roman"/>
        </w:rPr>
        <w:t>creditorum</w:t>
      </w:r>
      <w:proofErr w:type="spellEnd"/>
      <w:r>
        <w:rPr>
          <w:rFonts w:ascii="Times New Roman" w:hAnsi="Times New Roman" w:cs="Times New Roman"/>
        </w:rPr>
        <w:t xml:space="preserve">. </w:t>
      </w:r>
      <w:r w:rsidRPr="00AF62C9">
        <w:rPr>
          <w:rFonts w:ascii="Times New Roman" w:hAnsi="Times New Roman" w:cs="Times New Roman"/>
          <w:i/>
        </w:rPr>
        <w:t>Revista Internacional de Doctrina y jurisprudencia</w:t>
      </w:r>
      <w:r>
        <w:rPr>
          <w:rFonts w:ascii="Times New Roman" w:hAnsi="Times New Roman" w:cs="Times New Roman"/>
        </w:rPr>
        <w:t xml:space="preserve">. </w:t>
      </w:r>
    </w:p>
  </w:footnote>
  <w:footnote w:id="9">
    <w:p w:rsidR="000A233F" w:rsidRPr="00495265" w:rsidRDefault="000A233F" w:rsidP="000A233F">
      <w:pPr>
        <w:pStyle w:val="Textonotapie"/>
        <w:jc w:val="both"/>
        <w:rPr>
          <w:rFonts w:ascii="Times New Roman" w:hAnsi="Times New Roman" w:cs="Times New Roman"/>
        </w:rPr>
      </w:pPr>
      <w:r w:rsidRPr="00495265">
        <w:rPr>
          <w:rStyle w:val="Refdenotaalpie"/>
          <w:rFonts w:ascii="Times New Roman" w:hAnsi="Times New Roman" w:cs="Times New Roman"/>
        </w:rPr>
        <w:footnoteRef/>
      </w:r>
      <w:r w:rsidRPr="00495265">
        <w:rPr>
          <w:rFonts w:ascii="Times New Roman" w:hAnsi="Times New Roman" w:cs="Times New Roman"/>
        </w:rP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w:t>
      </w:r>
      <w:r w:rsidRPr="00495265">
        <w:rPr>
          <w:rFonts w:ascii="Times New Roman" w:hAnsi="Times New Roman" w:cs="Times New Roman"/>
        </w:rPr>
        <w:t>La masa pasiva</w:t>
      </w:r>
      <w:r>
        <w:rPr>
          <w:rFonts w:ascii="Times New Roman" w:hAnsi="Times New Roman" w:cs="Times New Roman"/>
        </w:rPr>
        <w:t>… pp.</w:t>
      </w:r>
      <w:r w:rsidRPr="00495265">
        <w:rPr>
          <w:rFonts w:ascii="Times New Roman" w:hAnsi="Times New Roman" w:cs="Times New Roman"/>
        </w:rPr>
        <w:t xml:space="preserve"> 697 a 979.</w:t>
      </w:r>
    </w:p>
  </w:footnote>
  <w:footnote w:id="10">
    <w:p w:rsidR="000A233F" w:rsidRDefault="000A233F" w:rsidP="000A233F">
      <w:pPr>
        <w:pStyle w:val="Textonotapie"/>
        <w:rPr>
          <w:rFonts w:ascii="Times New Roman" w:hAnsi="Times New Roman" w:cs="Times New Roman"/>
        </w:rPr>
      </w:pPr>
      <w:r w:rsidRPr="00B31C9C">
        <w:rPr>
          <w:rStyle w:val="Refdenotaalpie"/>
          <w:rFonts w:ascii="Times New Roman" w:hAnsi="Times New Roman" w:cs="Times New Roman"/>
        </w:rPr>
        <w:footnoteRef/>
      </w:r>
      <w:r>
        <w:rPr>
          <w:rFonts w:ascii="Times New Roman" w:hAnsi="Times New Roman" w:cs="Times New Roman"/>
        </w:rPr>
        <w:t xml:space="preserve"> Hernández Ortega, A. (2013) </w:t>
      </w:r>
      <w:r w:rsidRPr="00B31C9C">
        <w:rPr>
          <w:rFonts w:ascii="Times New Roman" w:hAnsi="Times New Roman" w:cs="Times New Roman"/>
        </w:rPr>
        <w:t xml:space="preserve">“Calificación de créditos. Lista provisional y definitiva de acreedores”. </w:t>
      </w:r>
      <w:r w:rsidRPr="00B31C9C">
        <w:rPr>
          <w:rFonts w:ascii="Times New Roman" w:hAnsi="Times New Roman" w:cs="Times New Roman"/>
          <w:i/>
        </w:rPr>
        <w:t>Revista de la escuela de práctica jurídica de la facultad de Derecho de la Universidad de Zaragoza.</w:t>
      </w:r>
      <w:r>
        <w:rPr>
          <w:rFonts w:ascii="Times New Roman" w:hAnsi="Times New Roman" w:cs="Times New Roman"/>
        </w:rPr>
        <w:t xml:space="preserve"> </w:t>
      </w:r>
    </w:p>
    <w:p w:rsidR="000A233F" w:rsidRPr="00B31C9C" w:rsidRDefault="000A233F" w:rsidP="000A233F">
      <w:pPr>
        <w:pStyle w:val="Textonotapie"/>
        <w:rPr>
          <w:rFonts w:ascii="Times New Roman" w:hAnsi="Times New Roman" w:cs="Times New Roman"/>
        </w:rPr>
      </w:pPr>
      <w:r>
        <w:rPr>
          <w:rFonts w:ascii="Times New Roman" w:hAnsi="Times New Roman" w:cs="Times New Roman"/>
        </w:rPr>
        <w:t>p. 29.</w:t>
      </w:r>
    </w:p>
  </w:footnote>
  <w:footnote w:id="11">
    <w:p w:rsidR="000A233F" w:rsidRDefault="000A233F" w:rsidP="000A233F">
      <w:pPr>
        <w:pStyle w:val="Textonotapie"/>
      </w:pPr>
      <w:r w:rsidRPr="00495265">
        <w:rPr>
          <w:rStyle w:val="Refdenotaalpie"/>
          <w:rFonts w:ascii="Times New Roman" w:hAnsi="Times New Roman" w:cs="Times New Roman"/>
        </w:rPr>
        <w:footnoteRef/>
      </w:r>
      <w:r w:rsidRPr="00495265">
        <w:rPr>
          <w:rFonts w:ascii="Times New Roman" w:hAnsi="Times New Roman" w:cs="Times New Roman"/>
        </w:rP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w:t>
      </w:r>
      <w:r w:rsidRPr="00495265">
        <w:rPr>
          <w:rFonts w:ascii="Times New Roman" w:hAnsi="Times New Roman" w:cs="Times New Roman"/>
        </w:rPr>
        <w:t>La masa pasiva</w:t>
      </w:r>
      <w:r>
        <w:rPr>
          <w:rFonts w:ascii="Times New Roman" w:hAnsi="Times New Roman" w:cs="Times New Roman"/>
        </w:rPr>
        <w:t>… pp. 983 a 1079.</w:t>
      </w:r>
    </w:p>
  </w:footnote>
  <w:footnote w:id="12">
    <w:p w:rsidR="000A233F" w:rsidRPr="00B31C9C" w:rsidRDefault="000A233F" w:rsidP="000A233F">
      <w:pPr>
        <w:pStyle w:val="Sinespaciado"/>
        <w:rPr>
          <w:rFonts w:ascii="Times New Roman" w:hAnsi="Times New Roman" w:cs="Times New Roman"/>
          <w:sz w:val="20"/>
          <w:szCs w:val="20"/>
        </w:rPr>
      </w:pPr>
      <w:r w:rsidRPr="00B31C9C">
        <w:rPr>
          <w:rStyle w:val="Refdenotaalpie"/>
          <w:rFonts w:ascii="Times New Roman" w:hAnsi="Times New Roman" w:cs="Times New Roman"/>
          <w:sz w:val="20"/>
          <w:szCs w:val="20"/>
        </w:rPr>
        <w:footnoteRef/>
      </w:r>
      <w:r w:rsidRPr="00B31C9C">
        <w:rPr>
          <w:rFonts w:ascii="Times New Roman" w:hAnsi="Times New Roman" w:cs="Times New Roman"/>
          <w:sz w:val="20"/>
          <w:szCs w:val="20"/>
        </w:rPr>
        <w:t xml:space="preserve"> Sala A, </w:t>
      </w:r>
      <w:proofErr w:type="spellStart"/>
      <w:r w:rsidRPr="00B31C9C">
        <w:rPr>
          <w:rFonts w:ascii="Times New Roman" w:hAnsi="Times New Roman" w:cs="Times New Roman"/>
          <w:sz w:val="20"/>
          <w:szCs w:val="20"/>
        </w:rPr>
        <w:t>Mercadal</w:t>
      </w:r>
      <w:proofErr w:type="spellEnd"/>
      <w:r w:rsidRPr="00B31C9C">
        <w:rPr>
          <w:rFonts w:ascii="Times New Roman" w:hAnsi="Times New Roman" w:cs="Times New Roman"/>
          <w:sz w:val="20"/>
          <w:szCs w:val="20"/>
        </w:rPr>
        <w:t xml:space="preserve"> J, Cuevillas A. (2004) Nueva Ley Concursal, Ley 22/2003: comentarios, jurisprudencia aplicable y formularios. Barcelona: Bosch. </w:t>
      </w:r>
      <w:r>
        <w:rPr>
          <w:rFonts w:ascii="Times New Roman" w:hAnsi="Times New Roman" w:cs="Times New Roman"/>
          <w:sz w:val="20"/>
          <w:szCs w:val="20"/>
        </w:rPr>
        <w:t>p.</w:t>
      </w:r>
      <w:r w:rsidRPr="00B31C9C">
        <w:rPr>
          <w:rFonts w:ascii="Times New Roman" w:hAnsi="Times New Roman" w:cs="Times New Roman"/>
          <w:sz w:val="20"/>
          <w:szCs w:val="20"/>
        </w:rPr>
        <w:t xml:space="preserve"> 427.</w:t>
      </w:r>
    </w:p>
  </w:footnote>
  <w:footnote w:id="13">
    <w:p w:rsidR="000A233F" w:rsidRPr="00B31C9C" w:rsidRDefault="000A233F" w:rsidP="000A233F">
      <w:pPr>
        <w:pStyle w:val="Sinespaciado"/>
        <w:jc w:val="both"/>
        <w:rPr>
          <w:rFonts w:ascii="Times New Roman" w:hAnsi="Times New Roman" w:cs="Times New Roman"/>
          <w:sz w:val="20"/>
          <w:szCs w:val="20"/>
        </w:rPr>
      </w:pPr>
      <w:r w:rsidRPr="00B31C9C">
        <w:rPr>
          <w:rStyle w:val="Refdenotaalpie"/>
          <w:rFonts w:ascii="Times New Roman" w:hAnsi="Times New Roman" w:cs="Times New Roman"/>
          <w:sz w:val="20"/>
          <w:szCs w:val="20"/>
        </w:rPr>
        <w:footnoteRef/>
      </w:r>
      <w:r w:rsidRPr="00B31C9C">
        <w:rPr>
          <w:rFonts w:ascii="Times New Roman" w:hAnsi="Times New Roman" w:cs="Times New Roman"/>
          <w:sz w:val="20"/>
          <w:szCs w:val="20"/>
        </w:rPr>
        <w:t xml:space="preserve"> </w:t>
      </w:r>
      <w:proofErr w:type="spellStart"/>
      <w:r>
        <w:rPr>
          <w:rFonts w:ascii="Times New Roman" w:hAnsi="Times New Roman" w:cs="Times New Roman"/>
          <w:sz w:val="20"/>
          <w:szCs w:val="20"/>
        </w:rPr>
        <w:t>Veiga</w:t>
      </w:r>
      <w:proofErr w:type="spellEnd"/>
      <w:r>
        <w:rPr>
          <w:rFonts w:ascii="Times New Roman" w:hAnsi="Times New Roman" w:cs="Times New Roman"/>
          <w:sz w:val="20"/>
          <w:szCs w:val="20"/>
        </w:rPr>
        <w:t xml:space="preserve"> Copo. </w:t>
      </w:r>
      <w:r w:rsidRPr="00B31C9C">
        <w:rPr>
          <w:rFonts w:ascii="Times New Roman" w:hAnsi="Times New Roman" w:cs="Times New Roman"/>
          <w:sz w:val="20"/>
          <w:szCs w:val="20"/>
        </w:rPr>
        <w:t>La masa pasiva</w:t>
      </w:r>
      <w:r>
        <w:rPr>
          <w:rFonts w:ascii="Times New Roman" w:hAnsi="Times New Roman" w:cs="Times New Roman"/>
          <w:sz w:val="20"/>
          <w:szCs w:val="20"/>
        </w:rPr>
        <w:t>… pp.</w:t>
      </w:r>
      <w:r w:rsidRPr="00B31C9C">
        <w:rPr>
          <w:rFonts w:ascii="Times New Roman" w:hAnsi="Times New Roman" w:cs="Times New Roman"/>
          <w:sz w:val="20"/>
          <w:szCs w:val="20"/>
        </w:rPr>
        <w:t xml:space="preserve"> 34 a 118.</w:t>
      </w:r>
    </w:p>
    <w:p w:rsidR="000A233F" w:rsidRDefault="000A233F" w:rsidP="000A233F">
      <w:pPr>
        <w:pStyle w:val="Textonotapie"/>
      </w:pPr>
    </w:p>
  </w:footnote>
  <w:footnote w:id="14">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L</w:t>
      </w:r>
      <w:r w:rsidRPr="00104E2A">
        <w:rPr>
          <w:rFonts w:ascii="Times New Roman" w:hAnsi="Times New Roman" w:cs="Times New Roman"/>
        </w:rPr>
        <w:t>a masa pasiva</w:t>
      </w:r>
      <w:r>
        <w:rPr>
          <w:rFonts w:ascii="Times New Roman" w:hAnsi="Times New Roman" w:cs="Times New Roman"/>
        </w:rPr>
        <w:t>… pp. 119 a 149.</w:t>
      </w:r>
    </w:p>
  </w:footnote>
  <w:footnote w:id="15">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w:t>
      </w:r>
      <w:r w:rsidRPr="00104E2A">
        <w:rPr>
          <w:rFonts w:ascii="Times New Roman" w:hAnsi="Times New Roman" w:cs="Times New Roman"/>
        </w:rPr>
        <w:t xml:space="preserve"> La masa pasiva</w:t>
      </w:r>
      <w:r>
        <w:rPr>
          <w:rFonts w:ascii="Times New Roman" w:hAnsi="Times New Roman" w:cs="Times New Roman"/>
        </w:rPr>
        <w:t>… pp. 151 a 228.</w:t>
      </w:r>
    </w:p>
  </w:footnote>
  <w:footnote w:id="16">
    <w:p w:rsidR="000A233F" w:rsidRPr="00AF62C9" w:rsidRDefault="000A233F" w:rsidP="000A233F">
      <w:pPr>
        <w:pStyle w:val="Textonotapie"/>
        <w:jc w:val="both"/>
        <w:rPr>
          <w:rFonts w:ascii="Times New Roman" w:hAnsi="Times New Roman" w:cs="Times New Roman"/>
        </w:rPr>
      </w:pPr>
      <w:r w:rsidRPr="00AF62C9">
        <w:rPr>
          <w:rStyle w:val="Refdenotaalpie"/>
          <w:rFonts w:ascii="Times New Roman" w:hAnsi="Times New Roman" w:cs="Times New Roman"/>
        </w:rPr>
        <w:footnoteRef/>
      </w:r>
      <w:r w:rsidRPr="00AF62C9">
        <w:rPr>
          <w:rFonts w:ascii="Times New Roman" w:hAnsi="Times New Roman" w:cs="Times New Roman"/>
        </w:rPr>
        <w:t xml:space="preserve"> http://www.boe.es/doue/2000/160/L00001-00018.pdf</w:t>
      </w:r>
    </w:p>
  </w:footnote>
  <w:footnote w:id="17">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 L</w:t>
      </w:r>
      <w:r w:rsidRPr="00104E2A">
        <w:rPr>
          <w:rFonts w:ascii="Times New Roman" w:hAnsi="Times New Roman" w:cs="Times New Roman"/>
        </w:rPr>
        <w:t>a masa pasiva</w:t>
      </w:r>
      <w:r>
        <w:rPr>
          <w:rFonts w:ascii="Times New Roman" w:hAnsi="Times New Roman" w:cs="Times New Roman"/>
        </w:rPr>
        <w:t>… pp. 229 a 269.</w:t>
      </w:r>
    </w:p>
  </w:footnote>
  <w:footnote w:id="18">
    <w:p w:rsidR="000A233F" w:rsidRPr="00CB6832" w:rsidRDefault="000A233F" w:rsidP="000A233F">
      <w:pPr>
        <w:pStyle w:val="Textonotapie"/>
        <w:rPr>
          <w:rFonts w:ascii="Times New Roman" w:hAnsi="Times New Roman" w:cs="Times New Roman"/>
        </w:rPr>
      </w:pPr>
      <w:r w:rsidRPr="00CB6832">
        <w:rPr>
          <w:rStyle w:val="Refdenotaalpie"/>
          <w:rFonts w:ascii="Times New Roman" w:hAnsi="Times New Roman" w:cs="Times New Roman"/>
        </w:rPr>
        <w:footnoteRef/>
      </w:r>
      <w:r w:rsidRPr="00CB6832">
        <w:rPr>
          <w:rFonts w:ascii="Times New Roman" w:hAnsi="Times New Roman" w:cs="Times New Roman"/>
        </w:rP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w:t>
      </w:r>
      <w:r w:rsidRPr="00CB6832">
        <w:rPr>
          <w:rFonts w:ascii="Times New Roman" w:hAnsi="Times New Roman" w:cs="Times New Roman"/>
        </w:rPr>
        <w:t xml:space="preserve"> La masa pasiva</w:t>
      </w:r>
      <w:r>
        <w:rPr>
          <w:rFonts w:ascii="Times New Roman" w:hAnsi="Times New Roman" w:cs="Times New Roman"/>
        </w:rPr>
        <w:t>… pp. 273 a 289.</w:t>
      </w:r>
    </w:p>
  </w:footnote>
  <w:footnote w:id="19">
    <w:p w:rsidR="000A233F" w:rsidRDefault="000A233F" w:rsidP="000A233F">
      <w:pPr>
        <w:pStyle w:val="Textonotapie"/>
      </w:pPr>
      <w:r>
        <w:rPr>
          <w:rStyle w:val="Refdenotaalpie"/>
        </w:rPr>
        <w:footnoteRef/>
      </w:r>
      <w:r>
        <w:t xml:space="preserve"> </w:t>
      </w:r>
      <w:proofErr w:type="spellStart"/>
      <w:r>
        <w:rPr>
          <w:rFonts w:ascii="Times New Roman" w:hAnsi="Times New Roman" w:cs="Times New Roman"/>
        </w:rPr>
        <w:t>Veiga</w:t>
      </w:r>
      <w:proofErr w:type="spellEnd"/>
      <w:r>
        <w:rPr>
          <w:rFonts w:ascii="Times New Roman" w:hAnsi="Times New Roman" w:cs="Times New Roman"/>
        </w:rPr>
        <w:t xml:space="preserve"> Copo.</w:t>
      </w:r>
      <w:r w:rsidRPr="00104E2A">
        <w:rPr>
          <w:rFonts w:ascii="Times New Roman" w:hAnsi="Times New Roman" w:cs="Times New Roman"/>
        </w:rPr>
        <w:t xml:space="preserve"> La masa pasiva</w:t>
      </w:r>
      <w:r>
        <w:rPr>
          <w:rFonts w:ascii="Times New Roman" w:hAnsi="Times New Roman" w:cs="Times New Roman"/>
        </w:rPr>
        <w:t>… pp. 292 a 367.</w:t>
      </w:r>
    </w:p>
  </w:footnote>
  <w:footnote w:id="20">
    <w:p w:rsidR="000A233F" w:rsidRPr="00D20A91" w:rsidRDefault="000A233F" w:rsidP="000A233F">
      <w:pPr>
        <w:pStyle w:val="Textonotapie"/>
        <w:jc w:val="both"/>
        <w:rPr>
          <w:rFonts w:ascii="Times New Roman" w:hAnsi="Times New Roman" w:cs="Times New Roman"/>
        </w:rPr>
      </w:pPr>
      <w:r w:rsidRPr="00D20A91">
        <w:rPr>
          <w:rStyle w:val="Refdenotaalpie"/>
          <w:rFonts w:ascii="Times New Roman" w:hAnsi="Times New Roman" w:cs="Times New Roman"/>
        </w:rPr>
        <w:footnoteRef/>
      </w:r>
      <w:r w:rsidRPr="00D20A91">
        <w:rPr>
          <w:rFonts w:ascii="Times New Roman" w:hAnsi="Times New Roman" w:cs="Times New Roman"/>
        </w:rPr>
        <w:t xml:space="preserve"> http://eur-lex.europa.eu/LexUriServ/LexUriServ.do?uri=CELEX:32001R0044:es:HTML</w:t>
      </w:r>
    </w:p>
  </w:footnote>
  <w:footnote w:id="21">
    <w:p w:rsidR="000A233F" w:rsidRPr="00696035" w:rsidRDefault="000A233F" w:rsidP="000A233F">
      <w:pPr>
        <w:pStyle w:val="Textonotapie"/>
        <w:jc w:val="both"/>
        <w:rPr>
          <w:rFonts w:ascii="Times New Roman" w:hAnsi="Times New Roman" w:cs="Times New Roman"/>
        </w:rPr>
      </w:pPr>
      <w:r w:rsidRPr="00696035">
        <w:rPr>
          <w:rStyle w:val="Refdenotaalpie"/>
          <w:rFonts w:ascii="Times New Roman" w:hAnsi="Times New Roman" w:cs="Times New Roman"/>
        </w:rPr>
        <w:footnoteRef/>
      </w:r>
      <w:r w:rsidRPr="00696035">
        <w:rPr>
          <w:rFonts w:ascii="Times New Roman" w:hAnsi="Times New Roman" w:cs="Times New Roman"/>
        </w:rPr>
        <w:t xml:space="preserve"> </w:t>
      </w:r>
      <w:r>
        <w:rPr>
          <w:rFonts w:ascii="Times New Roman" w:hAnsi="Times New Roman" w:cs="Times New Roman"/>
        </w:rPr>
        <w:t>Serrano de Toledo, Gonzaga L. (2005) Las especialidades del tratamiento de las Administraciones Públicas en la Ley Concursal. Madrid. p. 3245.</w:t>
      </w:r>
    </w:p>
  </w:footnote>
  <w:footnote w:id="22">
    <w:p w:rsidR="000A233F" w:rsidRPr="003B7162" w:rsidRDefault="000A233F" w:rsidP="000A233F">
      <w:pPr>
        <w:pStyle w:val="Textonotapie"/>
        <w:jc w:val="both"/>
        <w:rPr>
          <w:rFonts w:ascii="Times New Roman" w:hAnsi="Times New Roman" w:cs="Times New Roman"/>
        </w:rPr>
      </w:pPr>
      <w:r w:rsidRPr="003B7162">
        <w:rPr>
          <w:rStyle w:val="Refdenotaalpie"/>
          <w:rFonts w:ascii="Times New Roman" w:hAnsi="Times New Roman" w:cs="Times New Roman"/>
        </w:rPr>
        <w:footnoteRef/>
      </w:r>
      <w:r w:rsidRPr="003B7162">
        <w:rPr>
          <w:rFonts w:ascii="Times New Roman" w:hAnsi="Times New Roman" w:cs="Times New Roman"/>
        </w:rPr>
        <w:t xml:space="preserve"> </w:t>
      </w:r>
      <w:proofErr w:type="spellStart"/>
      <w:r w:rsidRPr="003B7162">
        <w:rPr>
          <w:rFonts w:ascii="Times New Roman" w:hAnsi="Times New Roman" w:cs="Times New Roman"/>
        </w:rPr>
        <w:t>Veiga</w:t>
      </w:r>
      <w:proofErr w:type="spellEnd"/>
      <w:r w:rsidRPr="003B7162">
        <w:rPr>
          <w:rFonts w:ascii="Times New Roman" w:hAnsi="Times New Roman" w:cs="Times New Roman"/>
        </w:rPr>
        <w:t xml:space="preserve"> Cop</w:t>
      </w:r>
      <w:r>
        <w:rPr>
          <w:rFonts w:ascii="Times New Roman" w:hAnsi="Times New Roman" w:cs="Times New Roman"/>
        </w:rPr>
        <w:t>o. La masa pasiva… pp. 379 a 403 y 420 a 462</w:t>
      </w:r>
      <w:r w:rsidRPr="003B7162">
        <w:rPr>
          <w:rFonts w:ascii="Times New Roman" w:hAnsi="Times New Roman" w:cs="Times New Roman"/>
        </w:rPr>
        <w:t>.</w:t>
      </w:r>
    </w:p>
  </w:footnote>
  <w:footnote w:id="23">
    <w:p w:rsidR="000A233F" w:rsidRPr="003B7162" w:rsidRDefault="000A233F" w:rsidP="000A233F">
      <w:pPr>
        <w:pStyle w:val="Textonotapie"/>
        <w:tabs>
          <w:tab w:val="left" w:pos="993"/>
          <w:tab w:val="left" w:pos="1418"/>
        </w:tabs>
        <w:jc w:val="both"/>
        <w:rPr>
          <w:rFonts w:ascii="Times New Roman" w:hAnsi="Times New Roman" w:cs="Times New Roman"/>
        </w:rPr>
      </w:pPr>
      <w:r w:rsidRPr="003B7162">
        <w:rPr>
          <w:rStyle w:val="Refdenotaalpie"/>
          <w:rFonts w:ascii="Times New Roman" w:hAnsi="Times New Roman" w:cs="Times New Roman"/>
        </w:rPr>
        <w:footnoteRef/>
      </w:r>
      <w:r w:rsidRPr="003B7162">
        <w:rPr>
          <w:rFonts w:ascii="Times New Roman" w:hAnsi="Times New Roman" w:cs="Times New Roman"/>
        </w:rPr>
        <w:t xml:space="preserve"> </w:t>
      </w:r>
      <w:proofErr w:type="spellStart"/>
      <w:r w:rsidRPr="003B7162">
        <w:rPr>
          <w:rFonts w:ascii="Times New Roman" w:hAnsi="Times New Roman" w:cs="Times New Roman"/>
        </w:rPr>
        <w:t>Veiga</w:t>
      </w:r>
      <w:proofErr w:type="spellEnd"/>
      <w:r w:rsidRPr="003B7162">
        <w:rPr>
          <w:rFonts w:ascii="Times New Roman" w:hAnsi="Times New Roman" w:cs="Times New Roman"/>
        </w:rPr>
        <w:t xml:space="preserve"> Copo. La masa pa</w:t>
      </w:r>
      <w:r>
        <w:rPr>
          <w:rFonts w:ascii="Times New Roman" w:hAnsi="Times New Roman" w:cs="Times New Roman"/>
        </w:rPr>
        <w:t>siva… pp. 367 a 378.</w:t>
      </w:r>
    </w:p>
  </w:footnote>
  <w:footnote w:id="24">
    <w:p w:rsidR="000A233F" w:rsidRPr="00666995" w:rsidRDefault="000A233F" w:rsidP="000A233F">
      <w:pPr>
        <w:pStyle w:val="Textonotapie"/>
        <w:rPr>
          <w:rFonts w:ascii="Times New Roman" w:hAnsi="Times New Roman" w:cs="Times New Roman"/>
        </w:rPr>
      </w:pPr>
      <w:r w:rsidRPr="00666995">
        <w:rPr>
          <w:rStyle w:val="Refdenotaalpie"/>
          <w:rFonts w:ascii="Times New Roman" w:hAnsi="Times New Roman" w:cs="Times New Roman"/>
        </w:rPr>
        <w:footnoteRef/>
      </w:r>
      <w:r w:rsidRPr="00666995">
        <w:rPr>
          <w:rFonts w:ascii="Times New Roman" w:hAnsi="Times New Roman" w:cs="Times New Roman"/>
        </w:rPr>
        <w:t xml:space="preserve"> Bermejo Gutiérrez, N. (2015) </w:t>
      </w:r>
      <w:r w:rsidRPr="00666995">
        <w:rPr>
          <w:rFonts w:ascii="Times New Roman" w:hAnsi="Times New Roman" w:cs="Times New Roman"/>
          <w:i/>
        </w:rPr>
        <w:t xml:space="preserve">Comentario al artículo 86 de la Ley Concursal. </w:t>
      </w:r>
      <w:r w:rsidRPr="00666995">
        <w:rPr>
          <w:rFonts w:ascii="Times New Roman" w:hAnsi="Times New Roman" w:cs="Times New Roman"/>
        </w:rPr>
        <w:t>BIB 2015/9080. Editorial Aranzadi SA.</w:t>
      </w:r>
    </w:p>
  </w:footnote>
  <w:footnote w:id="25">
    <w:p w:rsidR="000A233F" w:rsidRPr="003B7162" w:rsidRDefault="000A233F" w:rsidP="000A233F">
      <w:pPr>
        <w:jc w:val="both"/>
        <w:rPr>
          <w:rFonts w:ascii="Times New Roman" w:hAnsi="Times New Roman" w:cs="Times New Roman"/>
          <w:sz w:val="20"/>
          <w:szCs w:val="20"/>
        </w:rPr>
      </w:pPr>
      <w:r w:rsidRPr="003B7162">
        <w:rPr>
          <w:rStyle w:val="Refdenotaalpie"/>
          <w:rFonts w:ascii="Times New Roman" w:hAnsi="Times New Roman" w:cs="Times New Roman"/>
          <w:sz w:val="20"/>
          <w:szCs w:val="20"/>
        </w:rPr>
        <w:footnoteRef/>
      </w:r>
      <w:r w:rsidRPr="003B7162">
        <w:rPr>
          <w:rFonts w:ascii="Times New Roman" w:hAnsi="Times New Roman" w:cs="Times New Roman"/>
          <w:sz w:val="20"/>
          <w:szCs w:val="20"/>
        </w:rPr>
        <w:t xml:space="preserve"> </w:t>
      </w:r>
      <w:proofErr w:type="spellStart"/>
      <w:r w:rsidRPr="003B7162">
        <w:rPr>
          <w:rFonts w:ascii="Times New Roman" w:hAnsi="Times New Roman" w:cs="Times New Roman"/>
          <w:sz w:val="20"/>
          <w:szCs w:val="20"/>
        </w:rPr>
        <w:t>Veiga</w:t>
      </w:r>
      <w:proofErr w:type="spellEnd"/>
      <w:r w:rsidRPr="003B7162">
        <w:rPr>
          <w:rFonts w:ascii="Times New Roman" w:hAnsi="Times New Roman" w:cs="Times New Roman"/>
          <w:sz w:val="20"/>
          <w:szCs w:val="20"/>
        </w:rPr>
        <w:t xml:space="preserve"> Cop</w:t>
      </w:r>
      <w:r>
        <w:rPr>
          <w:rFonts w:ascii="Times New Roman" w:hAnsi="Times New Roman" w:cs="Times New Roman"/>
          <w:sz w:val="20"/>
          <w:szCs w:val="20"/>
        </w:rPr>
        <w:t>o. La masa pasiva… pp. 465 a 565</w:t>
      </w:r>
      <w:r w:rsidRPr="003B7162">
        <w:rPr>
          <w:rFonts w:ascii="Times New Roman" w:hAnsi="Times New Roman" w:cs="Times New Roman"/>
          <w:sz w:val="20"/>
          <w:szCs w:val="20"/>
        </w:rPr>
        <w:t>.</w:t>
      </w:r>
    </w:p>
    <w:p w:rsidR="000A233F" w:rsidRDefault="000A233F" w:rsidP="000A233F">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E4A38"/>
    <w:multiLevelType w:val="multilevel"/>
    <w:tmpl w:val="4FF832C0"/>
    <w:lvl w:ilvl="0">
      <w:start w:val="1"/>
      <w:numFmt w:val="decimal"/>
      <w:lvlText w:val="%1."/>
      <w:lvlJc w:val="left"/>
      <w:pPr>
        <w:ind w:left="1080" w:hanging="360"/>
      </w:pPr>
      <w:rPr>
        <w:rFonts w:ascii="Times New Roman" w:eastAsiaTheme="minorHAnsi" w:hAnsi="Times New Roman" w:cs="Times New Roman"/>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
    <w:nsid w:val="48F935CF"/>
    <w:multiLevelType w:val="hybridMultilevel"/>
    <w:tmpl w:val="4B30D7A8"/>
    <w:lvl w:ilvl="0" w:tplc="D64A91D6">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nsid w:val="50185C25"/>
    <w:multiLevelType w:val="hybridMultilevel"/>
    <w:tmpl w:val="3156184A"/>
    <w:lvl w:ilvl="0" w:tplc="54EA25E6">
      <w:start w:val="1"/>
      <w:numFmt w:val="upp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
    <w:nsid w:val="57EC3BF0"/>
    <w:multiLevelType w:val="multilevel"/>
    <w:tmpl w:val="4FF832C0"/>
    <w:lvl w:ilvl="0">
      <w:start w:val="1"/>
      <w:numFmt w:val="decimal"/>
      <w:lvlText w:val="%1."/>
      <w:lvlJc w:val="left"/>
      <w:pPr>
        <w:ind w:left="1080" w:hanging="360"/>
      </w:pPr>
      <w:rPr>
        <w:rFonts w:ascii="Times New Roman" w:eastAsiaTheme="minorHAnsi" w:hAnsi="Times New Roman" w:cs="Times New Roman"/>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4">
    <w:nsid w:val="6BC94B72"/>
    <w:multiLevelType w:val="hybridMultilevel"/>
    <w:tmpl w:val="1ED08104"/>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E01F1C"/>
    <w:rsid w:val="00000151"/>
    <w:rsid w:val="00001C3C"/>
    <w:rsid w:val="000061C1"/>
    <w:rsid w:val="00006DEF"/>
    <w:rsid w:val="00012FBA"/>
    <w:rsid w:val="0001327A"/>
    <w:rsid w:val="00014051"/>
    <w:rsid w:val="00035E57"/>
    <w:rsid w:val="00041DCE"/>
    <w:rsid w:val="00052C6B"/>
    <w:rsid w:val="00057A46"/>
    <w:rsid w:val="000611CE"/>
    <w:rsid w:val="00061275"/>
    <w:rsid w:val="00090369"/>
    <w:rsid w:val="000A233F"/>
    <w:rsid w:val="000A2FAC"/>
    <w:rsid w:val="000A3616"/>
    <w:rsid w:val="000A468D"/>
    <w:rsid w:val="000B7F1D"/>
    <w:rsid w:val="000C0818"/>
    <w:rsid w:val="000C0D86"/>
    <w:rsid w:val="000C290E"/>
    <w:rsid w:val="000F7EA7"/>
    <w:rsid w:val="00102BBA"/>
    <w:rsid w:val="00104E2A"/>
    <w:rsid w:val="00105EB1"/>
    <w:rsid w:val="0011436A"/>
    <w:rsid w:val="001251B0"/>
    <w:rsid w:val="001307AE"/>
    <w:rsid w:val="00153A41"/>
    <w:rsid w:val="00160C4B"/>
    <w:rsid w:val="001737FB"/>
    <w:rsid w:val="00175329"/>
    <w:rsid w:val="00185517"/>
    <w:rsid w:val="001874CD"/>
    <w:rsid w:val="00190917"/>
    <w:rsid w:val="0019623F"/>
    <w:rsid w:val="001A02F3"/>
    <w:rsid w:val="001A635F"/>
    <w:rsid w:val="001A6CEB"/>
    <w:rsid w:val="001B50D0"/>
    <w:rsid w:val="001B60B6"/>
    <w:rsid w:val="001C25E1"/>
    <w:rsid w:val="001C630F"/>
    <w:rsid w:val="001C75FF"/>
    <w:rsid w:val="001D1F00"/>
    <w:rsid w:val="001F3588"/>
    <w:rsid w:val="001F4608"/>
    <w:rsid w:val="00201187"/>
    <w:rsid w:val="00205A42"/>
    <w:rsid w:val="002131D1"/>
    <w:rsid w:val="00213C7F"/>
    <w:rsid w:val="002264FB"/>
    <w:rsid w:val="0024201D"/>
    <w:rsid w:val="0026461E"/>
    <w:rsid w:val="00270E1F"/>
    <w:rsid w:val="00274E0F"/>
    <w:rsid w:val="00283EE8"/>
    <w:rsid w:val="002A127E"/>
    <w:rsid w:val="002A1C74"/>
    <w:rsid w:val="002A5162"/>
    <w:rsid w:val="002B3FA9"/>
    <w:rsid w:val="002B70E0"/>
    <w:rsid w:val="002D015E"/>
    <w:rsid w:val="002D3C7E"/>
    <w:rsid w:val="002E48C2"/>
    <w:rsid w:val="002E6278"/>
    <w:rsid w:val="002F09D4"/>
    <w:rsid w:val="002F270E"/>
    <w:rsid w:val="002F68F5"/>
    <w:rsid w:val="00302A52"/>
    <w:rsid w:val="00304D15"/>
    <w:rsid w:val="00317395"/>
    <w:rsid w:val="003238EB"/>
    <w:rsid w:val="00344740"/>
    <w:rsid w:val="00346FE5"/>
    <w:rsid w:val="00347AC8"/>
    <w:rsid w:val="00352F50"/>
    <w:rsid w:val="00355A33"/>
    <w:rsid w:val="003602D8"/>
    <w:rsid w:val="0036777B"/>
    <w:rsid w:val="003856EB"/>
    <w:rsid w:val="00392770"/>
    <w:rsid w:val="00393A0E"/>
    <w:rsid w:val="003B176B"/>
    <w:rsid w:val="003B1913"/>
    <w:rsid w:val="003B3984"/>
    <w:rsid w:val="003B5B7A"/>
    <w:rsid w:val="003B7162"/>
    <w:rsid w:val="003C257D"/>
    <w:rsid w:val="003D2BD4"/>
    <w:rsid w:val="003E56B8"/>
    <w:rsid w:val="003E6268"/>
    <w:rsid w:val="003F6DD2"/>
    <w:rsid w:val="00407537"/>
    <w:rsid w:val="004121A2"/>
    <w:rsid w:val="004133DD"/>
    <w:rsid w:val="00413D6B"/>
    <w:rsid w:val="004143E9"/>
    <w:rsid w:val="00435FE4"/>
    <w:rsid w:val="00436F51"/>
    <w:rsid w:val="00442D4A"/>
    <w:rsid w:val="00443226"/>
    <w:rsid w:val="004460CA"/>
    <w:rsid w:val="00456B67"/>
    <w:rsid w:val="0046224A"/>
    <w:rsid w:val="00471C39"/>
    <w:rsid w:val="00476EF0"/>
    <w:rsid w:val="004803E5"/>
    <w:rsid w:val="00481DE3"/>
    <w:rsid w:val="00484F74"/>
    <w:rsid w:val="004852A1"/>
    <w:rsid w:val="00492FDE"/>
    <w:rsid w:val="00495265"/>
    <w:rsid w:val="00495C1A"/>
    <w:rsid w:val="004B023A"/>
    <w:rsid w:val="004B3842"/>
    <w:rsid w:val="004D2FD6"/>
    <w:rsid w:val="004F1EDC"/>
    <w:rsid w:val="004F3F75"/>
    <w:rsid w:val="004F718B"/>
    <w:rsid w:val="0050131A"/>
    <w:rsid w:val="00514449"/>
    <w:rsid w:val="00550EEB"/>
    <w:rsid w:val="0055360C"/>
    <w:rsid w:val="00564019"/>
    <w:rsid w:val="00571603"/>
    <w:rsid w:val="00585561"/>
    <w:rsid w:val="0058655D"/>
    <w:rsid w:val="0059264F"/>
    <w:rsid w:val="005953B2"/>
    <w:rsid w:val="005A0D46"/>
    <w:rsid w:val="005C1233"/>
    <w:rsid w:val="005C167F"/>
    <w:rsid w:val="005C35E0"/>
    <w:rsid w:val="005F2D5F"/>
    <w:rsid w:val="005F3BDB"/>
    <w:rsid w:val="005F3F3F"/>
    <w:rsid w:val="00602236"/>
    <w:rsid w:val="0060427B"/>
    <w:rsid w:val="00612845"/>
    <w:rsid w:val="00626C1C"/>
    <w:rsid w:val="00630A91"/>
    <w:rsid w:val="006313EF"/>
    <w:rsid w:val="00635526"/>
    <w:rsid w:val="00636077"/>
    <w:rsid w:val="006409A4"/>
    <w:rsid w:val="00643A7B"/>
    <w:rsid w:val="00652801"/>
    <w:rsid w:val="0065723C"/>
    <w:rsid w:val="00666995"/>
    <w:rsid w:val="00676739"/>
    <w:rsid w:val="006823E1"/>
    <w:rsid w:val="00696035"/>
    <w:rsid w:val="006A47EE"/>
    <w:rsid w:val="006A72C1"/>
    <w:rsid w:val="006B7BC8"/>
    <w:rsid w:val="006C15B8"/>
    <w:rsid w:val="006E24F6"/>
    <w:rsid w:val="006F6C99"/>
    <w:rsid w:val="00720391"/>
    <w:rsid w:val="007312BF"/>
    <w:rsid w:val="00746E75"/>
    <w:rsid w:val="00763E37"/>
    <w:rsid w:val="00766662"/>
    <w:rsid w:val="00792400"/>
    <w:rsid w:val="00797DAB"/>
    <w:rsid w:val="007A17FD"/>
    <w:rsid w:val="007C0A0E"/>
    <w:rsid w:val="007C6850"/>
    <w:rsid w:val="007E5676"/>
    <w:rsid w:val="007F1816"/>
    <w:rsid w:val="007F519C"/>
    <w:rsid w:val="00801DB7"/>
    <w:rsid w:val="00825805"/>
    <w:rsid w:val="008264AF"/>
    <w:rsid w:val="0083694F"/>
    <w:rsid w:val="008603E4"/>
    <w:rsid w:val="00867569"/>
    <w:rsid w:val="008741E1"/>
    <w:rsid w:val="008747B9"/>
    <w:rsid w:val="00880F13"/>
    <w:rsid w:val="00881CA5"/>
    <w:rsid w:val="00885918"/>
    <w:rsid w:val="00893370"/>
    <w:rsid w:val="008A5A7C"/>
    <w:rsid w:val="008B3CED"/>
    <w:rsid w:val="008B3E18"/>
    <w:rsid w:val="008B4C6B"/>
    <w:rsid w:val="008B596D"/>
    <w:rsid w:val="008C11CA"/>
    <w:rsid w:val="008C21C4"/>
    <w:rsid w:val="008D7DBE"/>
    <w:rsid w:val="008E0204"/>
    <w:rsid w:val="008E043A"/>
    <w:rsid w:val="008E085D"/>
    <w:rsid w:val="008E2832"/>
    <w:rsid w:val="008E6CDF"/>
    <w:rsid w:val="008F35EC"/>
    <w:rsid w:val="008F3C77"/>
    <w:rsid w:val="008F4591"/>
    <w:rsid w:val="008F7DDC"/>
    <w:rsid w:val="00910210"/>
    <w:rsid w:val="009132D4"/>
    <w:rsid w:val="00921E62"/>
    <w:rsid w:val="0092561B"/>
    <w:rsid w:val="00932519"/>
    <w:rsid w:val="009415BF"/>
    <w:rsid w:val="009739BC"/>
    <w:rsid w:val="009755C9"/>
    <w:rsid w:val="0097604F"/>
    <w:rsid w:val="009825CE"/>
    <w:rsid w:val="009A2474"/>
    <w:rsid w:val="009C56C8"/>
    <w:rsid w:val="009E46EE"/>
    <w:rsid w:val="00A06C8A"/>
    <w:rsid w:val="00A51A29"/>
    <w:rsid w:val="00A52FC9"/>
    <w:rsid w:val="00A52FED"/>
    <w:rsid w:val="00A61F4E"/>
    <w:rsid w:val="00A654A6"/>
    <w:rsid w:val="00A71AAE"/>
    <w:rsid w:val="00A74BBB"/>
    <w:rsid w:val="00A84621"/>
    <w:rsid w:val="00A9219D"/>
    <w:rsid w:val="00AA4CBC"/>
    <w:rsid w:val="00AA7773"/>
    <w:rsid w:val="00AA7F4E"/>
    <w:rsid w:val="00AC571D"/>
    <w:rsid w:val="00AE03ED"/>
    <w:rsid w:val="00AF62C9"/>
    <w:rsid w:val="00B14DEC"/>
    <w:rsid w:val="00B26845"/>
    <w:rsid w:val="00B31C9C"/>
    <w:rsid w:val="00B47F9D"/>
    <w:rsid w:val="00B51C6A"/>
    <w:rsid w:val="00B665EE"/>
    <w:rsid w:val="00B71AA3"/>
    <w:rsid w:val="00B91963"/>
    <w:rsid w:val="00BA35C3"/>
    <w:rsid w:val="00BB0FA3"/>
    <w:rsid w:val="00BB3CAB"/>
    <w:rsid w:val="00BB654F"/>
    <w:rsid w:val="00BE0D96"/>
    <w:rsid w:val="00BE1D61"/>
    <w:rsid w:val="00BE3E72"/>
    <w:rsid w:val="00BE70DE"/>
    <w:rsid w:val="00BF3141"/>
    <w:rsid w:val="00BF4B93"/>
    <w:rsid w:val="00BF684B"/>
    <w:rsid w:val="00C04491"/>
    <w:rsid w:val="00C16D13"/>
    <w:rsid w:val="00C222E3"/>
    <w:rsid w:val="00C23FF0"/>
    <w:rsid w:val="00C24873"/>
    <w:rsid w:val="00C30524"/>
    <w:rsid w:val="00C333C7"/>
    <w:rsid w:val="00C3515C"/>
    <w:rsid w:val="00C356F0"/>
    <w:rsid w:val="00C4412E"/>
    <w:rsid w:val="00C45D1A"/>
    <w:rsid w:val="00C472AF"/>
    <w:rsid w:val="00CA35D5"/>
    <w:rsid w:val="00CA7B2D"/>
    <w:rsid w:val="00CB14A4"/>
    <w:rsid w:val="00CB25E9"/>
    <w:rsid w:val="00CB4C96"/>
    <w:rsid w:val="00CB6832"/>
    <w:rsid w:val="00CC1839"/>
    <w:rsid w:val="00CC4A69"/>
    <w:rsid w:val="00CC7606"/>
    <w:rsid w:val="00CD62D5"/>
    <w:rsid w:val="00CE188F"/>
    <w:rsid w:val="00CF3F01"/>
    <w:rsid w:val="00CF6749"/>
    <w:rsid w:val="00D1681D"/>
    <w:rsid w:val="00D20A91"/>
    <w:rsid w:val="00D23756"/>
    <w:rsid w:val="00D3092A"/>
    <w:rsid w:val="00D37234"/>
    <w:rsid w:val="00D5501B"/>
    <w:rsid w:val="00D66878"/>
    <w:rsid w:val="00D77AF2"/>
    <w:rsid w:val="00D80F96"/>
    <w:rsid w:val="00D8325B"/>
    <w:rsid w:val="00DA03FE"/>
    <w:rsid w:val="00DA139A"/>
    <w:rsid w:val="00DA69DE"/>
    <w:rsid w:val="00DB093B"/>
    <w:rsid w:val="00DB15D0"/>
    <w:rsid w:val="00DB30C3"/>
    <w:rsid w:val="00DB3C20"/>
    <w:rsid w:val="00DC1C9D"/>
    <w:rsid w:val="00DE5FCD"/>
    <w:rsid w:val="00DE685A"/>
    <w:rsid w:val="00DF27D3"/>
    <w:rsid w:val="00DF599B"/>
    <w:rsid w:val="00DF704E"/>
    <w:rsid w:val="00E01F1C"/>
    <w:rsid w:val="00E05478"/>
    <w:rsid w:val="00E14FCD"/>
    <w:rsid w:val="00E218FB"/>
    <w:rsid w:val="00E5253A"/>
    <w:rsid w:val="00E52ADB"/>
    <w:rsid w:val="00E57CCC"/>
    <w:rsid w:val="00E60720"/>
    <w:rsid w:val="00E66F9C"/>
    <w:rsid w:val="00E672FC"/>
    <w:rsid w:val="00E678CA"/>
    <w:rsid w:val="00E7115F"/>
    <w:rsid w:val="00E80C44"/>
    <w:rsid w:val="00E864F8"/>
    <w:rsid w:val="00E866F2"/>
    <w:rsid w:val="00E87093"/>
    <w:rsid w:val="00E951ED"/>
    <w:rsid w:val="00EA32C8"/>
    <w:rsid w:val="00EA4EA8"/>
    <w:rsid w:val="00EA5326"/>
    <w:rsid w:val="00EA7596"/>
    <w:rsid w:val="00EB4B31"/>
    <w:rsid w:val="00EB6E03"/>
    <w:rsid w:val="00EB7908"/>
    <w:rsid w:val="00ED7096"/>
    <w:rsid w:val="00EF1765"/>
    <w:rsid w:val="00EF33A3"/>
    <w:rsid w:val="00F03891"/>
    <w:rsid w:val="00F15971"/>
    <w:rsid w:val="00F17BB6"/>
    <w:rsid w:val="00F4039C"/>
    <w:rsid w:val="00F46474"/>
    <w:rsid w:val="00F847B8"/>
    <w:rsid w:val="00F93B42"/>
    <w:rsid w:val="00FA271E"/>
    <w:rsid w:val="00FA3124"/>
    <w:rsid w:val="00FA52E9"/>
    <w:rsid w:val="00FB203B"/>
    <w:rsid w:val="00FB2FC7"/>
    <w:rsid w:val="00FD7285"/>
    <w:rsid w:val="00FD7299"/>
    <w:rsid w:val="00FE4270"/>
    <w:rsid w:val="00FF152A"/>
    <w:rsid w:val="00FF22F5"/>
    <w:rsid w:val="00FF5D95"/>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33F"/>
  </w:style>
  <w:style w:type="paragraph" w:styleId="Ttulo1">
    <w:name w:val="heading 1"/>
    <w:basedOn w:val="Normal"/>
    <w:link w:val="Ttulo1Car"/>
    <w:uiPriority w:val="9"/>
    <w:qFormat/>
    <w:rsid w:val="005926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_tradnl"/>
    </w:rPr>
  </w:style>
  <w:style w:type="paragraph" w:styleId="Ttulo2">
    <w:name w:val="heading 2"/>
    <w:basedOn w:val="Normal"/>
    <w:next w:val="Normal"/>
    <w:link w:val="Ttulo2Car"/>
    <w:qFormat/>
    <w:rsid w:val="00160C4B"/>
    <w:pPr>
      <w:keepNext/>
      <w:spacing w:after="0" w:line="240" w:lineRule="auto"/>
      <w:outlineLvl w:val="1"/>
    </w:pPr>
    <w:rPr>
      <w:rFonts w:ascii="Arial" w:eastAsia="Times New Roman" w:hAnsi="Arial" w:cs="Times New Roman"/>
      <w:color w:val="C0C0C0"/>
      <w:sz w:val="56"/>
      <w:szCs w:val="20"/>
      <w:lang w:val="es-ES" w:eastAsia="es-ES"/>
    </w:rPr>
  </w:style>
  <w:style w:type="paragraph" w:styleId="Ttulo3">
    <w:name w:val="heading 3"/>
    <w:basedOn w:val="Normal"/>
    <w:next w:val="Normal"/>
    <w:link w:val="Ttulo3Car"/>
    <w:qFormat/>
    <w:rsid w:val="00160C4B"/>
    <w:pPr>
      <w:keepNext/>
      <w:spacing w:after="0" w:line="240" w:lineRule="auto"/>
      <w:jc w:val="center"/>
      <w:outlineLvl w:val="2"/>
    </w:pPr>
    <w:rPr>
      <w:rFonts w:ascii="NewBskvll BT" w:eastAsia="Times New Roman" w:hAnsi="NewBskvll BT" w:cs="Times New Roman"/>
      <w:i/>
      <w:sz w:val="24"/>
      <w:szCs w:val="20"/>
      <w:lang w:val="es-ES" w:eastAsia="es-ES"/>
    </w:rPr>
  </w:style>
  <w:style w:type="paragraph" w:styleId="Ttulo4">
    <w:name w:val="heading 4"/>
    <w:basedOn w:val="Normal"/>
    <w:next w:val="Normal"/>
    <w:link w:val="Ttulo4Car"/>
    <w:qFormat/>
    <w:rsid w:val="00160C4B"/>
    <w:pPr>
      <w:keepNext/>
      <w:spacing w:after="0" w:line="240" w:lineRule="auto"/>
      <w:jc w:val="center"/>
      <w:outlineLvl w:val="3"/>
    </w:pPr>
    <w:rPr>
      <w:rFonts w:ascii="Arial" w:eastAsia="Times New Roman" w:hAnsi="Arial" w:cs="Times New Roman"/>
      <w:sz w:val="32"/>
      <w:szCs w:val="20"/>
      <w:lang w:val="es-ES" w:eastAsia="es-ES"/>
    </w:rPr>
  </w:style>
  <w:style w:type="paragraph" w:styleId="Ttulo5">
    <w:name w:val="heading 5"/>
    <w:basedOn w:val="Normal"/>
    <w:next w:val="Normal"/>
    <w:link w:val="Ttulo5Car"/>
    <w:qFormat/>
    <w:rsid w:val="00160C4B"/>
    <w:pPr>
      <w:keepNext/>
      <w:spacing w:after="0" w:line="240" w:lineRule="auto"/>
      <w:outlineLvl w:val="4"/>
    </w:pPr>
    <w:rPr>
      <w:rFonts w:ascii="Arial" w:eastAsia="Times New Roman" w:hAnsi="Arial" w:cs="Times New Roman"/>
      <w:b/>
      <w:sz w:val="32"/>
      <w:szCs w:val="20"/>
      <w:u w:val="single"/>
      <w:lang w:val="es-ES" w:eastAsia="es-ES"/>
    </w:rPr>
  </w:style>
  <w:style w:type="paragraph" w:styleId="Ttulo6">
    <w:name w:val="heading 6"/>
    <w:basedOn w:val="Normal"/>
    <w:next w:val="Normal"/>
    <w:link w:val="Ttulo6Car"/>
    <w:qFormat/>
    <w:rsid w:val="00160C4B"/>
    <w:pPr>
      <w:keepNext/>
      <w:spacing w:after="0" w:line="240" w:lineRule="auto"/>
      <w:jc w:val="center"/>
      <w:outlineLvl w:val="5"/>
    </w:pPr>
    <w:rPr>
      <w:rFonts w:ascii="NewBskvll BT" w:eastAsia="Times New Roman" w:hAnsi="NewBskvll BT" w:cs="Times New Roman"/>
      <w:smallCaps/>
      <w:sz w:val="2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01F1C"/>
    <w:pPr>
      <w:spacing w:after="0" w:line="240" w:lineRule="auto"/>
    </w:pPr>
  </w:style>
  <w:style w:type="paragraph" w:styleId="Encabezado">
    <w:name w:val="header"/>
    <w:basedOn w:val="Normal"/>
    <w:link w:val="EncabezadoCar"/>
    <w:uiPriority w:val="99"/>
    <w:semiHidden/>
    <w:unhideWhenUsed/>
    <w:rsid w:val="00347AC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347AC8"/>
  </w:style>
  <w:style w:type="paragraph" w:styleId="Piedepgina">
    <w:name w:val="footer"/>
    <w:basedOn w:val="Normal"/>
    <w:link w:val="PiedepginaCar"/>
    <w:uiPriority w:val="99"/>
    <w:unhideWhenUsed/>
    <w:rsid w:val="00347AC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47AC8"/>
  </w:style>
  <w:style w:type="character" w:customStyle="1" w:styleId="Ttulo1Car">
    <w:name w:val="Título 1 Car"/>
    <w:basedOn w:val="Fuentedeprrafopredeter"/>
    <w:link w:val="Ttulo1"/>
    <w:uiPriority w:val="9"/>
    <w:rsid w:val="0059264F"/>
    <w:rPr>
      <w:rFonts w:ascii="Times New Roman" w:eastAsia="Times New Roman" w:hAnsi="Times New Roman" w:cs="Times New Roman"/>
      <w:b/>
      <w:bCs/>
      <w:kern w:val="36"/>
      <w:sz w:val="48"/>
      <w:szCs w:val="48"/>
      <w:lang w:eastAsia="es-ES_tradnl"/>
    </w:rPr>
  </w:style>
  <w:style w:type="character" w:styleId="Hipervnculo">
    <w:name w:val="Hyperlink"/>
    <w:basedOn w:val="Fuentedeprrafopredeter"/>
    <w:uiPriority w:val="99"/>
    <w:semiHidden/>
    <w:unhideWhenUsed/>
    <w:rsid w:val="0059264F"/>
    <w:rPr>
      <w:strike w:val="0"/>
      <w:dstrike w:val="0"/>
      <w:color w:val="1A3933"/>
      <w:u w:val="none"/>
      <w:effect w:val="none"/>
    </w:rPr>
  </w:style>
  <w:style w:type="character" w:styleId="Textoennegrita">
    <w:name w:val="Strong"/>
    <w:basedOn w:val="Fuentedeprrafopredeter"/>
    <w:uiPriority w:val="22"/>
    <w:qFormat/>
    <w:rsid w:val="0059264F"/>
    <w:rPr>
      <w:b/>
      <w:bCs/>
    </w:rPr>
  </w:style>
  <w:style w:type="paragraph" w:styleId="Prrafodelista">
    <w:name w:val="List Paragraph"/>
    <w:basedOn w:val="Normal"/>
    <w:uiPriority w:val="34"/>
    <w:qFormat/>
    <w:rsid w:val="0059264F"/>
    <w:pPr>
      <w:ind w:left="720"/>
      <w:contextualSpacing/>
    </w:pPr>
  </w:style>
  <w:style w:type="paragraph" w:customStyle="1" w:styleId="Default">
    <w:name w:val="Default"/>
    <w:rsid w:val="004D2FD6"/>
    <w:pPr>
      <w:autoSpaceDE w:val="0"/>
      <w:autoSpaceDN w:val="0"/>
      <w:adjustRightInd w:val="0"/>
      <w:spacing w:after="0" w:line="240" w:lineRule="auto"/>
    </w:pPr>
    <w:rPr>
      <w:rFonts w:ascii="Arial Unicode MS" w:eastAsia="Arial Unicode MS" w:cs="Arial Unicode MS"/>
      <w:color w:val="000000"/>
      <w:sz w:val="24"/>
      <w:szCs w:val="24"/>
    </w:rPr>
  </w:style>
  <w:style w:type="paragraph" w:styleId="Textonotapie">
    <w:name w:val="footnote text"/>
    <w:basedOn w:val="Normal"/>
    <w:link w:val="TextonotapieCar"/>
    <w:uiPriority w:val="99"/>
    <w:semiHidden/>
    <w:unhideWhenUsed/>
    <w:rsid w:val="00CC4A6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C4A69"/>
    <w:rPr>
      <w:sz w:val="20"/>
      <w:szCs w:val="20"/>
    </w:rPr>
  </w:style>
  <w:style w:type="character" w:styleId="Refdenotaalpie">
    <w:name w:val="footnote reference"/>
    <w:basedOn w:val="Fuentedeprrafopredeter"/>
    <w:uiPriority w:val="99"/>
    <w:semiHidden/>
    <w:unhideWhenUsed/>
    <w:rsid w:val="00CC4A69"/>
    <w:rPr>
      <w:vertAlign w:val="superscript"/>
    </w:rPr>
  </w:style>
  <w:style w:type="paragraph" w:styleId="Textonotaalfinal">
    <w:name w:val="endnote text"/>
    <w:basedOn w:val="Normal"/>
    <w:link w:val="TextonotaalfinalCar"/>
    <w:uiPriority w:val="99"/>
    <w:semiHidden/>
    <w:unhideWhenUsed/>
    <w:rsid w:val="00A71AA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71AAE"/>
    <w:rPr>
      <w:sz w:val="20"/>
      <w:szCs w:val="20"/>
    </w:rPr>
  </w:style>
  <w:style w:type="character" w:styleId="Refdenotaalfinal">
    <w:name w:val="endnote reference"/>
    <w:basedOn w:val="Fuentedeprrafopredeter"/>
    <w:uiPriority w:val="99"/>
    <w:semiHidden/>
    <w:unhideWhenUsed/>
    <w:rsid w:val="00A71AAE"/>
    <w:rPr>
      <w:vertAlign w:val="superscript"/>
    </w:rPr>
  </w:style>
  <w:style w:type="table" w:customStyle="1" w:styleId="TableNormal">
    <w:name w:val="Table Normal"/>
    <w:uiPriority w:val="2"/>
    <w:semiHidden/>
    <w:unhideWhenUsed/>
    <w:qFormat/>
    <w:rsid w:val="00CA7B2D"/>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CA7B2D"/>
    <w:pPr>
      <w:widowControl w:val="0"/>
      <w:spacing w:after="0" w:line="240" w:lineRule="auto"/>
    </w:pPr>
    <w:rPr>
      <w:lang w:val="en-US"/>
    </w:rPr>
  </w:style>
  <w:style w:type="paragraph" w:styleId="Textoindependiente">
    <w:name w:val="Body Text"/>
    <w:basedOn w:val="Normal"/>
    <w:link w:val="TextoindependienteCar"/>
    <w:uiPriority w:val="1"/>
    <w:qFormat/>
    <w:rsid w:val="007F1816"/>
    <w:pPr>
      <w:widowControl w:val="0"/>
      <w:spacing w:before="15" w:after="0" w:line="240" w:lineRule="auto"/>
    </w:pPr>
    <w:rPr>
      <w:rFonts w:ascii="Century Gothic" w:eastAsia="Century Gothic" w:hAnsi="Century Gothic"/>
      <w:b/>
      <w:bCs/>
      <w:sz w:val="16"/>
      <w:szCs w:val="16"/>
      <w:lang w:val="en-US"/>
    </w:rPr>
  </w:style>
  <w:style w:type="character" w:customStyle="1" w:styleId="TextoindependienteCar">
    <w:name w:val="Texto independiente Car"/>
    <w:basedOn w:val="Fuentedeprrafopredeter"/>
    <w:link w:val="Textoindependiente"/>
    <w:uiPriority w:val="1"/>
    <w:rsid w:val="007F1816"/>
    <w:rPr>
      <w:rFonts w:ascii="Century Gothic" w:eastAsia="Century Gothic" w:hAnsi="Century Gothic"/>
      <w:b/>
      <w:bCs/>
      <w:sz w:val="16"/>
      <w:szCs w:val="16"/>
      <w:lang w:val="en-US"/>
    </w:rPr>
  </w:style>
  <w:style w:type="paragraph" w:styleId="Textodeglobo">
    <w:name w:val="Balloon Text"/>
    <w:basedOn w:val="Normal"/>
    <w:link w:val="TextodegloboCar"/>
    <w:uiPriority w:val="99"/>
    <w:semiHidden/>
    <w:unhideWhenUsed/>
    <w:rsid w:val="00C356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356F0"/>
    <w:rPr>
      <w:rFonts w:ascii="Tahoma" w:hAnsi="Tahoma" w:cs="Tahoma"/>
      <w:sz w:val="16"/>
      <w:szCs w:val="16"/>
    </w:rPr>
  </w:style>
  <w:style w:type="character" w:customStyle="1" w:styleId="Ttulo2Car">
    <w:name w:val="Título 2 Car"/>
    <w:basedOn w:val="Fuentedeprrafopredeter"/>
    <w:link w:val="Ttulo2"/>
    <w:rsid w:val="00160C4B"/>
    <w:rPr>
      <w:rFonts w:ascii="Arial" w:eastAsia="Times New Roman" w:hAnsi="Arial" w:cs="Times New Roman"/>
      <w:color w:val="C0C0C0"/>
      <w:sz w:val="56"/>
      <w:szCs w:val="20"/>
      <w:lang w:val="es-ES" w:eastAsia="es-ES"/>
    </w:rPr>
  </w:style>
  <w:style w:type="character" w:customStyle="1" w:styleId="Ttulo3Car">
    <w:name w:val="Título 3 Car"/>
    <w:basedOn w:val="Fuentedeprrafopredeter"/>
    <w:link w:val="Ttulo3"/>
    <w:rsid w:val="00160C4B"/>
    <w:rPr>
      <w:rFonts w:ascii="NewBskvll BT" w:eastAsia="Times New Roman" w:hAnsi="NewBskvll BT" w:cs="Times New Roman"/>
      <w:i/>
      <w:sz w:val="24"/>
      <w:szCs w:val="20"/>
      <w:lang w:val="es-ES" w:eastAsia="es-ES"/>
    </w:rPr>
  </w:style>
  <w:style w:type="character" w:customStyle="1" w:styleId="Ttulo6Car">
    <w:name w:val="Título 6 Car"/>
    <w:basedOn w:val="Fuentedeprrafopredeter"/>
    <w:link w:val="Ttulo6"/>
    <w:rsid w:val="00160C4B"/>
    <w:rPr>
      <w:rFonts w:ascii="NewBskvll BT" w:eastAsia="Times New Roman" w:hAnsi="NewBskvll BT" w:cs="Times New Roman"/>
      <w:smallCaps/>
      <w:sz w:val="28"/>
      <w:szCs w:val="20"/>
      <w:lang w:val="es-ES" w:eastAsia="es-ES"/>
    </w:rPr>
  </w:style>
  <w:style w:type="paragraph" w:styleId="Textoindependiente2">
    <w:name w:val="Body Text 2"/>
    <w:basedOn w:val="Normal"/>
    <w:link w:val="Textoindependiente2Car"/>
    <w:rsid w:val="00160C4B"/>
    <w:pPr>
      <w:spacing w:after="0" w:line="240" w:lineRule="auto"/>
      <w:jc w:val="center"/>
    </w:pPr>
    <w:rPr>
      <w:rFonts w:ascii="Arial" w:eastAsia="Times New Roman" w:hAnsi="Arial" w:cs="Times New Roman"/>
      <w:smallCaps/>
      <w:sz w:val="52"/>
      <w:szCs w:val="20"/>
      <w:lang w:val="es-ES" w:eastAsia="es-ES"/>
    </w:rPr>
  </w:style>
  <w:style w:type="character" w:customStyle="1" w:styleId="Textoindependiente2Car">
    <w:name w:val="Texto independiente 2 Car"/>
    <w:basedOn w:val="Fuentedeprrafopredeter"/>
    <w:link w:val="Textoindependiente2"/>
    <w:rsid w:val="00160C4B"/>
    <w:rPr>
      <w:rFonts w:ascii="Arial" w:eastAsia="Times New Roman" w:hAnsi="Arial" w:cs="Times New Roman"/>
      <w:smallCaps/>
      <w:sz w:val="52"/>
      <w:szCs w:val="20"/>
      <w:lang w:val="es-ES" w:eastAsia="es-ES"/>
    </w:rPr>
  </w:style>
  <w:style w:type="character" w:customStyle="1" w:styleId="Ttulo4Car">
    <w:name w:val="Título 4 Car"/>
    <w:basedOn w:val="Fuentedeprrafopredeter"/>
    <w:link w:val="Ttulo4"/>
    <w:rsid w:val="00160C4B"/>
    <w:rPr>
      <w:rFonts w:ascii="Arial" w:eastAsia="Times New Roman" w:hAnsi="Arial" w:cs="Times New Roman"/>
      <w:sz w:val="32"/>
      <w:szCs w:val="20"/>
      <w:lang w:val="es-ES" w:eastAsia="es-ES"/>
    </w:rPr>
  </w:style>
  <w:style w:type="character" w:customStyle="1" w:styleId="Ttulo5Car">
    <w:name w:val="Título 5 Car"/>
    <w:basedOn w:val="Fuentedeprrafopredeter"/>
    <w:link w:val="Ttulo5"/>
    <w:rsid w:val="00160C4B"/>
    <w:rPr>
      <w:rFonts w:ascii="Arial" w:eastAsia="Times New Roman" w:hAnsi="Arial" w:cs="Times New Roman"/>
      <w:b/>
      <w:sz w:val="32"/>
      <w:szCs w:val="20"/>
      <w:u w:val="single"/>
      <w:lang w:val="es-ES" w:eastAsia="es-ES"/>
    </w:rPr>
  </w:style>
</w:styles>
</file>

<file path=word/webSettings.xml><?xml version="1.0" encoding="utf-8"?>
<w:webSettings xmlns:r="http://schemas.openxmlformats.org/officeDocument/2006/relationships" xmlns:w="http://schemas.openxmlformats.org/wordprocessingml/2006/main">
  <w:divs>
    <w:div w:id="650985557">
      <w:bodyDiv w:val="1"/>
      <w:marLeft w:val="0"/>
      <w:marRight w:val="0"/>
      <w:marTop w:val="0"/>
      <w:marBottom w:val="0"/>
      <w:divBdr>
        <w:top w:val="none" w:sz="0" w:space="0" w:color="auto"/>
        <w:left w:val="none" w:sz="0" w:space="0" w:color="auto"/>
        <w:bottom w:val="none" w:sz="0" w:space="0" w:color="auto"/>
        <w:right w:val="none" w:sz="0" w:space="0" w:color="auto"/>
      </w:divBdr>
      <w:divsChild>
        <w:div w:id="1467552343">
          <w:marLeft w:val="0"/>
          <w:marRight w:val="0"/>
          <w:marTop w:val="0"/>
          <w:marBottom w:val="0"/>
          <w:divBdr>
            <w:top w:val="none" w:sz="0" w:space="0" w:color="auto"/>
            <w:left w:val="none" w:sz="0" w:space="0" w:color="auto"/>
            <w:bottom w:val="none" w:sz="0" w:space="0" w:color="auto"/>
            <w:right w:val="none" w:sz="0" w:space="0" w:color="auto"/>
          </w:divBdr>
          <w:divsChild>
            <w:div w:id="2144542434">
              <w:marLeft w:val="0"/>
              <w:marRight w:val="0"/>
              <w:marTop w:val="0"/>
              <w:marBottom w:val="0"/>
              <w:divBdr>
                <w:top w:val="none" w:sz="0" w:space="0" w:color="auto"/>
                <w:left w:val="none" w:sz="0" w:space="0" w:color="auto"/>
                <w:bottom w:val="none" w:sz="0" w:space="0" w:color="auto"/>
                <w:right w:val="none" w:sz="0" w:space="0" w:color="auto"/>
              </w:divBdr>
              <w:divsChild>
                <w:div w:id="187361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444538">
      <w:bodyDiv w:val="1"/>
      <w:marLeft w:val="0"/>
      <w:marRight w:val="0"/>
      <w:marTop w:val="0"/>
      <w:marBottom w:val="0"/>
      <w:divBdr>
        <w:top w:val="none" w:sz="0" w:space="0" w:color="auto"/>
        <w:left w:val="none" w:sz="0" w:space="0" w:color="auto"/>
        <w:bottom w:val="none" w:sz="0" w:space="0" w:color="auto"/>
        <w:right w:val="none" w:sz="0" w:space="0" w:color="auto"/>
      </w:divBdr>
      <w:divsChild>
        <w:div w:id="1595284903">
          <w:marLeft w:val="0"/>
          <w:marRight w:val="0"/>
          <w:marTop w:val="0"/>
          <w:marBottom w:val="0"/>
          <w:divBdr>
            <w:top w:val="none" w:sz="0" w:space="0" w:color="auto"/>
            <w:left w:val="none" w:sz="0" w:space="0" w:color="auto"/>
            <w:bottom w:val="none" w:sz="0" w:space="0" w:color="auto"/>
            <w:right w:val="none" w:sz="0" w:space="0" w:color="auto"/>
          </w:divBdr>
          <w:divsChild>
            <w:div w:id="1277253277">
              <w:marLeft w:val="0"/>
              <w:marRight w:val="0"/>
              <w:marTop w:val="0"/>
              <w:marBottom w:val="0"/>
              <w:divBdr>
                <w:top w:val="none" w:sz="0" w:space="0" w:color="auto"/>
                <w:left w:val="none" w:sz="0" w:space="0" w:color="auto"/>
                <w:bottom w:val="none" w:sz="0" w:space="0" w:color="auto"/>
                <w:right w:val="none" w:sz="0" w:space="0" w:color="auto"/>
              </w:divBdr>
              <w:divsChild>
                <w:div w:id="81942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125411">
      <w:bodyDiv w:val="1"/>
      <w:marLeft w:val="0"/>
      <w:marRight w:val="0"/>
      <w:marTop w:val="0"/>
      <w:marBottom w:val="0"/>
      <w:divBdr>
        <w:top w:val="none" w:sz="0" w:space="0" w:color="auto"/>
        <w:left w:val="none" w:sz="0" w:space="0" w:color="auto"/>
        <w:bottom w:val="none" w:sz="0" w:space="0" w:color="auto"/>
        <w:right w:val="none" w:sz="0" w:space="0" w:color="auto"/>
      </w:divBdr>
      <w:divsChild>
        <w:div w:id="2088725423">
          <w:marLeft w:val="0"/>
          <w:marRight w:val="0"/>
          <w:marTop w:val="0"/>
          <w:marBottom w:val="0"/>
          <w:divBdr>
            <w:top w:val="none" w:sz="0" w:space="0" w:color="auto"/>
            <w:left w:val="none" w:sz="0" w:space="0" w:color="auto"/>
            <w:bottom w:val="none" w:sz="0" w:space="0" w:color="auto"/>
            <w:right w:val="none" w:sz="0" w:space="0" w:color="auto"/>
          </w:divBdr>
          <w:divsChild>
            <w:div w:id="1055087125">
              <w:marLeft w:val="0"/>
              <w:marRight w:val="0"/>
              <w:marTop w:val="0"/>
              <w:marBottom w:val="0"/>
              <w:divBdr>
                <w:top w:val="none" w:sz="0" w:space="0" w:color="auto"/>
                <w:left w:val="none" w:sz="0" w:space="0" w:color="auto"/>
                <w:bottom w:val="none" w:sz="0" w:space="0" w:color="auto"/>
                <w:right w:val="none" w:sz="0" w:space="0" w:color="auto"/>
              </w:divBdr>
              <w:divsChild>
                <w:div w:id="25128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175961">
      <w:bodyDiv w:val="1"/>
      <w:marLeft w:val="0"/>
      <w:marRight w:val="0"/>
      <w:marTop w:val="0"/>
      <w:marBottom w:val="0"/>
      <w:divBdr>
        <w:top w:val="none" w:sz="0" w:space="0" w:color="auto"/>
        <w:left w:val="none" w:sz="0" w:space="0" w:color="auto"/>
        <w:bottom w:val="none" w:sz="0" w:space="0" w:color="auto"/>
        <w:right w:val="none" w:sz="0" w:space="0" w:color="auto"/>
      </w:divBdr>
    </w:div>
    <w:div w:id="204867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enciclopedia-juridica.biz14.com/d/derecho-de-cr&#233;dito/derecho-de-cr&#233;dito.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nciclopedia-juridica.biz14.com/d/inmueble/inmueble.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ciclopedia-juridica.biz14.com/d/obligaci&#243;n/obligaci&#243;n.htm" TargetMode="External"/><Relationship Id="rId5" Type="http://schemas.openxmlformats.org/officeDocument/2006/relationships/webSettings" Target="webSettings.xml"/><Relationship Id="rId15" Type="http://schemas.openxmlformats.org/officeDocument/2006/relationships/hyperlink" Target="http://www.enciclopedia-juridica.biz14.com/d/registro-de-la-propiedad/registro-de-la-propiedad.htm" TargetMode="External"/><Relationship Id="rId10" Type="http://schemas.openxmlformats.org/officeDocument/2006/relationships/hyperlink" Target="http://www.enciclopedia-juridica.biz14.com/d/cumplimiento/cumplimiento.htm" TargetMode="External"/><Relationship Id="rId4" Type="http://schemas.openxmlformats.org/officeDocument/2006/relationships/settings" Target="settings.xml"/><Relationship Id="rId9" Type="http://schemas.openxmlformats.org/officeDocument/2006/relationships/hyperlink" Target="http://www.enciclopedia-juridica.biz14.com/d/derecho-real-de-garant&#237;a/derecho-real-de-garant&#237;a.htm" TargetMode="External"/><Relationship Id="rId14" Type="http://schemas.openxmlformats.org/officeDocument/2006/relationships/hyperlink" Target="http://www.enciclopedia-juridica.biz14.com/d/reparacion/reparacion.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D19AB8-69D8-40CA-93A5-E1AB96951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2090</TotalTime>
  <Pages>1</Pages>
  <Words>19975</Words>
  <Characters>109867</Characters>
  <Application>Microsoft Office Word</Application>
  <DocSecurity>0</DocSecurity>
  <Lines>915</Lines>
  <Paragraphs>259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DoRy</dc:creator>
  <cp:keywords/>
  <dc:description/>
  <cp:lastModifiedBy>DoRy</cp:lastModifiedBy>
  <cp:revision>146</cp:revision>
  <cp:lastPrinted>2015-06-10T14:59:00Z</cp:lastPrinted>
  <dcterms:created xsi:type="dcterms:W3CDTF">2015-02-18T17:53:00Z</dcterms:created>
  <dcterms:modified xsi:type="dcterms:W3CDTF">2015-06-16T07:54:00Z</dcterms:modified>
</cp:coreProperties>
</file>