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06A5" w:rsidRDefault="008D7398" w:rsidP="00D406A5">
      <w:pPr>
        <w:jc w:val="right"/>
      </w:pPr>
      <w:r>
        <w:rPr>
          <w:noProof/>
        </w:rPr>
        <mc:AlternateContent>
          <mc:Choice Requires="wps">
            <w:drawing>
              <wp:anchor distT="0" distB="0" distL="114300" distR="114300" simplePos="0" relativeHeight="251661824" behindDoc="0" locked="0" layoutInCell="0" allowOverlap="1" wp14:anchorId="557C884B" wp14:editId="258585D5">
                <wp:simplePos x="0" y="0"/>
                <wp:positionH relativeFrom="column">
                  <wp:posOffset>-900430</wp:posOffset>
                </wp:positionH>
                <wp:positionV relativeFrom="paragraph">
                  <wp:posOffset>-900430</wp:posOffset>
                </wp:positionV>
                <wp:extent cx="2295525" cy="10669971"/>
                <wp:effectExtent l="0" t="0" r="9525"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0669971"/>
                        </a:xfrm>
                        <a:prstGeom prst="rect">
                          <a:avLst/>
                        </a:prstGeom>
                        <a:solidFill>
                          <a:srgbClr val="EA0000"/>
                        </a:solidFill>
                        <a:ln>
                          <a:noFill/>
                        </a:ln>
                        <a:extLst/>
                      </wps:spPr>
                      <wps:txbx>
                        <w:txbxContent>
                          <w:p w:rsidR="009C7D06" w:rsidRPr="00B9129F" w:rsidRDefault="009C7D06" w:rsidP="00D406A5">
                            <w:pPr>
                              <w:pStyle w:val="Ttulo2"/>
                              <w:jc w:val="center"/>
                              <w:rPr>
                                <w:color w:val="F79646" w:themeColor="accent6"/>
                                <w:sz w:val="72"/>
                              </w:rPr>
                            </w:pPr>
                            <w:r w:rsidRPr="00B9129F">
                              <w:rPr>
                                <w:color w:val="F79646" w:themeColor="accent6"/>
                                <w:sz w:val="72"/>
                              </w:rPr>
                              <w:t>Facultad de Ciencias Sociales y Jurídicas</w:t>
                            </w:r>
                          </w:p>
                          <w:p w:rsidR="009C7D06" w:rsidRPr="00D406A5" w:rsidRDefault="009C7D06"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Derecho</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70.9pt;margin-top:-70.9pt;width:180.75pt;height:840.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" o:allowincell="f" fillcolor="#ea0000" stroked="f">
                <v:textbox style="layout-flow:vertical;mso-layout-flow-alt:bottom-to-top">
                  <w:txbxContent>
                    <w:p w:rsidR="009C7D06" w:rsidRPr="00B9129F" w:rsidRDefault="009C7D06" w:rsidP="00D406A5">
                      <w:pPr>
                        <w:pStyle w:val="Ttulo2"/>
                        <w:jc w:val="center"/>
                        <w:rPr>
                          <w:color w:val="F79646" w:themeColor="accent6"/>
                          <w:sz w:val="72"/>
                        </w:rPr>
                      </w:pPr>
                      <w:r w:rsidRPr="00B9129F">
                        <w:rPr>
                          <w:color w:val="F79646" w:themeColor="accent6"/>
                          <w:sz w:val="72"/>
                        </w:rPr>
                        <w:t>Facultad de Ciencias Sociales y Jurídicas</w:t>
                      </w:r>
                    </w:p>
                    <w:p w:rsidR="009C7D06" w:rsidRPr="00D406A5" w:rsidRDefault="009C7D06"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Derecho</w:t>
                      </w:r>
                    </w:p>
                  </w:txbxContent>
                </v:textbox>
              </v:shape>
            </w:pict>
          </mc:Fallback>
        </mc:AlternateConten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 w:rsidR="00D406A5" w:rsidRPr="00B9129F" w:rsidRDefault="00D406A5" w:rsidP="00D406A5"/>
    <w:p w:rsidR="00D406A5" w:rsidRPr="00B9129F" w:rsidRDefault="00D406A5" w:rsidP="00D406A5"/>
    <w:p w:rsidR="00D406A5" w:rsidRPr="00B9129F" w:rsidRDefault="00D406A5" w:rsidP="00D406A5">
      <w:r>
        <w:rPr>
          <w:noProof/>
        </w:rPr>
        <w:drawing>
          <wp:anchor distT="0" distB="0" distL="114300" distR="114300" simplePos="0" relativeHeight="251662848" behindDoc="0" locked="0" layoutInCell="0" allowOverlap="1" wp14:anchorId="247DAE96" wp14:editId="049F791A">
            <wp:simplePos x="0" y="0"/>
            <wp:positionH relativeFrom="column">
              <wp:posOffset>3324225</wp:posOffset>
            </wp:positionH>
            <wp:positionV relativeFrom="paragraph">
              <wp:posOffset>186055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p>
    <w:p w:rsidR="00D406A5" w:rsidRPr="00B9129F" w:rsidRDefault="008D7398" w:rsidP="00D406A5">
      <w:r>
        <w:rPr>
          <w:noProof/>
        </w:rPr>
        <mc:AlternateContent>
          <mc:Choice Requires="wps">
            <w:drawing>
              <wp:anchor distT="0" distB="0" distL="114300" distR="114300" simplePos="0" relativeHeight="251663872" behindDoc="0" locked="0" layoutInCell="0" allowOverlap="1" wp14:anchorId="145D62C2" wp14:editId="5DA2765B">
                <wp:simplePos x="0" y="0"/>
                <wp:positionH relativeFrom="column">
                  <wp:posOffset>1558925</wp:posOffset>
                </wp:positionH>
                <wp:positionV relativeFrom="paragraph">
                  <wp:posOffset>1143000</wp:posOffset>
                </wp:positionV>
                <wp:extent cx="4765675" cy="1645920"/>
                <wp:effectExtent l="0" t="0" r="0" b="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5675"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C7D06" w:rsidRDefault="009C7D06" w:rsidP="00D406A5">
                            <w:pPr>
                              <w:pStyle w:val="Ttulo6"/>
                              <w:rPr>
                                <w:b/>
                              </w:rPr>
                            </w:pPr>
                            <w:r>
                              <w:rPr>
                                <w:b/>
                              </w:rPr>
                              <w:t>Universidad de Jaén</w:t>
                            </w:r>
                          </w:p>
                          <w:p w:rsidR="009C7D06" w:rsidRDefault="009C7D06" w:rsidP="00D406A5">
                            <w:pPr>
                              <w:pStyle w:val="Ttulo3"/>
                            </w:pPr>
                            <w:r>
                              <w:t>Facultad de Ciencias Sociales y Jurídicas</w:t>
                            </w:r>
                          </w:p>
                          <w:p w:rsidR="009C7D06" w:rsidRDefault="009C7D06" w:rsidP="00D406A5"/>
                          <w:p w:rsidR="009C7D06" w:rsidRDefault="009C7D06" w:rsidP="00D406A5"/>
                          <w:p w:rsidR="009C7D06" w:rsidRDefault="009C7D06" w:rsidP="00D406A5"/>
                          <w:p w:rsidR="009C7D06" w:rsidRDefault="009C7D06" w:rsidP="00D406A5"/>
                          <w:p w:rsidR="009C7D06" w:rsidRDefault="009C7D06" w:rsidP="00D406A5"/>
                          <w:p w:rsidR="009C7D06" w:rsidRDefault="009C7D06" w:rsidP="00D406A5">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margin-left:122.75pt;margin-top:90pt;width:375.25pt;height:129.6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" o:allowincell="f" stroked="f">
                <v:textbox>
                  <w:txbxContent>
                    <w:p w:rsidR="009C7D06" w:rsidRDefault="009C7D06" w:rsidP="00D406A5">
                      <w:pPr>
                        <w:pStyle w:val="Ttulo6"/>
                        <w:rPr>
                          <w:b/>
                        </w:rPr>
                      </w:pPr>
                      <w:r>
                        <w:rPr>
                          <w:b/>
                        </w:rPr>
                        <w:t>Universidad de Jaén</w:t>
                      </w:r>
                    </w:p>
                    <w:p w:rsidR="009C7D06" w:rsidRDefault="009C7D06" w:rsidP="00D406A5">
                      <w:pPr>
                        <w:pStyle w:val="Ttulo3"/>
                      </w:pPr>
                      <w:r>
                        <w:t>Facultad de Ciencias Sociales y Jurídicas</w:t>
                      </w:r>
                    </w:p>
                    <w:p w:rsidR="009C7D06" w:rsidRDefault="009C7D06" w:rsidP="00D406A5"/>
                    <w:p w:rsidR="009C7D06" w:rsidRDefault="009C7D06" w:rsidP="00D406A5"/>
                    <w:p w:rsidR="009C7D06" w:rsidRDefault="009C7D06" w:rsidP="00D406A5"/>
                    <w:p w:rsidR="009C7D06" w:rsidRDefault="009C7D06" w:rsidP="00D406A5"/>
                    <w:p w:rsidR="009C7D06" w:rsidRDefault="009C7D06" w:rsidP="00D406A5"/>
                    <w:p w:rsidR="009C7D06" w:rsidRDefault="009C7D06" w:rsidP="00D406A5">
                      <w:pPr>
                        <w:pStyle w:val="Textoindependiente"/>
                        <w:rPr>
                          <w:rFonts w:ascii="Arial" w:hAnsi="Arial"/>
                          <w:sz w:val="44"/>
                          <w:u w:val="single"/>
                        </w:rPr>
                      </w:pPr>
                      <w:r>
                        <w:rPr>
                          <w:rFonts w:ascii="Arial" w:hAnsi="Arial"/>
                          <w:sz w:val="44"/>
                          <w:u w:val="single"/>
                        </w:rPr>
                        <w:t>Trabajo Fin de Grado</w:t>
                      </w:r>
                    </w:p>
                  </w:txbxContent>
                </v:textbox>
              </v:shape>
            </w:pict>
          </mc:Fallback>
        </mc:AlternateContent>
      </w:r>
    </w:p>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Default="00D406A5" w:rsidP="00D406A5"/>
    <w:p w:rsidR="00D406A5" w:rsidRDefault="00D406A5" w:rsidP="00D406A5"/>
    <w:p w:rsidR="00D406A5" w:rsidRPr="00B9129F" w:rsidRDefault="00D406A5" w:rsidP="00D406A5">
      <w:pPr>
        <w:tabs>
          <w:tab w:val="left" w:pos="7215"/>
        </w:tabs>
      </w:pPr>
      <w:r>
        <w:rPr>
          <w:noProof/>
        </w:rPr>
        <mc:AlternateContent>
          <mc:Choice Requires="wps">
            <w:drawing>
              <wp:anchor distT="0" distB="0" distL="114300" distR="114300" simplePos="0" relativeHeight="251665920" behindDoc="0" locked="0" layoutInCell="0" allowOverlap="1" wp14:anchorId="3CA35EA5" wp14:editId="6272B4C2">
                <wp:simplePos x="0" y="0"/>
                <wp:positionH relativeFrom="column">
                  <wp:posOffset>1430655</wp:posOffset>
                </wp:positionH>
                <wp:positionV relativeFrom="paragraph">
                  <wp:posOffset>3905250</wp:posOffset>
                </wp:positionV>
                <wp:extent cx="4528185" cy="2834640"/>
                <wp:effectExtent l="0" t="0" r="5715" b="3810"/>
                <wp:wrapNone/>
                <wp:docPr id="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C7D06" w:rsidRDefault="009C7D06" w:rsidP="00D406A5">
                            <w:pPr>
                              <w:pStyle w:val="Ttulo5"/>
                              <w:jc w:val="center"/>
                              <w:rPr>
                                <w:u w:val="none"/>
                              </w:rPr>
                            </w:pPr>
                            <w:r>
                              <w:rPr>
                                <w:u w:val="none"/>
                              </w:rPr>
                              <w:t xml:space="preserve">Alumno: </w:t>
                            </w:r>
                            <w:proofErr w:type="spellStart"/>
                            <w:r>
                              <w:rPr>
                                <w:u w:val="none"/>
                              </w:rPr>
                              <w:t>Marién</w:t>
                            </w:r>
                            <w:proofErr w:type="spellEnd"/>
                            <w:r>
                              <w:rPr>
                                <w:u w:val="none"/>
                              </w:rPr>
                              <w:t xml:space="preserve"> Martínez Pérez</w:t>
                            </w:r>
                          </w:p>
                          <w:p w:rsidR="009C7D06" w:rsidRDefault="009C7D06" w:rsidP="00D406A5">
                            <w:pPr>
                              <w:jc w:val="center"/>
                              <w:rPr>
                                <w:rFonts w:ascii="Arial" w:hAnsi="Arial"/>
                                <w:sz w:val="32"/>
                              </w:rPr>
                            </w:pPr>
                          </w:p>
                          <w:p w:rsidR="009C7D06" w:rsidRDefault="009C7D06" w:rsidP="00D406A5">
                            <w:pPr>
                              <w:jc w:val="center"/>
                              <w:rPr>
                                <w:rFonts w:ascii="Arial" w:hAnsi="Arial"/>
                                <w:sz w:val="32"/>
                              </w:rPr>
                            </w:pPr>
                          </w:p>
                          <w:p w:rsidR="009C7D06" w:rsidRDefault="009C7D06" w:rsidP="00D406A5">
                            <w:pPr>
                              <w:jc w:val="center"/>
                              <w:rPr>
                                <w:rFonts w:ascii="Arial" w:hAnsi="Arial"/>
                                <w:sz w:val="32"/>
                              </w:rPr>
                            </w:pPr>
                          </w:p>
                          <w:p w:rsidR="009C7D06" w:rsidRDefault="009C7D06" w:rsidP="00D406A5">
                            <w:pPr>
                              <w:jc w:val="center"/>
                              <w:rPr>
                                <w:rFonts w:ascii="Arial" w:hAnsi="Arial"/>
                                <w:sz w:val="32"/>
                              </w:rPr>
                            </w:pPr>
                          </w:p>
                          <w:p w:rsidR="009C7D06" w:rsidRDefault="009C7D06" w:rsidP="00D406A5">
                            <w:pPr>
                              <w:jc w:val="center"/>
                              <w:rPr>
                                <w:rFonts w:ascii="Arial" w:hAnsi="Arial"/>
                                <w:sz w:val="32"/>
                              </w:rPr>
                            </w:pPr>
                          </w:p>
                          <w:p w:rsidR="009C7D06" w:rsidRDefault="009C7D06" w:rsidP="00D406A5">
                            <w:pPr>
                              <w:jc w:val="center"/>
                              <w:rPr>
                                <w:rFonts w:ascii="Arial" w:hAnsi="Arial"/>
                                <w:sz w:val="32"/>
                              </w:rPr>
                            </w:pPr>
                          </w:p>
                          <w:p w:rsidR="009C7D06" w:rsidRDefault="009C7D06" w:rsidP="00D406A5">
                            <w:pPr>
                              <w:pStyle w:val="Ttulo4"/>
                              <w:rPr>
                                <w:b/>
                                <w:sz w:val="36"/>
                              </w:rPr>
                            </w:pPr>
                            <w:r>
                              <w:rPr>
                                <w:b/>
                                <w:sz w:val="36"/>
                              </w:rPr>
                              <w:t>Junio,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margin-left:112.65pt;margin-top:307.5pt;width:356.55pt;height:223.2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FQVCFIcCAAAYBQAADgAAAAAAAAAAAAAAAAAuAgAAZHJzL2Uyb0RvYy54bWxQSwECLQAUAAYA&#10;CAAAACEAA4idR+AAAAAMAQAADwAAAAAAAAAAAAAAAADhBAAAZHJzL2Rvd25yZXYueG1sUEsFBgAA&#10;AAAEAAQA8wAAAO4FAAAAAA==&#10;" o:allowincell="f" stroked="f">
                <v:textbox>
                  <w:txbxContent>
                    <w:p w:rsidR="009C7D06" w:rsidRDefault="009C7D06" w:rsidP="00D406A5">
                      <w:pPr>
                        <w:pStyle w:val="Ttulo5"/>
                        <w:jc w:val="center"/>
                        <w:rPr>
                          <w:u w:val="none"/>
                        </w:rPr>
                      </w:pPr>
                      <w:r>
                        <w:rPr>
                          <w:u w:val="none"/>
                        </w:rPr>
                        <w:t xml:space="preserve">Alumno: </w:t>
                      </w:r>
                      <w:proofErr w:type="spellStart"/>
                      <w:r>
                        <w:rPr>
                          <w:u w:val="none"/>
                        </w:rPr>
                        <w:t>Marién</w:t>
                      </w:r>
                      <w:proofErr w:type="spellEnd"/>
                      <w:r>
                        <w:rPr>
                          <w:u w:val="none"/>
                        </w:rPr>
                        <w:t xml:space="preserve"> Martínez Pérez</w:t>
                      </w:r>
                    </w:p>
                    <w:p w:rsidR="009C7D06" w:rsidRDefault="009C7D06" w:rsidP="00D406A5">
                      <w:pPr>
                        <w:jc w:val="center"/>
                        <w:rPr>
                          <w:rFonts w:ascii="Arial" w:hAnsi="Arial"/>
                          <w:sz w:val="32"/>
                        </w:rPr>
                      </w:pPr>
                    </w:p>
                    <w:p w:rsidR="009C7D06" w:rsidRDefault="009C7D06" w:rsidP="00D406A5">
                      <w:pPr>
                        <w:jc w:val="center"/>
                        <w:rPr>
                          <w:rFonts w:ascii="Arial" w:hAnsi="Arial"/>
                          <w:sz w:val="32"/>
                        </w:rPr>
                      </w:pPr>
                    </w:p>
                    <w:p w:rsidR="009C7D06" w:rsidRDefault="009C7D06" w:rsidP="00D406A5">
                      <w:pPr>
                        <w:jc w:val="center"/>
                        <w:rPr>
                          <w:rFonts w:ascii="Arial" w:hAnsi="Arial"/>
                          <w:sz w:val="32"/>
                        </w:rPr>
                      </w:pPr>
                    </w:p>
                    <w:p w:rsidR="009C7D06" w:rsidRDefault="009C7D06" w:rsidP="00D406A5">
                      <w:pPr>
                        <w:jc w:val="center"/>
                        <w:rPr>
                          <w:rFonts w:ascii="Arial" w:hAnsi="Arial"/>
                          <w:sz w:val="32"/>
                        </w:rPr>
                      </w:pPr>
                    </w:p>
                    <w:p w:rsidR="009C7D06" w:rsidRDefault="009C7D06" w:rsidP="00D406A5">
                      <w:pPr>
                        <w:jc w:val="center"/>
                        <w:rPr>
                          <w:rFonts w:ascii="Arial" w:hAnsi="Arial"/>
                          <w:sz w:val="32"/>
                        </w:rPr>
                      </w:pPr>
                    </w:p>
                    <w:p w:rsidR="009C7D06" w:rsidRDefault="009C7D06" w:rsidP="00D406A5">
                      <w:pPr>
                        <w:jc w:val="center"/>
                        <w:rPr>
                          <w:rFonts w:ascii="Arial" w:hAnsi="Arial"/>
                          <w:sz w:val="32"/>
                        </w:rPr>
                      </w:pPr>
                    </w:p>
                    <w:p w:rsidR="009C7D06" w:rsidRDefault="009C7D06" w:rsidP="00D406A5">
                      <w:pPr>
                        <w:pStyle w:val="Ttulo4"/>
                        <w:rPr>
                          <w:b/>
                          <w:sz w:val="36"/>
                        </w:rPr>
                      </w:pPr>
                      <w:r>
                        <w:rPr>
                          <w:b/>
                          <w:sz w:val="36"/>
                        </w:rPr>
                        <w:t>Junio, 2015</w:t>
                      </w:r>
                    </w:p>
                  </w:txbxContent>
                </v:textbox>
              </v:shape>
            </w:pict>
          </mc:Fallback>
        </mc:AlternateContent>
      </w:r>
      <w:r>
        <w:tab/>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8D7398" w:rsidP="00D406A5">
      <w:pPr>
        <w:jc w:val="right"/>
      </w:pPr>
      <w:r>
        <w:rPr>
          <w:noProof/>
        </w:rPr>
        <mc:AlternateContent>
          <mc:Choice Requires="wps">
            <w:drawing>
              <wp:anchor distT="0" distB="0" distL="114300" distR="114300" simplePos="0" relativeHeight="251664896" behindDoc="0" locked="0" layoutInCell="0" allowOverlap="1" wp14:anchorId="61C45DB1" wp14:editId="454B2FE2">
                <wp:simplePos x="0" y="0"/>
                <wp:positionH relativeFrom="column">
                  <wp:posOffset>1557020</wp:posOffset>
                </wp:positionH>
                <wp:positionV relativeFrom="paragraph">
                  <wp:posOffset>78740</wp:posOffset>
                </wp:positionV>
                <wp:extent cx="4493260" cy="2847975"/>
                <wp:effectExtent l="0" t="0" r="2540" b="9525"/>
                <wp:wrapNone/>
                <wp:docPr id="1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3260" cy="2847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C7D06" w:rsidRPr="00181EDB" w:rsidRDefault="009C7D06" w:rsidP="00D406A5">
                            <w:pPr>
                              <w:pStyle w:val="Textoindependiente2"/>
                              <w:rPr>
                                <w:b/>
                                <w:sz w:val="64"/>
                                <w:lang w:val="es-ES_tradnl"/>
                              </w:rPr>
                            </w:pPr>
                            <w:r>
                              <w:rPr>
                                <w:b/>
                                <w:sz w:val="64"/>
                                <w:lang w:val="es-ES_tradnl"/>
                              </w:rPr>
                              <w:t>la ley de protección de la seguridad ciudadana ante libertades públicas y derechos fundamentales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122.6pt;margin-top:6.2pt;width:353.8pt;height:224.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" o:allowincell="f" stroked="f">
                <v:textbox>
                  <w:txbxContent>
                    <w:p w:rsidR="009C7D06" w:rsidRPr="00181EDB" w:rsidRDefault="009C7D06" w:rsidP="00D406A5">
                      <w:pPr>
                        <w:pStyle w:val="Textoindependiente2"/>
                        <w:rPr>
                          <w:b/>
                          <w:sz w:val="64"/>
                          <w:lang w:val="es-ES_tradnl"/>
                        </w:rPr>
                      </w:pPr>
                      <w:r>
                        <w:rPr>
                          <w:b/>
                          <w:sz w:val="64"/>
                          <w:lang w:val="es-ES_tradnl"/>
                        </w:rPr>
                        <w:t>la ley de protección de la seguridad ciudadana ante libertades públicas y derechos fundamentales</w:t>
                      </w:r>
                    </w:p>
                  </w:txbxContent>
                </v:textbox>
              </v:shape>
            </w:pict>
          </mc:Fallback>
        </mc:AlternateConten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F26CD9" w:rsidRDefault="00F26CD9" w:rsidP="00F035A3">
      <w:pPr>
        <w:spacing w:after="200" w:line="360" w:lineRule="auto"/>
      </w:pPr>
    </w:p>
    <w:p w:rsidR="00CA4601" w:rsidRPr="00517EB1" w:rsidRDefault="00CA4601" w:rsidP="00CA4601">
      <w:pPr>
        <w:widowControl w:val="0"/>
        <w:spacing w:after="200" w:line="360" w:lineRule="auto"/>
        <w:rPr>
          <w:b/>
          <w:color w:val="000000"/>
          <w:sz w:val="24"/>
          <w:szCs w:val="24"/>
          <w:u w:val="single"/>
        </w:rPr>
      </w:pPr>
      <w:r w:rsidRPr="00517EB1">
        <w:rPr>
          <w:b/>
          <w:color w:val="000000"/>
          <w:sz w:val="24"/>
          <w:szCs w:val="24"/>
          <w:u w:val="single"/>
        </w:rPr>
        <w:lastRenderedPageBreak/>
        <w:t xml:space="preserve">ÍNDICE     </w:t>
      </w:r>
    </w:p>
    <w:p w:rsidR="00CA4601" w:rsidRPr="00517EB1" w:rsidRDefault="00CA4601" w:rsidP="00CA4601">
      <w:pPr>
        <w:widowControl w:val="0"/>
        <w:spacing w:after="200" w:line="360" w:lineRule="auto"/>
        <w:rPr>
          <w:b/>
          <w:color w:val="000000"/>
          <w:sz w:val="24"/>
          <w:szCs w:val="24"/>
        </w:rPr>
      </w:pPr>
    </w:p>
    <w:p w:rsidR="00CA4601" w:rsidRPr="00517EB1" w:rsidRDefault="00CA4601" w:rsidP="00CA4601">
      <w:pPr>
        <w:widowControl w:val="0"/>
        <w:spacing w:after="200" w:line="360" w:lineRule="auto"/>
        <w:rPr>
          <w:rFonts w:eastAsia="Calibri"/>
          <w:color w:val="000000"/>
          <w:sz w:val="24"/>
          <w:szCs w:val="24"/>
        </w:rPr>
      </w:pPr>
      <w:r w:rsidRPr="00517EB1">
        <w:rPr>
          <w:rFonts w:eastAsia="Calibri"/>
          <w:b/>
          <w:color w:val="000000"/>
          <w:sz w:val="24"/>
          <w:szCs w:val="24"/>
        </w:rPr>
        <w:t>RESUMEN/ABSTRACT</w:t>
      </w:r>
      <w:r w:rsidRPr="00517EB1">
        <w:rPr>
          <w:rFonts w:eastAsia="Calibri"/>
          <w:color w:val="000000"/>
          <w:sz w:val="24"/>
          <w:szCs w:val="24"/>
        </w:rPr>
        <w:t>……………………………………………………………..………4</w:t>
      </w:r>
    </w:p>
    <w:p w:rsidR="00CA4601" w:rsidRPr="00517EB1" w:rsidRDefault="00CA4601" w:rsidP="00CA4601">
      <w:pPr>
        <w:widowControl w:val="0"/>
        <w:spacing w:after="200" w:line="360" w:lineRule="auto"/>
        <w:rPr>
          <w:rFonts w:eastAsia="Calibri"/>
          <w:color w:val="000000"/>
          <w:sz w:val="24"/>
          <w:szCs w:val="24"/>
        </w:rPr>
      </w:pPr>
    </w:p>
    <w:p w:rsidR="00CA4601" w:rsidRPr="00517EB1" w:rsidRDefault="00CA4601" w:rsidP="00CA4601">
      <w:pPr>
        <w:widowControl w:val="0"/>
        <w:spacing w:after="200" w:line="360" w:lineRule="auto"/>
        <w:rPr>
          <w:rFonts w:eastAsia="Calibri"/>
          <w:color w:val="000000"/>
          <w:sz w:val="24"/>
          <w:szCs w:val="24"/>
        </w:rPr>
      </w:pPr>
      <w:r w:rsidRPr="00517EB1">
        <w:rPr>
          <w:rFonts w:eastAsia="Calibri"/>
          <w:b/>
          <w:color w:val="000000"/>
          <w:sz w:val="24"/>
          <w:szCs w:val="24"/>
        </w:rPr>
        <w:t>INTRODUCCIÓN</w:t>
      </w:r>
      <w:r w:rsidRPr="00517EB1">
        <w:rPr>
          <w:rFonts w:eastAsia="Calibri"/>
          <w:color w:val="000000"/>
          <w:sz w:val="24"/>
          <w:szCs w:val="24"/>
        </w:rPr>
        <w:t>………………………………………………………………………... …5</w:t>
      </w:r>
    </w:p>
    <w:p w:rsidR="00CA4601" w:rsidRPr="00517EB1" w:rsidRDefault="00CA4601" w:rsidP="00CA4601">
      <w:pPr>
        <w:widowControl w:val="0"/>
        <w:spacing w:after="200" w:line="360" w:lineRule="auto"/>
        <w:rPr>
          <w:rFonts w:eastAsia="Calibri"/>
          <w:color w:val="000000"/>
          <w:sz w:val="24"/>
          <w:szCs w:val="24"/>
        </w:rPr>
      </w:pPr>
    </w:p>
    <w:p w:rsidR="00CA4601" w:rsidRPr="00517EB1" w:rsidRDefault="00CA4601" w:rsidP="00CA4601">
      <w:pPr>
        <w:widowControl w:val="0"/>
        <w:spacing w:after="200" w:line="360" w:lineRule="auto"/>
        <w:jc w:val="both"/>
        <w:rPr>
          <w:b/>
          <w:color w:val="000000"/>
          <w:sz w:val="24"/>
          <w:szCs w:val="24"/>
        </w:rPr>
      </w:pPr>
      <w:r w:rsidRPr="00517EB1">
        <w:rPr>
          <w:b/>
          <w:color w:val="000000"/>
          <w:sz w:val="24"/>
          <w:szCs w:val="24"/>
        </w:rPr>
        <w:t>CAPÍTULO 1</w:t>
      </w:r>
    </w:p>
    <w:p w:rsidR="00CA4601" w:rsidRPr="00517EB1" w:rsidRDefault="00CA4601" w:rsidP="00CA4601">
      <w:pPr>
        <w:widowControl w:val="0"/>
        <w:spacing w:after="200" w:line="360" w:lineRule="auto"/>
        <w:jc w:val="both"/>
        <w:rPr>
          <w:rFonts w:eastAsia="Calibri"/>
          <w:b/>
          <w:color w:val="000000"/>
          <w:sz w:val="24"/>
          <w:szCs w:val="24"/>
        </w:rPr>
      </w:pPr>
      <w:r w:rsidRPr="00517EB1">
        <w:rPr>
          <w:b/>
          <w:color w:val="000000"/>
          <w:sz w:val="24"/>
          <w:szCs w:val="24"/>
        </w:rPr>
        <w:t>LA LO 4/2015 DE 30 DE MARZO SOBRE PROTECCIÓN DE LA SEGURIDAD CIUDADANA: CONSIDERACIONES GENERALES.</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1.1 Planteamiento general……………………………………………………………...………7</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1.2 Contexto histórico. De la LO 1/1992 de 21 de febrero sobre Protección de la Seguridad Ciudadana, a la LO 4/2015 de 30 de marzo, de Protección de la Seguridad Ciudadana……………………………………………………………………………….… …..7</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1.3  Descripción general y novedades que presenta La nueva Ley de Protección de la Seguridad Ciudadana………………………………………………………………………....11</w:t>
      </w:r>
    </w:p>
    <w:p w:rsidR="00CA4601" w:rsidRPr="00517EB1" w:rsidRDefault="00CA4601" w:rsidP="00CA4601">
      <w:pPr>
        <w:widowControl w:val="0"/>
        <w:spacing w:after="200" w:line="360" w:lineRule="auto"/>
        <w:jc w:val="both"/>
        <w:rPr>
          <w:rFonts w:eastAsia="Calibri"/>
          <w:color w:val="000000"/>
          <w:sz w:val="24"/>
          <w:szCs w:val="24"/>
        </w:rPr>
      </w:pPr>
    </w:p>
    <w:p w:rsidR="00CA4601" w:rsidRPr="00517EB1" w:rsidRDefault="00CA4601" w:rsidP="00CA4601">
      <w:pPr>
        <w:widowControl w:val="0"/>
        <w:spacing w:after="200" w:line="360" w:lineRule="auto"/>
        <w:jc w:val="both"/>
        <w:rPr>
          <w:rFonts w:eastAsia="Calibri"/>
          <w:b/>
          <w:color w:val="000000"/>
          <w:sz w:val="24"/>
          <w:szCs w:val="24"/>
        </w:rPr>
      </w:pPr>
      <w:r w:rsidRPr="00517EB1">
        <w:rPr>
          <w:color w:val="000000"/>
          <w:sz w:val="24"/>
          <w:szCs w:val="24"/>
        </w:rPr>
        <w:t xml:space="preserve"> </w:t>
      </w:r>
      <w:r w:rsidRPr="00517EB1">
        <w:rPr>
          <w:b/>
          <w:color w:val="000000"/>
          <w:sz w:val="24"/>
          <w:szCs w:val="24"/>
        </w:rPr>
        <w:t>CAPÍTULO 2</w:t>
      </w:r>
    </w:p>
    <w:p w:rsidR="00CA4601" w:rsidRPr="00517EB1" w:rsidRDefault="00CA4601" w:rsidP="00CA4601">
      <w:pPr>
        <w:widowControl w:val="0"/>
        <w:spacing w:after="200" w:line="360" w:lineRule="auto"/>
        <w:jc w:val="both"/>
        <w:rPr>
          <w:rFonts w:eastAsia="Calibri"/>
          <w:b/>
          <w:color w:val="000000"/>
          <w:sz w:val="24"/>
          <w:szCs w:val="24"/>
        </w:rPr>
      </w:pPr>
      <w:r w:rsidRPr="00517EB1">
        <w:rPr>
          <w:b/>
          <w:color w:val="000000"/>
          <w:sz w:val="24"/>
          <w:szCs w:val="24"/>
        </w:rPr>
        <w:t xml:space="preserve"> REFORMAS LEGISLATIVAS RELACIONADAS CON LA LO 4/2015 30 DE MARZO SOBRE PROTECCIÓN DE LA SEGURIDAD CIUDADANA.</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2.1 Planteamiento general……………………………………………………………….……21</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2.2 LO 1/2015, de 30 de marzo sobre la Reforma del Código Penal………………………………………………………………………………..…………22</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2.3 LO 2/2015 de 30 de marzo sobre la Reforma del Código Penal en materia de delitos de terrorismo. …………………………………………………………………………..………..27</w:t>
      </w:r>
    </w:p>
    <w:p w:rsidR="00CA4601" w:rsidRPr="00517EB1" w:rsidRDefault="00CA4601" w:rsidP="00CA4601">
      <w:pPr>
        <w:widowControl w:val="0"/>
        <w:spacing w:after="200" w:line="360" w:lineRule="auto"/>
        <w:jc w:val="both"/>
        <w:rPr>
          <w:i/>
          <w:color w:val="000000"/>
          <w:sz w:val="24"/>
          <w:szCs w:val="24"/>
        </w:rPr>
      </w:pPr>
    </w:p>
    <w:p w:rsidR="00CA4601" w:rsidRPr="00517EB1" w:rsidRDefault="00CA4601" w:rsidP="00CA4601">
      <w:pPr>
        <w:widowControl w:val="0"/>
        <w:spacing w:after="200" w:line="360" w:lineRule="auto"/>
        <w:jc w:val="both"/>
        <w:rPr>
          <w:b/>
          <w:color w:val="000000"/>
          <w:sz w:val="24"/>
          <w:szCs w:val="24"/>
        </w:rPr>
      </w:pPr>
      <w:r w:rsidRPr="00517EB1">
        <w:rPr>
          <w:b/>
          <w:color w:val="000000"/>
          <w:sz w:val="24"/>
          <w:szCs w:val="24"/>
        </w:rPr>
        <w:lastRenderedPageBreak/>
        <w:t xml:space="preserve">CAPÍTULO 3 </w:t>
      </w:r>
    </w:p>
    <w:p w:rsidR="00CA4601" w:rsidRPr="00517EB1" w:rsidRDefault="00CA4601" w:rsidP="00CA4601">
      <w:pPr>
        <w:widowControl w:val="0"/>
        <w:spacing w:after="200" w:line="360" w:lineRule="auto"/>
        <w:jc w:val="both"/>
        <w:rPr>
          <w:rFonts w:eastAsia="Calibri"/>
          <w:color w:val="000000"/>
          <w:sz w:val="24"/>
          <w:szCs w:val="24"/>
        </w:rPr>
      </w:pPr>
      <w:r w:rsidRPr="00517EB1">
        <w:rPr>
          <w:b/>
          <w:color w:val="000000"/>
          <w:sz w:val="24"/>
          <w:szCs w:val="24"/>
        </w:rPr>
        <w:t>LOS DERECHOS Y LIBERTADES FUNDAMENTALES DE LAS PERSONAS ANTE LA NUEVA LEY DE PROTECCIÓN DE LA SEGURIDAD CIUDADANA.</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3.1  La relevancia de los Derechos Fundamentales a partir del constitucionalismo actual……………………………………………………………………………………….</w:t>
      </w:r>
      <w:r w:rsidR="003C3A1F">
        <w:rPr>
          <w:color w:val="000000"/>
          <w:sz w:val="24"/>
          <w:szCs w:val="24"/>
        </w:rPr>
        <w:t>…29</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3.2  El debate libertad versus seguridad en relación a la LO 4/2015 de 30 de marzo…………………………………………………………………………………..</w:t>
      </w:r>
      <w:r w:rsidR="003C3A1F">
        <w:rPr>
          <w:color w:val="000000"/>
          <w:sz w:val="24"/>
          <w:szCs w:val="24"/>
        </w:rPr>
        <w:t>..…….38</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3.3 Derechos y Libertades  públicas afectados por la LO 4/2015 DE 30 de 30 de marzo……………………………………………………………………………………..</w:t>
      </w:r>
      <w:r w:rsidR="003C3A1F">
        <w:rPr>
          <w:color w:val="000000"/>
          <w:sz w:val="24"/>
          <w:szCs w:val="24"/>
        </w:rPr>
        <w:t>...…43</w:t>
      </w: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r w:rsidRPr="00517EB1">
        <w:rPr>
          <w:b/>
          <w:color w:val="000000"/>
          <w:sz w:val="24"/>
          <w:szCs w:val="24"/>
        </w:rPr>
        <w:t>CONCLUSIONES</w:t>
      </w:r>
      <w:r w:rsidRPr="00517EB1">
        <w:rPr>
          <w:color w:val="000000"/>
          <w:sz w:val="24"/>
          <w:szCs w:val="24"/>
        </w:rPr>
        <w:t>…………………………………………………………………...</w:t>
      </w:r>
      <w:r w:rsidR="003C3A1F">
        <w:rPr>
          <w:color w:val="000000"/>
          <w:sz w:val="24"/>
          <w:szCs w:val="24"/>
        </w:rPr>
        <w:t>………51</w:t>
      </w: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r w:rsidRPr="00517EB1">
        <w:rPr>
          <w:b/>
          <w:color w:val="000000"/>
          <w:sz w:val="24"/>
          <w:szCs w:val="24"/>
        </w:rPr>
        <w:t>BIBLIOGRAFÍA</w:t>
      </w:r>
      <w:r w:rsidRPr="00517EB1">
        <w:rPr>
          <w:color w:val="000000"/>
          <w:sz w:val="24"/>
          <w:szCs w:val="24"/>
        </w:rPr>
        <w:t>…………………………………………………………………...</w:t>
      </w:r>
      <w:r w:rsidR="003C3A1F">
        <w:rPr>
          <w:color w:val="000000"/>
          <w:sz w:val="24"/>
          <w:szCs w:val="24"/>
        </w:rPr>
        <w:t>………..54</w:t>
      </w: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r w:rsidRPr="00517EB1">
        <w:rPr>
          <w:b/>
          <w:color w:val="000000"/>
          <w:sz w:val="24"/>
          <w:szCs w:val="24"/>
        </w:rPr>
        <w:t>REFERENCIAS JURISPRUDENCIALES</w:t>
      </w:r>
      <w:r w:rsidRPr="00517EB1">
        <w:rPr>
          <w:color w:val="000000"/>
          <w:sz w:val="24"/>
          <w:szCs w:val="24"/>
        </w:rPr>
        <w:t>…………………………………..</w:t>
      </w:r>
      <w:r w:rsidR="003C3A1F">
        <w:rPr>
          <w:color w:val="000000"/>
          <w:sz w:val="24"/>
          <w:szCs w:val="24"/>
        </w:rPr>
        <w:t>……………57</w:t>
      </w:r>
      <w:bookmarkStart w:id="0" w:name="_GoBack"/>
      <w:bookmarkEnd w:id="0"/>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rPr>
          <w:b/>
          <w:color w:val="000000"/>
          <w:sz w:val="24"/>
          <w:szCs w:val="24"/>
        </w:rPr>
      </w:pPr>
      <w:r w:rsidRPr="00517EB1">
        <w:rPr>
          <w:b/>
          <w:color w:val="000000"/>
          <w:sz w:val="24"/>
          <w:szCs w:val="24"/>
        </w:rPr>
        <w:lastRenderedPageBreak/>
        <w:t>RESUMEN.</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 xml:space="preserve">El objeto del presente trabajo consiste en analizar la nueva Ley sobre Protección de la Seguridad Ciudadana, y como esta afecta a los Derechos Fundamentales y Libertades Públicas que establece la Constitución Española, los cuales pertenecen a la ciudadanía y no puede ser despojada de ellos. </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En este trabajo abordo el equilibrio entre libertad y seguridad, que se presenta como principal discusión doctrinal en torno a la anteriormente mencionada Ley sobre Protección de la Seguridad Ciudadana.</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Así mismo, analizo como incide la mencionada Ley en los  principales derechos y libertades  reconocidos en la Constitución española y en concreto en las libertades de expresión e información, y los derechos de reunión y manifestación.</w:t>
      </w: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rPr>
          <w:b/>
          <w:color w:val="000000"/>
          <w:sz w:val="24"/>
          <w:szCs w:val="24"/>
        </w:rPr>
      </w:pPr>
    </w:p>
    <w:p w:rsidR="00CA4601" w:rsidRPr="00517EB1" w:rsidRDefault="00CA4601" w:rsidP="00CA4601">
      <w:pPr>
        <w:widowControl w:val="0"/>
        <w:spacing w:after="200" w:line="360" w:lineRule="auto"/>
        <w:rPr>
          <w:b/>
          <w:color w:val="000000"/>
          <w:sz w:val="24"/>
          <w:szCs w:val="24"/>
          <w:lang w:val="en-US"/>
        </w:rPr>
      </w:pPr>
      <w:r w:rsidRPr="00517EB1">
        <w:rPr>
          <w:b/>
          <w:color w:val="000000"/>
          <w:sz w:val="24"/>
          <w:szCs w:val="24"/>
          <w:lang w:val="en-US"/>
        </w:rPr>
        <w:t>ABSTRACT.</w:t>
      </w:r>
    </w:p>
    <w:p w:rsidR="00CA4601" w:rsidRPr="00517EB1" w:rsidRDefault="00CA4601" w:rsidP="00CA4601">
      <w:pPr>
        <w:widowControl w:val="0"/>
        <w:spacing w:after="200" w:line="360" w:lineRule="auto"/>
        <w:jc w:val="both"/>
        <w:rPr>
          <w:color w:val="000000"/>
          <w:sz w:val="24"/>
          <w:szCs w:val="24"/>
          <w:lang w:val="en-US"/>
        </w:rPr>
      </w:pPr>
      <w:r w:rsidRPr="00517EB1">
        <w:rPr>
          <w:color w:val="000000"/>
          <w:sz w:val="24"/>
          <w:szCs w:val="24"/>
          <w:lang w:val="en-US"/>
        </w:rPr>
        <w:t>The purpose of this Project is to analyze the new Law about Public Safety Protection and how it is going to affect the Fundamentals Rights and Public Liberties stipulated in the Spanish Constitution, which belongs to all the Spanish citizens. Then I approach the discussion about the balance between freedom and security that appears as the main doctrinal debate on the previously mentioned Law.</w:t>
      </w:r>
    </w:p>
    <w:p w:rsidR="00CA4601" w:rsidRPr="00517EB1" w:rsidRDefault="00CA4601" w:rsidP="00CA4601">
      <w:pPr>
        <w:widowControl w:val="0"/>
        <w:spacing w:after="200" w:line="360" w:lineRule="auto"/>
        <w:jc w:val="both"/>
        <w:rPr>
          <w:color w:val="000000"/>
          <w:sz w:val="24"/>
          <w:szCs w:val="24"/>
          <w:lang w:val="en-US"/>
        </w:rPr>
      </w:pPr>
      <w:r w:rsidRPr="00517EB1">
        <w:rPr>
          <w:color w:val="000000"/>
          <w:sz w:val="24"/>
          <w:szCs w:val="24"/>
          <w:lang w:val="en-US"/>
        </w:rPr>
        <w:t>Likewise, I study how this Law affect to the main rights and liberties recognized by the Spanish Constitution, and specifically to the freedom of speech and information, and rights of assembly and peaceful demonstration.</w:t>
      </w:r>
    </w:p>
    <w:p w:rsidR="00CA4601" w:rsidRPr="00517EB1" w:rsidRDefault="00CA4601" w:rsidP="00CA4601">
      <w:pPr>
        <w:widowControl w:val="0"/>
        <w:spacing w:after="200" w:line="360" w:lineRule="auto"/>
        <w:jc w:val="both"/>
        <w:rPr>
          <w:color w:val="000000"/>
          <w:sz w:val="24"/>
          <w:szCs w:val="24"/>
          <w:lang w:val="en-US"/>
        </w:rPr>
      </w:pPr>
    </w:p>
    <w:p w:rsidR="00CA4601" w:rsidRPr="00517EB1" w:rsidRDefault="00CA4601" w:rsidP="00CA4601">
      <w:pPr>
        <w:rPr>
          <w:sz w:val="24"/>
          <w:szCs w:val="24"/>
        </w:rPr>
      </w:pPr>
    </w:p>
    <w:p w:rsidR="00CA4601" w:rsidRPr="00517EB1" w:rsidRDefault="00CA4601" w:rsidP="00CA4601">
      <w:pPr>
        <w:widowControl w:val="0"/>
        <w:spacing w:after="200" w:line="360" w:lineRule="auto"/>
        <w:jc w:val="both"/>
        <w:rPr>
          <w:b/>
          <w:color w:val="000000"/>
          <w:sz w:val="24"/>
          <w:szCs w:val="24"/>
        </w:rPr>
      </w:pPr>
    </w:p>
    <w:p w:rsidR="00CA4601" w:rsidRPr="00517EB1" w:rsidRDefault="00CA4601" w:rsidP="00CA4601">
      <w:pPr>
        <w:widowControl w:val="0"/>
        <w:spacing w:after="200" w:line="360" w:lineRule="auto"/>
        <w:rPr>
          <w:rFonts w:eastAsia="Calibri"/>
          <w:b/>
          <w:color w:val="000000"/>
          <w:sz w:val="24"/>
          <w:szCs w:val="24"/>
        </w:rPr>
      </w:pPr>
    </w:p>
    <w:p w:rsidR="00CA4601" w:rsidRPr="00517EB1" w:rsidRDefault="00CA4601" w:rsidP="00CA4601">
      <w:pPr>
        <w:widowControl w:val="0"/>
        <w:spacing w:after="200" w:line="360" w:lineRule="auto"/>
        <w:rPr>
          <w:rFonts w:eastAsia="Calibri"/>
          <w:b/>
          <w:color w:val="000000"/>
          <w:sz w:val="24"/>
          <w:szCs w:val="24"/>
        </w:rPr>
      </w:pPr>
    </w:p>
    <w:p w:rsidR="00CA4601" w:rsidRPr="00517EB1" w:rsidRDefault="00CA4601" w:rsidP="00CA4601">
      <w:pPr>
        <w:widowControl w:val="0"/>
        <w:spacing w:after="200" w:line="360" w:lineRule="auto"/>
        <w:rPr>
          <w:rFonts w:eastAsia="Calibri"/>
          <w:b/>
          <w:color w:val="000000"/>
          <w:sz w:val="24"/>
          <w:szCs w:val="24"/>
        </w:rPr>
      </w:pPr>
    </w:p>
    <w:p w:rsidR="00CA4601" w:rsidRPr="00517EB1" w:rsidRDefault="00CA4601" w:rsidP="00CA4601">
      <w:pPr>
        <w:widowControl w:val="0"/>
        <w:spacing w:after="200" w:line="360" w:lineRule="auto"/>
        <w:rPr>
          <w:b/>
          <w:color w:val="000000"/>
          <w:sz w:val="24"/>
          <w:szCs w:val="24"/>
        </w:rPr>
      </w:pPr>
      <w:r w:rsidRPr="00517EB1">
        <w:rPr>
          <w:b/>
          <w:color w:val="000000"/>
          <w:sz w:val="24"/>
          <w:szCs w:val="24"/>
        </w:rPr>
        <w:lastRenderedPageBreak/>
        <w:t>INTRODUCCIÓN.</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Cuando comencé  mi reflexión sobre la  elección y elaboración del presente trabajo, únicamente eran dos cuestiones las que tenía claras; la primera, que debía ser una materia que por su naturaleza permitiera  observar la realidad y sus efectos en la sociedad, analizados ampliamente desde distintos puntos de vista, una materia sobre la que existiera suficiente debate; la segunda cuestión clara era que el trabajo debería versar sobre un tema  tangible en la actualidad, un tema candente; en definitiva sería para mí el mayor logro que todo el que leyera  el trabajo que he tratado de  elaborar  se sintiera interesado por el tema.</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 Así decidí llevar a cabo un análisis sobre la que popularmente conocemos como “Ley Mordaza”, En realidad se trata de la Ley Orgánica 4/2015 de 30 de marzo de protección a la seguridad ciudadana, a la que acompañan una norma de suma importancia  como son  la Ley Orgánica 1/2015, de 30 de marzo, por la que se modifica la Ley Orgánica 10/1995, de 23 de noviembre, del Código Penal, y otra, también relevante, que es  Ley Orgánica 2/2015, de 30 de marzo, por la que se modifica la Ley Orgánica 10/1995, de 23 de noviembre, del Código Penal, en materia de delitos de terrorismo (Ley </w:t>
      </w:r>
      <w:proofErr w:type="spellStart"/>
      <w:r w:rsidRPr="00517EB1">
        <w:rPr>
          <w:color w:val="000000"/>
          <w:sz w:val="24"/>
          <w:szCs w:val="24"/>
        </w:rPr>
        <w:t>Antiyihadista</w:t>
      </w:r>
      <w:proofErr w:type="spellEnd"/>
      <w:r w:rsidRPr="00517EB1">
        <w:rPr>
          <w:color w:val="000000"/>
          <w:sz w:val="24"/>
          <w:szCs w:val="24"/>
        </w:rPr>
        <w:t>).</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En algunos ámbitos se ha titulado a estas normas aprobadas por el Parlamento el mismo día como el trío de “normas mordaza”.</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Como decía, se trata de un tema actual, conocido, discutido y rechazado  por muchos, y que por suerte o por desgracia (más bien lo segundo) atañe a todos los ciudadanos españoles.</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 xml:space="preserve">El presente trabajo ha sido estructurado en tres capítulos. He considerado oportuno para  abordar el texto normativo comenzar con  unas puntualizaciones generales a lo largo del  </w:t>
      </w:r>
      <w:proofErr w:type="spellStart"/>
      <w:r w:rsidRPr="00517EB1">
        <w:rPr>
          <w:color w:val="000000"/>
          <w:sz w:val="24"/>
          <w:szCs w:val="24"/>
        </w:rPr>
        <w:t>del</w:t>
      </w:r>
      <w:proofErr w:type="spellEnd"/>
      <w:r w:rsidRPr="00517EB1">
        <w:rPr>
          <w:color w:val="000000"/>
          <w:sz w:val="24"/>
          <w:szCs w:val="24"/>
        </w:rPr>
        <w:t xml:space="preserve"> Capítulo 1. En primer lugar, el contexto social, económico y político en el que se desenvuelve la presente Ley de Seguridad Ciudadana, así como el  de la anterior  ley del año 1992. La ubicación de ambas leyes en sus contextos nos permite conocer  los motivos que llevaron a impulsarlas, la acogida que han tenido en la sociedad y su impacto en la misma.</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 xml:space="preserve"> Es preciso también hacer referencia al propio título de la Ley y  comprender el bien  jurídico que constituye la seguridad ciudadana, la  trayectoria  que ha seguido desde su inclusión en la norma suprema de nuestro Ordenamiento Jurídico, y su relación con el concepto de orden público. Para finalizar con este primer capítulo, procedo a analizar el preámbulo de la Ley que nos ocupa para plasmar los aspectos principales sobre la nueva regulación de la seguridad ciudadana así como las novedades que se incluyen respecto al  anterior texto normativo.</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lastRenderedPageBreak/>
        <w:t>En el Capítulo dos continuo haciendo una breve mención de las  normas que acompañan a la Ley de Protección de la Seguridad Ciudadana, a través de una valoración del paquete normativo en su conjunto, me refiero a la reforma del Código Penal en lo que atañe a la seguridad ciudadana y a la reforma que se hace en este mismo Código en materia de terrorismo.</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 xml:space="preserve">En el tercer y último Capítulo, me adentro plenamente en el análisis de los derechos y libertades fundamentales de las personas  que están reconocidos en la Constitución española, los cuales se ven afectados por la citada Ley de Seguridad Ciudadana. En primer lugar abordo el concepto de derechos y libertades fundamentales y su evolución desde que aparecen en la Edad Moderna hasta que tiene lugar su </w:t>
      </w:r>
      <w:proofErr w:type="spellStart"/>
      <w:r w:rsidRPr="00517EB1">
        <w:rPr>
          <w:color w:val="000000"/>
          <w:sz w:val="24"/>
          <w:szCs w:val="24"/>
        </w:rPr>
        <w:t>positivación</w:t>
      </w:r>
      <w:proofErr w:type="spellEnd"/>
      <w:r w:rsidRPr="00517EB1">
        <w:rPr>
          <w:color w:val="000000"/>
          <w:sz w:val="24"/>
          <w:szCs w:val="24"/>
        </w:rPr>
        <w:t xml:space="preserve"> en textos constitucionales, ya que los citados derechos y libertades van a gozar de la calificación de fundamentales en gran medida porque forman parte de una Constitución.</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Posteriormente,  trataré de analizar el binomio libertad y seguridad, cuestión que se plantea como pieza clave  respecto a la Ley de Protección de  la Seguridad Ciudadana. El equilibrio que debe existir entre ambos valores no siempre ha sido estable, y menos aún durante la última década, donde  la balanza se ha ido inclinando a favor de la seguridad, debiendo tener en cuenta que la mayor relevancia de esta  acabaría afectando irremediablemente a la libertad.</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Por último,  plasmaré como está recogido el contenido esencial de las libertades de expresión e información y de los derechos de reunión y manifestación en nuestra Constitución, lo que nos permitirá apreciar la vulneración de la esencia de los citados derechos y libertades públicas por el nuevo texto que regula la seguridad ciudadana.</w:t>
      </w: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rPr>
          <w:rFonts w:eastAsia="Calibri"/>
          <w:b/>
          <w:color w:val="000000"/>
          <w:sz w:val="24"/>
          <w:szCs w:val="24"/>
        </w:rPr>
      </w:pPr>
    </w:p>
    <w:p w:rsidR="00CA4601" w:rsidRPr="00517EB1" w:rsidRDefault="00CA4601" w:rsidP="00CA4601">
      <w:pPr>
        <w:widowControl w:val="0"/>
        <w:spacing w:after="200" w:line="360" w:lineRule="auto"/>
        <w:rPr>
          <w:rFonts w:eastAsia="Calibri"/>
          <w:b/>
          <w:color w:val="000000"/>
          <w:sz w:val="24"/>
          <w:szCs w:val="24"/>
        </w:rPr>
      </w:pPr>
    </w:p>
    <w:p w:rsidR="00CA4601" w:rsidRPr="00517EB1" w:rsidRDefault="00CA4601" w:rsidP="00CA4601">
      <w:pPr>
        <w:widowControl w:val="0"/>
        <w:spacing w:after="200" w:line="360" w:lineRule="auto"/>
        <w:rPr>
          <w:rFonts w:eastAsia="Calibri"/>
          <w:b/>
          <w:color w:val="000000"/>
          <w:sz w:val="24"/>
          <w:szCs w:val="24"/>
        </w:rPr>
      </w:pPr>
    </w:p>
    <w:p w:rsidR="00CA4601" w:rsidRPr="00517EB1" w:rsidRDefault="00CA4601" w:rsidP="00CA4601">
      <w:pPr>
        <w:widowControl w:val="0"/>
        <w:spacing w:after="200" w:line="360" w:lineRule="auto"/>
        <w:rPr>
          <w:rFonts w:eastAsia="Calibri"/>
          <w:b/>
          <w:color w:val="000000"/>
          <w:sz w:val="24"/>
          <w:szCs w:val="24"/>
        </w:rPr>
      </w:pPr>
    </w:p>
    <w:p w:rsidR="00CA4601" w:rsidRPr="00517EB1" w:rsidRDefault="00CA4601" w:rsidP="00CA4601">
      <w:pPr>
        <w:widowControl w:val="0"/>
        <w:spacing w:after="200" w:line="360" w:lineRule="auto"/>
        <w:rPr>
          <w:rFonts w:eastAsia="Calibri"/>
          <w:b/>
          <w:color w:val="000000"/>
          <w:sz w:val="24"/>
          <w:szCs w:val="24"/>
        </w:rPr>
      </w:pPr>
    </w:p>
    <w:p w:rsidR="00CA4601" w:rsidRPr="00517EB1" w:rsidRDefault="00CA4601" w:rsidP="00CA4601">
      <w:pPr>
        <w:widowControl w:val="0"/>
        <w:spacing w:after="200" w:line="360" w:lineRule="auto"/>
        <w:jc w:val="both"/>
        <w:rPr>
          <w:b/>
          <w:color w:val="000000"/>
          <w:sz w:val="24"/>
          <w:szCs w:val="24"/>
        </w:rPr>
      </w:pPr>
      <w:r w:rsidRPr="00517EB1">
        <w:rPr>
          <w:b/>
          <w:color w:val="000000"/>
          <w:sz w:val="24"/>
          <w:szCs w:val="24"/>
        </w:rPr>
        <w:lastRenderedPageBreak/>
        <w:t xml:space="preserve">CAPÍTULO 1. </w:t>
      </w:r>
    </w:p>
    <w:p w:rsidR="00CA4601" w:rsidRPr="00517EB1" w:rsidRDefault="00CA4601" w:rsidP="00CA4601">
      <w:pPr>
        <w:widowControl w:val="0"/>
        <w:spacing w:after="200" w:line="360" w:lineRule="auto"/>
        <w:jc w:val="both"/>
        <w:rPr>
          <w:rFonts w:eastAsia="Calibri"/>
          <w:b/>
          <w:color w:val="000000"/>
          <w:sz w:val="24"/>
          <w:szCs w:val="24"/>
        </w:rPr>
      </w:pPr>
      <w:r w:rsidRPr="00517EB1">
        <w:rPr>
          <w:b/>
          <w:color w:val="000000"/>
          <w:sz w:val="24"/>
          <w:szCs w:val="24"/>
        </w:rPr>
        <w:t>LA LO 4/2015 DE 30 DE MARZO SOBRE PROTECCIÓN DE LA SEGURIDAD CIUDADANA: CONSIDERACIONES GENERALES.</w:t>
      </w:r>
    </w:p>
    <w:p w:rsidR="00CA4601" w:rsidRPr="00517EB1" w:rsidRDefault="00CA4601" w:rsidP="00CA4601">
      <w:pPr>
        <w:widowControl w:val="0"/>
        <w:spacing w:after="200" w:line="360" w:lineRule="auto"/>
        <w:ind w:left="360"/>
        <w:contextualSpacing/>
        <w:jc w:val="both"/>
        <w:rPr>
          <w:rFonts w:eastAsia="Calibri"/>
          <w:b/>
          <w:sz w:val="24"/>
          <w:szCs w:val="24"/>
        </w:rPr>
      </w:pPr>
    </w:p>
    <w:p w:rsidR="00CA4601" w:rsidRPr="00517EB1" w:rsidRDefault="00CA4601" w:rsidP="00CA4601">
      <w:pPr>
        <w:widowControl w:val="0"/>
        <w:numPr>
          <w:ilvl w:val="1"/>
          <w:numId w:val="13"/>
        </w:numPr>
        <w:spacing w:after="200" w:line="360" w:lineRule="auto"/>
        <w:contextualSpacing/>
        <w:jc w:val="both"/>
        <w:rPr>
          <w:rFonts w:eastAsia="Calibri"/>
          <w:b/>
          <w:sz w:val="24"/>
          <w:szCs w:val="24"/>
        </w:rPr>
      </w:pPr>
      <w:r w:rsidRPr="00517EB1">
        <w:rPr>
          <w:b/>
          <w:sz w:val="24"/>
          <w:szCs w:val="24"/>
        </w:rPr>
        <w:t>Planteamiento general del tema. Objetivos a analizar.</w:t>
      </w:r>
    </w:p>
    <w:p w:rsidR="00CA4601" w:rsidRPr="00517EB1" w:rsidRDefault="00CA4601" w:rsidP="00CA4601">
      <w:pPr>
        <w:widowControl w:val="0"/>
        <w:spacing w:after="200" w:line="360" w:lineRule="auto"/>
        <w:jc w:val="both"/>
        <w:rPr>
          <w:rFonts w:eastAsia="Calibri"/>
          <w:color w:val="000000"/>
          <w:sz w:val="24"/>
          <w:szCs w:val="24"/>
        </w:rPr>
      </w:pPr>
      <w:r w:rsidRPr="00517EB1">
        <w:rPr>
          <w:rFonts w:eastAsia="Calibri"/>
          <w:color w:val="000000"/>
          <w:sz w:val="24"/>
          <w:szCs w:val="24"/>
        </w:rPr>
        <w:t>En este primer capítulo abordaré la Ley De Protección de la Seguridad Ciudadana con todas sus consideraciones generales. Para ello, primero será necesario conocer la ley precedente, haré referencia a la anterior ley de Seguridad Ciudadana del año 1992 y al contexto social y político en el que se impulsó, ya que considero necesario conocer la situación y los motivos que justificaron su promulgación. Igualmente haré con la nueva Ley de Seguridad Ciudadana, exponiendo el contexto político y social en el que se fragua, para poder  comprender  los motivos  justificantes y los fines que persigue.</w:t>
      </w:r>
    </w:p>
    <w:p w:rsidR="00CA4601" w:rsidRPr="00517EB1" w:rsidRDefault="00CA4601" w:rsidP="00CA4601">
      <w:pPr>
        <w:widowControl w:val="0"/>
        <w:spacing w:after="200" w:line="360" w:lineRule="auto"/>
        <w:jc w:val="both"/>
        <w:rPr>
          <w:rFonts w:eastAsia="Calibri"/>
          <w:color w:val="000000"/>
          <w:sz w:val="24"/>
          <w:szCs w:val="24"/>
        </w:rPr>
      </w:pPr>
      <w:r w:rsidRPr="00517EB1">
        <w:rPr>
          <w:rFonts w:eastAsia="Calibri"/>
          <w:color w:val="000000"/>
          <w:sz w:val="24"/>
          <w:szCs w:val="24"/>
        </w:rPr>
        <w:t xml:space="preserve">Hablaré también de la seguridad ciudadana como </w:t>
      </w:r>
      <w:r w:rsidRPr="00517EB1">
        <w:rPr>
          <w:rFonts w:eastAsia="Calibri"/>
          <w:sz w:val="24"/>
          <w:szCs w:val="24"/>
        </w:rPr>
        <w:t xml:space="preserve">concepto </w:t>
      </w:r>
      <w:r w:rsidRPr="00517EB1">
        <w:rPr>
          <w:rFonts w:eastAsia="Calibri"/>
          <w:color w:val="000000"/>
          <w:sz w:val="24"/>
          <w:szCs w:val="24"/>
        </w:rPr>
        <w:t>jurídico indeterminado</w:t>
      </w:r>
      <w:r w:rsidRPr="00517EB1">
        <w:rPr>
          <w:rFonts w:eastAsia="Calibri"/>
          <w:color w:val="000000"/>
          <w:sz w:val="24"/>
          <w:szCs w:val="24"/>
          <w:vertAlign w:val="superscript"/>
        </w:rPr>
        <w:footnoteReference w:id="1"/>
      </w:r>
      <w:r w:rsidRPr="00517EB1">
        <w:rPr>
          <w:rFonts w:eastAsia="Calibri"/>
          <w:color w:val="000000"/>
          <w:sz w:val="24"/>
          <w:szCs w:val="24"/>
        </w:rPr>
        <w:t xml:space="preserve"> y de interés social  recogido en la Constitución. Para continuar con el análisis general de la Ley  expongo las razones o motivos presentados por el Gobierno para la elaboración de la  misma.</w:t>
      </w:r>
    </w:p>
    <w:p w:rsidR="00CA4601" w:rsidRPr="00517EB1" w:rsidRDefault="00CA4601" w:rsidP="00CA4601">
      <w:pPr>
        <w:widowControl w:val="0"/>
        <w:spacing w:after="200" w:line="360" w:lineRule="auto"/>
        <w:jc w:val="both"/>
        <w:rPr>
          <w:rFonts w:eastAsia="Calibri"/>
          <w:color w:val="000000"/>
          <w:sz w:val="24"/>
          <w:szCs w:val="24"/>
        </w:rPr>
      </w:pPr>
      <w:r w:rsidRPr="00517EB1">
        <w:rPr>
          <w:rFonts w:eastAsia="Calibri"/>
          <w:color w:val="000000"/>
          <w:sz w:val="24"/>
          <w:szCs w:val="24"/>
        </w:rPr>
        <w:t>Por último, examinaré el preámbulo y la parte dispositiva de la Ley atendiendo a los criterios generales para la redacción textos normativos, señalando también las principales novedades que presenta o las modificaciones de supuestos ya existentes en la anterior LOPSC.</w:t>
      </w:r>
    </w:p>
    <w:p w:rsidR="00CA4601" w:rsidRPr="00517EB1" w:rsidRDefault="00CA4601" w:rsidP="00CA4601">
      <w:pPr>
        <w:widowControl w:val="0"/>
        <w:spacing w:after="200" w:line="360" w:lineRule="auto"/>
        <w:jc w:val="both"/>
        <w:rPr>
          <w:rFonts w:eastAsia="Calibri"/>
          <w:b/>
          <w:color w:val="000000"/>
          <w:sz w:val="24"/>
          <w:szCs w:val="24"/>
        </w:rPr>
      </w:pPr>
    </w:p>
    <w:p w:rsidR="00CA4601" w:rsidRPr="00517EB1" w:rsidRDefault="00CA4601" w:rsidP="00CA4601">
      <w:pPr>
        <w:widowControl w:val="0"/>
        <w:spacing w:after="200" w:line="360" w:lineRule="auto"/>
        <w:jc w:val="both"/>
        <w:rPr>
          <w:rFonts w:eastAsia="Calibri"/>
          <w:b/>
          <w:color w:val="000000"/>
          <w:sz w:val="24"/>
          <w:szCs w:val="24"/>
        </w:rPr>
      </w:pPr>
      <w:r w:rsidRPr="00517EB1">
        <w:rPr>
          <w:b/>
          <w:color w:val="000000"/>
          <w:sz w:val="24"/>
          <w:szCs w:val="24"/>
        </w:rPr>
        <w:t>1.2. Contexto histórico. De la LO 1/1992 de 21 de febrero sobre Protección de la Seguridad Ciudadana a la LO 4/2015 de 30 de marzo, de Protección de la Seguridad Ciudadana.</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Es necesario partir de la base de que cada una de estas leyes sobre protección de la Seguridad Ciudadana se elaboró para regular un momento social y económico distinto, como podremos observar más adelante son leyes  muy distintas entre sí.</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Respecto a la anterior Ley sobre Protección de la Seguridad Ciudadana del año 92 (en adelante la LOPSC), debe reseñarse que  en el año 1992 España tuvo cierto protagonismo en </w:t>
      </w:r>
      <w:r w:rsidRPr="00517EB1">
        <w:rPr>
          <w:color w:val="000000"/>
          <w:sz w:val="24"/>
          <w:szCs w:val="24"/>
        </w:rPr>
        <w:lastRenderedPageBreak/>
        <w:t>el plano internacional con la celebración de los Juegos Olímpicos en Barcelona, la EXPO 92 en Sevilla o la declaración de Madrid como Ciudad Cultural Europea, dichos eventos que suponían la llegada de miles de  personas de otros países,  pudieron influir en la idea de establecer un mayor control para garantizar la seguridad ciudadana  ante estos acontecimientos. Pero los hechos de los que hablamos no fueron los únicos que inspiraron la elaboración de la LOPSC. Hay que tener en cuenta también que en aquella época había demandas sociales relativas a la precariedad laboral,  al paro,  al bajo rigor presupuestario, etc., todas  estas reivindicaciones   podrían hacer surgir los temidos  desórdenes públicos.</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La LOPSC del 92 fue conocida popularmente como “Ley Corcuera”, por el José Luis Corcuera, ministro del Interior que la impulsó legislativamente, también se la conocía como  “la Ley de la patada en la puerta”, porque  facultaba a las Fuerzas de Seguridad a entrar en domicilios en los que se sospechase que dentro se estaban llevando a cabo actividades delictivas, Finalmente el Tribunal Constitucional declaró nulo el artículo que regulaba tal actuación.</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También es necesario señalar que en  la segunda mitad de los años  ochenta y a principio los noventa uno de los principales problemas de la sociedad española era la droga</w:t>
      </w:r>
      <w:r w:rsidRPr="00517EB1">
        <w:rPr>
          <w:color w:val="000000"/>
          <w:sz w:val="24"/>
          <w:szCs w:val="24"/>
          <w:vertAlign w:val="superscript"/>
        </w:rPr>
        <w:footnoteReference w:id="2"/>
      </w:r>
      <w:r w:rsidRPr="00517EB1">
        <w:rPr>
          <w:color w:val="000000"/>
          <w:sz w:val="24"/>
          <w:szCs w:val="24"/>
        </w:rPr>
        <w:t xml:space="preserve"> y el tráfico de estupefacientes, en torno a esta problemática giró el principal debate mediático cuando se aprobó la LOPSC, y por tanto fue una de las razones que se argumentaron facultar a las Fuerzas de Seguridad a entrar en domicilios  donde hubiera sospecha de comisión de delitos, sobre todo los relacionados con el narcotráfico. </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Así mismo el debate  parlamentario y el debate mediático también versó sobre los registros en lugares públicos, sobre el intento de prescindir de orden judicial para entrar en domicilios bajo sospecha. También se debatió sobre las sanciones por consumo en público y tenencia de drogas, y sobre el abandono en lugares públicos de instrumentos utilizados para el consumo. Tuvo lugar igualmente un suceso significativo  que plasma un ejemplo de alarmismo ante la situación, me refiero  a la aparición de unas patrullas ciudadanas y espontáneas que se dedicaban a perseguir a las personas consumidoras de droga. Como se puede observar fueron varios los motivos que crearon en aquel momento la necesidad social  de seguridad  y protección, que finalmente derivó en la aprobación de la LOPSC.</w:t>
      </w:r>
    </w:p>
    <w:p w:rsidR="00CA4601" w:rsidRPr="00517EB1" w:rsidRDefault="00CA4601" w:rsidP="00CA4601">
      <w:pPr>
        <w:widowControl w:val="0"/>
        <w:spacing w:after="200" w:line="360" w:lineRule="auto"/>
        <w:jc w:val="both"/>
        <w:rPr>
          <w:rFonts w:eastAsia="Calibri"/>
          <w:color w:val="000000"/>
          <w:sz w:val="24"/>
          <w:szCs w:val="24"/>
        </w:rPr>
      </w:pP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En cuanto al contexto social y político  de la actual Ley 4/2015 sobre protección de la seguridad ciudadana, es en algunos aspectos distinto, aunque no está ni mucho menos  exento de agitación social, alarmismo, debate y críticas.</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Es obvio que nos encontramos actualmente en un contexto de crisis económica y financiera que se percibe por amplios sectores de la población como una estafa social,  que ha dado lugar a políticas de ajuste y a los recortes de prestaciones del Estado, al tiempo que se dedicaban ingentes cantidades de los Presupuestos del Estado a rescatar a las instituciones financieras que había sido generadoras de la crisis financiera de derechos sociales y servicios públicos por parte del actual  Gobierno. Todo ello ha derivado en precariedad social y laboral y se ha visto reflejada durante los últimos años en  diversas movilizaciones de la población española y  multitudinarios actos reivindicativos pacíficos, donde se expresa la inconformidad respecto a las medidas adoptadas por el gobierno, en definitiva, la ciudadanía ha venido demandando sus derechos fundamentales reconocidos por la Constitución.</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 En este contexto se anunció la nueva ley de seguridad ciudadana y las críticas de las distintas instituciones implicadas y de la sociedad organizada comenzaron a producirse desde  el mismo momento en el que se conoció el borrador del Anteproyecto, se mantuvieron durante la aprobación del Anteproyecto en noviembre de 2013  prolongándose hasta  la aprobación del texto del Proyecto de Ley en julio de 2014, y hasta nuestros días.</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Durante los últimos tres años el gobierno ha utilizado el contenido de la anterior LOPSC  como herramienta represora ante las protestas surgidas y  ante las nuevas formas de poner en riesgo la seguridad ciudadana, dando lugar a una “adulteración” del concepto de seguridad ciudadana expuesto en dicha ley del año 92, y orientándose cada vez más hacia el antiguo concepto preconstitucional de “orden público”, concepto, que como veremos se ve reflejado en la nueva Ley Orgánica 4/2015 de Protección de la Seguridad Ciudadana.</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Desde mi punto de vista diré que no considero que la seguridad ciudadana sea  el principal y más grave problema que acosa a la sociedad española actualmente, algo que se ha visto reflejado en las encuestas del CIS</w:t>
      </w:r>
      <w:r w:rsidRPr="00517EB1">
        <w:rPr>
          <w:color w:val="000000"/>
          <w:sz w:val="24"/>
          <w:szCs w:val="24"/>
          <w:vertAlign w:val="superscript"/>
        </w:rPr>
        <w:footnoteReference w:id="3"/>
      </w:r>
      <w:r w:rsidRPr="00517EB1">
        <w:rPr>
          <w:color w:val="000000"/>
          <w:sz w:val="24"/>
          <w:szCs w:val="24"/>
        </w:rPr>
        <w:t xml:space="preserve">, cuando a  los encuestados se les pregunta por el principal problema existente actualmente en España  la mayoría responde: en primer lugar el paro, le </w:t>
      </w:r>
      <w:r w:rsidRPr="00517EB1">
        <w:rPr>
          <w:color w:val="000000"/>
          <w:sz w:val="24"/>
          <w:szCs w:val="24"/>
        </w:rPr>
        <w:lastRenderedPageBreak/>
        <w:t>sigue la corrupción y el fraude y en tercer lugar los partidos y la política. Por tanto me  resulta difícil entender que en la exposición de motivos de esta nueva ley se haga referencia a las “demandas sociales de seguridad ciudadana” cuando realmente no existe tal demanda social generalizada del aumento de la protección ciudadana como para provocar un cambio íntegro de dicha ley; lo lógico sería aprobar las  modificaciones pertinentes siempre que estuvieran justificadas por las necesidades  sociales y no por las necesidades de un Gobierno. Como he dicho no existe una demanda social de seguridad ciudadana, pero tampoco parece que exista una demanda real de esta seguridad, puesto que España es uno de los países con tasas de delincuencia más baja en Europa.</w:t>
      </w:r>
      <w:r w:rsidRPr="00517EB1">
        <w:rPr>
          <w:color w:val="000000"/>
          <w:sz w:val="24"/>
          <w:szCs w:val="24"/>
          <w:vertAlign w:val="superscript"/>
        </w:rPr>
        <w:footnoteReference w:id="4"/>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Pero llegados al momento presente, encontramos la existencia de un paquete legislativo que permite observar la configuración de una estrategia gubernamental para frenar las protestas sociales, aun a riesgo de afectar los Derechos Fundamentales de las personas. Por eso no debemos  caer en el error de analizar esta nueva Ley de protección de la seguridad ciudadana sin tener en cuenta las dos reformas llevadas a cabo en los últimos años, son la Ley 10/2012, de 20 de noviembre, sobre tasas en la Administración de Justicia, actualmente en vigor, y la reforma del Código Penal, LO 1/2015 de 30 de marzo,  y la reforma de la Ley de Extranjería.</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La primera de dichas normas exigía  el pago de importantes tasas judiciales para permitir el acceso a la jurisdicción contencioso administrativa, tras haber agotado la vía administrativa, a fin de impugnar las multas gubernativas impuestas con motivo de la Ley de Seguridad Ciudadana por conductas que actualmente en el Código Penal de 1995 se enjuician como simples faltas que no requieren el pago de tasa alguna ni tampoco asistencia de abogado o procurador. Afortunadamente la Ley de Tasas se ha modificado, en año electoral, mediante el Real Decreto Ley 1/2015 salvando dicha situación.</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 La segunda, que es reforma del Código Penal, sanciona cualitativa y también cuantitativamente restringiendo el ejercicio de distintos  derechos fundamentales, entre otros el  derecho de reunión y manifestación, libertad de expresión o derecho de huelga. Si lo comparamos con el Código Penal del año 92, podemos ver como el número de conductas consideradas infracciones aumenta considerablemente, aumentando también la cuantía de las sanciones correspondientes</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lastRenderedPageBreak/>
        <w:t>Finalmente debe mencionarse también la  modificación de la Ley de Extranjería, con las conocidas “devoluciones en caliente” o “rechazo en frontera”, en este caso lo que se pretende llevar a cabo es una reforma contraria a la Ley y al Derecho Internacional.</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No han sido pocos los rechazos de aquel Proyecto de Ley en su conjunto, ahora ya aprobado por el Parlamento. Las críticas llegaron de distintas organizaciones de Derechos Humanos, desde la Unión Europea y de la ONU, todas ellas obviadas por el Gobierno español.</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Abordando estas cuatro leyes en conjunto  considero, como muchas otras instituciones que ya se han manifestado al respecto, que  son anticonstitucionales porque vulneran los derechos fundamentales e incumplen los tratados firmados por España relativos a la protección de derechos y libertades fundamentales tanto a nivel europeo como internacional.</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En conjunto, podríamos decir que se trata de una reacción del gobierno que se ha visto desbordado por los problemas de la ciudadanía  y parece incapaz de solucionarlos de una forma democrática.</w:t>
      </w:r>
    </w:p>
    <w:p w:rsidR="00CA4601" w:rsidRPr="00517EB1" w:rsidRDefault="00CA4601" w:rsidP="00CA4601">
      <w:pPr>
        <w:widowControl w:val="0"/>
        <w:spacing w:after="200" w:line="360" w:lineRule="auto"/>
        <w:jc w:val="both"/>
        <w:rPr>
          <w:color w:val="000000"/>
          <w:sz w:val="24"/>
          <w:szCs w:val="24"/>
        </w:rPr>
      </w:pPr>
    </w:p>
    <w:p w:rsidR="00CA4601" w:rsidRPr="00517EB1" w:rsidRDefault="00CA4601" w:rsidP="00CA4601">
      <w:pPr>
        <w:widowControl w:val="0"/>
        <w:spacing w:after="200" w:line="360" w:lineRule="auto"/>
        <w:rPr>
          <w:rFonts w:eastAsia="Calibri"/>
          <w:b/>
          <w:color w:val="000000"/>
          <w:sz w:val="24"/>
          <w:szCs w:val="24"/>
        </w:rPr>
      </w:pPr>
      <w:r w:rsidRPr="00517EB1">
        <w:rPr>
          <w:b/>
          <w:color w:val="000000"/>
          <w:sz w:val="24"/>
          <w:szCs w:val="24"/>
        </w:rPr>
        <w:t>1.3. Descripción general y novedades que presenta la nueva Ley sobre Protección de la Seguridad Ciudadana.</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Como primer acercamiento a la nueva Ley de Seguridad Ciudadana, creo necesario examinar su propio título, y es que la seguridad ciudadana como institución, se presenta  integrada en los bienes jurídicos protegidos por la Constitución española, aunque en la Constitución  la única referencia que encontramos a la seguridad ciudadana como tal está plasmada en el artículo 104.1, el cual establece que la función de las Fuerzas y Cuerpos de seguridad del Estado es proteger los derechos y  garantizar la seguridad ciudadana. Por tanto la Constitución encomienda una doble tarea a las Fuerzas y Cuerpos de Seguridad, estos deben garantizar la seguridad de la ciudadanía a la vez que protegen el ejercicio   de derechos y libertades sin mermarlos, lo que supone hoy día un gran problema interpretativo para los operadores jurídicos, incluidos los intérpretes de la Constitución.</w:t>
      </w:r>
      <w:r w:rsidRPr="00517EB1">
        <w:rPr>
          <w:color w:val="000000"/>
          <w:sz w:val="24"/>
          <w:szCs w:val="24"/>
          <w:vertAlign w:val="superscript"/>
        </w:rPr>
        <w:footnoteReference w:id="5"/>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 xml:space="preserve">También se habla de seguridad jurídica pero en un sentido amplio en el artículo 9, y en su artículo 17 la Constitución consagra el derecho de la persona a la libertad y a la seguridad, </w:t>
      </w:r>
      <w:r w:rsidRPr="00517EB1">
        <w:rPr>
          <w:color w:val="000000"/>
          <w:sz w:val="24"/>
          <w:szCs w:val="24"/>
        </w:rPr>
        <w:lastRenderedPageBreak/>
        <w:t>debiendo señalarse que este derecho a la libertad personal no protege la libertad general de actuación, sino protege al individuo ante la detención, condena o internamiento arbitrarios.</w:t>
      </w:r>
      <w:r w:rsidRPr="00517EB1">
        <w:rPr>
          <w:color w:val="000000"/>
          <w:sz w:val="24"/>
          <w:szCs w:val="24"/>
          <w:vertAlign w:val="superscript"/>
        </w:rPr>
        <w:footnoteReference w:id="6"/>
      </w:r>
    </w:p>
    <w:p w:rsidR="00CA4601" w:rsidRPr="00517EB1" w:rsidRDefault="00CA4601" w:rsidP="00CA4601">
      <w:pPr>
        <w:widowControl w:val="0"/>
        <w:spacing w:after="200" w:line="360" w:lineRule="auto"/>
        <w:jc w:val="both"/>
        <w:rPr>
          <w:color w:val="000000"/>
          <w:sz w:val="24"/>
          <w:szCs w:val="24"/>
        </w:rPr>
      </w:pPr>
      <w:r w:rsidRPr="00517EB1">
        <w:rPr>
          <w:color w:val="000000" w:themeColor="text1"/>
          <w:sz w:val="24"/>
          <w:szCs w:val="24"/>
        </w:rPr>
        <w:t>GREGORIO PECES-BARBA</w:t>
      </w:r>
      <w:r w:rsidRPr="00517EB1">
        <w:rPr>
          <w:color w:val="000000"/>
          <w:sz w:val="24"/>
          <w:szCs w:val="24"/>
        </w:rPr>
        <w:t xml:space="preserve"> habla de la seguridad jurídica respecto a la sociedad, refiriéndose a ella como uno de los principios del Estado social. Se entiende no solo como seguridad frente al Poder y ante el Derecho, sino también seguridad en las relaciones que se dan entre los seres humanos y sus necesidades básicas. Se refiere a ella también como la “seguridad frente a la desesperanza”, es decir, los derechos fundamentales, económicos, sociales y culturales están fundados por este tipo de seguridad, entendida como tranquilidad y esperanza porque los más débiles no serán abandonados antes los más fuertes, entendiendo también esta seguridad como la facultad de poder realizarse como persona gracias a unas necesidades básicas resueltas.</w:t>
      </w:r>
      <w:r w:rsidRPr="00517EB1">
        <w:rPr>
          <w:color w:val="000000"/>
          <w:sz w:val="24"/>
          <w:szCs w:val="24"/>
          <w:vertAlign w:val="superscript"/>
        </w:rPr>
        <w:footnoteReference w:id="7"/>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Desde su inclusión en nuestra Constitución el concepto de seguridad ciudadana no ha sido tema pacífico, en parte puede deberse a que en ocasiones se le han atribuido connotaciones  derivadas del concepto de orden público, el cual fue utilizado en períodos preconstitucionales.</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El bien jurídico de  seguridad ciudadana se presenta en la Constitución como un concepto indeterminado y de interés social. Son varias las sentencias del Tribunal Constitucional en las que se ve reflejada la indeterminación de este concepto jurídico, ya que en ellas el Tribunal no expone de forma directa el contenido de la seguridad jurídica, y en la mayoría de ocasiones que se ha referido a este concepto ha sido para aclarar la distribución de las competencias  en materia de policía entre el Estado y las Comunidades Autónomas, analizando para ello el artículo 104.1 de la Constitución. También expresa el Tribunal Constitucional en otras sentencias que no cree conveniente  manifestarse acerca del bien jurídico de seguridad ciudadana porque entienden que  es el legislador el que debe desarrollar los preceptos de la constitución, y que a él solamente compete  valorar si ese desarrollo respeta la Constitución.</w:t>
      </w:r>
      <w:r w:rsidRPr="00517EB1">
        <w:rPr>
          <w:color w:val="000000"/>
          <w:sz w:val="24"/>
          <w:szCs w:val="24"/>
          <w:vertAlign w:val="superscript"/>
        </w:rPr>
        <w:footnoteReference w:id="8"/>
      </w:r>
      <w:r w:rsidRPr="00517EB1">
        <w:rPr>
          <w:color w:val="000000"/>
          <w:sz w:val="24"/>
          <w:szCs w:val="24"/>
        </w:rPr>
        <w:t>. Como exponía anteriormente, en el artículo 17.1 la seguridad aparece como derecho, y en el 104.1 aparecen sus límites en relación al Estado.</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 xml:space="preserve">Es primordial tener en cuenta que la seguridad ciudadana, siendo un concepto indeterminado, no puede rebasar el marco limitador que establece la Constitución, el cual está configurado </w:t>
      </w:r>
      <w:r w:rsidRPr="00517EB1">
        <w:rPr>
          <w:color w:val="000000"/>
          <w:sz w:val="24"/>
          <w:szCs w:val="24"/>
        </w:rPr>
        <w:lastRenderedPageBreak/>
        <w:t>por los Derechos Fundamentales contenidos en ella.</w:t>
      </w:r>
    </w:p>
    <w:p w:rsidR="00CA4601" w:rsidRPr="00517EB1" w:rsidRDefault="00CA4601" w:rsidP="00CA4601">
      <w:pPr>
        <w:widowControl w:val="0"/>
        <w:spacing w:after="200" w:line="360" w:lineRule="auto"/>
        <w:jc w:val="both"/>
        <w:rPr>
          <w:color w:val="000000"/>
          <w:sz w:val="24"/>
          <w:szCs w:val="24"/>
        </w:rPr>
      </w:pPr>
      <w:r w:rsidRPr="00517EB1">
        <w:rPr>
          <w:color w:val="000000"/>
          <w:sz w:val="24"/>
          <w:szCs w:val="24"/>
        </w:rPr>
        <w:t>Y  como bien jurídico incluido en la Constitución debe ser protegido, pero nuestra norma suprema no indica las medidas que deben adoptarse para la protección de este bien jurídico, por tanto estas han de ser definidas por la legislación ordinaria que es la que establecerá las medidas necesarias para velar por la seguridad ciudadana, pudiendo tratarse de medidas preventivas o represivas. Por ende, resulta necesario definir la configuración constitucional del bien de seguridad ciudadana, ya que  esta configuración es la que deberá informar  al  resto del ordenamiento jurídico a la hora de adoptar las medidas necesarias para la protección del bien, y no al contrario</w:t>
      </w:r>
      <w:r w:rsidRPr="00517EB1">
        <w:rPr>
          <w:color w:val="000000"/>
          <w:sz w:val="24"/>
          <w:szCs w:val="24"/>
          <w:vertAlign w:val="superscript"/>
        </w:rPr>
        <w:footnoteReference w:id="9"/>
      </w:r>
      <w:r w:rsidRPr="00517EB1">
        <w:rPr>
          <w:color w:val="000000"/>
          <w:sz w:val="24"/>
          <w:szCs w:val="24"/>
        </w:rPr>
        <w:t>.</w:t>
      </w:r>
    </w:p>
    <w:p w:rsidR="00CA4601" w:rsidRPr="00517EB1" w:rsidRDefault="00CA4601" w:rsidP="00CA4601">
      <w:pPr>
        <w:widowControl w:val="0"/>
        <w:spacing w:after="200" w:line="360" w:lineRule="auto"/>
        <w:jc w:val="both"/>
        <w:rPr>
          <w:color w:val="FF0000"/>
          <w:sz w:val="24"/>
          <w:szCs w:val="24"/>
        </w:rPr>
      </w:pPr>
      <w:r w:rsidRPr="00517EB1">
        <w:rPr>
          <w:color w:val="000000" w:themeColor="text1"/>
          <w:sz w:val="24"/>
          <w:szCs w:val="24"/>
        </w:rPr>
        <w:t>El Tribunal Constitucional definió en una ocasión la seguridad ciudadana  como «la prevención y lucha contra la criminalidad, el mantenimiento del orden y la seguridad pública»</w:t>
      </w:r>
      <w:r w:rsidRPr="00517EB1">
        <w:rPr>
          <w:color w:val="000000" w:themeColor="text1"/>
          <w:sz w:val="24"/>
          <w:szCs w:val="24"/>
          <w:vertAlign w:val="superscript"/>
        </w:rPr>
        <w:footnoteReference w:id="10"/>
      </w:r>
    </w:p>
    <w:p w:rsidR="00CA4601" w:rsidRPr="00517EB1" w:rsidRDefault="00CA4601" w:rsidP="00CA4601">
      <w:pPr>
        <w:widowControl w:val="0"/>
        <w:spacing w:after="200" w:line="360" w:lineRule="auto"/>
        <w:jc w:val="both"/>
        <w:rPr>
          <w:rFonts w:eastAsia="Calibri"/>
          <w:color w:val="000000"/>
          <w:sz w:val="24"/>
          <w:szCs w:val="24"/>
        </w:rPr>
      </w:pPr>
      <w:r w:rsidRPr="00517EB1">
        <w:rPr>
          <w:color w:val="FF0000"/>
          <w:sz w:val="24"/>
          <w:szCs w:val="24"/>
        </w:rPr>
        <w:t xml:space="preserve"> </w:t>
      </w:r>
      <w:r w:rsidRPr="00517EB1">
        <w:rPr>
          <w:color w:val="000000"/>
          <w:sz w:val="24"/>
          <w:szCs w:val="24"/>
        </w:rPr>
        <w:t xml:space="preserve">Dicho en pocas palabras, el bien jurídico de seguridad ciudadana podrá ser desarrollado o configurado por la </w:t>
      </w:r>
      <w:r w:rsidRPr="00517EB1">
        <w:rPr>
          <w:sz w:val="24"/>
          <w:szCs w:val="24"/>
        </w:rPr>
        <w:t>legislación ordinaria respetando siempre</w:t>
      </w:r>
      <w:r w:rsidRPr="00517EB1">
        <w:rPr>
          <w:color w:val="000000"/>
          <w:sz w:val="24"/>
          <w:szCs w:val="24"/>
        </w:rPr>
        <w:t xml:space="preserve"> el marco establecido por la Constitución respecto al derecho a la seguridad, y será necesario respetar el marco que establece la norma con superioridad jerárquica, que es la Constitución, entendiendo que lo que concede esa superioridad a la Constitución no es su posición privilegiada en el Ordenamiento, sino su contenido determinado a través del cual limita, controla y regula el ejercicio del Poder.</w:t>
      </w:r>
      <w:r w:rsidRPr="00517EB1">
        <w:rPr>
          <w:color w:val="000000"/>
          <w:sz w:val="24"/>
          <w:szCs w:val="24"/>
          <w:vertAlign w:val="superscript"/>
        </w:rPr>
        <w:footnoteReference w:id="11"/>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Una vez que hemos hablado del concepto de bien jurídico  que informa la citada Ley, y tras conocer cómo es tratado por la Constitución  española, no resultará difícil apreciar que la Ley 4/2015 de 30 de marzo sobre Protección de la Seguridad Ciudadana no trata adecuadamente este concepto jurídico del que venimos hablando, ya que  trastoca el original sentido que da la Constitución  a la seguridad ciudadana, puesto que la ley con sus distintos preceptos va guiando o asemejando irremediablemente el  concepto de seguridad ciudadana  con el de orden público; aunque el Ministerio de Interior repetidamente haya manifestado al respecto que se trata de la primera vez que se define en un texto normativo la “seguridad ciudadana” </w:t>
      </w:r>
      <w:r w:rsidRPr="00517EB1">
        <w:rPr>
          <w:color w:val="000000"/>
          <w:sz w:val="24"/>
          <w:szCs w:val="24"/>
        </w:rPr>
        <w:lastRenderedPageBreak/>
        <w:t>frente al antiguo concepto de orden público, específicamente en su artículo uno.</w:t>
      </w:r>
      <w:r w:rsidRPr="00517EB1">
        <w:rPr>
          <w:color w:val="000000"/>
          <w:sz w:val="24"/>
          <w:szCs w:val="24"/>
          <w:vertAlign w:val="superscript"/>
        </w:rPr>
        <w:footnoteReference w:id="12"/>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De cualquier manera, tanto si se quiere hacer referencia o no al concepto de orden público, lo que sí queda claro es que  en nuestro Estado democrático de Derecho, entendido como la única etapa legítima de la historia de España, solo se puede comprender el concepto de orden público siendo este compatible con la garantía de los derechos y libertades ciudadanas.</w:t>
      </w:r>
      <w:r w:rsidRPr="00517EB1">
        <w:rPr>
          <w:color w:val="000000"/>
          <w:sz w:val="24"/>
          <w:szCs w:val="24"/>
          <w:vertAlign w:val="superscript"/>
        </w:rPr>
        <w:footnoteReference w:id="13"/>
      </w:r>
      <w:r w:rsidRPr="00517EB1">
        <w:rPr>
          <w:color w:val="333333"/>
          <w:sz w:val="24"/>
          <w:szCs w:val="24"/>
          <w:highlight w:val="white"/>
        </w:rPr>
        <w:t xml:space="preserve"> </w:t>
      </w:r>
      <w:r w:rsidRPr="00517EB1">
        <w:rPr>
          <w:color w:val="000000"/>
          <w:sz w:val="24"/>
          <w:szCs w:val="24"/>
          <w:highlight w:val="white"/>
        </w:rPr>
        <w:t>Con el paso de los años, el concepto de orden público se ha caracterizado por su variabilidad y flexibilidad, es decir, un concepto relativo y dependiente de cada momento político-social, pero resulta evidente a mi juicio que la configuración de este concepto no puede estar sometido a manipulaciones e interpretaciones de grupos dominantes en un determinado momento  que puedan suponer  una amenaza para los derechos fundamentales. Es decir, el orden público no puede suponer un límite al ejercicio de  cualquier derecho fundamental, sino que cualquier tipo de limitación debe de estar ya concretada por el legislador constitucional de forma clara, porque de lo contrario, este concepto de orden público funcionaria como “cajón de sastre” en el que tiene cabida aquello que en cada momento convenga. Lo mismo ocurre con el relativamente nuevo concepto de seguridad ciudadana que se introduce en la LO 4/2015, no se debería “bajar la guardia” con esta nueva denominación, puesto que siguen estando presentes los peligros que supone una ampliación del ámbito comprensivo del concepto de seguridad ciudadana, ya que tal ampliación podría dar cabida a intromisiones y limitaciones justificadas de los derechos y libertades</w:t>
      </w:r>
      <w:r w:rsidRPr="00517EB1">
        <w:rPr>
          <w:color w:val="333333"/>
          <w:sz w:val="24"/>
          <w:szCs w:val="24"/>
          <w:highlight w:val="white"/>
        </w:rPr>
        <w:t>.</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Para continuar con este primer acercamiento a la nueva ley de seguridad ciudadana, haré referencia también a las razones que expone Gobierno de la Nación para elaborar esta ley; así indican que la reforma de la anterior Ley de Seguridad Ciudadana del 92 es necesaria, conveniente y oportuna, ahora veremos cómo se justifican estas razones.</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El Gobierno presenta la reforma de la  Ley de Seguridad Ciudadana como necesaria ante la </w:t>
      </w:r>
      <w:r w:rsidRPr="00517EB1">
        <w:rPr>
          <w:color w:val="000000"/>
          <w:sz w:val="24"/>
          <w:szCs w:val="24"/>
        </w:rPr>
        <w:lastRenderedPageBreak/>
        <w:t xml:space="preserve">reforma del Código Penal, puesto que ahora desaparecen faltas, algunas quedan </w:t>
      </w:r>
      <w:proofErr w:type="spellStart"/>
      <w:r w:rsidRPr="00517EB1">
        <w:rPr>
          <w:color w:val="000000"/>
          <w:sz w:val="24"/>
          <w:szCs w:val="24"/>
        </w:rPr>
        <w:t>destipificadas</w:t>
      </w:r>
      <w:proofErr w:type="spellEnd"/>
      <w:r w:rsidRPr="00517EB1">
        <w:rPr>
          <w:color w:val="000000"/>
          <w:sz w:val="24"/>
          <w:szCs w:val="24"/>
        </w:rPr>
        <w:t xml:space="preserve"> y otras pasan a ser delitos leves, por tanto la nueva Ley de Seguridad Ciudadana incluye algunas de las antiguas faltas que ahora se convierten en infracciones administrativas, esto supone que algunos comportamientos comienzan a sancionarse en el ámbito administrativo y dejan de sancionarse en el ámbito penal, esta medida queda justificada por el legislador porque apela al principio de intervención mínima o el derecho penal como última ratio para sancionar.</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También plantean la reforma como conveniente, ya que pretende recoger la jurisprudencia constitucional y contencioso-administrativa dictada desde el año 1992. En este ámbito, la jurisprudencia constitucional hasta la fecha ha venido indicando que la intervención administrativa para velar por la seguridad de los ciudadanos tiene que estar fundamentada en el principio de proporcionalidad compuesto por una triple dimensión: idoneidad, necesidad y proporcionalidad. De la misma forma consideran conveniente la reforma para incluir y tener en cuenta nuevas conductas declaradas como violentas y antisociales debido principalmente a los cambios sufridos por nuestra sociedad y sobre todo en el ámbito de las </w:t>
      </w:r>
      <w:proofErr w:type="spellStart"/>
      <w:r w:rsidRPr="00517EB1">
        <w:rPr>
          <w:color w:val="000000"/>
          <w:sz w:val="24"/>
          <w:szCs w:val="24"/>
        </w:rPr>
        <w:t>TIC’s</w:t>
      </w:r>
      <w:proofErr w:type="spellEnd"/>
      <w:r w:rsidRPr="00517EB1">
        <w:rPr>
          <w:color w:val="000000"/>
          <w:sz w:val="24"/>
          <w:szCs w:val="24"/>
        </w:rPr>
        <w:t xml:space="preserve"> según afirman.</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Por último, el Gobierno considera la reforma oportuna, y manifiesta textualmente que  “el derecho de manifestación se ha ejercido ampliamente en los dos primeros años de esta Legislatura”</w:t>
      </w:r>
      <w:r w:rsidRPr="00517EB1">
        <w:rPr>
          <w:color w:val="000000"/>
          <w:sz w:val="24"/>
          <w:szCs w:val="24"/>
          <w:vertAlign w:val="superscript"/>
        </w:rPr>
        <w:footnoteReference w:id="14"/>
      </w:r>
      <w:r w:rsidRPr="00517EB1">
        <w:rPr>
          <w:color w:val="000000"/>
          <w:sz w:val="24"/>
          <w:szCs w:val="24"/>
        </w:rPr>
        <w:t>, por ello consideran que es el momento idóneo para desplegar una ley que según declaran trabajará para el afianzamiento de los derechos y libertades públicas y para garantizar una mejor seguridad ciudadana.</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Sin embargo, ante la falta de una definición constitucional del concepto de seguridad ciudadana, cabría acudir por vía interpretativa a que, al menos, debe sostenerse el equilibrio libertad-seguridad, de forma que el desarrollo legislativo de la seguridad ciudadana se lleve a cabo de manera que, en modo alguno, se limite el ejercicio de los Derechos Fundamentales, y ellos, como veremos, no es así.</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La entrada en vigor de la  LO 4/2015 de 30 de marzo, sobre Protección de la Seguridad Ciudadana, se producirá el uno de julio de este año 2015, exceptuando la disposición final primera, referente al régimen especial de Ceuta y Melilla, que ya  entró en vigor el día uno de </w:t>
      </w:r>
      <w:r w:rsidRPr="00517EB1">
        <w:rPr>
          <w:color w:val="000000"/>
          <w:sz w:val="24"/>
          <w:szCs w:val="24"/>
        </w:rPr>
        <w:lastRenderedPageBreak/>
        <w:t>abril, justo un día después de su publicación en el Boletín Oficial del Estado.</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Comenzaré analizando el preámbulo de la presente ley de Seguridad Ciudadana conforme a la estructura formal básica o ideal que debe tener toda exposición de motivos de una ley. El primero de los contenidos que debe figurar claramente es el contexto social, político y jurídico en el que se va a desarrollar la norma, en este caso, el preámbulo hace una brevísima y general referencia al contexto social en el que se enmarca la presente ley, aludiendo  únicamente a cambios sociales sucedidos en nuestro país y a la aparición de nuevas formas de poner en riesgo la tranquilidad y la seguridad de la ciudadanía. Por tanto se puede observar la carencia de un contexto social, político y económico  mínimamente desarrollado que ayude a comprender cómo va a encajar la norma  en la realidad, y que ayude a comprender además la necesidad de promulgarla  junto con los motivos que deben exponerse también en el preámbulo.</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Los motivos justificantes de la norma o la necesidad de la nueva ley es otro de los puntos que deben constar en esta primera parte del texto legislativo, en el caso que nos ocupa, la ley de Seguridad Ciudadana a mi parecer, añade escasos motivos y poco fundamentados, en este sentido se hace referencia a las demandas sociales de seguridad ciudadana dirigidas al Estado, también añaden como motivo  “</w:t>
      </w:r>
      <w:r w:rsidRPr="00517EB1">
        <w:rPr>
          <w:i/>
          <w:color w:val="000000"/>
          <w:sz w:val="24"/>
          <w:szCs w:val="24"/>
        </w:rPr>
        <w:t>la imperiosa necesidad de actualización del régimen sancionador o la incorporación de la jurisprudencia constitucional a esta materia”</w:t>
      </w:r>
      <w:r w:rsidRPr="00517EB1">
        <w:rPr>
          <w:color w:val="000000"/>
          <w:sz w:val="24"/>
          <w:szCs w:val="24"/>
        </w:rPr>
        <w:t>,  con ello exponen de forma literal  que el cambio legislativo queda sobradamente justificado.</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 Seguidamente el preámbulo relata las principales novedades</w:t>
      </w:r>
      <w:r w:rsidRPr="00517EB1">
        <w:rPr>
          <w:color w:val="000000"/>
          <w:sz w:val="24"/>
          <w:szCs w:val="24"/>
          <w:vertAlign w:val="superscript"/>
        </w:rPr>
        <w:footnoteReference w:id="15"/>
      </w:r>
      <w:r w:rsidRPr="00517EB1">
        <w:rPr>
          <w:color w:val="000000"/>
          <w:sz w:val="24"/>
          <w:szCs w:val="24"/>
        </w:rPr>
        <w:t xml:space="preserve"> que supone la nueva ley con respecto a la regulación anterior, estructurando el texto conforme a los cinco capítulo que conforman la parte dispositiva principal.</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La Ley de Protección de la Seguridad Ciudadana presenta varios supuestos nuevos y también modifica supuestos ya existentes en la anterior LOPSC, esto se debe en gran medida a la concreción con la que ha sido redactada la nueva ley, frente a las definiciones genéricas que se daban en la anterior LOPSC. La anterior ley del 92 constaba de 39 artículos mientras que la actual consta de 54, incluye cinco disposiciones adicionales, una transitoria y una derogatoria y tres disposiciones finales. El texto se articula en cinco capítulos, que por este orden versan de las disposiciones generales, de la documentación e identificación personal, de las </w:t>
      </w:r>
      <w:r w:rsidRPr="00517EB1">
        <w:rPr>
          <w:color w:val="000000"/>
          <w:sz w:val="24"/>
          <w:szCs w:val="24"/>
        </w:rPr>
        <w:lastRenderedPageBreak/>
        <w:t>actuaciones para el mantenimiento y restablecimiento de la seguridad de la ciudadanía, de las potestades especiales que ostenta la policía administrativa de la seguridad y por último el régimen sancionador.</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Prevé la creación de un Registro Central de Infracciones contra la Seguridad ciudadana, con el fin de poder conocer la reincidencia de las personas que infrinjan y así sancionar a aquellos que de forma voluntaria reinciden en las conductas tipificadas.</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También se incluyen en la ley por primera vez los registros corporales externos, expone la ley que se presentan sometidos a los principios de injerencia mínima y no discriminación. Se realizará el registro en un lugar reservado y por un agente del mismo sexo que el ciudadano, y se deberá explicar el motivo del registro externo.</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En lo que respecta a las manifestaciones y escraches, la anterior ley del 92 facultaba a la policía para disolverlas si se estaban cometiendo actos delictivos, alteración del orden público o si los asistentes acudían con uniformes paramilitares; la actual ley es más específica con la indumentaria de los asistentes, se sancionará como infracción muy grave si el manifestante acude con la cara tapada por una capucha un gorro o un casco con el fin de alterar el orden público. También se faculta a la Policía a formar cordones de seguridad cuando consideren que se está produciendo una situación de “acoso”.</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Se incluye en la nueva ley protección a lugares específicos, como el Congreso de los Diputados, el Senado, los Parlamentos autonómicos o los altos tribunales, impidiendo la realización de manifestaciones o concentraciones sin autorización, incluso cuando estos edificios están vacíos y fuera de uso, algo difícilmente comprensible.</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La anterior ley del 92 ya contemplaba la restricción de la circulación o la permanencia en las vías en supuestos de necesidad o de alteración del orden; la actual ley tipifica el acto de colapsar con vehículos una vía y faculta a la Policía para disolver la protesta. También se tipifica como falta grave el hecho de escalar un edificio emblemático o monumento.</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Otra de las novedades que presenta la Ley de Protección de la Seguridad Ciudadana  respecto a la anterior LOPSC del 92, es el acto de uso o difusión de fotografías o imágenes grabadas de policías cuando suponga mofa o implique algún riesgo.</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 Nuevos supuestos que también se incluyen por primera vez en la ley son la realización de botellones alterando el “orden público”, o las llamadas “cundas” consistentes en trasladar a </w:t>
      </w:r>
      <w:r w:rsidRPr="00517EB1">
        <w:rPr>
          <w:color w:val="000000"/>
          <w:sz w:val="24"/>
          <w:szCs w:val="24"/>
        </w:rPr>
        <w:lastRenderedPageBreak/>
        <w:t>drogadictos en vehículos hasta los puntos de venta de droga, también se recoge por primera vez la realización de barricadas o el maltrato de animales en espectáculos públicos. Otra de las nuevas conductas  que sanciona la ley conlleva el deslumbramiento con punteros láser a maquinistas de tren, pilotos o conductores de autobús.</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La anterior Ley del 92 ya tipificaba como infracciones graves  el consumo en lugares públicos de drogas tóxicas, estupefacientes o psicotrópicos, así como su tenencia ilícita  aunque no estuviera destinada al tráfico. La actual Ley sanciona también la tenencia de plantas y el cultivo aunque no esté destinado al tráfico de sustancias de este tipo.</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 También se incluyen novedades en el ámbito de la prostitución que no se contemplaban en la antigua ley del 92. Ahora se sanciona como falta grave el ejercicio de la prostitución y la aceptación de sus servicios en las proximidades de zonas infantiles, quiere decir que los clientes también podrán recibir sanción, la prostitución como tal no se sanciona, únicamente se sancionarán estas actuaciones atendiendo a la vulnerabilidad del lugar.</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En cuanto al régimen de sanciones destacaré que las infracciones graves y muy graves pueden tener a su vez grado máximo, medio y mínimo, en principio se aplicará la sanción en grado mínimo y posteriormente se individualizará la sanción atendiendo a la cuantía del perjuicio o a la capacidad económica del sujeto que ha infringido la norma, entre otros criterios que establece la misma ley.</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El texto presenta cuatro infracciones muy graves a las que se les podrá aplicar una multa desde los 30.001 hasta los 600.000 euros, en este caso no ha cambiado la cuantía de la sanción respecto a la ley del año 92. Las infracciones graves son 23, se les aplicarán unas multas desde los 601 hasta los 30.000 euros, por último las infracciones leves son 17 y se sancionarán con multas desde los 100 hasta los 600 euros.</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Puede que una de las sanciones más debatidas sea la convocatoria de protestas no autorizadas a través de redes sociales u otra vía electrónica, esta conducta podrá ser sancionada desde los 30.001 hasta los 600.000 euros.</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La prescripción de las infracciones se producirá a los dos años, al año o a los seis meses, dependiendo de si se trata de una infracción muy grave, grave o leve.</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 xml:space="preserve">Respecto a los autores de las conductas recogidas en la ley, de acuerdo con la legislación de la responsabilidad penal del menor, se exime de responsabilidad a los menores de catorce años </w:t>
      </w:r>
      <w:r w:rsidRPr="00517EB1">
        <w:rPr>
          <w:color w:val="000000"/>
          <w:sz w:val="24"/>
          <w:szCs w:val="24"/>
        </w:rPr>
        <w:lastRenderedPageBreak/>
        <w:t>de edad, así mismo expone la ley que cuando el autor de los hechos sea un menor de dieciocho años de edad no emancipado o una persona con capacidad modificada judicialmente, en estos supuestos responderán sus padres o tutores, curadores o guardadores , de forma solidaria respecto a los daños y perjuicios que haya podido ocasionar.</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En cuanto a la parte dispositiva principal me resulta relevante el hecho de que el  objeto de la Ley aparece en el artículo uno, diferenciado de los fines que aparecen el artículo tres. El objeto de la Ley es la regulación de distintas actuaciones de diversa naturaleza que están orientadas a la tutela de la seguridad ciudadana.</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Por otro lado el artículo tres  señala los fines de la Ley así como los fines de la acción de los poderes públicos dentro del ámbito de la seguridad ciudadana. Algunos de los más destacables son por ejemplo, “</w:t>
      </w:r>
      <w:r w:rsidRPr="00517EB1">
        <w:rPr>
          <w:i/>
          <w:color w:val="000000"/>
          <w:sz w:val="24"/>
          <w:szCs w:val="24"/>
        </w:rPr>
        <w:t xml:space="preserve">El respeto a las Leyes, a la paz y a la seguridad ciudadana en el ejercicio de los derechos y libertades, la pacífica utilización de vías y demás bienes </w:t>
      </w:r>
      <w:proofErr w:type="spellStart"/>
      <w:r w:rsidRPr="00517EB1">
        <w:rPr>
          <w:i/>
          <w:color w:val="000000"/>
          <w:sz w:val="24"/>
          <w:szCs w:val="24"/>
        </w:rPr>
        <w:t>demaniales</w:t>
      </w:r>
      <w:proofErr w:type="spellEnd"/>
      <w:r w:rsidRPr="00517EB1">
        <w:rPr>
          <w:i/>
          <w:color w:val="000000"/>
          <w:sz w:val="24"/>
          <w:szCs w:val="24"/>
        </w:rPr>
        <w:t xml:space="preserve">, y en general espacios destinados al uso y disfrute público, la transparencia en la actuación de los poderes públicos en materia de seguridad ciudadana o la prevención de la comisión de delitos e infracciones administrativas.” </w:t>
      </w:r>
      <w:r w:rsidRPr="00517EB1">
        <w:rPr>
          <w:color w:val="000000"/>
          <w:sz w:val="24"/>
          <w:szCs w:val="24"/>
        </w:rPr>
        <w:t>Como veremos son algunos de los objetivos que más controversia han suscitado, y sería conveniente  más adelante analizar si verdaderamente sirven las medidas adoptadas para la consecución de dichos fines, o si en realidad subyacen otros objetivos distintos, es decir, la ley adolecería de calidad en los fines en el supuesto en que de sus contenidos resultaran objetivos inconsistentes o contradictorios a los que proclama.</w:t>
      </w:r>
    </w:p>
    <w:p w:rsidR="00CA4601" w:rsidRPr="00517EB1" w:rsidRDefault="00CA4601" w:rsidP="00CA4601">
      <w:pPr>
        <w:widowControl w:val="0"/>
        <w:spacing w:after="200" w:line="360" w:lineRule="auto"/>
        <w:jc w:val="both"/>
        <w:rPr>
          <w:rFonts w:eastAsia="Calibri"/>
          <w:color w:val="000000"/>
          <w:sz w:val="24"/>
          <w:szCs w:val="24"/>
        </w:rPr>
      </w:pPr>
      <w:r w:rsidRPr="00517EB1">
        <w:rPr>
          <w:color w:val="000000"/>
          <w:sz w:val="24"/>
          <w:szCs w:val="24"/>
        </w:rPr>
        <w:t>También analizaré posteriormente la escasa  calidad constitucional de la presente Ley, es decir si es acorde a los valores y principios jurídicos que establece la Constitución, y si respeta los derechos fundamentales contenidos en ellos.</w:t>
      </w:r>
    </w:p>
    <w:p w:rsidR="00CA4601" w:rsidRPr="00517EB1" w:rsidRDefault="00CA4601" w:rsidP="00CA4601">
      <w:pPr>
        <w:widowControl w:val="0"/>
        <w:spacing w:after="200" w:line="360" w:lineRule="auto"/>
        <w:jc w:val="both"/>
        <w:rPr>
          <w:color w:val="000000" w:themeColor="text1"/>
          <w:sz w:val="24"/>
          <w:szCs w:val="24"/>
        </w:rPr>
      </w:pPr>
      <w:r w:rsidRPr="00517EB1">
        <w:rPr>
          <w:color w:val="000000" w:themeColor="text1"/>
          <w:sz w:val="24"/>
          <w:szCs w:val="24"/>
        </w:rPr>
        <w:t>Para finalizar con este epígrafe que pretende aportar una visión general sobre la Ley de Protección de la Seguridad Ciudadana, señalaré un defecto en la estructura formal de la ley que se encuentra en la Disposición final primera que lleva por título “</w:t>
      </w:r>
      <w:r w:rsidRPr="00517EB1">
        <w:rPr>
          <w:i/>
          <w:color w:val="000000" w:themeColor="text1"/>
          <w:sz w:val="24"/>
          <w:szCs w:val="24"/>
        </w:rPr>
        <w:t>Régimen especial de Ceuta y Melilla”.</w:t>
      </w:r>
      <w:r w:rsidRPr="00517EB1">
        <w:rPr>
          <w:color w:val="000000" w:themeColor="text1"/>
          <w:sz w:val="24"/>
          <w:szCs w:val="24"/>
        </w:rPr>
        <w:t xml:space="preserve"> Se trata de una añadidura a la Ley Orgánica sobre derechos y libertades de los extranjeros en España y su integración social. Esta disposición final introduce lo que se conoce como devolución en frontera o devolución en caliente, es decir, los extranjeros que intenten traspasar los elementos de contención fronterizos de forma irregular, podrán ser rechazados para impedir su entrada ilegal en España. Todo ello añade dicha disposición, que tendrá que llevarse a cabo respetando las normas internacionales de protección de los </w:t>
      </w:r>
      <w:r w:rsidRPr="00517EB1">
        <w:rPr>
          <w:color w:val="000000" w:themeColor="text1"/>
          <w:sz w:val="24"/>
          <w:szCs w:val="24"/>
        </w:rPr>
        <w:lastRenderedPageBreak/>
        <w:t>derechos humanos y de protección internacional.</w:t>
      </w:r>
      <w:r w:rsidRPr="00517EB1">
        <w:rPr>
          <w:color w:val="000000" w:themeColor="text1"/>
          <w:sz w:val="24"/>
          <w:szCs w:val="24"/>
          <w:vertAlign w:val="superscript"/>
        </w:rPr>
        <w:footnoteReference w:id="16"/>
      </w:r>
      <w:r w:rsidRPr="00517EB1">
        <w:rPr>
          <w:color w:val="000000" w:themeColor="text1"/>
          <w:sz w:val="24"/>
          <w:szCs w:val="24"/>
        </w:rPr>
        <w:t xml:space="preserve"> A mi parecer, el contenido de esta disposición tiene entidad suficiente y regula una cuestión suficientemente controvertida como para situarse en las disposiciones finales de la Ley, cuando debería figurar dentro de la Parte Dispositiva Principal  con el fin de no pasar inadvertida por todo aquel que maneje el texto normativo.</w:t>
      </w:r>
    </w:p>
    <w:p w:rsidR="00CA4601" w:rsidRPr="00517EB1" w:rsidRDefault="00CA4601" w:rsidP="00CA4601">
      <w:pPr>
        <w:widowControl w:val="0"/>
        <w:spacing w:after="200" w:line="360" w:lineRule="auto"/>
        <w:jc w:val="both"/>
        <w:rPr>
          <w:rFonts w:eastAsia="Calibri"/>
          <w:color w:val="000000"/>
          <w:sz w:val="24"/>
          <w:szCs w:val="24"/>
        </w:rPr>
      </w:pPr>
    </w:p>
    <w:p w:rsidR="00CA4601" w:rsidRPr="00517EB1" w:rsidRDefault="00CA4601" w:rsidP="00CA4601">
      <w:pPr>
        <w:spacing w:after="200" w:line="276" w:lineRule="auto"/>
        <w:rPr>
          <w:rFonts w:eastAsiaTheme="minorHAnsi"/>
          <w:sz w:val="24"/>
          <w:szCs w:val="24"/>
          <w:lang w:eastAsia="en-US"/>
        </w:rPr>
      </w:pPr>
    </w:p>
    <w:p w:rsidR="00CA4601" w:rsidRPr="00517EB1" w:rsidRDefault="00CA4601" w:rsidP="00CA4601">
      <w:pPr>
        <w:widowControl w:val="0"/>
        <w:spacing w:after="200" w:line="360" w:lineRule="auto"/>
        <w:rPr>
          <w:rFonts w:eastAsia="Calibri"/>
          <w:b/>
          <w:color w:val="000000"/>
          <w:sz w:val="24"/>
          <w:szCs w:val="24"/>
        </w:rPr>
      </w:pPr>
    </w:p>
    <w:p w:rsidR="00CA4601" w:rsidRPr="00517EB1" w:rsidRDefault="00CA4601" w:rsidP="00CA4601">
      <w:pPr>
        <w:widowControl w:val="0"/>
        <w:spacing w:after="200" w:line="360" w:lineRule="auto"/>
        <w:rPr>
          <w:rFonts w:eastAsia="Calibri"/>
          <w:b/>
          <w:color w:val="000000"/>
          <w:sz w:val="24"/>
          <w:szCs w:val="24"/>
        </w:rPr>
      </w:pPr>
    </w:p>
    <w:p w:rsidR="00D406A5" w:rsidRPr="00517EB1" w:rsidRDefault="00D406A5"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D28AF" w:rsidRPr="00517EB1" w:rsidRDefault="009D28AF" w:rsidP="00F035A3">
      <w:pPr>
        <w:spacing w:line="360" w:lineRule="auto"/>
        <w:jc w:val="both"/>
        <w:rPr>
          <w:sz w:val="24"/>
          <w:szCs w:val="24"/>
        </w:rPr>
      </w:pPr>
    </w:p>
    <w:p w:rsidR="009C7D06" w:rsidRPr="00517EB1" w:rsidRDefault="009C7D06" w:rsidP="009C7D06">
      <w:pPr>
        <w:widowControl w:val="0"/>
        <w:spacing w:after="200" w:line="360" w:lineRule="auto"/>
        <w:jc w:val="both"/>
        <w:rPr>
          <w:b/>
          <w:color w:val="000000"/>
          <w:sz w:val="24"/>
          <w:szCs w:val="24"/>
        </w:rPr>
      </w:pPr>
      <w:r w:rsidRPr="00517EB1">
        <w:rPr>
          <w:b/>
          <w:color w:val="000000"/>
          <w:sz w:val="24"/>
          <w:szCs w:val="24"/>
        </w:rPr>
        <w:lastRenderedPageBreak/>
        <w:t xml:space="preserve">CAPÍTULO 2. </w:t>
      </w:r>
    </w:p>
    <w:p w:rsidR="009C7D06" w:rsidRPr="00517EB1" w:rsidRDefault="009C7D06" w:rsidP="009C7D06">
      <w:pPr>
        <w:widowControl w:val="0"/>
        <w:spacing w:after="200" w:line="360" w:lineRule="auto"/>
        <w:jc w:val="both"/>
        <w:rPr>
          <w:rFonts w:eastAsia="Calibri"/>
          <w:b/>
          <w:color w:val="000000"/>
          <w:sz w:val="24"/>
          <w:szCs w:val="24"/>
        </w:rPr>
      </w:pPr>
      <w:r w:rsidRPr="00517EB1">
        <w:rPr>
          <w:b/>
          <w:color w:val="000000"/>
          <w:sz w:val="24"/>
          <w:szCs w:val="24"/>
        </w:rPr>
        <w:t>REFORMAS LEGISLATIVAS RELACIONADAS CON LA LO 4/2015 DE 30 DE MARZO SOBRE PROTECCIÓN DE LA SEGURIDAD CIUDADANA.</w:t>
      </w:r>
    </w:p>
    <w:p w:rsidR="009C7D06" w:rsidRPr="00517EB1" w:rsidRDefault="009C7D06" w:rsidP="009C7D06">
      <w:pPr>
        <w:widowControl w:val="0"/>
        <w:spacing w:after="200" w:line="360" w:lineRule="auto"/>
        <w:jc w:val="both"/>
        <w:rPr>
          <w:rFonts w:eastAsia="Calibri"/>
          <w:b/>
          <w:color w:val="000000"/>
          <w:sz w:val="24"/>
          <w:szCs w:val="24"/>
        </w:rPr>
      </w:pPr>
      <w:r w:rsidRPr="00517EB1">
        <w:rPr>
          <w:b/>
          <w:color w:val="000000"/>
          <w:sz w:val="24"/>
          <w:szCs w:val="24"/>
        </w:rPr>
        <w:t>2.1. Planteamiento general.</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En este epígrafe trataré de introducir brevemente las dos normas que acompañan a la Ley de Seguridad Ciudadana, a través de una valoración del paquete normativo en su conjunto.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Se trata de la reforma del Código Penal en lo que atañe a la Ley de Seguridad Ciudadana así como la reforma que se hace en el mismo código en materia terrorista. Pues bien, esta reforma del Código Penal impulsada por el Gobierno gira en torno a tres ideales clave tal y como manifiesta el profesor Ramón CAMPDERRICH, estos son la neutralización del delincuente, el populismo punitivo y el abandono del principio de intervención mínima del derecho penal.</w:t>
      </w:r>
      <w:r w:rsidRPr="00517EB1">
        <w:rPr>
          <w:color w:val="000000"/>
          <w:sz w:val="24"/>
          <w:szCs w:val="24"/>
          <w:vertAlign w:val="superscript"/>
        </w:rPr>
        <w:footnoteReference w:id="17"/>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La neutralización del delincuente supone un alejamiento de la idea de resocialización y un general aumento de la pena de prisión, cuya máxima expresión se ha alcanzado con la prisión permanente revisable. A Través del populismo punitivo parece ser que las autoridades pretenden paliar las deficiencias o las injusticias de las políticas públicas, intentan transmitir a la sociedad una sensación de peligro constante y de victimización para luego presentar las medidas punitivas como la solución necesaria y adecuada, adoptando la imagen de un Gobierno preocupado por la seguridad de sus ciudadanos.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En cuanto al tercer ideal, que es  el principio de intervención mínima, al que apelan en la exposición de motivos de la Ley Orgánica que reforma del CP, y el cual utiliza como justificante para convertir faltas en delitos leves, a pesar de ser reiteradamente apelado este principio que entiende el derecho penal como ultima ratio ha sufrido un abandono que se manifiesta en la creación de tipos penales nuevos y la ampliación de algunos tipos ya existentes recurriendo sobre todo a una redacción muy general y poco precisa que permite la subsunción de distintas conductas en un mismo tipo.</w:t>
      </w:r>
    </w:p>
    <w:p w:rsidR="009C7D06" w:rsidRPr="00517EB1" w:rsidRDefault="009C7D06" w:rsidP="009C7D06">
      <w:pPr>
        <w:widowControl w:val="0"/>
        <w:spacing w:after="200" w:line="360" w:lineRule="auto"/>
        <w:jc w:val="both"/>
        <w:rPr>
          <w:rFonts w:eastAsia="Calibri"/>
          <w:b/>
          <w:color w:val="000000"/>
          <w:sz w:val="24"/>
          <w:szCs w:val="24"/>
        </w:rPr>
      </w:pPr>
      <w:r w:rsidRPr="00517EB1">
        <w:rPr>
          <w:color w:val="000000"/>
          <w:sz w:val="24"/>
          <w:szCs w:val="24"/>
        </w:rPr>
        <w:t xml:space="preserve">Así, estos tres ideales informan no sólo la reforma del Código referente a conductas de terrorismo sino al conjunto de normas que se presentan como nuevas o modificadas en esta </w:t>
      </w:r>
      <w:r w:rsidRPr="00517EB1">
        <w:rPr>
          <w:color w:val="000000"/>
          <w:sz w:val="24"/>
          <w:szCs w:val="24"/>
        </w:rPr>
        <w:lastRenderedPageBreak/>
        <w:t>LO 1/2015 de 30 de marzo.</w:t>
      </w:r>
    </w:p>
    <w:p w:rsidR="009C7D06" w:rsidRPr="00517EB1" w:rsidRDefault="009C7D06" w:rsidP="009C7D06">
      <w:pPr>
        <w:widowControl w:val="0"/>
        <w:spacing w:after="200" w:line="360" w:lineRule="auto"/>
        <w:rPr>
          <w:b/>
          <w:color w:val="000000"/>
          <w:sz w:val="24"/>
          <w:szCs w:val="24"/>
        </w:rPr>
      </w:pPr>
    </w:p>
    <w:p w:rsidR="009C7D06" w:rsidRPr="00517EB1" w:rsidRDefault="009C7D06" w:rsidP="009C7D06">
      <w:pPr>
        <w:widowControl w:val="0"/>
        <w:spacing w:after="200" w:line="360" w:lineRule="auto"/>
        <w:rPr>
          <w:rFonts w:eastAsia="Calibri"/>
          <w:b/>
          <w:color w:val="000000"/>
          <w:sz w:val="24"/>
          <w:szCs w:val="24"/>
        </w:rPr>
      </w:pPr>
      <w:r w:rsidRPr="00517EB1">
        <w:rPr>
          <w:b/>
          <w:color w:val="000000"/>
          <w:sz w:val="24"/>
          <w:szCs w:val="24"/>
        </w:rPr>
        <w:t>2.2. LO 1/2015, de 30 de marzo sobre la Reforma del Código Penal.</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Esta modificación que entra en vigor el día uno de julio del presente año, es la reforma más profunda efectuada en el Código Penal desde 1995, se modifican 252 artículos y se suprimen otros 32. Modifica también  18 artículos de la Ley de Enjuiciamiento Criminal, un artículo de la Ley del Indulto y otro más de la Ley orgánica del Tribunal del Jurado.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Analizaré la reforma del Código Penal desde la óptica de la Ley de Seguridad Ciudadana y en lo que incide en esta, además de alguno de los aspectos más relevantes.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-En primer lugar se ha llevado a  cabo una modificación del régimen de penas y de su aplicación.</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En cuanto a la libertad condicional, se incluye un nuevo supuesto que será aplicable a los penados que están cumpliendo su primera condena en prisión y condenados a una pena corta de prisión.</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En segundo lugar, la libertad condicional, pasa a ser entendida como una forma de suspensión de la ejecución del  resto de la pena. El tiempo que el penado pase en libertad condicional no va a computar como tiempo de cumplimiento de condena, sino que esta libertad condicional va a determinar la suspensión de la ejecución de la pena durante un periodo de tiempo determinado, y si durante ese tiempo el penado no reincide y cumple las condiciones impuestas, se extinguirá la pena pendiente de cumplimiento. Sin embargo la comisión de un nuevo delito o el incumplimiento de las condiciones impuestas durante ese periodo de libertad condicional, ésta será revocada debiendo el condenado cumplir toda la pena restante.</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Se establece la prisión permanente revisable como un supuesto de libertad provisional o como un supuesto de suspensión de la ejecución de la pena. Esta prisión permanente revisable podrá ser impuesta en supuestos de gravedad excepcional (asesinatos especialmente graves, homicidio del Jefe de Estado o su heredero, Jefe de Estados extranjeros, los supuestos más graves de genocidio  o crímenes de lesa humanidad) en estos casos estará justificada una respuesta extraordinaria, que consistirá en la imposición de una pena de prisión con duración indeterminada, que estará sujeta al régimen de revisión, una vez que el penado haya cumplido íntegramente una parte relevante de la condena, cuya duración va a depender de la naturaleza </w:t>
      </w:r>
      <w:r w:rsidRPr="00517EB1">
        <w:rPr>
          <w:color w:val="000000"/>
          <w:sz w:val="24"/>
          <w:szCs w:val="24"/>
        </w:rPr>
        <w:lastRenderedPageBreak/>
        <w:t>de los delitos que haya cometido, este podrá obtener una libertad condicionada al cumplimiento de determinadas exigencias, (la no comisión de nuevos hechos delictivos).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 Si el Tribunal concede la libertad al penado, fijará  un plazo de suspensión de la ejecución  de la pena, y durante esta suspensión el penado quedará sujeto a unas condiciones. Si se produce el incumplimiento de estas condiciones o la comisión de nuevos delitos durante la suspensión, esto supondrá la revocación de la misma y volverá a ingresar en prisión.</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 A la hora de  revisar  la prisión permanente  se establece un doble régimen. Una vez que se ha cumplido cierta parte de la condena, que puede oscilar entre los 25 y 35 años, el Tribunal tiene que revisar de oficio si la prisión debe  continuar, esto habrá de hacerlo cada dos años, también lo hará a solicitud del penado, si se produce la desestimación de la petición del autor del delito, se podrá fijar un plazo dentro del cual no se atenderán nuevas solicitudes de revisión, en todo caso este plazo no podrá superar el año.</w:t>
      </w:r>
      <w:r w:rsidRPr="00517EB1">
        <w:rPr>
          <w:color w:val="555555"/>
          <w:sz w:val="24"/>
          <w:szCs w:val="24"/>
          <w:highlight w:val="white"/>
        </w:rPr>
        <w:t xml:space="preserve"> </w:t>
      </w:r>
      <w:r w:rsidRPr="00517EB1">
        <w:rPr>
          <w:color w:val="555555"/>
          <w:sz w:val="24"/>
          <w:szCs w:val="24"/>
          <w:highlight w:val="white"/>
          <w:vertAlign w:val="superscript"/>
        </w:rPr>
        <w:footnoteReference w:id="18"/>
      </w:r>
    </w:p>
    <w:p w:rsidR="009C7D06" w:rsidRPr="00517EB1" w:rsidRDefault="009C7D06" w:rsidP="009C7D06">
      <w:pPr>
        <w:widowControl w:val="0"/>
        <w:spacing w:after="200" w:line="360" w:lineRule="auto"/>
        <w:jc w:val="both"/>
        <w:rPr>
          <w:rFonts w:eastAsia="Calibri"/>
          <w:color w:val="000000"/>
          <w:sz w:val="24"/>
          <w:szCs w:val="24"/>
        </w:rPr>
      </w:pPr>
      <w:r w:rsidRPr="00517EB1">
        <w:rPr>
          <w:color w:val="555555"/>
          <w:sz w:val="24"/>
          <w:szCs w:val="24"/>
          <w:highlight w:val="white"/>
        </w:rPr>
        <w:t>-</w:t>
      </w:r>
      <w:r w:rsidRPr="00517EB1">
        <w:rPr>
          <w:color w:val="000000"/>
          <w:sz w:val="24"/>
          <w:szCs w:val="24"/>
          <w:highlight w:val="white"/>
        </w:rPr>
        <w:t xml:space="preserve"> El nuevo Código equipara los antecedentes penales españoles a los antecedentes correspondientes a condenas impuestas por tribunales de </w:t>
      </w:r>
      <w:proofErr w:type="gramStart"/>
      <w:r w:rsidRPr="00517EB1">
        <w:rPr>
          <w:color w:val="000000"/>
          <w:sz w:val="24"/>
          <w:szCs w:val="24"/>
          <w:highlight w:val="white"/>
        </w:rPr>
        <w:t>otros estados</w:t>
      </w:r>
      <w:proofErr w:type="gramEnd"/>
      <w:r w:rsidRPr="00517EB1">
        <w:rPr>
          <w:color w:val="000000"/>
          <w:sz w:val="24"/>
          <w:szCs w:val="24"/>
          <w:highlight w:val="white"/>
        </w:rPr>
        <w:t xml:space="preserve"> miembro de la UE, sobre todo a efectos de agravante por reincidencia y a efectos de revocación o  suspensión de la ejecución de la pena.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555555"/>
          <w:sz w:val="24"/>
          <w:szCs w:val="24"/>
          <w:highlight w:val="white"/>
        </w:rPr>
        <w:t xml:space="preserve">- </w:t>
      </w:r>
      <w:r w:rsidRPr="00517EB1">
        <w:rPr>
          <w:color w:val="000000"/>
          <w:sz w:val="24"/>
          <w:szCs w:val="24"/>
          <w:highlight w:val="white"/>
        </w:rPr>
        <w:t xml:space="preserve"> Se suprimen las faltas que se regulaban en el Libro III del Código, desapareciendo dicho Libro, algunas se incorporan al Libro II reguladas ahora como delitos leves y otras se derivan a la vía administrativa, dentro de la Ley de Seguridad Ciudadana o a la vía civil. </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En la exposición de motivos del proyecto de Código Penal justifican la supresión de faltas para aumentar la eficacia de la justicia penal “descongestionando” la Administración de Justicia, desviando del proceso penal aquellos asuntos de menor enjundia para que sean resueltos en la vía civil o administrativa. Esto supone el endurecimiento del Código sin que en la realidad social exista una necesidad o justificación de esta aseveración. También justifican la reducción del número de faltas atendiendo al principio de intervención mínima del Derecho Penal.</w:t>
      </w:r>
    </w:p>
    <w:p w:rsidR="009C7D06" w:rsidRPr="00517EB1" w:rsidRDefault="009C7D06" w:rsidP="009C7D06">
      <w:pPr>
        <w:widowControl w:val="0"/>
        <w:spacing w:after="200" w:line="360" w:lineRule="auto"/>
        <w:jc w:val="both"/>
        <w:rPr>
          <w:rFonts w:eastAsia="Calibri"/>
          <w:color w:val="000000" w:themeColor="text1"/>
          <w:sz w:val="24"/>
          <w:szCs w:val="24"/>
        </w:rPr>
      </w:pPr>
      <w:r w:rsidRPr="00517EB1">
        <w:rPr>
          <w:color w:val="000000"/>
          <w:sz w:val="24"/>
          <w:szCs w:val="24"/>
          <w:highlight w:val="white"/>
        </w:rPr>
        <w:t xml:space="preserve">En estos supuestos de transformación de faltas en sanciones administrativas o civiles, la principal consecuencia negativa es el incremento de los costes de la defensa, como he </w:t>
      </w:r>
      <w:r w:rsidRPr="00517EB1">
        <w:rPr>
          <w:color w:val="000000"/>
          <w:sz w:val="24"/>
          <w:szCs w:val="24"/>
          <w:highlight w:val="white"/>
        </w:rPr>
        <w:lastRenderedPageBreak/>
        <w:t xml:space="preserve">explicado en epígrafes anteriores, para la defensa en la vía contencioso-administrativa, tras haber agotado la vía administrativa, </w:t>
      </w:r>
      <w:r w:rsidRPr="00517EB1">
        <w:rPr>
          <w:color w:val="000000" w:themeColor="text1"/>
          <w:sz w:val="24"/>
          <w:szCs w:val="24"/>
          <w:highlight w:val="white"/>
        </w:rPr>
        <w:t>será necesario abonar previamente las tasas judiciales correspondientes para así poder impugnar las multas impuestas, habrán de arriesgarse también a tener que pagar las costas correspondientes en el supuesto de no obtener la razón en el juicio.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En cuanto a los delitos leves</w:t>
      </w:r>
      <w:r w:rsidRPr="00517EB1">
        <w:rPr>
          <w:color w:val="000000"/>
          <w:sz w:val="24"/>
          <w:szCs w:val="24"/>
          <w:highlight w:val="white"/>
          <w:vertAlign w:val="superscript"/>
        </w:rPr>
        <w:footnoteReference w:id="19"/>
      </w:r>
      <w:r w:rsidRPr="00517EB1">
        <w:rPr>
          <w:color w:val="000000"/>
          <w:sz w:val="24"/>
          <w:szCs w:val="24"/>
          <w:highlight w:val="white"/>
        </w:rPr>
        <w:t xml:space="preserve"> ahora se sustanciarán por el procedimiento que antes se conocía como juicio de faltas, con ligeras modificaciones, procedimiento contemplado en el Libro VI de la Ley de Enjuiciamiento Criminal. Para estos delitos el plazo de prescripción pasa de seis meses a un año. </w:t>
      </w:r>
      <w:r w:rsidRPr="00517EB1">
        <w:rPr>
          <w:color w:val="000000"/>
          <w:sz w:val="24"/>
          <w:szCs w:val="24"/>
          <w:highlight w:val="white"/>
          <w:vertAlign w:val="superscript"/>
        </w:rPr>
        <w:footnoteReference w:id="20"/>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En general se prevé la imposición de penas de multa, excepto en Violencia de Género, donde se prevén penas de trabajos en beneficio de la comunidad y de localización permanente. Estos delitos leves sólo serán perseguibles a través de denuncia del agraviado excepto en los casos de violencia de género en los que no se exige denuncia previa.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El trasvase de alguna de las faltas se realiza del siguiente modo: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La falta de lesiones de menor gravedad va a ser sancionada ahora  el tipo atenuado del artículo 147.2 CP. La falta de homicidio y lesiones por imprudencia leve se derivan a la vía civil en su modalidad de responsabilidad extracontractual de los artículos 1902 y siguientes del Código Civil. Esto es lo que ocurrirá con la mayoría de los accidentes de tráfico que serán trasladados a la jurisdicción civil. Por tanto sólo serán delito el homicidio y lesiones graves por imprudencia grave, y delito de homicidio y lesiones grave por imprudencia menos grave que pasan a formar parte del catálogo de delitos leves.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 xml:space="preserve">Se suprimen las faltas de abandono, los supuestos graves de abandono a un menor a una persona con discapacidad, podrán subsumirse en el delito de omisión del deber de socorro. </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Las amenazas y coacciones de carácter leve se van a sancionar como un subtipo atenuado de cada uno de los respectivos delitos, perseguibles sólo a instancia de parte.</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 xml:space="preserve">Las injurias leves y las vejaciones desaparecen del ámbito penal y se podrán sustanciar en la </w:t>
      </w:r>
      <w:r w:rsidRPr="00517EB1">
        <w:rPr>
          <w:color w:val="000000"/>
          <w:sz w:val="24"/>
          <w:szCs w:val="24"/>
          <w:highlight w:val="white"/>
        </w:rPr>
        <w:lastRenderedPageBreak/>
        <w:t>vía jurisdiccional civil o en actos de conciliación.</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Las faltas contra el patrimonio se convierten en nuevos tipos atenuados de los correspondientes delitos (hurto por cuantía inferior a 400 euros, sustracción de cosa mueble propia, alteración de lindes con utilidad inferior a 400 euros, apropiación indebida de dinero inferior a 400 euros, defraudación de  luz, gas, agua, etc., por cuantía inferior a 400 euros, etc.).</w:t>
      </w:r>
      <w:r w:rsidRPr="00517EB1">
        <w:rPr>
          <w:color w:val="000000"/>
          <w:sz w:val="24"/>
          <w:szCs w:val="24"/>
          <w:highlight w:val="white"/>
          <w:vertAlign w:val="superscript"/>
        </w:rPr>
        <w:footnoteReference w:id="21"/>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 xml:space="preserve"> -Es necesario también señalar la Disposición final segunda de la Ley Orgánica de reforma del Código Penal, la cual expone que existen conductas  que aunque están tipificadas, no revisten gravedad suficiente para justificar la apertura de un proceso y la imposición de una sanción, es decir se introduce un criterio de oportunidad, que permite a los jueces a petición del Ministerio Fiscal, una vez que se haya valorado la gravedad del hecho y la falta de interés público, sobreseer el procedimiento. Justifican de nuevo esta actuación aludiendo a la necesidad de liberar a los órganos jurisdiccionales de cargas procesales innecesarias.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-Interesa también la nueva definición del concepto de atentado y el de alteración del orden público. Se modifica el anterior artículo 550, exponiendo ahora en su apartado uno que se considera acto de atentado el que se lleve a cabo contra funcionarios de sanidad y educación en el ejercicio de sus funciones. En el ámbito de atentado, ahora  se incluyen como sujetos protegidos los ciudadanos que acuden en auxilio de los agentes de la autoridad, los miembros de los equipos de asistencia y rescate que acuden a prestar auxilio a otro en un accidente o calamidad pública, lo que ocurrirá en estos casos es que se impondrá la misma que correspondería si los hechos se hubieran cometido sobre una autoridad, agente o funcionario.</w:t>
      </w:r>
    </w:p>
    <w:p w:rsidR="009C7D06" w:rsidRPr="00517EB1" w:rsidRDefault="009C7D06" w:rsidP="009C7D06">
      <w:pPr>
        <w:widowControl w:val="0"/>
        <w:spacing w:before="300" w:after="160" w:line="360" w:lineRule="auto"/>
        <w:jc w:val="both"/>
        <w:rPr>
          <w:color w:val="000000"/>
          <w:sz w:val="24"/>
          <w:szCs w:val="24"/>
          <w:highlight w:val="white"/>
        </w:rPr>
      </w:pPr>
      <w:r w:rsidRPr="00517EB1">
        <w:rPr>
          <w:color w:val="000000"/>
          <w:sz w:val="24"/>
          <w:szCs w:val="24"/>
          <w:highlight w:val="white"/>
        </w:rPr>
        <w:t>En cuanto al nuevo concepto  de orden público, redefinen el artículo 557 haciendo referencia al sujeto plural y a la realización de actos de violencia sobre personas y cosas, quedando redactado de la siguiente manera:</w:t>
      </w:r>
    </w:p>
    <w:p w:rsidR="009C7D06" w:rsidRPr="00517EB1" w:rsidRDefault="009C7D06" w:rsidP="009C7D06">
      <w:pPr>
        <w:widowControl w:val="0"/>
        <w:spacing w:before="300" w:after="160" w:line="360" w:lineRule="auto"/>
        <w:jc w:val="both"/>
        <w:rPr>
          <w:rFonts w:eastAsia="Calibri"/>
          <w:color w:val="000000"/>
          <w:sz w:val="24"/>
          <w:szCs w:val="24"/>
        </w:rPr>
      </w:pPr>
      <w:r w:rsidRPr="00517EB1">
        <w:rPr>
          <w:i/>
          <w:color w:val="000000"/>
          <w:sz w:val="24"/>
          <w:szCs w:val="24"/>
          <w:highlight w:val="white"/>
        </w:rPr>
        <w:t xml:space="preserve"> 1. Quienes actuando en grupo o individualmente pero amparados en él, alteraren la paz pública ejecutando actos de violencia sobre las personas o sobre las cosas, o amenazando a otros con llevarlos a cabo, serán castigados con una pena de seis meses a tres años de prisión.</w:t>
      </w:r>
    </w:p>
    <w:p w:rsidR="009C7D06" w:rsidRPr="00517EB1" w:rsidRDefault="009C7D06" w:rsidP="009C7D06">
      <w:pPr>
        <w:widowControl w:val="0"/>
        <w:spacing w:before="160" w:after="160" w:line="360" w:lineRule="auto"/>
        <w:jc w:val="both"/>
        <w:rPr>
          <w:rFonts w:eastAsia="Calibri"/>
          <w:color w:val="000000"/>
          <w:sz w:val="24"/>
          <w:szCs w:val="24"/>
        </w:rPr>
      </w:pPr>
      <w:r w:rsidRPr="00517EB1">
        <w:rPr>
          <w:i/>
          <w:color w:val="000000"/>
          <w:sz w:val="24"/>
          <w:szCs w:val="24"/>
          <w:highlight w:val="white"/>
        </w:rPr>
        <w:lastRenderedPageBreak/>
        <w:t>Estas penas serán impuestas sin perjuicio de las que pudieran corresponder a los actos concretos de violencia o de amenazas que se hubieran llevado a cabo.</w:t>
      </w:r>
    </w:p>
    <w:p w:rsidR="009C7D06" w:rsidRPr="00517EB1" w:rsidRDefault="009C7D06" w:rsidP="009C7D06">
      <w:pPr>
        <w:widowControl w:val="0"/>
        <w:spacing w:before="160" w:after="160" w:line="360" w:lineRule="auto"/>
        <w:jc w:val="both"/>
        <w:rPr>
          <w:rFonts w:eastAsia="Calibri"/>
          <w:color w:val="000000"/>
          <w:sz w:val="24"/>
          <w:szCs w:val="24"/>
        </w:rPr>
      </w:pPr>
      <w:r w:rsidRPr="00517EB1">
        <w:rPr>
          <w:i/>
          <w:color w:val="000000"/>
          <w:sz w:val="24"/>
          <w:szCs w:val="24"/>
          <w:highlight w:val="white"/>
        </w:rPr>
        <w:t>2. Con las mismas penas se castigará a quienes actuaren sobre el grupo o sus individuos incitándoles a realizar las acciones descritas en el apartado anterior o reforzando su disposición a llevarlas a cabo.</w:t>
      </w:r>
    </w:p>
    <w:p w:rsidR="009C7D06" w:rsidRPr="00517EB1" w:rsidRDefault="009C7D06" w:rsidP="009C7D06">
      <w:pPr>
        <w:widowControl w:val="0"/>
        <w:spacing w:before="160" w:after="160" w:line="360" w:lineRule="auto"/>
        <w:jc w:val="both"/>
        <w:rPr>
          <w:rFonts w:eastAsia="Calibri"/>
          <w:color w:val="000000"/>
          <w:sz w:val="24"/>
          <w:szCs w:val="24"/>
        </w:rPr>
      </w:pPr>
      <w:r w:rsidRPr="00517EB1">
        <w:rPr>
          <w:color w:val="000000"/>
          <w:sz w:val="24"/>
          <w:szCs w:val="24"/>
          <w:highlight w:val="white"/>
        </w:rPr>
        <w:t>Se introduce también el artículo 557 bis que hace referencia a circunstancias que agravan la conducta descrita en el artículo anterior, son por ejemplo:</w:t>
      </w:r>
    </w:p>
    <w:p w:rsidR="009C7D06" w:rsidRPr="00517EB1" w:rsidRDefault="009C7D06" w:rsidP="009C7D06">
      <w:pPr>
        <w:widowControl w:val="0"/>
        <w:spacing w:before="160" w:after="160" w:line="360" w:lineRule="auto"/>
        <w:jc w:val="both"/>
        <w:rPr>
          <w:rFonts w:eastAsia="Calibri"/>
          <w:color w:val="000000"/>
          <w:sz w:val="24"/>
          <w:szCs w:val="24"/>
        </w:rPr>
      </w:pPr>
      <w:r w:rsidRPr="00517EB1">
        <w:rPr>
          <w:color w:val="000000"/>
          <w:sz w:val="24"/>
          <w:szCs w:val="24"/>
          <w:highlight w:val="white"/>
        </w:rPr>
        <w:t>Cuando en la comisión del delito se porte un arma, instrumento peligroso o cuando se exhiba un arma de fuego simulada.</w:t>
      </w:r>
    </w:p>
    <w:p w:rsidR="009C7D06" w:rsidRPr="00517EB1" w:rsidRDefault="009C7D06" w:rsidP="009C7D06">
      <w:pPr>
        <w:widowControl w:val="0"/>
        <w:spacing w:before="160" w:after="160" w:line="360" w:lineRule="auto"/>
        <w:jc w:val="both"/>
        <w:rPr>
          <w:rFonts w:eastAsia="Calibri"/>
          <w:color w:val="000000"/>
          <w:sz w:val="24"/>
          <w:szCs w:val="24"/>
        </w:rPr>
      </w:pPr>
      <w:r w:rsidRPr="00517EB1">
        <w:rPr>
          <w:color w:val="000000"/>
          <w:sz w:val="24"/>
          <w:szCs w:val="24"/>
          <w:highlight w:val="white"/>
        </w:rPr>
        <w:t xml:space="preserve"> Cuando los hechos se lleven a cabo en una manifestación o reunión numerosa.</w:t>
      </w:r>
    </w:p>
    <w:p w:rsidR="009C7D06" w:rsidRPr="00517EB1" w:rsidRDefault="009C7D06" w:rsidP="009C7D06">
      <w:pPr>
        <w:widowControl w:val="0"/>
        <w:spacing w:before="160" w:after="160" w:line="360" w:lineRule="auto"/>
        <w:jc w:val="both"/>
        <w:rPr>
          <w:rFonts w:eastAsia="Calibri"/>
          <w:color w:val="000000"/>
          <w:sz w:val="24"/>
          <w:szCs w:val="24"/>
        </w:rPr>
      </w:pPr>
      <w:r w:rsidRPr="00517EB1">
        <w:rPr>
          <w:color w:val="000000"/>
          <w:sz w:val="24"/>
          <w:szCs w:val="24"/>
          <w:highlight w:val="white"/>
        </w:rPr>
        <w:t>Cuando se lleven a cabo con ocultación del rostro y así se dificulte la identificación de sus autores, entre otros.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Resulta relevante también la  modificación del artículo 559 se sanciona expresamente la conducta de aquellas personas  que aunque no participen directamente en los actos de violencia, inciten a otros, o reafirmen  su decisión de  llevarlos a cabo. Se prevé a estos efectos una regla concursal que establece la imposición conjunta de las penas que deriva de la alteración, y las que derivan de los concretos actos de violencia o de causación de daños que se hubieran ejecutado.</w:t>
      </w:r>
      <w:r w:rsidRPr="00517EB1">
        <w:rPr>
          <w:color w:val="000000"/>
          <w:sz w:val="24"/>
          <w:szCs w:val="24"/>
          <w:highlight w:val="white"/>
          <w:vertAlign w:val="superscript"/>
        </w:rPr>
        <w:footnoteReference w:id="22"/>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highlight w:val="white"/>
        </w:rPr>
        <w:t xml:space="preserve"> Se introduce un nuevo tipo penal que corresponde a la difusión de mensajes que inciten a la comisión de alguno de los delitos agravados de alteración del orden público. Es decir, que una persona   que difunda un acto de  manifestación por cualquier red social, como puede ser Facebook o </w:t>
      </w:r>
      <w:proofErr w:type="spellStart"/>
      <w:r w:rsidRPr="00517EB1">
        <w:rPr>
          <w:color w:val="000000"/>
          <w:sz w:val="24"/>
          <w:szCs w:val="24"/>
          <w:highlight w:val="white"/>
        </w:rPr>
        <w:t>Twitter</w:t>
      </w:r>
      <w:proofErr w:type="spellEnd"/>
      <w:r w:rsidRPr="00517EB1">
        <w:rPr>
          <w:color w:val="000000"/>
          <w:sz w:val="24"/>
          <w:szCs w:val="24"/>
          <w:highlight w:val="white"/>
        </w:rPr>
        <w:t>, y en su mensaje incite a cometer un delito de alteración del orden público, o cuando reproduzca  o reenvíe la consigna publicada por otra persona en ese sentido, podrá ser acusado de delito si llega a producirse un altercado en dicha manifestación, independientemente de que la persona que ha difundido el mensaje no acuda al acto de manifestación o no conozca a quien comete el delito actuando en el acto.</w:t>
      </w:r>
    </w:p>
    <w:p w:rsidR="009C7D06" w:rsidRPr="00517EB1" w:rsidRDefault="009C7D06" w:rsidP="009C7D06">
      <w:pPr>
        <w:widowControl w:val="0"/>
        <w:spacing w:after="200" w:line="360" w:lineRule="auto"/>
        <w:jc w:val="both"/>
        <w:rPr>
          <w:rFonts w:eastAsia="Calibri"/>
          <w:color w:val="000000"/>
          <w:sz w:val="24"/>
          <w:szCs w:val="24"/>
        </w:rPr>
      </w:pPr>
    </w:p>
    <w:p w:rsidR="009C7D06" w:rsidRPr="00517EB1" w:rsidRDefault="009C7D06" w:rsidP="009C7D06">
      <w:pPr>
        <w:widowControl w:val="0"/>
        <w:spacing w:after="200" w:line="360" w:lineRule="auto"/>
        <w:rPr>
          <w:rFonts w:eastAsia="Calibri"/>
          <w:b/>
          <w:color w:val="000000"/>
          <w:sz w:val="24"/>
          <w:szCs w:val="24"/>
        </w:rPr>
      </w:pPr>
      <w:r w:rsidRPr="00517EB1">
        <w:rPr>
          <w:b/>
          <w:color w:val="000000"/>
          <w:sz w:val="24"/>
          <w:szCs w:val="24"/>
        </w:rPr>
        <w:lastRenderedPageBreak/>
        <w:t xml:space="preserve">2.3. LO 2/2015 de 30 de marzo sobre la Reforma del Código Penal en materia de delitos de terrorismo. </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 xml:space="preserve">La nueva  Ley de Reforma del Código Penal también modifica el Capítulo VII del título XXII del libro II de la Ley Orgánica 10/1995, de 23 de noviembre, del Código Penal, tal capítulo lleva por título </w:t>
      </w:r>
      <w:r w:rsidRPr="00517EB1">
        <w:rPr>
          <w:i/>
          <w:color w:val="000000"/>
          <w:sz w:val="24"/>
          <w:szCs w:val="24"/>
          <w:highlight w:val="white"/>
        </w:rPr>
        <w:t xml:space="preserve">De las organizaciones y grupos terroristas y de los delitos de terrorismo. </w:t>
      </w:r>
      <w:r w:rsidRPr="00517EB1">
        <w:rPr>
          <w:color w:val="000000"/>
          <w:sz w:val="24"/>
          <w:szCs w:val="24"/>
          <w:highlight w:val="white"/>
        </w:rPr>
        <w:t xml:space="preserve">Con esta modificación se pretende dar cabida a las modalidades de terrorismo que proceden de nuevas amenazas, aparte de regular las conductas terroristas conocidas anteriormente. Concretamente señala la exposición de motivos de la presente Ley que se trata de combatir el terrorismo </w:t>
      </w:r>
      <w:proofErr w:type="spellStart"/>
      <w:r w:rsidRPr="00517EB1">
        <w:rPr>
          <w:color w:val="000000"/>
          <w:sz w:val="24"/>
          <w:szCs w:val="24"/>
          <w:highlight w:val="white"/>
        </w:rPr>
        <w:t>yihadista</w:t>
      </w:r>
      <w:proofErr w:type="spellEnd"/>
      <w:r w:rsidRPr="00517EB1">
        <w:rPr>
          <w:color w:val="000000"/>
          <w:sz w:val="24"/>
          <w:szCs w:val="24"/>
          <w:highlight w:val="white"/>
        </w:rPr>
        <w:t xml:space="preserve"> que ha supuesto tipos nuevos de agresión, como pueden ser los instrumentos de captación o adoctrinamiento en el odio que utilizan para combatir a aquellos colectivos que conciben como enemigos según su ideología extremista.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Este capítulo VII sigue componiéndose de dos secciones. En la primera sección denominada </w:t>
      </w:r>
      <w:r w:rsidRPr="00517EB1">
        <w:rPr>
          <w:i/>
          <w:color w:val="000000"/>
          <w:sz w:val="24"/>
          <w:szCs w:val="24"/>
        </w:rPr>
        <w:t xml:space="preserve">De las organizaciones y grupos terroristas, </w:t>
      </w:r>
      <w:r w:rsidRPr="00517EB1">
        <w:rPr>
          <w:color w:val="000000"/>
          <w:sz w:val="24"/>
          <w:szCs w:val="24"/>
        </w:rPr>
        <w:t>se da una nueva definición de organización terrorista y la pena aplicable por promover, constituir, organizar o dirigir estos grupos o a aquellos que los integren, se podría decir que esta sección sigue manteniendo la misma lógica punitiva que el Código Penal del año 95.</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En la sección segunda que lleva por título </w:t>
      </w:r>
      <w:r w:rsidRPr="00517EB1">
        <w:rPr>
          <w:i/>
          <w:color w:val="000000"/>
          <w:sz w:val="24"/>
          <w:szCs w:val="24"/>
        </w:rPr>
        <w:t>De los delitos de terrorismo</w:t>
      </w:r>
      <w:r w:rsidRPr="00517EB1">
        <w:rPr>
          <w:color w:val="000000"/>
          <w:sz w:val="24"/>
          <w:szCs w:val="24"/>
        </w:rPr>
        <w:t>, se redefine el delito de terrorismo, esta nueva formulación se inspira en</w:t>
      </w:r>
      <w:r w:rsidRPr="00517EB1">
        <w:rPr>
          <w:color w:val="000000"/>
          <w:sz w:val="24"/>
          <w:szCs w:val="24"/>
          <w:highlight w:val="white"/>
        </w:rPr>
        <w:t xml:space="preserve"> la Decisión Marco 2008/919/JAI, de 28 de noviembre de 2008 del Consejo de la Unión Europea. En virtud de este se va a considerar delito de terrorismo la comisión de cualquier delito grave que atente contra la vida o la integridad física, la libertad, etc. siempre que se lleve a cabo con alguna de las finalidades que enuncia el mismo artículo, alguna de estas finalidades son: </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Subvertir el orden constitucional o desestabilizar gravemente el funcionamiento de las instituciones políticas o las estructuras económicas o el funcionamiento de una organización internacional, alterar gravemente la paz pública o provocar un estado de terror.</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Se establece también que a la hora de aplicar la pena, se aplicará la pena de prisión por el tiempo máximo si se ha causado la muerte de alguna persona.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 xml:space="preserve">En el Código se tipifica también el adoctrinamiento y adiestramiento militar o manejo de armas y explosivos con fines terroristas, y se hace mención expresa al adoctrinamiento pasivo, refiriéndose al que se realiza vía internet o por otros medios de comunicación que sean accesibles al público. Para poder ser considerado delito de adoctrinamiento pasivo se </w:t>
      </w:r>
      <w:r w:rsidRPr="00517EB1">
        <w:rPr>
          <w:color w:val="000000"/>
          <w:sz w:val="24"/>
          <w:szCs w:val="24"/>
          <w:highlight w:val="white"/>
        </w:rPr>
        <w:lastRenderedPageBreak/>
        <w:t>requiere cierta habitualidad y finalidad, que no es otra que llegar a colaborar, incorporarse o perseguir los fines de la organización. Se agrava la pena cuando el adoctrinamiento esté dirigido  a menores, personas necesitadas de especial protección o a mujeres víctima de trata.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highlight w:val="white"/>
        </w:rPr>
        <w:t>Se tipifica también el supuesto de los combatientes extranjeros, son aquellos que se desplazan al extranjero para integrarse o colaborar con una organización terrorista.</w:t>
      </w:r>
    </w:p>
    <w:p w:rsidR="009C7D06" w:rsidRPr="00517EB1" w:rsidRDefault="009C7D06" w:rsidP="009C7D06">
      <w:pPr>
        <w:widowControl w:val="0"/>
        <w:spacing w:after="200" w:line="360" w:lineRule="auto"/>
        <w:jc w:val="both"/>
        <w:rPr>
          <w:i/>
          <w:color w:val="000000"/>
          <w:sz w:val="24"/>
          <w:szCs w:val="24"/>
        </w:rPr>
      </w:pPr>
      <w:r w:rsidRPr="00517EB1">
        <w:rPr>
          <w:color w:val="000000"/>
          <w:sz w:val="24"/>
          <w:szCs w:val="24"/>
          <w:highlight w:val="white"/>
        </w:rPr>
        <w:t xml:space="preserve">Por último señalaré que se tipifica también las conductas relacionadas con la financiación del terrorismo, tanto directa como indirectamente. Me resulta excesiva la ambigüedad con la que se redacta dicho artículo que tipifica el delito, ya que se refiere a todo aquel que esté relacionado con la financiación del terrorismo </w:t>
      </w:r>
      <w:r w:rsidRPr="00517EB1">
        <w:rPr>
          <w:i/>
          <w:color w:val="000000"/>
          <w:sz w:val="24"/>
          <w:szCs w:val="24"/>
          <w:highlight w:val="white"/>
        </w:rPr>
        <w:t xml:space="preserve"> incluyendo a quien, por cualquier medio, directa o indirectamente, recabe, adquiera, posea, utilice, convierta, transmita o realice cualquier otra actividad con bienes o valores de cualquier clase con la intención de que se utilicen, o a sabiendas de que serán utilizados, en todo o en parte, para cometer cualquiera de los delitos comprendidos en este Capítulo.</w:t>
      </w:r>
      <w:r w:rsidRPr="00517EB1">
        <w:rPr>
          <w:i/>
          <w:color w:val="000000"/>
          <w:sz w:val="24"/>
          <w:szCs w:val="24"/>
          <w:highlight w:val="white"/>
          <w:vertAlign w:val="superscript"/>
        </w:rPr>
        <w:footnoteReference w:id="23"/>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highlight w:val="white"/>
        </w:rPr>
        <w:t>Como se puede observar, se trata de una redacción vaga y amplia, que no solo se da en los tipos penales referentes a conductas terroristas sino en muchos otros artículos de nueva redacción, lo que deja entrever es una tendencia del derecho penal a extender su radio de acción sobre conductas que son anteriores a la comisión de actos lesivos o que constituyen una concreta puesta en peligro de bienes jurídicos protegidos.</w:t>
      </w:r>
      <w:r w:rsidRPr="00517EB1">
        <w:rPr>
          <w:color w:val="000000"/>
          <w:sz w:val="24"/>
          <w:szCs w:val="24"/>
          <w:highlight w:val="white"/>
          <w:vertAlign w:val="superscript"/>
        </w:rPr>
        <w:footnoteReference w:id="24"/>
      </w:r>
    </w:p>
    <w:p w:rsidR="009C7D06" w:rsidRPr="00517EB1" w:rsidRDefault="009C7D06" w:rsidP="009C7D06">
      <w:pPr>
        <w:widowControl w:val="0"/>
        <w:spacing w:after="200" w:line="360" w:lineRule="auto"/>
        <w:jc w:val="both"/>
        <w:rPr>
          <w:rFonts w:eastAsia="Calibri"/>
          <w:color w:val="000000"/>
          <w:sz w:val="24"/>
          <w:szCs w:val="24"/>
        </w:rPr>
      </w:pPr>
    </w:p>
    <w:p w:rsidR="009C7D06" w:rsidRPr="00517EB1" w:rsidRDefault="009C7D06" w:rsidP="009C7D06">
      <w:pPr>
        <w:widowControl w:val="0"/>
        <w:spacing w:after="200" w:line="360" w:lineRule="auto"/>
        <w:jc w:val="both"/>
        <w:rPr>
          <w:rFonts w:eastAsia="Calibri"/>
          <w:color w:val="000000"/>
          <w:sz w:val="24"/>
          <w:szCs w:val="24"/>
        </w:rPr>
      </w:pPr>
    </w:p>
    <w:p w:rsidR="009C7D06" w:rsidRPr="00517EB1" w:rsidRDefault="009C7D06" w:rsidP="009C7D06">
      <w:pPr>
        <w:widowControl w:val="0"/>
        <w:spacing w:after="200" w:line="360" w:lineRule="auto"/>
        <w:jc w:val="both"/>
        <w:rPr>
          <w:rFonts w:eastAsia="Calibri"/>
          <w:color w:val="000000"/>
          <w:sz w:val="24"/>
          <w:szCs w:val="24"/>
        </w:rPr>
      </w:pPr>
    </w:p>
    <w:p w:rsidR="009C7D06" w:rsidRPr="00517EB1" w:rsidRDefault="009C7D06" w:rsidP="009C7D06">
      <w:pPr>
        <w:widowControl w:val="0"/>
        <w:spacing w:after="200" w:line="360" w:lineRule="auto"/>
        <w:jc w:val="both"/>
        <w:rPr>
          <w:rFonts w:eastAsia="Calibri"/>
          <w:color w:val="000000"/>
          <w:sz w:val="24"/>
          <w:szCs w:val="24"/>
        </w:rPr>
      </w:pPr>
    </w:p>
    <w:p w:rsidR="009C7D06" w:rsidRPr="00517EB1" w:rsidRDefault="009C7D06" w:rsidP="009C7D06">
      <w:pPr>
        <w:widowControl w:val="0"/>
        <w:spacing w:after="200" w:line="360" w:lineRule="auto"/>
        <w:jc w:val="both"/>
        <w:rPr>
          <w:rFonts w:eastAsia="Calibri"/>
          <w:color w:val="000000"/>
          <w:sz w:val="24"/>
          <w:szCs w:val="24"/>
        </w:rPr>
      </w:pPr>
    </w:p>
    <w:p w:rsidR="009C7D06" w:rsidRPr="00517EB1" w:rsidRDefault="009C7D06" w:rsidP="009C7D06">
      <w:pPr>
        <w:widowControl w:val="0"/>
        <w:spacing w:after="200" w:line="360" w:lineRule="auto"/>
        <w:jc w:val="both"/>
        <w:rPr>
          <w:rFonts w:eastAsia="Calibri"/>
          <w:color w:val="000000"/>
          <w:sz w:val="24"/>
          <w:szCs w:val="24"/>
        </w:rPr>
      </w:pPr>
    </w:p>
    <w:p w:rsidR="009C7D06" w:rsidRPr="00517EB1" w:rsidRDefault="009C7D06" w:rsidP="009C7D06">
      <w:pPr>
        <w:widowControl w:val="0"/>
        <w:spacing w:after="200" w:line="360" w:lineRule="auto"/>
        <w:jc w:val="both"/>
        <w:rPr>
          <w:rFonts w:eastAsia="Calibri"/>
          <w:color w:val="000000"/>
          <w:sz w:val="24"/>
          <w:szCs w:val="24"/>
        </w:rPr>
      </w:pPr>
    </w:p>
    <w:p w:rsidR="009C7D06" w:rsidRPr="00517EB1" w:rsidRDefault="009C7D06" w:rsidP="009C7D06">
      <w:pPr>
        <w:widowControl w:val="0"/>
        <w:spacing w:after="200" w:line="360" w:lineRule="auto"/>
        <w:jc w:val="both"/>
        <w:rPr>
          <w:b/>
          <w:color w:val="333333"/>
          <w:sz w:val="24"/>
          <w:szCs w:val="24"/>
        </w:rPr>
      </w:pPr>
      <w:r w:rsidRPr="00517EB1">
        <w:rPr>
          <w:b/>
          <w:color w:val="000000"/>
          <w:sz w:val="24"/>
          <w:szCs w:val="24"/>
          <w:highlight w:val="white"/>
        </w:rPr>
        <w:lastRenderedPageBreak/>
        <w:t xml:space="preserve">CAPÍTULO </w:t>
      </w:r>
      <w:r w:rsidRPr="00517EB1">
        <w:rPr>
          <w:b/>
          <w:color w:val="000000"/>
          <w:sz w:val="24"/>
          <w:szCs w:val="24"/>
        </w:rPr>
        <w:t>3.</w:t>
      </w:r>
    </w:p>
    <w:p w:rsidR="009C7D06" w:rsidRPr="00517EB1" w:rsidRDefault="009C7D06" w:rsidP="009C7D06">
      <w:pPr>
        <w:widowControl w:val="0"/>
        <w:spacing w:after="200" w:line="360" w:lineRule="auto"/>
        <w:jc w:val="both"/>
        <w:rPr>
          <w:b/>
          <w:i/>
          <w:color w:val="FF0000"/>
          <w:sz w:val="24"/>
          <w:szCs w:val="24"/>
        </w:rPr>
      </w:pPr>
      <w:r w:rsidRPr="00517EB1">
        <w:rPr>
          <w:b/>
          <w:color w:val="333333"/>
          <w:sz w:val="24"/>
          <w:szCs w:val="24"/>
        </w:rPr>
        <w:t xml:space="preserve"> </w:t>
      </w:r>
      <w:r w:rsidRPr="00517EB1">
        <w:rPr>
          <w:b/>
          <w:color w:val="000000"/>
          <w:sz w:val="24"/>
          <w:szCs w:val="24"/>
        </w:rPr>
        <w:t>LOS DERECHOS Y LIBERTADES FUNDAMENTALES DE LAS PERSONAS ANTE LA NUEVA LEY DE PROTECCIÓN DE LA SEGURIDAD CIUDADANA</w:t>
      </w:r>
      <w:r w:rsidRPr="00517EB1">
        <w:rPr>
          <w:b/>
          <w:i/>
          <w:color w:val="000000"/>
          <w:sz w:val="24"/>
          <w:szCs w:val="24"/>
        </w:rPr>
        <w:t xml:space="preserve">. </w:t>
      </w:r>
    </w:p>
    <w:p w:rsidR="009C7D06" w:rsidRPr="00517EB1" w:rsidRDefault="009C7D06" w:rsidP="009C7D06">
      <w:pPr>
        <w:widowControl w:val="0"/>
        <w:spacing w:after="200" w:line="360" w:lineRule="auto"/>
        <w:jc w:val="both"/>
        <w:rPr>
          <w:sz w:val="24"/>
          <w:szCs w:val="24"/>
        </w:rPr>
      </w:pPr>
    </w:p>
    <w:p w:rsidR="009C7D06" w:rsidRPr="00517EB1" w:rsidRDefault="009C7D06" w:rsidP="009C7D06">
      <w:pPr>
        <w:widowControl w:val="0"/>
        <w:spacing w:after="200" w:line="360" w:lineRule="auto"/>
        <w:jc w:val="both"/>
        <w:rPr>
          <w:sz w:val="24"/>
          <w:szCs w:val="24"/>
        </w:rPr>
      </w:pPr>
      <w:r w:rsidRPr="00517EB1">
        <w:rPr>
          <w:sz w:val="24"/>
          <w:szCs w:val="24"/>
        </w:rPr>
        <w:t xml:space="preserve">En este tercer capítulo hablaré de los concretos derechos y libertades públicas que se han visto afectados por la citada Ley. En primer lugar trataré la definición de derecho fundamental atendiendo a su concepto y al fundamento,  haré referencia a la evolución de  los derechos fundamentales desde su aparición como tales en la Edad Moderna  hasta que se lleva a cabo su </w:t>
      </w:r>
      <w:proofErr w:type="spellStart"/>
      <w:r w:rsidRPr="00517EB1">
        <w:rPr>
          <w:sz w:val="24"/>
          <w:szCs w:val="24"/>
        </w:rPr>
        <w:t>positivación</w:t>
      </w:r>
      <w:proofErr w:type="spellEnd"/>
      <w:r w:rsidRPr="00517EB1">
        <w:rPr>
          <w:sz w:val="24"/>
          <w:szCs w:val="24"/>
        </w:rPr>
        <w:t xml:space="preserve"> y se plasman en las  constituciones actuales. Trataré también el debate sobre el binomio libertad y seguridad que se presenta como pieza clave respecto a la Ley de Protección de la Seguridad Ciudadana y los derechos y libertades que puede conculcar. Hablaré también del equilibrio necesario entre libertad y seguridad y como se ha visto perturbado en favor de la seguridad durante la última década.</w:t>
      </w:r>
    </w:p>
    <w:p w:rsidR="009C7D06" w:rsidRPr="00517EB1" w:rsidRDefault="009C7D06" w:rsidP="009C7D06">
      <w:pPr>
        <w:widowControl w:val="0"/>
        <w:spacing w:after="200" w:line="360" w:lineRule="auto"/>
        <w:jc w:val="both"/>
        <w:rPr>
          <w:sz w:val="24"/>
          <w:szCs w:val="24"/>
        </w:rPr>
      </w:pPr>
      <w:r w:rsidRPr="00517EB1">
        <w:rPr>
          <w:sz w:val="24"/>
          <w:szCs w:val="24"/>
        </w:rPr>
        <w:t>Por último relataré como están definidos  y protegidos en la Constitución española los derechos y libertades públicas afectadas por la presente Ley como son las libertades de expresión e información y los derechos de reunión y manifestación, que permitirá apreciar como sus contenido esencial se ve afectado por la citada Ley.</w:t>
      </w:r>
    </w:p>
    <w:p w:rsidR="009C7D06" w:rsidRPr="00517EB1" w:rsidRDefault="009C7D06" w:rsidP="009C7D06">
      <w:pPr>
        <w:widowControl w:val="0"/>
        <w:spacing w:after="200" w:line="360" w:lineRule="auto"/>
        <w:jc w:val="both"/>
        <w:rPr>
          <w:sz w:val="24"/>
          <w:szCs w:val="24"/>
        </w:rPr>
      </w:pPr>
    </w:p>
    <w:p w:rsidR="009C7D06" w:rsidRPr="00517EB1" w:rsidRDefault="009C7D06" w:rsidP="009C7D06">
      <w:pPr>
        <w:widowControl w:val="0"/>
        <w:spacing w:after="200" w:line="360" w:lineRule="auto"/>
        <w:jc w:val="both"/>
        <w:rPr>
          <w:b/>
          <w:color w:val="000000"/>
          <w:sz w:val="24"/>
          <w:szCs w:val="24"/>
        </w:rPr>
      </w:pPr>
      <w:r w:rsidRPr="00517EB1">
        <w:rPr>
          <w:b/>
          <w:color w:val="000000"/>
          <w:sz w:val="24"/>
          <w:szCs w:val="24"/>
        </w:rPr>
        <w:t>3.1. La relevancia de los Derechos Fundamentales a partir del constitucionalismo.</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 xml:space="preserve"> Podríamos decir que estamos ante un derecho fundamental cuando el mismo  tenga  un grado de prevalencia sobre el resto por representar unos valores socialmente reconocidos, y cuando se haga notable su condición de derecho subjetivo por ser accionable directamente ante los tribunales y por gozar de una determinada protección. También hay que tener en cuenta que para entenderlos como derechos fundamentales es necesario su </w:t>
      </w:r>
      <w:proofErr w:type="spellStart"/>
      <w:r w:rsidRPr="00517EB1">
        <w:rPr>
          <w:color w:val="000000"/>
          <w:sz w:val="24"/>
          <w:szCs w:val="24"/>
        </w:rPr>
        <w:t>positivación</w:t>
      </w:r>
      <w:proofErr w:type="spellEnd"/>
      <w:r w:rsidRPr="00517EB1">
        <w:rPr>
          <w:color w:val="000000"/>
          <w:sz w:val="24"/>
          <w:szCs w:val="24"/>
        </w:rPr>
        <w:t xml:space="preserve">, es decir, estos derechos en cuestión gozan de la calificación de fundamentales, en parte porque también forman  de la norma jurídica suprema, la Constitución. </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 xml:space="preserve">Además como dice PECES-BARBA, todavía en el Estado Absoluto priman valores como la propiedad y los derechos entendidos como no interferencia, que permite el juego libre de los derechos privados, en esta etapa  se lleva a cabo  la </w:t>
      </w:r>
      <w:proofErr w:type="spellStart"/>
      <w:r w:rsidRPr="00517EB1">
        <w:rPr>
          <w:color w:val="000000"/>
          <w:sz w:val="24"/>
          <w:szCs w:val="24"/>
        </w:rPr>
        <w:t>positivación</w:t>
      </w:r>
      <w:proofErr w:type="spellEnd"/>
      <w:r w:rsidRPr="00517EB1">
        <w:rPr>
          <w:color w:val="000000"/>
          <w:sz w:val="24"/>
          <w:szCs w:val="24"/>
        </w:rPr>
        <w:t xml:space="preserve"> a través de la cual se decide </w:t>
      </w:r>
      <w:r w:rsidRPr="00517EB1">
        <w:rPr>
          <w:color w:val="000000"/>
          <w:sz w:val="24"/>
          <w:szCs w:val="24"/>
        </w:rPr>
        <w:lastRenderedPageBreak/>
        <w:t>lo que es moral</w:t>
      </w:r>
      <w:r w:rsidRPr="00517EB1">
        <w:rPr>
          <w:color w:val="000000"/>
          <w:sz w:val="24"/>
          <w:szCs w:val="24"/>
          <w:vertAlign w:val="superscript"/>
        </w:rPr>
        <w:footnoteReference w:id="25"/>
      </w:r>
      <w:r w:rsidRPr="00517EB1">
        <w:rPr>
          <w:color w:val="000000"/>
          <w:sz w:val="24"/>
          <w:szCs w:val="24"/>
        </w:rPr>
        <w:t>. Pero posteriormente lo que se va a pretender es que esa moralidad sea creada desde la fuerza del Derecho positivo y que no sea recogida simplemente en el Derecho positivo (como venía sucediendo en el reduccionismo racionalista).</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Si atendemos ahora a PRIETO SANCHÍS, se puede observar como habla de los principios como el vehículo de la moralidad, pero no debe entenderse que los principios vayan a  garantizar la conexión del derecho con moral, entendida como la moral correcta, sino que los principios conectan el Derecho con lo que se denomina moral social mayoritaria que es la que va a estar presente en el orden jurídico.</w:t>
      </w:r>
      <w:r w:rsidRPr="00517EB1">
        <w:rPr>
          <w:color w:val="000000"/>
          <w:sz w:val="24"/>
          <w:szCs w:val="24"/>
          <w:vertAlign w:val="superscript"/>
        </w:rPr>
        <w:footnoteReference w:id="26"/>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Para conocer el actual papel que juegan los Derechos fundamentales en las constituciones y en las democracias de hoy día, hay que analizar la forma en que llegaron a plasmarse en ellas y cómo se convierten en verdaderas normas jurídicas.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Al hablar de derechos fundamentales hacemos alusión a una pretensión moral y a su inclusión en el Derecho Positivo. En cuanto a la pretensión moral esta se encuentra justificada y deriva del concepto de dignidad humana, y en cuanto a la inclusión en el derecho positivo, es el paso necesario para que la dignidad humana sea realizable.</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Comenzaré a tratar el tema de la aparición de los  Derechos Fundamentales haciendo referencia a su concepto y al fundamento, como lo hace también Gregorio Peces-Barba, catedrático de Filosofía del Derecho y uno de los padres de nuestra Constitución.</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Plantea el concepto de derechos fundamentales aludiendo a tres criterios: moralidad, </w:t>
      </w:r>
      <w:proofErr w:type="spellStart"/>
      <w:r w:rsidRPr="00517EB1">
        <w:rPr>
          <w:color w:val="000000"/>
          <w:sz w:val="24"/>
          <w:szCs w:val="24"/>
        </w:rPr>
        <w:t>positivación</w:t>
      </w:r>
      <w:proofErr w:type="spellEnd"/>
      <w:r w:rsidRPr="00517EB1">
        <w:rPr>
          <w:color w:val="000000"/>
          <w:sz w:val="24"/>
          <w:szCs w:val="24"/>
        </w:rPr>
        <w:t xml:space="preserve"> y eficacia. Al hablar de derechos fundamentales estamos aludiendo a una pretensión moral justificada que además está incluida en el Derecho positivo, esta recepción de la pretensión moral en el Derecho es la condición necesaria para que pueda ser eficaz  y surtir sus efectos en la realidad.</w:t>
      </w:r>
    </w:p>
    <w:p w:rsidR="00517EB1" w:rsidRPr="00517EB1" w:rsidRDefault="009C7D06" w:rsidP="009C7D06">
      <w:pPr>
        <w:widowControl w:val="0"/>
        <w:spacing w:after="200" w:line="360" w:lineRule="auto"/>
        <w:jc w:val="both"/>
        <w:rPr>
          <w:color w:val="000000"/>
          <w:sz w:val="24"/>
          <w:szCs w:val="24"/>
        </w:rPr>
      </w:pPr>
      <w:r w:rsidRPr="00517EB1">
        <w:rPr>
          <w:color w:val="000000"/>
          <w:sz w:val="24"/>
          <w:szCs w:val="24"/>
        </w:rPr>
        <w:t xml:space="preserve">Este autor identifica su Fundamento  con el “por qué” de los derechos fundamentales y se inclina al ámbito de la pretensión moral justificada; en cuanto al Concepto lo identifica con </w:t>
      </w:r>
      <w:proofErr w:type="spellStart"/>
      <w:r w:rsidRPr="00517EB1">
        <w:rPr>
          <w:color w:val="000000"/>
          <w:sz w:val="24"/>
          <w:szCs w:val="24"/>
        </w:rPr>
        <w:t>el</w:t>
      </w:r>
      <w:proofErr w:type="spellEnd"/>
      <w:r w:rsidRPr="00517EB1">
        <w:rPr>
          <w:color w:val="000000"/>
          <w:sz w:val="24"/>
          <w:szCs w:val="24"/>
        </w:rPr>
        <w:t xml:space="preserve"> “para qué” de los mismos, y se inclina hacia el ámbito de la recepción de la pretensión moral </w:t>
      </w:r>
      <w:r w:rsidRPr="00517EB1">
        <w:rPr>
          <w:color w:val="000000"/>
          <w:sz w:val="24"/>
          <w:szCs w:val="24"/>
        </w:rPr>
        <w:lastRenderedPageBreak/>
        <w:t>en el Derecho positivo.</w:t>
      </w:r>
      <w:r w:rsidRPr="00517EB1">
        <w:rPr>
          <w:color w:val="000000"/>
          <w:sz w:val="24"/>
          <w:szCs w:val="24"/>
          <w:vertAlign w:val="superscript"/>
        </w:rPr>
        <w:footnoteReference w:id="27"/>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Ambos términos deben ser entendidos conjuntamente, la separación de la pretensión moral  de su </w:t>
      </w:r>
      <w:proofErr w:type="spellStart"/>
      <w:r w:rsidRPr="00517EB1">
        <w:rPr>
          <w:color w:val="000000"/>
          <w:sz w:val="24"/>
          <w:szCs w:val="24"/>
        </w:rPr>
        <w:t>positivación</w:t>
      </w:r>
      <w:proofErr w:type="spellEnd"/>
      <w:r w:rsidRPr="00517EB1">
        <w:rPr>
          <w:color w:val="000000"/>
          <w:sz w:val="24"/>
          <w:szCs w:val="24"/>
        </w:rPr>
        <w:t xml:space="preserve"> haría los derechos fundamentales incomprensibles. Por tanto, no tiene lógica hablar del fundamento de un derecho que no pueda ser, o no esté integrado en el Derecho positivo. </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En los Derechos Fundamentales la moral y el derecho van fusionados, y su separación supondría su extinción. Con la creación de los Derechos Fundamentales se integra la fuerza y la justicia desde la óptica individualista y </w:t>
      </w:r>
      <w:proofErr w:type="spellStart"/>
      <w:r w:rsidRPr="00517EB1">
        <w:rPr>
          <w:color w:val="000000"/>
          <w:sz w:val="24"/>
          <w:szCs w:val="24"/>
        </w:rPr>
        <w:t>antropocentrista</w:t>
      </w:r>
      <w:proofErr w:type="spellEnd"/>
      <w:r w:rsidRPr="00517EB1">
        <w:rPr>
          <w:color w:val="000000"/>
          <w:sz w:val="24"/>
          <w:szCs w:val="24"/>
        </w:rPr>
        <w:t xml:space="preserve"> propia del mundo moderno.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Seguidamente, si analizamos el fundamento el “</w:t>
      </w:r>
      <w:proofErr w:type="spellStart"/>
      <w:r w:rsidRPr="00517EB1">
        <w:rPr>
          <w:color w:val="000000"/>
          <w:sz w:val="24"/>
          <w:szCs w:val="24"/>
        </w:rPr>
        <w:t>por que</w:t>
      </w:r>
      <w:proofErr w:type="spellEnd"/>
      <w:r w:rsidRPr="00517EB1">
        <w:rPr>
          <w:color w:val="000000"/>
          <w:sz w:val="24"/>
          <w:szCs w:val="24"/>
        </w:rPr>
        <w:t>”, y el concepto el “para que” de los derechos fundamentales, se pueden distinguir tres características de ellos: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Los derechos fundamentales son una pretensión moral que está justificada, en este caso lo que pretende es garantizar la dignidad de la persona mediante la protección de su independencia y autonomía, así como su libertad e igualdad. Para que se trate de una pretensión moral justificada, es necesario que sus contenidos puedan ser elevados a Ley general, quiere decir que sus contenidos puedan ser aplicados a todos por igual.</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Por otro lado, los derechos fundamentales conforman un subsistema dentro del sistema jurídico, quiere decir que la pretensión moral justificada de la que hablábamos antes  pueda formar parte de una norma, para que así obligue a los destinatarios para que el derecho sea efectivo, o para que así obtenga garantías judiciales, y sobre todo para que la norma atribuye una potestad, un derecho subjetivo o una libertad a sus destinatarios.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Los derechos fundamentales no son solamente un valor moral y una norma, sino que son una realidad social, tienen impacto en la vida social y por ello se ven influidos por factores sociales, económicos o culturales que en ocasiones dificultan su funcionamiento o efectividad.</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Una vez hemos comprendido que el concepto y fundamento de los derechos fundamentales son inseparables, podemos examinar el origen histórico de los derechos fundamentales y como llegan al Derecho positivo, todo ello claro está, a grandes rasgos, puesto que son muchos los factores y peculiaridades que influyen en la formación de la idea de dignidad </w:t>
      </w:r>
      <w:r w:rsidRPr="00517EB1">
        <w:rPr>
          <w:color w:val="000000"/>
          <w:sz w:val="24"/>
          <w:szCs w:val="24"/>
        </w:rPr>
        <w:lastRenderedPageBreak/>
        <w:t>humana como  núcleo inicial que posteriormente dará lugar a los derechos fundamentales, todo esto comienza en la Edad Moderna, que como he dicho, comienza a identificarse como derecho la idea de dignidad humana, libertad o igualdad, anteriormente sí que existían estos conceptos emanados de distintos autores clásicos como Platón</w:t>
      </w:r>
      <w:r w:rsidRPr="00517EB1">
        <w:rPr>
          <w:color w:val="000000"/>
          <w:sz w:val="24"/>
          <w:szCs w:val="24"/>
          <w:vertAlign w:val="superscript"/>
        </w:rPr>
        <w:footnoteReference w:id="28"/>
      </w:r>
      <w:r w:rsidRPr="00517EB1">
        <w:rPr>
          <w:color w:val="000000"/>
          <w:sz w:val="24"/>
          <w:szCs w:val="24"/>
        </w:rPr>
        <w:t xml:space="preserve"> o Aristóteles, pero  no se unificaban en la idea de derechos.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Pretendo ahora abarcar de forma más o menos completa, las características de la sociedad, las razones y el ámbito en el que aparecen los derechos en la Modernidad.</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El paso de la Edad Media  a la Edad Moderna es un proceso lento de evolución social, y en las características de la Modernidad podemos encontrar algunas razones por las cuales aparecen los derechos fundamentales. Podemos comenzar con el papel protagonista del sistema económico y la burguesía, se produce un gran cambio económico-social que es su versión más evolucionada dará lugar al capitalismo, la burguesía adquiere cada vez mayor poder económico lo que fomenta la mentalidad individualista del hombre, es decir, la nueva economía favorece la libre competencia, sin embargo en la Edad Media el gremialismo mantenía a los individuos encerrados en una corporación que no permitía la competencia.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Se produce un cambio político marcado por la aparición del Estado. Las estructuras políticas medievales se presentaban como ineficaces para poder organizar la nueva sociedad mercantilista de la burguesía, era necesario ahora un poder unitario capaz de garantizar el orden y la seguridad que reclama la nueva sociedad, y esta seguridad será seguridad jurídica dada a través del Derecho, que a su vez será ostentado por la figura del Estado que pretende obtener el monopolio en el uso de la fuerza legítima.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En cuanto a la cultura de la Modernidad, también presenta unos rasgos muy característicos que serán los que influyan en todos los ámbitos de la nueva sociedad y los que en gran medida motivan su cambio.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Son cuatro los rasgos de la cultura del momento que destacan para la formación de la filosofía de los Derechos Fundamentales, a saber, la secularización, el naturalismo, el individualismo y el racionalismo, estas van a ser las características de la sociedad liberal más adelante, pero que ya empiezan a  fraguarse entre el siglo XVI y XVII.</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lastRenderedPageBreak/>
        <w:t>En primer lugar se produce una secularización de la sociedad medieval, es decir, cada vez tiene más peso la razón y la idea del hombre en un contexto totalmente terrenal, frente al contexto  de fe y vida espiritual  mantenido por la autoridad de la Iglesia. Se produce una ruptura de la unidad religiosa que repercute en todos los ámbitos de la vida, en la literatura, el arte, la política, nueva ciencia etcétera. El orden medieval que está culminado por Dios ya no puede garantizar seguridad, algo que los derechos fundamentales sí que van a  conseguir progresivamente ya que la seguridad debe ser encontrada en los hombres. En esta nueva sociedad secularizada, la burguesía manifiesta la necesidad de un nuevo orden que este fundamentado en la razón y en la naturaleza del ser humano, esto es el individualismo.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Otro rasgo característico de la época es el naturalismo, que a su vez deriva de la secularización, como su nombre expresa es una vuelta a la naturaleza, frente a la mentalidad trascendental religiosa, el naturalismo se extiende también a todos los ámbitos de la vida. Este interés por la naturaleza se realza con el descubrimiento de nuevas tierras y otras etnias, y también con los avances en las ciencias que pretenden descubrir a través de la razón las leyes que rigen los fenómenos naturales, y se pretende hallar con el mismo método las leyes que rigen la conducta del hombre.</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Al mismo tiempo se desarrolla el racionalismo, al que ya he hecho mención anteriormente, se entiende la razón como instrumento de conocimiento, se utilizará tanto en el ámbito de la naturaleza física como en el ámbito de la vida social. El racionalismo promueve la búsqueda autónoma del ser humano, el individualismo, que plasmado en el ámbito sociopolítico hace surgir la ideología de la burguesía antropocéntrica. El racionalismo va íntimamente unido con la secularización y la ruptura de unidad religiosa, su efecto es que cobra protagonismo la razón en detrimento de la legitimidad de la Iglesia y de Dios. Igualmente resulta muy influyente en esta etapa la filosofía de Platón, con su Derecho justo que es identificado con el Derecho racional y natural que únicamente puede ser desarrollado por la razón. Este racionalismo también favorece el poder de la burguesía que es la que se preocupa por estudiar la naturaleza a través de la razón, ese poder va a estar garantizado por los derechos naturales que derivan del estudio de la naturaleza, constituyendo así reglas jurídicas, lo que llaman Derecho justo.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Por último el individualismo, según muchos teóricos es el factor más determinante de la edad moderna, es la forma de vida del burgués, que pretende ser protagonista de la historia, a diferencia de la sociedad corporativa medieval. El individualismo presenta un interés por el </w:t>
      </w:r>
      <w:r w:rsidRPr="00517EB1">
        <w:rPr>
          <w:color w:val="000000"/>
          <w:sz w:val="24"/>
          <w:szCs w:val="24"/>
        </w:rPr>
        <w:lastRenderedPageBreak/>
        <w:t>ser humano en todos los aspectos. El individualismo también se plasma en esta época porque aumenta la movilidad social, tanto en su sentido horizontal, porque la población cada vez se desplaza más por distintos territorios, como en el sentido vertical, quiere decir que hay circulación o cambios de un nivel social a otro.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Por otro lado, y centrándonos en el derecho de aquella etapa de transición a la modernidad, se produce un cambio, el Derecho moderno cada vez más, va siendo emanado del poder político, aunque se trata de un proceso lento en el que las antiguas normas gremiales y feudales van perdiendo fuerza hasta el siglo XVIII con la Revolución Liberal. Se produce el paso de una sociedad teocéntrica a una sociedad </w:t>
      </w:r>
      <w:proofErr w:type="spellStart"/>
      <w:r w:rsidRPr="00517EB1">
        <w:rPr>
          <w:color w:val="000000"/>
          <w:sz w:val="24"/>
          <w:szCs w:val="24"/>
        </w:rPr>
        <w:t>iuscentrica</w:t>
      </w:r>
      <w:proofErr w:type="spellEnd"/>
      <w:r w:rsidRPr="00517EB1">
        <w:rPr>
          <w:color w:val="000000"/>
          <w:sz w:val="24"/>
          <w:szCs w:val="24"/>
        </w:rPr>
        <w:t>, para ello se utiliza el proceso de formación del Estado moderno y de unificación política.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Me resulta significativo que en esta etapa de agitación, surge la figura y profesión del jurista moderno ante las dificultades técnicas en la formación del aparato jurídico y político, las cuales no podían ser interpretadas por el ciudadano. El jurista va ganando protagonismo y aparece la “nobleza de toga”, integrada por juristas jueces, juristas consejeros reales o funcionarios, que funcionan paralelamente a la nobleza tradicional, será esta nobleza de toga entre otros colectivos los que participen en las revoluciones del siglo XVIII. Otro aspecto a considerar es la evolución del Derecho Constitucional inglés que con la </w:t>
      </w:r>
      <w:proofErr w:type="spellStart"/>
      <w:r w:rsidRPr="00517EB1">
        <w:rPr>
          <w:i/>
          <w:color w:val="000000"/>
          <w:sz w:val="24"/>
          <w:szCs w:val="24"/>
        </w:rPr>
        <w:t>common</w:t>
      </w:r>
      <w:proofErr w:type="spellEnd"/>
      <w:r w:rsidRPr="00517EB1">
        <w:rPr>
          <w:i/>
          <w:color w:val="000000"/>
          <w:sz w:val="24"/>
          <w:szCs w:val="24"/>
        </w:rPr>
        <w:t xml:space="preserve"> </w:t>
      </w:r>
      <w:proofErr w:type="spellStart"/>
      <w:r w:rsidRPr="00517EB1">
        <w:rPr>
          <w:i/>
          <w:color w:val="000000"/>
          <w:sz w:val="24"/>
          <w:szCs w:val="24"/>
        </w:rPr>
        <w:t>law</w:t>
      </w:r>
      <w:proofErr w:type="spellEnd"/>
      <w:r w:rsidRPr="00517EB1">
        <w:rPr>
          <w:i/>
          <w:color w:val="000000"/>
          <w:sz w:val="24"/>
          <w:szCs w:val="24"/>
        </w:rPr>
        <w:t xml:space="preserve"> </w:t>
      </w:r>
      <w:r w:rsidRPr="00517EB1">
        <w:rPr>
          <w:color w:val="000000"/>
          <w:sz w:val="24"/>
          <w:szCs w:val="24"/>
        </w:rPr>
        <w:t>se plasma la idea de la limitación del Poder a través de su separación, por un lado el Parlamento, por otro la prerrogativa del rey y por otro los Tribunales. Esta idea de separación se va a trasladar al continente en los siglos XVII y XVIII a través de las interpretaciones de autores como Montesquieu y Voltaire. Esta evolución de Derecho Constitucional Inglés influirá en la formación del Estado liberal y en la filosofía de consenso sobre los derechos fundamentales.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Volviendo al concepto de nuevo Derecho en la Modernidad, este se caracteriza por distintos rasgos. Se trata de un Derecho Estatal y supone una ordenación racional de la sociedad a través de normas generales, el destinatario de este Derecho será el hombre y el ciudadano, en vez de los destinatarios concretos  propios de la Edad Media. Ahora el Derecho se identifica con la Ley, a diferencia de lo que ocurría en la Edad Media donde se identificaba el Derecho como búsqueda de la justicia para el caso concreto; con esta identificación del nuevo Derecho con la Ley se va allanando el camino para  la codificación y el constitucionalismo. Pluralismo del Derecho de posiciones morales, se evita la imposición por la fuerza de ciertas posiciones y distinción entre Derecho y moral, esto se produce gracias a la secularización. También se comienza a distinguir entre Derecho Público y Derecho Privado, con el auge del Privado </w:t>
      </w:r>
      <w:r w:rsidRPr="00517EB1">
        <w:rPr>
          <w:color w:val="000000"/>
          <w:sz w:val="24"/>
          <w:szCs w:val="24"/>
        </w:rPr>
        <w:lastRenderedPageBreak/>
        <w:t xml:space="preserve">como expresión de la autonomía de la voluntad propia de la burguesía de la época; en este  contexto, los derechos fundamentales en sus inicios se consideraban derecho de los privados, propiedad y libertad, entendido como el disfrute de la independencia del hombre. </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Dentro de este contexto que acabo de exponer, con sus diferentes características, es donde empieza a desarrollarse  el consenso sobre los derechos fundamentales. En primer lugar  encontramos una alianza entre monarquía y burguesía para poner fin al universo medieval, esta alianza se justifica porque la burguesía ha encontrado la seguridad que venía reclamando  en ese poder centralizado. Cuando la burguesía se consolida socialmente, esta trata de ampliar su poder político, para ello se alía con humanistas, la nobleza de toga, científicos etcétera y plantean oposición a la monarquía. Este nuevo frente desconfiaba del Poder absoluto y arbitrario, y en muchas ocasiones por encima de la Ley, por tanto lo que pretenden es crear una filosofía capaz de limitar y regular ese Poder descontrolado. Este consenso entre distintos grupos sociales comienza a construir la base para el constitucionalismo y junto a éste la filosofía de los derechos fundamentales con el Derecho positivo. Elaboran una teoría que trata el origen, los fines del Poder y los límites a su ejercicio, una parte primordial de esta teoría serían los derechos fundamentales.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 La teoría irá evolucionando con el tiempo, pasando por las fases de </w:t>
      </w:r>
      <w:proofErr w:type="spellStart"/>
      <w:r w:rsidRPr="00517EB1">
        <w:rPr>
          <w:color w:val="000000"/>
          <w:sz w:val="24"/>
          <w:szCs w:val="24"/>
        </w:rPr>
        <w:t>positivación</w:t>
      </w:r>
      <w:proofErr w:type="spellEnd"/>
      <w:r w:rsidRPr="00517EB1">
        <w:rPr>
          <w:color w:val="000000"/>
          <w:sz w:val="24"/>
          <w:szCs w:val="24"/>
        </w:rPr>
        <w:t>, generalización, seguidamente internacionalización y por último la especificación, hasta llegar a los derechos tal y como los conocemos hoy.</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Como he analizado anteriormente las revoluciones burguesas del siglo XVIII dieron a luz a los derechos humanos y su integración en la vida política, fueron elemento esencial para la formación del Estado constitucional  y para establecer la </w:t>
      </w:r>
      <w:r w:rsidRPr="00517EB1">
        <w:rPr>
          <w:i/>
          <w:color w:val="000000"/>
          <w:sz w:val="24"/>
          <w:szCs w:val="24"/>
        </w:rPr>
        <w:t>libertad en igualdad</w:t>
      </w:r>
      <w:r w:rsidRPr="00517EB1">
        <w:rPr>
          <w:i/>
          <w:color w:val="000000"/>
          <w:sz w:val="24"/>
          <w:szCs w:val="24"/>
          <w:vertAlign w:val="superscript"/>
        </w:rPr>
        <w:footnoteReference w:id="29"/>
      </w:r>
      <w:r w:rsidRPr="00517EB1">
        <w:rPr>
          <w:i/>
          <w:color w:val="000000"/>
          <w:sz w:val="24"/>
          <w:szCs w:val="24"/>
        </w:rPr>
        <w:t xml:space="preserve">  </w:t>
      </w:r>
      <w:r w:rsidRPr="00517EB1">
        <w:rPr>
          <w:color w:val="000000"/>
          <w:sz w:val="24"/>
          <w:szCs w:val="24"/>
        </w:rPr>
        <w:t>y la protección de esta libertad</w:t>
      </w:r>
      <w:r w:rsidRPr="00517EB1">
        <w:rPr>
          <w:i/>
          <w:color w:val="000000"/>
          <w:sz w:val="24"/>
          <w:szCs w:val="24"/>
        </w:rPr>
        <w:t xml:space="preserve">, </w:t>
      </w:r>
      <w:r w:rsidRPr="00517EB1">
        <w:rPr>
          <w:color w:val="000000"/>
          <w:sz w:val="24"/>
          <w:szCs w:val="24"/>
        </w:rPr>
        <w:t>como especifica el autor ROBERT ALEXY refiriéndose a la Ley Fundamental de Bonn.</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Anteriormente las libertades solo eran reconocidas a los individuos que formaban parte de un estamento, eran un privilegio que se atribuía a determinadas personas. Actualmente las libertades y derechos no dependen de normas o estamento alguno, sino que son inherentes a las personas por el simple hecho de serlo, así se plasma  por ejemplo en la</w:t>
      </w:r>
      <w:r w:rsidRPr="00517EB1">
        <w:rPr>
          <w:i/>
          <w:color w:val="000000"/>
          <w:sz w:val="24"/>
          <w:szCs w:val="24"/>
        </w:rPr>
        <w:t xml:space="preserve"> Declaración de Derechos de Virginia (Virginia Bill of </w:t>
      </w:r>
      <w:proofErr w:type="spellStart"/>
      <w:r w:rsidRPr="00517EB1">
        <w:rPr>
          <w:i/>
          <w:color w:val="000000"/>
          <w:sz w:val="24"/>
          <w:szCs w:val="24"/>
        </w:rPr>
        <w:t>Rights</w:t>
      </w:r>
      <w:proofErr w:type="spellEnd"/>
      <w:r w:rsidRPr="00517EB1">
        <w:rPr>
          <w:color w:val="000000"/>
          <w:sz w:val="24"/>
          <w:szCs w:val="24"/>
        </w:rPr>
        <w:t xml:space="preserve">), debemos tener en cuenta también, que las </w:t>
      </w:r>
      <w:r w:rsidRPr="00517EB1">
        <w:rPr>
          <w:color w:val="000000"/>
          <w:sz w:val="24"/>
          <w:szCs w:val="24"/>
        </w:rPr>
        <w:lastRenderedPageBreak/>
        <w:t xml:space="preserve">declaraciones americanas inician una nueva etapa en la </w:t>
      </w:r>
      <w:proofErr w:type="spellStart"/>
      <w:r w:rsidRPr="00517EB1">
        <w:rPr>
          <w:color w:val="000000"/>
          <w:sz w:val="24"/>
          <w:szCs w:val="24"/>
        </w:rPr>
        <w:t>positivación</w:t>
      </w:r>
      <w:proofErr w:type="spellEnd"/>
      <w:r w:rsidRPr="00517EB1">
        <w:rPr>
          <w:color w:val="000000"/>
          <w:sz w:val="24"/>
          <w:szCs w:val="24"/>
        </w:rPr>
        <w:t xml:space="preserve"> de los derechos fundamentales, en estas declaraciones, según PÉREZ LUÑO, ya no se atribuyen unas prerrogativas a los ciudadanos mediante leyes emanadas del Parlamento, sino que se consagran unos principios que previamente han sido reconocidos por el constituyente, y por tanto deben formar parte del ordenamiento positivo del Estado. Esto se refleja en la estrecha relación que existe entre el constitucionalismo y las declaraciones de derechos modernas.</w:t>
      </w:r>
      <w:r w:rsidRPr="00517EB1">
        <w:rPr>
          <w:color w:val="000000"/>
          <w:sz w:val="24"/>
          <w:szCs w:val="24"/>
          <w:vertAlign w:val="superscript"/>
        </w:rPr>
        <w:footnoteReference w:id="30"/>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  Por tanto, estos derechos y libertades han de ser protegidos para que sean respetados y puedan surtir plenos efectos; como expone  la </w:t>
      </w:r>
      <w:r w:rsidRPr="00517EB1">
        <w:rPr>
          <w:i/>
          <w:color w:val="000000"/>
          <w:sz w:val="24"/>
          <w:szCs w:val="24"/>
        </w:rPr>
        <w:t>Declaración de Derechos del Hombre y el Ciudadano en su artículo 2.</w:t>
      </w:r>
      <w:r w:rsidRPr="00517EB1">
        <w:rPr>
          <w:i/>
          <w:color w:val="000000"/>
          <w:sz w:val="24"/>
          <w:szCs w:val="24"/>
          <w:vertAlign w:val="superscript"/>
        </w:rPr>
        <w:footnoteReference w:id="31"/>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Más adelante, los mismos burgueses que llevaron a  cabo revoluciones que dieron lugar al nacimiento de los Derechos Humanos, se percataron de que su ámbito universal  ponían en peligro sus intereses, esto da lugar a un proceso de vaciamiento de los contenidos de libertad e igualdad.</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Pasamos al constitucionalismo de entreguerras, en la segunda mitad del siglo XX, en esta etapa los derechos humanos plasmados hasta el momento en declaraciones pasan a formar parte de las constituciones como verdaderas normas jurídicas, dejan de ser meros principios y además se establecen sistemas complejos para la reforma de dichas constituciones, lo que las hace más rígidas y se colocan en la cúspide de la pirámide normativa. Este nuevo panorama que sitúa a la constitución en un lugar de superioridad influye en el Estado y en la democracia política.</w:t>
      </w:r>
    </w:p>
    <w:p w:rsidR="009C7D06" w:rsidRPr="00517EB1" w:rsidRDefault="009C7D06" w:rsidP="009C7D06">
      <w:pPr>
        <w:widowControl w:val="0"/>
        <w:spacing w:after="200" w:line="360" w:lineRule="auto"/>
        <w:jc w:val="both"/>
        <w:rPr>
          <w:rFonts w:eastAsia="Calibri"/>
          <w:color w:val="000000"/>
          <w:sz w:val="24"/>
          <w:szCs w:val="24"/>
        </w:rPr>
      </w:pP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La Democracia ya no supone simplemente el respeto a unos procedimientos para legitimar una decisión, podemos observar cómo surge la necesidad de imponer límites a las decisiones legítimas adoptadas por la mayoría, por ejemplo, cuando el nazismo o el fascismo  llegaron al poder de forma democrática y una vez ahí dejaron las riendas a un cabeza de partido que acabó con esa misma democracia. En este momento es cuando surge en la sociedad la idea de elaboración de Constituciones con principios intangibles, como solución para establecer </w:t>
      </w:r>
      <w:r w:rsidRPr="00517EB1">
        <w:rPr>
          <w:color w:val="000000"/>
          <w:sz w:val="24"/>
          <w:szCs w:val="24"/>
        </w:rPr>
        <w:lastRenderedPageBreak/>
        <w:t>límites a ciertas decisiones adoptadas legítimamente.</w:t>
      </w:r>
      <w:r w:rsidRPr="00517EB1">
        <w:rPr>
          <w:color w:val="000000"/>
          <w:sz w:val="24"/>
          <w:szCs w:val="24"/>
          <w:vertAlign w:val="superscript"/>
        </w:rPr>
        <w:footnoteReference w:id="32"/>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Como vemos, se produce un cambio sustancial en la democracia, podríamos decir que los derechos fundamentales y los principios constitucionales juegan un papel limitador al poder legislativo y al Gobierno, ese límite consiste en el propio respeto a estos derechos y principios, aunque como veremos a lo largo de este trabajo, esta idea en ocasiones se queda solamente en el plano teórico, llegando a pasar por encima de estos derechos que se denominan fundamentales.</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También podría ser útil para comprender un poco mejor el lugar que ocupan  los derechos fundamentales en el plano normativo, señalar la doble dimensión</w:t>
      </w:r>
      <w:r w:rsidRPr="00517EB1">
        <w:rPr>
          <w:color w:val="000000"/>
          <w:sz w:val="24"/>
          <w:szCs w:val="24"/>
          <w:vertAlign w:val="superscript"/>
        </w:rPr>
        <w:footnoteReference w:id="33"/>
      </w:r>
      <w:r w:rsidRPr="00517EB1">
        <w:rPr>
          <w:color w:val="000000"/>
          <w:sz w:val="24"/>
          <w:szCs w:val="24"/>
        </w:rPr>
        <w:t xml:space="preserve"> de estos derechos que exponen distintas sentencias del Tribunal </w:t>
      </w:r>
      <w:proofErr w:type="gramStart"/>
      <w:r w:rsidRPr="00517EB1">
        <w:rPr>
          <w:color w:val="000000"/>
          <w:sz w:val="24"/>
          <w:szCs w:val="24"/>
        </w:rPr>
        <w:t xml:space="preserve">Constitucional </w:t>
      </w:r>
      <w:proofErr w:type="gramEnd"/>
      <w:r w:rsidRPr="00517EB1">
        <w:rPr>
          <w:color w:val="000000"/>
          <w:sz w:val="24"/>
          <w:szCs w:val="24"/>
          <w:vertAlign w:val="superscript"/>
        </w:rPr>
        <w:footnoteReference w:id="34"/>
      </w:r>
      <w:r w:rsidRPr="00517EB1">
        <w:rPr>
          <w:color w:val="000000"/>
          <w:sz w:val="24"/>
          <w:szCs w:val="24"/>
        </w:rPr>
        <w:t xml:space="preserve">. </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Por un lado encontramos su condición de derechos subjetivos, ya que los derechos fundamentales otorgan facultades y pretensiones a los sujetos titulares; en cuanto a su condición de valores objetivos del ordenamiento jurídico, en este caso sirven para plasmar condiciones de vida y condiciones para la organización política, como expone el artículo 10.1 de la Constitución española</w:t>
      </w:r>
      <w:r w:rsidRPr="00517EB1">
        <w:rPr>
          <w:color w:val="000000"/>
          <w:sz w:val="24"/>
          <w:szCs w:val="24"/>
          <w:vertAlign w:val="superscript"/>
        </w:rPr>
        <w:footnoteReference w:id="35"/>
      </w:r>
      <w:r w:rsidRPr="00517EB1">
        <w:rPr>
          <w:color w:val="000000"/>
          <w:sz w:val="24"/>
          <w:szCs w:val="24"/>
        </w:rPr>
        <w:t>; cuando los derechos fundamentales actúan como valores objetivos de ahí surge también un deber general de protección de los mismos por parte de los poderes públicos, es lo que se ha conocido como la “fuerza expansiva de los derechos fundamentales”</w:t>
      </w:r>
      <w:r w:rsidRPr="00517EB1">
        <w:rPr>
          <w:color w:val="000000"/>
          <w:sz w:val="24"/>
          <w:szCs w:val="24"/>
          <w:vertAlign w:val="superscript"/>
        </w:rPr>
        <w:footnoteReference w:id="36"/>
      </w:r>
      <w:r w:rsidRPr="00517EB1">
        <w:rPr>
          <w:color w:val="000000"/>
          <w:sz w:val="24"/>
          <w:szCs w:val="24"/>
        </w:rPr>
        <w:t>.</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 Lo que quiere decir es que los derechos fundamentales influyen en todo el ordenamiento jurídico y en la actuación de todos los poderes públicos, estando obligados a realizar actuaciones concretas para que el derecho fundamental en cuestión pueda desarrollarse plenamente, se trata tanto de actuaciones como de  abstenciones por parte de los poderes </w:t>
      </w:r>
      <w:r w:rsidRPr="00517EB1">
        <w:rPr>
          <w:color w:val="000000"/>
          <w:sz w:val="24"/>
          <w:szCs w:val="24"/>
        </w:rPr>
        <w:lastRenderedPageBreak/>
        <w:t>públicos,  en ocasiones se les exigirá abstenerse de llevar a cabo alguna actuación  que obstaculice el ejercicio de  los derechos fundamentales, y en otras ocasiones se les exigirá actuaciones positivas para proteger estos derechos ante determinados comportamientos o situaciones.</w:t>
      </w:r>
    </w:p>
    <w:p w:rsidR="009C7D06" w:rsidRPr="00517EB1" w:rsidRDefault="009C7D06" w:rsidP="009C7D06">
      <w:pPr>
        <w:widowControl w:val="0"/>
        <w:spacing w:after="200" w:line="360" w:lineRule="auto"/>
        <w:jc w:val="both"/>
        <w:rPr>
          <w:b/>
          <w:color w:val="000000"/>
          <w:sz w:val="24"/>
          <w:szCs w:val="24"/>
        </w:rPr>
      </w:pPr>
    </w:p>
    <w:p w:rsidR="009C7D06" w:rsidRPr="00517EB1" w:rsidRDefault="009C7D06" w:rsidP="009C7D06">
      <w:pPr>
        <w:widowControl w:val="0"/>
        <w:spacing w:after="200" w:line="360" w:lineRule="auto"/>
        <w:jc w:val="both"/>
        <w:rPr>
          <w:b/>
          <w:color w:val="000000"/>
          <w:sz w:val="24"/>
          <w:szCs w:val="24"/>
        </w:rPr>
      </w:pPr>
    </w:p>
    <w:p w:rsidR="009C7D06" w:rsidRPr="00517EB1" w:rsidRDefault="009C7D06" w:rsidP="009C7D06">
      <w:pPr>
        <w:widowControl w:val="0"/>
        <w:spacing w:after="200" w:line="360" w:lineRule="auto"/>
        <w:jc w:val="both"/>
        <w:rPr>
          <w:b/>
          <w:color w:val="000000"/>
          <w:sz w:val="24"/>
          <w:szCs w:val="24"/>
        </w:rPr>
      </w:pPr>
      <w:r w:rsidRPr="00517EB1">
        <w:rPr>
          <w:b/>
          <w:color w:val="000000"/>
          <w:sz w:val="24"/>
          <w:szCs w:val="24"/>
        </w:rPr>
        <w:t>3.2. El debate libertad versus seguridad en relación a la LO 4/2015 de 30 de marzo.</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La Constitución consagra el derecho de todos los ciudadanos a la libertad y a la seguridad en su artículo 17. En el antiguo Estado Liberal este derecho se estableció como una barrera ante las arbitrariedades del Estado absoluto, y actualmente en el Estado Social y Democrático de Derecho tiene un sentido diferente aunque el binomio libertad-seguridad supone una pieza esencial.</w:t>
      </w:r>
      <w:r w:rsidRPr="00517EB1">
        <w:rPr>
          <w:color w:val="000000"/>
          <w:sz w:val="24"/>
          <w:szCs w:val="24"/>
          <w:vertAlign w:val="superscript"/>
        </w:rPr>
        <w:footnoteReference w:id="37"/>
      </w:r>
      <w:r w:rsidRPr="00517EB1">
        <w:rPr>
          <w:color w:val="000000"/>
          <w:sz w:val="24"/>
          <w:szCs w:val="24"/>
        </w:rPr>
        <w:t>El Tribunal Constitucional ha declarado en distintas sentencias que el derecho a la libertad personal no protege una libertad de actuación  o autodeterminación general, solamente protege al individuo frente a condena, detención o internamiento llevados a cabo de forma arbitraria.</w:t>
      </w:r>
      <w:r w:rsidRPr="00517EB1">
        <w:rPr>
          <w:color w:val="000000"/>
          <w:sz w:val="24"/>
          <w:szCs w:val="24"/>
          <w:vertAlign w:val="superscript"/>
        </w:rPr>
        <w:t xml:space="preserve"> </w:t>
      </w:r>
      <w:r w:rsidRPr="00517EB1">
        <w:rPr>
          <w:color w:val="000000"/>
          <w:sz w:val="24"/>
          <w:szCs w:val="24"/>
          <w:vertAlign w:val="superscript"/>
        </w:rPr>
        <w:footnoteReference w:id="38"/>
      </w:r>
      <w:r w:rsidRPr="00517EB1">
        <w:rPr>
          <w:color w:val="000000"/>
          <w:sz w:val="24"/>
          <w:szCs w:val="24"/>
        </w:rPr>
        <w:t xml:space="preserve">  También ha expuesto el Tribunal Constitucional que el derecho a la libertad personal implica ausencia de perturbaciones que estén causadas por medidas como la detención y que estén adoptadas de forma arbitraria y que restrinjan o amenacen la libertad de toda persona a organizar su vida individual y social conforme a sus propias convicciones.</w:t>
      </w:r>
      <w:r w:rsidRPr="00517EB1">
        <w:rPr>
          <w:color w:val="000000"/>
          <w:sz w:val="24"/>
          <w:szCs w:val="24"/>
          <w:vertAlign w:val="superscript"/>
        </w:rPr>
        <w:footnoteReference w:id="39"/>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 Sin embargo, la gran transcendencia del derecho fundamental a la libertad  reside en que este derecho es además el presupuesto de otros derechos y libertades fundamentales.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Es conocida la relación conflictiva que siempre ha habido entre la libertad y la seguridad, el equilibrio ideal que debería existir entre libertad y seguridad siempre ha sido inestable. Estos dos valores siempre han sido necesarios en toda sociedad, pero la mayor relevancia de uno acabaría afectando al otro de forma irremediable.</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 xml:space="preserve">En este ámbito, los derechos fundamentales tienen un papel limitador de la necesidad política, es decir, estos derechos hacen de barrera y evitan que toda necesidad política esté justificada, por tanto a continuación trataré de hacer una reflexión del equilibrio entre libertad y seguridad </w:t>
      </w:r>
      <w:r w:rsidRPr="00517EB1">
        <w:rPr>
          <w:color w:val="000000"/>
          <w:sz w:val="24"/>
          <w:szCs w:val="24"/>
        </w:rPr>
        <w:lastRenderedPageBreak/>
        <w:t>desde el papel calibrador que juegan los derechos fundamentales respecto a estos valores.</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Comenzando por la libertad, como expone PECES-BARBA es condición necesaria para que todos los individuos consigan realizar sus objetivos y fines que han creado de forma autónoma, y para que su dignidad humana surta todos sus efectos. La libertad es la pieza clave para fundamentar los derechos humanos, permite el desarrollo de los principios de autonomía, inviolabilidad, dignidad, además el desarrollo de la libertad está relacionado también con la igualdad y la seguridad.</w:t>
      </w:r>
      <w:r w:rsidRPr="00517EB1">
        <w:rPr>
          <w:color w:val="000000"/>
          <w:sz w:val="24"/>
          <w:szCs w:val="24"/>
          <w:vertAlign w:val="superscript"/>
        </w:rPr>
        <w:footnoteReference w:id="40"/>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Por otro lado, la libertad y su desarrollo en la sociedad marcan el tipo de Estado en el que vivimos. Se caracteriza la libertad por la importancia que adquiere para el poder, que la entiende como el objetivo principal del Estado y se generaliza por medio del Derecho.</w:t>
      </w:r>
      <w:r w:rsidRPr="00517EB1">
        <w:rPr>
          <w:color w:val="000000"/>
          <w:sz w:val="24"/>
          <w:szCs w:val="24"/>
          <w:vertAlign w:val="superscript"/>
        </w:rPr>
        <w:footnoteReference w:id="41"/>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También podemos diferenciar dos vertientes de la libertad, por un lado la libertad negativa y por otro la libertad positiva</w:t>
      </w:r>
      <w:r w:rsidRPr="00517EB1">
        <w:rPr>
          <w:color w:val="000000"/>
          <w:sz w:val="24"/>
          <w:szCs w:val="24"/>
          <w:vertAlign w:val="superscript"/>
        </w:rPr>
        <w:footnoteReference w:id="42"/>
      </w:r>
      <w:r w:rsidRPr="00517EB1">
        <w:rPr>
          <w:color w:val="000000"/>
          <w:sz w:val="24"/>
          <w:szCs w:val="24"/>
        </w:rPr>
        <w:t>.La primera, libertad negativa, hace referencia  a la creación de un espacio de libertad para el individuo donde nadie puede entrar, con la libertad negativa se le permite al individuo que tome la decisión de obrar o no obrar, sin ser obligado a nada y sin que se lo impongan otros sujetos. En lo que respecta a la  libertad positiva, es la facultad que tiene el individuo de tomar decisiones libremente, y de que su voluntad sea libre y autónoma.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En cuanto al concepto de seguridad PECES-BARBA lo entiende  como complemento de la libertad, creando un ámbito de certeza, eliminando el miedo y creando un clima de confianza en las relaciones entre seres humanos. Gracias a este ámbito de certeza que crea la seguridad, los individuos pueden tomar decisiones de forma autónoma y libre, por ende su libertad se ve reforzada. En este caso, la seguridad se entiende como un instrumento procedimental, es decir funciona como complemento y como refuerzo del resto de valores materiales, pero no debe entenderse como valor propio ni como derecho fundamental, sino como un valor que informa a todo el ordenamiento jurídico. Pero los Estados deben ser cautelosos en la búsqueda de la seguridad, ya que en la búsqueda pueden confundir fácilmente la obtención de seguridad con conductas como </w:t>
      </w:r>
      <w:r w:rsidRPr="00517EB1">
        <w:rPr>
          <w:rFonts w:eastAsia="Calibri"/>
          <w:color w:val="000000"/>
          <w:sz w:val="24"/>
          <w:szCs w:val="24"/>
        </w:rPr>
        <w:t>s</w:t>
      </w:r>
      <w:r w:rsidRPr="00517EB1">
        <w:rPr>
          <w:color w:val="000000"/>
          <w:sz w:val="24"/>
          <w:szCs w:val="24"/>
        </w:rPr>
        <w:t xml:space="preserve">on el  conformismo, la ausencia de iniciativa o lo que es más grave, la </w:t>
      </w:r>
      <w:r w:rsidRPr="00517EB1">
        <w:rPr>
          <w:color w:val="000000"/>
          <w:sz w:val="24"/>
          <w:szCs w:val="24"/>
        </w:rPr>
        <w:lastRenderedPageBreak/>
        <w:t>ausencia  de libertad.</w:t>
      </w:r>
      <w:r w:rsidRPr="00517EB1">
        <w:rPr>
          <w:color w:val="000000"/>
          <w:sz w:val="24"/>
          <w:szCs w:val="24"/>
          <w:vertAlign w:val="superscript"/>
        </w:rPr>
        <w:footnoteReference w:id="43"/>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Si hablamos de un supuesto de absoluta libertad de los individuos y ausencia total de seguridad, bien se podría regresar al estado de naturaleza del que Hobbes y Locke </w:t>
      </w:r>
      <w:r w:rsidRPr="00517EB1">
        <w:rPr>
          <w:color w:val="000000"/>
          <w:sz w:val="24"/>
          <w:szCs w:val="24"/>
          <w:vertAlign w:val="superscript"/>
        </w:rPr>
        <w:footnoteReference w:id="44"/>
      </w:r>
      <w:r w:rsidRPr="00517EB1">
        <w:rPr>
          <w:color w:val="000000"/>
          <w:sz w:val="24"/>
          <w:szCs w:val="24"/>
        </w:rPr>
        <w:t>hablaban y del cual pretendían librar a la sociedad. Siendo  diferentes las teorías de cada uno, ambos coincidieron en que la sensación de incertidumbre e inseguridad era una de las justificaciones para  la creación del Estado. Ambos autores justifican la restricción a las libertades y derechos para permitir que todos los individuos pudieran disfrutarlos, es decir, el Estado se encargaba de garantizar seguridad para que las personas pudieran disfrutar de la libertad, pero para ambos autores, la seguridad no se contraponía a la libertad o a los derechos de los individuos de la sociedad.</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Es necesario señalar también que el pensamiento liberal entendía al Estado como algo bueno y necesario para la convivencia de todos los individuos de la sociedad, pero a la vez lo entendía la institución como algo malo, en el sentido de que debía estar controlada y limitada, mediante su sometimiento al imperio de la ley con un origen cualificado, emanada de un Parlamento libremente elegido por el pueblo. Esta ley presenta un contenido básico que son los derechos fundamentales, y el Estado debe reconocerlos necesariamente. La función de estos derechos es crear una esfera de libertad, inviolabilidad y autonomía en la que el Estado por regla general no va  a poder interferir. Así surge el Estado de Derecho, con la clara finalidad de poner límites a las prerrogativas del Estado del Antiguo Régimen y también para limitar sus propias competencias, en todo ello es donde se refleja el pretendido equilibrio entre libertad y seguridad.</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El paso del estado de naturaleza al Estado de Derecho supone en un primer lugar que la seguridad sea positiva y objetiva y posteriormente negativa y subjetiva. En el primer caso, la seguridad positiva y objetiva se debe a la intervención del Estado en la sociedad para garantizar las relaciones entre los individuos de la sociedad. Posteriormente cuando ya se ha creado el Estado de Derecho la seguridad pasa a ser negativa y subjetiva, en este caso se entiende como la creación de un estado de certeza y eliminación de lo arbitrario, ahora se obtiene seguridad frente al Estado y al derecho, cuando anteriormente se trataba de una seguridad ofrecida por el Estado. En ambos casos encontramos un denominador común, y es </w:t>
      </w:r>
      <w:r w:rsidRPr="00517EB1">
        <w:rPr>
          <w:color w:val="000000"/>
          <w:sz w:val="24"/>
          <w:szCs w:val="24"/>
        </w:rPr>
        <w:lastRenderedPageBreak/>
        <w:t>que la seguridad siempre a establecerse mediante el Derecho; en el primer caso de la seguridad positiva, el Derecho funciona como instrumento para resolver conflictos que surgen entre los individuos que componen la sociedad, y en el segundo caso la citada seguridad negativa también se obtiene a través del Derecho, pero en este caso incluyéndose en él una serie de normas que limitan y controlan el Poder del Estado.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Hemos hablado de una situación de completa libertad sin ninguna seguridad, ahora hablaremos del supuesto inverso, es decir, una situación de total seguridad pero sin libertad, lo cual conduciría a un Estado totalitario y dictatorial. En este caso para obtener seguridad entendida como un fin con carácter colectivo, se justifica cualquier limitación de los derechos y libertades personales. Son diversas las novelas y películas de ficción  que plasman esta pérdida total de libertad en la búsqueda de seguridad, por mencionar alguna de estas obras encontramos la película de Steven </w:t>
      </w:r>
      <w:proofErr w:type="spellStart"/>
      <w:r w:rsidRPr="00517EB1">
        <w:rPr>
          <w:color w:val="000000"/>
          <w:sz w:val="24"/>
          <w:szCs w:val="24"/>
        </w:rPr>
        <w:t>Spielberg</w:t>
      </w:r>
      <w:proofErr w:type="spellEnd"/>
      <w:r w:rsidRPr="00517EB1">
        <w:rPr>
          <w:color w:val="000000"/>
          <w:sz w:val="24"/>
          <w:szCs w:val="24"/>
        </w:rPr>
        <w:t xml:space="preserve"> </w:t>
      </w:r>
      <w:proofErr w:type="spellStart"/>
      <w:r w:rsidRPr="00517EB1">
        <w:rPr>
          <w:i/>
          <w:color w:val="000000" w:themeColor="text1"/>
          <w:sz w:val="24"/>
          <w:szCs w:val="24"/>
        </w:rPr>
        <w:t>Minority</w:t>
      </w:r>
      <w:proofErr w:type="spellEnd"/>
      <w:r w:rsidRPr="00517EB1">
        <w:rPr>
          <w:i/>
          <w:color w:val="000000" w:themeColor="text1"/>
          <w:sz w:val="24"/>
          <w:szCs w:val="24"/>
        </w:rPr>
        <w:t xml:space="preserve"> </w:t>
      </w:r>
      <w:proofErr w:type="spellStart"/>
      <w:r w:rsidRPr="00517EB1">
        <w:rPr>
          <w:i/>
          <w:color w:val="000000" w:themeColor="text1"/>
          <w:sz w:val="24"/>
          <w:szCs w:val="24"/>
        </w:rPr>
        <w:t>Report</w:t>
      </w:r>
      <w:proofErr w:type="spellEnd"/>
      <w:r w:rsidRPr="00517EB1">
        <w:rPr>
          <w:color w:val="000000" w:themeColor="text1"/>
          <w:sz w:val="24"/>
          <w:szCs w:val="24"/>
        </w:rPr>
        <w:t xml:space="preserve">, </w:t>
      </w:r>
      <w:r w:rsidRPr="00517EB1">
        <w:rPr>
          <w:color w:val="000000"/>
          <w:sz w:val="24"/>
          <w:szCs w:val="24"/>
        </w:rPr>
        <w:t xml:space="preserve">en esta </w:t>
      </w:r>
      <w:proofErr w:type="spellStart"/>
      <w:r w:rsidRPr="00517EB1">
        <w:rPr>
          <w:color w:val="000000"/>
          <w:sz w:val="24"/>
          <w:szCs w:val="24"/>
        </w:rPr>
        <w:t>distopía</w:t>
      </w:r>
      <w:proofErr w:type="spellEnd"/>
      <w:r w:rsidRPr="00517EB1">
        <w:rPr>
          <w:color w:val="000000"/>
          <w:sz w:val="24"/>
          <w:szCs w:val="24"/>
        </w:rPr>
        <w:t xml:space="preserve"> se ve perfectamente cómo la sociedad cede parcelas de libertad con el fin de obtener seguridad, y lo que se pretenden estas obras es denunciar o advertir a los espectadores contra la creación de estos tipos de sociedad que aparecen de forma ficticia en este tipo de largometrajes, en los que generalmente el Estado y el Derecho juegan un papel de opresión de la población que debe ser transformado profundamente o eliminado. En la película referida anteriormente, </w:t>
      </w:r>
      <w:proofErr w:type="spellStart"/>
      <w:r w:rsidRPr="00517EB1">
        <w:rPr>
          <w:i/>
          <w:color w:val="000000"/>
          <w:sz w:val="24"/>
          <w:szCs w:val="24"/>
        </w:rPr>
        <w:t>Minority</w:t>
      </w:r>
      <w:proofErr w:type="spellEnd"/>
      <w:r w:rsidRPr="00517EB1">
        <w:rPr>
          <w:i/>
          <w:color w:val="000000"/>
          <w:sz w:val="24"/>
          <w:szCs w:val="24"/>
        </w:rPr>
        <w:t xml:space="preserve"> </w:t>
      </w:r>
      <w:proofErr w:type="spellStart"/>
      <w:r w:rsidRPr="00517EB1">
        <w:rPr>
          <w:i/>
          <w:color w:val="000000"/>
          <w:sz w:val="24"/>
          <w:szCs w:val="24"/>
        </w:rPr>
        <w:t>Report</w:t>
      </w:r>
      <w:proofErr w:type="spellEnd"/>
      <w:r w:rsidRPr="00517EB1">
        <w:rPr>
          <w:color w:val="000000"/>
          <w:sz w:val="24"/>
          <w:szCs w:val="24"/>
        </w:rPr>
        <w:t xml:space="preserve"> el protagonista aparece huyendo de un delito que aún no ha cometido, desapareciendo así el Derecho Penal del hecho en esta ficción.</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De todo lo anteriormente expuesto se puede deducir que el equilibrio entre seguridad y libertad debe existir siempre, aun siendo este inestable, y el Estado de Derecho se presenta como el instrumento más adecuado para conseguirlo.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Es necesario aludir ahora a la perturbación que ha sufrido este equilibrio entre libertad y seguridad en la última década. La balanza se ha visto claramente inclinada a favor de la seguridad claro está en detrimento de la libertad, y se pueden señalar los atentados del 11 de septiembre de las Torres Gemelas y el Pentágono, o el del 11 de marzo en Madrid han sido principalmente el detonante de las nuevas políticas </w:t>
      </w:r>
      <w:proofErr w:type="spellStart"/>
      <w:r w:rsidRPr="00517EB1">
        <w:rPr>
          <w:color w:val="000000"/>
          <w:sz w:val="24"/>
          <w:szCs w:val="24"/>
        </w:rPr>
        <w:t>securitarias</w:t>
      </w:r>
      <w:proofErr w:type="spellEnd"/>
      <w:r w:rsidRPr="00517EB1">
        <w:rPr>
          <w:color w:val="000000"/>
          <w:sz w:val="24"/>
          <w:szCs w:val="24"/>
        </w:rPr>
        <w:t xml:space="preserve"> que están desarrollando distintos Estados, pero tal preocupación no surgió únicamente con esos sucesos, aunque sí que aceleraron el proceso. Como afirmas distintos teóricos, la seguridad siempre ha sido un punto del día en la política, y ahora está reflejándose dicha preocupación de distintas maneras; las reformas legislativas que se ha llevado a cabo en distintos países para aumentar la seguridad ciudadana, como es el caso de España, o el endurecimiento del Código Penal o también puede </w:t>
      </w:r>
      <w:r w:rsidRPr="00517EB1">
        <w:rPr>
          <w:color w:val="000000"/>
          <w:sz w:val="24"/>
          <w:szCs w:val="24"/>
        </w:rPr>
        <w:lastRenderedPageBreak/>
        <w:t xml:space="preserve">verse reflejada tal obsesión </w:t>
      </w:r>
      <w:proofErr w:type="spellStart"/>
      <w:r w:rsidRPr="00517EB1">
        <w:rPr>
          <w:color w:val="000000"/>
          <w:sz w:val="24"/>
          <w:szCs w:val="24"/>
        </w:rPr>
        <w:t>securitaria</w:t>
      </w:r>
      <w:proofErr w:type="spellEnd"/>
      <w:r w:rsidRPr="00517EB1">
        <w:rPr>
          <w:color w:val="000000"/>
          <w:sz w:val="24"/>
          <w:szCs w:val="24"/>
        </w:rPr>
        <w:t xml:space="preserve"> en las legislaciones antiterrorista o en materia de inmigración. Curiosamente se trata de un patrón que se repite en los estados más desarrollados de nuestro planeta, y que muchos lo identifican como una característica común de la globalización.</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También se habla de una mutación en las funciones del Estado social de Derecho, o Estado de Bienestar, basado en las ideas de protección, seguridad e igualdad en la legalidad democrática. Ahora vemos como el Estado social de Derecho, sin dejar de serlo, modifica alguno de sus componentes al desarrollarse un nuevo modelo económico y social a nivel global. Actualmente el Estado tiende a abrir las economías nacionales, a la modificación de sistemas fiscales, privatización de servicios sociales y al endurecimiento de las políticas </w:t>
      </w:r>
      <w:proofErr w:type="spellStart"/>
      <w:r w:rsidRPr="00517EB1">
        <w:rPr>
          <w:color w:val="000000"/>
          <w:sz w:val="24"/>
          <w:szCs w:val="24"/>
        </w:rPr>
        <w:t>securitarias</w:t>
      </w:r>
      <w:proofErr w:type="spellEnd"/>
      <w:r w:rsidRPr="00517EB1">
        <w:rPr>
          <w:color w:val="000000"/>
          <w:sz w:val="24"/>
          <w:szCs w:val="24"/>
        </w:rPr>
        <w:t xml:space="preserve">. Así se explica el cambio en las funciones del Estado siendo la principal la función </w:t>
      </w:r>
      <w:proofErr w:type="spellStart"/>
      <w:r w:rsidRPr="00517EB1">
        <w:rPr>
          <w:color w:val="000000"/>
          <w:sz w:val="24"/>
          <w:szCs w:val="24"/>
        </w:rPr>
        <w:t>securitaria</w:t>
      </w:r>
      <w:proofErr w:type="spellEnd"/>
      <w:r w:rsidRPr="00517EB1">
        <w:rPr>
          <w:color w:val="000000"/>
          <w:sz w:val="24"/>
          <w:szCs w:val="24"/>
        </w:rPr>
        <w:t xml:space="preserve"> por eso tienden a denominarlo Estado de seguridad.</w:t>
      </w:r>
      <w:r w:rsidRPr="00517EB1">
        <w:rPr>
          <w:color w:val="000000"/>
          <w:sz w:val="24"/>
          <w:szCs w:val="24"/>
          <w:vertAlign w:val="superscript"/>
        </w:rPr>
        <w:footnoteReference w:id="45"/>
      </w:r>
      <w:r w:rsidRPr="00517EB1">
        <w:rPr>
          <w:color w:val="000000"/>
          <w:sz w:val="24"/>
          <w:szCs w:val="24"/>
        </w:rPr>
        <w:t>Esta necesidad de mayor seguridad que justifica la política (o al menos así lo plantean) ante ataques externos o internos, está dando lugar a una disminución de la esfera de libertad de la que gozan los individuos, reduciéndose peligrosamente.</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Centrándonos en los orígenes de la política de seguridad del Estado español, podemos observar que tras los atentados del 11 de marzo</w:t>
      </w:r>
      <w:r w:rsidRPr="00517EB1">
        <w:rPr>
          <w:color w:val="000000"/>
          <w:sz w:val="24"/>
          <w:szCs w:val="24"/>
          <w:vertAlign w:val="superscript"/>
        </w:rPr>
        <w:footnoteReference w:id="46"/>
      </w:r>
      <w:r w:rsidRPr="00517EB1">
        <w:rPr>
          <w:color w:val="000000"/>
          <w:sz w:val="24"/>
          <w:szCs w:val="24"/>
        </w:rPr>
        <w:t>, el Gobierno ya caminaba sobre los pasos de la doctrina de seguridad nacional de los Estados Unidos donde se aboga desde hace tiempo por una agresión preventiva. Esta doctrina de seguridad norteamericana no se ha dispuesto para combatir amenazas militares presentes o futuras, sino que se ha creado para anular cualquier situación política que vaya en contra de los intereses de Estados Unidos en los que entra su influencia geopolítica, el control de los mercados, etc. dando lugar a una política claramente hegemonista, que se ha visto justificada con el siguiente argumento: la salvaguarda de los derechos humanos y de los intereses de la comunidad internacional solo se obtendrá mediante la persecución del interés nacional estadounidense.</w:t>
      </w:r>
      <w:r w:rsidRPr="00517EB1">
        <w:rPr>
          <w:color w:val="000000"/>
          <w:sz w:val="24"/>
          <w:szCs w:val="24"/>
          <w:vertAlign w:val="superscript"/>
        </w:rPr>
        <w:footnoteReference w:id="47"/>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Su política hegemonista se vio reforzada con los sucesos del 11-S, a esta corriente se van </w:t>
      </w:r>
      <w:r w:rsidRPr="00517EB1">
        <w:rPr>
          <w:color w:val="000000"/>
          <w:sz w:val="24"/>
          <w:szCs w:val="24"/>
        </w:rPr>
        <w:lastRenderedPageBreak/>
        <w:t xml:space="preserve">añadiendo un preocupante y amplio grupo de académicos estadounidenses que sustentan tal posición y de los que emana posteriormente un documento con el nombre de </w:t>
      </w:r>
      <w:r w:rsidRPr="00517EB1">
        <w:rPr>
          <w:i/>
          <w:color w:val="000000"/>
          <w:sz w:val="24"/>
          <w:szCs w:val="24"/>
        </w:rPr>
        <w:t>Carta de América</w:t>
      </w:r>
      <w:r w:rsidRPr="00517EB1">
        <w:rPr>
          <w:color w:val="000000"/>
          <w:sz w:val="24"/>
          <w:szCs w:val="24"/>
        </w:rPr>
        <w:t>, en el año 2002, en el que se plasma toda este pensamiento hegemonista. Cabe destacar en dicha Carta la justificación de cualquier tipo de acción político-militar para combatir un amplio abanico de conductas que denominan terrorismo, en el que se puede incluir cualquier actuación “potencialmente peligrosa” que considere la Administración correspondiente, todo ello podría suponer una vuelta al estado de naturaleza  que mencioné anteriormente, caracterizado por la incertidumbre, la inseguridad.</w:t>
      </w:r>
    </w:p>
    <w:p w:rsidR="009C7D06" w:rsidRPr="00517EB1" w:rsidRDefault="009C7D06" w:rsidP="009C7D06">
      <w:pPr>
        <w:widowControl w:val="0"/>
        <w:spacing w:after="200" w:line="360" w:lineRule="auto"/>
        <w:rPr>
          <w:b/>
          <w:color w:val="000000"/>
          <w:sz w:val="24"/>
          <w:szCs w:val="24"/>
        </w:rPr>
      </w:pPr>
    </w:p>
    <w:p w:rsidR="009C7D06" w:rsidRPr="00517EB1" w:rsidRDefault="009C7D06" w:rsidP="009C7D06">
      <w:pPr>
        <w:widowControl w:val="0"/>
        <w:spacing w:after="200" w:line="360" w:lineRule="auto"/>
        <w:rPr>
          <w:b/>
          <w:color w:val="000000"/>
          <w:sz w:val="24"/>
          <w:szCs w:val="24"/>
        </w:rPr>
      </w:pPr>
    </w:p>
    <w:p w:rsidR="009C7D06" w:rsidRPr="00517EB1" w:rsidRDefault="009C7D06" w:rsidP="009C7D06">
      <w:pPr>
        <w:widowControl w:val="0"/>
        <w:spacing w:after="200" w:line="360" w:lineRule="auto"/>
        <w:rPr>
          <w:rFonts w:eastAsia="Calibri"/>
          <w:b/>
          <w:color w:val="000000"/>
          <w:sz w:val="24"/>
          <w:szCs w:val="24"/>
        </w:rPr>
      </w:pPr>
      <w:r w:rsidRPr="00517EB1">
        <w:rPr>
          <w:b/>
          <w:color w:val="000000"/>
          <w:sz w:val="24"/>
          <w:szCs w:val="24"/>
        </w:rPr>
        <w:t>3.3. Derechos y Libertades  públicas afectados por la LO 4/2015 de 30 de marzo sobre Protección de la Seguridad Ciudadana.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Han sido varios los organismos internacionales que han manifestado su disconformidad no sólo respecto  a la presente ley de Protección de la Seguridad Ciudadana, sino también respecto a la reforma del Código Penal sobre todo en materia de terrorismo.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Ciertamente, al analizar el nuevo texto que regula la Seguridad Ciudadana  y si lo contrastamos con lo que dispone la Constitución sobre los derechos  y libertades sobre los que incide la nueva norma, se deduce una vulneración del contenido esencial de estos, como son la libertad de expresión y de información, y el derecho de reunión y de manifestación, principalmente.</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Lo mismo se deduce si analizamos la nueva redacción del Código Penal y lo comparamos con el anterior código del año 1992, queda reflejado el endurecimiento de los preceptos en ciertos casos, y en otros casos se deja entrever una especie de sistema de control sobre orden público para ir regulándolo  a la medida del gobierno según convenga, esto se refleja sobre todo en la ambigüedad con la que han sido redactadas ciertas conductas en las que cabría subsumir una amplia gama de actuaciones, lo que puede dar lugar a una aplicación de los preceptos de forma totalmente desproporcionada.</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 xml:space="preserve">Para comenzar, las libertades públicas, se definen como aquellos derechos fundamentales que corresponden al individuo simplemente por ostentar la condición de miembro de una comunidad política, estos derechos permiten a los ciudadanos participar de forma directa o </w:t>
      </w:r>
      <w:r w:rsidRPr="00517EB1">
        <w:rPr>
          <w:color w:val="000000"/>
          <w:sz w:val="24"/>
          <w:szCs w:val="24"/>
        </w:rPr>
        <w:lastRenderedPageBreak/>
        <w:t>indirecta, en la composición de la voluntad política del Estado, en unos casos exigiendo al Estado abstenciones para que la libertad pueda ser ejercitada, o exigiendo al Estado una regulación moderada que respete el ejercicio de tales libertades. En otros casos los ciudadanos van a exigir una serie de prestaciones por parte de los poderes públicos que permitan ejercitar esas libertades. Históricamente las libertades públicas han estado íntimamente vinculadas con el Estado democrático, por lo que muchas de estas libertades son indispensables para garantizar la participación ciudadana en asuntos públicos, como son por ejemplo la libertad de expresión, de reunión, manifestación, asociación, petición, libertad sindical,  de enseñanza, etcétera.</w:t>
      </w:r>
    </w:p>
    <w:p w:rsidR="009C7D06" w:rsidRPr="00517EB1" w:rsidRDefault="009C7D06" w:rsidP="009C7D06">
      <w:pPr>
        <w:widowControl w:val="0"/>
        <w:spacing w:after="200" w:line="360" w:lineRule="auto"/>
        <w:jc w:val="both"/>
        <w:rPr>
          <w:i/>
          <w:color w:val="000000"/>
          <w:sz w:val="24"/>
          <w:szCs w:val="24"/>
        </w:rPr>
      </w:pPr>
      <w:r w:rsidRPr="00517EB1">
        <w:rPr>
          <w:color w:val="000000"/>
          <w:sz w:val="24"/>
          <w:szCs w:val="24"/>
        </w:rPr>
        <w:t xml:space="preserve">En cuanto al término de Derechos Fundamentales, es un tema controvertido, PECES-BARBA señala que en la misma Constitución se hacen distintas alusiones a derechos, derechos fundamentales o derechos constitucionales, es decir, los derechos fundamentales aparecen como distintas categorías de derechos pero todas parecidas entre sí. En muchas ocasiones el articulado no especifica a qué derechos y deberes se refiere en concreto como ocurre por ejemplo en el artículo 104.1 de la Constitución, en otras ocasiones el articulado sí que hace referencia a la localización de  libertades y derechos como es el caso del artículo 13 cuando se refiere a los extranjeros y dice </w:t>
      </w:r>
      <w:r w:rsidRPr="00517EB1">
        <w:rPr>
          <w:i/>
          <w:color w:val="000000"/>
          <w:sz w:val="24"/>
          <w:szCs w:val="24"/>
        </w:rPr>
        <w:t>“Las libertades públicas que garantiza el presente Título</w:t>
      </w:r>
      <w:r w:rsidRPr="00517EB1">
        <w:rPr>
          <w:i/>
          <w:color w:val="000000"/>
          <w:sz w:val="24"/>
          <w:szCs w:val="24"/>
          <w:vertAlign w:val="superscript"/>
        </w:rPr>
        <w:footnoteReference w:id="48"/>
      </w:r>
      <w:r w:rsidRPr="00517EB1">
        <w:rPr>
          <w:i/>
          <w:color w:val="000000"/>
          <w:sz w:val="24"/>
          <w:szCs w:val="24"/>
        </w:rPr>
        <w:t xml:space="preserve">. </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En este punto considero interesante citar a CRUZ VILLALÓN cuando entiende que los derechos fundamentales son una categoría dogmática dentro del Derecho Constitucional, es decir, considera que donde no haya Constitución no habrá derechos fundamentales, existirán derechos humanos, dignidad de las personas, derechos públicos subjetivos, etc. Pero no los califica como derechos fundamentales. Por tanto, este autor considera derechos fundamentales los que constan en el Capítulo II del Título I de la Constitución.</w:t>
      </w:r>
      <w:r w:rsidRPr="00517EB1">
        <w:rPr>
          <w:color w:val="000000"/>
          <w:sz w:val="24"/>
          <w:szCs w:val="24"/>
          <w:vertAlign w:val="superscript"/>
        </w:rPr>
        <w:footnoteReference w:id="49"/>
      </w:r>
    </w:p>
    <w:p w:rsidR="009C7D06" w:rsidRPr="00517EB1" w:rsidRDefault="009C7D06" w:rsidP="009C7D06">
      <w:pPr>
        <w:widowControl w:val="0"/>
        <w:spacing w:after="200" w:line="360" w:lineRule="auto"/>
        <w:jc w:val="both"/>
        <w:rPr>
          <w:color w:val="000000"/>
          <w:sz w:val="24"/>
          <w:szCs w:val="24"/>
        </w:rPr>
      </w:pPr>
      <w:r w:rsidRPr="00517EB1">
        <w:rPr>
          <w:b/>
          <w:color w:val="000000"/>
          <w:sz w:val="24"/>
          <w:szCs w:val="24"/>
        </w:rPr>
        <w:t>Las libertades de expresión y de información:</w:t>
      </w:r>
      <w:r w:rsidRPr="00517EB1">
        <w:rPr>
          <w:color w:val="000000"/>
          <w:sz w:val="24"/>
          <w:szCs w:val="24"/>
        </w:rPr>
        <w:t xml:space="preserve"> se regulan en el artículo 20 de la Constitución, este precepto recoge una serie de derechos que atañen tanto a la libertad de expresión como la de información. Son por ejemplo, el derecho a expresar y difundir libremente los pensamientos, ideas y opiniones, mediante la palabra, el  escrito u otro medio de reproducción. Derecho a comunicar y a recibir libremente información veraz por cualquier </w:t>
      </w:r>
      <w:r w:rsidRPr="00517EB1">
        <w:rPr>
          <w:color w:val="000000"/>
          <w:sz w:val="24"/>
          <w:szCs w:val="24"/>
        </w:rPr>
        <w:lastRenderedPageBreak/>
        <w:t>medio de difusión, derecho a la libertad de cátedra, etc.</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Según PECES-BARBA se distinguen tres modalidades de libertades que van a fundamentar tres tipos de derechos. Encontramos la libertad como no interferencia, con el fin de que el individuo pueda decidir y actuar libremente. La libertad promocional, establecidas para colmar unas necesidades básicas que dificultan el desarrollo de la libertad como no interferencia. Por último, la libertad de participación, con ella se pretende garantizar la intervención de los ciudadanos en la formación de criterios políticos, contribución en el proceso de producción de normas o contribución al establecimiento de objetivos y valores respecto a la actividad del Estado.</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La libertad entendida como no interferencia, fundamenta los derechos individuales y civiles, como el derecho de pensamiento, expresión, derecho a la vida, etc. La libertad promocional va a fundamentar derechos atendiendo al tipo de necesidades de mantenimiento o de mejora que se vayan a satisfacer, como derechos económicos, sociales y culturales, derechos de la mujer, de los niños, de los minusválidos, etc. En cuanto a la libertad de participación, va a fundamentar derechos políticos como el derecho de participación política, sufragio activo o pasivo, y también fundamenta otros derechos con funciones complementarias como el derecho de asociación política.</w:t>
      </w:r>
      <w:r w:rsidRPr="00517EB1">
        <w:rPr>
          <w:color w:val="000000"/>
          <w:sz w:val="24"/>
          <w:szCs w:val="24"/>
          <w:vertAlign w:val="superscript"/>
        </w:rPr>
        <w:footnoteReference w:id="50"/>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 xml:space="preserve">Por otra parte, PÉREZ LUÑO diferencia tres tipos de derechos que implican distintas libertades, a saber, los Derechos personales relacionados con las libertades que permiten el desarrollo de la personalidad humana, se refiere a un status </w:t>
      </w:r>
      <w:proofErr w:type="spellStart"/>
      <w:r w:rsidRPr="00517EB1">
        <w:rPr>
          <w:color w:val="000000"/>
          <w:sz w:val="24"/>
          <w:szCs w:val="24"/>
        </w:rPr>
        <w:t>libertatis</w:t>
      </w:r>
      <w:proofErr w:type="spellEnd"/>
      <w:r w:rsidRPr="00517EB1">
        <w:rPr>
          <w:color w:val="000000"/>
          <w:sz w:val="24"/>
          <w:szCs w:val="24"/>
        </w:rPr>
        <w:t>, se crea una esfera de autonomía de actuación de los particulares, y esta esfera no puede ser agredida por otros.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Los Derechos civiles, que los identifica con el status </w:t>
      </w:r>
      <w:proofErr w:type="spellStart"/>
      <w:r w:rsidRPr="00517EB1">
        <w:rPr>
          <w:color w:val="000000"/>
          <w:sz w:val="24"/>
          <w:szCs w:val="24"/>
        </w:rPr>
        <w:t>civitatis</w:t>
      </w:r>
      <w:proofErr w:type="spellEnd"/>
      <w:r w:rsidRPr="00517EB1">
        <w:rPr>
          <w:color w:val="000000"/>
          <w:sz w:val="24"/>
          <w:szCs w:val="24"/>
        </w:rPr>
        <w:t xml:space="preserve">, atribuyen al individuo facultades jurídicas respecto a los poderes públicos. Por último identifica los Derechos políticos con el status </w:t>
      </w:r>
      <w:proofErr w:type="spellStart"/>
      <w:r w:rsidRPr="00517EB1">
        <w:rPr>
          <w:color w:val="000000"/>
          <w:sz w:val="24"/>
          <w:szCs w:val="24"/>
        </w:rPr>
        <w:t>activae</w:t>
      </w:r>
      <w:proofErr w:type="spellEnd"/>
      <w:r w:rsidRPr="00517EB1">
        <w:rPr>
          <w:color w:val="000000"/>
          <w:sz w:val="24"/>
          <w:szCs w:val="24"/>
        </w:rPr>
        <w:t xml:space="preserve"> </w:t>
      </w:r>
      <w:proofErr w:type="spellStart"/>
      <w:r w:rsidRPr="00517EB1">
        <w:rPr>
          <w:color w:val="000000"/>
          <w:sz w:val="24"/>
          <w:szCs w:val="24"/>
        </w:rPr>
        <w:t>civitatis</w:t>
      </w:r>
      <w:proofErr w:type="spellEnd"/>
      <w:r w:rsidRPr="00517EB1">
        <w:rPr>
          <w:color w:val="000000"/>
          <w:sz w:val="24"/>
          <w:szCs w:val="24"/>
        </w:rPr>
        <w:t>, que permiten al individuo  intervenir en la formación de la voluntad del Estado.</w:t>
      </w:r>
      <w:r w:rsidRPr="00517EB1">
        <w:rPr>
          <w:color w:val="000000"/>
          <w:sz w:val="24"/>
          <w:szCs w:val="24"/>
          <w:vertAlign w:val="superscript"/>
        </w:rPr>
        <w:footnoteReference w:id="51"/>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 Refiriéndome ahora a la libertad de expresión se presenta unida a la libertad de opinión y de información, pero ambas libertades son derechos fundamentales diferentes entre sí. Establece el Tribunal Constitucional que la libertad de expresión tiene por objeto ideas, opiniones, </w:t>
      </w:r>
      <w:r w:rsidRPr="00517EB1">
        <w:rPr>
          <w:color w:val="000000"/>
          <w:sz w:val="24"/>
          <w:szCs w:val="24"/>
        </w:rPr>
        <w:lastRenderedPageBreak/>
        <w:t>creencias y juicios de valor; la libertad de información tiene por objeto los hechos que son noticiables.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La doctrina del TEDH presenta estas libertades como preferentes, pero su prevalencia no es jerárquica ni absoluta, la preferencia  se establece en función del interés público y de si contribuye a la formación de la opinión pública, atendiendo así mismo  a la naturaleza  del medio de difusión, si es público o privado y a la naturaleza de las  personas que puedan verse afectadas.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Por su parte, el Tribunal Constitucional a través de su extensa jurisprudencia ha establecido distintas características de estas libertades de expresión e información. Enuncia el TC que ambos son derechos fundamentales no absolutos, al igual que sus límites que tampoco lo son, el derecho al honor se presenta como derecho fundamental y como límite a ambas libertades. Establece también que estas libertades del artículo 20 CE tiene dimensión institucional, porque garantizan una opinión pública libre que es condición indispensable para el buen funcionamiento del sistema democrático.</w:t>
      </w:r>
      <w:r w:rsidRPr="00517EB1">
        <w:rPr>
          <w:color w:val="000000"/>
          <w:sz w:val="24"/>
          <w:szCs w:val="24"/>
          <w:vertAlign w:val="superscript"/>
        </w:rPr>
        <w:t xml:space="preserve"> </w:t>
      </w:r>
      <w:r w:rsidRPr="00517EB1">
        <w:rPr>
          <w:color w:val="000000"/>
          <w:sz w:val="24"/>
          <w:szCs w:val="24"/>
          <w:vertAlign w:val="superscript"/>
        </w:rPr>
        <w:footnoteReference w:id="52"/>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Respecto a la libertad de expresión en concreto, como ya he dicho supone un pilar fundamental de la sociedad libre y democrática, y no solo se incluyen las informaciones que se puedan definir como favorables, inofensivas o indiferentes, sino que también se incluyen las informaciones que inquieten al Estado o a parte de la población, así se establece en virtud del pluralismo y la tolerancia propia de una sociedad democrática.</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Respecto a la libertad de información, PÉREZ ROYO la define al igual que el Tribunal Constitucional como un derecho doble, implica el derecho a comunicar y el derecho a recibir información siempre de manera libre en la medida en que la información sea veraz,  estableciendo entonces como objeto de este derecho los hechos que se consideren noticiables.</w:t>
      </w:r>
      <w:r w:rsidRPr="00517EB1">
        <w:rPr>
          <w:color w:val="000000"/>
          <w:sz w:val="24"/>
          <w:szCs w:val="24"/>
          <w:vertAlign w:val="superscript"/>
        </w:rPr>
        <w:footnoteReference w:id="53"/>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 xml:space="preserve"> Esta libertad de información no incluye el derecho a comunicar noticias que no se ajusten a la  realidad, por ende se exige que la información sea veraz, esto no se refiere a que la información sea absolutamente cierta, quiere decir que el comunicador haya actuado diligentemente comprobando razonablemente la veracidad. El TC señala también en su </w:t>
      </w:r>
      <w:r w:rsidRPr="00517EB1">
        <w:rPr>
          <w:color w:val="000000"/>
          <w:sz w:val="24"/>
          <w:szCs w:val="24"/>
        </w:rPr>
        <w:lastRenderedPageBreak/>
        <w:t>doctrina</w:t>
      </w:r>
      <w:r w:rsidRPr="00517EB1">
        <w:rPr>
          <w:color w:val="000000"/>
          <w:sz w:val="24"/>
          <w:szCs w:val="24"/>
          <w:vertAlign w:val="superscript"/>
        </w:rPr>
        <w:footnoteReference w:id="54"/>
      </w:r>
      <w:r w:rsidRPr="00517EB1">
        <w:rPr>
          <w:color w:val="000000"/>
          <w:sz w:val="24"/>
          <w:szCs w:val="24"/>
        </w:rPr>
        <w:t xml:space="preserve"> las características que deben concurrir para que lleve a cabo el correcto ejercicio de la libertad de información, a saber; a) que la información se haya llevado a cabo dentro del ámbito protegido por la Constitución, es decir, si se realiza de acuerdo a la ley o no. b) que el contenido de la información sea de interés público y que contribuya a la formación de la opinión pública. c) Se atenderá a la persona objeto de la información. d) si ha sido difundido por un medio de comunicación social. e) que la información sea veraz.</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Actualmente, se recurre con frecuencia a las nuevas tecnologías como medio para ejercer esta libertad de información, tema al que hace referencia la nueva Ley de Seguridad Ciudadana, por ello, considero relevante señalar a PEREZ LUÑO que en una de sus obras literarias establece que la Red puede suponer un cauce importante para lograr una participación política más auténtica y efectiva en las democracias de hoy día.</w:t>
      </w:r>
      <w:r w:rsidRPr="00517EB1">
        <w:rPr>
          <w:color w:val="000000"/>
          <w:sz w:val="24"/>
          <w:szCs w:val="24"/>
          <w:vertAlign w:val="superscript"/>
        </w:rPr>
        <w:footnoteReference w:id="55"/>
      </w:r>
    </w:p>
    <w:p w:rsidR="009C7D06" w:rsidRPr="00517EB1" w:rsidRDefault="009C7D06" w:rsidP="009C7D06">
      <w:pPr>
        <w:widowControl w:val="0"/>
        <w:spacing w:after="200" w:line="360" w:lineRule="auto"/>
        <w:jc w:val="both"/>
        <w:rPr>
          <w:color w:val="000000"/>
          <w:sz w:val="24"/>
          <w:szCs w:val="24"/>
        </w:rPr>
      </w:pPr>
      <w:r w:rsidRPr="00517EB1">
        <w:rPr>
          <w:b/>
          <w:color w:val="000000"/>
          <w:sz w:val="24"/>
          <w:szCs w:val="24"/>
        </w:rPr>
        <w:t>Derechos de reunión y manifestación:</w:t>
      </w:r>
      <w:r w:rsidRPr="00517EB1">
        <w:rPr>
          <w:color w:val="000000"/>
          <w:sz w:val="24"/>
          <w:szCs w:val="24"/>
        </w:rPr>
        <w:t xml:space="preserve"> estos derechos fueron regulados por primera vez en la Constitución democrática del año 1869, donde se establecía la prohibición de cualquier privación del derecho de los españoles a reunirse pacíficamente, se establece también la sujeción de las reuniones públicas a las disposiciones generales de policía.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Actualmente, aparecen regulados en el artículo 21 de la Constitución española, aunque ambos derechos deben tratarse de forma separada. La primera parte del artículo hace referencia al derecho de reunión pacífica y sin armas, y la segunda parte de este artículo se refiere al derecho de manifestación. Estos derechos se van a regir supletoriamente por la Ley Orgánica del Derecho de Reunión.</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Respecto al derecho de reunión, el TC lo concibe como un derecho individual en cuanto a titularidad y colectivo en cuanto a su ejercicio</w:t>
      </w:r>
      <w:r w:rsidRPr="00517EB1">
        <w:rPr>
          <w:color w:val="000000"/>
          <w:sz w:val="24"/>
          <w:szCs w:val="24"/>
          <w:vertAlign w:val="superscript"/>
        </w:rPr>
        <w:footnoteReference w:id="56"/>
      </w:r>
      <w:r w:rsidRPr="00517EB1">
        <w:rPr>
          <w:color w:val="000000"/>
          <w:sz w:val="24"/>
          <w:szCs w:val="24"/>
        </w:rPr>
        <w:t>. Se plantea con carácter fundamental puesto que es un cauce para el principio democrático participativo en el Estado Social y Democrático de Derecho.</w:t>
      </w:r>
      <w:r w:rsidRPr="00517EB1">
        <w:rPr>
          <w:color w:val="000000"/>
          <w:sz w:val="24"/>
          <w:szCs w:val="24"/>
          <w:vertAlign w:val="superscript"/>
        </w:rPr>
        <w:footnoteReference w:id="57"/>
      </w:r>
    </w:p>
    <w:p w:rsidR="00517EB1" w:rsidRPr="00517EB1" w:rsidRDefault="00517EB1" w:rsidP="009C7D06">
      <w:pPr>
        <w:widowControl w:val="0"/>
        <w:spacing w:after="200" w:line="360" w:lineRule="auto"/>
        <w:jc w:val="both"/>
        <w:rPr>
          <w:color w:val="000000"/>
          <w:sz w:val="24"/>
          <w:szCs w:val="24"/>
        </w:rPr>
      </w:pPr>
    </w:p>
    <w:p w:rsidR="00517EB1" w:rsidRPr="00517EB1" w:rsidRDefault="00517EB1" w:rsidP="009C7D06">
      <w:pPr>
        <w:widowControl w:val="0"/>
        <w:spacing w:after="200" w:line="360" w:lineRule="auto"/>
        <w:jc w:val="both"/>
        <w:rPr>
          <w:color w:val="000000"/>
          <w:sz w:val="24"/>
          <w:szCs w:val="24"/>
        </w:rPr>
      </w:pPr>
    </w:p>
    <w:p w:rsidR="009C7D06" w:rsidRPr="00517EB1" w:rsidRDefault="009C7D06" w:rsidP="009C7D06">
      <w:pPr>
        <w:widowControl w:val="0"/>
        <w:spacing w:after="200" w:line="360" w:lineRule="auto"/>
        <w:jc w:val="both"/>
        <w:rPr>
          <w:color w:val="000000" w:themeColor="text1"/>
          <w:sz w:val="24"/>
          <w:szCs w:val="24"/>
        </w:rPr>
      </w:pPr>
      <w:r w:rsidRPr="00517EB1">
        <w:rPr>
          <w:color w:val="000000"/>
          <w:sz w:val="24"/>
          <w:szCs w:val="24"/>
        </w:rPr>
        <w:t>Atendiendo de nuevo a  PÉREZ ROYO define el derecho de reunión como derecho público subjetivo y de carácter individual y de ejercicio concertado, la Constitución establece el número mínimo de veinte personas para que la congregación de personas pueda ser considerada reunión, aunque señala este autor que el legislador podría haber establecido otro mínimo distinto, o ni si quiera fijar un mínimo para el ejercicio del derecho de reunión, siempre que concurriese el contenido esencial de este derecho a la hora de ejercerlo.</w:t>
      </w:r>
      <w:r w:rsidRPr="00517EB1">
        <w:rPr>
          <w:color w:val="000000"/>
          <w:sz w:val="24"/>
          <w:szCs w:val="24"/>
          <w:vertAlign w:val="superscript"/>
        </w:rPr>
        <w:footnoteReference w:id="58"/>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themeColor="text1"/>
          <w:sz w:val="24"/>
          <w:szCs w:val="24"/>
        </w:rPr>
        <w:t>Se puede definir el derecho de reunión atendiendo a una serie de elementos que establece la doctrina</w:t>
      </w:r>
      <w:r w:rsidRPr="00517EB1">
        <w:rPr>
          <w:color w:val="000000" w:themeColor="text1"/>
          <w:sz w:val="24"/>
          <w:szCs w:val="24"/>
          <w:vertAlign w:val="superscript"/>
        </w:rPr>
        <w:footnoteReference w:id="59"/>
      </w:r>
      <w:r w:rsidRPr="00517EB1">
        <w:rPr>
          <w:color w:val="000000" w:themeColor="text1"/>
          <w:sz w:val="24"/>
          <w:szCs w:val="24"/>
        </w:rPr>
        <w:t xml:space="preserve"> del TC: a) elemento subjetivo, ya que debe tratarse de una agrupación voluntaria de personas entre las que existe cierta vinculación. b) elemento temporal, porque tiene una </w:t>
      </w:r>
      <w:r w:rsidRPr="00517EB1">
        <w:rPr>
          <w:color w:val="000000"/>
          <w:sz w:val="24"/>
          <w:szCs w:val="24"/>
        </w:rPr>
        <w:t xml:space="preserve">duración transitoria. c) elemento medial, porque debe ser una reunión pacífica. d) elemento </w:t>
      </w:r>
      <w:proofErr w:type="spellStart"/>
      <w:r w:rsidRPr="00517EB1">
        <w:rPr>
          <w:color w:val="000000"/>
          <w:sz w:val="24"/>
          <w:szCs w:val="24"/>
        </w:rPr>
        <w:t>finalístico</w:t>
      </w:r>
      <w:proofErr w:type="spellEnd"/>
      <w:r w:rsidRPr="00517EB1">
        <w:rPr>
          <w:color w:val="000000"/>
          <w:sz w:val="24"/>
          <w:szCs w:val="24"/>
        </w:rPr>
        <w:t>, se refiere a que la finalidad de la reunión debe ser lícita, para que el ejercicio de este derecho esté legitimado. e) elemento objetivo o real, se refiere al espacio urbano como lugar de celebración, ya que este se entiende también como lugar de participación además de circulación, con la elección del lugar se pretende que la reunión obtenga  la máxima repercusión pública.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En cuanto a los límites del derecho de reunión son la alteración del orden público con peligro para las personas y bienes, como establece el art. 21.2CE, y por otro lado está limitado también por el respeto al ejercicio de los derechos de los demás como señala el art.10 CE, así como el respeto a otros bienes y derechos protegidos constitucionalmente.</w:t>
      </w:r>
      <w:r w:rsidRPr="00517EB1">
        <w:rPr>
          <w:color w:val="000000"/>
          <w:sz w:val="24"/>
          <w:szCs w:val="24"/>
          <w:vertAlign w:val="superscript"/>
        </w:rPr>
        <w:footnoteReference w:id="60"/>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El TC ha declarado que la alteración del orden público debe de tratarse de una situación de hecho, debe interpretarse como el orden en sentido material en lugares públicos, y no debe entenderse como orden en el sentido de respeto a los principios y valores </w:t>
      </w:r>
      <w:proofErr w:type="spellStart"/>
      <w:r w:rsidRPr="00517EB1">
        <w:rPr>
          <w:color w:val="000000"/>
          <w:sz w:val="24"/>
          <w:szCs w:val="24"/>
        </w:rPr>
        <w:t>metajurídicos</w:t>
      </w:r>
      <w:proofErr w:type="spellEnd"/>
      <w:r w:rsidRPr="00517EB1">
        <w:rPr>
          <w:color w:val="000000"/>
          <w:sz w:val="24"/>
          <w:szCs w:val="24"/>
        </w:rPr>
        <w:t>. El objetivo de esta doctrina es evitar que el ejercicio del derecho de reunión quede sometido a  controles de oportunidad política.</w:t>
      </w:r>
      <w:r w:rsidRPr="00517EB1">
        <w:rPr>
          <w:color w:val="000000"/>
          <w:sz w:val="24"/>
          <w:szCs w:val="24"/>
          <w:vertAlign w:val="superscript"/>
        </w:rPr>
        <w:footnoteReference w:id="61"/>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Hay que resaltar, que la celebración de reuniones en vías públicas suele producir restricciones en el tránsito de las personas, pero no cualquier corte de tráfico u ocupación de la vía pública </w:t>
      </w:r>
      <w:r w:rsidRPr="00517EB1">
        <w:rPr>
          <w:color w:val="000000"/>
          <w:sz w:val="24"/>
          <w:szCs w:val="24"/>
        </w:rPr>
        <w:lastRenderedPageBreak/>
        <w:t>puede entenderse como alteración del orden público. Por tanto no se puede prohibir reuniones alegando la existencia de conflictividad circulatoria en general, para poder limitar el derecho de reunión la autoridad tendrá que ponderar las circunstancias de cada caso concreto para determinar si verdaderamente se pueden producir colapso en la circulación o imposibilidad de acceder a determinadas zonas en caso por ejemplo de prestación de servicios como ambulancias o bomberos.</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El régimen jurídico aplicable a las reuniones en lugares de tránsito público será el mismo que se aplique a las manifestaciones, en ambos casos será necesario comunicar previamente la realización de tal actividad a las autoridades gubernativas, pero este deber de comunicación no debe entenderse como una solicitud o un permiso, debe entenderse como una declaración de conocimiento para que la autoridad administrativa adopte las medidas oportunas para hacer posible el ejercicio del derecho de reunión o manifestación a la vez que protege los derechos y bienes de terceros, esto es así porque el ejercicio de este derecho fundamental se impone por su eficacia directa e inmediata.</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Las reuniones en lugares públicos y manifestaciones únicamente se podrán prohibir cuando existan razones fundadas sobre la alteración del orden público poniendo en peligro a personas y bienes, para establecer la prohibición deberán aplicarse necesariamente criterios de proporcionalidad, y una motivación suficiente para público conocimiento de los interesados para que posteriormente estos puedan defender sus derechos</w:t>
      </w:r>
      <w:r w:rsidRPr="00517EB1">
        <w:rPr>
          <w:color w:val="000000"/>
          <w:sz w:val="24"/>
          <w:szCs w:val="24"/>
          <w:vertAlign w:val="superscript"/>
        </w:rPr>
        <w:footnoteReference w:id="62"/>
      </w:r>
      <w:r w:rsidRPr="00517EB1">
        <w:rPr>
          <w:color w:val="000000"/>
          <w:sz w:val="24"/>
          <w:szCs w:val="24"/>
        </w:rPr>
        <w:t>. No bastará por tanto la mera sospecha de que la reunión pueda producir alteraciones, sino que se requieren datos objetivos derivados de circunstancias de hecho a partir de los cuales cualquier persona pueda llegar a la conclusión a través de un proceso lógico de que tal concentración producirá con certeza tal  desorden público.</w:t>
      </w:r>
    </w:p>
    <w:p w:rsidR="009C7D06" w:rsidRPr="00517EB1" w:rsidRDefault="009C7D06" w:rsidP="009C7D06">
      <w:pPr>
        <w:widowControl w:val="0"/>
        <w:spacing w:after="200" w:line="360" w:lineRule="auto"/>
        <w:jc w:val="both"/>
        <w:rPr>
          <w:rFonts w:eastAsia="Calibri"/>
          <w:color w:val="000000"/>
          <w:sz w:val="24"/>
          <w:szCs w:val="24"/>
        </w:rPr>
      </w:pPr>
      <w:r w:rsidRPr="00517EB1">
        <w:rPr>
          <w:color w:val="000000"/>
          <w:sz w:val="24"/>
          <w:szCs w:val="24"/>
        </w:rPr>
        <w:t xml:space="preserve">En cuanto al derecho de manifestación se puede definir como el acto en el que un grupo de personas utilizan la vía pública para a través de su presencia, gestos o gritos  expresar su opinión. La Constitución no establece ninguna distinción entre las manifestaciones y las reuniones en lugares de tránsito público, recogidas en el artículo 21.2, por tanto lo referido anteriormente para este tipo de reuniones es válido también para las manifestaciones. Por tanto, las reuniones en lugares de tránsito público y las manifestaciones han de ser pacíficas y requieren ser comunicadas previamente a la autoridad gubernativa para ser llevadas a cabo. </w:t>
      </w:r>
      <w:r w:rsidRPr="00517EB1">
        <w:rPr>
          <w:color w:val="000000"/>
          <w:sz w:val="24"/>
          <w:szCs w:val="24"/>
        </w:rPr>
        <w:lastRenderedPageBreak/>
        <w:t>Esta comunicación  a las autoridades no es ningún tipo de solicitud de autorización, sino que se trata de una declaración, para que las autoridades puedan adoptar las medidas necesarias que permitan ejercitar el derecho de manifestación y proteger los bienes y derechos de terceros, como expuse anteriormente en el caso de las reuniones en vía pública. Esta comunicación deberá realizarse por escrito y al menos con una antelación de diez días naturales como mínimo, y treinta días naturales como máximo. Sin embargo, si existieran causas extraordinarias que justificasen la urgencia de la convocatoria, podrá comunicarse a la autoridad con una antelación de 24 horas.</w:t>
      </w:r>
    </w:p>
    <w:p w:rsidR="009C7D06" w:rsidRPr="00517EB1" w:rsidRDefault="009C7D06" w:rsidP="009C7D06">
      <w:pPr>
        <w:widowControl w:val="0"/>
        <w:spacing w:after="200" w:line="360" w:lineRule="auto"/>
        <w:jc w:val="both"/>
        <w:rPr>
          <w:color w:val="000000"/>
          <w:sz w:val="24"/>
          <w:szCs w:val="24"/>
        </w:rPr>
      </w:pPr>
      <w:r w:rsidRPr="00517EB1">
        <w:rPr>
          <w:color w:val="000000"/>
          <w:sz w:val="24"/>
          <w:szCs w:val="24"/>
        </w:rPr>
        <w:t>En este caso, el derecho de manifestación está limitado por la libertad de circulación de las demás personas. Igualmente, la autoridad podrá prohibir la manifestación si existen razones fundadas y hechos reales de que vayan a producirse alteraciones del orden público poniendo en peligro a  personas y bienes. Por su lado, si los organizadores o los promotores de la reunión o manifestación no aceptasen la prohibición de celebración, o si no aceptan las modificaciones que impone la autoridad para poder llevar a cabo la manifestación, en este caso podrán interponer recurso contencioso-administrativo ante el Tribunal Superior de Justicia.</w:t>
      </w:r>
      <w:r w:rsidRPr="00517EB1">
        <w:rPr>
          <w:color w:val="000000"/>
          <w:sz w:val="24"/>
          <w:szCs w:val="24"/>
          <w:vertAlign w:val="superscript"/>
        </w:rPr>
        <w:footnoteReference w:id="63"/>
      </w:r>
    </w:p>
    <w:p w:rsidR="009C7D06" w:rsidRPr="00517EB1" w:rsidRDefault="009C7D06" w:rsidP="009C7D06">
      <w:pPr>
        <w:widowControl w:val="0"/>
        <w:spacing w:after="200" w:line="360" w:lineRule="auto"/>
        <w:jc w:val="both"/>
        <w:rPr>
          <w:color w:val="000000"/>
          <w:sz w:val="24"/>
          <w:szCs w:val="24"/>
        </w:rPr>
      </w:pPr>
    </w:p>
    <w:p w:rsidR="009C7D06" w:rsidRPr="00517EB1" w:rsidRDefault="009C7D06" w:rsidP="009C7D06">
      <w:pPr>
        <w:widowControl w:val="0"/>
        <w:spacing w:after="200" w:line="360" w:lineRule="auto"/>
        <w:jc w:val="both"/>
        <w:rPr>
          <w:rFonts w:eastAsia="Calibri"/>
          <w:color w:val="000000"/>
          <w:sz w:val="24"/>
          <w:szCs w:val="24"/>
        </w:rPr>
      </w:pPr>
    </w:p>
    <w:p w:rsidR="009C7D06" w:rsidRPr="00517EB1" w:rsidRDefault="009C7D06" w:rsidP="009C7D06">
      <w:pPr>
        <w:widowControl w:val="0"/>
        <w:spacing w:after="200" w:line="360" w:lineRule="auto"/>
        <w:jc w:val="both"/>
        <w:rPr>
          <w:rFonts w:eastAsia="Calibri"/>
          <w:color w:val="000000"/>
          <w:sz w:val="24"/>
          <w:szCs w:val="24"/>
        </w:rPr>
      </w:pPr>
    </w:p>
    <w:p w:rsidR="009C7D06" w:rsidRPr="00517EB1" w:rsidRDefault="009C7D06"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517EB1">
      <w:pPr>
        <w:widowControl w:val="0"/>
        <w:spacing w:after="200" w:line="360" w:lineRule="auto"/>
        <w:jc w:val="both"/>
        <w:rPr>
          <w:rFonts w:eastAsia="Calibri"/>
          <w:b/>
          <w:color w:val="000000"/>
          <w:sz w:val="24"/>
          <w:szCs w:val="24"/>
        </w:rPr>
      </w:pPr>
      <w:r w:rsidRPr="00517EB1">
        <w:rPr>
          <w:b/>
          <w:color w:val="000000"/>
          <w:sz w:val="24"/>
          <w:szCs w:val="24"/>
        </w:rPr>
        <w:lastRenderedPageBreak/>
        <w:t>CONCLUSIONES.</w:t>
      </w:r>
    </w:p>
    <w:p w:rsidR="00517EB1" w:rsidRPr="00517EB1" w:rsidRDefault="00517EB1" w:rsidP="00517EB1">
      <w:pPr>
        <w:widowControl w:val="0"/>
        <w:spacing w:after="200" w:line="360" w:lineRule="auto"/>
        <w:jc w:val="both"/>
        <w:rPr>
          <w:color w:val="000000"/>
          <w:sz w:val="24"/>
          <w:szCs w:val="24"/>
        </w:rPr>
      </w:pPr>
    </w:p>
    <w:p w:rsidR="00517EB1" w:rsidRPr="00517EB1" w:rsidRDefault="00517EB1" w:rsidP="00517EB1">
      <w:pPr>
        <w:widowControl w:val="0"/>
        <w:spacing w:after="200" w:line="360" w:lineRule="auto"/>
        <w:jc w:val="both"/>
        <w:rPr>
          <w:rFonts w:eastAsia="Calibri"/>
          <w:color w:val="000000"/>
          <w:sz w:val="24"/>
          <w:szCs w:val="24"/>
        </w:rPr>
      </w:pPr>
      <w:r w:rsidRPr="00517EB1">
        <w:rPr>
          <w:color w:val="000000"/>
          <w:sz w:val="24"/>
          <w:szCs w:val="24"/>
        </w:rPr>
        <w:t>Una vez que hemos estudiado cómo está recogido el contenido esencial de  estos derechos y Libertades Públicas en nuestra Constitución resulta más clara la conculcación de los distintos derechos y libertades anteriormente especificados.</w:t>
      </w:r>
    </w:p>
    <w:p w:rsidR="00517EB1" w:rsidRPr="00517EB1" w:rsidRDefault="00517EB1" w:rsidP="00517EB1">
      <w:pPr>
        <w:widowControl w:val="0"/>
        <w:spacing w:after="200" w:line="360" w:lineRule="auto"/>
        <w:jc w:val="both"/>
        <w:rPr>
          <w:color w:val="000000"/>
          <w:sz w:val="24"/>
          <w:szCs w:val="24"/>
        </w:rPr>
      </w:pPr>
      <w:r w:rsidRPr="00517EB1">
        <w:rPr>
          <w:color w:val="000000"/>
          <w:sz w:val="24"/>
          <w:szCs w:val="24"/>
        </w:rPr>
        <w:t>Como conclusión, cabría resaltar el interés de este trabajo desde el punto de vista jurídico en cuanto afecta a los Derechos Fundamentales de las personas, y también desde la perspectiva socio-político en cuanto justifica determinadas actitudes de grupos económicos en el mundo globalizado.</w:t>
      </w:r>
    </w:p>
    <w:p w:rsidR="00517EB1" w:rsidRPr="00517EB1" w:rsidRDefault="00517EB1" w:rsidP="00517EB1">
      <w:pPr>
        <w:widowControl w:val="0"/>
        <w:spacing w:after="200" w:line="360" w:lineRule="auto"/>
        <w:jc w:val="both"/>
        <w:rPr>
          <w:rFonts w:eastAsia="Calibri"/>
          <w:color w:val="000000"/>
          <w:sz w:val="24"/>
          <w:szCs w:val="24"/>
        </w:rPr>
      </w:pPr>
      <w:r w:rsidRPr="00517EB1">
        <w:rPr>
          <w:color w:val="000000"/>
          <w:sz w:val="24"/>
          <w:szCs w:val="24"/>
        </w:rPr>
        <w:t>En cuanto a la primera conclusión de las expresadas en el párrafo anterior, considero que  resultan significativas  las comunicaciones o peticiones  de distintos  relatores de derechos humanos de las Naciones Unidas o Amnistía Internacional al Gobiernos español respecto a dichas reformas conflictivas.</w:t>
      </w:r>
    </w:p>
    <w:p w:rsidR="00517EB1" w:rsidRPr="00517EB1" w:rsidRDefault="00517EB1" w:rsidP="00517EB1">
      <w:pPr>
        <w:widowControl w:val="0"/>
        <w:spacing w:after="200" w:line="360" w:lineRule="auto"/>
        <w:jc w:val="both"/>
        <w:rPr>
          <w:rFonts w:eastAsia="Calibri"/>
          <w:color w:val="000000"/>
          <w:sz w:val="24"/>
          <w:szCs w:val="24"/>
        </w:rPr>
      </w:pPr>
      <w:r w:rsidRPr="00517EB1">
        <w:rPr>
          <w:color w:val="000000"/>
          <w:sz w:val="24"/>
          <w:szCs w:val="24"/>
        </w:rPr>
        <w:t>Los distintos relatores de la ONU señalan que los citados textos normativos  cercenan derechos fundamentales de los ciudadanos, y en distintos comunicados solicitan su retirada exponiendo que confían en que España adopte las medidas necesarias para garantizar en la legislación nacional el ejercicio de los derechos fundamentales y libertades públicas conforme a los estándares internacionales. Manifestaron también su preocupación por las ambiguas definiciones de dicha ley que puede permitir una aplicación desproporcionada de los preceptos por parte de las autoridades.</w:t>
      </w:r>
    </w:p>
    <w:p w:rsidR="00517EB1" w:rsidRPr="00517EB1" w:rsidRDefault="00517EB1" w:rsidP="00517EB1">
      <w:pPr>
        <w:widowControl w:val="0"/>
        <w:spacing w:after="200" w:line="360" w:lineRule="auto"/>
        <w:jc w:val="both"/>
        <w:rPr>
          <w:rFonts w:eastAsia="Calibri"/>
          <w:color w:val="000000"/>
          <w:sz w:val="24"/>
          <w:szCs w:val="24"/>
        </w:rPr>
      </w:pPr>
      <w:r w:rsidRPr="00517EB1">
        <w:rPr>
          <w:color w:val="000000"/>
          <w:sz w:val="24"/>
          <w:szCs w:val="24"/>
        </w:rPr>
        <w:t>En cuanto a la Ley de Seguridad Ciudadana, vulnera la esencia del derecho de manifestación  pacífica y limita su ejercicio, ya que sanciona  actos y conductas que se presentan como  esenciales para ejercitar tal  derecho fundamental.</w:t>
      </w:r>
    </w:p>
    <w:p w:rsidR="00517EB1" w:rsidRPr="00517EB1" w:rsidRDefault="00517EB1" w:rsidP="00517EB1">
      <w:pPr>
        <w:widowControl w:val="0"/>
        <w:spacing w:after="200" w:line="360" w:lineRule="auto"/>
        <w:jc w:val="both"/>
        <w:rPr>
          <w:rFonts w:eastAsia="Calibri"/>
          <w:color w:val="000000"/>
          <w:sz w:val="24"/>
          <w:szCs w:val="24"/>
        </w:rPr>
      </w:pPr>
      <w:r w:rsidRPr="00517EB1">
        <w:rPr>
          <w:color w:val="000000"/>
          <w:sz w:val="24"/>
          <w:szCs w:val="24"/>
        </w:rPr>
        <w:t>Uno de los ejemplos más significativos que señala el relator de la ONU encargado de los derechos de reunión pacífica y asociación, es el hecho de que se trate como circunstancia agravante el supuesto en el que el delito sea cometido en el contexto de una “reunión numerosa” tal como lo relata él. Consideran que se pretende dar una base legal a estas nuevas circunstancias agravantes que van a permitir aumentar la pena en caso de manifestación, lo cual se presenta como contrario al derecho internacional porque podría surtir un efecto disuasivo sobre la libertad de manifestación y su ejercicio.</w:t>
      </w:r>
    </w:p>
    <w:p w:rsidR="00517EB1" w:rsidRPr="00517EB1" w:rsidRDefault="00517EB1" w:rsidP="00517EB1">
      <w:pPr>
        <w:widowControl w:val="0"/>
        <w:spacing w:after="200" w:line="360" w:lineRule="auto"/>
        <w:jc w:val="both"/>
        <w:rPr>
          <w:rFonts w:eastAsia="Calibri"/>
          <w:color w:val="000000"/>
          <w:sz w:val="24"/>
          <w:szCs w:val="24"/>
        </w:rPr>
      </w:pPr>
      <w:r w:rsidRPr="00517EB1">
        <w:rPr>
          <w:color w:val="000000"/>
          <w:sz w:val="24"/>
          <w:szCs w:val="24"/>
        </w:rPr>
        <w:lastRenderedPageBreak/>
        <w:t>La ley de Protección de la Seguridad Ciudadana también  castiga  con pena de prisión o multa aquellos supuestos en los que se  difundan públicamente mensajes o consignas que inciten a la comisión de delitos de alteración del orden público o que asienten o refuercen  la decisión de llevarlos a cabo. En este aspecto, el relator especial sobre el derecho a la libertad de expresión   expone que tal y como está redactada la ley y las conductas puede suponer graves problemas ya que se podría incriminar a aquellos que convoquen manifestaciones pacíficas. Igualmente ocurre con la definición de los delitos de terrorismo en la reforma del Código Penal que según los expertos las disposiciones también están redactadas de forma amplia y ambigua, sobre todo  los actos de incitación y enaltecimiento que podrían dar lugar a la criminalización de actos que en realidad con constituirían terrorismo y que suponen una clara restricción a la libertad de expresión de las personas.</w:t>
      </w:r>
      <w:r w:rsidRPr="00517EB1">
        <w:rPr>
          <w:color w:val="000000"/>
          <w:sz w:val="24"/>
          <w:szCs w:val="24"/>
          <w:vertAlign w:val="superscript"/>
        </w:rPr>
        <w:footnoteReference w:id="64"/>
      </w:r>
    </w:p>
    <w:p w:rsidR="00517EB1" w:rsidRPr="00517EB1" w:rsidRDefault="00517EB1" w:rsidP="00517EB1">
      <w:pPr>
        <w:widowControl w:val="0"/>
        <w:spacing w:after="200" w:line="360" w:lineRule="auto"/>
        <w:jc w:val="both"/>
        <w:rPr>
          <w:color w:val="000000"/>
          <w:sz w:val="24"/>
          <w:szCs w:val="24"/>
        </w:rPr>
      </w:pPr>
      <w:r w:rsidRPr="00517EB1">
        <w:rPr>
          <w:color w:val="000000"/>
          <w:sz w:val="24"/>
          <w:szCs w:val="24"/>
        </w:rPr>
        <w:t xml:space="preserve">Por tanto, puede observarse que los derechos fundamentales y libertades principalmente afectadas por la nueva ley de Protección de la Seguridad Ciudadana y la Reforma del Código Penal son las libertades de expresión, de información y los derechos de reunión y de manifestación. </w:t>
      </w:r>
    </w:p>
    <w:p w:rsidR="00517EB1" w:rsidRPr="00517EB1" w:rsidRDefault="00517EB1" w:rsidP="00517EB1">
      <w:pPr>
        <w:widowControl w:val="0"/>
        <w:spacing w:after="200" w:line="360" w:lineRule="auto"/>
        <w:jc w:val="both"/>
        <w:rPr>
          <w:color w:val="000000" w:themeColor="text1"/>
          <w:sz w:val="24"/>
          <w:szCs w:val="24"/>
        </w:rPr>
      </w:pPr>
      <w:r w:rsidRPr="00517EB1">
        <w:rPr>
          <w:color w:val="000000" w:themeColor="text1"/>
          <w:sz w:val="24"/>
          <w:szCs w:val="24"/>
        </w:rPr>
        <w:t xml:space="preserve">Desde el punto de vista socio-político, puedo afirmar que  la reforma legislativa contenida en las normas que se han mencionado a lo largo de este trabajo, constituye un ejemplo más de lo que en el mundo que llamamos desarrollado y globalizado viene ocurriendo. Las políticas que impone el neoliberalismo económico perjudican los derechos sociales, políticos y económicos de las personas, y benefician “descaradamente” a los grandes grupos multinacionales, sin importar que con ello se deteriore el medio ambiente, las condiciones de vida de los individuos e incluso se condicione el desarrollo futuro del planeta. En esta situación, los gobiernos </w:t>
      </w:r>
      <w:proofErr w:type="gramStart"/>
      <w:r w:rsidRPr="00517EB1">
        <w:rPr>
          <w:color w:val="000000" w:themeColor="text1"/>
          <w:sz w:val="24"/>
          <w:szCs w:val="24"/>
        </w:rPr>
        <w:t>democráticamente</w:t>
      </w:r>
      <w:proofErr w:type="gramEnd"/>
      <w:r w:rsidRPr="00517EB1">
        <w:rPr>
          <w:color w:val="000000" w:themeColor="text1"/>
          <w:sz w:val="24"/>
          <w:szCs w:val="24"/>
        </w:rPr>
        <w:t xml:space="preserve"> elegidos ceden su independencia en favor de los grandes grupos económicos como son </w:t>
      </w:r>
      <w:proofErr w:type="spellStart"/>
      <w:r w:rsidRPr="00517EB1">
        <w:rPr>
          <w:color w:val="000000" w:themeColor="text1"/>
          <w:sz w:val="24"/>
          <w:szCs w:val="24"/>
        </w:rPr>
        <w:t>lobbys</w:t>
      </w:r>
      <w:proofErr w:type="spellEnd"/>
      <w:r w:rsidRPr="00517EB1">
        <w:rPr>
          <w:color w:val="000000" w:themeColor="text1"/>
          <w:sz w:val="24"/>
          <w:szCs w:val="24"/>
        </w:rPr>
        <w:t xml:space="preserve">  o grupos de interés y multinacionales, perdiendo así la soberanía que corresponde a los Estados que se ven afectados tanto por movimientos especulativos de capitales como por transacciones económicas y de materias primas que solo benefician a una minoría. Actualmente, incluso se pretende incrementar esa capacidad de movimiento cada vez menos controlado de capitales y de mercancía a través de instrumentos jurídicos negociados de forma casi secreta como el Tratado de Libre Comercio entre Europa y los Estados Unidos (TTIP).</w:t>
      </w:r>
    </w:p>
    <w:p w:rsidR="00517EB1" w:rsidRPr="00517EB1" w:rsidRDefault="00517EB1" w:rsidP="00517EB1">
      <w:pPr>
        <w:widowControl w:val="0"/>
        <w:spacing w:after="200" w:line="360" w:lineRule="auto"/>
        <w:jc w:val="both"/>
        <w:rPr>
          <w:color w:val="000000" w:themeColor="text1"/>
          <w:sz w:val="24"/>
          <w:szCs w:val="24"/>
        </w:rPr>
      </w:pPr>
      <w:r w:rsidRPr="00517EB1">
        <w:rPr>
          <w:color w:val="000000" w:themeColor="text1"/>
          <w:sz w:val="24"/>
          <w:szCs w:val="24"/>
        </w:rPr>
        <w:lastRenderedPageBreak/>
        <w:t>Pues bien, cuando las condiciones de vida de los ciudadanos se deterioran tanto que provocan movimientos multitudinarios de protesta, que pueden llegar a amenazar la situación dominante de todos estos grupos económicos y de los gobiernos que consienten su actividad, es cuando  estos elaboran  cuerpos normativos que pretenden limitar el ejercicio de las libertades públicas y derechos fundamentales para limitar la capacidad de protesta de los afectados.</w:t>
      </w:r>
    </w:p>
    <w:p w:rsidR="00517EB1" w:rsidRPr="00517EB1" w:rsidRDefault="00517EB1" w:rsidP="00517EB1">
      <w:pPr>
        <w:widowControl w:val="0"/>
        <w:spacing w:after="200" w:line="360" w:lineRule="auto"/>
        <w:jc w:val="both"/>
        <w:rPr>
          <w:color w:val="000000" w:themeColor="text1"/>
          <w:sz w:val="24"/>
          <w:szCs w:val="24"/>
        </w:rPr>
      </w:pPr>
      <w:r w:rsidRPr="00517EB1">
        <w:rPr>
          <w:color w:val="000000" w:themeColor="text1"/>
          <w:sz w:val="24"/>
          <w:szCs w:val="24"/>
        </w:rPr>
        <w:t>El diagnóstico de esta situación es tan evidente que incluso instituciones nada proclives a mostrar su discrepancia respecto de los poderes instituidos, como es la Iglesia Católica, han manifestado muy recientemente a través del Sumo Pontífice, su crítica a la situación de desigualdad entre los pueblos y entre las personas, de un modo similar al que he expresado anteriormente.</w:t>
      </w:r>
    </w:p>
    <w:p w:rsidR="00517EB1" w:rsidRPr="00517EB1" w:rsidRDefault="00517EB1" w:rsidP="00517EB1">
      <w:pPr>
        <w:widowControl w:val="0"/>
        <w:spacing w:after="160" w:line="360" w:lineRule="auto"/>
        <w:jc w:val="both"/>
        <w:rPr>
          <w:b/>
          <w:color w:val="FF0000"/>
          <w:sz w:val="24"/>
          <w:szCs w:val="24"/>
        </w:rPr>
      </w:pPr>
    </w:p>
    <w:p w:rsidR="00517EB1" w:rsidRPr="00517EB1" w:rsidRDefault="00517EB1" w:rsidP="00517EB1">
      <w:pPr>
        <w:widowControl w:val="0"/>
        <w:spacing w:after="160" w:line="360" w:lineRule="auto"/>
        <w:jc w:val="both"/>
        <w:rPr>
          <w:b/>
          <w:color w:val="FF0000"/>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E05521">
      <w:pPr>
        <w:spacing w:line="360" w:lineRule="auto"/>
        <w:jc w:val="both"/>
        <w:rPr>
          <w:sz w:val="24"/>
          <w:szCs w:val="24"/>
        </w:rPr>
      </w:pPr>
    </w:p>
    <w:p w:rsidR="00517EB1" w:rsidRPr="00517EB1" w:rsidRDefault="00517EB1" w:rsidP="00517EB1">
      <w:pPr>
        <w:widowControl w:val="0"/>
        <w:spacing w:after="160" w:line="360" w:lineRule="auto"/>
        <w:jc w:val="both"/>
        <w:rPr>
          <w:rFonts w:eastAsia="Calibri"/>
          <w:b/>
          <w:sz w:val="24"/>
          <w:szCs w:val="24"/>
          <w:lang w:eastAsia="en-US"/>
        </w:rPr>
      </w:pPr>
      <w:r w:rsidRPr="00517EB1">
        <w:rPr>
          <w:rFonts w:eastAsia="Calibri"/>
          <w:b/>
          <w:sz w:val="24"/>
          <w:szCs w:val="24"/>
          <w:lang w:eastAsia="en-US"/>
        </w:rPr>
        <w:lastRenderedPageBreak/>
        <w:t>BIBLIOGRAFÍA</w:t>
      </w:r>
    </w:p>
    <w:p w:rsidR="00517EB1" w:rsidRPr="00517EB1" w:rsidRDefault="00517EB1" w:rsidP="00517EB1">
      <w:pPr>
        <w:widowControl w:val="0"/>
        <w:spacing w:after="160" w:line="360" w:lineRule="auto"/>
        <w:jc w:val="both"/>
        <w:rPr>
          <w:rFonts w:eastAsia="Calibri"/>
          <w:b/>
          <w:sz w:val="24"/>
          <w:szCs w:val="24"/>
          <w:lang w:eastAsia="en-US"/>
        </w:rPr>
      </w:pPr>
    </w:p>
    <w:p w:rsidR="00517EB1" w:rsidRPr="00517EB1" w:rsidRDefault="00517EB1" w:rsidP="00517EB1">
      <w:pPr>
        <w:widowControl w:val="0"/>
        <w:numPr>
          <w:ilvl w:val="0"/>
          <w:numId w:val="3"/>
        </w:numPr>
        <w:spacing w:after="160" w:line="360" w:lineRule="auto"/>
        <w:contextualSpacing/>
        <w:jc w:val="both"/>
        <w:rPr>
          <w:rFonts w:eastAsia="Calibri"/>
          <w:b/>
          <w:sz w:val="24"/>
          <w:szCs w:val="24"/>
          <w:lang w:eastAsia="en-US"/>
        </w:rPr>
      </w:pPr>
      <w:proofErr w:type="spellStart"/>
      <w:r w:rsidRPr="00517EB1">
        <w:rPr>
          <w:rFonts w:eastAsia="Calibri"/>
          <w:sz w:val="24"/>
          <w:szCs w:val="24"/>
          <w:lang w:eastAsia="en-US"/>
        </w:rPr>
        <w:t>Alexy</w:t>
      </w:r>
      <w:proofErr w:type="spellEnd"/>
      <w:r w:rsidRPr="00517EB1">
        <w:rPr>
          <w:rFonts w:eastAsia="Calibri"/>
          <w:sz w:val="24"/>
          <w:szCs w:val="24"/>
          <w:lang w:eastAsia="en-US"/>
        </w:rPr>
        <w:t xml:space="preserve">, R. “Los derechos fundamentales en el Estado Constitucional democrático”,  en Carbonell Sánchez, M. </w:t>
      </w:r>
      <w:proofErr w:type="spellStart"/>
      <w:r w:rsidRPr="00517EB1">
        <w:rPr>
          <w:rFonts w:eastAsia="Calibri"/>
          <w:i/>
          <w:sz w:val="24"/>
          <w:szCs w:val="24"/>
          <w:lang w:eastAsia="en-US"/>
        </w:rPr>
        <w:t>Neoconstitucionalismos</w:t>
      </w:r>
      <w:proofErr w:type="spellEnd"/>
      <w:r w:rsidRPr="00517EB1">
        <w:rPr>
          <w:rFonts w:eastAsia="Calibri"/>
          <w:i/>
          <w:sz w:val="24"/>
          <w:szCs w:val="24"/>
          <w:lang w:eastAsia="en-US"/>
        </w:rPr>
        <w:t>,</w:t>
      </w:r>
      <w:r w:rsidRPr="00517EB1">
        <w:rPr>
          <w:rFonts w:eastAsia="Calibri"/>
          <w:sz w:val="24"/>
          <w:szCs w:val="24"/>
          <w:lang w:eastAsia="en-US"/>
        </w:rPr>
        <w:t xml:space="preserve"> </w:t>
      </w:r>
      <w:proofErr w:type="spellStart"/>
      <w:r w:rsidRPr="00517EB1">
        <w:rPr>
          <w:rFonts w:eastAsia="Calibri"/>
          <w:sz w:val="24"/>
          <w:szCs w:val="24"/>
          <w:lang w:eastAsia="en-US"/>
        </w:rPr>
        <w:t>Trotta</w:t>
      </w:r>
      <w:proofErr w:type="spellEnd"/>
      <w:r w:rsidRPr="00517EB1">
        <w:rPr>
          <w:rFonts w:eastAsia="Calibri"/>
          <w:sz w:val="24"/>
          <w:szCs w:val="24"/>
          <w:lang w:eastAsia="en-US"/>
        </w:rPr>
        <w:t>. Madrid, 2009. pp.: 31-48.</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Álvarez Conde, E. </w:t>
      </w:r>
      <w:r w:rsidRPr="00517EB1">
        <w:rPr>
          <w:rFonts w:eastAsia="Calibri"/>
          <w:i/>
          <w:sz w:val="24"/>
          <w:szCs w:val="24"/>
          <w:lang w:eastAsia="en-US"/>
        </w:rPr>
        <w:t>Curso de Derecho Constitucional. vol. I. El estado constitucional, el sistema de fuentes, los derechos y las libertades</w:t>
      </w:r>
      <w:r w:rsidRPr="00517EB1">
        <w:rPr>
          <w:rFonts w:eastAsia="Calibri"/>
          <w:sz w:val="24"/>
          <w:szCs w:val="24"/>
          <w:lang w:eastAsia="en-US"/>
        </w:rPr>
        <w:t xml:space="preserve">. </w:t>
      </w:r>
      <w:proofErr w:type="spellStart"/>
      <w:r w:rsidRPr="00517EB1">
        <w:rPr>
          <w:rFonts w:eastAsia="Calibri"/>
          <w:sz w:val="24"/>
          <w:szCs w:val="24"/>
          <w:lang w:eastAsia="en-US"/>
        </w:rPr>
        <w:t>Tecnos</w:t>
      </w:r>
      <w:proofErr w:type="spellEnd"/>
      <w:r w:rsidRPr="00517EB1">
        <w:rPr>
          <w:rFonts w:eastAsia="Calibri"/>
          <w:sz w:val="24"/>
          <w:szCs w:val="24"/>
          <w:lang w:eastAsia="en-US"/>
        </w:rPr>
        <w:t>. Madrid.2014. Págs. 271-276</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proofErr w:type="spellStart"/>
      <w:r w:rsidRPr="00517EB1">
        <w:rPr>
          <w:rFonts w:eastAsia="Calibri"/>
          <w:sz w:val="24"/>
          <w:szCs w:val="24"/>
          <w:lang w:eastAsia="en-US"/>
        </w:rPr>
        <w:t>Ansuátegui</w:t>
      </w:r>
      <w:proofErr w:type="spellEnd"/>
      <w:r w:rsidRPr="00517EB1">
        <w:rPr>
          <w:rFonts w:eastAsia="Calibri"/>
          <w:sz w:val="24"/>
          <w:szCs w:val="24"/>
          <w:lang w:eastAsia="en-US"/>
        </w:rPr>
        <w:t xml:space="preserve"> Roig, F.J.: </w:t>
      </w:r>
      <w:r w:rsidRPr="00517EB1">
        <w:rPr>
          <w:rFonts w:eastAsia="Calibri"/>
          <w:i/>
          <w:sz w:val="24"/>
          <w:szCs w:val="24"/>
          <w:lang w:eastAsia="en-US"/>
        </w:rPr>
        <w:t>Derechos, Constitución, Democracia. Aspectos de la presencia de Derechos Fundamentales en las Constituciones actuales</w:t>
      </w:r>
      <w:r w:rsidRPr="00517EB1">
        <w:rPr>
          <w:rFonts w:eastAsia="Calibri"/>
          <w:sz w:val="24"/>
          <w:szCs w:val="24"/>
          <w:lang w:eastAsia="en-US"/>
        </w:rPr>
        <w:t>, Universidad de Valladolid, 2003, pp.: 24-30.</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Arnaldo Alcubilla, E. Estudios en homenaje a Ángel Ballesteros. “La vigencia de los conceptos de orden público y seguridad ciudadana”, edición nº1, Editorial El Consultor de los Ayuntamientos, Madrid, Enero 2011.</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proofErr w:type="spellStart"/>
      <w:r w:rsidRPr="00517EB1">
        <w:rPr>
          <w:rFonts w:eastAsia="Calibri"/>
          <w:sz w:val="24"/>
          <w:szCs w:val="24"/>
          <w:lang w:eastAsia="en-US"/>
        </w:rPr>
        <w:t>Arzamendi</w:t>
      </w:r>
      <w:proofErr w:type="spellEnd"/>
      <w:r w:rsidRPr="00517EB1">
        <w:rPr>
          <w:rFonts w:eastAsia="Calibri"/>
          <w:sz w:val="24"/>
          <w:szCs w:val="24"/>
          <w:lang w:eastAsia="en-US"/>
        </w:rPr>
        <w:t xml:space="preserve"> de la Cuesta, J. L. </w:t>
      </w:r>
      <w:r w:rsidRPr="00517EB1">
        <w:rPr>
          <w:rFonts w:eastAsia="Calibri"/>
          <w:i/>
          <w:sz w:val="24"/>
          <w:szCs w:val="24"/>
          <w:lang w:eastAsia="en-US"/>
        </w:rPr>
        <w:t>Análisis de la aplicación de la Ley Orgánica 1/1992, de 21 de febrero, sobre Protección de la Seguridad Ciudadana en relación con el fenómeno social de las drogas.</w:t>
      </w:r>
      <w:r w:rsidRPr="00517EB1">
        <w:rPr>
          <w:rFonts w:eastAsia="Calibri"/>
          <w:sz w:val="24"/>
          <w:szCs w:val="24"/>
          <w:lang w:eastAsia="en-US"/>
        </w:rPr>
        <w:t xml:space="preserve"> Universidad del País Vasco e Instituto Vasco de Criminología. Donostia-</w:t>
      </w:r>
      <w:proofErr w:type="spellStart"/>
      <w:r w:rsidRPr="00517EB1">
        <w:rPr>
          <w:rFonts w:eastAsia="Calibri"/>
          <w:sz w:val="24"/>
          <w:szCs w:val="24"/>
          <w:lang w:eastAsia="en-US"/>
        </w:rPr>
        <w:t>SanSebastián</w:t>
      </w:r>
      <w:proofErr w:type="spellEnd"/>
      <w:r w:rsidRPr="00517EB1">
        <w:rPr>
          <w:rFonts w:eastAsia="Calibri"/>
          <w:sz w:val="24"/>
          <w:szCs w:val="24"/>
          <w:lang w:eastAsia="en-US"/>
        </w:rPr>
        <w:t>, diciembre 2005, pp.: 1-8.</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proofErr w:type="spellStart"/>
      <w:r w:rsidRPr="00517EB1">
        <w:rPr>
          <w:rFonts w:eastAsia="Calibri"/>
          <w:sz w:val="24"/>
          <w:szCs w:val="24"/>
          <w:lang w:eastAsia="en-US"/>
        </w:rPr>
        <w:t>Barinaga-Rementería</w:t>
      </w:r>
      <w:proofErr w:type="spellEnd"/>
      <w:r w:rsidRPr="00517EB1">
        <w:rPr>
          <w:rFonts w:eastAsia="Calibri"/>
          <w:sz w:val="24"/>
          <w:szCs w:val="24"/>
          <w:lang w:eastAsia="en-US"/>
        </w:rPr>
        <w:t xml:space="preserve"> Martín, J.: “Las diferencias entre las concepciones del estado de naturaleza en Hobbes y Locke”, en </w:t>
      </w:r>
      <w:proofErr w:type="spellStart"/>
      <w:r w:rsidRPr="00517EB1">
        <w:rPr>
          <w:rFonts w:eastAsia="Calibri"/>
          <w:sz w:val="24"/>
          <w:szCs w:val="24"/>
          <w:lang w:eastAsia="en-US"/>
        </w:rPr>
        <w:t>Paidea</w:t>
      </w:r>
      <w:proofErr w:type="spellEnd"/>
      <w:r w:rsidRPr="00517EB1">
        <w:rPr>
          <w:rFonts w:eastAsia="Calibri"/>
          <w:sz w:val="24"/>
          <w:szCs w:val="24"/>
          <w:lang w:eastAsia="en-US"/>
        </w:rPr>
        <w:t>, revista de filosofía y didáctica filosófica, nº69,2004, pp.: 445-470.</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val="en-US" w:eastAsia="en-US"/>
        </w:rPr>
        <w:t xml:space="preserve">Berlin, Isaiah: </w:t>
      </w:r>
      <w:proofErr w:type="spellStart"/>
      <w:r w:rsidRPr="00517EB1">
        <w:rPr>
          <w:rFonts w:eastAsia="Calibri"/>
          <w:sz w:val="24"/>
          <w:szCs w:val="24"/>
          <w:lang w:val="en-US" w:eastAsia="en-US"/>
        </w:rPr>
        <w:t>Discurso</w:t>
      </w:r>
      <w:proofErr w:type="spellEnd"/>
      <w:r w:rsidRPr="00517EB1">
        <w:rPr>
          <w:rFonts w:eastAsia="Calibri"/>
          <w:sz w:val="24"/>
          <w:szCs w:val="24"/>
          <w:lang w:val="en-US" w:eastAsia="en-US"/>
        </w:rPr>
        <w:t xml:space="preserve"> “Two concepts of liberty.” </w:t>
      </w:r>
      <w:r w:rsidRPr="00517EB1">
        <w:rPr>
          <w:rFonts w:eastAsia="Calibri"/>
          <w:sz w:val="24"/>
          <w:szCs w:val="24"/>
          <w:lang w:eastAsia="en-US"/>
        </w:rPr>
        <w:t>“Dos conceptos de libertad”, Oxford, 1958.</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proofErr w:type="spellStart"/>
      <w:r w:rsidRPr="00517EB1">
        <w:rPr>
          <w:rFonts w:eastAsia="Calibri"/>
          <w:sz w:val="24"/>
          <w:szCs w:val="24"/>
          <w:lang w:eastAsia="en-US"/>
        </w:rPr>
        <w:t>Bermuz</w:t>
      </w:r>
      <w:proofErr w:type="spellEnd"/>
      <w:r w:rsidRPr="00517EB1">
        <w:rPr>
          <w:rFonts w:eastAsia="Calibri"/>
          <w:sz w:val="24"/>
          <w:szCs w:val="24"/>
          <w:lang w:eastAsia="en-US"/>
        </w:rPr>
        <w:t xml:space="preserve"> Benítez, M.J y Pérez Cepeda, A.I. (coord.): </w:t>
      </w:r>
      <w:r w:rsidRPr="00517EB1">
        <w:rPr>
          <w:rFonts w:eastAsia="Calibri"/>
          <w:i/>
          <w:sz w:val="24"/>
          <w:szCs w:val="24"/>
          <w:lang w:eastAsia="en-US"/>
        </w:rPr>
        <w:t xml:space="preserve">La tensión entre libertad y seguridad. Una aproximación </w:t>
      </w:r>
      <w:proofErr w:type="spellStart"/>
      <w:r w:rsidRPr="00517EB1">
        <w:rPr>
          <w:rFonts w:eastAsia="Calibri"/>
          <w:i/>
          <w:sz w:val="24"/>
          <w:szCs w:val="24"/>
          <w:lang w:eastAsia="en-US"/>
        </w:rPr>
        <w:t>sociojurídica</w:t>
      </w:r>
      <w:proofErr w:type="spellEnd"/>
      <w:r w:rsidRPr="00517EB1">
        <w:rPr>
          <w:rFonts w:eastAsia="Calibri"/>
          <w:sz w:val="24"/>
          <w:szCs w:val="24"/>
          <w:lang w:eastAsia="en-US"/>
        </w:rPr>
        <w:t>. Universidad de La Rioja servicio de publicaciones. Logroño, 2006. pp.: 55-98.</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Calvo González, J. (coord.): </w:t>
      </w:r>
      <w:r w:rsidRPr="00517EB1">
        <w:rPr>
          <w:rFonts w:eastAsia="Calibri"/>
          <w:i/>
          <w:sz w:val="24"/>
          <w:szCs w:val="24"/>
          <w:lang w:eastAsia="en-US"/>
        </w:rPr>
        <w:t>Libertad y seguridad. La fragilidad de los derechos</w:t>
      </w:r>
      <w:r w:rsidRPr="00517EB1">
        <w:rPr>
          <w:rFonts w:eastAsia="Calibri"/>
          <w:sz w:val="24"/>
          <w:szCs w:val="24"/>
          <w:lang w:eastAsia="en-US"/>
        </w:rPr>
        <w:t>, Sociedad Española de Filosofía Jurídica y Política, Málaga, 2006, pp.: 97-104.</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proofErr w:type="spellStart"/>
      <w:r w:rsidRPr="00517EB1">
        <w:rPr>
          <w:rFonts w:eastAsia="Calibri"/>
          <w:sz w:val="24"/>
          <w:szCs w:val="24"/>
          <w:lang w:eastAsia="en-US"/>
        </w:rPr>
        <w:t>Campderrich</w:t>
      </w:r>
      <w:proofErr w:type="spellEnd"/>
      <w:r w:rsidRPr="00517EB1">
        <w:rPr>
          <w:rFonts w:eastAsia="Calibri"/>
          <w:sz w:val="24"/>
          <w:szCs w:val="24"/>
          <w:lang w:eastAsia="en-US"/>
        </w:rPr>
        <w:t xml:space="preserve"> Bravo, R. “Hacia un derecho penal </w:t>
      </w:r>
      <w:proofErr w:type="spellStart"/>
      <w:r w:rsidRPr="00517EB1">
        <w:rPr>
          <w:rFonts w:eastAsia="Calibri"/>
          <w:sz w:val="24"/>
          <w:szCs w:val="24"/>
          <w:lang w:eastAsia="en-US"/>
        </w:rPr>
        <w:t>neoabsolutista</w:t>
      </w:r>
      <w:proofErr w:type="spellEnd"/>
      <w:r w:rsidRPr="00517EB1">
        <w:rPr>
          <w:rFonts w:eastAsia="Calibri"/>
          <w:sz w:val="24"/>
          <w:szCs w:val="24"/>
          <w:lang w:eastAsia="en-US"/>
        </w:rPr>
        <w:t xml:space="preserve">: una revisión crítica de la reforma del Código Penal” nº 134, abril 2015. </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Casas Baamonde, Rodríguez-Piñero y Bravo-Ferrer (</w:t>
      </w:r>
      <w:proofErr w:type="spellStart"/>
      <w:r w:rsidRPr="00517EB1">
        <w:rPr>
          <w:rFonts w:eastAsia="Calibri"/>
          <w:sz w:val="24"/>
          <w:szCs w:val="24"/>
          <w:lang w:eastAsia="en-US"/>
        </w:rPr>
        <w:t>dirs</w:t>
      </w:r>
      <w:proofErr w:type="spellEnd"/>
      <w:r w:rsidRPr="00517EB1">
        <w:rPr>
          <w:rFonts w:eastAsia="Calibri"/>
          <w:sz w:val="24"/>
          <w:szCs w:val="24"/>
          <w:lang w:eastAsia="en-US"/>
        </w:rPr>
        <w:t xml:space="preserve">.), </w:t>
      </w:r>
      <w:r w:rsidRPr="00517EB1">
        <w:rPr>
          <w:rFonts w:eastAsia="Calibri"/>
          <w:i/>
          <w:sz w:val="24"/>
          <w:szCs w:val="24"/>
          <w:lang w:eastAsia="en-US"/>
        </w:rPr>
        <w:t>Comentarios a la Constitución Española</w:t>
      </w:r>
      <w:r w:rsidRPr="00517EB1">
        <w:rPr>
          <w:rFonts w:eastAsia="Calibri"/>
          <w:sz w:val="24"/>
          <w:szCs w:val="24"/>
          <w:lang w:eastAsia="en-US"/>
        </w:rPr>
        <w:t xml:space="preserve">. Fundación </w:t>
      </w:r>
      <w:proofErr w:type="spellStart"/>
      <w:r w:rsidRPr="00517EB1">
        <w:rPr>
          <w:rFonts w:eastAsia="Calibri"/>
          <w:sz w:val="24"/>
          <w:szCs w:val="24"/>
          <w:lang w:eastAsia="en-US"/>
        </w:rPr>
        <w:t>Wolters</w:t>
      </w:r>
      <w:proofErr w:type="spellEnd"/>
      <w:r w:rsidRPr="00517EB1">
        <w:rPr>
          <w:rFonts w:eastAsia="Calibri"/>
          <w:sz w:val="24"/>
          <w:szCs w:val="24"/>
          <w:lang w:eastAsia="en-US"/>
        </w:rPr>
        <w:t xml:space="preserve"> </w:t>
      </w:r>
      <w:proofErr w:type="spellStart"/>
      <w:r w:rsidRPr="00517EB1">
        <w:rPr>
          <w:rFonts w:eastAsia="Calibri"/>
          <w:sz w:val="24"/>
          <w:szCs w:val="24"/>
          <w:lang w:eastAsia="en-US"/>
        </w:rPr>
        <w:t>Kluwer</w:t>
      </w:r>
      <w:proofErr w:type="spellEnd"/>
      <w:r w:rsidRPr="00517EB1">
        <w:rPr>
          <w:rFonts w:eastAsia="Calibri"/>
          <w:sz w:val="24"/>
          <w:szCs w:val="24"/>
          <w:lang w:eastAsia="en-US"/>
        </w:rPr>
        <w:t>. Madrid, 2008.</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CIS. Barómetro de julio de 2014. Estudio 3033.</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lastRenderedPageBreak/>
        <w:t>Condoleezza Rice, secretaria de los EE.UU  en el año 2000, en el discurso “</w:t>
      </w:r>
      <w:proofErr w:type="spellStart"/>
      <w:r w:rsidRPr="00517EB1">
        <w:rPr>
          <w:rFonts w:eastAsia="Calibri"/>
          <w:sz w:val="24"/>
          <w:szCs w:val="24"/>
          <w:lang w:eastAsia="en-US"/>
        </w:rPr>
        <w:t>promoting</w:t>
      </w:r>
      <w:proofErr w:type="spellEnd"/>
      <w:r w:rsidRPr="00517EB1">
        <w:rPr>
          <w:rFonts w:eastAsia="Calibri"/>
          <w:sz w:val="24"/>
          <w:szCs w:val="24"/>
          <w:lang w:eastAsia="en-US"/>
        </w:rPr>
        <w:t xml:space="preserve"> </w:t>
      </w:r>
      <w:proofErr w:type="spellStart"/>
      <w:r w:rsidRPr="00517EB1">
        <w:rPr>
          <w:rFonts w:eastAsia="Calibri"/>
          <w:sz w:val="24"/>
          <w:szCs w:val="24"/>
          <w:lang w:eastAsia="en-US"/>
        </w:rPr>
        <w:t>the</w:t>
      </w:r>
      <w:proofErr w:type="spellEnd"/>
      <w:r w:rsidRPr="00517EB1">
        <w:rPr>
          <w:rFonts w:eastAsia="Calibri"/>
          <w:sz w:val="24"/>
          <w:szCs w:val="24"/>
          <w:lang w:eastAsia="en-US"/>
        </w:rPr>
        <w:t xml:space="preserve"> </w:t>
      </w:r>
      <w:proofErr w:type="spellStart"/>
      <w:r w:rsidRPr="00517EB1">
        <w:rPr>
          <w:rFonts w:eastAsia="Calibri"/>
          <w:sz w:val="24"/>
          <w:szCs w:val="24"/>
          <w:lang w:eastAsia="en-US"/>
        </w:rPr>
        <w:t>National</w:t>
      </w:r>
      <w:proofErr w:type="spellEnd"/>
      <w:r w:rsidRPr="00517EB1">
        <w:rPr>
          <w:rFonts w:eastAsia="Calibri"/>
          <w:sz w:val="24"/>
          <w:szCs w:val="24"/>
          <w:lang w:eastAsia="en-US"/>
        </w:rPr>
        <w:t xml:space="preserve"> </w:t>
      </w:r>
      <w:proofErr w:type="spellStart"/>
      <w:r w:rsidRPr="00517EB1">
        <w:rPr>
          <w:rFonts w:eastAsia="Calibri"/>
          <w:sz w:val="24"/>
          <w:szCs w:val="24"/>
          <w:lang w:eastAsia="en-US"/>
        </w:rPr>
        <w:t>Interest</w:t>
      </w:r>
      <w:proofErr w:type="spellEnd"/>
      <w:r w:rsidRPr="00517EB1">
        <w:rPr>
          <w:rFonts w:eastAsia="Calibri"/>
          <w:sz w:val="24"/>
          <w:szCs w:val="24"/>
          <w:lang w:eastAsia="en-US"/>
        </w:rPr>
        <w:t xml:space="preserve">” “La Promoción del Interés Nacional”. Fuente: </w:t>
      </w:r>
      <w:hyperlink r:id="rId10" w:history="1">
        <w:r w:rsidRPr="00517EB1">
          <w:rPr>
            <w:rFonts w:eastAsia="Calibri"/>
            <w:color w:val="0000FF" w:themeColor="hyperlink"/>
            <w:sz w:val="24"/>
            <w:szCs w:val="24"/>
            <w:u w:val="single"/>
            <w:lang w:eastAsia="en-US"/>
          </w:rPr>
          <w:t>www.cidob.org</w:t>
        </w:r>
      </w:hyperlink>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Cruz Villalón, P. “Formación y evolución de los derechos fundamentales” en </w:t>
      </w:r>
      <w:r w:rsidRPr="00517EB1">
        <w:rPr>
          <w:rFonts w:eastAsia="Calibri"/>
          <w:i/>
          <w:sz w:val="24"/>
          <w:szCs w:val="24"/>
          <w:lang w:eastAsia="en-US"/>
        </w:rPr>
        <w:t>Introducción a los derechos fundamentales, volumen I</w:t>
      </w:r>
      <w:r w:rsidRPr="00517EB1">
        <w:rPr>
          <w:rFonts w:eastAsia="Calibri"/>
          <w:sz w:val="24"/>
          <w:szCs w:val="24"/>
          <w:lang w:eastAsia="en-US"/>
        </w:rPr>
        <w:t>. Ministerio de Justicia, Centro de publicaciones de la Secretaría General Técnica. Madrid, 1988. Pp.: 161-162.</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Declaración de Derechos del Hombre y el Ciudadano. Artículo 2.</w:t>
      </w:r>
      <w:r w:rsidRPr="00517EB1">
        <w:rPr>
          <w:rFonts w:eastAsia="Calibri"/>
          <w:i/>
          <w:sz w:val="24"/>
          <w:szCs w:val="24"/>
          <w:lang w:eastAsia="en-US"/>
        </w:rPr>
        <w:t xml:space="preserve"> “el fin de toda declaración política es la conservación de los derechos naturales e imprescriptibles de los hombres”.</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 </w:t>
      </w:r>
      <w:proofErr w:type="spellStart"/>
      <w:r w:rsidRPr="00517EB1">
        <w:rPr>
          <w:rFonts w:eastAsia="Calibri"/>
          <w:sz w:val="24"/>
          <w:szCs w:val="24"/>
          <w:lang w:eastAsia="en-US"/>
        </w:rPr>
        <w:t>Endicott</w:t>
      </w:r>
      <w:proofErr w:type="spellEnd"/>
      <w:r w:rsidRPr="00517EB1">
        <w:rPr>
          <w:rFonts w:eastAsia="Calibri"/>
          <w:sz w:val="24"/>
          <w:szCs w:val="24"/>
          <w:lang w:eastAsia="en-US"/>
        </w:rPr>
        <w:t xml:space="preserve">, T. La vaguedad en el Derecho, traducción de J. Alberto del Real Alcalá y Juan Vega Gómez. </w:t>
      </w:r>
      <w:proofErr w:type="spellStart"/>
      <w:r w:rsidRPr="00517EB1">
        <w:rPr>
          <w:rFonts w:eastAsia="Calibri"/>
          <w:sz w:val="24"/>
          <w:szCs w:val="24"/>
          <w:lang w:eastAsia="en-US"/>
        </w:rPr>
        <w:t>Dykinson</w:t>
      </w:r>
      <w:proofErr w:type="spellEnd"/>
      <w:r w:rsidRPr="00517EB1">
        <w:rPr>
          <w:rFonts w:eastAsia="Calibri"/>
          <w:sz w:val="24"/>
          <w:szCs w:val="24"/>
          <w:lang w:eastAsia="en-US"/>
        </w:rPr>
        <w:t xml:space="preserve">, Madrid, 2006. </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proofErr w:type="spellStart"/>
      <w:r w:rsidRPr="00517EB1">
        <w:rPr>
          <w:rFonts w:eastAsia="Calibri"/>
          <w:sz w:val="24"/>
          <w:szCs w:val="24"/>
          <w:lang w:eastAsia="en-US"/>
        </w:rPr>
        <w:t>Endicott</w:t>
      </w:r>
      <w:proofErr w:type="spellEnd"/>
      <w:r w:rsidRPr="00517EB1">
        <w:rPr>
          <w:rFonts w:eastAsia="Calibri"/>
          <w:sz w:val="24"/>
          <w:szCs w:val="24"/>
          <w:lang w:eastAsia="en-US"/>
        </w:rPr>
        <w:t>, T. “El Derecho es necesariamente vago”, en Derechos y Libertades, nº 12, 2003, pp. 179-189.</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proofErr w:type="spellStart"/>
      <w:r w:rsidRPr="00517EB1">
        <w:rPr>
          <w:rFonts w:eastAsia="Calibri"/>
          <w:sz w:val="24"/>
          <w:szCs w:val="24"/>
          <w:lang w:eastAsia="en-US"/>
        </w:rPr>
        <w:t>Enériz</w:t>
      </w:r>
      <w:proofErr w:type="spellEnd"/>
      <w:r w:rsidRPr="00517EB1">
        <w:rPr>
          <w:rFonts w:eastAsia="Calibri"/>
          <w:sz w:val="24"/>
          <w:szCs w:val="24"/>
          <w:lang w:eastAsia="en-US"/>
        </w:rPr>
        <w:t xml:space="preserve"> Olaechea, F.J.: </w:t>
      </w:r>
      <w:r w:rsidRPr="00517EB1">
        <w:rPr>
          <w:rFonts w:eastAsia="Calibri"/>
          <w:i/>
          <w:sz w:val="24"/>
          <w:szCs w:val="24"/>
          <w:lang w:eastAsia="en-US"/>
        </w:rPr>
        <w:t>La protección de los derechos fundamentales y las libertades públicas en la Constitución Española</w:t>
      </w:r>
      <w:r w:rsidRPr="00517EB1">
        <w:rPr>
          <w:rFonts w:eastAsia="Calibri"/>
          <w:sz w:val="24"/>
          <w:szCs w:val="24"/>
          <w:lang w:eastAsia="en-US"/>
        </w:rPr>
        <w:t>, Publicaciones  Universidad Pública de Navarra, Pamplona, 2007, pp.: 271-276; 294-303.</w:t>
      </w:r>
    </w:p>
    <w:p w:rsidR="00517EB1" w:rsidRPr="00517EB1" w:rsidRDefault="00517EB1" w:rsidP="00517EB1">
      <w:pPr>
        <w:numPr>
          <w:ilvl w:val="0"/>
          <w:numId w:val="3"/>
        </w:numPr>
        <w:contextualSpacing/>
        <w:jc w:val="both"/>
        <w:rPr>
          <w:rFonts w:eastAsia="Calibri"/>
          <w:sz w:val="24"/>
          <w:szCs w:val="24"/>
          <w:lang w:eastAsia="en-US"/>
        </w:rPr>
      </w:pPr>
      <w:r w:rsidRPr="00517EB1">
        <w:rPr>
          <w:rFonts w:eastAsia="Calibri"/>
          <w:sz w:val="24"/>
          <w:szCs w:val="24"/>
          <w:lang w:eastAsia="en-US"/>
        </w:rPr>
        <w:t xml:space="preserve">  Fernández Pérez, A. “La regulación de las devoluciones y expulsiones de extranjeros: la ilegalidad de las devoluciones de extranjeros efectuadas sin las debidas garantías”. Diario La Ley, Nº 8382, Sección Doctrina, 22 de Septiembre de 2014. Ref. D-288. Fuente:  www.laleydigital.laley.es.avalos.ujaen.es </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proofErr w:type="spellStart"/>
      <w:r w:rsidRPr="00517EB1">
        <w:rPr>
          <w:rFonts w:eastAsia="Calibri"/>
          <w:sz w:val="24"/>
          <w:szCs w:val="24"/>
          <w:lang w:eastAsia="en-US"/>
        </w:rPr>
        <w:t>Ferrajoli</w:t>
      </w:r>
      <w:proofErr w:type="spellEnd"/>
      <w:r w:rsidRPr="00517EB1">
        <w:rPr>
          <w:rFonts w:eastAsia="Calibri"/>
          <w:sz w:val="24"/>
          <w:szCs w:val="24"/>
          <w:lang w:eastAsia="en-US"/>
        </w:rPr>
        <w:t xml:space="preserve"> L.</w:t>
      </w:r>
      <w:r w:rsidRPr="00517EB1">
        <w:rPr>
          <w:sz w:val="24"/>
          <w:szCs w:val="24"/>
        </w:rPr>
        <w:t xml:space="preserve"> </w:t>
      </w:r>
      <w:r w:rsidRPr="00517EB1">
        <w:rPr>
          <w:rFonts w:eastAsia="Calibri"/>
          <w:i/>
          <w:sz w:val="24"/>
          <w:szCs w:val="24"/>
          <w:lang w:eastAsia="en-US"/>
        </w:rPr>
        <w:t xml:space="preserve">Democracia y  </w:t>
      </w:r>
      <w:proofErr w:type="spellStart"/>
      <w:r w:rsidRPr="00517EB1">
        <w:rPr>
          <w:rFonts w:eastAsia="Calibri"/>
          <w:i/>
          <w:sz w:val="24"/>
          <w:szCs w:val="24"/>
          <w:lang w:eastAsia="en-US"/>
        </w:rPr>
        <w:t>Garantismo</w:t>
      </w:r>
      <w:proofErr w:type="spellEnd"/>
      <w:r w:rsidRPr="00517EB1">
        <w:rPr>
          <w:rFonts w:eastAsia="Calibri"/>
          <w:sz w:val="24"/>
          <w:szCs w:val="24"/>
          <w:lang w:eastAsia="en-US"/>
        </w:rPr>
        <w:t xml:space="preserve">. Una discusión, </w:t>
      </w:r>
      <w:proofErr w:type="spellStart"/>
      <w:r w:rsidRPr="00517EB1">
        <w:rPr>
          <w:rFonts w:eastAsia="Calibri"/>
          <w:sz w:val="24"/>
          <w:szCs w:val="24"/>
          <w:lang w:eastAsia="en-US"/>
        </w:rPr>
        <w:t>Trotta</w:t>
      </w:r>
      <w:proofErr w:type="spellEnd"/>
      <w:r w:rsidRPr="00517EB1">
        <w:rPr>
          <w:rFonts w:eastAsia="Calibri"/>
          <w:sz w:val="24"/>
          <w:szCs w:val="24"/>
          <w:lang w:eastAsia="en-US"/>
        </w:rPr>
        <w:t>, Madrid, 2008. Pág.: 66.</w:t>
      </w:r>
    </w:p>
    <w:p w:rsidR="00517EB1" w:rsidRPr="00517EB1" w:rsidRDefault="00517EB1" w:rsidP="00517EB1">
      <w:pPr>
        <w:widowControl w:val="0"/>
        <w:spacing w:after="160" w:line="360" w:lineRule="auto"/>
        <w:ind w:left="720"/>
        <w:contextualSpacing/>
        <w:jc w:val="both"/>
        <w:rPr>
          <w:rFonts w:eastAsia="Calibri"/>
          <w:sz w:val="24"/>
          <w:szCs w:val="24"/>
          <w:lang w:eastAsia="en-US"/>
        </w:rPr>
      </w:pP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proofErr w:type="spellStart"/>
      <w:r w:rsidRPr="00517EB1">
        <w:rPr>
          <w:rFonts w:eastAsia="Calibri"/>
          <w:sz w:val="24"/>
          <w:szCs w:val="24"/>
          <w:lang w:eastAsia="en-US"/>
        </w:rPr>
        <w:t>Freixes</w:t>
      </w:r>
      <w:proofErr w:type="spellEnd"/>
      <w:r w:rsidRPr="00517EB1">
        <w:rPr>
          <w:rFonts w:eastAsia="Calibri"/>
          <w:sz w:val="24"/>
          <w:szCs w:val="24"/>
          <w:lang w:eastAsia="en-US"/>
        </w:rPr>
        <w:t xml:space="preserve"> </w:t>
      </w:r>
      <w:proofErr w:type="spellStart"/>
      <w:r w:rsidRPr="00517EB1">
        <w:rPr>
          <w:rFonts w:eastAsia="Calibri"/>
          <w:sz w:val="24"/>
          <w:szCs w:val="24"/>
          <w:lang w:eastAsia="en-US"/>
        </w:rPr>
        <w:t>SanJuan</w:t>
      </w:r>
      <w:proofErr w:type="spellEnd"/>
      <w:r w:rsidRPr="00517EB1">
        <w:rPr>
          <w:rFonts w:eastAsia="Calibri"/>
          <w:sz w:val="24"/>
          <w:szCs w:val="24"/>
          <w:lang w:eastAsia="en-US"/>
        </w:rPr>
        <w:t xml:space="preserve">, T. y </w:t>
      </w:r>
      <w:proofErr w:type="spellStart"/>
      <w:r w:rsidRPr="00517EB1">
        <w:rPr>
          <w:rFonts w:eastAsia="Calibri"/>
          <w:sz w:val="24"/>
          <w:szCs w:val="24"/>
          <w:lang w:eastAsia="en-US"/>
        </w:rPr>
        <w:t>Remotti</w:t>
      </w:r>
      <w:proofErr w:type="spellEnd"/>
      <w:r w:rsidRPr="00517EB1">
        <w:rPr>
          <w:rFonts w:eastAsia="Calibri"/>
          <w:sz w:val="24"/>
          <w:szCs w:val="24"/>
          <w:lang w:eastAsia="en-US"/>
        </w:rPr>
        <w:t xml:space="preserve"> Carbonell, J.C. “Configuración Constitucional de la seguridad ciudadana”. Revista de Estudios Políticos Nueva Época, nº87. Enero-marzo 1995.</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proofErr w:type="spellStart"/>
      <w:r w:rsidRPr="00517EB1">
        <w:rPr>
          <w:rFonts w:eastAsia="Calibri"/>
          <w:sz w:val="24"/>
          <w:szCs w:val="24"/>
          <w:lang w:eastAsia="en-US"/>
        </w:rPr>
        <w:t>Gomá</w:t>
      </w:r>
      <w:proofErr w:type="spellEnd"/>
      <w:r w:rsidRPr="00517EB1">
        <w:rPr>
          <w:rFonts w:eastAsia="Calibri"/>
          <w:sz w:val="24"/>
          <w:szCs w:val="24"/>
          <w:lang w:eastAsia="en-US"/>
        </w:rPr>
        <w:t xml:space="preserve">, J.J. Inspector del Cuerpo Nacional de Policía y politólogo.  Comentarios al anteproyecto de Ley para la protección de la Seguridad Ciudadana. Fundación  Ciudadanía y Valores.2013.pp.: 6-11. Fuente: </w:t>
      </w:r>
      <w:hyperlink r:id="rId11" w:history="1">
        <w:r w:rsidRPr="00517EB1">
          <w:rPr>
            <w:rFonts w:eastAsia="Calibri"/>
            <w:color w:val="0000FF" w:themeColor="hyperlink"/>
            <w:sz w:val="24"/>
            <w:szCs w:val="24"/>
            <w:u w:val="single"/>
            <w:lang w:eastAsia="en-US"/>
          </w:rPr>
          <w:t>www.funciva.org</w:t>
        </w:r>
      </w:hyperlink>
      <w:r w:rsidRPr="00517EB1">
        <w:rPr>
          <w:rFonts w:eastAsia="Calibri"/>
          <w:sz w:val="24"/>
          <w:szCs w:val="24"/>
          <w:lang w:eastAsia="en-US"/>
        </w:rPr>
        <w:t xml:space="preserve"> </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Gutiérrez </w:t>
      </w:r>
      <w:proofErr w:type="spellStart"/>
      <w:r w:rsidRPr="00517EB1">
        <w:rPr>
          <w:rFonts w:eastAsia="Calibri"/>
          <w:sz w:val="24"/>
          <w:szCs w:val="24"/>
          <w:lang w:eastAsia="en-US"/>
        </w:rPr>
        <w:t>Gutiérrez</w:t>
      </w:r>
      <w:proofErr w:type="spellEnd"/>
      <w:r w:rsidRPr="00517EB1">
        <w:rPr>
          <w:rFonts w:eastAsia="Calibri"/>
          <w:sz w:val="24"/>
          <w:szCs w:val="24"/>
          <w:lang w:eastAsia="en-US"/>
        </w:rPr>
        <w:t xml:space="preserve"> I. coord. </w:t>
      </w:r>
      <w:r w:rsidRPr="00517EB1">
        <w:rPr>
          <w:rFonts w:eastAsia="Calibri"/>
          <w:i/>
          <w:sz w:val="24"/>
          <w:szCs w:val="24"/>
          <w:lang w:eastAsia="en-US"/>
        </w:rPr>
        <w:t>Democracia indignada</w:t>
      </w:r>
      <w:r w:rsidRPr="00517EB1">
        <w:rPr>
          <w:rFonts w:eastAsia="Calibri"/>
          <w:sz w:val="24"/>
          <w:szCs w:val="24"/>
          <w:lang w:eastAsia="en-US"/>
        </w:rPr>
        <w:t xml:space="preserve">. Biblioteca </w:t>
      </w:r>
      <w:proofErr w:type="spellStart"/>
      <w:r w:rsidRPr="00517EB1">
        <w:rPr>
          <w:rFonts w:eastAsia="Calibri"/>
          <w:sz w:val="24"/>
          <w:szCs w:val="24"/>
          <w:lang w:eastAsia="en-US"/>
        </w:rPr>
        <w:t>Comares</w:t>
      </w:r>
      <w:proofErr w:type="spellEnd"/>
      <w:r w:rsidRPr="00517EB1">
        <w:rPr>
          <w:rFonts w:eastAsia="Calibri"/>
          <w:sz w:val="24"/>
          <w:szCs w:val="24"/>
          <w:lang w:eastAsia="en-US"/>
        </w:rPr>
        <w:t xml:space="preserve"> de Ciencia Jurídica. Granada 2014.</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Ilustre Colegio de Abogados de Jaén</w:t>
      </w:r>
      <w:r w:rsidRPr="00517EB1">
        <w:rPr>
          <w:rFonts w:eastAsia="Calibri"/>
          <w:i/>
          <w:sz w:val="24"/>
          <w:szCs w:val="24"/>
          <w:lang w:eastAsia="en-US"/>
        </w:rPr>
        <w:t>: Especial Reforma Código Penal 2015</w:t>
      </w:r>
      <w:r w:rsidRPr="00517EB1">
        <w:rPr>
          <w:rFonts w:eastAsia="Calibri"/>
          <w:sz w:val="24"/>
          <w:szCs w:val="24"/>
          <w:lang w:eastAsia="en-US"/>
        </w:rPr>
        <w:t xml:space="preserve">. </w:t>
      </w:r>
      <w:proofErr w:type="spellStart"/>
      <w:r w:rsidRPr="00517EB1">
        <w:rPr>
          <w:rFonts w:eastAsia="Calibri"/>
          <w:sz w:val="24"/>
          <w:szCs w:val="24"/>
          <w:lang w:eastAsia="en-US"/>
        </w:rPr>
        <w:t>Wolters</w:t>
      </w:r>
      <w:proofErr w:type="spellEnd"/>
      <w:r w:rsidRPr="00517EB1">
        <w:rPr>
          <w:rFonts w:eastAsia="Calibri"/>
          <w:sz w:val="24"/>
          <w:szCs w:val="24"/>
          <w:lang w:eastAsia="en-US"/>
        </w:rPr>
        <w:t xml:space="preserve"> Kluwer.Madrid.2015. pp.:13-25, 46-50.</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Manzanares Samaniego, J.L. “Algunas consideraciones sobre el régimen sancionador  en el Proyecto de Ley Orgánica de protección de la seguridad ciudadana”. Diario La </w:t>
      </w:r>
      <w:r w:rsidRPr="00517EB1">
        <w:rPr>
          <w:rFonts w:eastAsia="Calibri"/>
          <w:sz w:val="24"/>
          <w:szCs w:val="24"/>
          <w:lang w:eastAsia="en-US"/>
        </w:rPr>
        <w:lastRenderedPageBreak/>
        <w:t xml:space="preserve">Ley, Nº 8408, Sección Doctrina, 28 de Octubre de 2014. Ref. D-353. Fuente: </w:t>
      </w:r>
      <w:hyperlink r:id="rId12" w:history="1">
        <w:r w:rsidRPr="00517EB1">
          <w:rPr>
            <w:rFonts w:eastAsia="Calibri"/>
            <w:color w:val="0000FF" w:themeColor="hyperlink"/>
            <w:sz w:val="24"/>
            <w:szCs w:val="24"/>
            <w:u w:val="single"/>
            <w:lang w:eastAsia="en-US"/>
          </w:rPr>
          <w:t>www.laleydigital.laley.es.avalos.ujaen.es</w:t>
        </w:r>
      </w:hyperlink>
      <w:r w:rsidRPr="00517EB1">
        <w:rPr>
          <w:rFonts w:eastAsia="Calibri"/>
          <w:sz w:val="24"/>
          <w:szCs w:val="24"/>
          <w:lang w:eastAsia="en-US"/>
        </w:rPr>
        <w:t xml:space="preserve"> </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Ministerio de Interior. Gobierno de España. “Anteproyecto de Ley Orgánica de Protección de la Seguridad Ciudadana”. Fuente: </w:t>
      </w:r>
      <w:hyperlink r:id="rId13">
        <w:r w:rsidRPr="00517EB1">
          <w:rPr>
            <w:rFonts w:eastAsia="Calibri"/>
            <w:color w:val="0563C1"/>
            <w:sz w:val="24"/>
            <w:szCs w:val="24"/>
            <w:u w:val="single"/>
            <w:lang w:eastAsia="en-US"/>
          </w:rPr>
          <w:t>www.lamoncloa.gob.es</w:t>
        </w:r>
      </w:hyperlink>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Ministerio de Interior. “La criminalidad desciende un 3,6% en 2014 y posiciona a España entre los países más seguros del mundo”. Madrid 2015. Fuente: </w:t>
      </w:r>
      <w:hyperlink r:id="rId14">
        <w:r w:rsidRPr="00517EB1">
          <w:rPr>
            <w:rFonts w:eastAsia="Calibri"/>
            <w:color w:val="0563C1"/>
            <w:sz w:val="24"/>
            <w:szCs w:val="24"/>
            <w:u w:val="single"/>
            <w:lang w:eastAsia="en-US"/>
          </w:rPr>
          <w:t>www.interior.gob.es</w:t>
        </w:r>
      </w:hyperlink>
      <w:r w:rsidRPr="00517EB1">
        <w:rPr>
          <w:rFonts w:eastAsia="Calibri"/>
          <w:sz w:val="24"/>
          <w:szCs w:val="24"/>
          <w:lang w:eastAsia="en-US"/>
        </w:rPr>
        <w:t xml:space="preserve"> </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  Núñez Fernández, J. “Análisis crítico de la libertad condicional en el proyecto de reforma del Código Penal de 20 de septiembre de 2013 (especial referencia a la prisión permanente revisable)”. La Ley Penal, Nº 110, Sección Estudios, Editorial LA LEY. Fuente: </w:t>
      </w:r>
      <w:hyperlink r:id="rId15" w:history="1">
        <w:r w:rsidRPr="00517EB1">
          <w:rPr>
            <w:rFonts w:eastAsia="Calibri"/>
            <w:color w:val="0000FF" w:themeColor="hyperlink"/>
            <w:sz w:val="24"/>
            <w:szCs w:val="24"/>
            <w:u w:val="single"/>
            <w:lang w:eastAsia="en-US"/>
          </w:rPr>
          <w:t>www.laleydigital.laley.es.avalos.ujaen.es</w:t>
        </w:r>
      </w:hyperlink>
      <w:r w:rsidRPr="00517EB1">
        <w:rPr>
          <w:rFonts w:eastAsia="Calibri"/>
          <w:sz w:val="24"/>
          <w:szCs w:val="24"/>
          <w:lang w:eastAsia="en-US"/>
        </w:rPr>
        <w:t xml:space="preserve"> </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Peces-Barba Martínez. G. </w:t>
      </w:r>
      <w:r w:rsidRPr="00517EB1">
        <w:rPr>
          <w:rFonts w:eastAsia="Calibri"/>
          <w:i/>
          <w:sz w:val="24"/>
          <w:szCs w:val="24"/>
          <w:lang w:eastAsia="en-US"/>
        </w:rPr>
        <w:t>Lecciones de Derechos Fundamentales,</w:t>
      </w:r>
      <w:r w:rsidRPr="00517EB1">
        <w:rPr>
          <w:rFonts w:eastAsia="Calibri"/>
          <w:sz w:val="24"/>
          <w:szCs w:val="24"/>
          <w:lang w:eastAsia="en-US"/>
        </w:rPr>
        <w:t xml:space="preserve"> Colección de Derechos Humanos y Filosofía del Derecho Dykinson.2004.  pp.: 29-47.</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  Peces-Barba Martínez, G. </w:t>
      </w:r>
      <w:r w:rsidRPr="00517EB1">
        <w:rPr>
          <w:rFonts w:eastAsia="Calibri"/>
          <w:i/>
          <w:sz w:val="24"/>
          <w:szCs w:val="24"/>
          <w:lang w:eastAsia="en-US"/>
        </w:rPr>
        <w:t>Curso de Derechos Fundamentales. Teoría general</w:t>
      </w:r>
      <w:r w:rsidRPr="00517EB1">
        <w:rPr>
          <w:rFonts w:eastAsia="Calibri"/>
          <w:sz w:val="24"/>
          <w:szCs w:val="24"/>
          <w:lang w:eastAsia="en-US"/>
        </w:rPr>
        <w:t>. Universidad Carlos III de Madrid y Boletín Oficial del Estado. Madrid, 1999. Pp.: 156-157.</w:t>
      </w:r>
    </w:p>
    <w:p w:rsidR="00517EB1" w:rsidRPr="00517EB1" w:rsidRDefault="00517EB1" w:rsidP="00517EB1">
      <w:pPr>
        <w:widowControl w:val="0"/>
        <w:numPr>
          <w:ilvl w:val="0"/>
          <w:numId w:val="3"/>
        </w:numPr>
        <w:contextualSpacing/>
        <w:rPr>
          <w:rFonts w:eastAsia="Calibri"/>
          <w:sz w:val="24"/>
          <w:szCs w:val="24"/>
          <w:lang w:eastAsia="en-US"/>
        </w:rPr>
      </w:pPr>
      <w:r w:rsidRPr="00517EB1">
        <w:rPr>
          <w:rFonts w:eastAsia="Calibri"/>
          <w:sz w:val="24"/>
          <w:szCs w:val="24"/>
          <w:lang w:eastAsia="en-US"/>
        </w:rPr>
        <w:t xml:space="preserve">Pérez </w:t>
      </w:r>
      <w:proofErr w:type="spellStart"/>
      <w:r w:rsidRPr="00517EB1">
        <w:rPr>
          <w:rFonts w:eastAsia="Calibri"/>
          <w:sz w:val="24"/>
          <w:szCs w:val="24"/>
          <w:lang w:eastAsia="en-US"/>
        </w:rPr>
        <w:t>Luño</w:t>
      </w:r>
      <w:proofErr w:type="spellEnd"/>
      <w:r w:rsidRPr="00517EB1">
        <w:rPr>
          <w:rFonts w:eastAsia="Calibri"/>
          <w:sz w:val="24"/>
          <w:szCs w:val="24"/>
          <w:lang w:eastAsia="en-US"/>
        </w:rPr>
        <w:t xml:space="preserve">, A.E. Derechos Humanos, Estado de Derecho y Constitución. </w:t>
      </w:r>
      <w:proofErr w:type="spellStart"/>
      <w:r w:rsidRPr="00517EB1">
        <w:rPr>
          <w:rFonts w:eastAsia="Calibri"/>
          <w:sz w:val="24"/>
          <w:szCs w:val="24"/>
          <w:lang w:eastAsia="en-US"/>
        </w:rPr>
        <w:t>Tecnos</w:t>
      </w:r>
      <w:proofErr w:type="spellEnd"/>
      <w:r w:rsidRPr="00517EB1">
        <w:rPr>
          <w:rFonts w:eastAsia="Calibri"/>
          <w:sz w:val="24"/>
          <w:szCs w:val="24"/>
          <w:lang w:eastAsia="en-US"/>
        </w:rPr>
        <w:t>, 2005. Pp.: 116-117.</w:t>
      </w:r>
    </w:p>
    <w:p w:rsidR="00517EB1" w:rsidRPr="00517EB1" w:rsidRDefault="00517EB1" w:rsidP="00517EB1">
      <w:pPr>
        <w:widowControl w:val="0"/>
        <w:spacing w:after="160" w:line="360" w:lineRule="auto"/>
        <w:ind w:left="720"/>
        <w:contextualSpacing/>
        <w:jc w:val="both"/>
        <w:rPr>
          <w:rFonts w:eastAsia="Calibri"/>
          <w:sz w:val="24"/>
          <w:szCs w:val="24"/>
          <w:lang w:eastAsia="en-US"/>
        </w:rPr>
      </w:pP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  </w:t>
      </w:r>
      <w:proofErr w:type="spellStart"/>
      <w:r w:rsidRPr="00517EB1">
        <w:rPr>
          <w:rFonts w:eastAsia="Calibri"/>
          <w:sz w:val="24"/>
          <w:szCs w:val="24"/>
          <w:lang w:eastAsia="en-US"/>
        </w:rPr>
        <w:t>Perez</w:t>
      </w:r>
      <w:proofErr w:type="spellEnd"/>
      <w:r w:rsidRPr="00517EB1">
        <w:rPr>
          <w:rFonts w:eastAsia="Calibri"/>
          <w:sz w:val="24"/>
          <w:szCs w:val="24"/>
          <w:lang w:eastAsia="en-US"/>
        </w:rPr>
        <w:t xml:space="preserve"> </w:t>
      </w:r>
      <w:proofErr w:type="spellStart"/>
      <w:r w:rsidRPr="00517EB1">
        <w:rPr>
          <w:rFonts w:eastAsia="Calibri"/>
          <w:sz w:val="24"/>
          <w:szCs w:val="24"/>
          <w:lang w:eastAsia="en-US"/>
        </w:rPr>
        <w:t>Luño</w:t>
      </w:r>
      <w:proofErr w:type="spellEnd"/>
      <w:r w:rsidRPr="00517EB1">
        <w:rPr>
          <w:rFonts w:eastAsia="Calibri"/>
          <w:sz w:val="24"/>
          <w:szCs w:val="24"/>
          <w:lang w:eastAsia="en-US"/>
        </w:rPr>
        <w:t xml:space="preserve">, A.E. </w:t>
      </w:r>
      <w:r w:rsidRPr="00517EB1">
        <w:rPr>
          <w:rFonts w:eastAsia="Calibri"/>
          <w:i/>
          <w:sz w:val="24"/>
          <w:szCs w:val="24"/>
          <w:lang w:eastAsia="en-US"/>
        </w:rPr>
        <w:t>La tercera generación de Derechos Humanos</w:t>
      </w:r>
      <w:r w:rsidRPr="00517EB1">
        <w:rPr>
          <w:rFonts w:eastAsia="Calibri"/>
          <w:sz w:val="24"/>
          <w:szCs w:val="24"/>
          <w:lang w:eastAsia="en-US"/>
        </w:rPr>
        <w:t>. Aranzadi. Navarra, 2006.pp.: 121</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Pérez </w:t>
      </w:r>
      <w:proofErr w:type="spellStart"/>
      <w:r w:rsidRPr="00517EB1">
        <w:rPr>
          <w:rFonts w:eastAsia="Calibri"/>
          <w:sz w:val="24"/>
          <w:szCs w:val="24"/>
          <w:lang w:eastAsia="en-US"/>
        </w:rPr>
        <w:t>Luño</w:t>
      </w:r>
      <w:proofErr w:type="spellEnd"/>
      <w:r w:rsidRPr="00517EB1">
        <w:rPr>
          <w:rFonts w:eastAsia="Calibri"/>
          <w:sz w:val="24"/>
          <w:szCs w:val="24"/>
          <w:lang w:eastAsia="en-US"/>
        </w:rPr>
        <w:t>, A.E</w:t>
      </w:r>
      <w:r w:rsidRPr="00517EB1">
        <w:rPr>
          <w:rFonts w:eastAsia="Calibri"/>
          <w:i/>
          <w:sz w:val="24"/>
          <w:szCs w:val="24"/>
          <w:lang w:eastAsia="en-US"/>
        </w:rPr>
        <w:t>. Los Derechos Fundamentales</w:t>
      </w:r>
      <w:r w:rsidRPr="00517EB1">
        <w:rPr>
          <w:rFonts w:eastAsia="Calibri"/>
          <w:sz w:val="24"/>
          <w:szCs w:val="24"/>
          <w:lang w:eastAsia="en-US"/>
        </w:rPr>
        <w:t xml:space="preserve">. </w:t>
      </w:r>
      <w:proofErr w:type="spellStart"/>
      <w:r w:rsidRPr="00517EB1">
        <w:rPr>
          <w:rFonts w:eastAsia="Calibri"/>
          <w:sz w:val="24"/>
          <w:szCs w:val="24"/>
          <w:lang w:eastAsia="en-US"/>
        </w:rPr>
        <w:t>Tecnos</w:t>
      </w:r>
      <w:proofErr w:type="spellEnd"/>
      <w:r w:rsidRPr="00517EB1">
        <w:rPr>
          <w:rFonts w:eastAsia="Calibri"/>
          <w:sz w:val="24"/>
          <w:szCs w:val="24"/>
          <w:lang w:eastAsia="en-US"/>
        </w:rPr>
        <w:t>. Madrid, 2007. Pp.: 174-181.</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  Pérez Royo, J. </w:t>
      </w:r>
      <w:r w:rsidRPr="00517EB1">
        <w:rPr>
          <w:rFonts w:eastAsia="Calibri"/>
          <w:i/>
          <w:sz w:val="24"/>
          <w:szCs w:val="24"/>
          <w:lang w:eastAsia="en-US"/>
        </w:rPr>
        <w:t>Curso de Derecho Constitucional</w:t>
      </w:r>
      <w:r w:rsidRPr="00517EB1">
        <w:rPr>
          <w:rFonts w:eastAsia="Calibri"/>
          <w:sz w:val="24"/>
          <w:szCs w:val="24"/>
          <w:lang w:eastAsia="en-US"/>
        </w:rPr>
        <w:t>. Marcial Pons. Madrid, 2003. Pp.: 450.</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i/>
          <w:sz w:val="24"/>
          <w:szCs w:val="24"/>
          <w:lang w:eastAsia="en-US"/>
        </w:rPr>
        <w:t>Platón.</w:t>
      </w:r>
      <w:r w:rsidRPr="00517EB1">
        <w:rPr>
          <w:rFonts w:eastAsia="Calibri"/>
          <w:sz w:val="24"/>
          <w:szCs w:val="24"/>
          <w:lang w:eastAsia="en-US"/>
        </w:rPr>
        <w:t xml:space="preserve"> </w:t>
      </w:r>
      <w:r w:rsidRPr="00517EB1">
        <w:rPr>
          <w:rFonts w:eastAsia="Calibri"/>
          <w:i/>
          <w:sz w:val="24"/>
          <w:szCs w:val="24"/>
          <w:lang w:eastAsia="en-US"/>
        </w:rPr>
        <w:t>La República</w:t>
      </w:r>
      <w:r w:rsidRPr="00517EB1">
        <w:rPr>
          <w:rFonts w:eastAsia="Calibri"/>
          <w:sz w:val="24"/>
          <w:szCs w:val="24"/>
          <w:lang w:eastAsia="en-US"/>
        </w:rPr>
        <w:t>. Traductor: Pabón  J.M. y Fdez. Galiano, M. Instituto de Estudios Políticos, Madrid, 1949.</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Preámbulo de la Ley Orgánica 1/2015, de 30 de marzo, por la que se modifica la Ley Orgánica 10/1995, de 23 de noviembre, del Código Penal. Fuente:  </w:t>
      </w:r>
      <w:hyperlink r:id="rId16">
        <w:r w:rsidRPr="00517EB1">
          <w:rPr>
            <w:rFonts w:eastAsia="Calibri"/>
            <w:color w:val="0563C1"/>
            <w:sz w:val="24"/>
            <w:szCs w:val="24"/>
            <w:u w:val="single"/>
            <w:lang w:eastAsia="en-US"/>
          </w:rPr>
          <w:t>www.boe.es</w:t>
        </w:r>
      </w:hyperlink>
      <w:r w:rsidRPr="00517EB1">
        <w:rPr>
          <w:rFonts w:eastAsia="Calibri"/>
          <w:sz w:val="24"/>
          <w:szCs w:val="24"/>
          <w:lang w:eastAsia="en-US"/>
        </w:rPr>
        <w:t xml:space="preserve"> </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Prieto </w:t>
      </w:r>
      <w:proofErr w:type="spellStart"/>
      <w:r w:rsidRPr="00517EB1">
        <w:rPr>
          <w:rFonts w:eastAsia="Calibri"/>
          <w:sz w:val="24"/>
          <w:szCs w:val="24"/>
          <w:lang w:eastAsia="en-US"/>
        </w:rPr>
        <w:t>Sanchís</w:t>
      </w:r>
      <w:proofErr w:type="spellEnd"/>
      <w:r w:rsidRPr="00517EB1">
        <w:rPr>
          <w:rFonts w:eastAsia="Calibri"/>
          <w:sz w:val="24"/>
          <w:szCs w:val="24"/>
          <w:lang w:eastAsia="en-US"/>
        </w:rPr>
        <w:t>, L</w:t>
      </w:r>
      <w:r w:rsidRPr="00517EB1">
        <w:rPr>
          <w:rFonts w:eastAsia="Calibri"/>
          <w:i/>
          <w:sz w:val="24"/>
          <w:szCs w:val="24"/>
          <w:lang w:eastAsia="en-US"/>
        </w:rPr>
        <w:t>. Ley, principios y derechos</w:t>
      </w:r>
      <w:r w:rsidRPr="00517EB1">
        <w:rPr>
          <w:rFonts w:eastAsia="Calibri"/>
          <w:sz w:val="24"/>
          <w:szCs w:val="24"/>
          <w:lang w:eastAsia="en-US"/>
        </w:rPr>
        <w:t xml:space="preserve">. </w:t>
      </w:r>
      <w:proofErr w:type="spellStart"/>
      <w:r w:rsidRPr="00517EB1">
        <w:rPr>
          <w:rFonts w:eastAsia="Calibri"/>
          <w:sz w:val="24"/>
          <w:szCs w:val="24"/>
          <w:lang w:eastAsia="en-US"/>
        </w:rPr>
        <w:t>Dykinson</w:t>
      </w:r>
      <w:proofErr w:type="spellEnd"/>
      <w:r w:rsidRPr="00517EB1">
        <w:rPr>
          <w:rFonts w:eastAsia="Calibri"/>
          <w:sz w:val="24"/>
          <w:szCs w:val="24"/>
          <w:lang w:eastAsia="en-US"/>
        </w:rPr>
        <w:t>, 1998. Pp.: 66-67.</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proofErr w:type="spellStart"/>
      <w:r w:rsidRPr="00517EB1">
        <w:rPr>
          <w:rFonts w:eastAsia="Calibri"/>
          <w:sz w:val="24"/>
          <w:szCs w:val="24"/>
          <w:lang w:eastAsia="en-US"/>
        </w:rPr>
        <w:t>Rights</w:t>
      </w:r>
      <w:proofErr w:type="spellEnd"/>
      <w:r w:rsidRPr="00517EB1">
        <w:rPr>
          <w:rFonts w:eastAsia="Calibri"/>
          <w:sz w:val="24"/>
          <w:szCs w:val="24"/>
          <w:lang w:eastAsia="en-US"/>
        </w:rPr>
        <w:t xml:space="preserve"> International </w:t>
      </w:r>
      <w:proofErr w:type="spellStart"/>
      <w:r w:rsidRPr="00517EB1">
        <w:rPr>
          <w:rFonts w:eastAsia="Calibri"/>
          <w:sz w:val="24"/>
          <w:szCs w:val="24"/>
          <w:lang w:eastAsia="en-US"/>
        </w:rPr>
        <w:t>Spain</w:t>
      </w:r>
      <w:proofErr w:type="spellEnd"/>
      <w:r w:rsidRPr="00517EB1">
        <w:rPr>
          <w:rFonts w:eastAsia="Calibri"/>
          <w:sz w:val="24"/>
          <w:szCs w:val="24"/>
          <w:lang w:eastAsia="en-US"/>
        </w:rPr>
        <w:t>: “Observaciones de la ONU sobre la reforma del Código Penal y la Ley Mordaza”. Junio 2014. Fuente:</w:t>
      </w:r>
      <w:hyperlink r:id="rId17">
        <w:r w:rsidRPr="00517EB1">
          <w:rPr>
            <w:rFonts w:eastAsia="Calibri"/>
            <w:color w:val="0563C1"/>
            <w:sz w:val="24"/>
            <w:szCs w:val="24"/>
            <w:u w:val="single"/>
            <w:lang w:eastAsia="en-US"/>
          </w:rPr>
          <w:t>www.rightsinternationalspain.org</w:t>
        </w:r>
      </w:hyperlink>
      <w:r w:rsidRPr="00517EB1">
        <w:rPr>
          <w:rFonts w:eastAsia="Calibri"/>
          <w:sz w:val="24"/>
          <w:szCs w:val="24"/>
          <w:lang w:eastAsia="en-US"/>
        </w:rPr>
        <w:t xml:space="preserve"> </w:t>
      </w:r>
    </w:p>
    <w:p w:rsidR="00517EB1" w:rsidRPr="00517EB1" w:rsidRDefault="00517EB1" w:rsidP="00517EB1">
      <w:pPr>
        <w:widowControl w:val="0"/>
        <w:numPr>
          <w:ilvl w:val="0"/>
          <w:numId w:val="3"/>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Rodríguez </w:t>
      </w:r>
      <w:proofErr w:type="spellStart"/>
      <w:r w:rsidRPr="00517EB1">
        <w:rPr>
          <w:rFonts w:eastAsia="Calibri"/>
          <w:sz w:val="24"/>
          <w:szCs w:val="24"/>
          <w:lang w:eastAsia="en-US"/>
        </w:rPr>
        <w:t>Lainz</w:t>
      </w:r>
      <w:proofErr w:type="spellEnd"/>
      <w:r w:rsidRPr="00517EB1">
        <w:rPr>
          <w:rFonts w:eastAsia="Calibri"/>
          <w:sz w:val="24"/>
          <w:szCs w:val="24"/>
          <w:lang w:eastAsia="en-US"/>
        </w:rPr>
        <w:t xml:space="preserve">, J.L. “Los nuevos delitos leves: aspectos sustantivos y procesales” Diario La Ley, Nº 8524, Sección Doctrina, 22 de Abril de 2015, Ref. D-155. Fuente:  </w:t>
      </w:r>
      <w:hyperlink r:id="rId18" w:history="1">
        <w:r w:rsidRPr="00517EB1">
          <w:rPr>
            <w:rFonts w:eastAsia="Calibri"/>
            <w:color w:val="0000FF" w:themeColor="hyperlink"/>
            <w:sz w:val="24"/>
            <w:szCs w:val="24"/>
            <w:u w:val="single"/>
            <w:lang w:eastAsia="en-US"/>
          </w:rPr>
          <w:t>www.laleydigital.laley.es.avalos.ujaen.es</w:t>
        </w:r>
      </w:hyperlink>
      <w:r w:rsidRPr="00517EB1">
        <w:rPr>
          <w:rFonts w:eastAsia="Calibri"/>
          <w:sz w:val="24"/>
          <w:szCs w:val="24"/>
          <w:lang w:eastAsia="en-US"/>
        </w:rPr>
        <w:t xml:space="preserve"> </w:t>
      </w:r>
    </w:p>
    <w:p w:rsidR="00517EB1" w:rsidRPr="00517EB1" w:rsidRDefault="00517EB1" w:rsidP="00517EB1">
      <w:pPr>
        <w:widowControl w:val="0"/>
        <w:spacing w:after="160" w:line="360" w:lineRule="auto"/>
        <w:jc w:val="both"/>
        <w:rPr>
          <w:rFonts w:eastAsia="Calibri"/>
          <w:b/>
          <w:sz w:val="24"/>
          <w:szCs w:val="24"/>
          <w:lang w:eastAsia="en-US"/>
        </w:rPr>
      </w:pPr>
    </w:p>
    <w:p w:rsidR="00517EB1" w:rsidRPr="00517EB1" w:rsidRDefault="00517EB1" w:rsidP="00517EB1">
      <w:pPr>
        <w:widowControl w:val="0"/>
        <w:spacing w:after="160" w:line="360" w:lineRule="auto"/>
        <w:jc w:val="both"/>
        <w:rPr>
          <w:rFonts w:eastAsia="Calibri"/>
          <w:b/>
          <w:sz w:val="24"/>
          <w:szCs w:val="24"/>
          <w:lang w:eastAsia="en-US"/>
        </w:rPr>
      </w:pPr>
      <w:r w:rsidRPr="00517EB1">
        <w:rPr>
          <w:rFonts w:eastAsia="Calibri"/>
          <w:b/>
          <w:sz w:val="24"/>
          <w:szCs w:val="24"/>
          <w:lang w:eastAsia="en-US"/>
        </w:rPr>
        <w:t xml:space="preserve"> REFERENCIAS JURISPRUDENCIALES:</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109/1987 de 29 de junio.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22/1984, de 17 de febrero «es la legalidad ordinaria la que debe ajustarse en su inteligencia y en su aplicación al orden constitucional».</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55/1990 de 28 de marzo.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SSTC 64/1988, de 12 de abril .Aceptación por parte de la jurisprudencia del Tribunal Constitucional  de la doble dimensión de los Derechos Fundamentales.</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3/1992 de 13 enero.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120/1990 de 27 de junio.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15/1986 de 31 de enero.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106/1986 de 16 de diciembre.</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104/1986, de 17 de julio.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 xml:space="preserve">STC 159/1986, de 16 de diciembre. </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62/1982, de 17 de octubre.</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6/1981, de 16 de marzo.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20/1992, de 14 de febrero.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85/1988, de 28 de abril.</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110/2006, de 3 de abril.</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66/1995, de 8 de mayo.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163/2006, de 22 de mayo.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2/1982 de 29 de enero.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91/1983 de 7 de noviembre.</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136/2006, de 22 de mayo.</w:t>
      </w:r>
    </w:p>
    <w:p w:rsidR="00517EB1" w:rsidRPr="00517EB1" w:rsidRDefault="00517EB1" w:rsidP="00517EB1">
      <w:pPr>
        <w:widowControl w:val="0"/>
        <w:numPr>
          <w:ilvl w:val="0"/>
          <w:numId w:val="12"/>
        </w:numPr>
        <w:spacing w:after="160" w:line="360" w:lineRule="auto"/>
        <w:contextualSpacing/>
        <w:jc w:val="both"/>
        <w:rPr>
          <w:rFonts w:eastAsia="Calibri"/>
          <w:sz w:val="24"/>
          <w:szCs w:val="24"/>
          <w:lang w:eastAsia="en-US"/>
        </w:rPr>
      </w:pPr>
      <w:r w:rsidRPr="00517EB1">
        <w:rPr>
          <w:rFonts w:eastAsia="Calibri"/>
          <w:sz w:val="24"/>
          <w:szCs w:val="24"/>
          <w:lang w:eastAsia="en-US"/>
        </w:rPr>
        <w:t>STC 101/1985 de 4 de octubre.</w:t>
      </w:r>
    </w:p>
    <w:p w:rsidR="00517EB1" w:rsidRPr="00517EB1" w:rsidRDefault="00517EB1" w:rsidP="00517EB1">
      <w:pPr>
        <w:widowControl w:val="0"/>
        <w:spacing w:after="200" w:line="360" w:lineRule="auto"/>
        <w:rPr>
          <w:rFonts w:eastAsia="Calibri"/>
          <w:b/>
          <w:color w:val="000000"/>
          <w:sz w:val="24"/>
          <w:szCs w:val="24"/>
        </w:rPr>
      </w:pPr>
    </w:p>
    <w:p w:rsidR="00517EB1" w:rsidRPr="00517EB1" w:rsidRDefault="00517EB1" w:rsidP="00517EB1">
      <w:pPr>
        <w:widowControl w:val="0"/>
        <w:spacing w:line="360" w:lineRule="auto"/>
        <w:jc w:val="both"/>
        <w:rPr>
          <w:sz w:val="24"/>
          <w:szCs w:val="24"/>
        </w:rPr>
      </w:pPr>
    </w:p>
    <w:p w:rsidR="00517EB1" w:rsidRPr="00517EB1" w:rsidRDefault="00517EB1" w:rsidP="00517EB1"/>
    <w:p w:rsidR="00517EB1" w:rsidRPr="00F035A3" w:rsidRDefault="00517EB1" w:rsidP="00E05521">
      <w:pPr>
        <w:spacing w:line="360" w:lineRule="auto"/>
        <w:jc w:val="both"/>
        <w:rPr>
          <w:sz w:val="24"/>
          <w:szCs w:val="24"/>
        </w:rPr>
      </w:pPr>
    </w:p>
    <w:sectPr w:rsidR="00517EB1" w:rsidRPr="00F035A3" w:rsidSect="00F035A3">
      <w:footerReference w:type="default" r:id="rId19"/>
      <w:pgSz w:w="11906" w:h="16838"/>
      <w:pgMar w:top="1418" w:right="1418" w:bottom="1418" w:left="1418"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15FB" w:rsidRDefault="00CB15FB" w:rsidP="00EE0782">
      <w:r>
        <w:separator/>
      </w:r>
    </w:p>
  </w:endnote>
  <w:endnote w:type="continuationSeparator" w:id="0">
    <w:p w:rsidR="00CB15FB" w:rsidRDefault="00CB15FB" w:rsidP="00EE07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8099301"/>
      <w:docPartObj>
        <w:docPartGallery w:val="Page Numbers (Bottom of Page)"/>
        <w:docPartUnique/>
      </w:docPartObj>
    </w:sdtPr>
    <w:sdtContent>
      <w:p w:rsidR="009C7D06" w:rsidRDefault="009C7D06">
        <w:pPr>
          <w:pStyle w:val="Piedepgina"/>
          <w:jc w:val="right"/>
        </w:pPr>
        <w:r>
          <w:fldChar w:fldCharType="begin"/>
        </w:r>
        <w:r>
          <w:instrText>PAGE   \* MERGEFORMAT</w:instrText>
        </w:r>
        <w:r>
          <w:fldChar w:fldCharType="separate"/>
        </w:r>
        <w:r w:rsidR="003C3A1F">
          <w:rPr>
            <w:noProof/>
          </w:rPr>
          <w:t>2</w:t>
        </w:r>
        <w:r>
          <w:fldChar w:fldCharType="end"/>
        </w:r>
      </w:p>
    </w:sdtContent>
  </w:sdt>
  <w:p w:rsidR="009C7D06" w:rsidRDefault="009C7D0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15FB" w:rsidRDefault="00CB15FB" w:rsidP="00EE0782"/>
    <w:p w:rsidR="00CB15FB" w:rsidRDefault="00CB15FB" w:rsidP="00EE0782">
      <w:r>
        <w:separator/>
      </w:r>
    </w:p>
  </w:footnote>
  <w:footnote w:type="continuationSeparator" w:id="0">
    <w:p w:rsidR="00CB15FB" w:rsidRDefault="00CB15FB" w:rsidP="00EE0782"/>
    <w:p w:rsidR="00CB15FB" w:rsidRDefault="00CB15FB" w:rsidP="00EE0782">
      <w:r>
        <w:continuationSeparator/>
      </w:r>
    </w:p>
  </w:footnote>
  <w:footnote w:id="1">
    <w:p w:rsidR="009C7D06" w:rsidRPr="00517EB1" w:rsidRDefault="009C7D06" w:rsidP="00CA4601">
      <w:pPr>
        <w:pStyle w:val="Textonotapie"/>
        <w:jc w:val="both"/>
        <w:rPr>
          <w:rFonts w:ascii="Times New Roman" w:hAnsi="Times New Roman" w:cs="Times New Roman"/>
          <w:b w:val="0"/>
        </w:rPr>
      </w:pPr>
      <w:r w:rsidRPr="00517EB1">
        <w:rPr>
          <w:rStyle w:val="Refdenotaalpie"/>
          <w:rFonts w:ascii="Times New Roman" w:hAnsi="Times New Roman" w:cs="Times New Roman"/>
          <w:b w:val="0"/>
        </w:rPr>
        <w:footnoteRef/>
      </w:r>
      <w:r w:rsidRPr="00517EB1">
        <w:rPr>
          <w:rFonts w:ascii="Times New Roman" w:hAnsi="Times New Roman" w:cs="Times New Roman"/>
          <w:b w:val="0"/>
        </w:rPr>
        <w:t xml:space="preserve"> Sobre la indeterminación del Derecho, véase </w:t>
      </w:r>
      <w:proofErr w:type="spellStart"/>
      <w:r w:rsidRPr="00517EB1">
        <w:rPr>
          <w:rFonts w:ascii="Times New Roman" w:hAnsi="Times New Roman" w:cs="Times New Roman"/>
          <w:b w:val="0"/>
        </w:rPr>
        <w:t>Endicott</w:t>
      </w:r>
      <w:proofErr w:type="spellEnd"/>
      <w:r w:rsidRPr="00517EB1">
        <w:rPr>
          <w:rFonts w:ascii="Times New Roman" w:hAnsi="Times New Roman" w:cs="Times New Roman"/>
          <w:b w:val="0"/>
        </w:rPr>
        <w:t xml:space="preserve">, T. </w:t>
      </w:r>
      <w:r w:rsidRPr="00517EB1">
        <w:rPr>
          <w:rFonts w:ascii="Times New Roman" w:hAnsi="Times New Roman" w:cs="Times New Roman"/>
          <w:b w:val="0"/>
          <w:i/>
        </w:rPr>
        <w:t>La vaguedad en el Derecho</w:t>
      </w:r>
      <w:r w:rsidRPr="00517EB1">
        <w:rPr>
          <w:rFonts w:ascii="Times New Roman" w:hAnsi="Times New Roman" w:cs="Times New Roman"/>
          <w:b w:val="0"/>
        </w:rPr>
        <w:t xml:space="preserve">, traducción de J. Alberto del Real Alcalá y Juan Vega Gómez. </w:t>
      </w:r>
      <w:proofErr w:type="spellStart"/>
      <w:r w:rsidRPr="00517EB1">
        <w:rPr>
          <w:rFonts w:ascii="Times New Roman" w:hAnsi="Times New Roman" w:cs="Times New Roman"/>
          <w:b w:val="0"/>
        </w:rPr>
        <w:t>Dykinson</w:t>
      </w:r>
      <w:proofErr w:type="spellEnd"/>
      <w:r w:rsidRPr="00517EB1">
        <w:rPr>
          <w:rFonts w:ascii="Times New Roman" w:hAnsi="Times New Roman" w:cs="Times New Roman"/>
          <w:b w:val="0"/>
        </w:rPr>
        <w:t xml:space="preserve">, Madrid, 2006; también, </w:t>
      </w:r>
      <w:proofErr w:type="spellStart"/>
      <w:r w:rsidRPr="00517EB1">
        <w:rPr>
          <w:rFonts w:ascii="Times New Roman" w:hAnsi="Times New Roman" w:cs="Times New Roman"/>
          <w:b w:val="0"/>
        </w:rPr>
        <w:t>Endicott</w:t>
      </w:r>
      <w:proofErr w:type="spellEnd"/>
      <w:r w:rsidRPr="00517EB1">
        <w:rPr>
          <w:rFonts w:ascii="Times New Roman" w:hAnsi="Times New Roman" w:cs="Times New Roman"/>
          <w:b w:val="0"/>
        </w:rPr>
        <w:t xml:space="preserve">, T. “El Derecho es necesariamente vago”, en </w:t>
      </w:r>
      <w:r w:rsidRPr="00517EB1">
        <w:rPr>
          <w:rFonts w:ascii="Times New Roman" w:hAnsi="Times New Roman" w:cs="Times New Roman"/>
          <w:b w:val="0"/>
          <w:i/>
        </w:rPr>
        <w:t>Derechos y Libertades</w:t>
      </w:r>
      <w:r w:rsidRPr="00517EB1">
        <w:rPr>
          <w:rFonts w:ascii="Times New Roman" w:hAnsi="Times New Roman" w:cs="Times New Roman"/>
          <w:b w:val="0"/>
        </w:rPr>
        <w:t>, nº 12, 2003, pp. 179-189.</w:t>
      </w:r>
    </w:p>
  </w:footnote>
  <w:footnote w:id="2">
    <w:p w:rsidR="009C7D06" w:rsidRPr="00517EB1" w:rsidRDefault="009C7D06" w:rsidP="00CA4601">
      <w:pPr>
        <w:widowControl w:val="0"/>
        <w:spacing w:before="60"/>
        <w:jc w:val="both"/>
      </w:pPr>
      <w:r w:rsidRPr="00517EB1">
        <w:rPr>
          <w:vertAlign w:val="superscript"/>
        </w:rPr>
        <w:footnoteRef/>
      </w:r>
      <w:r w:rsidRPr="00517EB1">
        <w:t xml:space="preserve"> </w:t>
      </w:r>
      <w:proofErr w:type="spellStart"/>
      <w:r w:rsidRPr="00517EB1">
        <w:t>Arzamendi</w:t>
      </w:r>
      <w:proofErr w:type="spellEnd"/>
      <w:r w:rsidRPr="00517EB1">
        <w:t xml:space="preserve"> de la Cuesta, J.L. </w:t>
      </w:r>
      <w:r w:rsidRPr="00517EB1">
        <w:rPr>
          <w:i/>
        </w:rPr>
        <w:t>Análisis de la aplicación de la Ley Orgánica 1/1992, de 21 de febrero, sobre Protección de la Seguridad Ciudadana en relación con el fenómeno social de las drogas</w:t>
      </w:r>
      <w:r w:rsidRPr="00517EB1">
        <w:t>. Universidad del País Vasco e Instituto Vasco de Criminología. Donostia-</w:t>
      </w:r>
      <w:proofErr w:type="spellStart"/>
      <w:r w:rsidRPr="00517EB1">
        <w:t>SanSebastián</w:t>
      </w:r>
      <w:proofErr w:type="spellEnd"/>
      <w:r w:rsidRPr="00517EB1">
        <w:t>, diciembre 2005, págs.: 1-8.</w:t>
      </w:r>
    </w:p>
  </w:footnote>
  <w:footnote w:id="3">
    <w:p w:rsidR="009C7D06" w:rsidRPr="00517EB1" w:rsidRDefault="009C7D06" w:rsidP="00CA4601">
      <w:pPr>
        <w:widowControl w:val="0"/>
        <w:spacing w:before="60"/>
        <w:jc w:val="both"/>
      </w:pPr>
      <w:r w:rsidRPr="00517EB1">
        <w:rPr>
          <w:vertAlign w:val="superscript"/>
        </w:rPr>
        <w:footnoteRef/>
      </w:r>
      <w:r w:rsidRPr="00517EB1">
        <w:t xml:space="preserve"> CIS. Barómetro de julio de 2014. Estudio 3033.</w:t>
      </w:r>
    </w:p>
  </w:footnote>
  <w:footnote w:id="4">
    <w:p w:rsidR="009C7D06" w:rsidRPr="00517EB1" w:rsidRDefault="009C7D06" w:rsidP="00CA4601">
      <w:pPr>
        <w:widowControl w:val="0"/>
        <w:spacing w:before="60"/>
        <w:jc w:val="both"/>
      </w:pPr>
      <w:r w:rsidRPr="00517EB1">
        <w:rPr>
          <w:vertAlign w:val="superscript"/>
        </w:rPr>
        <w:footnoteRef/>
      </w:r>
      <w:r w:rsidRPr="00517EB1">
        <w:t xml:space="preserve"> Ministerio de Interior. ”</w:t>
      </w:r>
      <w:r w:rsidRPr="00517EB1">
        <w:rPr>
          <w:rFonts w:eastAsia="Arial"/>
          <w:highlight w:val="white"/>
        </w:rPr>
        <w:t>La criminalidad desciende un 3,6% en 2014 y posiciona a España entre los países más seguros del mundo”. Madrid 2015. Fuente:</w:t>
      </w:r>
      <w:r w:rsidRPr="00517EB1">
        <w:rPr>
          <w:rFonts w:eastAsia="Arial"/>
          <w:color w:val="333333"/>
          <w:highlight w:val="white"/>
        </w:rPr>
        <w:t xml:space="preserve"> </w:t>
      </w:r>
      <w:hyperlink r:id="rId1">
        <w:r w:rsidRPr="00517EB1">
          <w:rPr>
            <w:rFonts w:eastAsia="Arial"/>
            <w:color w:val="1155CC"/>
            <w:highlight w:val="white"/>
            <w:u w:val="single"/>
          </w:rPr>
          <w:t>www.interior.gob.es</w:t>
        </w:r>
      </w:hyperlink>
      <w:r w:rsidRPr="00517EB1">
        <w:rPr>
          <w:rFonts w:eastAsia="Arial"/>
          <w:color w:val="333333"/>
          <w:highlight w:val="white"/>
        </w:rPr>
        <w:t xml:space="preserve"> </w:t>
      </w:r>
    </w:p>
  </w:footnote>
  <w:footnote w:id="5">
    <w:p w:rsidR="009C7D06" w:rsidRPr="00517EB1" w:rsidRDefault="009C7D06" w:rsidP="00CA4601">
      <w:pPr>
        <w:widowControl w:val="0"/>
        <w:spacing w:before="60"/>
        <w:jc w:val="both"/>
      </w:pPr>
      <w:r w:rsidRPr="00517EB1">
        <w:rPr>
          <w:vertAlign w:val="superscript"/>
        </w:rPr>
        <w:footnoteRef/>
      </w:r>
      <w:r w:rsidRPr="00517EB1">
        <w:t xml:space="preserve"> </w:t>
      </w:r>
      <w:proofErr w:type="spellStart"/>
      <w:r w:rsidRPr="00517EB1">
        <w:t>Freixes</w:t>
      </w:r>
      <w:proofErr w:type="spellEnd"/>
      <w:r w:rsidRPr="00517EB1">
        <w:t xml:space="preserve"> Sanjuán, T. y </w:t>
      </w:r>
      <w:proofErr w:type="spellStart"/>
      <w:r w:rsidRPr="00517EB1">
        <w:t>Remotti</w:t>
      </w:r>
      <w:proofErr w:type="spellEnd"/>
      <w:r w:rsidRPr="00517EB1">
        <w:t xml:space="preserve"> Carbonell, J. C. “Configuración Constitucional de la seguridad ciudadana”. Revista de Estudios Políticos Nueva Época, nº87. enero-marzo 1995.</w:t>
      </w:r>
    </w:p>
  </w:footnote>
  <w:footnote w:id="6">
    <w:p w:rsidR="009C7D06" w:rsidRPr="00517EB1" w:rsidRDefault="009C7D06" w:rsidP="00CA4601">
      <w:pPr>
        <w:pStyle w:val="Textonotapie"/>
        <w:widowControl w:val="0"/>
        <w:tabs>
          <w:tab w:val="left" w:pos="2010"/>
        </w:tabs>
        <w:spacing w:before="60"/>
        <w:jc w:val="both"/>
        <w:rPr>
          <w:rFonts w:ascii="Times New Roman" w:hAnsi="Times New Roman" w:cs="Times New Roman"/>
          <w:b w:val="0"/>
        </w:rPr>
      </w:pPr>
      <w:r w:rsidRPr="00517EB1">
        <w:rPr>
          <w:rStyle w:val="Refdenotaalpie"/>
          <w:rFonts w:ascii="Times New Roman" w:hAnsi="Times New Roman" w:cs="Times New Roman"/>
          <w:b w:val="0"/>
        </w:rPr>
        <w:footnoteRef/>
      </w:r>
      <w:r w:rsidRPr="00517EB1">
        <w:rPr>
          <w:rFonts w:ascii="Times New Roman" w:hAnsi="Times New Roman" w:cs="Times New Roman"/>
          <w:b w:val="0"/>
        </w:rPr>
        <w:t xml:space="preserve"> STC 120/1990  de 27 de junio.</w:t>
      </w:r>
    </w:p>
  </w:footnote>
  <w:footnote w:id="7">
    <w:p w:rsidR="009C7D06" w:rsidRPr="00517EB1" w:rsidRDefault="009C7D06" w:rsidP="00CA4601">
      <w:pPr>
        <w:pStyle w:val="Textonotapie"/>
        <w:widowControl w:val="0"/>
        <w:spacing w:before="60"/>
        <w:jc w:val="both"/>
        <w:rPr>
          <w:rFonts w:ascii="Times New Roman" w:hAnsi="Times New Roman" w:cs="Times New Roman"/>
          <w:b w:val="0"/>
        </w:rPr>
      </w:pPr>
      <w:r w:rsidRPr="00517EB1">
        <w:rPr>
          <w:rStyle w:val="Refdenotaalpie"/>
          <w:rFonts w:ascii="Times New Roman" w:hAnsi="Times New Roman" w:cs="Times New Roman"/>
          <w:b w:val="0"/>
        </w:rPr>
        <w:footnoteRef/>
      </w:r>
      <w:r w:rsidRPr="00517EB1">
        <w:rPr>
          <w:rFonts w:ascii="Times New Roman" w:hAnsi="Times New Roman" w:cs="Times New Roman"/>
          <w:b w:val="0"/>
        </w:rPr>
        <w:t xml:space="preserve"> Peces-Barba Martínez, G. “Lecciones de Derechos Fundamentales”, Colección de Derechos Humanos y Filosofía del Derecho Dykinson.2004. pp. :171-172.</w:t>
      </w:r>
    </w:p>
  </w:footnote>
  <w:footnote w:id="8">
    <w:p w:rsidR="009C7D06" w:rsidRPr="00517EB1" w:rsidRDefault="009C7D06" w:rsidP="00CA4601">
      <w:pPr>
        <w:pStyle w:val="Textonotapie"/>
        <w:widowControl w:val="0"/>
        <w:spacing w:before="60"/>
        <w:jc w:val="both"/>
        <w:rPr>
          <w:rFonts w:ascii="Times New Roman" w:hAnsi="Times New Roman" w:cs="Times New Roman"/>
        </w:rPr>
      </w:pPr>
      <w:r w:rsidRPr="00517EB1">
        <w:rPr>
          <w:rStyle w:val="Refdenotaalpie"/>
          <w:rFonts w:ascii="Times New Roman" w:hAnsi="Times New Roman" w:cs="Times New Roman"/>
          <w:b w:val="0"/>
        </w:rPr>
        <w:footnoteRef/>
      </w:r>
      <w:r w:rsidRPr="00517EB1">
        <w:rPr>
          <w:rFonts w:ascii="Times New Roman" w:hAnsi="Times New Roman" w:cs="Times New Roman"/>
          <w:b w:val="0"/>
        </w:rPr>
        <w:t xml:space="preserve"> STC 109/1987 de 29 de junio.</w:t>
      </w:r>
    </w:p>
  </w:footnote>
  <w:footnote w:id="9">
    <w:p w:rsidR="009C7D06" w:rsidRPr="00517EB1" w:rsidRDefault="009C7D06" w:rsidP="00CA4601">
      <w:pPr>
        <w:widowControl w:val="0"/>
        <w:spacing w:before="60"/>
        <w:jc w:val="both"/>
      </w:pPr>
      <w:r w:rsidRPr="00517EB1">
        <w:rPr>
          <w:vertAlign w:val="superscript"/>
        </w:rPr>
        <w:footnoteRef/>
      </w:r>
      <w:r w:rsidRPr="00517EB1">
        <w:t xml:space="preserve"> Según la STC 22/1984 de 17 de febrero “es la legalidad ordinaria la que debe ajustarse en su inteligencia y en su aplicación al orden constitucional”.</w:t>
      </w:r>
    </w:p>
  </w:footnote>
  <w:footnote w:id="10">
    <w:p w:rsidR="009C7D06" w:rsidRPr="00517EB1" w:rsidRDefault="009C7D06" w:rsidP="00CA4601">
      <w:pPr>
        <w:pStyle w:val="Textonotapie"/>
        <w:widowControl w:val="0"/>
        <w:spacing w:before="60"/>
        <w:jc w:val="both"/>
        <w:rPr>
          <w:rFonts w:ascii="Times New Roman" w:hAnsi="Times New Roman" w:cs="Times New Roman"/>
          <w:b w:val="0"/>
        </w:rPr>
      </w:pPr>
      <w:r w:rsidRPr="00517EB1">
        <w:rPr>
          <w:rStyle w:val="Refdenotaalpie"/>
          <w:rFonts w:ascii="Times New Roman" w:hAnsi="Times New Roman" w:cs="Times New Roman"/>
          <w:b w:val="0"/>
        </w:rPr>
        <w:footnoteRef/>
      </w:r>
      <w:r w:rsidRPr="00517EB1">
        <w:rPr>
          <w:rFonts w:ascii="Times New Roman" w:hAnsi="Times New Roman" w:cs="Times New Roman"/>
          <w:b w:val="0"/>
        </w:rPr>
        <w:t xml:space="preserve"> STC 55/1990 de 28 de marzo.</w:t>
      </w:r>
    </w:p>
  </w:footnote>
  <w:footnote w:id="11">
    <w:p w:rsidR="009C7D06" w:rsidRPr="00517EB1" w:rsidRDefault="009C7D06" w:rsidP="00CA4601">
      <w:pPr>
        <w:widowControl w:val="0"/>
        <w:spacing w:before="60"/>
        <w:jc w:val="both"/>
      </w:pPr>
      <w:r w:rsidRPr="00517EB1">
        <w:rPr>
          <w:vertAlign w:val="superscript"/>
        </w:rPr>
        <w:footnoteRef/>
      </w:r>
      <w:r w:rsidRPr="00517EB1">
        <w:t xml:space="preserve"> </w:t>
      </w:r>
      <w:proofErr w:type="spellStart"/>
      <w:r w:rsidRPr="00517EB1">
        <w:t>Ansuátegui</w:t>
      </w:r>
      <w:proofErr w:type="spellEnd"/>
      <w:r w:rsidRPr="00517EB1">
        <w:t xml:space="preserve"> Roig, F.J.: </w:t>
      </w:r>
      <w:r w:rsidRPr="00517EB1">
        <w:rPr>
          <w:i/>
        </w:rPr>
        <w:t>Derechos, Constitución, Democracia. Aspectos de la presencia de Derechos Fundamentales en las Constituciones actuales</w:t>
      </w:r>
      <w:r w:rsidRPr="00517EB1">
        <w:t>, Universidad de Valladolid, 2003, Págs.: 24-30.</w:t>
      </w:r>
    </w:p>
  </w:footnote>
  <w:footnote w:id="12">
    <w:p w:rsidR="009C7D06" w:rsidRPr="00517EB1" w:rsidRDefault="009C7D06" w:rsidP="00CA4601">
      <w:pPr>
        <w:widowControl w:val="0"/>
        <w:spacing w:before="60"/>
        <w:jc w:val="both"/>
      </w:pPr>
      <w:r w:rsidRPr="00517EB1">
        <w:rPr>
          <w:vertAlign w:val="superscript"/>
        </w:rPr>
        <w:footnoteRef/>
      </w:r>
      <w:r w:rsidRPr="00517EB1">
        <w:t xml:space="preserve"> LOPSC 4/2015 de 30 de marzo. Art.1</w:t>
      </w:r>
      <w:r w:rsidRPr="00517EB1">
        <w:rPr>
          <w:i/>
        </w:rPr>
        <w:t xml:space="preserve">    1. “</w:t>
      </w:r>
      <w:r w:rsidRPr="00517EB1">
        <w:rPr>
          <w:i/>
          <w:highlight w:val="white"/>
        </w:rPr>
        <w:t>De conformidad con lo dispuesto en los artículos 149.1.29 y 104 de la Constitución corresponde al Gobierno, a través de las autoridades y de las Fuerzas y Cuerpos de Seguridad a sus órdenes, proteger el libre ejercicio de los derechos y libertades y garantizar la seguridad ciudadana, crear y mantener las condiciones adecuadas a tal efecto, y remover los obstáculos que lo impidan, sin perjuicio de las facultades y deberes de otros poderes públicos</w:t>
      </w:r>
      <w:r w:rsidRPr="00517EB1">
        <w:rPr>
          <w:highlight w:val="white"/>
        </w:rPr>
        <w:t>.”</w:t>
      </w:r>
    </w:p>
    <w:p w:rsidR="009C7D06" w:rsidRPr="00517EB1" w:rsidRDefault="009C7D06" w:rsidP="00CA4601">
      <w:pPr>
        <w:widowControl w:val="0"/>
        <w:spacing w:before="60"/>
        <w:jc w:val="both"/>
        <w:rPr>
          <w:i/>
        </w:rPr>
      </w:pPr>
      <w:r w:rsidRPr="00517EB1">
        <w:rPr>
          <w:i/>
          <w:highlight w:val="white"/>
        </w:rPr>
        <w:t>2. “Esta competencia comprende el ejercicio de las potestades administrativas previstas en esta  Ley, con la finalidad de asegurar la convivencia ciudadana, la erradicación de la violencia y la utilización pacífica de las vías y espacios públicos, así como la de prevenir la comisión de delitos y faltas”.</w:t>
      </w:r>
    </w:p>
    <w:p w:rsidR="009C7D06" w:rsidRPr="00517EB1" w:rsidRDefault="009C7D06" w:rsidP="00CA4601">
      <w:pPr>
        <w:widowControl w:val="0"/>
        <w:spacing w:before="60"/>
        <w:jc w:val="both"/>
      </w:pPr>
    </w:p>
  </w:footnote>
  <w:footnote w:id="13">
    <w:p w:rsidR="009C7D06" w:rsidRPr="00517EB1" w:rsidRDefault="009C7D06" w:rsidP="00CA4601">
      <w:pPr>
        <w:widowControl w:val="0"/>
        <w:spacing w:before="60"/>
        <w:jc w:val="both"/>
      </w:pPr>
      <w:r w:rsidRPr="00517EB1">
        <w:rPr>
          <w:vertAlign w:val="superscript"/>
        </w:rPr>
        <w:footnoteRef/>
      </w:r>
      <w:r w:rsidRPr="00517EB1">
        <w:t xml:space="preserve"> Arnaldo Alcubilla, E. Estudios en homenaje a Ángel Ballesteros. “La vigencia de los conceptos de orden público y seguridad ciudadana”, edición nº1, Editorial El Consultor de los Ayuntamientos, Madrid, Enero 2011.</w:t>
      </w:r>
    </w:p>
  </w:footnote>
  <w:footnote w:id="14">
    <w:p w:rsidR="009C7D06" w:rsidRPr="00517EB1" w:rsidRDefault="009C7D06" w:rsidP="00CA4601">
      <w:pPr>
        <w:widowControl w:val="0"/>
        <w:spacing w:before="60"/>
        <w:jc w:val="both"/>
      </w:pPr>
      <w:r w:rsidRPr="00517EB1">
        <w:rPr>
          <w:vertAlign w:val="superscript"/>
        </w:rPr>
        <w:footnoteRef/>
      </w:r>
      <w:r w:rsidRPr="00517EB1">
        <w:t xml:space="preserve"> Ministerio de Interior. Gobierno de España. Anteproyecto de Ley Orgánica de Protección de la Seguridad Ciudadana. Fuente: </w:t>
      </w:r>
      <w:hyperlink r:id="rId2">
        <w:r w:rsidRPr="00517EB1">
          <w:rPr>
            <w:color w:val="1155CC"/>
            <w:u w:val="single"/>
          </w:rPr>
          <w:t>www.lamoncloa.gob.es</w:t>
        </w:r>
      </w:hyperlink>
      <w:r w:rsidRPr="00517EB1">
        <w:t xml:space="preserve"> </w:t>
      </w:r>
    </w:p>
  </w:footnote>
  <w:footnote w:id="15">
    <w:p w:rsidR="009C7D06" w:rsidRPr="00C11B67" w:rsidRDefault="009C7D06" w:rsidP="00CA4601">
      <w:pPr>
        <w:pStyle w:val="Textonotapie"/>
        <w:rPr>
          <w:rFonts w:ascii="Times New Roman" w:hAnsi="Times New Roman" w:cs="Times New Roman"/>
          <w:b w:val="0"/>
        </w:rPr>
      </w:pPr>
      <w:bookmarkStart w:id="1" w:name="h.771ng1udj8d3" w:colFirst="0" w:colLast="0"/>
      <w:bookmarkEnd w:id="1"/>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w:t>
      </w:r>
      <w:proofErr w:type="spellStart"/>
      <w:r w:rsidRPr="00C11B67">
        <w:rPr>
          <w:rFonts w:ascii="Times New Roman" w:hAnsi="Times New Roman" w:cs="Times New Roman"/>
          <w:b w:val="0"/>
        </w:rPr>
        <w:t>Gomá</w:t>
      </w:r>
      <w:proofErr w:type="spellEnd"/>
      <w:r w:rsidRPr="00C11B67">
        <w:rPr>
          <w:rFonts w:ascii="Times New Roman" w:hAnsi="Times New Roman" w:cs="Times New Roman"/>
          <w:b w:val="0"/>
        </w:rPr>
        <w:t>, J.J. Inspector del Cuerpo Nacional de Policía y politólogo</w:t>
      </w:r>
      <w:r w:rsidRPr="00C11B67">
        <w:rPr>
          <w:rFonts w:ascii="Times New Roman" w:hAnsi="Times New Roman" w:cs="Times New Roman"/>
          <w:b w:val="0"/>
          <w:i/>
        </w:rPr>
        <w:t xml:space="preserve">.  Comentarios al anteproyecto de Ley para la protección de la Seguridad Ciudadana. </w:t>
      </w:r>
      <w:r w:rsidRPr="00C11B67">
        <w:rPr>
          <w:rFonts w:ascii="Times New Roman" w:hAnsi="Times New Roman" w:cs="Times New Roman"/>
          <w:b w:val="0"/>
        </w:rPr>
        <w:t xml:space="preserve">Fundación  Ciudadanía y Valores.2013.pp.: 6-11. Fuente: </w:t>
      </w:r>
      <w:hyperlink r:id="rId3" w:history="1">
        <w:r w:rsidRPr="00C11B67">
          <w:rPr>
            <w:rStyle w:val="Hipervnculo"/>
            <w:rFonts w:ascii="Times New Roman" w:hAnsi="Times New Roman" w:cs="Times New Roman"/>
            <w:b w:val="0"/>
          </w:rPr>
          <w:t>www.funciva.org</w:t>
        </w:r>
      </w:hyperlink>
      <w:r w:rsidRPr="00C11B67">
        <w:rPr>
          <w:rFonts w:ascii="Times New Roman" w:hAnsi="Times New Roman" w:cs="Times New Roman"/>
          <w:b w:val="0"/>
        </w:rPr>
        <w:t xml:space="preserve"> </w:t>
      </w:r>
    </w:p>
  </w:footnote>
  <w:footnote w:id="16">
    <w:p w:rsidR="009C7D06" w:rsidRPr="00C11B67" w:rsidRDefault="009C7D06" w:rsidP="00CA4601">
      <w:pPr>
        <w:pStyle w:val="Textonotapie"/>
        <w:jc w:val="both"/>
        <w:rPr>
          <w:rFonts w:ascii="Times New Roman" w:hAnsi="Times New Roman" w:cs="Times New Roman"/>
          <w:b w:val="0"/>
          <w:bCs/>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Fernández Pérez, A. “</w:t>
      </w:r>
      <w:r w:rsidRPr="00C11B67">
        <w:rPr>
          <w:rFonts w:ascii="Times New Roman" w:hAnsi="Times New Roman" w:cs="Times New Roman"/>
          <w:b w:val="0"/>
          <w:bCs/>
        </w:rPr>
        <w:t>La regulación de las devoluciones y expulsiones de extranjeros: la ilegalidad de las devoluciones de extranjeros efectuadas sin las debidas garantías”.</w:t>
      </w:r>
      <w:r w:rsidRPr="00C11B67">
        <w:rPr>
          <w:rFonts w:ascii="Times New Roman" w:hAnsi="Times New Roman" w:cs="Times New Roman"/>
          <w:b w:val="0"/>
        </w:rPr>
        <w:t xml:space="preserve"> </w:t>
      </w:r>
      <w:r w:rsidRPr="00C11B67">
        <w:rPr>
          <w:rFonts w:ascii="Times New Roman" w:hAnsi="Times New Roman" w:cs="Times New Roman"/>
          <w:b w:val="0"/>
          <w:bCs/>
        </w:rPr>
        <w:t xml:space="preserve">Diario La Ley, Nº 8382, Sección Doctrina, 22 de Septiembre de 2014. Ref. D-288. Fuente:  </w:t>
      </w:r>
      <w:hyperlink r:id="rId4" w:history="1">
        <w:r w:rsidRPr="00C11B67">
          <w:rPr>
            <w:rStyle w:val="Hipervnculo"/>
            <w:rFonts w:ascii="Times New Roman" w:hAnsi="Times New Roman" w:cs="Times New Roman"/>
            <w:b w:val="0"/>
            <w:bCs/>
          </w:rPr>
          <w:t>www.laleydigital.laley.es.avalos.ujaen.es</w:t>
        </w:r>
      </w:hyperlink>
      <w:r w:rsidRPr="00C11B67">
        <w:rPr>
          <w:rFonts w:ascii="Times New Roman" w:hAnsi="Times New Roman" w:cs="Times New Roman"/>
          <w:b w:val="0"/>
          <w:bCs/>
        </w:rPr>
        <w:t xml:space="preserve"> </w:t>
      </w:r>
    </w:p>
    <w:p w:rsidR="009C7D06" w:rsidRPr="00517EB1" w:rsidRDefault="009C7D06" w:rsidP="00CA4601">
      <w:pPr>
        <w:pStyle w:val="Textonotapie"/>
        <w:rPr>
          <w:rFonts w:ascii="Times New Roman" w:hAnsi="Times New Roman" w:cs="Times New Roman"/>
        </w:rPr>
      </w:pPr>
    </w:p>
  </w:footnote>
  <w:footnote w:id="17">
    <w:p w:rsidR="009C7D06" w:rsidRPr="00C11B67" w:rsidRDefault="009C7D06" w:rsidP="009C7D06">
      <w:pPr>
        <w:pStyle w:val="Textonotapie"/>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w:t>
      </w:r>
      <w:proofErr w:type="spellStart"/>
      <w:r w:rsidRPr="00C11B67">
        <w:rPr>
          <w:rFonts w:ascii="Times New Roman" w:hAnsi="Times New Roman" w:cs="Times New Roman"/>
          <w:b w:val="0"/>
        </w:rPr>
        <w:t>Campderrich</w:t>
      </w:r>
      <w:proofErr w:type="spellEnd"/>
      <w:r w:rsidRPr="00C11B67">
        <w:rPr>
          <w:rFonts w:ascii="Times New Roman" w:hAnsi="Times New Roman" w:cs="Times New Roman"/>
          <w:b w:val="0"/>
        </w:rPr>
        <w:t xml:space="preserve"> Bravo, R. “Hacia un derecho penal </w:t>
      </w:r>
      <w:proofErr w:type="spellStart"/>
      <w:r w:rsidRPr="00C11B67">
        <w:rPr>
          <w:rFonts w:ascii="Times New Roman" w:hAnsi="Times New Roman" w:cs="Times New Roman"/>
          <w:b w:val="0"/>
        </w:rPr>
        <w:t>neoabsolutista</w:t>
      </w:r>
      <w:proofErr w:type="spellEnd"/>
      <w:r w:rsidRPr="00C11B67">
        <w:rPr>
          <w:rFonts w:ascii="Times New Roman" w:hAnsi="Times New Roman" w:cs="Times New Roman"/>
          <w:b w:val="0"/>
        </w:rPr>
        <w:t>: una revisión crítica de la reforma del Código Penal” nº 134, abril 2015.</w:t>
      </w:r>
    </w:p>
  </w:footnote>
  <w:footnote w:id="18">
    <w:p w:rsidR="009C7D06" w:rsidRPr="00C11B67" w:rsidRDefault="009C7D06" w:rsidP="009C7D06">
      <w:pPr>
        <w:pStyle w:val="Textonotapie"/>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Núñez Fernández, J. “Análisis crítico de la libertad condicional en el proyecto de reforma del Código Penal de 20 de septiembre de 2013 (especial referencia a la prisión permanente revisable)”. La Ley Penal, Nº 110, Sección Estudios, Editorial LA LEY. Fuente: </w:t>
      </w:r>
      <w:hyperlink r:id="rId5" w:history="1">
        <w:r w:rsidRPr="00C11B67">
          <w:rPr>
            <w:rStyle w:val="Hipervnculo"/>
            <w:rFonts w:ascii="Times New Roman" w:hAnsi="Times New Roman" w:cs="Times New Roman"/>
            <w:b w:val="0"/>
          </w:rPr>
          <w:t>www.laleydigital.laley.es.avalos.ujaen.es</w:t>
        </w:r>
      </w:hyperlink>
      <w:r w:rsidRPr="00C11B67">
        <w:rPr>
          <w:rFonts w:ascii="Times New Roman" w:hAnsi="Times New Roman" w:cs="Times New Roman"/>
          <w:b w:val="0"/>
        </w:rPr>
        <w:t xml:space="preserve"> </w:t>
      </w:r>
    </w:p>
  </w:footnote>
  <w:footnote w:id="19">
    <w:p w:rsidR="009C7D06" w:rsidRPr="00C11B67" w:rsidRDefault="009C7D06" w:rsidP="009C7D06">
      <w:pPr>
        <w:pStyle w:val="Textonotapie"/>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Rodríguez </w:t>
      </w:r>
      <w:proofErr w:type="spellStart"/>
      <w:r w:rsidRPr="00C11B67">
        <w:rPr>
          <w:rFonts w:ascii="Times New Roman" w:hAnsi="Times New Roman" w:cs="Times New Roman"/>
          <w:b w:val="0"/>
        </w:rPr>
        <w:t>Lainz</w:t>
      </w:r>
      <w:proofErr w:type="spellEnd"/>
      <w:r w:rsidRPr="00C11B67">
        <w:rPr>
          <w:rFonts w:ascii="Times New Roman" w:hAnsi="Times New Roman" w:cs="Times New Roman"/>
          <w:b w:val="0"/>
        </w:rPr>
        <w:t xml:space="preserve">, J.L. “Los nuevos delitos leves: aspectos sustantivos y procesales” Diario La Ley, Nº 8524, Sección Doctrina, 22 de Abril de 2015, Ref. D-155. Fuente:  </w:t>
      </w:r>
      <w:hyperlink r:id="rId6" w:history="1">
        <w:r w:rsidRPr="00C11B67">
          <w:rPr>
            <w:rStyle w:val="Hipervnculo"/>
            <w:rFonts w:ascii="Times New Roman" w:hAnsi="Times New Roman" w:cs="Times New Roman"/>
            <w:b w:val="0"/>
          </w:rPr>
          <w:t>www.laleydigital.laley.es.avalos.ujaen.es</w:t>
        </w:r>
      </w:hyperlink>
    </w:p>
  </w:footnote>
  <w:footnote w:id="20">
    <w:p w:rsidR="009C7D06" w:rsidRPr="00517EB1" w:rsidRDefault="009C7D06" w:rsidP="009C7D06">
      <w:pPr>
        <w:pStyle w:val="Textonotapie"/>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Manzanares Samaniego, J.L. “Algunas consideraciones sobre el régimen sancionador  en el Proyecto de Ley Orgánica de protección de la seguridad ciudadana”. Diario La Ley, Nº 8408, Sección Doctrina, 28 de Octubre de 2014. Ref. D-353. Fuente: </w:t>
      </w:r>
      <w:hyperlink r:id="rId7" w:history="1">
        <w:r w:rsidRPr="00C11B67">
          <w:rPr>
            <w:rStyle w:val="Hipervnculo"/>
            <w:rFonts w:ascii="Times New Roman" w:hAnsi="Times New Roman" w:cs="Times New Roman"/>
            <w:b w:val="0"/>
          </w:rPr>
          <w:t>www.laleydigital.laley.es.avalos.ujaen.es</w:t>
        </w:r>
      </w:hyperlink>
      <w:r w:rsidRPr="00517EB1">
        <w:rPr>
          <w:rFonts w:ascii="Times New Roman" w:hAnsi="Times New Roman" w:cs="Times New Roman"/>
        </w:rPr>
        <w:t xml:space="preserve"> </w:t>
      </w:r>
    </w:p>
  </w:footnote>
  <w:footnote w:id="21">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Ilustre Colegio de Abogados de Jaén: </w:t>
      </w:r>
      <w:r w:rsidRPr="00C11B67">
        <w:rPr>
          <w:rFonts w:ascii="Times New Roman" w:hAnsi="Times New Roman" w:cs="Times New Roman"/>
          <w:b w:val="0"/>
          <w:i/>
        </w:rPr>
        <w:t>Especial Reforma Código Penal 2015</w:t>
      </w:r>
      <w:r w:rsidRPr="00C11B67">
        <w:rPr>
          <w:rFonts w:ascii="Times New Roman" w:hAnsi="Times New Roman" w:cs="Times New Roman"/>
          <w:b w:val="0"/>
        </w:rPr>
        <w:t xml:space="preserve">. </w:t>
      </w:r>
      <w:proofErr w:type="spellStart"/>
      <w:r w:rsidRPr="00C11B67">
        <w:rPr>
          <w:rFonts w:ascii="Times New Roman" w:hAnsi="Times New Roman" w:cs="Times New Roman"/>
          <w:b w:val="0"/>
        </w:rPr>
        <w:t>Wolters</w:t>
      </w:r>
      <w:proofErr w:type="spellEnd"/>
      <w:r w:rsidRPr="00C11B67">
        <w:rPr>
          <w:rFonts w:ascii="Times New Roman" w:hAnsi="Times New Roman" w:cs="Times New Roman"/>
          <w:b w:val="0"/>
        </w:rPr>
        <w:t xml:space="preserve"> Kluwer.Madrid.2015. Págs.:13-25, 46-50.</w:t>
      </w:r>
    </w:p>
  </w:footnote>
  <w:footnote w:id="22">
    <w:p w:rsidR="009C7D06" w:rsidRPr="00517EB1" w:rsidRDefault="009C7D06" w:rsidP="009C7D06">
      <w:pPr>
        <w:pStyle w:val="Ttulo3"/>
        <w:keepNext w:val="0"/>
        <w:widowControl w:val="0"/>
        <w:spacing w:before="60"/>
        <w:jc w:val="both"/>
        <w:rPr>
          <w:rFonts w:ascii="Times New Roman" w:hAnsi="Times New Roman"/>
          <w:b/>
          <w:sz w:val="20"/>
        </w:rPr>
      </w:pPr>
      <w:r w:rsidRPr="00517EB1">
        <w:rPr>
          <w:rFonts w:ascii="Times New Roman" w:hAnsi="Times New Roman"/>
          <w:sz w:val="20"/>
          <w:vertAlign w:val="superscript"/>
        </w:rPr>
        <w:footnoteRef/>
      </w:r>
      <w:r w:rsidRPr="00517EB1">
        <w:rPr>
          <w:rFonts w:ascii="Times New Roman" w:hAnsi="Times New Roman"/>
          <w:sz w:val="20"/>
        </w:rPr>
        <w:t xml:space="preserve"> Preámbulo de la </w:t>
      </w:r>
      <w:r w:rsidRPr="00517EB1">
        <w:rPr>
          <w:rFonts w:ascii="Times New Roman" w:hAnsi="Times New Roman"/>
          <w:sz w:val="20"/>
          <w:shd w:val="clear" w:color="auto" w:fill="F8F8F8"/>
        </w:rPr>
        <w:t xml:space="preserve">Ley Orgánica 1/2015, de 30 de marzo, por la que se modifica la Ley Orgánica 10/1995, de 23 de noviembre, del Código Penal. Fuente:   </w:t>
      </w:r>
      <w:hyperlink r:id="rId8" w:history="1">
        <w:r w:rsidRPr="00517EB1">
          <w:rPr>
            <w:rStyle w:val="Hipervnculo"/>
            <w:rFonts w:ascii="Times New Roman" w:hAnsi="Times New Roman"/>
            <w:sz w:val="20"/>
            <w:shd w:val="clear" w:color="auto" w:fill="F8F8F8"/>
          </w:rPr>
          <w:t>www.boe.es</w:t>
        </w:r>
      </w:hyperlink>
      <w:r w:rsidRPr="00517EB1">
        <w:rPr>
          <w:rFonts w:ascii="Times New Roman" w:hAnsi="Times New Roman"/>
          <w:sz w:val="20"/>
          <w:shd w:val="clear" w:color="auto" w:fill="F8F8F8"/>
        </w:rPr>
        <w:t xml:space="preserve"> </w:t>
      </w:r>
    </w:p>
    <w:p w:rsidR="009C7D06" w:rsidRPr="00517EB1" w:rsidRDefault="009C7D06" w:rsidP="009C7D06">
      <w:pPr>
        <w:widowControl w:val="0"/>
        <w:spacing w:before="60"/>
        <w:jc w:val="both"/>
      </w:pPr>
    </w:p>
  </w:footnote>
  <w:footnote w:id="23">
    <w:p w:rsidR="009C7D06" w:rsidRPr="00517EB1" w:rsidRDefault="009C7D06" w:rsidP="009C7D06">
      <w:pPr>
        <w:widowControl w:val="0"/>
        <w:spacing w:before="60"/>
        <w:jc w:val="both"/>
      </w:pPr>
      <w:r w:rsidRPr="00517EB1">
        <w:rPr>
          <w:vertAlign w:val="superscript"/>
        </w:rPr>
        <w:footnoteRef/>
      </w:r>
      <w:r w:rsidRPr="00517EB1">
        <w:t xml:space="preserve"> Artículo 576 del nuevo Código Penal.</w:t>
      </w:r>
    </w:p>
  </w:footnote>
  <w:footnote w:id="24">
    <w:p w:rsidR="009C7D06" w:rsidRPr="00517EB1" w:rsidRDefault="009C7D06" w:rsidP="009C7D06">
      <w:pPr>
        <w:widowControl w:val="0"/>
        <w:spacing w:before="60"/>
        <w:jc w:val="both"/>
      </w:pPr>
      <w:r w:rsidRPr="00517EB1">
        <w:rPr>
          <w:vertAlign w:val="superscript"/>
        </w:rPr>
        <w:footnoteRef/>
      </w:r>
      <w:r w:rsidRPr="00517EB1">
        <w:t xml:space="preserve">  </w:t>
      </w:r>
      <w:proofErr w:type="spellStart"/>
      <w:r w:rsidRPr="00517EB1">
        <w:t>Campderrich</w:t>
      </w:r>
      <w:proofErr w:type="spellEnd"/>
      <w:r w:rsidRPr="00517EB1">
        <w:t xml:space="preserve"> Bravo, Ramón. “Hacia un derecho penal </w:t>
      </w:r>
      <w:proofErr w:type="spellStart"/>
      <w:r w:rsidRPr="00517EB1">
        <w:t>neoabsolutista</w:t>
      </w:r>
      <w:proofErr w:type="spellEnd"/>
      <w:r w:rsidRPr="00517EB1">
        <w:t xml:space="preserve">: una revisión crítica de la reforma del Código Penal” nº 134, abril 2015. </w:t>
      </w:r>
    </w:p>
  </w:footnote>
  <w:footnote w:id="25">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Peces-Barba Martínez, G. “Curso de Derechos Fundamentales. Teoría general. ”Universidad Carlos III de Madrid y Boletín Oficial del Estado. Madrid, 1999. Pp.: 156-157.</w:t>
      </w:r>
    </w:p>
  </w:footnote>
  <w:footnote w:id="26">
    <w:p w:rsidR="009C7D06" w:rsidRPr="00517EB1"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Prieto </w:t>
      </w:r>
      <w:proofErr w:type="spellStart"/>
      <w:r w:rsidRPr="00C11B67">
        <w:rPr>
          <w:rFonts w:ascii="Times New Roman" w:hAnsi="Times New Roman" w:cs="Times New Roman"/>
          <w:b w:val="0"/>
        </w:rPr>
        <w:t>Sanchís</w:t>
      </w:r>
      <w:proofErr w:type="spellEnd"/>
      <w:r w:rsidRPr="00C11B67">
        <w:rPr>
          <w:rFonts w:ascii="Times New Roman" w:hAnsi="Times New Roman" w:cs="Times New Roman"/>
          <w:b w:val="0"/>
        </w:rPr>
        <w:t xml:space="preserve">, L. “Ley, principios y derechos”. </w:t>
      </w:r>
      <w:proofErr w:type="spellStart"/>
      <w:r w:rsidRPr="00C11B67">
        <w:rPr>
          <w:rFonts w:ascii="Times New Roman" w:hAnsi="Times New Roman" w:cs="Times New Roman"/>
          <w:b w:val="0"/>
        </w:rPr>
        <w:t>Dykinson</w:t>
      </w:r>
      <w:proofErr w:type="spellEnd"/>
      <w:r w:rsidRPr="00C11B67">
        <w:rPr>
          <w:rFonts w:ascii="Times New Roman" w:hAnsi="Times New Roman" w:cs="Times New Roman"/>
          <w:b w:val="0"/>
        </w:rPr>
        <w:t>, 1998. Pp.: 66-67.</w:t>
      </w:r>
    </w:p>
  </w:footnote>
  <w:footnote w:id="27">
    <w:p w:rsidR="009C7D06" w:rsidRPr="00517EB1" w:rsidRDefault="009C7D06" w:rsidP="009C7D06">
      <w:pPr>
        <w:widowControl w:val="0"/>
        <w:spacing w:before="60"/>
        <w:jc w:val="both"/>
      </w:pPr>
      <w:r w:rsidRPr="00517EB1">
        <w:rPr>
          <w:vertAlign w:val="superscript"/>
        </w:rPr>
        <w:footnoteRef/>
      </w:r>
      <w:r w:rsidRPr="00517EB1">
        <w:t xml:space="preserve"> Peces-Barba Martínez, Gregorio. “Lecciones de Derechos Fundamentales”</w:t>
      </w:r>
      <w:r w:rsidR="00517EB1" w:rsidRPr="00517EB1">
        <w:t xml:space="preserve">, Colección de Derechos Humanos </w:t>
      </w:r>
      <w:r w:rsidRPr="00517EB1">
        <w:t>y Filosofía del Derecho Dykinson.2004.  Páginas 29-47.</w:t>
      </w:r>
    </w:p>
  </w:footnote>
  <w:footnote w:id="28">
    <w:p w:rsidR="009C7D06" w:rsidRPr="00517EB1" w:rsidRDefault="009C7D06" w:rsidP="009C7D06">
      <w:pPr>
        <w:widowControl w:val="0"/>
        <w:spacing w:before="60"/>
        <w:jc w:val="both"/>
      </w:pPr>
      <w:r w:rsidRPr="00517EB1">
        <w:rPr>
          <w:vertAlign w:val="superscript"/>
        </w:rPr>
        <w:footnoteRef/>
      </w:r>
      <w:r w:rsidRPr="00517EB1">
        <w:t xml:space="preserve"> </w:t>
      </w:r>
      <w:r w:rsidRPr="00517EB1">
        <w:rPr>
          <w:i/>
        </w:rPr>
        <w:t>Platón. La República</w:t>
      </w:r>
      <w:r w:rsidRPr="00517EB1">
        <w:t>. Traductor: Pabón  J.M. y Fdez. Galiano, M. Instituto de Estudios Políticos, Madrid, 1949.</w:t>
      </w:r>
    </w:p>
    <w:p w:rsidR="009C7D06" w:rsidRPr="00517EB1" w:rsidRDefault="009C7D06" w:rsidP="009C7D06">
      <w:pPr>
        <w:widowControl w:val="0"/>
        <w:spacing w:before="60"/>
        <w:jc w:val="both"/>
      </w:pPr>
    </w:p>
  </w:footnote>
  <w:footnote w:id="29">
    <w:p w:rsidR="009C7D06" w:rsidRPr="00517EB1" w:rsidRDefault="009C7D06" w:rsidP="009C7D06">
      <w:pPr>
        <w:widowControl w:val="0"/>
        <w:spacing w:before="60"/>
        <w:jc w:val="both"/>
      </w:pPr>
      <w:r w:rsidRPr="00517EB1">
        <w:rPr>
          <w:vertAlign w:val="superscript"/>
        </w:rPr>
        <w:footnoteRef/>
      </w:r>
      <w:r w:rsidRPr="00517EB1">
        <w:t xml:space="preserve"> </w:t>
      </w:r>
      <w:proofErr w:type="spellStart"/>
      <w:r w:rsidRPr="00517EB1">
        <w:t>Alexy</w:t>
      </w:r>
      <w:proofErr w:type="spellEnd"/>
      <w:r w:rsidRPr="00517EB1">
        <w:t xml:space="preserve"> </w:t>
      </w:r>
      <w:proofErr w:type="spellStart"/>
      <w:r w:rsidRPr="00517EB1">
        <w:t>R.”Los</w:t>
      </w:r>
      <w:proofErr w:type="spellEnd"/>
      <w:r w:rsidRPr="00517EB1">
        <w:t xml:space="preserve"> derechos fundamentales en el Estado Constitucional democrático”,  en   Carbonell Sánchez, M. </w:t>
      </w:r>
      <w:proofErr w:type="spellStart"/>
      <w:r w:rsidRPr="00517EB1">
        <w:rPr>
          <w:i/>
        </w:rPr>
        <w:t>Neoconstitucionalismos</w:t>
      </w:r>
      <w:proofErr w:type="spellEnd"/>
      <w:r w:rsidRPr="00517EB1">
        <w:t xml:space="preserve">, </w:t>
      </w:r>
      <w:proofErr w:type="spellStart"/>
      <w:r w:rsidRPr="00517EB1">
        <w:t>Trotta</w:t>
      </w:r>
      <w:proofErr w:type="spellEnd"/>
      <w:r w:rsidRPr="00517EB1">
        <w:t>. Madrid, 2009. Pp.: 31-48.</w:t>
      </w:r>
    </w:p>
  </w:footnote>
  <w:footnote w:id="30">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Pérez </w:t>
      </w:r>
      <w:proofErr w:type="spellStart"/>
      <w:r w:rsidRPr="00C11B67">
        <w:rPr>
          <w:rFonts w:ascii="Times New Roman" w:hAnsi="Times New Roman" w:cs="Times New Roman"/>
          <w:b w:val="0"/>
        </w:rPr>
        <w:t>Luño</w:t>
      </w:r>
      <w:proofErr w:type="spellEnd"/>
      <w:r w:rsidRPr="00C11B67">
        <w:rPr>
          <w:rFonts w:ascii="Times New Roman" w:hAnsi="Times New Roman" w:cs="Times New Roman"/>
          <w:b w:val="0"/>
        </w:rPr>
        <w:t xml:space="preserve">, A.E. </w:t>
      </w:r>
      <w:r w:rsidRPr="00C11B67">
        <w:rPr>
          <w:rFonts w:ascii="Times New Roman" w:hAnsi="Times New Roman" w:cs="Times New Roman"/>
          <w:b w:val="0"/>
          <w:i/>
        </w:rPr>
        <w:t>Derechos Humanos, Estado de Derecho y Constitución.</w:t>
      </w:r>
      <w:r w:rsidRPr="00C11B67">
        <w:rPr>
          <w:rFonts w:ascii="Times New Roman" w:hAnsi="Times New Roman" w:cs="Times New Roman"/>
          <w:b w:val="0"/>
        </w:rPr>
        <w:t xml:space="preserve"> </w:t>
      </w:r>
      <w:proofErr w:type="spellStart"/>
      <w:r w:rsidRPr="00C11B67">
        <w:rPr>
          <w:rFonts w:ascii="Times New Roman" w:hAnsi="Times New Roman" w:cs="Times New Roman"/>
          <w:b w:val="0"/>
        </w:rPr>
        <w:t>Tecnos</w:t>
      </w:r>
      <w:proofErr w:type="spellEnd"/>
      <w:r w:rsidRPr="00C11B67">
        <w:rPr>
          <w:rFonts w:ascii="Times New Roman" w:hAnsi="Times New Roman" w:cs="Times New Roman"/>
          <w:b w:val="0"/>
        </w:rPr>
        <w:t>, 2005. Pp.: 116-117.</w:t>
      </w:r>
    </w:p>
  </w:footnote>
  <w:footnote w:id="31">
    <w:p w:rsidR="009C7D06" w:rsidRPr="00517EB1" w:rsidRDefault="009C7D06" w:rsidP="009C7D06">
      <w:pPr>
        <w:widowControl w:val="0"/>
        <w:spacing w:before="60"/>
        <w:jc w:val="both"/>
      </w:pPr>
      <w:r w:rsidRPr="00517EB1">
        <w:rPr>
          <w:vertAlign w:val="superscript"/>
        </w:rPr>
        <w:footnoteRef/>
      </w:r>
      <w:r w:rsidRPr="00517EB1">
        <w:t xml:space="preserve"> Declaración de Derechos del Hombre y el Ciudadano. Artículo 2.</w:t>
      </w:r>
      <w:r w:rsidRPr="00517EB1">
        <w:rPr>
          <w:i/>
        </w:rPr>
        <w:t xml:space="preserve"> “el fin de toda declaración política es la conservación de los derechos naturales e imprescriptibles de los hombres”.</w:t>
      </w:r>
    </w:p>
  </w:footnote>
  <w:footnote w:id="32">
    <w:p w:rsidR="009C7D06" w:rsidRPr="00517EB1" w:rsidRDefault="009C7D06" w:rsidP="009C7D06">
      <w:pPr>
        <w:widowControl w:val="0"/>
        <w:spacing w:before="60"/>
        <w:jc w:val="both"/>
      </w:pPr>
      <w:r w:rsidRPr="00517EB1">
        <w:rPr>
          <w:vertAlign w:val="superscript"/>
        </w:rPr>
        <w:footnoteRef/>
      </w:r>
      <w:r w:rsidRPr="00517EB1">
        <w:t xml:space="preserve">  </w:t>
      </w:r>
      <w:proofErr w:type="spellStart"/>
      <w:r w:rsidRPr="00517EB1">
        <w:t>Ferrajoli</w:t>
      </w:r>
      <w:proofErr w:type="spellEnd"/>
      <w:r w:rsidRPr="00517EB1">
        <w:t xml:space="preserve"> L. </w:t>
      </w:r>
      <w:r w:rsidRPr="00517EB1">
        <w:rPr>
          <w:i/>
        </w:rPr>
        <w:t xml:space="preserve">Democracia y  </w:t>
      </w:r>
      <w:proofErr w:type="spellStart"/>
      <w:r w:rsidRPr="00517EB1">
        <w:rPr>
          <w:i/>
        </w:rPr>
        <w:t>Garantismo</w:t>
      </w:r>
      <w:proofErr w:type="spellEnd"/>
      <w:r w:rsidRPr="00517EB1">
        <w:t xml:space="preserve">. Una discusión, </w:t>
      </w:r>
      <w:proofErr w:type="spellStart"/>
      <w:r w:rsidRPr="00517EB1">
        <w:t>Trotta</w:t>
      </w:r>
      <w:proofErr w:type="spellEnd"/>
      <w:r w:rsidRPr="00517EB1">
        <w:t>, Madrid, 2008. Pág.: 66.</w:t>
      </w:r>
    </w:p>
    <w:p w:rsidR="00517EB1" w:rsidRPr="00517EB1" w:rsidRDefault="00517EB1" w:rsidP="009C7D06">
      <w:pPr>
        <w:widowControl w:val="0"/>
        <w:spacing w:before="60"/>
        <w:jc w:val="both"/>
      </w:pPr>
    </w:p>
  </w:footnote>
  <w:footnote w:id="33">
    <w:p w:rsidR="009C7D06" w:rsidRPr="00517EB1" w:rsidRDefault="009C7D06" w:rsidP="009C7D06">
      <w:pPr>
        <w:widowControl w:val="0"/>
        <w:spacing w:before="60"/>
        <w:jc w:val="both"/>
      </w:pPr>
      <w:r w:rsidRPr="00517EB1">
        <w:rPr>
          <w:vertAlign w:val="superscript"/>
        </w:rPr>
        <w:footnoteRef/>
      </w:r>
      <w:r w:rsidRPr="00517EB1">
        <w:t xml:space="preserve"> Gutiérrez </w:t>
      </w:r>
      <w:proofErr w:type="spellStart"/>
      <w:r w:rsidRPr="00517EB1">
        <w:t>Gutiérrez</w:t>
      </w:r>
      <w:proofErr w:type="spellEnd"/>
      <w:r w:rsidRPr="00517EB1">
        <w:t xml:space="preserve"> I. coord</w:t>
      </w:r>
      <w:r w:rsidRPr="00517EB1">
        <w:rPr>
          <w:i/>
        </w:rPr>
        <w:t>. Democracia indignada.</w:t>
      </w:r>
      <w:r w:rsidRPr="00517EB1">
        <w:t xml:space="preserve"> Biblioteca </w:t>
      </w:r>
      <w:proofErr w:type="spellStart"/>
      <w:r w:rsidRPr="00517EB1">
        <w:t>Comares</w:t>
      </w:r>
      <w:proofErr w:type="spellEnd"/>
      <w:r w:rsidRPr="00517EB1">
        <w:t xml:space="preserve"> de Ciencia Jurídica. Granada 2014.Págs: 41-54.</w:t>
      </w:r>
    </w:p>
    <w:p w:rsidR="00517EB1" w:rsidRPr="00517EB1" w:rsidRDefault="00517EB1" w:rsidP="009C7D06">
      <w:pPr>
        <w:widowControl w:val="0"/>
        <w:spacing w:before="60"/>
        <w:jc w:val="both"/>
      </w:pPr>
    </w:p>
  </w:footnote>
  <w:footnote w:id="34">
    <w:p w:rsidR="009C7D06" w:rsidRPr="00517EB1" w:rsidRDefault="009C7D06" w:rsidP="009C7D06">
      <w:pPr>
        <w:widowControl w:val="0"/>
        <w:spacing w:before="60"/>
        <w:jc w:val="both"/>
      </w:pPr>
      <w:r w:rsidRPr="00517EB1">
        <w:rPr>
          <w:vertAlign w:val="superscript"/>
        </w:rPr>
        <w:footnoteRef/>
      </w:r>
      <w:r w:rsidRPr="00517EB1">
        <w:t xml:space="preserve"> SSTC 64/1988 de 12 de abril y 25/1981 de 14 de julio. Aceptación por parte de la jurisprudencia del Tribunal Constitucional  de la doble dimensión de los Derechos Fundamentales.</w:t>
      </w:r>
    </w:p>
    <w:p w:rsidR="00517EB1" w:rsidRPr="00517EB1" w:rsidRDefault="00517EB1" w:rsidP="009C7D06">
      <w:pPr>
        <w:widowControl w:val="0"/>
        <w:spacing w:before="60"/>
        <w:jc w:val="both"/>
      </w:pPr>
    </w:p>
  </w:footnote>
  <w:footnote w:id="35">
    <w:p w:rsidR="009C7D06" w:rsidRPr="00517EB1" w:rsidRDefault="009C7D06" w:rsidP="009C7D06">
      <w:pPr>
        <w:widowControl w:val="0"/>
        <w:spacing w:before="60"/>
        <w:jc w:val="both"/>
        <w:rPr>
          <w:i/>
        </w:rPr>
      </w:pPr>
      <w:r w:rsidRPr="00517EB1">
        <w:rPr>
          <w:vertAlign w:val="superscript"/>
        </w:rPr>
        <w:footnoteRef/>
      </w:r>
      <w:r w:rsidRPr="00517EB1">
        <w:t xml:space="preserve"> Artículo 10.1 Constitución española: </w:t>
      </w:r>
      <w:r w:rsidRPr="00517EB1">
        <w:rPr>
          <w:i/>
        </w:rPr>
        <w:t>“La dignidad de la persona, los derechos inviolables que le son inherentes, el libre desarrollo de la personalidad, el respeto a la ley y a los derechos de los demás son fundamento del orden político y de la paz social”</w:t>
      </w:r>
    </w:p>
    <w:p w:rsidR="00517EB1" w:rsidRPr="00517EB1" w:rsidRDefault="00517EB1" w:rsidP="009C7D06">
      <w:pPr>
        <w:widowControl w:val="0"/>
        <w:spacing w:before="60"/>
        <w:jc w:val="both"/>
      </w:pPr>
    </w:p>
  </w:footnote>
  <w:footnote w:id="36">
    <w:p w:rsidR="009C7D06" w:rsidRPr="00517EB1" w:rsidRDefault="009C7D06" w:rsidP="009C7D06">
      <w:pPr>
        <w:widowControl w:val="0"/>
        <w:spacing w:before="60"/>
        <w:jc w:val="both"/>
      </w:pPr>
      <w:r w:rsidRPr="00517EB1">
        <w:rPr>
          <w:vertAlign w:val="superscript"/>
        </w:rPr>
        <w:footnoteRef/>
      </w:r>
      <w:r w:rsidRPr="00517EB1">
        <w:t xml:space="preserve"> Álvarez Conde, E. </w:t>
      </w:r>
      <w:r w:rsidRPr="00517EB1">
        <w:rPr>
          <w:i/>
        </w:rPr>
        <w:t xml:space="preserve">Curso de Derecho Constitucional. </w:t>
      </w:r>
      <w:r w:rsidRPr="00517EB1">
        <w:rPr>
          <w:rFonts w:eastAsia="Arial"/>
          <w:i/>
          <w:highlight w:val="white"/>
        </w:rPr>
        <w:t>vol. I. El estado constitucional, el sistema de fuentes, los derechos y las libertades</w:t>
      </w:r>
      <w:r w:rsidRPr="00517EB1">
        <w:rPr>
          <w:rFonts w:eastAsia="Arial"/>
          <w:highlight w:val="white"/>
        </w:rPr>
        <w:t xml:space="preserve">. </w:t>
      </w:r>
      <w:proofErr w:type="spellStart"/>
      <w:r w:rsidRPr="00517EB1">
        <w:rPr>
          <w:rFonts w:eastAsia="Arial"/>
          <w:highlight w:val="white"/>
        </w:rPr>
        <w:t>Tecnos</w:t>
      </w:r>
      <w:proofErr w:type="spellEnd"/>
      <w:r w:rsidRPr="00517EB1">
        <w:rPr>
          <w:rFonts w:eastAsia="Arial"/>
          <w:highlight w:val="white"/>
        </w:rPr>
        <w:t>. Madrid.2014.</w:t>
      </w:r>
      <w:r w:rsidRPr="00517EB1">
        <w:rPr>
          <w:rFonts w:eastAsia="Arial"/>
        </w:rPr>
        <w:t xml:space="preserve"> Págs. 271-276.</w:t>
      </w:r>
    </w:p>
  </w:footnote>
  <w:footnote w:id="37">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STC 3/1992 de 13 enero.</w:t>
      </w:r>
    </w:p>
  </w:footnote>
  <w:footnote w:id="38">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STC 120/1990 de 27 de junio.</w:t>
      </w:r>
    </w:p>
  </w:footnote>
  <w:footnote w:id="39">
    <w:p w:rsidR="009C7D06" w:rsidRPr="00517EB1"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SSTC 15/1986 y 106/1986.</w:t>
      </w:r>
    </w:p>
  </w:footnote>
  <w:footnote w:id="40">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Peces-Barba Martínez, G</w:t>
      </w:r>
      <w:r w:rsidRPr="00C11B67">
        <w:rPr>
          <w:rFonts w:ascii="Times New Roman" w:hAnsi="Times New Roman" w:cs="Times New Roman"/>
          <w:b w:val="0"/>
          <w:i/>
        </w:rPr>
        <w:t>. Curso de Derechos fundamentales. Teoría general</w:t>
      </w:r>
      <w:r w:rsidRPr="00C11B67">
        <w:rPr>
          <w:rFonts w:ascii="Times New Roman" w:hAnsi="Times New Roman" w:cs="Times New Roman"/>
          <w:b w:val="0"/>
        </w:rPr>
        <w:t>. Universidad Carlos III de Madrid y Boletín Oficial del Estado. Madrid, 1999. Pp.: 215-216.</w:t>
      </w:r>
    </w:p>
  </w:footnote>
  <w:footnote w:id="41">
    <w:p w:rsidR="009C7D06" w:rsidRPr="00517EB1" w:rsidRDefault="009C7D06" w:rsidP="009C7D06">
      <w:pPr>
        <w:widowControl w:val="0"/>
        <w:spacing w:before="60"/>
        <w:jc w:val="both"/>
      </w:pPr>
      <w:r w:rsidRPr="00517EB1">
        <w:rPr>
          <w:vertAlign w:val="superscript"/>
        </w:rPr>
        <w:footnoteRef/>
      </w:r>
      <w:r w:rsidRPr="00517EB1">
        <w:t xml:space="preserve"> Calvo González, J. (coord.):</w:t>
      </w:r>
      <w:r w:rsidRPr="00517EB1">
        <w:rPr>
          <w:i/>
        </w:rPr>
        <w:t xml:space="preserve"> Libertad y seguridad. La fragilidad de los derechos</w:t>
      </w:r>
      <w:r w:rsidRPr="00517EB1">
        <w:t>, Sociedad Española de Filosofía Jurídica y Política. Málaga, 2006, Págs.: 97-104.</w:t>
      </w:r>
    </w:p>
  </w:footnote>
  <w:footnote w:id="42">
    <w:p w:rsidR="009C7D06" w:rsidRPr="00517EB1" w:rsidRDefault="009C7D06" w:rsidP="009C7D06">
      <w:pPr>
        <w:widowControl w:val="0"/>
        <w:spacing w:before="60"/>
        <w:jc w:val="both"/>
      </w:pPr>
      <w:r w:rsidRPr="00517EB1">
        <w:rPr>
          <w:vertAlign w:val="superscript"/>
        </w:rPr>
        <w:footnoteRef/>
      </w:r>
      <w:r w:rsidRPr="00517EB1">
        <w:t xml:space="preserve"> Berlín, </w:t>
      </w:r>
      <w:proofErr w:type="spellStart"/>
      <w:r w:rsidRPr="00517EB1">
        <w:t>Isaiah</w:t>
      </w:r>
      <w:proofErr w:type="spellEnd"/>
      <w:r w:rsidRPr="00517EB1">
        <w:t xml:space="preserve">: </w:t>
      </w:r>
      <w:proofErr w:type="spellStart"/>
      <w:r w:rsidRPr="00517EB1">
        <w:t>Two</w:t>
      </w:r>
      <w:proofErr w:type="spellEnd"/>
      <w:r w:rsidRPr="00517EB1">
        <w:t xml:space="preserve"> </w:t>
      </w:r>
      <w:proofErr w:type="spellStart"/>
      <w:r w:rsidRPr="00517EB1">
        <w:t>concepts</w:t>
      </w:r>
      <w:proofErr w:type="spellEnd"/>
      <w:r w:rsidRPr="00517EB1">
        <w:t xml:space="preserve"> of </w:t>
      </w:r>
      <w:proofErr w:type="spellStart"/>
      <w:r w:rsidRPr="00517EB1">
        <w:t>liberty</w:t>
      </w:r>
      <w:proofErr w:type="spellEnd"/>
      <w:r w:rsidRPr="00517EB1">
        <w:t>. Dos conceptos de libertad, Oxford, 1958.</w:t>
      </w:r>
    </w:p>
  </w:footnote>
  <w:footnote w:id="43">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Peces-Barba Martínez, G. </w:t>
      </w:r>
      <w:r w:rsidRPr="00C11B67">
        <w:rPr>
          <w:rFonts w:ascii="Times New Roman" w:hAnsi="Times New Roman" w:cs="Times New Roman"/>
          <w:b w:val="0"/>
          <w:i/>
        </w:rPr>
        <w:t>Curso de Derechos Fundamentales. Teoría general.</w:t>
      </w:r>
      <w:r w:rsidRPr="00C11B67">
        <w:rPr>
          <w:rFonts w:ascii="Times New Roman" w:hAnsi="Times New Roman" w:cs="Times New Roman"/>
          <w:b w:val="0"/>
        </w:rPr>
        <w:t xml:space="preserve"> Universidad Carlos III de Madrid y Boletín Oficial del Estado. Madrid, 1999. Pp.: 246.</w:t>
      </w:r>
    </w:p>
  </w:footnote>
  <w:footnote w:id="44">
    <w:p w:rsidR="009C7D06" w:rsidRPr="00517EB1" w:rsidRDefault="009C7D06" w:rsidP="009C7D06">
      <w:pPr>
        <w:widowControl w:val="0"/>
        <w:spacing w:before="60"/>
        <w:jc w:val="both"/>
      </w:pPr>
      <w:r w:rsidRPr="00517EB1">
        <w:rPr>
          <w:vertAlign w:val="superscript"/>
        </w:rPr>
        <w:footnoteRef/>
      </w:r>
      <w:r w:rsidRPr="00517EB1">
        <w:t xml:space="preserve"> </w:t>
      </w:r>
      <w:proofErr w:type="spellStart"/>
      <w:r w:rsidRPr="00517EB1">
        <w:t>Barinaga-Rementería</w:t>
      </w:r>
      <w:proofErr w:type="spellEnd"/>
      <w:r w:rsidRPr="00517EB1">
        <w:t xml:space="preserve"> Martín, J. “Las diferencias entre las concepciones del estado de naturaleza en Hobbes y Locke”, en </w:t>
      </w:r>
      <w:proofErr w:type="spellStart"/>
      <w:r w:rsidRPr="00517EB1">
        <w:t>Paidea</w:t>
      </w:r>
      <w:proofErr w:type="spellEnd"/>
      <w:r w:rsidRPr="00517EB1">
        <w:t>, revista de filosofía y didáctica filosófica, nº69, 2004, pp.: 445-470.</w:t>
      </w:r>
    </w:p>
  </w:footnote>
  <w:footnote w:id="45">
    <w:p w:rsidR="009C7D06" w:rsidRPr="00517EB1" w:rsidRDefault="009C7D06" w:rsidP="009C7D06">
      <w:pPr>
        <w:widowControl w:val="0"/>
        <w:spacing w:before="60"/>
        <w:jc w:val="both"/>
      </w:pPr>
      <w:r w:rsidRPr="00517EB1">
        <w:rPr>
          <w:vertAlign w:val="superscript"/>
        </w:rPr>
        <w:footnoteRef/>
      </w:r>
      <w:r w:rsidRPr="00517EB1">
        <w:t xml:space="preserve"> </w:t>
      </w:r>
      <w:proofErr w:type="spellStart"/>
      <w:r w:rsidRPr="00517EB1">
        <w:t>Bermuz</w:t>
      </w:r>
      <w:proofErr w:type="spellEnd"/>
      <w:r w:rsidRPr="00517EB1">
        <w:t xml:space="preserve"> Benítez, M.J y Pérez Cepeda, A.I. (coord.):</w:t>
      </w:r>
      <w:r w:rsidRPr="00517EB1">
        <w:rPr>
          <w:i/>
        </w:rPr>
        <w:t xml:space="preserve"> La tensión entre libertad y seguridad. Una aproximación </w:t>
      </w:r>
      <w:proofErr w:type="spellStart"/>
      <w:r w:rsidRPr="00517EB1">
        <w:rPr>
          <w:i/>
        </w:rPr>
        <w:t>sociojurídica</w:t>
      </w:r>
      <w:proofErr w:type="spellEnd"/>
      <w:r w:rsidRPr="00517EB1">
        <w:t>. Universidad de La Rioja servicio de publicaciones. Logroño, 2006. Págs.: 55-98.</w:t>
      </w:r>
    </w:p>
  </w:footnote>
  <w:footnote w:id="46">
    <w:p w:rsidR="009C7D06" w:rsidRPr="00517EB1" w:rsidRDefault="009C7D06" w:rsidP="009C7D06">
      <w:pPr>
        <w:widowControl w:val="0"/>
        <w:spacing w:before="60"/>
        <w:jc w:val="both"/>
      </w:pPr>
      <w:r w:rsidRPr="00517EB1">
        <w:rPr>
          <w:vertAlign w:val="superscript"/>
        </w:rPr>
        <w:footnoteRef/>
      </w:r>
      <w:r w:rsidRPr="00517EB1">
        <w:t xml:space="preserve"> Los atentados del 11M se encuadran claramente en un ambiente bélico del que nuestro Estado formaba parte. Los terribles sucesos sorprendieron a la sociedad, sin embargo, el Estado había participado política y operativamente en un conflicto armado creando tal situación o ambiente bélico, aunque el Gobierno se hubiera empeñado en afirmar que no existía tal guerra.</w:t>
      </w:r>
    </w:p>
  </w:footnote>
  <w:footnote w:id="47">
    <w:p w:rsidR="009C7D06" w:rsidRPr="00517EB1" w:rsidRDefault="009C7D06" w:rsidP="009C7D06">
      <w:pPr>
        <w:widowControl w:val="0"/>
        <w:spacing w:before="60"/>
        <w:jc w:val="both"/>
      </w:pPr>
      <w:r w:rsidRPr="00517EB1">
        <w:rPr>
          <w:vertAlign w:val="superscript"/>
        </w:rPr>
        <w:footnoteRef/>
      </w:r>
      <w:r w:rsidRPr="00517EB1">
        <w:t xml:space="preserve"> Condoleezza Rice, secretaria de los EE.UU  en el año 2000, en el discurso “</w:t>
      </w:r>
      <w:proofErr w:type="spellStart"/>
      <w:r w:rsidRPr="00517EB1">
        <w:t>promoting</w:t>
      </w:r>
      <w:proofErr w:type="spellEnd"/>
      <w:r w:rsidRPr="00517EB1">
        <w:t xml:space="preserve"> </w:t>
      </w:r>
      <w:proofErr w:type="spellStart"/>
      <w:r w:rsidRPr="00517EB1">
        <w:t>the</w:t>
      </w:r>
      <w:proofErr w:type="spellEnd"/>
      <w:r w:rsidRPr="00517EB1">
        <w:t xml:space="preserve"> </w:t>
      </w:r>
      <w:proofErr w:type="spellStart"/>
      <w:r w:rsidRPr="00517EB1">
        <w:t>National</w:t>
      </w:r>
      <w:proofErr w:type="spellEnd"/>
      <w:r w:rsidRPr="00517EB1">
        <w:t xml:space="preserve"> </w:t>
      </w:r>
      <w:proofErr w:type="spellStart"/>
      <w:r w:rsidRPr="00517EB1">
        <w:t>Interest</w:t>
      </w:r>
      <w:proofErr w:type="spellEnd"/>
      <w:r w:rsidRPr="00517EB1">
        <w:t>” “La Promoción del Interés Nacional”.</w:t>
      </w:r>
    </w:p>
  </w:footnote>
  <w:footnote w:id="48">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Peces-Barba Martínez, G. </w:t>
      </w:r>
      <w:r w:rsidRPr="00C11B67">
        <w:rPr>
          <w:rFonts w:ascii="Times New Roman" w:hAnsi="Times New Roman" w:cs="Times New Roman"/>
          <w:b w:val="0"/>
          <w:i/>
        </w:rPr>
        <w:t>Curso de Derechos Fundamentales. Teoría General</w:t>
      </w:r>
      <w:r w:rsidRPr="00C11B67">
        <w:rPr>
          <w:rFonts w:ascii="Times New Roman" w:hAnsi="Times New Roman" w:cs="Times New Roman"/>
          <w:b w:val="0"/>
        </w:rPr>
        <w:t>. Universidad Carlos III de Madrid y Boletín Oficial del Estado. Madrid, 1999. Pp.: 482-483.</w:t>
      </w:r>
    </w:p>
  </w:footnote>
  <w:footnote w:id="49">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Cruz Villalón, P. “Formación y evolución de los derechos fundamentales” en </w:t>
      </w:r>
      <w:r w:rsidRPr="00C11B67">
        <w:rPr>
          <w:rFonts w:ascii="Times New Roman" w:hAnsi="Times New Roman" w:cs="Times New Roman"/>
          <w:b w:val="0"/>
          <w:i/>
        </w:rPr>
        <w:t xml:space="preserve">Introducción a los derechos fundamentales, volumen I. </w:t>
      </w:r>
      <w:r w:rsidRPr="00C11B67">
        <w:rPr>
          <w:rFonts w:ascii="Times New Roman" w:hAnsi="Times New Roman" w:cs="Times New Roman"/>
          <w:b w:val="0"/>
        </w:rPr>
        <w:t>Ministerio de Justicia, Centro de publicaciones de la Secretaría General Técnica. Madrid, 1988. Pp.: 161-162.</w:t>
      </w:r>
    </w:p>
  </w:footnote>
  <w:footnote w:id="50">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Peces-Barba Martínez, G</w:t>
      </w:r>
      <w:r w:rsidRPr="00C11B67">
        <w:rPr>
          <w:rFonts w:ascii="Times New Roman" w:hAnsi="Times New Roman" w:cs="Times New Roman"/>
          <w:b w:val="0"/>
          <w:i/>
        </w:rPr>
        <w:t>. Curso de Derechos Fundamentales. Teoría general</w:t>
      </w:r>
      <w:r w:rsidRPr="00C11B67">
        <w:rPr>
          <w:rFonts w:ascii="Times New Roman" w:hAnsi="Times New Roman" w:cs="Times New Roman"/>
          <w:b w:val="0"/>
        </w:rPr>
        <w:t>. Universidad Carlos III de Madrid y Boletín Oficial del Estado. Madrid, 1999. Pp.:277.</w:t>
      </w:r>
    </w:p>
  </w:footnote>
  <w:footnote w:id="51">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w:t>
      </w:r>
      <w:proofErr w:type="spellStart"/>
      <w:r w:rsidRPr="00C11B67">
        <w:rPr>
          <w:rFonts w:ascii="Times New Roman" w:hAnsi="Times New Roman" w:cs="Times New Roman"/>
          <w:b w:val="0"/>
        </w:rPr>
        <w:t>Perez</w:t>
      </w:r>
      <w:proofErr w:type="spellEnd"/>
      <w:r w:rsidRPr="00C11B67">
        <w:rPr>
          <w:rFonts w:ascii="Times New Roman" w:hAnsi="Times New Roman" w:cs="Times New Roman"/>
          <w:b w:val="0"/>
        </w:rPr>
        <w:t xml:space="preserve"> </w:t>
      </w:r>
      <w:proofErr w:type="spellStart"/>
      <w:r w:rsidRPr="00C11B67">
        <w:rPr>
          <w:rFonts w:ascii="Times New Roman" w:hAnsi="Times New Roman" w:cs="Times New Roman"/>
          <w:b w:val="0"/>
        </w:rPr>
        <w:t>Luño</w:t>
      </w:r>
      <w:proofErr w:type="spellEnd"/>
      <w:r w:rsidRPr="00C11B67">
        <w:rPr>
          <w:rFonts w:ascii="Times New Roman" w:hAnsi="Times New Roman" w:cs="Times New Roman"/>
          <w:b w:val="0"/>
        </w:rPr>
        <w:t>, A.E</w:t>
      </w:r>
      <w:r w:rsidRPr="00C11B67">
        <w:rPr>
          <w:rFonts w:ascii="Times New Roman" w:hAnsi="Times New Roman" w:cs="Times New Roman"/>
          <w:b w:val="0"/>
          <w:i/>
        </w:rPr>
        <w:t>. Los Derechos Fundamentales</w:t>
      </w:r>
      <w:r w:rsidRPr="00C11B67">
        <w:rPr>
          <w:rFonts w:ascii="Times New Roman" w:hAnsi="Times New Roman" w:cs="Times New Roman"/>
          <w:b w:val="0"/>
        </w:rPr>
        <w:t xml:space="preserve">. </w:t>
      </w:r>
      <w:proofErr w:type="spellStart"/>
      <w:r w:rsidRPr="00C11B67">
        <w:rPr>
          <w:rFonts w:ascii="Times New Roman" w:hAnsi="Times New Roman" w:cs="Times New Roman"/>
          <w:b w:val="0"/>
        </w:rPr>
        <w:t>Tecnos</w:t>
      </w:r>
      <w:proofErr w:type="spellEnd"/>
      <w:r w:rsidRPr="00C11B67">
        <w:rPr>
          <w:rFonts w:ascii="Times New Roman" w:hAnsi="Times New Roman" w:cs="Times New Roman"/>
          <w:b w:val="0"/>
        </w:rPr>
        <w:t>. Madrid, 2007. Pp.: 174-181.</w:t>
      </w:r>
    </w:p>
  </w:footnote>
  <w:footnote w:id="52">
    <w:p w:rsidR="009C7D06" w:rsidRPr="00517EB1" w:rsidRDefault="009C7D06" w:rsidP="009C7D06">
      <w:pPr>
        <w:widowControl w:val="0"/>
        <w:spacing w:before="60"/>
        <w:jc w:val="both"/>
      </w:pPr>
      <w:r w:rsidRPr="00517EB1">
        <w:rPr>
          <w:vertAlign w:val="superscript"/>
        </w:rPr>
        <w:footnoteRef/>
      </w:r>
      <w:r w:rsidRPr="00517EB1">
        <w:t xml:space="preserve"> SSTC 104/1986 de 17 de julio; 159/1986 de 16 de diciembre; 62/1982 de 15 de octubre; 6/1981 de 16 de marzo.</w:t>
      </w:r>
    </w:p>
  </w:footnote>
  <w:footnote w:id="53">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Pérez Royo, J</w:t>
      </w:r>
      <w:r w:rsidRPr="00C11B67">
        <w:rPr>
          <w:rFonts w:ascii="Times New Roman" w:hAnsi="Times New Roman" w:cs="Times New Roman"/>
          <w:b w:val="0"/>
          <w:i/>
        </w:rPr>
        <w:t>. Curso de Derecho Constitucional</w:t>
      </w:r>
      <w:r w:rsidRPr="00C11B67">
        <w:rPr>
          <w:rFonts w:ascii="Times New Roman" w:hAnsi="Times New Roman" w:cs="Times New Roman"/>
          <w:b w:val="0"/>
        </w:rPr>
        <w:t>. Marcial Pons. Madrid, 2003. Pp.: 432.</w:t>
      </w:r>
    </w:p>
  </w:footnote>
  <w:footnote w:id="54">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STC 20/1992 de 14 de febrero.</w:t>
      </w:r>
    </w:p>
    <w:p w:rsidR="00517EB1" w:rsidRPr="00C11B67" w:rsidRDefault="00517EB1" w:rsidP="009C7D06">
      <w:pPr>
        <w:pStyle w:val="Textonotapie"/>
        <w:widowControl w:val="0"/>
        <w:spacing w:before="60"/>
        <w:jc w:val="both"/>
        <w:rPr>
          <w:rFonts w:ascii="Times New Roman" w:hAnsi="Times New Roman" w:cs="Times New Roman"/>
          <w:b w:val="0"/>
        </w:rPr>
      </w:pPr>
    </w:p>
  </w:footnote>
  <w:footnote w:id="55">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w:t>
      </w:r>
      <w:proofErr w:type="spellStart"/>
      <w:r w:rsidRPr="00C11B67">
        <w:rPr>
          <w:rFonts w:ascii="Times New Roman" w:hAnsi="Times New Roman" w:cs="Times New Roman"/>
          <w:b w:val="0"/>
        </w:rPr>
        <w:t>Perez</w:t>
      </w:r>
      <w:proofErr w:type="spellEnd"/>
      <w:r w:rsidRPr="00C11B67">
        <w:rPr>
          <w:rFonts w:ascii="Times New Roman" w:hAnsi="Times New Roman" w:cs="Times New Roman"/>
          <w:b w:val="0"/>
        </w:rPr>
        <w:t xml:space="preserve"> </w:t>
      </w:r>
      <w:proofErr w:type="spellStart"/>
      <w:r w:rsidRPr="00C11B67">
        <w:rPr>
          <w:rFonts w:ascii="Times New Roman" w:hAnsi="Times New Roman" w:cs="Times New Roman"/>
          <w:b w:val="0"/>
        </w:rPr>
        <w:t>Luño</w:t>
      </w:r>
      <w:proofErr w:type="spellEnd"/>
      <w:r w:rsidRPr="00C11B67">
        <w:rPr>
          <w:rFonts w:ascii="Times New Roman" w:hAnsi="Times New Roman" w:cs="Times New Roman"/>
          <w:b w:val="0"/>
        </w:rPr>
        <w:t>, A.E</w:t>
      </w:r>
      <w:r w:rsidRPr="00C11B67">
        <w:rPr>
          <w:rFonts w:ascii="Times New Roman" w:hAnsi="Times New Roman" w:cs="Times New Roman"/>
          <w:b w:val="0"/>
          <w:i/>
        </w:rPr>
        <w:t>. La tercera generación de Derechos Humanos</w:t>
      </w:r>
      <w:r w:rsidRPr="00C11B67">
        <w:rPr>
          <w:rFonts w:ascii="Times New Roman" w:hAnsi="Times New Roman" w:cs="Times New Roman"/>
          <w:b w:val="0"/>
        </w:rPr>
        <w:t>. Aranzadi. Navarra, 2006.pp.: 121</w:t>
      </w:r>
    </w:p>
    <w:p w:rsidR="00517EB1" w:rsidRPr="00C11B67" w:rsidRDefault="00517EB1" w:rsidP="009C7D06">
      <w:pPr>
        <w:pStyle w:val="Textonotapie"/>
        <w:widowControl w:val="0"/>
        <w:spacing w:before="60"/>
        <w:jc w:val="both"/>
        <w:rPr>
          <w:rFonts w:ascii="Times New Roman" w:hAnsi="Times New Roman" w:cs="Times New Roman"/>
          <w:b w:val="0"/>
        </w:rPr>
      </w:pPr>
    </w:p>
  </w:footnote>
  <w:footnote w:id="56">
    <w:p w:rsidR="009C7D06" w:rsidRPr="00C11B67" w:rsidRDefault="009C7D06" w:rsidP="009C7D06">
      <w:pPr>
        <w:widowControl w:val="0"/>
        <w:spacing w:before="60"/>
        <w:jc w:val="both"/>
      </w:pPr>
      <w:r w:rsidRPr="00C11B67">
        <w:rPr>
          <w:vertAlign w:val="superscript"/>
        </w:rPr>
        <w:footnoteRef/>
      </w:r>
      <w:r w:rsidRPr="00C11B67">
        <w:t xml:space="preserve"> STC 85/1988, de 28 de abril.</w:t>
      </w:r>
    </w:p>
  </w:footnote>
  <w:footnote w:id="57">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STC 110/2006 de 3 de abril.</w:t>
      </w:r>
    </w:p>
    <w:p w:rsidR="009C7D06" w:rsidRPr="00517EB1" w:rsidRDefault="009C7D06" w:rsidP="009C7D06">
      <w:pPr>
        <w:pStyle w:val="Textonotapie"/>
        <w:widowControl w:val="0"/>
        <w:spacing w:before="60"/>
        <w:jc w:val="both"/>
        <w:rPr>
          <w:rFonts w:ascii="Times New Roman" w:hAnsi="Times New Roman" w:cs="Times New Roman"/>
        </w:rPr>
      </w:pPr>
    </w:p>
  </w:footnote>
  <w:footnote w:id="58">
    <w:p w:rsidR="009C7D06" w:rsidRPr="00517EB1" w:rsidRDefault="009C7D06" w:rsidP="009C7D06">
      <w:pPr>
        <w:pStyle w:val="Textonotapie"/>
        <w:widowControl w:val="0"/>
        <w:spacing w:before="60"/>
        <w:jc w:val="both"/>
        <w:rPr>
          <w:rFonts w:ascii="Times New Roman" w:hAnsi="Times New Roman" w:cs="Times New Roman"/>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Pérez Royo, J. </w:t>
      </w:r>
      <w:r w:rsidRPr="00C11B67">
        <w:rPr>
          <w:rFonts w:ascii="Times New Roman" w:hAnsi="Times New Roman" w:cs="Times New Roman"/>
          <w:b w:val="0"/>
          <w:i/>
        </w:rPr>
        <w:t>Curso de Derecho Constitucional</w:t>
      </w:r>
      <w:r w:rsidRPr="00C11B67">
        <w:rPr>
          <w:rFonts w:ascii="Times New Roman" w:hAnsi="Times New Roman" w:cs="Times New Roman"/>
          <w:b w:val="0"/>
        </w:rPr>
        <w:t>. Marcial Pons. Madrid, 2003. Pp.: 450</w:t>
      </w:r>
      <w:r w:rsidRPr="00517EB1">
        <w:rPr>
          <w:rFonts w:ascii="Times New Roman" w:hAnsi="Times New Roman" w:cs="Times New Roman"/>
        </w:rPr>
        <w:t>.</w:t>
      </w:r>
    </w:p>
    <w:p w:rsidR="009C7D06" w:rsidRPr="00517EB1" w:rsidRDefault="009C7D06" w:rsidP="009C7D06">
      <w:pPr>
        <w:pStyle w:val="Textonotapie"/>
        <w:widowControl w:val="0"/>
        <w:spacing w:before="60"/>
        <w:jc w:val="both"/>
        <w:rPr>
          <w:rFonts w:ascii="Times New Roman" w:hAnsi="Times New Roman" w:cs="Times New Roman"/>
          <w:b w:val="0"/>
        </w:rPr>
      </w:pPr>
    </w:p>
  </w:footnote>
  <w:footnote w:id="59">
    <w:p w:rsidR="009C7D06" w:rsidRPr="00517EB1" w:rsidRDefault="009C7D06" w:rsidP="009C7D06">
      <w:pPr>
        <w:widowControl w:val="0"/>
        <w:spacing w:before="60"/>
        <w:jc w:val="both"/>
      </w:pPr>
      <w:r w:rsidRPr="00517EB1">
        <w:rPr>
          <w:vertAlign w:val="superscript"/>
        </w:rPr>
        <w:footnoteRef/>
      </w:r>
      <w:r w:rsidRPr="00517EB1">
        <w:t xml:space="preserve"> SSTC 66/1995 de 8 de mayo; 85/1988 de 28 de abril; 163/2006 de 22 de mayo.</w:t>
      </w:r>
    </w:p>
  </w:footnote>
  <w:footnote w:id="60">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SSTC 2/1982 de 29 de enero, 91/1983 de 7 de noviembre.</w:t>
      </w:r>
    </w:p>
  </w:footnote>
  <w:footnote w:id="61">
    <w:p w:rsidR="009C7D06" w:rsidRPr="00517EB1" w:rsidRDefault="009C7D06" w:rsidP="009C7D06">
      <w:pPr>
        <w:widowControl w:val="0"/>
        <w:spacing w:before="60"/>
        <w:jc w:val="both"/>
      </w:pPr>
      <w:r w:rsidRPr="00517EB1">
        <w:rPr>
          <w:vertAlign w:val="superscript"/>
        </w:rPr>
        <w:footnoteRef/>
      </w:r>
      <w:r w:rsidRPr="00517EB1">
        <w:t xml:space="preserve"> STC 136/2006, de 22 de mayo.</w:t>
      </w:r>
    </w:p>
  </w:footnote>
  <w:footnote w:id="62">
    <w:p w:rsidR="009C7D06" w:rsidRPr="00C11B67" w:rsidRDefault="009C7D06" w:rsidP="009C7D06">
      <w:pPr>
        <w:pStyle w:val="Textonotapie"/>
        <w:widowControl w:val="0"/>
        <w:spacing w:before="60"/>
        <w:jc w:val="both"/>
        <w:rPr>
          <w:rFonts w:ascii="Times New Roman" w:hAnsi="Times New Roman" w:cs="Times New Roman"/>
          <w:b w:val="0"/>
        </w:rPr>
      </w:pPr>
      <w:r w:rsidRPr="00C11B67">
        <w:rPr>
          <w:rStyle w:val="Refdenotaalpie"/>
          <w:rFonts w:ascii="Times New Roman" w:hAnsi="Times New Roman" w:cs="Times New Roman"/>
          <w:b w:val="0"/>
        </w:rPr>
        <w:footnoteRef/>
      </w:r>
      <w:r w:rsidRPr="00C11B67">
        <w:rPr>
          <w:rFonts w:ascii="Times New Roman" w:hAnsi="Times New Roman" w:cs="Times New Roman"/>
          <w:b w:val="0"/>
        </w:rPr>
        <w:t xml:space="preserve"> STC 101/1985 de 4 de octubre.</w:t>
      </w:r>
    </w:p>
  </w:footnote>
  <w:footnote w:id="63">
    <w:p w:rsidR="009C7D06" w:rsidRPr="00517EB1" w:rsidRDefault="009C7D06" w:rsidP="009C7D06">
      <w:pPr>
        <w:widowControl w:val="0"/>
        <w:spacing w:before="60"/>
        <w:jc w:val="both"/>
      </w:pPr>
      <w:r w:rsidRPr="00517EB1">
        <w:rPr>
          <w:vertAlign w:val="superscript"/>
        </w:rPr>
        <w:footnoteRef/>
      </w:r>
      <w:r w:rsidRPr="00517EB1">
        <w:t xml:space="preserve"> </w:t>
      </w:r>
      <w:proofErr w:type="spellStart"/>
      <w:r w:rsidRPr="00517EB1">
        <w:t>Enériz</w:t>
      </w:r>
      <w:proofErr w:type="spellEnd"/>
      <w:r w:rsidRPr="00517EB1">
        <w:t xml:space="preserve"> Olaechea, F.J.: </w:t>
      </w:r>
      <w:r w:rsidRPr="00517EB1">
        <w:rPr>
          <w:i/>
        </w:rPr>
        <w:t>La protección de los derechos fundamentales y las libertades públicas en la Constitución Española</w:t>
      </w:r>
      <w:r w:rsidRPr="00517EB1">
        <w:t>, Publicaciones  Universidad Pública de Navarra, Pamplona, 2007, pp.: 271-276; 294-303.</w:t>
      </w:r>
    </w:p>
  </w:footnote>
  <w:footnote w:id="64">
    <w:p w:rsidR="00517EB1" w:rsidRPr="005B234D" w:rsidRDefault="00517EB1" w:rsidP="00517EB1">
      <w:pPr>
        <w:widowControl w:val="0"/>
        <w:spacing w:before="60"/>
        <w:jc w:val="both"/>
      </w:pPr>
      <w:r w:rsidRPr="00517EB1">
        <w:rPr>
          <w:vertAlign w:val="superscript"/>
        </w:rPr>
        <w:footnoteRef/>
      </w:r>
      <w:r w:rsidRPr="00517EB1">
        <w:t xml:space="preserve"> </w:t>
      </w:r>
      <w:proofErr w:type="spellStart"/>
      <w:r w:rsidRPr="00517EB1">
        <w:t>Rights</w:t>
      </w:r>
      <w:proofErr w:type="spellEnd"/>
      <w:r w:rsidRPr="00517EB1">
        <w:t xml:space="preserve"> International </w:t>
      </w:r>
      <w:proofErr w:type="spellStart"/>
      <w:r w:rsidRPr="00517EB1">
        <w:t>Spain</w:t>
      </w:r>
      <w:proofErr w:type="spellEnd"/>
      <w:r w:rsidRPr="00517EB1">
        <w:t>: “Observaciones de la ONU sobre la reforma del Código Penal y la Ley Mordaza”. Junio 2014. Fuente:</w:t>
      </w:r>
      <w:hyperlink r:id="rId9">
        <w:r w:rsidRPr="00517EB1">
          <w:rPr>
            <w:color w:val="1155CC"/>
            <w:u w:val="single"/>
          </w:rPr>
          <w:t>www.rightsinternationalspain.org</w:t>
        </w:r>
      </w:hyperlink>
      <w:r w:rsidRPr="005B234D">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C6C56"/>
    <w:multiLevelType w:val="hybridMultilevel"/>
    <w:tmpl w:val="BE02F9F2"/>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13920D8B"/>
    <w:multiLevelType w:val="hybridMultilevel"/>
    <w:tmpl w:val="A46C6C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7C16B4C"/>
    <w:multiLevelType w:val="hybridMultilevel"/>
    <w:tmpl w:val="71D098EE"/>
    <w:lvl w:ilvl="0" w:tplc="0C0A0001">
      <w:start w:val="1"/>
      <w:numFmt w:val="bullet"/>
      <w:lvlText w:val=""/>
      <w:lvlJc w:val="left"/>
      <w:pPr>
        <w:ind w:left="720" w:hanging="360"/>
      </w:pPr>
      <w:rPr>
        <w:rFonts w:ascii="Symbol" w:hAnsi="Symbol" w:hint="default"/>
      </w:rPr>
    </w:lvl>
    <w:lvl w:ilvl="1" w:tplc="A37E815E">
      <w:numFmt w:val="bullet"/>
      <w:lvlText w:val="-"/>
      <w:lvlJc w:val="left"/>
      <w:pPr>
        <w:ind w:left="1440" w:hanging="360"/>
      </w:pPr>
      <w:rPr>
        <w:rFonts w:ascii="Times New Roman" w:eastAsia="Calibri"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C563A07"/>
    <w:multiLevelType w:val="hybridMultilevel"/>
    <w:tmpl w:val="E0A4A3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C692CC2"/>
    <w:multiLevelType w:val="hybridMultilevel"/>
    <w:tmpl w:val="7B16872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nsid w:val="1EE031F4"/>
    <w:multiLevelType w:val="hybridMultilevel"/>
    <w:tmpl w:val="3D1A7BAC"/>
    <w:lvl w:ilvl="0" w:tplc="60D09A54">
      <w:start w:val="1"/>
      <w:numFmt w:val="bullet"/>
      <w:lvlText w:val=""/>
      <w:lvlJc w:val="left"/>
      <w:pPr>
        <w:ind w:left="720" w:hanging="360"/>
      </w:pPr>
      <w:rPr>
        <w:rFonts w:ascii="Symbol" w:hAnsi="Symbol" w:hint="default"/>
      </w:rPr>
    </w:lvl>
    <w:lvl w:ilvl="1" w:tplc="C728E6C2">
      <w:numFmt w:val="bullet"/>
      <w:lvlText w:val="-"/>
      <w:lvlJc w:val="left"/>
      <w:pPr>
        <w:ind w:left="1440" w:hanging="360"/>
      </w:pPr>
      <w:rPr>
        <w:rFonts w:ascii="Times New Roman" w:eastAsia="Calibri"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FD8338C"/>
    <w:multiLevelType w:val="hybridMultilevel"/>
    <w:tmpl w:val="74EE6D32"/>
    <w:lvl w:ilvl="0" w:tplc="60D09A5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43600A14"/>
    <w:multiLevelType w:val="multilevel"/>
    <w:tmpl w:val="B310F8A2"/>
    <w:lvl w:ilvl="0">
      <w:start w:val="1"/>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8">
    <w:nsid w:val="43AE2A3F"/>
    <w:multiLevelType w:val="hybridMultilevel"/>
    <w:tmpl w:val="CAD606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4CCA277E"/>
    <w:multiLevelType w:val="hybridMultilevel"/>
    <w:tmpl w:val="AB44D4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649449BE"/>
    <w:multiLevelType w:val="hybridMultilevel"/>
    <w:tmpl w:val="76181928"/>
    <w:lvl w:ilvl="0" w:tplc="0C0A0001">
      <w:start w:val="1"/>
      <w:numFmt w:val="bullet"/>
      <w:lvlText w:val=""/>
      <w:lvlJc w:val="left"/>
      <w:pPr>
        <w:ind w:left="1569" w:hanging="360"/>
      </w:pPr>
      <w:rPr>
        <w:rFonts w:ascii="Symbol" w:hAnsi="Symbol" w:hint="default"/>
      </w:rPr>
    </w:lvl>
    <w:lvl w:ilvl="1" w:tplc="0C0A0003" w:tentative="1">
      <w:start w:val="1"/>
      <w:numFmt w:val="bullet"/>
      <w:lvlText w:val="o"/>
      <w:lvlJc w:val="left"/>
      <w:pPr>
        <w:ind w:left="2289" w:hanging="360"/>
      </w:pPr>
      <w:rPr>
        <w:rFonts w:ascii="Courier New" w:hAnsi="Courier New" w:cs="Courier New" w:hint="default"/>
      </w:rPr>
    </w:lvl>
    <w:lvl w:ilvl="2" w:tplc="0C0A0005" w:tentative="1">
      <w:start w:val="1"/>
      <w:numFmt w:val="bullet"/>
      <w:lvlText w:val=""/>
      <w:lvlJc w:val="left"/>
      <w:pPr>
        <w:ind w:left="3009" w:hanging="360"/>
      </w:pPr>
      <w:rPr>
        <w:rFonts w:ascii="Wingdings" w:hAnsi="Wingdings" w:hint="default"/>
      </w:rPr>
    </w:lvl>
    <w:lvl w:ilvl="3" w:tplc="0C0A0001" w:tentative="1">
      <w:start w:val="1"/>
      <w:numFmt w:val="bullet"/>
      <w:lvlText w:val=""/>
      <w:lvlJc w:val="left"/>
      <w:pPr>
        <w:ind w:left="3729" w:hanging="360"/>
      </w:pPr>
      <w:rPr>
        <w:rFonts w:ascii="Symbol" w:hAnsi="Symbol" w:hint="default"/>
      </w:rPr>
    </w:lvl>
    <w:lvl w:ilvl="4" w:tplc="0C0A0003" w:tentative="1">
      <w:start w:val="1"/>
      <w:numFmt w:val="bullet"/>
      <w:lvlText w:val="o"/>
      <w:lvlJc w:val="left"/>
      <w:pPr>
        <w:ind w:left="4449" w:hanging="360"/>
      </w:pPr>
      <w:rPr>
        <w:rFonts w:ascii="Courier New" w:hAnsi="Courier New" w:cs="Courier New" w:hint="default"/>
      </w:rPr>
    </w:lvl>
    <w:lvl w:ilvl="5" w:tplc="0C0A0005" w:tentative="1">
      <w:start w:val="1"/>
      <w:numFmt w:val="bullet"/>
      <w:lvlText w:val=""/>
      <w:lvlJc w:val="left"/>
      <w:pPr>
        <w:ind w:left="5169" w:hanging="360"/>
      </w:pPr>
      <w:rPr>
        <w:rFonts w:ascii="Wingdings" w:hAnsi="Wingdings" w:hint="default"/>
      </w:rPr>
    </w:lvl>
    <w:lvl w:ilvl="6" w:tplc="0C0A0001" w:tentative="1">
      <w:start w:val="1"/>
      <w:numFmt w:val="bullet"/>
      <w:lvlText w:val=""/>
      <w:lvlJc w:val="left"/>
      <w:pPr>
        <w:ind w:left="5889" w:hanging="360"/>
      </w:pPr>
      <w:rPr>
        <w:rFonts w:ascii="Symbol" w:hAnsi="Symbol" w:hint="default"/>
      </w:rPr>
    </w:lvl>
    <w:lvl w:ilvl="7" w:tplc="0C0A0003" w:tentative="1">
      <w:start w:val="1"/>
      <w:numFmt w:val="bullet"/>
      <w:lvlText w:val="o"/>
      <w:lvlJc w:val="left"/>
      <w:pPr>
        <w:ind w:left="6609" w:hanging="360"/>
      </w:pPr>
      <w:rPr>
        <w:rFonts w:ascii="Courier New" w:hAnsi="Courier New" w:cs="Courier New" w:hint="default"/>
      </w:rPr>
    </w:lvl>
    <w:lvl w:ilvl="8" w:tplc="0C0A0005" w:tentative="1">
      <w:start w:val="1"/>
      <w:numFmt w:val="bullet"/>
      <w:lvlText w:val=""/>
      <w:lvlJc w:val="left"/>
      <w:pPr>
        <w:ind w:left="7329" w:hanging="360"/>
      </w:pPr>
      <w:rPr>
        <w:rFonts w:ascii="Wingdings" w:hAnsi="Wingdings" w:hint="default"/>
      </w:rPr>
    </w:lvl>
  </w:abstractNum>
  <w:abstractNum w:abstractNumId="11">
    <w:nsid w:val="6BF731BE"/>
    <w:multiLevelType w:val="hybridMultilevel"/>
    <w:tmpl w:val="06646B0A"/>
    <w:lvl w:ilvl="0" w:tplc="0C0A0001">
      <w:start w:val="1"/>
      <w:numFmt w:val="bullet"/>
      <w:lvlText w:val=""/>
      <w:lvlJc w:val="left"/>
      <w:pPr>
        <w:ind w:left="849" w:hanging="360"/>
      </w:pPr>
      <w:rPr>
        <w:rFonts w:ascii="Symbol" w:hAnsi="Symbol" w:hint="default"/>
      </w:rPr>
    </w:lvl>
    <w:lvl w:ilvl="1" w:tplc="0C0A0003" w:tentative="1">
      <w:start w:val="1"/>
      <w:numFmt w:val="bullet"/>
      <w:lvlText w:val="o"/>
      <w:lvlJc w:val="left"/>
      <w:pPr>
        <w:ind w:left="1569" w:hanging="360"/>
      </w:pPr>
      <w:rPr>
        <w:rFonts w:ascii="Courier New" w:hAnsi="Courier New" w:cs="Courier New" w:hint="default"/>
      </w:rPr>
    </w:lvl>
    <w:lvl w:ilvl="2" w:tplc="0C0A0005" w:tentative="1">
      <w:start w:val="1"/>
      <w:numFmt w:val="bullet"/>
      <w:lvlText w:val=""/>
      <w:lvlJc w:val="left"/>
      <w:pPr>
        <w:ind w:left="2289" w:hanging="360"/>
      </w:pPr>
      <w:rPr>
        <w:rFonts w:ascii="Wingdings" w:hAnsi="Wingdings" w:hint="default"/>
      </w:rPr>
    </w:lvl>
    <w:lvl w:ilvl="3" w:tplc="0C0A0001" w:tentative="1">
      <w:start w:val="1"/>
      <w:numFmt w:val="bullet"/>
      <w:lvlText w:val=""/>
      <w:lvlJc w:val="left"/>
      <w:pPr>
        <w:ind w:left="3009" w:hanging="360"/>
      </w:pPr>
      <w:rPr>
        <w:rFonts w:ascii="Symbol" w:hAnsi="Symbol" w:hint="default"/>
      </w:rPr>
    </w:lvl>
    <w:lvl w:ilvl="4" w:tplc="0C0A0003" w:tentative="1">
      <w:start w:val="1"/>
      <w:numFmt w:val="bullet"/>
      <w:lvlText w:val="o"/>
      <w:lvlJc w:val="left"/>
      <w:pPr>
        <w:ind w:left="3729" w:hanging="360"/>
      </w:pPr>
      <w:rPr>
        <w:rFonts w:ascii="Courier New" w:hAnsi="Courier New" w:cs="Courier New" w:hint="default"/>
      </w:rPr>
    </w:lvl>
    <w:lvl w:ilvl="5" w:tplc="0C0A0005" w:tentative="1">
      <w:start w:val="1"/>
      <w:numFmt w:val="bullet"/>
      <w:lvlText w:val=""/>
      <w:lvlJc w:val="left"/>
      <w:pPr>
        <w:ind w:left="4449" w:hanging="360"/>
      </w:pPr>
      <w:rPr>
        <w:rFonts w:ascii="Wingdings" w:hAnsi="Wingdings" w:hint="default"/>
      </w:rPr>
    </w:lvl>
    <w:lvl w:ilvl="6" w:tplc="0C0A0001" w:tentative="1">
      <w:start w:val="1"/>
      <w:numFmt w:val="bullet"/>
      <w:lvlText w:val=""/>
      <w:lvlJc w:val="left"/>
      <w:pPr>
        <w:ind w:left="5169" w:hanging="360"/>
      </w:pPr>
      <w:rPr>
        <w:rFonts w:ascii="Symbol" w:hAnsi="Symbol" w:hint="default"/>
      </w:rPr>
    </w:lvl>
    <w:lvl w:ilvl="7" w:tplc="0C0A0003" w:tentative="1">
      <w:start w:val="1"/>
      <w:numFmt w:val="bullet"/>
      <w:lvlText w:val="o"/>
      <w:lvlJc w:val="left"/>
      <w:pPr>
        <w:ind w:left="5889" w:hanging="360"/>
      </w:pPr>
      <w:rPr>
        <w:rFonts w:ascii="Courier New" w:hAnsi="Courier New" w:cs="Courier New" w:hint="default"/>
      </w:rPr>
    </w:lvl>
    <w:lvl w:ilvl="8" w:tplc="0C0A0005" w:tentative="1">
      <w:start w:val="1"/>
      <w:numFmt w:val="bullet"/>
      <w:lvlText w:val=""/>
      <w:lvlJc w:val="left"/>
      <w:pPr>
        <w:ind w:left="6609" w:hanging="360"/>
      </w:pPr>
      <w:rPr>
        <w:rFonts w:ascii="Wingdings" w:hAnsi="Wingdings" w:hint="default"/>
      </w:rPr>
    </w:lvl>
  </w:abstractNum>
  <w:abstractNum w:abstractNumId="12">
    <w:nsid w:val="6E9A5B6B"/>
    <w:multiLevelType w:val="hybridMultilevel"/>
    <w:tmpl w:val="DEBC6494"/>
    <w:lvl w:ilvl="0" w:tplc="0C0A0001">
      <w:start w:val="1"/>
      <w:numFmt w:val="bullet"/>
      <w:lvlText w:val=""/>
      <w:lvlJc w:val="left"/>
      <w:pPr>
        <w:ind w:left="849" w:hanging="360"/>
      </w:pPr>
      <w:rPr>
        <w:rFonts w:ascii="Symbol" w:hAnsi="Symbol" w:hint="default"/>
      </w:rPr>
    </w:lvl>
    <w:lvl w:ilvl="1" w:tplc="0C0A0003" w:tentative="1">
      <w:start w:val="1"/>
      <w:numFmt w:val="bullet"/>
      <w:lvlText w:val="o"/>
      <w:lvlJc w:val="left"/>
      <w:pPr>
        <w:ind w:left="1569" w:hanging="360"/>
      </w:pPr>
      <w:rPr>
        <w:rFonts w:ascii="Courier New" w:hAnsi="Courier New" w:cs="Courier New" w:hint="default"/>
      </w:rPr>
    </w:lvl>
    <w:lvl w:ilvl="2" w:tplc="0C0A0005" w:tentative="1">
      <w:start w:val="1"/>
      <w:numFmt w:val="bullet"/>
      <w:lvlText w:val=""/>
      <w:lvlJc w:val="left"/>
      <w:pPr>
        <w:ind w:left="2289" w:hanging="360"/>
      </w:pPr>
      <w:rPr>
        <w:rFonts w:ascii="Wingdings" w:hAnsi="Wingdings" w:hint="default"/>
      </w:rPr>
    </w:lvl>
    <w:lvl w:ilvl="3" w:tplc="0C0A0001" w:tentative="1">
      <w:start w:val="1"/>
      <w:numFmt w:val="bullet"/>
      <w:lvlText w:val=""/>
      <w:lvlJc w:val="left"/>
      <w:pPr>
        <w:ind w:left="3009" w:hanging="360"/>
      </w:pPr>
      <w:rPr>
        <w:rFonts w:ascii="Symbol" w:hAnsi="Symbol" w:hint="default"/>
      </w:rPr>
    </w:lvl>
    <w:lvl w:ilvl="4" w:tplc="0C0A0003" w:tentative="1">
      <w:start w:val="1"/>
      <w:numFmt w:val="bullet"/>
      <w:lvlText w:val="o"/>
      <w:lvlJc w:val="left"/>
      <w:pPr>
        <w:ind w:left="3729" w:hanging="360"/>
      </w:pPr>
      <w:rPr>
        <w:rFonts w:ascii="Courier New" w:hAnsi="Courier New" w:cs="Courier New" w:hint="default"/>
      </w:rPr>
    </w:lvl>
    <w:lvl w:ilvl="5" w:tplc="0C0A0005" w:tentative="1">
      <w:start w:val="1"/>
      <w:numFmt w:val="bullet"/>
      <w:lvlText w:val=""/>
      <w:lvlJc w:val="left"/>
      <w:pPr>
        <w:ind w:left="4449" w:hanging="360"/>
      </w:pPr>
      <w:rPr>
        <w:rFonts w:ascii="Wingdings" w:hAnsi="Wingdings" w:hint="default"/>
      </w:rPr>
    </w:lvl>
    <w:lvl w:ilvl="6" w:tplc="0C0A0001" w:tentative="1">
      <w:start w:val="1"/>
      <w:numFmt w:val="bullet"/>
      <w:lvlText w:val=""/>
      <w:lvlJc w:val="left"/>
      <w:pPr>
        <w:ind w:left="5169" w:hanging="360"/>
      </w:pPr>
      <w:rPr>
        <w:rFonts w:ascii="Symbol" w:hAnsi="Symbol" w:hint="default"/>
      </w:rPr>
    </w:lvl>
    <w:lvl w:ilvl="7" w:tplc="0C0A0003" w:tentative="1">
      <w:start w:val="1"/>
      <w:numFmt w:val="bullet"/>
      <w:lvlText w:val="o"/>
      <w:lvlJc w:val="left"/>
      <w:pPr>
        <w:ind w:left="5889" w:hanging="360"/>
      </w:pPr>
      <w:rPr>
        <w:rFonts w:ascii="Courier New" w:hAnsi="Courier New" w:cs="Courier New" w:hint="default"/>
      </w:rPr>
    </w:lvl>
    <w:lvl w:ilvl="8" w:tplc="0C0A0005" w:tentative="1">
      <w:start w:val="1"/>
      <w:numFmt w:val="bullet"/>
      <w:lvlText w:val=""/>
      <w:lvlJc w:val="left"/>
      <w:pPr>
        <w:ind w:left="6609" w:hanging="360"/>
      </w:pPr>
      <w:rPr>
        <w:rFonts w:ascii="Wingdings" w:hAnsi="Wingdings" w:hint="default"/>
      </w:rPr>
    </w:lvl>
  </w:abstractNum>
  <w:num w:numId="1">
    <w:abstractNumId w:val="5"/>
  </w:num>
  <w:num w:numId="2">
    <w:abstractNumId w:val="6"/>
  </w:num>
  <w:num w:numId="3">
    <w:abstractNumId w:val="2"/>
  </w:num>
  <w:num w:numId="4">
    <w:abstractNumId w:val="0"/>
  </w:num>
  <w:num w:numId="5">
    <w:abstractNumId w:val="11"/>
  </w:num>
  <w:num w:numId="6">
    <w:abstractNumId w:val="10"/>
  </w:num>
  <w:num w:numId="7">
    <w:abstractNumId w:val="1"/>
  </w:num>
  <w:num w:numId="8">
    <w:abstractNumId w:val="8"/>
  </w:num>
  <w:num w:numId="9">
    <w:abstractNumId w:val="4"/>
  </w:num>
  <w:num w:numId="10">
    <w:abstractNumId w:val="3"/>
  </w:num>
  <w:num w:numId="11">
    <w:abstractNumId w:val="12"/>
  </w:num>
  <w:num w:numId="12">
    <w:abstractNumId w:val="9"/>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53E"/>
    <w:rsid w:val="0000596D"/>
    <w:rsid w:val="0008453E"/>
    <w:rsid w:val="000A7040"/>
    <w:rsid w:val="000B0BA0"/>
    <w:rsid w:val="00102AB0"/>
    <w:rsid w:val="00102D76"/>
    <w:rsid w:val="001067B8"/>
    <w:rsid w:val="00112DF9"/>
    <w:rsid w:val="00145513"/>
    <w:rsid w:val="001523DF"/>
    <w:rsid w:val="001651B2"/>
    <w:rsid w:val="00176239"/>
    <w:rsid w:val="00181EDB"/>
    <w:rsid w:val="001B7244"/>
    <w:rsid w:val="001C169D"/>
    <w:rsid w:val="001D7DA2"/>
    <w:rsid w:val="001F74C2"/>
    <w:rsid w:val="00201FBB"/>
    <w:rsid w:val="002177B3"/>
    <w:rsid w:val="002543C6"/>
    <w:rsid w:val="00261DD8"/>
    <w:rsid w:val="00267499"/>
    <w:rsid w:val="002C2679"/>
    <w:rsid w:val="002C5B00"/>
    <w:rsid w:val="002C6FD2"/>
    <w:rsid w:val="002E56B2"/>
    <w:rsid w:val="002E6D06"/>
    <w:rsid w:val="00305DF6"/>
    <w:rsid w:val="00343076"/>
    <w:rsid w:val="0037148D"/>
    <w:rsid w:val="003833DE"/>
    <w:rsid w:val="003A0674"/>
    <w:rsid w:val="003C3A1F"/>
    <w:rsid w:val="0040652A"/>
    <w:rsid w:val="00423CB7"/>
    <w:rsid w:val="00451F66"/>
    <w:rsid w:val="00462AF9"/>
    <w:rsid w:val="004C2171"/>
    <w:rsid w:val="00517EB1"/>
    <w:rsid w:val="00524804"/>
    <w:rsid w:val="00562774"/>
    <w:rsid w:val="005D2C98"/>
    <w:rsid w:val="00606F9C"/>
    <w:rsid w:val="00626FCF"/>
    <w:rsid w:val="006536DB"/>
    <w:rsid w:val="00682ED9"/>
    <w:rsid w:val="00692F72"/>
    <w:rsid w:val="006E1160"/>
    <w:rsid w:val="006E4664"/>
    <w:rsid w:val="007008CC"/>
    <w:rsid w:val="00714A8E"/>
    <w:rsid w:val="00741D6F"/>
    <w:rsid w:val="0074392C"/>
    <w:rsid w:val="0076334C"/>
    <w:rsid w:val="00763808"/>
    <w:rsid w:val="00786DC0"/>
    <w:rsid w:val="007E3585"/>
    <w:rsid w:val="007F004F"/>
    <w:rsid w:val="007F1678"/>
    <w:rsid w:val="0082693B"/>
    <w:rsid w:val="00843D45"/>
    <w:rsid w:val="00855600"/>
    <w:rsid w:val="00873795"/>
    <w:rsid w:val="00885BB4"/>
    <w:rsid w:val="00890D8E"/>
    <w:rsid w:val="00893C79"/>
    <w:rsid w:val="008C76A6"/>
    <w:rsid w:val="008D4D9A"/>
    <w:rsid w:val="008D7398"/>
    <w:rsid w:val="008E1780"/>
    <w:rsid w:val="00907B24"/>
    <w:rsid w:val="00935F0F"/>
    <w:rsid w:val="009568DE"/>
    <w:rsid w:val="00971A40"/>
    <w:rsid w:val="00982AF2"/>
    <w:rsid w:val="009840AD"/>
    <w:rsid w:val="009C7D06"/>
    <w:rsid w:val="009D28AF"/>
    <w:rsid w:val="00A52907"/>
    <w:rsid w:val="00A7279C"/>
    <w:rsid w:val="00A9071D"/>
    <w:rsid w:val="00A96634"/>
    <w:rsid w:val="00AC3B9D"/>
    <w:rsid w:val="00AD46B1"/>
    <w:rsid w:val="00B136A1"/>
    <w:rsid w:val="00B629F8"/>
    <w:rsid w:val="00B70766"/>
    <w:rsid w:val="00B766A9"/>
    <w:rsid w:val="00B9129F"/>
    <w:rsid w:val="00B91EDF"/>
    <w:rsid w:val="00C11B67"/>
    <w:rsid w:val="00C826BD"/>
    <w:rsid w:val="00CA4601"/>
    <w:rsid w:val="00CA5161"/>
    <w:rsid w:val="00CB15FB"/>
    <w:rsid w:val="00CD2F82"/>
    <w:rsid w:val="00D0583C"/>
    <w:rsid w:val="00D114D2"/>
    <w:rsid w:val="00D406A5"/>
    <w:rsid w:val="00D4516A"/>
    <w:rsid w:val="00D469AC"/>
    <w:rsid w:val="00D5404E"/>
    <w:rsid w:val="00D82B7D"/>
    <w:rsid w:val="00E05521"/>
    <w:rsid w:val="00E3686C"/>
    <w:rsid w:val="00E41AF2"/>
    <w:rsid w:val="00E96EF9"/>
    <w:rsid w:val="00EE0782"/>
    <w:rsid w:val="00F035A3"/>
    <w:rsid w:val="00F117AC"/>
    <w:rsid w:val="00F23877"/>
    <w:rsid w:val="00F26CD9"/>
    <w:rsid w:val="00F27AB2"/>
    <w:rsid w:val="00FA78C1"/>
    <w:rsid w:val="00FD12C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3cf" stroke="f">
      <v:fill color="#3cf"/>
      <v:stroke on="f"/>
      <v:textbox style="layout-flow:vertical;mso-layout-flow-alt:bottom-to-top"/>
      <o:colormru v:ext="edit" colors="#3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3585"/>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Textonotapie">
    <w:name w:val="footnote text"/>
    <w:basedOn w:val="Normal"/>
    <w:link w:val="TextonotapieCar"/>
    <w:uiPriority w:val="99"/>
    <w:unhideWhenUsed/>
    <w:rsid w:val="00EE0782"/>
    <w:rPr>
      <w:rFonts w:ascii="Calibri" w:eastAsia="Calibri" w:hAnsi="Calibri" w:cs="Calibri"/>
      <w:b/>
      <w:color w:val="000000"/>
    </w:rPr>
  </w:style>
  <w:style w:type="character" w:customStyle="1" w:styleId="TextonotapieCar">
    <w:name w:val="Texto nota pie Car"/>
    <w:basedOn w:val="Fuentedeprrafopredeter"/>
    <w:link w:val="Textonotapie"/>
    <w:uiPriority w:val="99"/>
    <w:rsid w:val="00EE0782"/>
    <w:rPr>
      <w:rFonts w:ascii="Calibri" w:eastAsia="Calibri" w:hAnsi="Calibri" w:cs="Calibri"/>
      <w:b/>
      <w:color w:val="000000"/>
    </w:rPr>
  </w:style>
  <w:style w:type="character" w:styleId="Refdenotaalpie">
    <w:name w:val="footnote reference"/>
    <w:basedOn w:val="Fuentedeprrafopredeter"/>
    <w:uiPriority w:val="99"/>
    <w:unhideWhenUsed/>
    <w:rsid w:val="00EE0782"/>
    <w:rPr>
      <w:vertAlign w:val="superscript"/>
    </w:rPr>
  </w:style>
  <w:style w:type="paragraph" w:styleId="Prrafodelista">
    <w:name w:val="List Paragraph"/>
    <w:basedOn w:val="Normal"/>
    <w:uiPriority w:val="34"/>
    <w:qFormat/>
    <w:rsid w:val="0040652A"/>
    <w:pPr>
      <w:ind w:left="720"/>
      <w:contextualSpacing/>
    </w:pPr>
  </w:style>
  <w:style w:type="paragraph" w:styleId="Encabezado">
    <w:name w:val="header"/>
    <w:basedOn w:val="Normal"/>
    <w:link w:val="EncabezadoCar"/>
    <w:rsid w:val="0040652A"/>
    <w:pPr>
      <w:tabs>
        <w:tab w:val="center" w:pos="4252"/>
        <w:tab w:val="right" w:pos="8504"/>
      </w:tabs>
    </w:pPr>
  </w:style>
  <w:style w:type="character" w:customStyle="1" w:styleId="EncabezadoCar">
    <w:name w:val="Encabezado Car"/>
    <w:basedOn w:val="Fuentedeprrafopredeter"/>
    <w:link w:val="Encabezado"/>
    <w:rsid w:val="0040652A"/>
  </w:style>
  <w:style w:type="paragraph" w:styleId="Piedepgina">
    <w:name w:val="footer"/>
    <w:basedOn w:val="Normal"/>
    <w:link w:val="PiedepginaCar"/>
    <w:uiPriority w:val="99"/>
    <w:rsid w:val="0040652A"/>
    <w:pPr>
      <w:tabs>
        <w:tab w:val="center" w:pos="4252"/>
        <w:tab w:val="right" w:pos="8504"/>
      </w:tabs>
    </w:pPr>
  </w:style>
  <w:style w:type="character" w:customStyle="1" w:styleId="PiedepginaCar">
    <w:name w:val="Pie de página Car"/>
    <w:basedOn w:val="Fuentedeprrafopredeter"/>
    <w:link w:val="Piedepgina"/>
    <w:uiPriority w:val="99"/>
    <w:rsid w:val="0040652A"/>
  </w:style>
  <w:style w:type="character" w:styleId="Hipervnculo">
    <w:name w:val="Hyperlink"/>
    <w:basedOn w:val="Fuentedeprrafopredeter"/>
    <w:rsid w:val="001D7DA2"/>
    <w:rPr>
      <w:color w:val="0000FF" w:themeColor="hyperlink"/>
      <w:u w:val="single"/>
    </w:rPr>
  </w:style>
  <w:style w:type="paragraph" w:styleId="ndice1">
    <w:name w:val="index 1"/>
    <w:basedOn w:val="Normal"/>
    <w:next w:val="Normal"/>
    <w:autoRedefine/>
    <w:rsid w:val="00890D8E"/>
    <w:pPr>
      <w:ind w:left="200" w:hanging="2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3585"/>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Textonotapie">
    <w:name w:val="footnote text"/>
    <w:basedOn w:val="Normal"/>
    <w:link w:val="TextonotapieCar"/>
    <w:uiPriority w:val="99"/>
    <w:unhideWhenUsed/>
    <w:rsid w:val="00EE0782"/>
    <w:rPr>
      <w:rFonts w:ascii="Calibri" w:eastAsia="Calibri" w:hAnsi="Calibri" w:cs="Calibri"/>
      <w:b/>
      <w:color w:val="000000"/>
    </w:rPr>
  </w:style>
  <w:style w:type="character" w:customStyle="1" w:styleId="TextonotapieCar">
    <w:name w:val="Texto nota pie Car"/>
    <w:basedOn w:val="Fuentedeprrafopredeter"/>
    <w:link w:val="Textonotapie"/>
    <w:uiPriority w:val="99"/>
    <w:rsid w:val="00EE0782"/>
    <w:rPr>
      <w:rFonts w:ascii="Calibri" w:eastAsia="Calibri" w:hAnsi="Calibri" w:cs="Calibri"/>
      <w:b/>
      <w:color w:val="000000"/>
    </w:rPr>
  </w:style>
  <w:style w:type="character" w:styleId="Refdenotaalpie">
    <w:name w:val="footnote reference"/>
    <w:basedOn w:val="Fuentedeprrafopredeter"/>
    <w:uiPriority w:val="99"/>
    <w:unhideWhenUsed/>
    <w:rsid w:val="00EE0782"/>
    <w:rPr>
      <w:vertAlign w:val="superscript"/>
    </w:rPr>
  </w:style>
  <w:style w:type="paragraph" w:styleId="Prrafodelista">
    <w:name w:val="List Paragraph"/>
    <w:basedOn w:val="Normal"/>
    <w:uiPriority w:val="34"/>
    <w:qFormat/>
    <w:rsid w:val="0040652A"/>
    <w:pPr>
      <w:ind w:left="720"/>
      <w:contextualSpacing/>
    </w:pPr>
  </w:style>
  <w:style w:type="paragraph" w:styleId="Encabezado">
    <w:name w:val="header"/>
    <w:basedOn w:val="Normal"/>
    <w:link w:val="EncabezadoCar"/>
    <w:rsid w:val="0040652A"/>
    <w:pPr>
      <w:tabs>
        <w:tab w:val="center" w:pos="4252"/>
        <w:tab w:val="right" w:pos="8504"/>
      </w:tabs>
    </w:pPr>
  </w:style>
  <w:style w:type="character" w:customStyle="1" w:styleId="EncabezadoCar">
    <w:name w:val="Encabezado Car"/>
    <w:basedOn w:val="Fuentedeprrafopredeter"/>
    <w:link w:val="Encabezado"/>
    <w:rsid w:val="0040652A"/>
  </w:style>
  <w:style w:type="paragraph" w:styleId="Piedepgina">
    <w:name w:val="footer"/>
    <w:basedOn w:val="Normal"/>
    <w:link w:val="PiedepginaCar"/>
    <w:uiPriority w:val="99"/>
    <w:rsid w:val="0040652A"/>
    <w:pPr>
      <w:tabs>
        <w:tab w:val="center" w:pos="4252"/>
        <w:tab w:val="right" w:pos="8504"/>
      </w:tabs>
    </w:pPr>
  </w:style>
  <w:style w:type="character" w:customStyle="1" w:styleId="PiedepginaCar">
    <w:name w:val="Pie de página Car"/>
    <w:basedOn w:val="Fuentedeprrafopredeter"/>
    <w:link w:val="Piedepgina"/>
    <w:uiPriority w:val="99"/>
    <w:rsid w:val="0040652A"/>
  </w:style>
  <w:style w:type="character" w:styleId="Hipervnculo">
    <w:name w:val="Hyperlink"/>
    <w:basedOn w:val="Fuentedeprrafopredeter"/>
    <w:rsid w:val="001D7DA2"/>
    <w:rPr>
      <w:color w:val="0000FF" w:themeColor="hyperlink"/>
      <w:u w:val="single"/>
    </w:rPr>
  </w:style>
  <w:style w:type="paragraph" w:styleId="ndice1">
    <w:name w:val="index 1"/>
    <w:basedOn w:val="Normal"/>
    <w:next w:val="Normal"/>
    <w:autoRedefine/>
    <w:rsid w:val="00890D8E"/>
    <w:pPr>
      <w:ind w:left="200" w:hanging="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amoncloa.gob.es" TargetMode="External"/><Relationship Id="rId18" Type="http://schemas.openxmlformats.org/officeDocument/2006/relationships/hyperlink" Target="http://www.laleydigital.laley.es.avalos.ujaen.es"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laleydigital.laley.es.avalos.ujaen.es" TargetMode="External"/><Relationship Id="rId17" Type="http://schemas.openxmlformats.org/officeDocument/2006/relationships/hyperlink" Target="http://www.rightsinternationalspain.org" TargetMode="External"/><Relationship Id="rId2" Type="http://schemas.openxmlformats.org/officeDocument/2006/relationships/numbering" Target="numbering.xml"/><Relationship Id="rId16" Type="http://schemas.openxmlformats.org/officeDocument/2006/relationships/hyperlink" Target="http://www.boe.e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unciva.org" TargetMode="External"/><Relationship Id="rId5" Type="http://schemas.openxmlformats.org/officeDocument/2006/relationships/settings" Target="settings.xml"/><Relationship Id="rId15" Type="http://schemas.openxmlformats.org/officeDocument/2006/relationships/hyperlink" Target="http://www.laleydigital.laley.es.avalos.ujaen.es" TargetMode="External"/><Relationship Id="rId10" Type="http://schemas.openxmlformats.org/officeDocument/2006/relationships/hyperlink" Target="http://www.cidob.org"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interior.gob.es"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boe.es" TargetMode="External"/><Relationship Id="rId3" Type="http://schemas.openxmlformats.org/officeDocument/2006/relationships/hyperlink" Target="http://www.funciva.org" TargetMode="External"/><Relationship Id="rId7" Type="http://schemas.openxmlformats.org/officeDocument/2006/relationships/hyperlink" Target="http://www.laleydigital.laley.es.avalos.ujaen.es" TargetMode="External"/><Relationship Id="rId2" Type="http://schemas.openxmlformats.org/officeDocument/2006/relationships/hyperlink" Target="http://www.lamoncloa.gob.es" TargetMode="External"/><Relationship Id="rId1" Type="http://schemas.openxmlformats.org/officeDocument/2006/relationships/hyperlink" Target="http://www.interior.gob.es" TargetMode="External"/><Relationship Id="rId6" Type="http://schemas.openxmlformats.org/officeDocument/2006/relationships/hyperlink" Target="http://www.laleydigital.laley.es.avalos.ujaen.es" TargetMode="External"/><Relationship Id="rId5" Type="http://schemas.openxmlformats.org/officeDocument/2006/relationships/hyperlink" Target="http://www.laleydigital.laley.es.avalos.ujaen.es" TargetMode="External"/><Relationship Id="rId4" Type="http://schemas.openxmlformats.org/officeDocument/2006/relationships/hyperlink" Target="http://www.laleydigital.laley.es.avalos.ujaen.es" TargetMode="External"/><Relationship Id="rId9" Type="http://schemas.openxmlformats.org/officeDocument/2006/relationships/hyperlink" Target="http://www.rightsinternationalspain.org"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90CF4A-CEB9-4E61-9FDA-CF94ABD69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57</Pages>
  <Words>18409</Words>
  <Characters>101253</Characters>
  <Application>Microsoft Office Word</Application>
  <DocSecurity>0</DocSecurity>
  <Lines>843</Lines>
  <Paragraphs>238</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119424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UJA;Q</dc:creator>
  <cp:keywords>Portada TFG</cp:keywords>
  <cp:lastModifiedBy>Marién</cp:lastModifiedBy>
  <cp:revision>3</cp:revision>
  <cp:lastPrinted>2014-04-29T09:22:00Z</cp:lastPrinted>
  <dcterms:created xsi:type="dcterms:W3CDTF">2015-06-23T18:49:00Z</dcterms:created>
  <dcterms:modified xsi:type="dcterms:W3CDTF">2015-06-23T19:13:00Z</dcterms:modified>
</cp:coreProperties>
</file>