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6A5" w:rsidRDefault="0017465D" w:rsidP="00C92F2F">
      <w:pPr>
        <w:tabs>
          <w:tab w:val="left" w:pos="7215"/>
        </w:tabs>
      </w:pPr>
      <w:r>
        <w:rPr>
          <w:noProof/>
        </w:rPr>
        <w:pict>
          <v:shapetype id="_x0000_t202" coordsize="21600,21600" o:spt="202" path="m,l,21600r21600,l21600,xe">
            <v:stroke joinstyle="miter"/>
            <v:path gradientshapeok="t" o:connecttype="rect"/>
          </v:shapetype>
          <v:shape id="Text Box 8" o:spid="_x0000_s1026" type="#_x0000_t202" style="position:absolute;margin-left:112.65pt;margin-top:307.5pt;width:356.55pt;height:223.2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" o:allowincell="f" stroked="f">
            <v:textbox>
              <w:txbxContent>
                <w:p w:rsidR="001523DF" w:rsidRDefault="001523DF" w:rsidP="00982AF2">
                  <w:pPr>
                    <w:pStyle w:val="Ttulo5"/>
                    <w:jc w:val="center"/>
                    <w:rPr>
                      <w:u w:val="none"/>
                    </w:rPr>
                  </w:pPr>
                  <w:r>
                    <w:rPr>
                      <w:u w:val="none"/>
                    </w:rPr>
                    <w:t>Alumno:</w:t>
                  </w:r>
                  <w:r>
                    <w:rPr>
                      <w:u w:val="none"/>
                    </w:rPr>
                    <w:tab/>
                  </w:r>
                  <w:r w:rsidR="00181EDB">
                    <w:rPr>
                      <w:u w:val="none"/>
                    </w:rPr>
                    <w:t>Nombre Alumno</w:t>
                  </w:r>
                </w:p>
                <w:p w:rsidR="001523DF" w:rsidRDefault="001523DF" w:rsidP="00982AF2">
                  <w:pPr>
                    <w:jc w:val="center"/>
                    <w:rPr>
                      <w:rFonts w:ascii="Arial" w:hAnsi="Arial"/>
                      <w:sz w:val="32"/>
                    </w:rPr>
                  </w:pPr>
                </w:p>
                <w:p w:rsidR="001523DF" w:rsidRDefault="001523DF" w:rsidP="00982AF2">
                  <w:pPr>
                    <w:jc w:val="center"/>
                    <w:rPr>
                      <w:rFonts w:ascii="Arial" w:hAnsi="Arial"/>
                      <w:sz w:val="32"/>
                    </w:rPr>
                  </w:pPr>
                </w:p>
                <w:p w:rsidR="001523DF" w:rsidRDefault="001523DF" w:rsidP="00982AF2">
                  <w:pPr>
                    <w:jc w:val="center"/>
                    <w:rPr>
                      <w:rFonts w:ascii="Arial" w:hAnsi="Arial"/>
                      <w:sz w:val="32"/>
                    </w:rPr>
                  </w:pPr>
                </w:p>
                <w:p w:rsidR="001523DF" w:rsidRDefault="001523DF" w:rsidP="00982AF2">
                  <w:pPr>
                    <w:jc w:val="center"/>
                    <w:rPr>
                      <w:rFonts w:ascii="Arial" w:hAnsi="Arial"/>
                      <w:sz w:val="32"/>
                    </w:rPr>
                  </w:pPr>
                </w:p>
                <w:p w:rsidR="001523DF" w:rsidRDefault="001523DF" w:rsidP="00982AF2">
                  <w:pPr>
                    <w:jc w:val="center"/>
                    <w:rPr>
                      <w:rFonts w:ascii="Arial" w:hAnsi="Arial"/>
                      <w:sz w:val="32"/>
                    </w:rPr>
                  </w:pPr>
                </w:p>
                <w:p w:rsidR="001523DF" w:rsidRDefault="001523DF" w:rsidP="00982AF2">
                  <w:pPr>
                    <w:jc w:val="center"/>
                    <w:rPr>
                      <w:rFonts w:ascii="Arial" w:hAnsi="Arial"/>
                      <w:sz w:val="32"/>
                    </w:rPr>
                  </w:pPr>
                </w:p>
                <w:p w:rsidR="001523DF" w:rsidRDefault="001523DF" w:rsidP="00C92F2F">
                  <w:pPr>
                    <w:pStyle w:val="Ttulo4"/>
                    <w:jc w:val="left"/>
                    <w:rPr>
                      <w:b/>
                      <w:sz w:val="36"/>
                    </w:rPr>
                  </w:pPr>
                </w:p>
              </w:txbxContent>
            </v:textbox>
          </v:shape>
        </w:pict>
      </w:r>
      <w:r>
        <w:rPr>
          <w:noProof/>
        </w:rPr>
        <w:pict>
          <v:shape id="Text Box 2" o:spid="_x0000_s1027" type="#_x0000_t202" style="position:absolute;margin-left:-85.05pt;margin-top:-2.1pt;width:180.75pt;height:826.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AyGEQ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" o:allowincell="f" fillcolor="#ea0000" stroked="f">
            <v:textbox style="layout-flow:vertical;mso-layout-flow-alt:bottom-to-top">
              <w:txbxContent>
                <w:p w:rsidR="00D406A5" w:rsidRPr="00B9129F" w:rsidRDefault="00D406A5" w:rsidP="00D406A5">
                  <w:pPr>
                    <w:pStyle w:val="Ttulo2"/>
                    <w:jc w:val="center"/>
                    <w:rPr>
                      <w:color w:val="F79646" w:themeColor="accent6"/>
                      <w:sz w:val="72"/>
                    </w:rPr>
                  </w:pPr>
                  <w:bookmarkStart w:id="0" w:name="_Toc486502943"/>
                  <w:bookmarkStart w:id="1" w:name="_Toc486503088"/>
                  <w:r w:rsidRPr="00B9129F">
                    <w:rPr>
                      <w:color w:val="F79646" w:themeColor="accent6"/>
                      <w:sz w:val="72"/>
                    </w:rPr>
                    <w:t>Facultad de Ciencias Sociales y Jurídicas</w:t>
                  </w:r>
                  <w:bookmarkEnd w:id="0"/>
                  <w:bookmarkEnd w:id="1"/>
                </w:p>
                <w:p w:rsidR="00D406A5" w:rsidRPr="00D406A5" w:rsidRDefault="00D406A5" w:rsidP="00D406A5">
                  <w:pPr>
                    <w:pStyle w:val="Ttulo1"/>
                    <w:jc w:val="center"/>
                    <w:rPr>
                      <w:rFonts w:ascii="Arial Narrow" w:hAnsi="Arial Narrow"/>
                    </w:rPr>
                  </w:pPr>
                  <w:bookmarkStart w:id="2" w:name="_Toc486502944"/>
                  <w:bookmarkStart w:id="3" w:name="_Toc486503089"/>
                  <w:r w:rsidRPr="00D406A5">
                    <w:rPr>
                      <w:rFonts w:ascii="Arial Narrow" w:hAnsi="Arial Narrow"/>
                    </w:rPr>
                    <w:t>Grado en Derecho</w:t>
                  </w:r>
                  <w:bookmarkEnd w:id="2"/>
                  <w:bookmarkEnd w:id="3"/>
                </w:p>
              </w:txbxContent>
            </v:textbox>
          </v:shape>
        </w:pict>
      </w:r>
    </w:p>
    <w:p w:rsidR="00D406A5" w:rsidRPr="00B9129F" w:rsidRDefault="00D406A5" w:rsidP="00D406A5"/>
    <w:p w:rsidR="00D406A5" w:rsidRPr="00B9129F" w:rsidRDefault="00D406A5" w:rsidP="00D406A5"/>
    <w:p w:rsidR="00D406A5" w:rsidRPr="00B9129F" w:rsidRDefault="00D406A5" w:rsidP="00D406A5">
      <w:r>
        <w:rPr>
          <w:noProof/>
        </w:rPr>
        <w:drawing>
          <wp:anchor distT="0" distB="0" distL="114300" distR="114300" simplePos="0" relativeHeight="251662848" behindDoc="0" locked="0" layoutInCell="0" allowOverlap="1">
            <wp:simplePos x="0" y="0"/>
            <wp:positionH relativeFrom="column">
              <wp:posOffset>3324225</wp:posOffset>
            </wp:positionH>
            <wp:positionV relativeFrom="paragraph">
              <wp:posOffset>186055</wp:posOffset>
            </wp:positionV>
            <wp:extent cx="942975" cy="1028700"/>
            <wp:effectExtent l="0" t="0" r="952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r w:rsidR="0017465D">
        <w:rPr>
          <w:noProof/>
        </w:rPr>
        <w:pict>
          <v:shape id="Text Box 6" o:spid="_x0000_s1028" type="#_x0000_t202" style="position:absolute;margin-left:95.7pt;margin-top:101.4pt;width:402.6pt;height:129.6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ClL&#10;roeEAgAAGAUAAA4AAAAAAAAAAAAAAAAALgIAAGRycy9lMm9Eb2MueG1sUEsBAi0AFAAGAAgAAAAh&#10;ANAlWyDeAAAACwEAAA8AAAAAAAAAAAAAAAAA3gQAAGRycy9kb3ducmV2LnhtbFBLBQYAAAAABAAE&#10;APMAAADpBQAAAAA=&#10;" o:allowincell="f" stroked="f">
            <v:textbox>
              <w:txbxContent>
                <w:p w:rsidR="00D406A5" w:rsidRDefault="00D406A5" w:rsidP="00D406A5">
                  <w:pPr>
                    <w:pStyle w:val="Ttulo6"/>
                    <w:rPr>
                      <w:b/>
                    </w:rPr>
                  </w:pPr>
                  <w:r>
                    <w:rPr>
                      <w:b/>
                    </w:rPr>
                    <w:t>Universidad de Jaén</w:t>
                  </w:r>
                </w:p>
                <w:p w:rsidR="00D406A5" w:rsidRDefault="00D406A5" w:rsidP="00D406A5">
                  <w:pPr>
                    <w:pStyle w:val="Ttulo3"/>
                  </w:pPr>
                  <w:bookmarkStart w:id="4" w:name="_Toc486502945"/>
                  <w:bookmarkStart w:id="5" w:name="_Toc486503090"/>
                  <w:r>
                    <w:t>Facultad de Ciencias Sociales y Jurídicas</w:t>
                  </w:r>
                  <w:bookmarkEnd w:id="4"/>
                  <w:bookmarkEnd w:id="5"/>
                </w:p>
                <w:p w:rsidR="00D406A5" w:rsidRDefault="00D406A5" w:rsidP="00D406A5"/>
                <w:p w:rsidR="00D406A5" w:rsidRDefault="00D406A5" w:rsidP="00D406A5"/>
                <w:p w:rsidR="00D406A5" w:rsidRDefault="00D406A5" w:rsidP="00D406A5"/>
                <w:p w:rsidR="00D406A5" w:rsidRDefault="00D406A5" w:rsidP="00D406A5"/>
                <w:p w:rsidR="00D406A5" w:rsidRDefault="00D406A5" w:rsidP="00D406A5"/>
                <w:p w:rsidR="00D406A5" w:rsidRDefault="00D406A5" w:rsidP="00D406A5">
                  <w:pPr>
                    <w:pStyle w:val="Textoindependiente"/>
                    <w:rPr>
                      <w:rFonts w:ascii="Arial" w:hAnsi="Arial"/>
                      <w:sz w:val="44"/>
                      <w:u w:val="single"/>
                    </w:rPr>
                  </w:pPr>
                  <w:r>
                    <w:rPr>
                      <w:rFonts w:ascii="Arial" w:hAnsi="Arial"/>
                      <w:sz w:val="44"/>
                      <w:u w:val="single"/>
                    </w:rPr>
                    <w:t>Trabajo Fin de Grado</w:t>
                  </w:r>
                </w:p>
              </w:txbxContent>
            </v:textbox>
          </v:shape>
        </w:pict>
      </w:r>
      <w:r w:rsidR="0017465D">
        <w:rPr>
          <w:noProof/>
        </w:rPr>
        <w:pict>
          <v:shape id="Text Box 7" o:spid="_x0000_s1029" type="#_x0000_t202" style="position:absolute;margin-left:103.95pt;margin-top:273.9pt;width:372.45pt;height:2in;z-index:251664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" o:allowincell="f" stroked="f">
            <v:textbox>
              <w:txbxContent>
                <w:p w:rsidR="0032696E" w:rsidRPr="0032696E" w:rsidRDefault="0032696E" w:rsidP="0032696E">
                  <w:pPr>
                    <w:spacing w:line="360" w:lineRule="auto"/>
                    <w:jc w:val="center"/>
                    <w:rPr>
                      <w:rFonts w:eastAsia="Calibri"/>
                      <w:b/>
                      <w:sz w:val="48"/>
                      <w:szCs w:val="48"/>
                    </w:rPr>
                  </w:pPr>
                  <w:r w:rsidRPr="0032696E">
                    <w:rPr>
                      <w:rFonts w:eastAsia="Calibri"/>
                      <w:b/>
                      <w:sz w:val="48"/>
                      <w:szCs w:val="48"/>
                    </w:rPr>
                    <w:t>LA DESIGUALDAD POR RAZÓN DE GÉNERO: LA D</w:t>
                  </w:r>
                  <w:r>
                    <w:rPr>
                      <w:rFonts w:eastAsia="Calibri"/>
                      <w:b/>
                      <w:sz w:val="48"/>
                      <w:szCs w:val="48"/>
                    </w:rPr>
                    <w:t>ISCRIMINACIÓN</w:t>
                  </w:r>
                  <w:r w:rsidRPr="0032696E">
                    <w:rPr>
                      <w:rFonts w:eastAsia="Calibri"/>
                      <w:b/>
                      <w:sz w:val="48"/>
                      <w:szCs w:val="48"/>
                    </w:rPr>
                    <w:t xml:space="preserve"> SALARIAL</w:t>
                  </w:r>
                </w:p>
                <w:p w:rsidR="00D406A5" w:rsidRPr="00181EDB" w:rsidRDefault="00D406A5" w:rsidP="00D406A5">
                  <w:pPr>
                    <w:pStyle w:val="Textoindependiente2"/>
                    <w:rPr>
                      <w:b/>
                      <w:sz w:val="64"/>
                      <w:lang w:val="es-ES_tradnl"/>
                    </w:rPr>
                  </w:pPr>
                </w:p>
              </w:txbxContent>
            </v:textbox>
          </v:shape>
        </w:pict>
      </w:r>
    </w:p>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Pr="00B9129F" w:rsidRDefault="00D406A5" w:rsidP="00D406A5"/>
    <w:p w:rsidR="00D406A5" w:rsidRDefault="00D406A5" w:rsidP="00D406A5"/>
    <w:p w:rsidR="00D406A5" w:rsidRDefault="00D406A5" w:rsidP="00D406A5"/>
    <w:p w:rsidR="00D406A5" w:rsidRPr="00B9129F" w:rsidRDefault="0017465D" w:rsidP="00D406A5">
      <w:pPr>
        <w:tabs>
          <w:tab w:val="left" w:pos="7215"/>
        </w:tabs>
      </w:pPr>
      <w:r>
        <w:rPr>
          <w:noProof/>
        </w:rPr>
        <w:pict>
          <v:shape id="_x0000_s1030" type="#_x0000_t202" style="position:absolute;margin-left:112.65pt;margin-top:307.5pt;width:356.55pt;height:223.2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FqjuE4cCAAAYBQAADgAAAAAAAAAAAAAAAAAuAgAAZHJzL2Uyb0RvYy54bWxQSwECLQAUAAYA&#10;CAAAACEAA4idR+AAAAAMAQAADwAAAAAAAAAAAAAAAADhBAAAZHJzL2Rvd25yZXYueG1sUEsFBgAA&#10;AAAEAAQA8wAAAO4FAAAAAA==&#10;" o:allowincell="f" stroked="f">
            <v:textbox>
              <w:txbxContent>
                <w:p w:rsidR="00D406A5" w:rsidRDefault="00D406A5" w:rsidP="00D406A5">
                  <w:pPr>
                    <w:pStyle w:val="Ttulo5"/>
                    <w:jc w:val="center"/>
                    <w:rPr>
                      <w:u w:val="none"/>
                    </w:rPr>
                  </w:pPr>
                  <w:r>
                    <w:rPr>
                      <w:u w:val="none"/>
                    </w:rPr>
                    <w:t>Alumno:</w:t>
                  </w:r>
                  <w:r>
                    <w:rPr>
                      <w:u w:val="none"/>
                    </w:rPr>
                    <w:tab/>
                  </w:r>
                  <w:r w:rsidR="0032696E">
                    <w:rPr>
                      <w:u w:val="none"/>
                    </w:rPr>
                    <w:t>Manuela Madrid Cobo</w:t>
                  </w:r>
                </w:p>
                <w:p w:rsidR="00D406A5" w:rsidRDefault="00D406A5" w:rsidP="00D406A5">
                  <w:pPr>
                    <w:jc w:val="center"/>
                    <w:rPr>
                      <w:rFonts w:ascii="Arial" w:hAnsi="Arial"/>
                      <w:sz w:val="32"/>
                    </w:rPr>
                  </w:pPr>
                </w:p>
                <w:p w:rsidR="00D406A5" w:rsidRDefault="00D406A5" w:rsidP="00D406A5">
                  <w:pPr>
                    <w:jc w:val="center"/>
                    <w:rPr>
                      <w:rFonts w:ascii="Arial" w:hAnsi="Arial"/>
                      <w:sz w:val="32"/>
                    </w:rPr>
                  </w:pPr>
                </w:p>
                <w:p w:rsidR="00D406A5" w:rsidRDefault="00D406A5" w:rsidP="00D406A5">
                  <w:pPr>
                    <w:jc w:val="center"/>
                    <w:rPr>
                      <w:rFonts w:ascii="Arial" w:hAnsi="Arial"/>
                      <w:sz w:val="32"/>
                    </w:rPr>
                  </w:pPr>
                </w:p>
                <w:p w:rsidR="00D406A5" w:rsidRDefault="00D406A5" w:rsidP="00D406A5">
                  <w:pPr>
                    <w:jc w:val="center"/>
                    <w:rPr>
                      <w:rFonts w:ascii="Arial" w:hAnsi="Arial"/>
                      <w:sz w:val="32"/>
                    </w:rPr>
                  </w:pPr>
                </w:p>
                <w:p w:rsidR="00D406A5" w:rsidRDefault="00D406A5" w:rsidP="00D406A5">
                  <w:pPr>
                    <w:jc w:val="center"/>
                    <w:rPr>
                      <w:rFonts w:ascii="Arial" w:hAnsi="Arial"/>
                      <w:sz w:val="32"/>
                    </w:rPr>
                  </w:pPr>
                </w:p>
                <w:p w:rsidR="00D406A5" w:rsidRDefault="00D406A5" w:rsidP="00D406A5">
                  <w:pPr>
                    <w:jc w:val="center"/>
                    <w:rPr>
                      <w:rFonts w:ascii="Arial" w:hAnsi="Arial"/>
                      <w:sz w:val="32"/>
                    </w:rPr>
                  </w:pPr>
                </w:p>
                <w:p w:rsidR="00D406A5" w:rsidRDefault="0032696E" w:rsidP="00D406A5">
                  <w:pPr>
                    <w:pStyle w:val="Ttulo4"/>
                    <w:rPr>
                      <w:b/>
                      <w:sz w:val="36"/>
                    </w:rPr>
                  </w:pPr>
                  <w:r>
                    <w:rPr>
                      <w:b/>
                      <w:sz w:val="36"/>
                    </w:rPr>
                    <w:t>Junio, 2017</w:t>
                  </w:r>
                </w:p>
              </w:txbxContent>
            </v:textbox>
          </v:shape>
        </w:pict>
      </w:r>
      <w:r w:rsidR="00D406A5">
        <w:tab/>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BC4D77" w:rsidRDefault="00507ACA" w:rsidP="00BC4D77">
      <w:pPr>
        <w:spacing w:line="360" w:lineRule="auto"/>
        <w:ind w:firstLine="360"/>
        <w:jc w:val="both"/>
        <w:rPr>
          <w:b/>
          <w:sz w:val="24"/>
          <w:szCs w:val="24"/>
        </w:rPr>
      </w:pPr>
      <w:r>
        <w:rPr>
          <w:b/>
          <w:sz w:val="24"/>
          <w:szCs w:val="24"/>
        </w:rPr>
        <w:lastRenderedPageBreak/>
        <w:t>RESUMEN.</w:t>
      </w:r>
    </w:p>
    <w:p w:rsidR="00BC4D77" w:rsidRDefault="00BC4D77" w:rsidP="00BC4D77">
      <w:pPr>
        <w:spacing w:line="360" w:lineRule="auto"/>
        <w:ind w:firstLine="360"/>
        <w:jc w:val="both"/>
        <w:rPr>
          <w:b/>
          <w:sz w:val="24"/>
          <w:szCs w:val="24"/>
        </w:rPr>
      </w:pPr>
    </w:p>
    <w:p w:rsidR="00BC4D77" w:rsidRDefault="00507ACA" w:rsidP="00BC4D77">
      <w:pPr>
        <w:spacing w:line="360" w:lineRule="auto"/>
        <w:ind w:firstLine="360"/>
        <w:jc w:val="both"/>
        <w:rPr>
          <w:sz w:val="24"/>
          <w:szCs w:val="24"/>
        </w:rPr>
      </w:pPr>
      <w:r w:rsidRPr="008F1E37">
        <w:rPr>
          <w:sz w:val="24"/>
          <w:szCs w:val="24"/>
        </w:rPr>
        <w:t xml:space="preserve">Este </w:t>
      </w:r>
      <w:r w:rsidRPr="00BC4D77">
        <w:rPr>
          <w:sz w:val="24"/>
          <w:szCs w:val="24"/>
        </w:rPr>
        <w:t>trabajo tiene como objetivo examinar la situación real de la igualdad de género entre mujeres y hombres. Lo hace partiendo del derecho a la igualdad reconocido en la Constitución Española de 1978 en los artículos 14 y 9.2, el primero fundamenta la igualdad formal como igualdad de trato ante la ley y mandato de no discriminación; el segundo como fundamento de la igualdad real. Continúa con la exposición de los objetivos y medidas específicas de la Ley Orgánica 3/2007, de 22 de marzo, de igualdad efectiva entre mujeres y hombres, examinando los resultados de distintos estudios, nacionales e internacionales, sobre las consecuencias de la misma, y los problemas que de ella se derivan, concretamente en el ámbito salarial. Concluyendo con la proposición de una serie de medidas enfocadas a cerrar la brecha salarial de género.</w:t>
      </w:r>
    </w:p>
    <w:p w:rsidR="00BC4D77" w:rsidRDefault="00BC4D77" w:rsidP="00BC4D77">
      <w:pPr>
        <w:spacing w:line="360" w:lineRule="auto"/>
        <w:ind w:firstLine="360"/>
        <w:jc w:val="both"/>
        <w:rPr>
          <w:sz w:val="24"/>
          <w:szCs w:val="24"/>
        </w:rPr>
      </w:pPr>
    </w:p>
    <w:p w:rsidR="00BC4D77" w:rsidRDefault="00BC4D77" w:rsidP="00BC4D77">
      <w:pPr>
        <w:spacing w:line="360" w:lineRule="auto"/>
        <w:ind w:firstLine="360"/>
        <w:jc w:val="both"/>
        <w:rPr>
          <w:sz w:val="24"/>
          <w:szCs w:val="24"/>
        </w:rPr>
      </w:pPr>
      <w:r w:rsidRPr="00BC4D77">
        <w:rPr>
          <w:b/>
          <w:sz w:val="24"/>
          <w:szCs w:val="24"/>
        </w:rPr>
        <w:t>P</w:t>
      </w:r>
      <w:r w:rsidR="008F1E37" w:rsidRPr="00BC4D77">
        <w:rPr>
          <w:b/>
          <w:sz w:val="24"/>
          <w:szCs w:val="24"/>
        </w:rPr>
        <w:t>alabras clave</w:t>
      </w:r>
      <w:r w:rsidR="008F1E37" w:rsidRPr="00BC4D77">
        <w:rPr>
          <w:sz w:val="24"/>
          <w:szCs w:val="24"/>
        </w:rPr>
        <w:t>: igualdad de género, desigualdad, discriminación, brecha salarial.</w:t>
      </w:r>
    </w:p>
    <w:p w:rsidR="00BC4D77" w:rsidRDefault="00BC4D77" w:rsidP="00BC4D77">
      <w:pPr>
        <w:spacing w:line="360" w:lineRule="auto"/>
        <w:ind w:firstLine="360"/>
        <w:jc w:val="both"/>
        <w:rPr>
          <w:sz w:val="24"/>
          <w:szCs w:val="24"/>
        </w:rPr>
      </w:pPr>
    </w:p>
    <w:p w:rsidR="00BC4D77" w:rsidRDefault="00507ACA" w:rsidP="00BC4D77">
      <w:pPr>
        <w:spacing w:line="360" w:lineRule="auto"/>
        <w:ind w:firstLine="360"/>
        <w:jc w:val="both"/>
        <w:rPr>
          <w:sz w:val="24"/>
          <w:szCs w:val="24"/>
        </w:rPr>
      </w:pPr>
      <w:r w:rsidRPr="00BC4D77">
        <w:rPr>
          <w:b/>
          <w:sz w:val="24"/>
          <w:szCs w:val="24"/>
        </w:rPr>
        <w:t>ABSTRACT.</w:t>
      </w:r>
    </w:p>
    <w:p w:rsidR="00BC4D77" w:rsidRDefault="00BC4D77" w:rsidP="00BC4D77">
      <w:pPr>
        <w:spacing w:line="360" w:lineRule="auto"/>
        <w:ind w:firstLine="360"/>
        <w:jc w:val="both"/>
        <w:rPr>
          <w:sz w:val="24"/>
          <w:szCs w:val="24"/>
        </w:rPr>
      </w:pPr>
    </w:p>
    <w:p w:rsidR="00BC4D77" w:rsidRDefault="00507ACA" w:rsidP="00BC4D77">
      <w:pPr>
        <w:spacing w:line="360" w:lineRule="auto"/>
        <w:ind w:firstLine="360"/>
        <w:jc w:val="both"/>
        <w:rPr>
          <w:sz w:val="24"/>
          <w:szCs w:val="24"/>
        </w:rPr>
      </w:pPr>
      <w:r w:rsidRPr="00BC4D77">
        <w:rPr>
          <w:sz w:val="24"/>
          <w:szCs w:val="24"/>
        </w:rPr>
        <w:t xml:space="preserve">The main aim of this bachelor's thesis is to examine the current status of gender equality. Such task is accomplished taking as a starting point the right to equality as observed by the Spanish Constitution of 1978 in its articles 14 and 9.2. The former defines formal equality as equality before the law and a non-discrimination mandate; the latter defines it as the basis for actual equality. The thesis follows with the exposition of the objectives and specific measures established by the Organic Law 3/2007 of March 22 about the </w:t>
      </w:r>
      <w:r w:rsidRPr="00BC4D77">
        <w:rPr>
          <w:i/>
          <w:iCs/>
          <w:sz w:val="24"/>
          <w:szCs w:val="24"/>
        </w:rPr>
        <w:t>de facto</w:t>
      </w:r>
      <w:r w:rsidRPr="00BC4D77">
        <w:rPr>
          <w:sz w:val="24"/>
          <w:szCs w:val="24"/>
        </w:rPr>
        <w:t xml:space="preserve"> equality between men and women, taking a look at the results of various national and international studies about the consequences and problems derived from it, especially wage-wise. To conclude, we propose a series of measures aimed at bridging the gender wage gap.</w:t>
      </w:r>
    </w:p>
    <w:p w:rsidR="00BC4D77" w:rsidRDefault="00BC4D77" w:rsidP="00BC4D77">
      <w:pPr>
        <w:spacing w:line="360" w:lineRule="auto"/>
        <w:ind w:firstLine="360"/>
        <w:jc w:val="both"/>
        <w:rPr>
          <w:sz w:val="24"/>
          <w:szCs w:val="24"/>
        </w:rPr>
      </w:pPr>
    </w:p>
    <w:p w:rsidR="008F1E37" w:rsidRPr="00BC4D77" w:rsidRDefault="008F1E37" w:rsidP="00BC4D77">
      <w:pPr>
        <w:spacing w:line="360" w:lineRule="auto"/>
        <w:ind w:firstLine="360"/>
        <w:jc w:val="both"/>
        <w:rPr>
          <w:sz w:val="24"/>
          <w:szCs w:val="24"/>
        </w:rPr>
      </w:pPr>
      <w:r w:rsidRPr="00BC4D77">
        <w:rPr>
          <w:b/>
          <w:sz w:val="24"/>
          <w:szCs w:val="24"/>
        </w:rPr>
        <w:t>Keywords:</w:t>
      </w:r>
      <w:r w:rsidRPr="00BC4D77">
        <w:rPr>
          <w:sz w:val="24"/>
          <w:szCs w:val="24"/>
        </w:rPr>
        <w:t xml:space="preserve"> gender equality, inequality, discrimination, </w:t>
      </w:r>
      <w:r w:rsidR="0011754E" w:rsidRPr="00BC4D77">
        <w:rPr>
          <w:sz w:val="24"/>
          <w:szCs w:val="24"/>
        </w:rPr>
        <w:t>gender wage gap.</w:t>
      </w:r>
    </w:p>
    <w:p w:rsidR="00D406A5" w:rsidRDefault="00D406A5" w:rsidP="00D406A5">
      <w:pPr>
        <w:jc w:val="right"/>
      </w:pPr>
    </w:p>
    <w:p w:rsidR="00D406A5" w:rsidRDefault="00D406A5" w:rsidP="00D406A5">
      <w:pPr>
        <w:jc w:val="right"/>
      </w:pPr>
    </w:p>
    <w:p w:rsidR="00D406A5" w:rsidRDefault="00D406A5" w:rsidP="00D406A5">
      <w:pPr>
        <w:jc w:val="right"/>
      </w:pPr>
    </w:p>
    <w:p w:rsidR="00D406A5" w:rsidRDefault="00D406A5" w:rsidP="00D406A5">
      <w:pPr>
        <w:jc w:val="right"/>
      </w:pPr>
    </w:p>
    <w:p w:rsidR="00507ACA" w:rsidRDefault="00507ACA" w:rsidP="00C92F2F"/>
    <w:p w:rsidR="00E45A61" w:rsidRDefault="00E45A61" w:rsidP="00C92F2F"/>
    <w:sdt>
      <w:sdtPr>
        <w:rPr>
          <w:rFonts w:ascii="Times New Roman" w:eastAsiaTheme="minorHAnsi" w:hAnsi="Times New Roman" w:cs="Times New Roman"/>
          <w:b w:val="0"/>
          <w:bCs w:val="0"/>
          <w:color w:val="auto"/>
          <w:sz w:val="24"/>
          <w:szCs w:val="24"/>
        </w:rPr>
        <w:id w:val="16618027"/>
        <w:docPartObj>
          <w:docPartGallery w:val="Table of Contents"/>
          <w:docPartUnique/>
        </w:docPartObj>
      </w:sdtPr>
      <w:sdtEndPr>
        <w:rPr>
          <w:rFonts w:eastAsia="Times New Roman"/>
          <w:lang w:eastAsia="es-ES"/>
        </w:rPr>
      </w:sdtEndPr>
      <w:sdtContent>
        <w:p w:rsidR="00E45A61" w:rsidRPr="00E45A61" w:rsidRDefault="00E45A61" w:rsidP="00E45A61">
          <w:pPr>
            <w:pStyle w:val="TtulodeTDC"/>
            <w:spacing w:line="360" w:lineRule="auto"/>
            <w:jc w:val="both"/>
            <w:rPr>
              <w:rFonts w:ascii="Times New Roman" w:hAnsi="Times New Roman" w:cs="Times New Roman"/>
              <w:noProof/>
              <w:sz w:val="24"/>
              <w:szCs w:val="24"/>
            </w:rPr>
          </w:pPr>
          <w:r w:rsidRPr="00E45A61">
            <w:rPr>
              <w:rFonts w:ascii="Times New Roman" w:hAnsi="Times New Roman" w:cs="Times New Roman"/>
              <w:color w:val="auto"/>
              <w:sz w:val="24"/>
              <w:szCs w:val="24"/>
            </w:rPr>
            <w:t>ÍNDICE.</w:t>
          </w:r>
          <w:r w:rsidRPr="00E45A61">
            <w:rPr>
              <w:rFonts w:ascii="Times New Roman" w:hAnsi="Times New Roman" w:cs="Times New Roman"/>
              <w:sz w:val="24"/>
              <w:szCs w:val="24"/>
            </w:rPr>
            <w:fldChar w:fldCharType="begin"/>
          </w:r>
          <w:r w:rsidRPr="00E45A61">
            <w:rPr>
              <w:rFonts w:ascii="Times New Roman" w:hAnsi="Times New Roman" w:cs="Times New Roman"/>
              <w:sz w:val="24"/>
              <w:szCs w:val="24"/>
            </w:rPr>
            <w:instrText xml:space="preserve"> TOC \o "1-3" \h \z \u </w:instrText>
          </w:r>
          <w:r w:rsidRPr="00E45A61">
            <w:rPr>
              <w:rFonts w:ascii="Times New Roman" w:hAnsi="Times New Roman" w:cs="Times New Roman"/>
              <w:sz w:val="24"/>
              <w:szCs w:val="24"/>
            </w:rPr>
            <w:fldChar w:fldCharType="separate"/>
          </w:r>
        </w:p>
        <w:p w:rsidR="00E45A61" w:rsidRPr="00E45A61" w:rsidRDefault="00E45A61">
          <w:pPr>
            <w:pStyle w:val="TDC2"/>
            <w:tabs>
              <w:tab w:val="right" w:leader="dot" w:pos="8494"/>
            </w:tabs>
            <w:rPr>
              <w:rFonts w:ascii="Times New Roman" w:eastAsiaTheme="minorEastAsia" w:hAnsi="Times New Roman" w:cs="Times New Roman"/>
              <w:noProof/>
              <w:sz w:val="24"/>
              <w:szCs w:val="24"/>
              <w:lang w:eastAsia="es-ES"/>
            </w:rPr>
          </w:pPr>
          <w:hyperlink r:id="rId9" w:anchor="_Toc486503088" w:history="1">
            <w:r w:rsidRPr="00E45A61">
              <w:rPr>
                <w:rStyle w:val="Hipervnculo"/>
                <w:rFonts w:ascii="Times New Roman" w:hAnsi="Times New Roman" w:cs="Times New Roman"/>
                <w:noProof/>
                <w:sz w:val="24"/>
                <w:szCs w:val="24"/>
              </w:rPr>
              <w:t>Facultad de Ciencias Sociales y Jurídicas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_Toc486503088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r:id="rId10" w:anchor="_Toc486503089" w:history="1">
            <w:r w:rsidRPr="00E45A61">
              <w:rPr>
                <w:rStyle w:val="Hipervnculo"/>
                <w:rFonts w:ascii="Times New Roman" w:hAnsi="Times New Roman" w:cs="Times New Roman"/>
                <w:noProof/>
                <w:sz w:val="24"/>
                <w:szCs w:val="24"/>
              </w:rPr>
              <w:t>Grado en Derecho</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_Toc486503089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right" w:leader="dot" w:pos="8494"/>
            </w:tabs>
            <w:rPr>
              <w:rFonts w:ascii="Times New Roman" w:eastAsiaTheme="minorEastAsia" w:hAnsi="Times New Roman" w:cs="Times New Roman"/>
              <w:noProof/>
              <w:sz w:val="24"/>
              <w:szCs w:val="24"/>
              <w:lang w:eastAsia="es-ES"/>
            </w:rPr>
          </w:pPr>
          <w:hyperlink r:id="rId11" w:anchor="_Toc486503090" w:history="1">
            <w:r w:rsidRPr="00E45A61">
              <w:rPr>
                <w:rStyle w:val="Hipervnculo"/>
                <w:rFonts w:ascii="Times New Roman" w:hAnsi="Times New Roman" w:cs="Times New Roman"/>
                <w:noProof/>
                <w:sz w:val="24"/>
                <w:szCs w:val="24"/>
              </w:rPr>
              <w:t>Facultad de Ciencias Sociales y Jurídicas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_Toc486503090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w:anchor="_Toc486503091" w:history="1">
            <w:r w:rsidRPr="00E45A61">
              <w:rPr>
                <w:rStyle w:val="Hipervnculo"/>
                <w:rFonts w:ascii="Times New Roman" w:hAnsi="Times New Roman" w:cs="Times New Roman"/>
                <w:noProof/>
                <w:sz w:val="24"/>
                <w:szCs w:val="24"/>
              </w:rPr>
              <w:t>INTRODUCCIÓN.</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_Toc486503091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w:anchor="_Toc486503092" w:history="1">
            <w:r w:rsidRPr="00E45A61">
              <w:rPr>
                <w:rStyle w:val="Hipervnculo"/>
                <w:rFonts w:ascii="Times New Roman" w:hAnsi="Times New Roman" w:cs="Times New Roman"/>
                <w:noProof/>
                <w:sz w:val="24"/>
                <w:szCs w:val="24"/>
              </w:rPr>
              <w:t>1.</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CAPÍTULO I: SOBRE LA IGUALDAD COMO VALOR JURÍDICO, PRINCIPIO Y DERECHO. LOS PRINCIPALES TIPOS DE IGUALDAD.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_Toc486503092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7</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093" w:history="1">
            <w:r w:rsidRPr="00E45A61">
              <w:rPr>
                <w:rStyle w:val="Hipervnculo"/>
                <w:rFonts w:ascii="Times New Roman" w:hAnsi="Times New Roman" w:cs="Times New Roman"/>
                <w:b/>
                <w:noProof/>
                <w:sz w:val="24"/>
                <w:szCs w:val="24"/>
              </w:rPr>
              <w:t>1.1.</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LA IGUALDAD COMO VALOR JURÍDICO.</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_Toc486503093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7</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094" w:history="1">
            <w:r w:rsidRPr="00E45A61">
              <w:rPr>
                <w:rStyle w:val="Hipervnculo"/>
                <w:rFonts w:ascii="Times New Roman" w:hAnsi="Times New Roman" w:cs="Times New Roman"/>
                <w:b/>
                <w:noProof/>
                <w:sz w:val="24"/>
                <w:szCs w:val="24"/>
              </w:rPr>
              <w:t>1.2.</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LA IGUALDAD COMO PRINCIPIO Y DERECHO FUNDAMENTAL.</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_Toc486503094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9</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095" w:history="1">
            <w:r w:rsidRPr="00E45A61">
              <w:rPr>
                <w:rStyle w:val="Hipervnculo"/>
                <w:rFonts w:ascii="Times New Roman" w:hAnsi="Times New Roman" w:cs="Times New Roman"/>
                <w:b/>
                <w:noProof/>
                <w:sz w:val="24"/>
                <w:szCs w:val="24"/>
              </w:rPr>
              <w:t>1.3.</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LA NOCIÓN DE IGUALDAD.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_Toc486503095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11</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096" w:history="1">
            <w:r w:rsidRPr="00E45A61">
              <w:rPr>
                <w:rStyle w:val="Hipervnculo"/>
                <w:rFonts w:ascii="Times New Roman" w:hAnsi="Times New Roman" w:cs="Times New Roman"/>
                <w:b/>
                <w:noProof/>
                <w:sz w:val="24"/>
                <w:szCs w:val="24"/>
              </w:rPr>
              <w:t>1.4.</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LOS PRINCIPALES TIPOS DE IGUALDAD.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_Toc486503096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12</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097" w:history="1">
            <w:r w:rsidRPr="00E45A61">
              <w:rPr>
                <w:rStyle w:val="Hipervnculo"/>
                <w:rFonts w:ascii="Times New Roman" w:hAnsi="Times New Roman" w:cs="Times New Roman"/>
                <w:b/>
                <w:noProof/>
                <w:sz w:val="24"/>
                <w:szCs w:val="24"/>
              </w:rPr>
              <w:t>1.4.1.</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IGUALDAD JURÍDICA: IGUALDAD ANTE LA LEY.</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_Toc486503097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12</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098" w:history="1">
            <w:r w:rsidRPr="00E45A61">
              <w:rPr>
                <w:rStyle w:val="Hipervnculo"/>
                <w:rFonts w:ascii="Times New Roman" w:hAnsi="Times New Roman" w:cs="Times New Roman"/>
                <w:b/>
                <w:noProof/>
                <w:sz w:val="24"/>
                <w:szCs w:val="24"/>
              </w:rPr>
              <w:t>1.4.2.</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IGUALDAD MATERIAL.</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_Toc486503098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17</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660"/>
              <w:tab w:val="right" w:leader="dot" w:pos="8494"/>
            </w:tabs>
            <w:rPr>
              <w:rFonts w:ascii="Times New Roman" w:eastAsiaTheme="minorEastAsia" w:hAnsi="Times New Roman" w:cs="Times New Roman"/>
              <w:noProof/>
              <w:sz w:val="24"/>
              <w:szCs w:val="24"/>
              <w:lang w:eastAsia="es-ES"/>
            </w:rPr>
          </w:pPr>
          <w:hyperlink w:anchor="_Toc486503099" w:history="1">
            <w:r w:rsidRPr="00E45A61">
              <w:rPr>
                <w:rStyle w:val="Hipervnculo"/>
                <w:rFonts w:ascii="Times New Roman" w:eastAsia="Calibri" w:hAnsi="Times New Roman" w:cs="Times New Roman"/>
                <w:noProof/>
                <w:sz w:val="24"/>
                <w:szCs w:val="24"/>
              </w:rPr>
              <w:t>2.</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CAPÍTULO II: LEGISLACIÓN ESPAÑOLA E IGUALDAD Y NO DISCRIMINACÓN POR RAZÓN DE GÉNERO.</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_Toc486503099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20</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100" w:history="1">
            <w:r w:rsidRPr="00E45A61">
              <w:rPr>
                <w:rStyle w:val="Hipervnculo"/>
                <w:rFonts w:ascii="Times New Roman" w:eastAsia="Calibri" w:hAnsi="Times New Roman" w:cs="Times New Roman"/>
                <w:b/>
                <w:noProof/>
                <w:sz w:val="24"/>
                <w:szCs w:val="24"/>
              </w:rPr>
              <w:t>2.1.</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SOBRE LA IGUALDAD DE GÉNERO, ¿FORMAL O MATERIAL?</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_Toc486503100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20</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101" w:history="1">
            <w:r w:rsidRPr="00E45A61">
              <w:rPr>
                <w:rStyle w:val="Hipervnculo"/>
                <w:rFonts w:ascii="Times New Roman" w:eastAsia="Calibri" w:hAnsi="Times New Roman" w:cs="Times New Roman"/>
                <w:b/>
                <w:noProof/>
                <w:sz w:val="24"/>
                <w:szCs w:val="24"/>
              </w:rPr>
              <w:t>2.2.</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LEGISLACIÓN ESPECÍFICA SOBRE LA IGUALDAD Y SU PROBLEMÁTICA: PRINCIPALES CLASES DE DESIGUALDAD.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_Toc486503101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23</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02" w:history="1">
            <w:r w:rsidRPr="00E45A61">
              <w:rPr>
                <w:rStyle w:val="Hipervnculo"/>
                <w:rFonts w:ascii="Times New Roman" w:eastAsia="Calibri" w:hAnsi="Times New Roman" w:cs="Times New Roman"/>
                <w:b/>
                <w:noProof/>
                <w:sz w:val="24"/>
                <w:szCs w:val="24"/>
              </w:rPr>
              <w:t>2.2.1.</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LEY 3/2007, DE 22 DE MARZO, PARA LA IGUALDAD EFECIVA ENTRE MUJERES Y HOMBRES.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_Toc486503102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24</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03" w:history="1">
            <w:r w:rsidRPr="00E45A61">
              <w:rPr>
                <w:rStyle w:val="Hipervnculo"/>
                <w:rFonts w:ascii="Times New Roman" w:eastAsia="Calibri" w:hAnsi="Times New Roman" w:cs="Times New Roman"/>
                <w:b/>
                <w:noProof/>
                <w:sz w:val="24"/>
                <w:szCs w:val="24"/>
              </w:rPr>
              <w:t>2.2.2.</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TIPOS DE DESIGUALDAD RECONOCIDAS POR LA LEY 3/2007, PARA LA IGUALDAD EFECTIVA ENTRE MUJERES Y HOMBRES.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_Toc486503103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28</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04" w:history="1">
            <w:r w:rsidRPr="00E45A61">
              <w:rPr>
                <w:rStyle w:val="Hipervnculo"/>
                <w:rFonts w:ascii="Times New Roman" w:eastAsia="Calibri" w:hAnsi="Times New Roman" w:cs="Times New Roman"/>
                <w:b/>
                <w:noProof/>
                <w:sz w:val="24"/>
                <w:szCs w:val="24"/>
              </w:rPr>
              <w:t>2.2.3.</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PRINCIPALES PROBLEMAS DE LA LEY 3/2007 PARA LA IGUALDAD EFECTIVA ENTRE MUJERES Y HOMBRES.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_Toc486503104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32</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w:anchor="_Toc486503105" w:history="1">
            <w:r w:rsidRPr="00E45A61">
              <w:rPr>
                <w:rStyle w:val="Hipervnculo"/>
                <w:rFonts w:ascii="Times New Roman" w:eastAsia="Calibri" w:hAnsi="Times New Roman" w:cs="Times New Roman"/>
                <w:noProof/>
                <w:sz w:val="24"/>
                <w:szCs w:val="24"/>
              </w:rPr>
              <w:t>3.</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CAPÍTULO III: LA DESIGUALDAD SALARIAL ENTRE MUJERES Y HOMBRES: SITUACIÓN ACTUAL Y SOLUCIONES DE FUTURO.</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_Toc486503105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39</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106" w:history="1">
            <w:r w:rsidRPr="00E45A61">
              <w:rPr>
                <w:rStyle w:val="Hipervnculo"/>
                <w:rFonts w:ascii="Times New Roman" w:hAnsi="Times New Roman" w:cs="Times New Roman"/>
                <w:b/>
                <w:noProof/>
                <w:sz w:val="24"/>
                <w:szCs w:val="24"/>
              </w:rPr>
              <w:t>3.1.</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SITUACIÓN ACTUAL: LA PERSISTENCIA DE LA DISCRIMINACIÓN SALARIAL.</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_Toc486503106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39</w:t>
            </w:r>
            <w:r w:rsidRPr="00E45A61">
              <w:rPr>
                <w:rFonts w:ascii="Times New Roman" w:hAnsi="Times New Roman" w:cs="Times New Roman"/>
                <w:noProof/>
                <w:webHidden/>
                <w:sz w:val="24"/>
                <w:szCs w:val="24"/>
              </w:rPr>
              <w:fldChar w:fldCharType="end"/>
            </w:r>
          </w:hyperlink>
        </w:p>
        <w:p w:rsidR="00E45A61" w:rsidRPr="00E45A61" w:rsidRDefault="00E45A61">
          <w:pPr>
            <w:pStyle w:val="TDC2"/>
            <w:tabs>
              <w:tab w:val="left" w:pos="880"/>
              <w:tab w:val="right" w:leader="dot" w:pos="8494"/>
            </w:tabs>
            <w:rPr>
              <w:rFonts w:ascii="Times New Roman" w:eastAsiaTheme="minorEastAsia" w:hAnsi="Times New Roman" w:cs="Times New Roman"/>
              <w:noProof/>
              <w:sz w:val="24"/>
              <w:szCs w:val="24"/>
              <w:lang w:eastAsia="es-ES"/>
            </w:rPr>
          </w:pPr>
          <w:hyperlink w:anchor="_Toc486503107" w:history="1">
            <w:r w:rsidRPr="00E45A61">
              <w:rPr>
                <w:rStyle w:val="Hipervnculo"/>
                <w:rFonts w:ascii="Times New Roman" w:hAnsi="Times New Roman" w:cs="Times New Roman"/>
                <w:b/>
                <w:noProof/>
                <w:sz w:val="24"/>
                <w:szCs w:val="24"/>
              </w:rPr>
              <w:t>3.2.</w:t>
            </w:r>
            <w:r w:rsidRPr="00E45A61">
              <w:rPr>
                <w:rFonts w:ascii="Times New Roman" w:eastAsiaTheme="minorEastAsia" w:hAnsi="Times New Roman" w:cs="Times New Roman"/>
                <w:noProof/>
                <w:sz w:val="24"/>
                <w:szCs w:val="24"/>
                <w:lang w:eastAsia="es-ES"/>
              </w:rPr>
              <w:tab/>
            </w:r>
            <w:r w:rsidRPr="00E45A61">
              <w:rPr>
                <w:rStyle w:val="Hipervnculo"/>
                <w:rFonts w:ascii="Times New Roman" w:eastAsia="Calibri" w:hAnsi="Times New Roman" w:cs="Times New Roman"/>
                <w:noProof/>
                <w:sz w:val="24"/>
                <w:szCs w:val="24"/>
              </w:rPr>
              <w:t>ELENCO DE MEDIDAS PARA ACORTAR LA BRECHA SALARIAL.</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_Toc486503107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41</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08" w:history="1">
            <w:r w:rsidRPr="00E45A61">
              <w:rPr>
                <w:rStyle w:val="Hipervnculo"/>
                <w:rFonts w:ascii="Times New Roman" w:hAnsi="Times New Roman" w:cs="Times New Roman"/>
                <w:b/>
                <w:noProof/>
                <w:sz w:val="24"/>
                <w:szCs w:val="24"/>
              </w:rPr>
              <w:t>3.2.1.</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EN TORNO A LA NEGOCIACIÓN COLECTIVA.</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_Toc486503108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41</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09" w:history="1">
            <w:r w:rsidRPr="00E45A61">
              <w:rPr>
                <w:rStyle w:val="Hipervnculo"/>
                <w:rFonts w:ascii="Times New Roman" w:hAnsi="Times New Roman" w:cs="Times New Roman"/>
                <w:b/>
                <w:noProof/>
                <w:sz w:val="24"/>
                <w:szCs w:val="24"/>
              </w:rPr>
              <w:t>3.2.2.</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SOBRE LOS PLANES DE IGUALDAD.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_Toc486503109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43</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10" w:history="1">
            <w:r w:rsidRPr="00E45A61">
              <w:rPr>
                <w:rStyle w:val="Hipervnculo"/>
                <w:rFonts w:ascii="Times New Roman" w:hAnsi="Times New Roman" w:cs="Times New Roman"/>
                <w:b/>
                <w:noProof/>
                <w:sz w:val="24"/>
                <w:szCs w:val="24"/>
              </w:rPr>
              <w:t>3.2.3.</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MEDIDAS DE CONCILIACIÓN DE LA VIDA LABORAL, FAMILIAR Y PERSONAL, Y MEDIDAS DE CORRESPONSABILIDAD.</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_Toc486503110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45</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11" w:history="1">
            <w:r w:rsidRPr="00E45A61">
              <w:rPr>
                <w:rStyle w:val="Hipervnculo"/>
                <w:rFonts w:ascii="Times New Roman" w:hAnsi="Times New Roman" w:cs="Times New Roman"/>
                <w:b/>
                <w:noProof/>
                <w:sz w:val="24"/>
                <w:szCs w:val="24"/>
              </w:rPr>
              <w:t>3.2.4.</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LA IMPORTANCIA DE LAS MEDIDAS EDUCATIVAS: LA COEDUCACIÓN.</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_Toc486503111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48</w:t>
            </w:r>
            <w:r w:rsidRPr="00E45A61">
              <w:rPr>
                <w:rFonts w:ascii="Times New Roman" w:hAnsi="Times New Roman" w:cs="Times New Roman"/>
                <w:noProof/>
                <w:webHidden/>
                <w:sz w:val="24"/>
                <w:szCs w:val="24"/>
              </w:rPr>
              <w:fldChar w:fldCharType="end"/>
            </w:r>
          </w:hyperlink>
        </w:p>
        <w:p w:rsidR="00E45A61" w:rsidRPr="00E45A61" w:rsidRDefault="00E45A61">
          <w:pPr>
            <w:pStyle w:val="TDC3"/>
            <w:tabs>
              <w:tab w:val="left" w:pos="1320"/>
              <w:tab w:val="right" w:leader="dot" w:pos="8494"/>
            </w:tabs>
            <w:rPr>
              <w:rFonts w:ascii="Times New Roman" w:eastAsiaTheme="minorEastAsia" w:hAnsi="Times New Roman" w:cs="Times New Roman"/>
              <w:noProof/>
              <w:sz w:val="24"/>
              <w:szCs w:val="24"/>
              <w:lang w:eastAsia="es-ES"/>
            </w:rPr>
          </w:pPr>
          <w:hyperlink w:anchor="_Toc486503112" w:history="1">
            <w:r w:rsidRPr="00E45A61">
              <w:rPr>
                <w:rStyle w:val="Hipervnculo"/>
                <w:rFonts w:ascii="Times New Roman" w:hAnsi="Times New Roman" w:cs="Times New Roman"/>
                <w:b/>
                <w:noProof/>
                <w:sz w:val="24"/>
                <w:szCs w:val="24"/>
              </w:rPr>
              <w:t>3.2.5.</w:t>
            </w:r>
            <w:r w:rsidRPr="00E45A61">
              <w:rPr>
                <w:rFonts w:ascii="Times New Roman" w:eastAsiaTheme="minorEastAsia" w:hAnsi="Times New Roman" w:cs="Times New Roman"/>
                <w:noProof/>
                <w:sz w:val="24"/>
                <w:szCs w:val="24"/>
                <w:lang w:eastAsia="es-ES"/>
              </w:rPr>
              <w:tab/>
            </w:r>
            <w:r w:rsidRPr="00E45A61">
              <w:rPr>
                <w:rStyle w:val="Hipervnculo"/>
                <w:rFonts w:ascii="Times New Roman" w:hAnsi="Times New Roman" w:cs="Times New Roman"/>
                <w:noProof/>
                <w:sz w:val="24"/>
                <w:szCs w:val="24"/>
              </w:rPr>
              <w:t>TAMBIÉN MEDIDAS LEGISLATIVAS.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_Toc486503112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51</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w:anchor="_Toc486503113" w:history="1">
            <w:r w:rsidRPr="00E45A61">
              <w:rPr>
                <w:rStyle w:val="Hipervnculo"/>
                <w:rFonts w:ascii="Times New Roman" w:hAnsi="Times New Roman" w:cs="Times New Roman"/>
                <w:noProof/>
                <w:sz w:val="24"/>
                <w:szCs w:val="24"/>
              </w:rPr>
              <w:t>CONCLUSIONES.</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_Toc486503113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53</w:t>
            </w:r>
            <w:r w:rsidRPr="00E45A61">
              <w:rPr>
                <w:rFonts w:ascii="Times New Roman" w:hAnsi="Times New Roman" w:cs="Times New Roman"/>
                <w:noProof/>
                <w:webHidden/>
                <w:sz w:val="24"/>
                <w:szCs w:val="24"/>
              </w:rPr>
              <w:fldChar w:fldCharType="end"/>
            </w:r>
          </w:hyperlink>
        </w:p>
        <w:p w:rsidR="00E45A61" w:rsidRPr="00E45A61" w:rsidRDefault="00E45A61">
          <w:pPr>
            <w:pStyle w:val="TDC1"/>
            <w:rPr>
              <w:rFonts w:ascii="Times New Roman" w:eastAsiaTheme="minorEastAsia" w:hAnsi="Times New Roman" w:cs="Times New Roman"/>
              <w:noProof/>
              <w:sz w:val="24"/>
              <w:szCs w:val="24"/>
              <w:lang w:eastAsia="es-ES"/>
            </w:rPr>
          </w:pPr>
          <w:hyperlink w:anchor="_Toc486503114" w:history="1">
            <w:r w:rsidRPr="00E45A61">
              <w:rPr>
                <w:rStyle w:val="Hipervnculo"/>
                <w:rFonts w:ascii="Times New Roman" w:hAnsi="Times New Roman" w:cs="Times New Roman"/>
                <w:noProof/>
                <w:sz w:val="24"/>
                <w:szCs w:val="24"/>
              </w:rPr>
              <w:t>BIBLIOGRAFÍA Y JURISPRUDENCIA.</w:t>
            </w:r>
            <w:r w:rsidRPr="00E45A61">
              <w:rPr>
                <w:rFonts w:ascii="Times New Roman" w:hAnsi="Times New Roman" w:cs="Times New Roman"/>
                <w:noProof/>
                <w:webHidden/>
                <w:sz w:val="24"/>
                <w:szCs w:val="24"/>
              </w:rPr>
              <w:tab/>
            </w:r>
            <w:r w:rsidRPr="00E45A61">
              <w:rPr>
                <w:rFonts w:ascii="Times New Roman" w:hAnsi="Times New Roman" w:cs="Times New Roman"/>
                <w:noProof/>
                <w:webHidden/>
                <w:sz w:val="24"/>
                <w:szCs w:val="24"/>
              </w:rPr>
              <w:fldChar w:fldCharType="begin"/>
            </w:r>
            <w:r w:rsidRPr="00E45A61">
              <w:rPr>
                <w:rFonts w:ascii="Times New Roman" w:hAnsi="Times New Roman" w:cs="Times New Roman"/>
                <w:noProof/>
                <w:webHidden/>
                <w:sz w:val="24"/>
                <w:szCs w:val="24"/>
              </w:rPr>
              <w:instrText xml:space="preserve"> PAGEREF _Toc486503114 \h </w:instrText>
            </w:r>
            <w:r w:rsidRPr="00E45A61">
              <w:rPr>
                <w:rFonts w:ascii="Times New Roman" w:hAnsi="Times New Roman" w:cs="Times New Roman"/>
                <w:noProof/>
                <w:webHidden/>
                <w:sz w:val="24"/>
                <w:szCs w:val="24"/>
              </w:rPr>
            </w:r>
            <w:r w:rsidRPr="00E45A61">
              <w:rPr>
                <w:rFonts w:ascii="Times New Roman" w:hAnsi="Times New Roman" w:cs="Times New Roman"/>
                <w:noProof/>
                <w:webHidden/>
                <w:sz w:val="24"/>
                <w:szCs w:val="24"/>
              </w:rPr>
              <w:fldChar w:fldCharType="separate"/>
            </w:r>
            <w:r w:rsidRPr="00E45A61">
              <w:rPr>
                <w:rFonts w:ascii="Times New Roman" w:hAnsi="Times New Roman" w:cs="Times New Roman"/>
                <w:noProof/>
                <w:webHidden/>
                <w:sz w:val="24"/>
                <w:szCs w:val="24"/>
              </w:rPr>
              <w:t>55</w:t>
            </w:r>
            <w:r w:rsidRPr="00E45A61">
              <w:rPr>
                <w:rFonts w:ascii="Times New Roman" w:hAnsi="Times New Roman" w:cs="Times New Roman"/>
                <w:noProof/>
                <w:webHidden/>
                <w:sz w:val="24"/>
                <w:szCs w:val="24"/>
              </w:rPr>
              <w:fldChar w:fldCharType="end"/>
            </w:r>
          </w:hyperlink>
        </w:p>
        <w:p w:rsidR="00E45A61" w:rsidRPr="00786B7D" w:rsidRDefault="00E45A61" w:rsidP="00E45A61">
          <w:pPr>
            <w:spacing w:line="360" w:lineRule="auto"/>
            <w:jc w:val="both"/>
            <w:rPr>
              <w:sz w:val="24"/>
              <w:szCs w:val="24"/>
            </w:rPr>
          </w:pPr>
          <w:r w:rsidRPr="00E45A61">
            <w:rPr>
              <w:sz w:val="24"/>
              <w:szCs w:val="24"/>
            </w:rPr>
            <w:fldChar w:fldCharType="end"/>
          </w:r>
        </w:p>
      </w:sdtContent>
    </w:sdt>
    <w:p w:rsidR="00E45A61" w:rsidRPr="00786B7D"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p>
    <w:p w:rsidR="00E45A61" w:rsidRDefault="00E45A61" w:rsidP="00E45A61">
      <w:pPr>
        <w:pStyle w:val="Ttulo1"/>
        <w:spacing w:line="360" w:lineRule="auto"/>
        <w:jc w:val="both"/>
        <w:rPr>
          <w:rFonts w:ascii="Times New Roman" w:hAnsi="Times New Roman"/>
          <w:color w:val="auto"/>
          <w:sz w:val="24"/>
          <w:szCs w:val="24"/>
        </w:rPr>
      </w:pPr>
    </w:p>
    <w:p w:rsidR="00E45A61" w:rsidRDefault="00E45A61" w:rsidP="00E45A61"/>
    <w:p w:rsidR="00E45A61" w:rsidRPr="00786B7D"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spacing w:line="360" w:lineRule="auto"/>
        <w:jc w:val="both"/>
        <w:rPr>
          <w:sz w:val="24"/>
          <w:szCs w:val="24"/>
        </w:rPr>
      </w:pPr>
    </w:p>
    <w:p w:rsidR="00E45A61" w:rsidRPr="00786B7D" w:rsidRDefault="00E45A61" w:rsidP="00E45A61">
      <w:pPr>
        <w:spacing w:line="360" w:lineRule="auto"/>
        <w:jc w:val="both"/>
        <w:rPr>
          <w:sz w:val="24"/>
          <w:szCs w:val="24"/>
        </w:rPr>
      </w:pPr>
    </w:p>
    <w:p w:rsidR="00E45A61" w:rsidRPr="00786B7D" w:rsidRDefault="00E45A61" w:rsidP="00E45A61">
      <w:pPr>
        <w:spacing w:line="360" w:lineRule="auto"/>
        <w:jc w:val="both"/>
        <w:rPr>
          <w:sz w:val="24"/>
          <w:szCs w:val="24"/>
        </w:rPr>
      </w:pPr>
    </w:p>
    <w:p w:rsidR="00E45A61" w:rsidRDefault="00E45A61" w:rsidP="00E45A61">
      <w:pPr>
        <w:spacing w:line="360" w:lineRule="auto"/>
        <w:jc w:val="both"/>
        <w:rPr>
          <w:sz w:val="24"/>
          <w:szCs w:val="24"/>
        </w:rPr>
      </w:pPr>
    </w:p>
    <w:p w:rsidR="00E45A61" w:rsidRDefault="00E45A61" w:rsidP="00E45A61">
      <w:pPr>
        <w:spacing w:line="360" w:lineRule="auto"/>
        <w:jc w:val="both"/>
        <w:rPr>
          <w:sz w:val="24"/>
          <w:szCs w:val="24"/>
        </w:rPr>
      </w:pPr>
    </w:p>
    <w:p w:rsidR="00E45A61" w:rsidRDefault="00E45A61" w:rsidP="00E45A61">
      <w:pPr>
        <w:spacing w:line="360" w:lineRule="auto"/>
        <w:jc w:val="both"/>
        <w:rPr>
          <w:sz w:val="24"/>
          <w:szCs w:val="24"/>
        </w:rPr>
      </w:pPr>
    </w:p>
    <w:p w:rsidR="00E45A61" w:rsidRPr="00786B7D" w:rsidRDefault="00E45A61" w:rsidP="00E45A61">
      <w:pPr>
        <w:spacing w:line="360" w:lineRule="auto"/>
        <w:jc w:val="both"/>
        <w:rPr>
          <w:sz w:val="24"/>
          <w:szCs w:val="24"/>
        </w:rPr>
      </w:pPr>
    </w:p>
    <w:p w:rsidR="00E45A61" w:rsidRDefault="00E45A61" w:rsidP="00E45A61">
      <w:pPr>
        <w:pStyle w:val="Ttulo1"/>
        <w:spacing w:line="360" w:lineRule="auto"/>
        <w:jc w:val="both"/>
        <w:rPr>
          <w:rFonts w:ascii="Times New Roman" w:hAnsi="Times New Roman"/>
          <w:outline w:val="0"/>
          <w:color w:val="auto"/>
          <w:sz w:val="24"/>
          <w:szCs w:val="24"/>
        </w:rPr>
      </w:pPr>
    </w:p>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P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p w:rsidR="00E45A61" w:rsidRDefault="00E45A61" w:rsidP="00E45A61">
      <w:bookmarkStart w:id="6" w:name="_GoBack"/>
      <w:bookmarkEnd w:id="6"/>
    </w:p>
    <w:p w:rsidR="00E45A61" w:rsidRDefault="00E45A61" w:rsidP="00E45A61"/>
    <w:p w:rsidR="00E45A61" w:rsidRPr="00E45A61" w:rsidRDefault="00E45A61" w:rsidP="00E45A61"/>
    <w:p w:rsidR="00E45A61" w:rsidRDefault="00E45A61" w:rsidP="00E45A61">
      <w:pPr>
        <w:pStyle w:val="Ttulo1"/>
        <w:spacing w:line="360" w:lineRule="auto"/>
        <w:jc w:val="both"/>
        <w:rPr>
          <w:rFonts w:ascii="Times New Roman" w:hAnsi="Times New Roman"/>
          <w:color w:val="auto"/>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bookmarkStart w:id="7" w:name="_Toc486503091"/>
      <w:r w:rsidRPr="00786B7D">
        <w:rPr>
          <w:rFonts w:ascii="Times New Roman" w:hAnsi="Times New Roman"/>
          <w:color w:val="auto"/>
          <w:sz w:val="24"/>
          <w:szCs w:val="24"/>
        </w:rPr>
        <w:t>INTRODUCCIÓN.</w:t>
      </w:r>
      <w:bookmarkEnd w:id="7"/>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 xml:space="preserve">La discriminación de género es el trato desfavorable que recibe una persona por su sexo, son las mujeres las que reciben en un gran número de ámbitos un trato negativo en atención a su sexo y al género asociado a dicho sexo, es decir, a las actuaciones que la sociedad ha vinculado a las mujeres por el hecho de serlo. La discriminación de género es, por tanto, un problema social pues su base se constituye en roles atribuidos en función al sexo de los individuos, establecidos a lo largo del tiempo, profundamente arraigados en la sociedad. No obstante, debido a su impacto en numerosos ámbitos, también es un problema político, cultural e, incluso, económico. Debido a la magnitud de la discriminación de género son necesarias medidas y políticas que logren la igualdad de género real, más allá de la igualdad formal ya existente. </w:t>
      </w:r>
    </w:p>
    <w:p w:rsidR="00E45A61" w:rsidRPr="00786B7D" w:rsidRDefault="00E45A61" w:rsidP="00E45A61">
      <w:pPr>
        <w:spacing w:line="360" w:lineRule="auto"/>
        <w:ind w:firstLine="360"/>
        <w:jc w:val="both"/>
        <w:rPr>
          <w:sz w:val="24"/>
          <w:szCs w:val="24"/>
        </w:rPr>
      </w:pPr>
      <w:r w:rsidRPr="00786B7D">
        <w:rPr>
          <w:sz w:val="24"/>
          <w:szCs w:val="24"/>
        </w:rPr>
        <w:t xml:space="preserve">La Constitución Española de 1978 (en adelante, CE) reconoce la igualdad ante la Ley de los españoles sin que pueda darse distinciones por sexo y obliga a los poderes públicos que hagan efectiva dicha igualdad. En España, contamos con la Ley Orgánica 3/2007, de igualdad efectiva entre mujeres y hombres (en adelante, LOI), que establece distintos derechos, medidas y políticas para lograr la igualdad real entre mujeres y hombres. No obstante, distintos estudios nacionales e internacionales, como los llevados a cabo por el Instituto Nacional de Estadística, por el Instituto de la Mujer y por el Foro Económico Internacional, dejan ver que, si bien está reduciendo, lo hace de forma lenta,  por lo que sigue latente dicha discriminación en el panorama social actual español. </w:t>
      </w:r>
    </w:p>
    <w:p w:rsidR="00E45A61" w:rsidRPr="00786B7D" w:rsidRDefault="00E45A61" w:rsidP="00E45A61">
      <w:pPr>
        <w:spacing w:line="360" w:lineRule="auto"/>
        <w:ind w:firstLine="360"/>
        <w:jc w:val="both"/>
        <w:rPr>
          <w:sz w:val="24"/>
          <w:szCs w:val="24"/>
        </w:rPr>
      </w:pPr>
      <w:r w:rsidRPr="00786B7D">
        <w:rPr>
          <w:sz w:val="24"/>
          <w:szCs w:val="24"/>
        </w:rPr>
        <w:t xml:space="preserve">De entre las distintas formas en las que aparece la discriminación de género, la discriminación laboral es una de las que acoge más formas pues se existe discriminación de la mujer en acceso al empleo, formación, ascenso en el mismo, poca representación en política o menor remuneración por la realización de trabajos de igual valor. A mi parecer es, esta última, la más interesante de entre todas las discriminaciones sufridas por las mujeres en el ámbito laboral por la pluralidad de formas en las que aparece y la gran repercusión que tiene sobre la mujer. La persistencia de este tipo de discriminación, como de cualquier otro tipo, tiene numerosas consecuencias negativas en los sujetos que la sufren y en la sociedad, pero el caso de la discriminación salarial </w:t>
      </w:r>
      <w:r w:rsidRPr="00786B7D">
        <w:rPr>
          <w:sz w:val="24"/>
          <w:szCs w:val="24"/>
        </w:rPr>
        <w:lastRenderedPageBreak/>
        <w:t>hace que las mujeres no encuentren la total independencia económica, que vivan en la precariedad y que haya un mayor número de mujeres en situación de necesidad.</w:t>
      </w:r>
    </w:p>
    <w:p w:rsidR="00E45A61" w:rsidRPr="00786B7D" w:rsidRDefault="00E45A61" w:rsidP="00E45A61">
      <w:pPr>
        <w:spacing w:line="360" w:lineRule="auto"/>
        <w:ind w:firstLine="360"/>
        <w:jc w:val="both"/>
        <w:rPr>
          <w:sz w:val="24"/>
          <w:szCs w:val="24"/>
        </w:rPr>
      </w:pPr>
      <w:r w:rsidRPr="00786B7D">
        <w:rPr>
          <w:sz w:val="24"/>
          <w:szCs w:val="24"/>
        </w:rPr>
        <w:t>Este Trabajo se encuentra dividido en tres Capítulos a lo largo de los cuales expongo la distinta legislación española sobre la igualdad y no discriminación, centrándome en las bases constitucionales de la igualdad, en la Ley Orgánica de igualdad efectiva entre mujeres y hombres y la efectividad de sus medidas en el ámbito laboral, por último expongo una serie de posibles medidas que pueden solucionar la brecha salarial de género.</w:t>
      </w:r>
    </w:p>
    <w:p w:rsidR="00E45A61" w:rsidRPr="00786B7D" w:rsidRDefault="00E45A61" w:rsidP="00E45A61">
      <w:pPr>
        <w:spacing w:line="360" w:lineRule="auto"/>
        <w:ind w:firstLine="360"/>
        <w:jc w:val="both"/>
        <w:rPr>
          <w:sz w:val="24"/>
          <w:szCs w:val="24"/>
        </w:rPr>
      </w:pPr>
      <w:r w:rsidRPr="00786B7D">
        <w:rPr>
          <w:sz w:val="24"/>
          <w:szCs w:val="24"/>
        </w:rPr>
        <w:t>En el Capítulo I “Sobre la igualdad como valor jurídico, principio y derecho: los principales tipos de igualdad”, trato la igualdad en las diferentes formas en las que puede presentarse: como un valor jurídico-moral que fundamenta los Derechos Humanos, como un principio que rige el Ordenamiento Jurídico y como un Derecho Fundamental positivizado en la CE. Asimismo, hago una aproximación a la noción de igualdad, teniendo en cuenta la variedad de conceptos que existen sobre la misma, dependiendo de la época y el lugar en el que se defina o los ideales y circunstancias de la persona que la define. Por último, explico los dos principales tipos de igualdad, formal y material, indicando sus bases constitucionales.</w:t>
      </w:r>
    </w:p>
    <w:p w:rsidR="00E45A61" w:rsidRPr="00786B7D" w:rsidRDefault="00E45A61" w:rsidP="00E45A61">
      <w:pPr>
        <w:spacing w:line="360" w:lineRule="auto"/>
        <w:ind w:firstLine="360"/>
        <w:jc w:val="both"/>
        <w:rPr>
          <w:sz w:val="24"/>
          <w:szCs w:val="24"/>
        </w:rPr>
      </w:pPr>
      <w:r w:rsidRPr="00786B7D">
        <w:rPr>
          <w:sz w:val="24"/>
          <w:szCs w:val="24"/>
        </w:rPr>
        <w:t>El Capítulo II “Igualdad y no discriminación por razón de género: la legislación española” comienza con una breve referencia histórica al feminismo y la lucha contra la discriminación de género. Continúo con una descripción, no muy extensa, de los distintos Títulos que componen la Ley de igualdad efectiva entre mujeres y hombres, explicando los distintos tipos de discriminación que esta Ley establece (directa, indirecta, acoso sexual, acoso por razón de género, discriminación por embarazo o maternidad y la indemnidad frente a represalias). Por último, me centro en los problemas de la Ley, concretamente en la inefectividad de distintas medidas del ámbito laboral (en base a los datos y resultados de los estudios que realiza el INE, el Instituto de la Mujer, el II Plan de Igualdad y el Informe del Foro Económico Mundial de la Brecha de Género) tanto en el empleo público como en la empresa privada, y del cumplimiento del principio de igualdad de trato y de oportunidades así como del principio de presencia equilibrada de mujeres y hombres.</w:t>
      </w:r>
    </w:p>
    <w:p w:rsidR="00E45A61" w:rsidRPr="00786B7D" w:rsidRDefault="00E45A61" w:rsidP="00E45A61">
      <w:pPr>
        <w:spacing w:line="360" w:lineRule="auto"/>
        <w:ind w:firstLine="360"/>
        <w:jc w:val="both"/>
        <w:rPr>
          <w:sz w:val="24"/>
          <w:szCs w:val="24"/>
        </w:rPr>
      </w:pPr>
      <w:r w:rsidRPr="00786B7D">
        <w:rPr>
          <w:sz w:val="24"/>
          <w:szCs w:val="24"/>
        </w:rPr>
        <w:t xml:space="preserve">Apoyándome en los datos que expongo en el Capítulo II, el Capítulo III va enfocado a la solución de la ineficacia de las medidas de la LOI, en relación  a dar solución a la </w:t>
      </w:r>
      <w:r w:rsidRPr="00786B7D">
        <w:rPr>
          <w:sz w:val="24"/>
          <w:szCs w:val="24"/>
        </w:rPr>
        <w:lastRenderedPageBreak/>
        <w:t xml:space="preserve">discriminación salarial de género. Proponiendo el fomento de la negociación colectiva y de la implementación de clausulas salariales en los acuerdos que nazcan de la misma. Otra propuesta es en relación a la conciliación de la vida familiar y laboral, que debe evolucionar a una corresponsabilidad entre mujeres y hombres de la vida familiar y que favorezca la estabilidad de la mujer en los puestos de trabajo. Asimismo planteo un cambio en el sistema educativo, para que se imponga la coeducación como la base del mismo y así los niños y niñas crezcan sin los prejuicios y los roles sociales establecidos en base al género y así, las futuras generaciones, comprendan que el salario no depende del sexo de la persona que realiza el trabajo, sino que se establece en base a variables objetivas y laborales. Por último, como medida principal para que sea posible lograr la igualdad salarial entre mujeres y hombres, una ley de igualdad salarial que establezca medidas específicas para la consecución de dicha igualdad y que obligue a empresas privadas y públicas. </w:t>
      </w:r>
    </w:p>
    <w:p w:rsidR="00E45A61" w:rsidRPr="00786B7D" w:rsidRDefault="00E45A61" w:rsidP="00E45A61">
      <w:pPr>
        <w:spacing w:line="360" w:lineRule="auto"/>
        <w:ind w:firstLine="360"/>
        <w:jc w:val="both"/>
        <w:rPr>
          <w:sz w:val="24"/>
          <w:szCs w:val="24"/>
        </w:rPr>
      </w:pPr>
      <w:r w:rsidRPr="00786B7D">
        <w:rPr>
          <w:sz w:val="24"/>
          <w:szCs w:val="24"/>
        </w:rPr>
        <w:t>La elección de este tema la realicé por el interés que, como mujer, tengo sobre la discriminación que sufrimos en los distintos aspectos de la vida, especialmente en el ámbito salarial como mujer que en un plazo de tiempo breve saldrá al mercado laboral, y pretende ver como se cumple con sus derechos y libertades, sin darse ningún tipo de discriminación. Por esta inminente entrada en el mercado laboral he querido conocer cuáles son mis derechos, las medidas establecidas en el Ordenamiento Jurídico Español para la protección y efectividad de esos derechos y el cumplimiento de las mismas, así como las distintas formas de mejorarse la efectividad de los derechos. Mi interés en el tema se incrementó tras conocer los datos del Informe de la Brecha Salarial de 2016 que indica que en España, la mujer cobra alrededor de seis mil euros anuales menos que los hombres, así como que al ritmo actual mundial la brecha no se cerrará hasta dentro de 116 años. No obstante, el tema escogido, la igualdad y la discriminación salarial de género, me parece un tema de interés no solo por el hecho de ser mujer, ni por entrar en el mercado laboral, sino por la actualidad del tema, su gravedad y la importancia de una pronta solución. La actualidad del tema, es obvia, pues la discriminación, como muestran los estudios, sigue latente a día de hoy, su importancia se deriva de la repercusión social de la misma, y su gravedad en los efectos o consecuencias negativas para la mujer.</w:t>
      </w:r>
    </w:p>
    <w:p w:rsidR="00E45A61" w:rsidRPr="00786B7D" w:rsidRDefault="00E45A61" w:rsidP="00E45A61">
      <w:pPr>
        <w:spacing w:line="360" w:lineRule="auto"/>
        <w:ind w:firstLine="360"/>
        <w:jc w:val="both"/>
        <w:rPr>
          <w:sz w:val="24"/>
          <w:szCs w:val="24"/>
        </w:rPr>
      </w:pPr>
      <w:r w:rsidRPr="00786B7D">
        <w:rPr>
          <w:sz w:val="24"/>
          <w:szCs w:val="24"/>
        </w:rPr>
        <w:lastRenderedPageBreak/>
        <w:t xml:space="preserve">Por tanto, hice la elección de este tema, por el interés que despierta en mí y la importancia del mismo, y por lo mismo, ha sido enfocado de la manera que más apropiada considero, partiendo de las bases constitucionales y terminando con soluciones al problema que desarrollo a lo largo del trabajo. </w:t>
      </w:r>
    </w:p>
    <w:p w:rsidR="00E45A61" w:rsidRPr="00786B7D" w:rsidRDefault="00E45A61" w:rsidP="00E45A61">
      <w:pPr>
        <w:pStyle w:val="Ttulo1"/>
        <w:keepLines/>
        <w:numPr>
          <w:ilvl w:val="0"/>
          <w:numId w:val="6"/>
        </w:numPr>
        <w:spacing w:before="480" w:line="360" w:lineRule="auto"/>
        <w:jc w:val="both"/>
        <w:rPr>
          <w:rFonts w:ascii="Times New Roman" w:hAnsi="Times New Roman"/>
          <w:color w:val="auto"/>
          <w:sz w:val="24"/>
          <w:szCs w:val="24"/>
        </w:rPr>
      </w:pPr>
      <w:bookmarkStart w:id="8" w:name="_Toc486503092"/>
      <w:r w:rsidRPr="00786B7D">
        <w:rPr>
          <w:rFonts w:ascii="Times New Roman" w:hAnsi="Times New Roman"/>
          <w:color w:val="auto"/>
          <w:sz w:val="24"/>
          <w:szCs w:val="24"/>
        </w:rPr>
        <w:t>CAPÍTULO I: SOBRE LA IGUALDAD COMO VALOR JURÍDICO, PRINCIPIO Y DERECHO. LOS PRINCIPALES TIPOS DE IGUALDAD.</w:t>
      </w:r>
      <w:bookmarkEnd w:id="8"/>
    </w:p>
    <w:p w:rsidR="00E45A61" w:rsidRPr="00786B7D" w:rsidRDefault="00E45A61" w:rsidP="00E45A61">
      <w:pPr>
        <w:pStyle w:val="Prrafodelista"/>
        <w:spacing w:line="360" w:lineRule="auto"/>
        <w:jc w:val="both"/>
        <w:rPr>
          <w:b/>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r w:rsidRPr="00786B7D">
        <w:rPr>
          <w:rFonts w:ascii="Times New Roman" w:hAnsi="Times New Roman"/>
          <w:color w:val="auto"/>
          <w:sz w:val="24"/>
          <w:szCs w:val="24"/>
        </w:rPr>
        <w:t xml:space="preserve"> </w:t>
      </w:r>
      <w:bookmarkStart w:id="9" w:name="_Toc486503093"/>
      <w:r w:rsidRPr="00786B7D">
        <w:rPr>
          <w:rFonts w:ascii="Times New Roman" w:hAnsi="Times New Roman"/>
          <w:color w:val="auto"/>
          <w:sz w:val="24"/>
          <w:szCs w:val="24"/>
        </w:rPr>
        <w:t>LA IGUALDAD COMO VALOR JURÍDICO.</w:t>
      </w:r>
      <w:bookmarkEnd w:id="9"/>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La igualdad puede ser entendida como un valor jurídico-moral que ha de comprenderse en conjunción con otros tres valores que son: libertad, seguridad jurídica y solidaridad. Estos cuatro valores son aquellos que dan fundamento a los derechos, son valores morales ligados a la dignidad del hombre en base a los cuales nacen los derechos humanos y que persiguen la integración completa del hombre en la vida social, así como la independencia del mismo.</w:t>
      </w:r>
      <w:r w:rsidRPr="00786B7D">
        <w:rPr>
          <w:sz w:val="24"/>
          <w:szCs w:val="24"/>
          <w:vertAlign w:val="superscript"/>
        </w:rPr>
        <w:footnoteReference w:id="1"/>
      </w:r>
    </w:p>
    <w:p w:rsidR="00E45A61" w:rsidRPr="00786B7D" w:rsidRDefault="00E45A61" w:rsidP="00E45A61">
      <w:pPr>
        <w:spacing w:line="360" w:lineRule="auto"/>
        <w:ind w:firstLine="360"/>
        <w:jc w:val="both"/>
        <w:rPr>
          <w:sz w:val="24"/>
          <w:szCs w:val="24"/>
        </w:rPr>
      </w:pPr>
      <w:r w:rsidRPr="00786B7D">
        <w:rPr>
          <w:sz w:val="24"/>
          <w:szCs w:val="24"/>
        </w:rPr>
        <w:t>El valor principal de entre los cuatro citados es la libertad con la cual la igualdad tiene una estrecha relación. El vínculo entre ambos valores, libertad e igualdad, es de complementariedad donde libertad es el componente principal, e igualdad es el elemento accesorio que perfecciona aquel. De esta relación nace la concepción de “libertad igualitaria”, siendo el objetivo de esta la generalidad de la igualdad para que todas las personas que componen la sociedad sean libres. Si bien, no toda la doctrina está de acuerdo con esta forma de libertad. Para la doctrina liberal y neoliberal, no hay posibilidad de que la libertad sea igualitaria pues, entiende, que de este modo la libertad estaría alejándose de su fundamento principal que es el individualismo de cada sujeto. No obstante, la doctrina mayoritaria no lo concibe de ese modo, pues consideran necesario que todos los sujetos se encuentren en situación de igualdad de condiciones para alcanzar la libertad y el individualismo.</w:t>
      </w:r>
    </w:p>
    <w:p w:rsidR="00E45A61" w:rsidRPr="00786B7D" w:rsidRDefault="00E45A61" w:rsidP="00E45A61">
      <w:pPr>
        <w:spacing w:line="360" w:lineRule="auto"/>
        <w:ind w:firstLine="360"/>
        <w:jc w:val="both"/>
        <w:rPr>
          <w:sz w:val="24"/>
          <w:szCs w:val="24"/>
        </w:rPr>
      </w:pPr>
      <w:r w:rsidRPr="00786B7D">
        <w:rPr>
          <w:sz w:val="24"/>
          <w:szCs w:val="24"/>
        </w:rPr>
        <w:t xml:space="preserve">Si bien, esta igualdad que estamos tratando es, principalmente, igualdad material pues para el profesor Peces-Barba: </w:t>
      </w:r>
      <w:r w:rsidRPr="00786B7D">
        <w:rPr>
          <w:i/>
          <w:sz w:val="24"/>
          <w:szCs w:val="24"/>
        </w:rPr>
        <w:t xml:space="preserve">“La igualdad material representa asimismo un valor </w:t>
      </w:r>
      <w:r w:rsidRPr="00786B7D">
        <w:rPr>
          <w:i/>
          <w:sz w:val="24"/>
          <w:szCs w:val="24"/>
        </w:rPr>
        <w:lastRenderedPageBreak/>
        <w:t>que incide en los contenidos del Derecho y no sólo en los procedimientos, y en la fundamentación integral de los derechos humanos realiza […] una función de apoyo al valor libertad, para que esta sea lo más profunda posible y pueda abarcar al mayor número de personas posible.”</w:t>
      </w:r>
      <w:r w:rsidRPr="00786B7D">
        <w:rPr>
          <w:rStyle w:val="Refdenotaalpie"/>
          <w:sz w:val="24"/>
          <w:szCs w:val="24"/>
        </w:rPr>
        <w:footnoteReference w:id="2"/>
      </w:r>
      <w:r w:rsidRPr="00786B7D">
        <w:rPr>
          <w:sz w:val="24"/>
          <w:szCs w:val="24"/>
        </w:rPr>
        <w:t>.</w:t>
      </w:r>
    </w:p>
    <w:p w:rsidR="00E45A61" w:rsidRPr="00786B7D" w:rsidRDefault="00E45A61" w:rsidP="00E45A61">
      <w:pPr>
        <w:spacing w:line="360" w:lineRule="auto"/>
        <w:ind w:firstLine="360"/>
        <w:jc w:val="both"/>
        <w:rPr>
          <w:sz w:val="24"/>
          <w:szCs w:val="24"/>
        </w:rPr>
      </w:pPr>
      <w:r w:rsidRPr="00786B7D">
        <w:rPr>
          <w:sz w:val="24"/>
          <w:szCs w:val="24"/>
        </w:rPr>
        <w:t xml:space="preserve"> La igualdad material surge en el siglo XIX, como respuesta a la discriminación sufrida por la mayoría de la población que no tenía derecho para participar en la vida social, política y jurídica. El objeto de la igualdad material era conseguir la intervención de los ciudadanos en dichos ámbitos, esto es, su libertad e independencia a través de su inclusión en el ámbito político y jurídico en la sociedad. Por tanto, resulta evidente, que la igualdad es un instrumento para llegar a conseguir la libertad de los individuos. </w:t>
      </w:r>
    </w:p>
    <w:p w:rsidR="00E45A61" w:rsidRPr="00786B7D" w:rsidRDefault="00E45A61" w:rsidP="00E45A61">
      <w:pPr>
        <w:spacing w:line="360" w:lineRule="auto"/>
        <w:ind w:firstLine="360"/>
        <w:jc w:val="both"/>
        <w:rPr>
          <w:sz w:val="24"/>
          <w:szCs w:val="24"/>
        </w:rPr>
      </w:pPr>
      <w:r w:rsidRPr="00786B7D">
        <w:rPr>
          <w:sz w:val="24"/>
          <w:szCs w:val="24"/>
        </w:rPr>
        <w:t xml:space="preserve">El valor igualdad no está ligado sólo a la libertad, también se encuentra unido a los otros dos valores jurídicos que complementan la libertad, mencionados con anterioridad: seguridad jurídica y solidaridad. Respecto a la seguridad jurídica, es un valor moral pues </w:t>
      </w:r>
      <w:r w:rsidRPr="00786B7D">
        <w:rPr>
          <w:i/>
          <w:sz w:val="24"/>
          <w:szCs w:val="24"/>
        </w:rPr>
        <w:t>“no es posible el desarrollo moral de un hombre sin la existencia de condiciones seguras…”</w:t>
      </w:r>
      <w:r w:rsidRPr="00786B7D">
        <w:rPr>
          <w:rStyle w:val="Refdenotaalpie"/>
          <w:sz w:val="24"/>
          <w:szCs w:val="24"/>
        </w:rPr>
        <w:footnoteReference w:id="3"/>
      </w:r>
      <w:r w:rsidRPr="00786B7D">
        <w:rPr>
          <w:i/>
          <w:sz w:val="24"/>
          <w:szCs w:val="24"/>
        </w:rPr>
        <w:t xml:space="preserve">. </w:t>
      </w:r>
      <w:r w:rsidRPr="00786B7D">
        <w:rPr>
          <w:sz w:val="24"/>
          <w:szCs w:val="24"/>
        </w:rPr>
        <w:t xml:space="preserve">Este valor se encuentra conectado a la igualdad y la libertad en cuenta  la seguridad potencia la libertad igualitaria en la dimensión de seguridad frente al poder. </w:t>
      </w:r>
    </w:p>
    <w:p w:rsidR="00E45A61" w:rsidRPr="00786B7D" w:rsidRDefault="00E45A61" w:rsidP="00E45A61">
      <w:pPr>
        <w:spacing w:line="360" w:lineRule="auto"/>
        <w:ind w:firstLine="360"/>
        <w:jc w:val="both"/>
        <w:rPr>
          <w:sz w:val="24"/>
          <w:szCs w:val="24"/>
        </w:rPr>
      </w:pPr>
      <w:r w:rsidRPr="00786B7D">
        <w:rPr>
          <w:sz w:val="24"/>
          <w:szCs w:val="24"/>
        </w:rPr>
        <w:t xml:space="preserve">En cuanto al valor solidaridad, su conexión con la igualdad puede entenderse de dos maneras: la primera, la igualdad es un elemento básico para la solidaridad, pues para que una sociedad adquiera este valor y lo que conlleva, es imprescindible que los miembros que componen dicha sociedad se contemplen iguales para dejar a un lado la mentalidad egoísta y dar paso a una mentalidad social o común; segunda, la solidaridad </w:t>
      </w:r>
      <w:r w:rsidRPr="00786B7D">
        <w:rPr>
          <w:i/>
          <w:sz w:val="24"/>
          <w:szCs w:val="24"/>
        </w:rPr>
        <w:t>“conduce a un tipo de comportamientos positivos de los poderes públicos para promover los obstáculos y para promover las condiciones que impidan o dificulten la realidad de la libertad y de la igualdad…”</w:t>
      </w:r>
      <w:r w:rsidRPr="00786B7D">
        <w:rPr>
          <w:sz w:val="24"/>
          <w:szCs w:val="24"/>
        </w:rPr>
        <w:t>.</w:t>
      </w:r>
      <w:r w:rsidRPr="00786B7D">
        <w:rPr>
          <w:rStyle w:val="Refdenotaalpie"/>
          <w:sz w:val="24"/>
          <w:szCs w:val="24"/>
        </w:rPr>
        <w:footnoteReference w:id="4"/>
      </w:r>
      <w:r w:rsidRPr="00786B7D">
        <w:rPr>
          <w:sz w:val="24"/>
          <w:szCs w:val="24"/>
        </w:rPr>
        <w:t xml:space="preserve"> Por tanto, igualdad y solidaridad quedan conectadas por una relación por la que igualdad no se puede entender sin solidaridad, y viceversa.</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bookmarkStart w:id="10" w:name="_Toc486503094"/>
      <w:r w:rsidRPr="00786B7D">
        <w:rPr>
          <w:rFonts w:ascii="Times New Roman" w:hAnsi="Times New Roman"/>
          <w:color w:val="auto"/>
          <w:sz w:val="24"/>
          <w:szCs w:val="24"/>
        </w:rPr>
        <w:t>LA IGUALDAD COMO PRINCIPIO Y DERECHO FUNDAMENTAL.</w:t>
      </w:r>
      <w:bookmarkEnd w:id="10"/>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lastRenderedPageBreak/>
        <w:t xml:space="preserve">La igualdad no es solo valor moral que fundamenta los derechos humanos, sino que tiene otras dimensiones: como derecho fundamental y como principio de nuestro Ordenamiento Jurídico (en adelante, OJ). </w:t>
      </w:r>
    </w:p>
    <w:p w:rsidR="00E45A61" w:rsidRPr="00786B7D" w:rsidRDefault="00E45A61" w:rsidP="00E45A61">
      <w:pPr>
        <w:spacing w:line="360" w:lineRule="auto"/>
        <w:ind w:firstLine="360"/>
        <w:jc w:val="both"/>
        <w:rPr>
          <w:sz w:val="24"/>
          <w:szCs w:val="24"/>
        </w:rPr>
      </w:pPr>
      <w:r w:rsidRPr="00786B7D">
        <w:rPr>
          <w:sz w:val="24"/>
          <w:szCs w:val="24"/>
        </w:rPr>
        <w:t>En cuanto a la igualdad como principio, como el resto de principios que rigen el OJ español es, es un criterio a través del cual se interpretan y aplican las normas jurídicas que lo constituyen. Asimismo, es una fuente de Derecho que compone determinados elementos normativos del Ordenamiento. Este principio se hace realidad por el principio de legalidad, que prohíbe las distinciones arbitrarias en los supuestos en los que las leyes lo establezcan, siendo obligatoria una justificación para cada distinción que se haga.</w:t>
      </w:r>
      <w:r w:rsidRPr="00786B7D">
        <w:rPr>
          <w:rStyle w:val="Refdenotaalpie"/>
          <w:sz w:val="24"/>
          <w:szCs w:val="24"/>
        </w:rPr>
        <w:footnoteReference w:id="5"/>
      </w:r>
    </w:p>
    <w:p w:rsidR="00E45A61" w:rsidRPr="00786B7D" w:rsidRDefault="00E45A61" w:rsidP="00E45A61">
      <w:pPr>
        <w:spacing w:line="360" w:lineRule="auto"/>
        <w:ind w:firstLine="360"/>
        <w:jc w:val="both"/>
        <w:rPr>
          <w:sz w:val="24"/>
          <w:szCs w:val="24"/>
        </w:rPr>
      </w:pPr>
      <w:r w:rsidRPr="00786B7D">
        <w:rPr>
          <w:sz w:val="24"/>
          <w:szCs w:val="24"/>
        </w:rPr>
        <w:t>Los principios y los valores se diferencian en que, estos no especifican los supuestos en que deben aplicarse, ni las consecuencias jurídicas de su aplicación, son directivas generales que orientan, fundamentan y limitan la interpretación y aplicación de las normas del OJ. Mientras que los principios son más específicos en cuanto a determinar en qué circunstancias debe aplicarse y lo que la aplicación del mismo supone. Los principios son directrices sobre la interpretación y aplicación de las normas que componen el OJ, mientras que los valores tratan sobre la interpretación y aplicación de los derechos fundamentales.</w:t>
      </w:r>
      <w:r w:rsidRPr="00786B7D">
        <w:rPr>
          <w:rStyle w:val="Refdenotaalpie"/>
          <w:sz w:val="24"/>
          <w:szCs w:val="24"/>
        </w:rPr>
        <w:footnoteReference w:id="6"/>
      </w:r>
      <w:r w:rsidRPr="00786B7D">
        <w:rPr>
          <w:sz w:val="24"/>
          <w:szCs w:val="24"/>
        </w:rPr>
        <w:t xml:space="preserve">  No obstante, los valores y los principios están relacionados, pues “los valores tienden a concretarse en principios que explicitan su contenido”</w:t>
      </w:r>
      <w:r w:rsidRPr="00786B7D">
        <w:rPr>
          <w:rStyle w:val="Refdenotaalpie"/>
          <w:sz w:val="24"/>
          <w:szCs w:val="24"/>
        </w:rPr>
        <w:footnoteReference w:id="7"/>
      </w:r>
      <w:r w:rsidRPr="00786B7D">
        <w:rPr>
          <w:sz w:val="24"/>
          <w:szCs w:val="24"/>
        </w:rPr>
        <w:t>, los principio, a su vez, se incorporan en disposiciones específicas en las que se tipifican los supuestos de aplicación y las consecuencias jurídicas, con mayor precisión.</w:t>
      </w:r>
    </w:p>
    <w:p w:rsidR="00E45A61" w:rsidRPr="00786B7D" w:rsidRDefault="00E45A61" w:rsidP="00E45A61">
      <w:pPr>
        <w:spacing w:line="360" w:lineRule="auto"/>
        <w:ind w:firstLine="360"/>
        <w:jc w:val="both"/>
        <w:rPr>
          <w:sz w:val="24"/>
          <w:szCs w:val="24"/>
        </w:rPr>
      </w:pPr>
      <w:r w:rsidRPr="00786B7D">
        <w:rPr>
          <w:sz w:val="24"/>
          <w:szCs w:val="24"/>
        </w:rPr>
        <w:t xml:space="preserve">La igualdad como derecho fundamental se reconoce, principalmente, en el artículo 14 de la Constitución Española de 1978 (en adelante CE) como prohibición de discriminación, si bien se reconoce la igualdad como derecho en otros preceptos constitucionales como en el artículo 23.2 CE (establece el derecho de igualdad en el acceso a las funciones y cargos públicos)  o el artículo 31.1 CE (Establece la igualdad y proximidad en la contribución al sostenimiento de los gastos públicos). El mencionado </w:t>
      </w:r>
      <w:r w:rsidRPr="00786B7D">
        <w:rPr>
          <w:sz w:val="24"/>
          <w:szCs w:val="24"/>
        </w:rPr>
        <w:lastRenderedPageBreak/>
        <w:t>artículo 14 CE no solo recoge la igualdad como derecho fundamental, sino que muestra el principio de igualdad formal, y así lo reafirma el TC en el voto de la STC 75/1983 cuando dice:</w:t>
      </w:r>
    </w:p>
    <w:p w:rsidR="00E45A61" w:rsidRPr="00786B7D" w:rsidRDefault="00E45A61" w:rsidP="00E45A61">
      <w:pPr>
        <w:spacing w:line="360" w:lineRule="auto"/>
        <w:ind w:firstLine="360"/>
        <w:jc w:val="both"/>
        <w:rPr>
          <w:i/>
          <w:sz w:val="24"/>
          <w:szCs w:val="24"/>
        </w:rPr>
      </w:pPr>
      <w:r w:rsidRPr="00786B7D">
        <w:rPr>
          <w:i/>
          <w:sz w:val="24"/>
          <w:szCs w:val="24"/>
        </w:rPr>
        <w:t>“a) Un principio general del derecho, de suerte que cualquier excepción a él tiene que ser sometida a una “estricta” interpretación “restrictiva”.</w:t>
      </w:r>
    </w:p>
    <w:p w:rsidR="00E45A61" w:rsidRPr="00786B7D" w:rsidRDefault="00E45A61" w:rsidP="00E45A61">
      <w:pPr>
        <w:spacing w:line="360" w:lineRule="auto"/>
        <w:ind w:firstLine="360"/>
        <w:jc w:val="both"/>
        <w:rPr>
          <w:i/>
          <w:sz w:val="24"/>
          <w:szCs w:val="24"/>
        </w:rPr>
      </w:pPr>
      <w:r w:rsidRPr="00786B7D">
        <w:rPr>
          <w:i/>
          <w:sz w:val="24"/>
          <w:szCs w:val="24"/>
        </w:rPr>
        <w:t>b) Un derecho subjetivo de los ciudadanos que les permite recabar de los Tribunales la tutela y protección para que la igualdad rota sea restablecida; y</w:t>
      </w:r>
    </w:p>
    <w:p w:rsidR="00E45A61" w:rsidRPr="00786B7D" w:rsidRDefault="00E45A61" w:rsidP="00E45A61">
      <w:pPr>
        <w:spacing w:line="360" w:lineRule="auto"/>
        <w:ind w:firstLine="360"/>
        <w:jc w:val="both"/>
        <w:rPr>
          <w:i/>
          <w:sz w:val="24"/>
          <w:szCs w:val="24"/>
        </w:rPr>
      </w:pPr>
      <w:r w:rsidRPr="00786B7D">
        <w:rPr>
          <w:i/>
          <w:sz w:val="24"/>
          <w:szCs w:val="24"/>
        </w:rPr>
        <w:t>c) Una limitación del poder legislativo, que impide que el legislador pueda dictar normas jurídicas introduciendo desigualdades”.</w:t>
      </w:r>
      <w:r w:rsidRPr="00786B7D">
        <w:rPr>
          <w:rStyle w:val="Refdenotaalpie"/>
          <w:i/>
          <w:sz w:val="24"/>
          <w:szCs w:val="24"/>
        </w:rPr>
        <w:footnoteReference w:id="8"/>
      </w:r>
    </w:p>
    <w:p w:rsidR="00E45A61" w:rsidRPr="00786B7D" w:rsidRDefault="00E45A61" w:rsidP="00E45A61">
      <w:pPr>
        <w:spacing w:line="360" w:lineRule="auto"/>
        <w:ind w:firstLine="360"/>
        <w:jc w:val="both"/>
        <w:rPr>
          <w:sz w:val="24"/>
          <w:szCs w:val="24"/>
        </w:rPr>
      </w:pPr>
      <w:r w:rsidRPr="00786B7D">
        <w:rPr>
          <w:sz w:val="24"/>
          <w:szCs w:val="24"/>
        </w:rPr>
        <w:t xml:space="preserve"> Esta doble vertiente de la igualdad, como derecho fundamental y principio general,  que responde a las exigencias de un Estado Social y Democrático de Derecho</w:t>
      </w:r>
      <w:r w:rsidRPr="00786B7D">
        <w:rPr>
          <w:rStyle w:val="Refdenotaalpie"/>
          <w:sz w:val="24"/>
          <w:szCs w:val="24"/>
        </w:rPr>
        <w:footnoteReference w:id="9"/>
      </w:r>
      <w:r w:rsidRPr="00786B7D">
        <w:rPr>
          <w:sz w:val="24"/>
          <w:szCs w:val="24"/>
        </w:rPr>
        <w:t xml:space="preserve">, ha llevado a la doctrina a dividirse: de un lado, aquellos autores que consideran la igualdad como un principio, y de otro, aquellos que la entienden como un derecho fundamental. Esta controversia ha llevado a Pérez Luño a las siguientes consideraciones para aclarar si la igualdad es un derecho principio, un derecho fundamental o ambos: </w:t>
      </w:r>
    </w:p>
    <w:p w:rsidR="00E45A61" w:rsidRPr="00786B7D" w:rsidRDefault="00E45A61" w:rsidP="00E45A61">
      <w:pPr>
        <w:spacing w:line="360" w:lineRule="auto"/>
        <w:ind w:firstLine="360"/>
        <w:jc w:val="both"/>
        <w:rPr>
          <w:i/>
          <w:sz w:val="24"/>
          <w:szCs w:val="24"/>
        </w:rPr>
      </w:pPr>
      <w:r w:rsidRPr="00786B7D">
        <w:rPr>
          <w:i/>
          <w:sz w:val="24"/>
          <w:szCs w:val="24"/>
        </w:rPr>
        <w:t>“2. ª En cuanto principio constitucional, el enunciado en el artículo 14, hace inequívoca referencia a la igualdad formal completando, de este modo, el principio de igualdad material del artículo 9.2 […].</w:t>
      </w:r>
    </w:p>
    <w:p w:rsidR="00E45A61" w:rsidRPr="00786B7D" w:rsidRDefault="00E45A61" w:rsidP="00E45A61">
      <w:pPr>
        <w:spacing w:line="360" w:lineRule="auto"/>
        <w:ind w:firstLine="360"/>
        <w:jc w:val="both"/>
        <w:rPr>
          <w:i/>
          <w:sz w:val="24"/>
          <w:szCs w:val="24"/>
        </w:rPr>
      </w:pPr>
      <w:r w:rsidRPr="00786B7D">
        <w:rPr>
          <w:i/>
          <w:sz w:val="24"/>
          <w:szCs w:val="24"/>
        </w:rPr>
        <w:t>3. ª La condición de derecho fundamental de la igualdad formal […] se comprueba por su inclusión en el Capítulo Segundo (Derechos y Libertades) del Título I (De los derechos y deberes fundamentales) de la Constitución. Así como por su garantía reforzada dispuesta para la tutela de las libertades y derechos reconocidos en el art. 14 […] ante los Tribunales ordinarios por un procedimiento basado en los principios de preferencia y sumariedad y, en su caso, a través del recurso de amparo ante el Tribunal Constitucional (art. 53.2 CE) […].”</w:t>
      </w:r>
      <w:r w:rsidRPr="00786B7D">
        <w:rPr>
          <w:rStyle w:val="Refdenotaalpie"/>
          <w:i/>
          <w:sz w:val="24"/>
          <w:szCs w:val="24"/>
        </w:rPr>
        <w:footnoteReference w:id="10"/>
      </w:r>
    </w:p>
    <w:p w:rsidR="00E45A61" w:rsidRPr="00786B7D" w:rsidRDefault="00E45A61" w:rsidP="00E45A61">
      <w:pPr>
        <w:spacing w:line="360" w:lineRule="auto"/>
        <w:ind w:firstLine="360"/>
        <w:jc w:val="both"/>
        <w:rPr>
          <w:sz w:val="24"/>
          <w:szCs w:val="24"/>
        </w:rPr>
      </w:pPr>
      <w:r w:rsidRPr="00786B7D">
        <w:rPr>
          <w:sz w:val="24"/>
          <w:szCs w:val="24"/>
        </w:rPr>
        <w:t xml:space="preserve">En base al artículo 14 CE no cabe duda de la dimensión de su dimensión como principio de igualdad formal que deben entenderse en conjunción al artículo 9.2 CE, para comprender el principio general de igualdad en sus dos vertientes; de otro lado, afirma que la igualdad es un derecho fundamental debido a la posición privilegiada en la </w:t>
      </w:r>
      <w:r w:rsidRPr="00786B7D">
        <w:rPr>
          <w:sz w:val="24"/>
          <w:szCs w:val="24"/>
        </w:rPr>
        <w:lastRenderedPageBreak/>
        <w:t>que se encuentra en la CE, así como a la protección y garantías especiales que encuentra en la misma.</w:t>
      </w:r>
    </w:p>
    <w:p w:rsidR="00E45A61" w:rsidRPr="00786B7D" w:rsidRDefault="00E45A61" w:rsidP="00E45A61">
      <w:pPr>
        <w:spacing w:line="360" w:lineRule="auto"/>
        <w:ind w:firstLine="360"/>
        <w:jc w:val="both"/>
        <w:rPr>
          <w:sz w:val="24"/>
          <w:szCs w:val="24"/>
        </w:rPr>
      </w:pPr>
      <w:r w:rsidRPr="00786B7D">
        <w:rPr>
          <w:sz w:val="24"/>
          <w:szCs w:val="24"/>
        </w:rPr>
        <w:t>En definitiva, la igualdad tiene distintas dimensiones: a) igualdad como un valor moral; b) igualdad como un principio que rige e inspira nuestro OJ; c) igualdad como un derecho fundamental del OJ.</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bookmarkStart w:id="11" w:name="_Toc486503095"/>
      <w:r w:rsidRPr="00786B7D">
        <w:rPr>
          <w:rFonts w:ascii="Times New Roman" w:hAnsi="Times New Roman"/>
          <w:color w:val="auto"/>
          <w:sz w:val="24"/>
          <w:szCs w:val="24"/>
        </w:rPr>
        <w:t>LA NOCIÓN DE IGUALDAD.</w:t>
      </w:r>
      <w:bookmarkEnd w:id="11"/>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La igualdad tiene una gran influencia en distintos ámbitos como son el social, económico, político o jurídico, es por ello que la noción de igualdad no es absoluta, sino que encontramos una gran disparidad de opiniones en cuanto a su definición, esto es debido a que engloba un conjunto de ideas o valores variados que dependen de las distintas visiones o pensamientos de las personas.</w:t>
      </w:r>
      <w:r w:rsidRPr="00786B7D">
        <w:rPr>
          <w:rStyle w:val="Refdenotaalpie"/>
          <w:sz w:val="24"/>
          <w:szCs w:val="24"/>
        </w:rPr>
        <w:footnoteReference w:id="11"/>
      </w:r>
      <w:r w:rsidRPr="00786B7D">
        <w:rPr>
          <w:sz w:val="24"/>
          <w:szCs w:val="24"/>
        </w:rPr>
        <w:t xml:space="preserve"> Por tanto, la naturaleza de la noción de igualdad es evolutiva y dinámica, por ello es de suma complejidad dar una definición actual de igualdad.</w:t>
      </w:r>
    </w:p>
    <w:p w:rsidR="00E45A61" w:rsidRPr="00786B7D" w:rsidRDefault="00E45A61" w:rsidP="00E45A61">
      <w:pPr>
        <w:spacing w:line="360" w:lineRule="auto"/>
        <w:ind w:firstLine="360"/>
        <w:jc w:val="both"/>
        <w:rPr>
          <w:sz w:val="24"/>
          <w:szCs w:val="24"/>
        </w:rPr>
      </w:pPr>
      <w:r w:rsidRPr="00786B7D">
        <w:rPr>
          <w:sz w:val="24"/>
          <w:szCs w:val="24"/>
        </w:rPr>
        <w:t>Debido a la disparidad de definiciones que dependen de la época, país o ideologías, Pérez Luño establece una definición de igualdad desde el punto de vista de la lógica e indica que igualdad es “</w:t>
      </w:r>
      <w:r w:rsidRPr="00786B7D">
        <w:rPr>
          <w:i/>
          <w:sz w:val="24"/>
          <w:szCs w:val="24"/>
        </w:rPr>
        <w:t>coincidencia o equivalencia parcial entre los diferentes entes</w:t>
      </w:r>
      <w:r w:rsidRPr="00786B7D">
        <w:rPr>
          <w:sz w:val="24"/>
          <w:szCs w:val="24"/>
        </w:rPr>
        <w:t>”</w:t>
      </w:r>
      <w:r w:rsidRPr="00786B7D">
        <w:rPr>
          <w:sz w:val="24"/>
          <w:szCs w:val="24"/>
          <w:vertAlign w:val="superscript"/>
        </w:rPr>
        <w:footnoteReference w:id="12"/>
      </w:r>
      <w:r w:rsidRPr="00786B7D">
        <w:rPr>
          <w:sz w:val="24"/>
          <w:szCs w:val="24"/>
        </w:rPr>
        <w:t xml:space="preserve">. Esta noción lógica de igualdad se compone de tres pilares fundamentales: </w:t>
      </w:r>
    </w:p>
    <w:p w:rsidR="00E45A61" w:rsidRPr="00786B7D" w:rsidRDefault="00E45A61" w:rsidP="00E45A61">
      <w:pPr>
        <w:spacing w:line="360" w:lineRule="auto"/>
        <w:ind w:left="360" w:firstLine="360"/>
        <w:jc w:val="both"/>
        <w:rPr>
          <w:sz w:val="24"/>
          <w:szCs w:val="24"/>
        </w:rPr>
      </w:pPr>
      <w:r w:rsidRPr="00786B7D">
        <w:rPr>
          <w:sz w:val="24"/>
          <w:szCs w:val="24"/>
        </w:rPr>
        <w:t>1)  la pluralidad en relación con los objetos, las situaciones o las personas que han de ser iguales.</w:t>
      </w:r>
    </w:p>
    <w:p w:rsidR="00E45A61" w:rsidRPr="00786B7D" w:rsidRDefault="00E45A61" w:rsidP="00E45A61">
      <w:pPr>
        <w:spacing w:line="360" w:lineRule="auto"/>
        <w:ind w:left="360" w:firstLine="360"/>
        <w:jc w:val="both"/>
        <w:rPr>
          <w:sz w:val="24"/>
          <w:szCs w:val="24"/>
        </w:rPr>
      </w:pPr>
      <w:r w:rsidRPr="00786B7D">
        <w:rPr>
          <w:sz w:val="24"/>
          <w:szCs w:val="24"/>
        </w:rPr>
        <w:t>2) la igualdad en un aspecto relacional, esto es en base a los vínculos dados entre la pluralidad de entes, pues no cabría la igualdad sin una conexión de aquellos entes entre los cuales se quiere establecer la igualdad.</w:t>
      </w:r>
    </w:p>
    <w:p w:rsidR="00E45A61" w:rsidRPr="00786B7D" w:rsidRDefault="00E45A61" w:rsidP="00E45A61">
      <w:pPr>
        <w:spacing w:line="360" w:lineRule="auto"/>
        <w:ind w:left="360" w:firstLine="360"/>
        <w:jc w:val="both"/>
        <w:rPr>
          <w:sz w:val="24"/>
          <w:szCs w:val="24"/>
        </w:rPr>
      </w:pPr>
      <w:r w:rsidRPr="00786B7D">
        <w:rPr>
          <w:sz w:val="24"/>
          <w:szCs w:val="24"/>
        </w:rPr>
        <w:t>3) la comparación de dichos entes, para lo cual debe darse un elemento que determine esa comparación, que conecte a los entes en una misma categoría.</w:t>
      </w:r>
    </w:p>
    <w:p w:rsidR="00E45A61" w:rsidRPr="00786B7D" w:rsidRDefault="00E45A61" w:rsidP="00E45A61">
      <w:pPr>
        <w:spacing w:line="360" w:lineRule="auto"/>
        <w:ind w:firstLine="360"/>
        <w:jc w:val="both"/>
        <w:rPr>
          <w:sz w:val="24"/>
          <w:szCs w:val="24"/>
        </w:rPr>
      </w:pPr>
      <w:r w:rsidRPr="00786B7D">
        <w:rPr>
          <w:sz w:val="24"/>
          <w:szCs w:val="24"/>
        </w:rPr>
        <w:t>El conjunto de estas dimensiones de la igualdad tiene la finalidad de determinar en qué aspectos los entes coinciden y, en consecuencia, en cuales difieren, para concretar la igualdad existente entre ellos.</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bookmarkStart w:id="12" w:name="_Toc486503096"/>
      <w:r w:rsidRPr="00786B7D">
        <w:rPr>
          <w:rFonts w:ascii="Times New Roman" w:hAnsi="Times New Roman"/>
          <w:color w:val="auto"/>
          <w:sz w:val="24"/>
          <w:szCs w:val="24"/>
        </w:rPr>
        <w:lastRenderedPageBreak/>
        <w:t>LOS PRINCIPALES TIPOS DE IGUALDAD.</w:t>
      </w:r>
      <w:bookmarkEnd w:id="12"/>
    </w:p>
    <w:p w:rsidR="00E45A61" w:rsidRPr="00786B7D" w:rsidRDefault="00E45A61" w:rsidP="00E45A61">
      <w:pPr>
        <w:pStyle w:val="Prrafodelista"/>
        <w:spacing w:line="360" w:lineRule="auto"/>
        <w:ind w:left="1211"/>
        <w:jc w:val="both"/>
        <w:rPr>
          <w:b/>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13" w:name="_Toc486503097"/>
      <w:r w:rsidRPr="00786B7D">
        <w:rPr>
          <w:rFonts w:ascii="Times New Roman" w:hAnsi="Times New Roman"/>
          <w:szCs w:val="24"/>
        </w:rPr>
        <w:t>IGUALDAD JURÍDICA: IGUALDAD ANTE LA LEY.</w:t>
      </w:r>
      <w:bookmarkEnd w:id="13"/>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 xml:space="preserve">La igualdad formal, significa </w:t>
      </w:r>
      <w:r w:rsidRPr="00786B7D">
        <w:rPr>
          <w:i/>
          <w:sz w:val="24"/>
          <w:szCs w:val="24"/>
        </w:rPr>
        <w:t xml:space="preserve">“el reconocimiento de un mismo estatuto jurídico para todos los ciudadanos, lo que implica la garantía de la paridad de trato en la legislación y en la aplicación del derecho.” </w:t>
      </w:r>
      <w:r w:rsidRPr="00786B7D">
        <w:rPr>
          <w:rStyle w:val="Refdenotaalpie"/>
          <w:sz w:val="24"/>
          <w:szCs w:val="24"/>
        </w:rPr>
        <w:footnoteReference w:id="13"/>
      </w:r>
    </w:p>
    <w:p w:rsidR="00E45A61" w:rsidRPr="00786B7D" w:rsidRDefault="00E45A61" w:rsidP="00E45A61">
      <w:pPr>
        <w:spacing w:line="360" w:lineRule="auto"/>
        <w:ind w:firstLine="360"/>
        <w:jc w:val="both"/>
        <w:rPr>
          <w:sz w:val="24"/>
          <w:szCs w:val="24"/>
        </w:rPr>
      </w:pPr>
      <w:r w:rsidRPr="00786B7D">
        <w:rPr>
          <w:sz w:val="24"/>
          <w:szCs w:val="24"/>
        </w:rPr>
        <w:t>La Constitución Española, como ya he mencionado, reconoce la igualdad formal en el artículo 14 CE. Este precepto se sitúa en el Capítulo II “Derechos y Libertades”, presidiendo la Sección Primera y Segunda de dicho Capítulo. El artículo 14 CE consta con un contenido doble: de un lado el establecimiento de la igualdad ante la ley, por otro, un mandato de no discriminación. En el primer inciso del artículo 14 se encuentra una clausula general de igualdad de todos los españoles ante la Ley, configurándose como un derecho subjetivo de los ciudadanos, que vincula a los poderes públicos que deben respetarlo, y exige que ante supuestos de hecho iguales las consecuencias jurídicas sean idénticas. No obstante, podrán ser las consecuencias jurídicas diferentes cuando haya una justificación suficiente para esa diferencia, esto es, que esté fundada y sea razonable, como veremos posteriormente.</w:t>
      </w:r>
      <w:r w:rsidRPr="00786B7D">
        <w:rPr>
          <w:rStyle w:val="Refdenotaalpie"/>
          <w:sz w:val="24"/>
          <w:szCs w:val="24"/>
        </w:rPr>
        <w:footnoteReference w:id="14"/>
      </w:r>
      <w:r w:rsidRPr="00786B7D">
        <w:rPr>
          <w:sz w:val="24"/>
          <w:szCs w:val="24"/>
        </w:rPr>
        <w:t xml:space="preserve">Continúa, el artículo 14, con la prohibición de una serie de motivos discriminatorios, aunque no es una lista cerrada de discriminaciones, sino que las expresadas son las más arraigadas, entre las que se encuentra la discriminación por sexo. </w:t>
      </w:r>
    </w:p>
    <w:p w:rsidR="00E45A61" w:rsidRPr="00786B7D" w:rsidRDefault="00E45A61" w:rsidP="00E45A61">
      <w:pPr>
        <w:spacing w:line="360" w:lineRule="auto"/>
        <w:ind w:firstLine="360"/>
        <w:jc w:val="both"/>
        <w:rPr>
          <w:sz w:val="24"/>
          <w:szCs w:val="24"/>
        </w:rPr>
      </w:pPr>
      <w:r w:rsidRPr="00786B7D">
        <w:rPr>
          <w:sz w:val="24"/>
          <w:szCs w:val="24"/>
        </w:rPr>
        <w:t xml:space="preserve">El Tribunal Constitucional (en adelante, TC) confirma esta doble vertiente del artículo 14 cuando dice: </w:t>
      </w:r>
    </w:p>
    <w:p w:rsidR="00E45A61" w:rsidRPr="00786B7D" w:rsidRDefault="00E45A61" w:rsidP="00E45A61">
      <w:pPr>
        <w:spacing w:line="360" w:lineRule="auto"/>
        <w:ind w:firstLine="360"/>
        <w:jc w:val="both"/>
        <w:rPr>
          <w:i/>
          <w:sz w:val="24"/>
          <w:szCs w:val="24"/>
        </w:rPr>
      </w:pPr>
      <w:r w:rsidRPr="00786B7D">
        <w:rPr>
          <w:sz w:val="24"/>
          <w:szCs w:val="24"/>
        </w:rPr>
        <w:t>“</w:t>
      </w:r>
      <w:r w:rsidRPr="00786B7D">
        <w:rPr>
          <w:i/>
          <w:sz w:val="24"/>
          <w:szCs w:val="24"/>
        </w:rPr>
        <w:t xml:space="preserve">El principio de igualdad que garantiza la Constitución opera en dos planos distintos. De una parte, frente al legislador o frente al poder reglamentario, impidiendo que uno u otro puedan configurar los supuestos de hecho de la norma de modo tal que se dé trato distinto a personas que, desde todos los puntos de vista legítimamente adoptables se encuentren en la misma situación jurídica a circunstancias que, o bien no pueden ser tomadas nunca en consideración por prohibirlo así expresamente la propia </w:t>
      </w:r>
      <w:r w:rsidRPr="00786B7D">
        <w:rPr>
          <w:i/>
          <w:sz w:val="24"/>
          <w:szCs w:val="24"/>
        </w:rPr>
        <w:lastRenderedPageBreak/>
        <w:t>Constitución, o bien no guardan relación alguna con el sentido de la regulación que, al incluirlas, incurre en arbitrariedad y es por eso discriminatoria.</w:t>
      </w:r>
    </w:p>
    <w:p w:rsidR="00E45A61" w:rsidRPr="00786B7D" w:rsidRDefault="00E45A61" w:rsidP="00E45A61">
      <w:pPr>
        <w:spacing w:line="360" w:lineRule="auto"/>
        <w:ind w:firstLine="360"/>
        <w:jc w:val="both"/>
        <w:rPr>
          <w:sz w:val="24"/>
          <w:szCs w:val="24"/>
        </w:rPr>
      </w:pPr>
      <w:r w:rsidRPr="00786B7D">
        <w:rPr>
          <w:i/>
          <w:sz w:val="24"/>
          <w:szCs w:val="24"/>
        </w:rPr>
        <w:t>En otro plano, en el de la aplicación, la igualdad ante la ley obliga a que ésta sea aplicada de modo igual a todos aquellos que se encuentran en la misma situación, sin que el aplicar pueda establecer diferencia alguna en razón de las personas, o de circunstancias que no sean precisamente las presentes en la norma.”</w:t>
      </w:r>
      <w:r w:rsidRPr="00786B7D">
        <w:rPr>
          <w:sz w:val="24"/>
          <w:szCs w:val="24"/>
        </w:rPr>
        <w:t>.</w:t>
      </w:r>
      <w:r w:rsidRPr="00786B7D">
        <w:rPr>
          <w:rStyle w:val="Refdenotaalpie"/>
          <w:sz w:val="24"/>
          <w:szCs w:val="24"/>
        </w:rPr>
        <w:footnoteReference w:id="15"/>
      </w:r>
    </w:p>
    <w:p w:rsidR="00E45A61" w:rsidRPr="00786B7D" w:rsidRDefault="00E45A61" w:rsidP="00E45A61">
      <w:pPr>
        <w:spacing w:line="360" w:lineRule="auto"/>
        <w:ind w:firstLine="360"/>
        <w:jc w:val="both"/>
        <w:rPr>
          <w:sz w:val="24"/>
          <w:szCs w:val="24"/>
        </w:rPr>
      </w:pPr>
      <w:r w:rsidRPr="00786B7D">
        <w:rPr>
          <w:sz w:val="24"/>
          <w:szCs w:val="24"/>
        </w:rPr>
        <w:t>El TC busca que el ordenamiento jurídico esté libre de discriminaciones en sus normas o preceptos legales, por ello, obliga a los poderes públicos, pero especialmente al legislador, a que garanticen un trato igual de los ciudadanos, prohibiéndole la creación de normas discriminatorias. No obstante, se han establecido criterios de acuerdo a los cuales actuará el legislador para establecer una norma en términos de equiparación o diferenciación, es decir, criterios que justifican el trato igual o desigual de una norma.</w:t>
      </w:r>
      <w:r w:rsidRPr="00786B7D">
        <w:rPr>
          <w:rStyle w:val="Refdenotaalpie"/>
          <w:sz w:val="24"/>
          <w:szCs w:val="24"/>
        </w:rPr>
        <w:footnoteReference w:id="16"/>
      </w:r>
      <w:r w:rsidRPr="00786B7D">
        <w:rPr>
          <w:sz w:val="24"/>
          <w:szCs w:val="24"/>
        </w:rPr>
        <w:t>Se observa, por tanto, que la igualdad formal tiene distintas dimensiones:</w:t>
      </w:r>
    </w:p>
    <w:p w:rsidR="00E45A61" w:rsidRPr="00786B7D" w:rsidRDefault="00E45A61" w:rsidP="00E45A61">
      <w:pPr>
        <w:pStyle w:val="Prrafodelista"/>
        <w:numPr>
          <w:ilvl w:val="0"/>
          <w:numId w:val="2"/>
        </w:numPr>
        <w:spacing w:after="160" w:line="360" w:lineRule="auto"/>
        <w:jc w:val="both"/>
        <w:rPr>
          <w:sz w:val="24"/>
          <w:szCs w:val="24"/>
        </w:rPr>
      </w:pPr>
      <w:r w:rsidRPr="00786B7D">
        <w:rPr>
          <w:sz w:val="24"/>
          <w:szCs w:val="24"/>
        </w:rPr>
        <w:t>La igualdad como generalización o igualdad como exigencia de generalidad es la creación de normas jurídicas dirigidas a la generalidad de los ciudadanos y no a un grupo determinado de ciudadanos como un privilegio a los mismos. Consiste en asegurar que todos los ciudadanos se someten de igual forma al ordenamiento y, en consecuencia, también a la misma protección, pues todos ellos serán titulares de los mismos derechos, lo cual tiene repercusión al momento de aplicar o ejecutar la Ley o normas.</w:t>
      </w:r>
      <w:r w:rsidRPr="00786B7D">
        <w:rPr>
          <w:rStyle w:val="Refdenotaalpie"/>
          <w:sz w:val="24"/>
          <w:szCs w:val="24"/>
        </w:rPr>
        <w:footnoteReference w:id="17"/>
      </w:r>
    </w:p>
    <w:p w:rsidR="00E45A61" w:rsidRPr="00786B7D" w:rsidRDefault="00E45A61" w:rsidP="00E45A61">
      <w:pPr>
        <w:pStyle w:val="Prrafodelista"/>
        <w:spacing w:line="360" w:lineRule="auto"/>
        <w:jc w:val="both"/>
        <w:rPr>
          <w:sz w:val="24"/>
          <w:szCs w:val="24"/>
        </w:rPr>
      </w:pPr>
    </w:p>
    <w:p w:rsidR="00E45A61" w:rsidRPr="00786B7D" w:rsidRDefault="00E45A61" w:rsidP="00E45A61">
      <w:pPr>
        <w:pStyle w:val="Prrafodelista"/>
        <w:numPr>
          <w:ilvl w:val="0"/>
          <w:numId w:val="2"/>
        </w:numPr>
        <w:spacing w:after="160" w:line="360" w:lineRule="auto"/>
        <w:jc w:val="both"/>
        <w:rPr>
          <w:sz w:val="24"/>
          <w:szCs w:val="24"/>
        </w:rPr>
      </w:pPr>
      <w:r w:rsidRPr="00786B7D">
        <w:rPr>
          <w:sz w:val="24"/>
          <w:szCs w:val="24"/>
        </w:rPr>
        <w:t>La igualdad de procedimiento es aquella que establece un procedimiento igual y general para todos los ciudadanos, basado en normas o reglas objetivas para resolver los conflictos.</w:t>
      </w:r>
      <w:r w:rsidRPr="00786B7D">
        <w:rPr>
          <w:rStyle w:val="Refdenotaalpie"/>
          <w:sz w:val="24"/>
          <w:szCs w:val="24"/>
        </w:rPr>
        <w:footnoteReference w:id="18"/>
      </w:r>
      <w:r w:rsidRPr="00786B7D">
        <w:rPr>
          <w:sz w:val="24"/>
          <w:szCs w:val="24"/>
        </w:rPr>
        <w:t xml:space="preserve"> Esto es una garantía que implica que los ciudadanos se encuentran sometidos a un mismo procedimiento y, por tanto, que su posición será la misma, así como que los tribunales aplicaran la legislación según unos criterios preestablecidos. Todo ello conlleva que el procedimiento sea neutro y </w:t>
      </w:r>
      <w:r w:rsidRPr="00786B7D">
        <w:rPr>
          <w:sz w:val="24"/>
          <w:szCs w:val="24"/>
        </w:rPr>
        <w:lastRenderedPageBreak/>
        <w:t>se rija conforme a normas propias y, que los ciudadanos sean tratados como iguales ante los tribunales, exista o no igualdad material entre los mismos.</w:t>
      </w:r>
      <w:r w:rsidRPr="00786B7D">
        <w:rPr>
          <w:rStyle w:val="Refdenotaalpie"/>
          <w:sz w:val="24"/>
          <w:szCs w:val="24"/>
        </w:rPr>
        <w:footnoteReference w:id="19"/>
      </w:r>
    </w:p>
    <w:p w:rsidR="00E45A61" w:rsidRPr="00786B7D" w:rsidRDefault="00E45A61" w:rsidP="00E45A61">
      <w:pPr>
        <w:pStyle w:val="Prrafodelista"/>
        <w:spacing w:line="360" w:lineRule="auto"/>
        <w:jc w:val="both"/>
        <w:rPr>
          <w:sz w:val="24"/>
          <w:szCs w:val="24"/>
        </w:rPr>
      </w:pPr>
    </w:p>
    <w:p w:rsidR="00E45A61" w:rsidRPr="00786B7D" w:rsidRDefault="00E45A61" w:rsidP="00E45A61">
      <w:pPr>
        <w:pStyle w:val="Prrafodelista"/>
        <w:spacing w:line="360" w:lineRule="auto"/>
        <w:jc w:val="both"/>
        <w:rPr>
          <w:sz w:val="24"/>
          <w:szCs w:val="24"/>
        </w:rPr>
      </w:pPr>
    </w:p>
    <w:p w:rsidR="00E45A61" w:rsidRPr="00786B7D" w:rsidRDefault="00E45A61" w:rsidP="00E45A61">
      <w:pPr>
        <w:pStyle w:val="Prrafodelista"/>
        <w:numPr>
          <w:ilvl w:val="0"/>
          <w:numId w:val="2"/>
        </w:numPr>
        <w:spacing w:after="160" w:line="360" w:lineRule="auto"/>
        <w:jc w:val="both"/>
        <w:rPr>
          <w:sz w:val="24"/>
          <w:szCs w:val="24"/>
        </w:rPr>
      </w:pPr>
      <w:r w:rsidRPr="00786B7D">
        <w:rPr>
          <w:sz w:val="24"/>
          <w:szCs w:val="24"/>
        </w:rPr>
        <w:t>La igualdad como exigencia de diferenciación, es la dimensión de igualdad que supone un trato diferente en supuestos semejantes, siempre basada esta diferenciación en criterios que impiden que se de discriminación o arbitrariedad. Esta dimensión de la igualdad formal incluye el hecho de entender la igualdad formal como dinámica y no como algo estático que conlleva a la identidad de trato.</w:t>
      </w:r>
      <w:r w:rsidRPr="00786B7D">
        <w:rPr>
          <w:rStyle w:val="Refdenotaalpie"/>
          <w:sz w:val="24"/>
          <w:szCs w:val="24"/>
        </w:rPr>
        <w:footnoteReference w:id="20"/>
      </w:r>
      <w:r w:rsidRPr="00786B7D">
        <w:rPr>
          <w:sz w:val="24"/>
          <w:szCs w:val="24"/>
        </w:rPr>
        <w:t xml:space="preserve"> La consecuencia es la posibilidad de creación de normas jurídicas generales en las que pueden haber desigualdades que tengan como finalidad ayudar a las personas desfavorecidas, fundamentándose en el principio de igualdad social.</w:t>
      </w:r>
      <w:r w:rsidRPr="00786B7D">
        <w:rPr>
          <w:rStyle w:val="Refdenotaalpie"/>
          <w:sz w:val="24"/>
          <w:szCs w:val="24"/>
        </w:rPr>
        <w:footnoteReference w:id="21"/>
      </w:r>
    </w:p>
    <w:p w:rsidR="00E45A61" w:rsidRPr="00786B7D" w:rsidRDefault="00E45A61" w:rsidP="00E45A61">
      <w:pPr>
        <w:pStyle w:val="Prrafodelista"/>
        <w:spacing w:line="360" w:lineRule="auto"/>
        <w:jc w:val="both"/>
        <w:rPr>
          <w:sz w:val="24"/>
          <w:szCs w:val="24"/>
        </w:rPr>
      </w:pPr>
    </w:p>
    <w:p w:rsidR="00E45A61" w:rsidRPr="00786B7D" w:rsidRDefault="00E45A61" w:rsidP="00E45A61">
      <w:pPr>
        <w:pStyle w:val="Prrafodelista"/>
        <w:numPr>
          <w:ilvl w:val="0"/>
          <w:numId w:val="2"/>
        </w:numPr>
        <w:spacing w:after="160" w:line="360" w:lineRule="auto"/>
        <w:jc w:val="both"/>
        <w:rPr>
          <w:sz w:val="24"/>
          <w:szCs w:val="24"/>
        </w:rPr>
      </w:pPr>
      <w:r w:rsidRPr="00786B7D">
        <w:rPr>
          <w:sz w:val="24"/>
          <w:szCs w:val="24"/>
        </w:rPr>
        <w:t>La igualdad ante la ley como exigencia de equiparación, establece un tratamiento igual ante circunstancias no similares, cuando estas circunstancias no sean relevantes. Esto se determina a través de criterios de valoración por los cuales se estudian y concretan en qué casos las situaciones son iguales dentro de las diferencias que entre ellas se puedan dar.</w:t>
      </w:r>
      <w:r w:rsidRPr="00786B7D">
        <w:rPr>
          <w:rStyle w:val="Refdenotaalpie"/>
          <w:sz w:val="24"/>
          <w:szCs w:val="24"/>
        </w:rPr>
        <w:footnoteReference w:id="22"/>
      </w:r>
      <w:r w:rsidRPr="00786B7D">
        <w:rPr>
          <w:sz w:val="24"/>
          <w:szCs w:val="24"/>
        </w:rPr>
        <w:t xml:space="preserve"> Este es el caso en el que las características o elementos personales no suponen una justificación para el trato desigual. En este caso es irrelevante para la aplicación de la norma circunstancias como la raza, el sexo o la religión de los sujetos a los que va dirigida la norma. Se producirá la vulneración del principio de igualdad cuando se produce un tratamiento diferenciado en dos situaciones consideradas iguales y no exista una justificación razonable para esa diferencia de trato. </w:t>
      </w:r>
    </w:p>
    <w:p w:rsidR="00E45A61" w:rsidRPr="00786B7D" w:rsidRDefault="00E45A61" w:rsidP="00E45A61">
      <w:pPr>
        <w:spacing w:line="360" w:lineRule="auto"/>
        <w:ind w:left="720"/>
        <w:jc w:val="both"/>
        <w:rPr>
          <w:sz w:val="24"/>
          <w:szCs w:val="24"/>
        </w:rPr>
      </w:pPr>
      <w:r w:rsidRPr="00786B7D">
        <w:rPr>
          <w:sz w:val="24"/>
          <w:szCs w:val="24"/>
        </w:rPr>
        <w:t xml:space="preserve">Estos dos últimos principios o dimensiones de igualdad, como equiparación y como diferenciación, son complementarios; no obstante, en determinados casos se sacrifica la igualdad de trato formal como equiparación y prevalece la igualdad de trato como diferenciación, es así para conseguir la igualdad material </w:t>
      </w:r>
      <w:r w:rsidRPr="00786B7D">
        <w:rPr>
          <w:sz w:val="24"/>
          <w:szCs w:val="24"/>
        </w:rPr>
        <w:lastRenderedPageBreak/>
        <w:t xml:space="preserve">o real de ciertos grupos sociales, lo cual se alcanza a través de este tipo y no de aquél. </w:t>
      </w:r>
    </w:p>
    <w:p w:rsidR="00E45A61" w:rsidRPr="00786B7D" w:rsidRDefault="00E45A61" w:rsidP="00E45A61">
      <w:pPr>
        <w:spacing w:line="360" w:lineRule="auto"/>
        <w:ind w:firstLine="360"/>
        <w:jc w:val="both"/>
        <w:rPr>
          <w:sz w:val="24"/>
          <w:szCs w:val="24"/>
        </w:rPr>
      </w:pPr>
      <w:r w:rsidRPr="00786B7D">
        <w:rPr>
          <w:sz w:val="24"/>
          <w:szCs w:val="24"/>
        </w:rPr>
        <w:t>En lo referente al mandato de no discriminación, la doctrina ha especificado que son rasgos distintivos de la discriminación: la diferencia de trato frente a la norma, cuando exista un elemento perjudicial para el discriminado que produzca una privación del reconocimiento, goce o ejercicio de derechos al mismo y que esto tenga como resultado un perjuicio en los intereses del discriminado.</w:t>
      </w:r>
      <w:r w:rsidRPr="00786B7D">
        <w:rPr>
          <w:rStyle w:val="Refdenotaalpie"/>
          <w:sz w:val="24"/>
          <w:szCs w:val="24"/>
        </w:rPr>
        <w:footnoteReference w:id="23"/>
      </w:r>
    </w:p>
    <w:p w:rsidR="00E45A61" w:rsidRPr="00786B7D" w:rsidRDefault="00E45A61" w:rsidP="00E45A61">
      <w:pPr>
        <w:spacing w:line="360" w:lineRule="auto"/>
        <w:ind w:firstLine="360"/>
        <w:jc w:val="both"/>
        <w:rPr>
          <w:sz w:val="24"/>
          <w:szCs w:val="24"/>
        </w:rPr>
      </w:pPr>
      <w:r w:rsidRPr="00786B7D">
        <w:rPr>
          <w:sz w:val="24"/>
          <w:szCs w:val="24"/>
        </w:rPr>
        <w:t>El artículo 14 CE que constituye el principio de igualdad formal, debe completarse con otros preceptos constitucionales tales como los artículos 53.1 CE y 1.1 CE:</w:t>
      </w:r>
    </w:p>
    <w:p w:rsidR="00E45A61" w:rsidRPr="00786B7D" w:rsidRDefault="00E45A61" w:rsidP="00E45A61">
      <w:pPr>
        <w:pStyle w:val="Prrafodelista"/>
        <w:numPr>
          <w:ilvl w:val="0"/>
          <w:numId w:val="3"/>
        </w:numPr>
        <w:spacing w:after="160" w:line="360" w:lineRule="auto"/>
        <w:jc w:val="both"/>
        <w:rPr>
          <w:sz w:val="24"/>
          <w:szCs w:val="24"/>
        </w:rPr>
      </w:pPr>
      <w:r w:rsidRPr="00786B7D">
        <w:rPr>
          <w:sz w:val="24"/>
          <w:szCs w:val="24"/>
        </w:rPr>
        <w:t>El artículo 53. 1 CE señala que los derechos y libertades reconocidos en el Capítulo segundo del Título Primero, en el cual se encuentra el principio de igualdad, vinculan a todos los poderes públicos, de manera positiva y negativa. Esto supone un límite al  ejercicio de los poderes públicos que en su actuación deben respetar el principio de igualdad. Son, estos derechos, de aplicación inmediata y generan derechos subjetivos y recae sobre ellos, sobre ellos una reserva de ley.</w:t>
      </w:r>
      <w:r w:rsidRPr="00786B7D">
        <w:rPr>
          <w:rStyle w:val="Refdenotaalpie"/>
          <w:sz w:val="24"/>
          <w:szCs w:val="24"/>
        </w:rPr>
        <w:footnoteReference w:id="24"/>
      </w:r>
      <w:r w:rsidRPr="00786B7D">
        <w:rPr>
          <w:sz w:val="24"/>
          <w:szCs w:val="24"/>
        </w:rPr>
        <w:t xml:space="preserve"> La igualdad como principio supone un límite y una obligación a los Poderes Públicos y como derecho, es un derecho fundamental con máxima garantía.</w:t>
      </w:r>
    </w:p>
    <w:p w:rsidR="00E45A61" w:rsidRPr="00786B7D" w:rsidRDefault="00E45A61" w:rsidP="00E45A61">
      <w:pPr>
        <w:pStyle w:val="Prrafodelista"/>
        <w:numPr>
          <w:ilvl w:val="0"/>
          <w:numId w:val="3"/>
        </w:numPr>
        <w:spacing w:after="160" w:line="360" w:lineRule="auto"/>
        <w:jc w:val="both"/>
        <w:rPr>
          <w:sz w:val="24"/>
          <w:szCs w:val="24"/>
        </w:rPr>
      </w:pPr>
      <w:r w:rsidRPr="00786B7D">
        <w:rPr>
          <w:sz w:val="24"/>
          <w:szCs w:val="24"/>
        </w:rPr>
        <w:t xml:space="preserve">El artículo 1.1 CE, reconoce la igualdad como un valor jurídico o constitucional, esto significa que la igualdad es un criterio informador no solo de la Constitución sino de todo el OJ español. Los valores constitucionales, no deben entenderse como meras declaraciones con carácter programático, ya que estos constituyen </w:t>
      </w:r>
      <w:r w:rsidRPr="00786B7D">
        <w:rPr>
          <w:i/>
          <w:sz w:val="24"/>
          <w:szCs w:val="24"/>
        </w:rPr>
        <w:t>“la base entera del ordenamiento, la que ha de prestar a este un sentido propio, la que ha de presidir, por tanto, toda su interpretación y aplicación”.</w:t>
      </w:r>
      <w:r w:rsidRPr="00786B7D">
        <w:rPr>
          <w:rStyle w:val="Refdenotaalpie"/>
          <w:i/>
          <w:sz w:val="24"/>
          <w:szCs w:val="24"/>
        </w:rPr>
        <w:footnoteReference w:id="25"/>
      </w:r>
      <w:r w:rsidRPr="00786B7D">
        <w:rPr>
          <w:sz w:val="24"/>
          <w:szCs w:val="24"/>
        </w:rPr>
        <w:t xml:space="preserve"> Se constata el carácter normativo de los valores superiores con las normas constitucionales inconstitucionales, esto es, son inconstitucionales las normas constitucionales cuando contradigan el sentido de los valores superiores; también es muestra de su normatividad la protección reforzada en cuanto a los requisitos de la reforma constitucional y por la posibilidad de interponer recurso </w:t>
      </w:r>
      <w:r w:rsidRPr="00786B7D">
        <w:rPr>
          <w:sz w:val="24"/>
          <w:szCs w:val="24"/>
        </w:rPr>
        <w:lastRenderedPageBreak/>
        <w:t>de inconstitucionalidad por la infracción de los dichos valores.</w:t>
      </w:r>
      <w:r w:rsidRPr="00786B7D">
        <w:rPr>
          <w:rStyle w:val="Refdenotaalpie"/>
          <w:sz w:val="24"/>
          <w:szCs w:val="24"/>
        </w:rPr>
        <w:footnoteReference w:id="26"/>
      </w:r>
      <w:r w:rsidRPr="00786B7D">
        <w:rPr>
          <w:sz w:val="24"/>
          <w:szCs w:val="24"/>
        </w:rPr>
        <w:t xml:space="preserve"> Por tanto, la igualdad como valor superior o constitucional, tiene una triple dimensión: la primera, fundamenta el conjunto de disposiciones constitucionales y del ordenamiento jurídico; segundo, orienta el ordenamiento jurídico, y político, hacia unos determinados fines, que hace que cualquier disposición normativa contraria o que dificulte la consecución de esos fines sea ilegítima; tercero, es un criterio de valoración de hechos y conductas, para conocer la conformidad o disconformidad del resto de normas del ordenamiento jurídico a los valores constitucionales.</w:t>
      </w:r>
      <w:r w:rsidRPr="00786B7D">
        <w:rPr>
          <w:rStyle w:val="Refdenotaalpie"/>
          <w:sz w:val="24"/>
          <w:szCs w:val="24"/>
        </w:rPr>
        <w:footnoteReference w:id="27"/>
      </w:r>
    </w:p>
    <w:p w:rsidR="00E45A61" w:rsidRPr="00786B7D" w:rsidRDefault="00E45A61" w:rsidP="00E45A61">
      <w:pPr>
        <w:spacing w:line="360" w:lineRule="auto"/>
        <w:ind w:firstLine="360"/>
        <w:jc w:val="both"/>
        <w:rPr>
          <w:sz w:val="24"/>
          <w:szCs w:val="24"/>
        </w:rPr>
      </w:pPr>
      <w:r w:rsidRPr="00786B7D">
        <w:rPr>
          <w:sz w:val="24"/>
          <w:szCs w:val="24"/>
        </w:rPr>
        <w:t xml:space="preserve">Los anteriores artículos mencionados, en conjunción, completan la dimensión de igualdad formal, quedando establecida como un principio, un derecho fundamental y un valor superior del OJ, con las garantías que ello supone, conforme a lo indicado en la CE. </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14" w:name="_Toc486503098"/>
      <w:r w:rsidRPr="00786B7D">
        <w:rPr>
          <w:rFonts w:ascii="Times New Roman" w:hAnsi="Times New Roman"/>
          <w:szCs w:val="24"/>
        </w:rPr>
        <w:t>IGUALDAD MATERIAL.</w:t>
      </w:r>
      <w:bookmarkEnd w:id="14"/>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La igualdad material es un signo característico del Estado Social y Democrático de Derecho que sitúa la igualdad, ya no en el ámbito jurídico, sino en el ámbito real, entrando en valoración circunstancias como la económica o la social.</w:t>
      </w:r>
      <w:r w:rsidRPr="00786B7D">
        <w:rPr>
          <w:rStyle w:val="Refdenotaalpie"/>
          <w:sz w:val="24"/>
          <w:szCs w:val="24"/>
        </w:rPr>
        <w:footnoteReference w:id="28"/>
      </w:r>
      <w:r w:rsidRPr="00786B7D">
        <w:rPr>
          <w:sz w:val="24"/>
          <w:szCs w:val="24"/>
        </w:rPr>
        <w:t xml:space="preserve"> La igualdad material no entiende las normas o leyes desde el punto de vista sólo de la justicia, sino también procurando la eficacia de las mismas en su aplicación. Esta igualdad es la que pretende que la igualdad formal llegue a ser una igualdad fáctica o de hecho. La CE atribuye a los poderes públicos, en el artículo 9.2, el deber de impulsar las medidas necesarias para que la igualdad formal, pase a ser una igualdad real y efectiva, pues un Estado Social no puede conformarse con asegurar la igualdad formal de los ciudadanos, sino que es necesario dotar de eficacia la igualdad que se muestra en las normas, cambiando las circunstancias sociales, si fuera necesario para ello.</w:t>
      </w:r>
    </w:p>
    <w:p w:rsidR="00E45A61" w:rsidRPr="00786B7D" w:rsidRDefault="00E45A61" w:rsidP="00E45A61">
      <w:pPr>
        <w:spacing w:line="360" w:lineRule="auto"/>
        <w:ind w:firstLine="360"/>
        <w:jc w:val="both"/>
        <w:rPr>
          <w:sz w:val="24"/>
          <w:szCs w:val="24"/>
        </w:rPr>
      </w:pPr>
      <w:r w:rsidRPr="00786B7D">
        <w:rPr>
          <w:sz w:val="24"/>
          <w:szCs w:val="24"/>
        </w:rPr>
        <w:lastRenderedPageBreak/>
        <w:t>Los dos tipos de igualdad, formal y material, no son alternativos, sino que deben entenderse unidos para que exista una igualdad plena. Esta concepción de igualdad material-formal es aquella en la que la igualdad jurídica no se ve apartada de las distintas circunstancias sociales, económicas o políticas, del mismo modo que la igualdad material no se puede desprender de las formalidades que constituyen garantías para los ciudadanos.</w:t>
      </w:r>
      <w:r w:rsidRPr="00786B7D">
        <w:rPr>
          <w:rStyle w:val="Refdenotaalpie"/>
          <w:sz w:val="24"/>
          <w:szCs w:val="24"/>
        </w:rPr>
        <w:footnoteReference w:id="29"/>
      </w:r>
    </w:p>
    <w:p w:rsidR="00E45A61" w:rsidRPr="00786B7D" w:rsidRDefault="00E45A61" w:rsidP="00E45A61">
      <w:pPr>
        <w:spacing w:line="360" w:lineRule="auto"/>
        <w:ind w:firstLine="360"/>
        <w:jc w:val="both"/>
        <w:rPr>
          <w:sz w:val="24"/>
          <w:szCs w:val="24"/>
        </w:rPr>
      </w:pPr>
      <w:r w:rsidRPr="00786B7D">
        <w:rPr>
          <w:sz w:val="24"/>
          <w:szCs w:val="24"/>
        </w:rPr>
        <w:t>La igualdad material puede entenderse como la igualdad formal práctica que debe llevarse a cabo por los poderes públicos, establecida constitucionalmente. Para conseguir la igualdad real uno de los métodos utilizados es el de la diferenciación positiva, concretándose los casos en los que resulta admisible el trato desigual de los sujetos, a través de un examen previo que fundamente la desigualdad en cada caso concreto. Resulta claro que la igualdad formal es la base de la igualdad real,</w:t>
      </w:r>
      <w:r w:rsidRPr="00786B7D">
        <w:rPr>
          <w:rStyle w:val="Refdenotaalpie"/>
          <w:sz w:val="24"/>
          <w:szCs w:val="24"/>
        </w:rPr>
        <w:footnoteReference w:id="30"/>
      </w:r>
      <w:r w:rsidRPr="00786B7D">
        <w:rPr>
          <w:sz w:val="24"/>
          <w:szCs w:val="24"/>
        </w:rPr>
        <w:t>es por ello, que sin una buena base formal, no podrá lograrse la igualdad real. En el caso de nuestro ordenamiento jurídico, comenzando por la Constitución, esta no contiene ninguna perspectiva de género, posiblemente por el contexto en el que nació y por la mínima participación e influencia de mujeres en su creación.</w:t>
      </w:r>
      <w:r w:rsidRPr="00786B7D">
        <w:rPr>
          <w:rStyle w:val="Refdenotaalpie"/>
          <w:sz w:val="24"/>
          <w:szCs w:val="24"/>
        </w:rPr>
        <w:footnoteReference w:id="31"/>
      </w:r>
      <w:r w:rsidRPr="00786B7D">
        <w:rPr>
          <w:sz w:val="24"/>
          <w:szCs w:val="24"/>
        </w:rPr>
        <w:t xml:space="preserve"> Asimismo, la Constitución se desarrolla con un lenguaje neutral, de tal modo que en reducidas ocasiones se hace mención expresa a las mujeres y, cuando así ocurre, se hace para igualarla a los hombres.</w:t>
      </w:r>
      <w:r w:rsidRPr="00786B7D">
        <w:rPr>
          <w:rStyle w:val="Refdenotaalpie"/>
          <w:sz w:val="24"/>
          <w:szCs w:val="24"/>
        </w:rPr>
        <w:footnoteReference w:id="32"/>
      </w:r>
      <w:r w:rsidRPr="00786B7D">
        <w:rPr>
          <w:sz w:val="24"/>
          <w:szCs w:val="24"/>
        </w:rPr>
        <w:t xml:space="preserve"> Todo ello desemboca en que </w:t>
      </w:r>
      <w:r w:rsidRPr="00786B7D">
        <w:rPr>
          <w:i/>
          <w:sz w:val="24"/>
          <w:szCs w:val="24"/>
        </w:rPr>
        <w:t>“La Constitución de 1978 no atiende a las necesidades y experiencias de las mujeres, no reconoce ciertos derechos específicos o sexuados […], ni derechos que rompan con las estructuras de subordinación y dominación…”.</w:t>
      </w:r>
      <w:r w:rsidRPr="00786B7D">
        <w:rPr>
          <w:rStyle w:val="Refdenotaalpie"/>
          <w:i/>
          <w:sz w:val="24"/>
          <w:szCs w:val="24"/>
        </w:rPr>
        <w:footnoteReference w:id="33"/>
      </w:r>
      <w:r w:rsidRPr="00786B7D">
        <w:rPr>
          <w:sz w:val="24"/>
          <w:szCs w:val="24"/>
        </w:rPr>
        <w:t xml:space="preserve"> Todo esto, en el caso particular de la igualdad, desemboca en su formulación, aplicación e interpretación en el sentido tradicional, a pesar de ser la igualdad un tipo de discriminación distinta a las demás. Muestra de ello es que en el artículo 14 CE la igualdad esté definida en términos neutrales y, que el artículo 9.2 CE no establezca la obligación al legislador de llevar a cabo políticas de </w:t>
      </w:r>
      <w:r w:rsidRPr="00786B7D">
        <w:rPr>
          <w:sz w:val="24"/>
          <w:szCs w:val="24"/>
        </w:rPr>
        <w:lastRenderedPageBreak/>
        <w:t xml:space="preserve">igualdad para que esta sea efectiva, sino la posibilidad, por lo que no puede exigirse su cumplimiento. </w:t>
      </w:r>
    </w:p>
    <w:p w:rsidR="00E45A61" w:rsidRPr="00786B7D" w:rsidRDefault="00E45A61" w:rsidP="00E45A61">
      <w:pPr>
        <w:spacing w:line="360" w:lineRule="auto"/>
        <w:ind w:firstLine="360"/>
        <w:jc w:val="both"/>
        <w:rPr>
          <w:sz w:val="24"/>
          <w:szCs w:val="24"/>
        </w:rPr>
      </w:pPr>
      <w:r w:rsidRPr="00786B7D">
        <w:rPr>
          <w:sz w:val="24"/>
          <w:szCs w:val="24"/>
        </w:rPr>
        <w:t>Como consecuencia de la neutralidad constitucional y la ausencia de perspectiva de género, la situación de las mujeres depende de las decisiones políticas y económicas, lo cual da lugar a que la igualdad se convierta en una fuente de conflictos que debe resolver el Tribunal Constitucional, con el riesgo interpretativo que supone.</w:t>
      </w:r>
      <w:r w:rsidRPr="00786B7D">
        <w:rPr>
          <w:rStyle w:val="Refdenotaalpie"/>
          <w:sz w:val="24"/>
          <w:szCs w:val="24"/>
        </w:rPr>
        <w:footnoteReference w:id="34"/>
      </w:r>
      <w:r w:rsidRPr="00786B7D">
        <w:rPr>
          <w:sz w:val="24"/>
          <w:szCs w:val="24"/>
        </w:rPr>
        <w:t xml:space="preserve"> No obstante, el resultado final es no haber alcanzado la igualdad real y efectiva entre mujeres y hombres. </w:t>
      </w:r>
    </w:p>
    <w:p w:rsidR="00E45A61" w:rsidRPr="00786B7D" w:rsidRDefault="00E45A61" w:rsidP="00E45A61">
      <w:pPr>
        <w:spacing w:line="360" w:lineRule="auto"/>
        <w:ind w:firstLine="360"/>
        <w:jc w:val="both"/>
        <w:rPr>
          <w:sz w:val="24"/>
          <w:szCs w:val="24"/>
        </w:rPr>
      </w:pPr>
      <w:r w:rsidRPr="00786B7D">
        <w:rPr>
          <w:sz w:val="24"/>
          <w:szCs w:val="24"/>
        </w:rPr>
        <w:t xml:space="preserve">Existe una nueva vertiente de la igualdad real, llamada igualdad transformativa que es aquella que atendiendo a las </w:t>
      </w:r>
      <w:r w:rsidRPr="00786B7D">
        <w:rPr>
          <w:i/>
          <w:sz w:val="24"/>
          <w:szCs w:val="24"/>
        </w:rPr>
        <w:t>“estructuras de subordinación y opresión de las mujeres, ofrece una reformulación en clave de género de la igualdad material que a su vez impacta sobre la noción tradicional de igualdad formal”.</w:t>
      </w:r>
      <w:r w:rsidRPr="00786B7D">
        <w:rPr>
          <w:rStyle w:val="Refdenotaalpie"/>
          <w:i/>
          <w:sz w:val="24"/>
          <w:szCs w:val="24"/>
        </w:rPr>
        <w:footnoteReference w:id="35"/>
      </w:r>
      <w:r w:rsidRPr="00786B7D">
        <w:rPr>
          <w:sz w:val="24"/>
          <w:szCs w:val="24"/>
        </w:rPr>
        <w:t xml:space="preserve"> Para conseguir esta igualdad material es necesario que la igualdad formal no se entienda en el sentido tradicional para que el modelo político, jurídico y económico pueda evolucionar sin discriminar a las mujeres, y que la igualdad real se desarrolle a través de derechos y obligaciones que la garanticen.</w:t>
      </w:r>
    </w:p>
    <w:p w:rsidR="00E45A61" w:rsidRPr="00786B7D" w:rsidRDefault="00E45A61" w:rsidP="00E45A61">
      <w:pPr>
        <w:spacing w:line="360" w:lineRule="auto"/>
        <w:ind w:firstLine="360"/>
        <w:jc w:val="both"/>
        <w:rPr>
          <w:sz w:val="24"/>
          <w:szCs w:val="24"/>
        </w:rPr>
      </w:pPr>
      <w:r w:rsidRPr="00786B7D">
        <w:rPr>
          <w:sz w:val="24"/>
          <w:szCs w:val="24"/>
        </w:rPr>
        <w:t xml:space="preserve">Cabe hacer mención en este apartado a la transversalidad que </w:t>
      </w:r>
      <w:r w:rsidRPr="00786B7D">
        <w:rPr>
          <w:i/>
          <w:sz w:val="24"/>
          <w:szCs w:val="24"/>
        </w:rPr>
        <w:t>“consiste en tener en cuenta de forma sistemática las diferencias entre las condiciones, situaciones y necesidades de las mujeres y de los hombres en el conjunto de las políticas y acciones comunitarias”</w:t>
      </w:r>
      <w:r w:rsidRPr="00786B7D">
        <w:rPr>
          <w:rStyle w:val="Refdenotaalpie"/>
          <w:i/>
          <w:sz w:val="24"/>
          <w:szCs w:val="24"/>
        </w:rPr>
        <w:footnoteReference w:id="36"/>
      </w:r>
      <w:r w:rsidRPr="00786B7D">
        <w:rPr>
          <w:i/>
          <w:sz w:val="24"/>
          <w:szCs w:val="24"/>
        </w:rPr>
        <w:t xml:space="preserve">. </w:t>
      </w:r>
      <w:r w:rsidRPr="00786B7D">
        <w:rPr>
          <w:sz w:val="24"/>
          <w:szCs w:val="24"/>
        </w:rPr>
        <w:t>Por tanto, supone llevar a cabo por los poderes públicos las medidas y políticas generales con el fin específico de lograr la igualdad real teniendo en cuenta, en la fase de planificación, los efectos que tendrán sobre mujeres y hombres dichas medidas, acciones o políticas. Está estrechamente relacionada con la igualdad material, pues los actos que realicen los poderes públicos para lograr la efectividad de la igualdad deberán ser transversales.</w:t>
      </w:r>
    </w:p>
    <w:p w:rsidR="00E45A61" w:rsidRPr="00786B7D" w:rsidRDefault="00E45A61" w:rsidP="00E45A61">
      <w:pPr>
        <w:spacing w:line="360" w:lineRule="auto"/>
        <w:ind w:firstLine="360"/>
        <w:jc w:val="both"/>
        <w:rPr>
          <w:sz w:val="24"/>
          <w:szCs w:val="24"/>
        </w:rPr>
      </w:pPr>
      <w:r w:rsidRPr="00786B7D">
        <w:rPr>
          <w:sz w:val="24"/>
          <w:szCs w:val="24"/>
        </w:rPr>
        <w:t xml:space="preserve">Para lograr la igualdad real, una de las medidas más destacables son las medidas de acción positiva. Estas medidas pretenden paliar la discriminación de los grupos en situación de vulnerabilidad y discriminación como las mujeres. Nacen, estas medidas, </w:t>
      </w:r>
      <w:r w:rsidRPr="00786B7D">
        <w:rPr>
          <w:sz w:val="24"/>
          <w:szCs w:val="24"/>
        </w:rPr>
        <w:lastRenderedPageBreak/>
        <w:t xml:space="preserve">para impedir que bajo la igualdad formal siga creciendo la desigualdad material. </w:t>
      </w:r>
      <w:r w:rsidRPr="00786B7D">
        <w:rPr>
          <w:rStyle w:val="Refdenotaalpie"/>
          <w:sz w:val="24"/>
          <w:szCs w:val="24"/>
        </w:rPr>
        <w:footnoteReference w:id="37"/>
      </w:r>
      <w:r w:rsidRPr="00786B7D">
        <w:rPr>
          <w:sz w:val="24"/>
          <w:szCs w:val="24"/>
        </w:rPr>
        <w:t xml:space="preserve"> Constituyen tratos desiguales favorables para determinados colectivos que se encuentran discriminados por casusas culturales, físicas o psíquicas, de edad, económicas, de sujeción especial o de salud, bajo la finalidad de erradicar la discriminación que sufren. La fundamentación de las acciones positivas es la discriminación de determinados colectivos  a raíz de la negación de la igualdad de trato basada en características personales o en situaciones sociales del individuo discriminado, por ello, es objeto de estas acciones es la restitución de dichos sujetos en la igualdad. La prohibición de discriminación del artículo 14 CE no debe entenderse de forma absoluta, sino restringida, pues cabe un trato desigual, justificado, donde encuentran cabida las acciones positivas.</w:t>
      </w:r>
      <w:r w:rsidRPr="00786B7D">
        <w:rPr>
          <w:rStyle w:val="Refdenotaalpie"/>
          <w:sz w:val="24"/>
          <w:szCs w:val="24"/>
        </w:rPr>
        <w:footnoteReference w:id="38"/>
      </w:r>
      <w:r w:rsidRPr="00786B7D">
        <w:rPr>
          <w:sz w:val="24"/>
          <w:szCs w:val="24"/>
        </w:rPr>
        <w:t xml:space="preserve"> Podemos decir que estas acciones son la vertiente positiva de la diferenciación.</w:t>
      </w:r>
    </w:p>
    <w:p w:rsidR="00E45A61" w:rsidRPr="00786B7D" w:rsidRDefault="00E45A61" w:rsidP="00E45A61">
      <w:pPr>
        <w:spacing w:line="360" w:lineRule="auto"/>
        <w:ind w:firstLine="360"/>
        <w:jc w:val="both"/>
        <w:rPr>
          <w:sz w:val="24"/>
          <w:szCs w:val="24"/>
        </w:rPr>
      </w:pPr>
      <w:r w:rsidRPr="00786B7D">
        <w:rPr>
          <w:sz w:val="24"/>
          <w:szCs w:val="24"/>
        </w:rPr>
        <w:t xml:space="preserve">En definitiva, es necesario que los poderes públicos lleven a cabo distintas medidas, en las que se aplique la transversalidad, para que la igualdad no sea simplemente formal, sino que llegue a ser efectiva y real, sin que haya lugar para la discriminación ni diferenciación entre mujeres y hombres, llevándose a cabo medidas de acción positiva sin que estas supongan una discriminación para los hombres, por el hecho de crear derechos o ventajas para las mujeres, cuando esté justificado y no se haga de forma arbitraria. </w:t>
      </w:r>
    </w:p>
    <w:p w:rsidR="00E45A61" w:rsidRPr="00786B7D" w:rsidRDefault="00E45A61" w:rsidP="00E45A61">
      <w:pPr>
        <w:spacing w:line="360" w:lineRule="auto"/>
        <w:jc w:val="both"/>
        <w:rPr>
          <w:sz w:val="24"/>
          <w:szCs w:val="24"/>
        </w:rPr>
      </w:pPr>
    </w:p>
    <w:p w:rsidR="00E45A61" w:rsidRPr="00786B7D" w:rsidRDefault="00E45A61" w:rsidP="00E45A61">
      <w:pPr>
        <w:pStyle w:val="Ttulo2"/>
        <w:keepLines/>
        <w:numPr>
          <w:ilvl w:val="0"/>
          <w:numId w:val="6"/>
        </w:numPr>
        <w:spacing w:before="200" w:line="360" w:lineRule="auto"/>
        <w:jc w:val="both"/>
        <w:rPr>
          <w:rFonts w:ascii="Times New Roman" w:eastAsia="Calibri" w:hAnsi="Times New Roman"/>
          <w:color w:val="auto"/>
          <w:sz w:val="24"/>
          <w:szCs w:val="24"/>
        </w:rPr>
      </w:pPr>
      <w:bookmarkStart w:id="15" w:name="_Toc486503099"/>
      <w:r w:rsidRPr="00786B7D">
        <w:rPr>
          <w:rFonts w:ascii="Times New Roman" w:eastAsia="Calibri" w:hAnsi="Times New Roman"/>
          <w:color w:val="auto"/>
          <w:sz w:val="24"/>
          <w:szCs w:val="24"/>
        </w:rPr>
        <w:t>CAPÍTULO II: LEGISLACIÓN ESPAÑOLA E IGUALDAD Y NO DISCRIMINACÓN POR RAZÓN DE GÉNERO.</w:t>
      </w:r>
      <w:bookmarkEnd w:id="15"/>
    </w:p>
    <w:p w:rsidR="00E45A61" w:rsidRPr="00786B7D" w:rsidRDefault="00E45A61" w:rsidP="00E45A61">
      <w:pPr>
        <w:spacing w:line="360" w:lineRule="auto"/>
        <w:jc w:val="both"/>
        <w:rPr>
          <w:sz w:val="24"/>
          <w:szCs w:val="24"/>
        </w:rPr>
      </w:pPr>
    </w:p>
    <w:p w:rsidR="00E45A61" w:rsidRPr="00786B7D" w:rsidRDefault="00E45A61" w:rsidP="00E45A61">
      <w:pPr>
        <w:pStyle w:val="Ttulo2"/>
        <w:keepLines/>
        <w:numPr>
          <w:ilvl w:val="1"/>
          <w:numId w:val="6"/>
        </w:numPr>
        <w:spacing w:before="200" w:line="360" w:lineRule="auto"/>
        <w:jc w:val="both"/>
        <w:rPr>
          <w:rFonts w:ascii="Times New Roman" w:eastAsia="Calibri" w:hAnsi="Times New Roman"/>
          <w:color w:val="auto"/>
          <w:sz w:val="24"/>
          <w:szCs w:val="24"/>
        </w:rPr>
      </w:pPr>
      <w:bookmarkStart w:id="16" w:name="_Toc486503100"/>
      <w:r w:rsidRPr="00786B7D">
        <w:rPr>
          <w:rFonts w:ascii="Times New Roman" w:eastAsia="Calibri" w:hAnsi="Times New Roman"/>
          <w:color w:val="auto"/>
          <w:sz w:val="24"/>
          <w:szCs w:val="24"/>
        </w:rPr>
        <w:t>SOBRE LA IGUALDAD DE GÉNERO, ¿FORMAL O MATERIAL?</w:t>
      </w:r>
      <w:bookmarkEnd w:id="16"/>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La mujer, a lo largo de la historia, se ha visto reducida a desenvolver determinados roles sociales, como son los roles de esposa y madre, en definitiva, familiares, que se les otorgó, en contraposición con los papeles políticos y laborales que desarrollaba el hombre. Esto es resultado de un pensamiento conocido como “patriarcado”, que es </w:t>
      </w:r>
      <w:r w:rsidRPr="00786B7D">
        <w:rPr>
          <w:rFonts w:eastAsia="Calibri"/>
          <w:sz w:val="24"/>
          <w:szCs w:val="24"/>
        </w:rPr>
        <w:lastRenderedPageBreak/>
        <w:t>aquel por el cual se otorga el poder, los derechos, la independencia al hombre, frente al papel secundario al que se releva a la mujer. La mujer se introdujo en el mundo laboral en el siglo XIX, al igual que ocurrió con el acceso de esta a la educación o la cultura, no obstante, lo hizo por el principio de utilidad lo que significó que continuara inamovible el rol de la mujer como madre y esposa, pues se les concede la ocupación de cargos como una compensación por la exclusión sufrida, pero las industrias se aprovechaban de las mujeres para ocupar los puestos del sector terciario, donde faltaba mano de obra.</w:t>
      </w:r>
      <w:r w:rsidRPr="00786B7D">
        <w:rPr>
          <w:rStyle w:val="Refdenotaalpie"/>
          <w:rFonts w:eastAsia="Calibri"/>
          <w:sz w:val="24"/>
          <w:szCs w:val="24"/>
        </w:rPr>
        <w:footnoteReference w:id="39"/>
      </w:r>
      <w:r w:rsidRPr="00786B7D">
        <w:rPr>
          <w:rFonts w:eastAsia="Calibri"/>
          <w:sz w:val="24"/>
          <w:szCs w:val="24"/>
        </w:rPr>
        <w:t xml:space="preserve"> No era suficiente la inclusión de la mujer en los ámbitos educativo y laboral, pues seguían existiendo derechos que eran exclusivos para los hombres, como el derecho al voto, lo que hacía que la mujer siguiera siendo dependiente e inferior al hombre, muy lejos de conseguir la igualdad con este. Por ello, el siguiente paso fue incluir a la mujer en el ámbito político, para que tuviera voz y representación y, por tanto, fuera posible lograr la igualdad real. Este es el motivo por el que los primeros pasos feministas estaban estrechamente ligados a la política.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Ante las arriesgadas proposiciones de acceso de la mujer en política, a principios del siglo XX, hubo un sector de la población que mostró un fuerte rechazo, apoyándose en la </w:t>
      </w:r>
      <w:r w:rsidRPr="00786B7D">
        <w:rPr>
          <w:rFonts w:eastAsia="Calibri"/>
          <w:i/>
          <w:sz w:val="24"/>
          <w:szCs w:val="24"/>
        </w:rPr>
        <w:t>“ignorancia femenina, el natural rechazo a la política y la salvaguarda de la familia”</w:t>
      </w:r>
      <w:r w:rsidRPr="00786B7D">
        <w:rPr>
          <w:rStyle w:val="Refdenotaalpie"/>
          <w:rFonts w:eastAsia="Calibri"/>
          <w:sz w:val="24"/>
          <w:szCs w:val="24"/>
        </w:rPr>
        <w:footnoteReference w:id="40"/>
      </w:r>
      <w:r w:rsidRPr="00786B7D">
        <w:rPr>
          <w:rFonts w:eastAsia="Calibri"/>
          <w:sz w:val="24"/>
          <w:szCs w:val="24"/>
        </w:rPr>
        <w:t xml:space="preserve">. Fue en el sector opuesto, aquel que apoyó el acceso de la mujer a la política, dónde nació el Feminismo cuyo objeto es </w:t>
      </w:r>
      <w:r w:rsidRPr="00786B7D">
        <w:rPr>
          <w:rFonts w:eastAsia="Calibri"/>
          <w:i/>
          <w:sz w:val="24"/>
          <w:szCs w:val="24"/>
        </w:rPr>
        <w:t>“que las mujeres alcancen la plenitud en su vida, es decir, que tengan los mismos derechos y los mismos deberes que los hombres, que gobiernen el mundo a medias con ellos…”</w:t>
      </w:r>
      <w:r w:rsidRPr="00786B7D">
        <w:rPr>
          <w:rStyle w:val="Refdenotaalpie"/>
          <w:rFonts w:eastAsia="Calibri"/>
          <w:sz w:val="24"/>
          <w:szCs w:val="24"/>
        </w:rPr>
        <w:footnoteReference w:id="41"/>
      </w:r>
      <w:r w:rsidRPr="00786B7D">
        <w:rPr>
          <w:rFonts w:eastAsia="Calibri"/>
          <w:sz w:val="24"/>
          <w:szCs w:val="24"/>
        </w:rPr>
        <w:t>.Por tanto, para hacer posible la igualdad entre mujeres y hombres, era imprescindible que estas tuvieran el derecho al sufragio para entrar en los roles políticos, era necesario terminar con el rol de la mujer como dependiente del hombre.</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derecho al sufragio universal fue lo que proporcionó a la mujer autonomía, ya no laboral, cultural o económica, sino política, así la mujer consiguió plena ciudadanía. Es a partir de este momento (siglo XX) en el que la mujer consigue entrar en el papel político que no podrá existir, teóricamente, discriminación jurídica por sexo, no obstante, persistiría la discriminación fáctica o de hecho, pues a día de hoy la mujer sigue encontrando con obstáculos discriminatorios en números ámbitos.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lastRenderedPageBreak/>
        <w:t xml:space="preserve">El Feminismo, por tanto, tenía como objeto la consecución de la igualdad de género real a través de su acceso a la vida política. A lo largo de la historia el pensamiento feminista ha sido en encargado de denunciar la discriminación de la mujer, en todos sus aspectos. A pesar de que son numerosas las vertientes del feminismo, los movimientos feministas pueden dividirse principalmente en: </w:t>
      </w:r>
    </w:p>
    <w:p w:rsidR="00E45A61" w:rsidRPr="00786B7D" w:rsidRDefault="00E45A61" w:rsidP="00E45A61">
      <w:pPr>
        <w:spacing w:line="360" w:lineRule="auto"/>
        <w:ind w:left="360" w:firstLine="348"/>
        <w:jc w:val="both"/>
        <w:rPr>
          <w:rFonts w:eastAsia="Calibri"/>
          <w:sz w:val="24"/>
          <w:szCs w:val="24"/>
        </w:rPr>
      </w:pPr>
      <w:r w:rsidRPr="00786B7D">
        <w:rPr>
          <w:rFonts w:eastAsia="Calibri"/>
          <w:sz w:val="24"/>
          <w:szCs w:val="24"/>
        </w:rPr>
        <w:t>- El feminismo de la igualdad: este movimiento surge, a raíz de la comprensión de que no era suficiente la igualdad formal, sino que para que la mujer alcance una posición de igualdad respecto a los hombres, era necesario mecanismos para la efectividad de la igualdad formal, como medidas que pretendan generalizar el disfrute de los derechos de forma eficaz, por ejemplo, aquellas medidas específicas que permitan situar en una igualdad de oportunidades a las mujeres.</w:t>
      </w:r>
      <w:r w:rsidRPr="00786B7D">
        <w:rPr>
          <w:rStyle w:val="Refdenotaalpie"/>
          <w:rFonts w:eastAsia="Calibri"/>
          <w:sz w:val="24"/>
          <w:szCs w:val="24"/>
        </w:rPr>
        <w:footnoteReference w:id="42"/>
      </w:r>
      <w:r w:rsidRPr="00786B7D">
        <w:rPr>
          <w:rFonts w:eastAsia="Calibri"/>
          <w:sz w:val="24"/>
          <w:szCs w:val="24"/>
        </w:rPr>
        <w:t xml:space="preserve"> Este feminismo comprendió el feminismo socialista, que fue aquel enraizado con los partidos políticos de izquierda.</w:t>
      </w:r>
      <w:r w:rsidRPr="00786B7D">
        <w:rPr>
          <w:rStyle w:val="Refdenotaalpie"/>
          <w:rFonts w:eastAsia="Calibri"/>
          <w:sz w:val="24"/>
          <w:szCs w:val="24"/>
        </w:rPr>
        <w:footnoteReference w:id="43"/>
      </w:r>
    </w:p>
    <w:p w:rsidR="00E45A61" w:rsidRPr="00786B7D" w:rsidRDefault="00E45A61" w:rsidP="00E45A61">
      <w:pPr>
        <w:spacing w:line="360" w:lineRule="auto"/>
        <w:ind w:left="360" w:firstLine="348"/>
        <w:jc w:val="both"/>
        <w:rPr>
          <w:rFonts w:eastAsia="Calibri"/>
          <w:sz w:val="24"/>
          <w:szCs w:val="24"/>
        </w:rPr>
      </w:pPr>
      <w:r w:rsidRPr="00786B7D">
        <w:rPr>
          <w:rFonts w:eastAsia="Calibri"/>
          <w:sz w:val="24"/>
          <w:szCs w:val="24"/>
        </w:rPr>
        <w:t>- El feminismo de la diferencia: a partir de la década de los 60, surge otro movimiento feminista conocido como “radical” o “de la diferencia sexual”. Este se basa en la toma de conciencia de la situación de la mujer, que se plantea desde el rechazo de la situación política igualitaria con el varón. Sus cimientos son, por tanto, la diferencia entre mujeres y hombres, concretamente: en la diferencia biológica, psicológica y en la diferencia de la concepción política. Estas supuestas diferencias, son el fundamento del que deben partir las políticas para las mujeres que, en ningún caso, serán iguales que las políticas de los hombres, adaptándose la legislación a las características de cada sexo, para conseguir la igualdad entre ambos.</w:t>
      </w:r>
      <w:r w:rsidRPr="00786B7D">
        <w:rPr>
          <w:rStyle w:val="Refdenotaalpie"/>
          <w:rFonts w:eastAsia="Calibri"/>
          <w:sz w:val="24"/>
          <w:szCs w:val="24"/>
        </w:rPr>
        <w:footnoteReference w:id="44"/>
      </w:r>
      <w:r w:rsidRPr="00786B7D">
        <w:rPr>
          <w:rFonts w:eastAsia="Calibri"/>
          <w:sz w:val="24"/>
          <w:szCs w:val="24"/>
        </w:rPr>
        <w:t xml:space="preserve"> Para este feminismo la lucha contra la discriminación de la mujer debe realizarse reconociendo derechos específicos a las mujeres, pues establecer a esta en una posición de derecho igual que la del hombre supone seguir manteniendo la dependencia o sujeción a este.</w:t>
      </w:r>
      <w:r w:rsidRPr="00786B7D">
        <w:rPr>
          <w:rStyle w:val="Refdenotaalpie"/>
          <w:rFonts w:eastAsia="Calibri"/>
          <w:sz w:val="24"/>
          <w:szCs w:val="24"/>
        </w:rPr>
        <w:footnoteReference w:id="45"/>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Si bien, a pesar de que el fin de ambos feminismos es el mismo, conseguir derechos específicos para las mujeres, su fundamento es distinto.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lastRenderedPageBreak/>
        <w:t xml:space="preserve">En definitiva, la consecución de la igualdad de género, por la que en la actualidad se sigue luchando, comenzó a través de distintos movimientos feministas de los que cabe destacar el feminismo de la igualdad, por ser aquél que se centra, no solo en la igualdad formal o jurídica, sino en la igualdad material, es decir, en que los objetivos de esas leyes se alcancen en la realidad, sin radicalizar, como es el caso del feminismo de la diferencia. Por todo ello, numerosos ordenamientos jurídicos europeos, entre los cuales encontramos el español, se basan en la idea de este movimiento para establecer su legislación en materia de igualdad, enfocándola en los resultados que se pretenden conseguir a través de dicha legislación, y evitando que la igualdad quede reducida a una simple igualdad formal. </w:t>
      </w:r>
    </w:p>
    <w:p w:rsidR="00E45A61" w:rsidRPr="00786B7D" w:rsidRDefault="00E45A61" w:rsidP="00E45A61">
      <w:pPr>
        <w:spacing w:line="360" w:lineRule="auto"/>
        <w:ind w:left="360"/>
        <w:jc w:val="both"/>
        <w:rPr>
          <w:rFonts w:eastAsia="Calibri"/>
          <w:sz w:val="24"/>
          <w:szCs w:val="24"/>
        </w:rPr>
      </w:pPr>
    </w:p>
    <w:p w:rsidR="00E45A61" w:rsidRPr="00786B7D" w:rsidRDefault="00E45A61" w:rsidP="00E45A61">
      <w:pPr>
        <w:pStyle w:val="Ttulo2"/>
        <w:keepLines/>
        <w:numPr>
          <w:ilvl w:val="1"/>
          <w:numId w:val="6"/>
        </w:numPr>
        <w:spacing w:before="200" w:line="360" w:lineRule="auto"/>
        <w:jc w:val="both"/>
        <w:rPr>
          <w:rFonts w:ascii="Times New Roman" w:eastAsia="Calibri" w:hAnsi="Times New Roman"/>
          <w:color w:val="auto"/>
          <w:sz w:val="24"/>
          <w:szCs w:val="24"/>
        </w:rPr>
      </w:pPr>
      <w:bookmarkStart w:id="17" w:name="_Toc486503101"/>
      <w:r w:rsidRPr="00786B7D">
        <w:rPr>
          <w:rFonts w:ascii="Times New Roman" w:eastAsia="Calibri" w:hAnsi="Times New Roman"/>
          <w:color w:val="auto"/>
          <w:sz w:val="24"/>
          <w:szCs w:val="24"/>
        </w:rPr>
        <w:t>LEGISLACIÓN ESPECÍFICA SOBRE LA IGUALDAD Y SU PROBLEMÁTICA: PRINCIPALES CLASES DE DESIGUALDAD.</w:t>
      </w:r>
      <w:bookmarkEnd w:id="17"/>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En la actualidad encontramos una gran cantidad de normas que tratan la igualdad de género tanto a nivel mundial como en el europeo. Cabe destacar del primer nivel la Convención sobre la eliminación de todas las formas de discriminación contra la mujer (en adelante, la Convención), aprobada en 1979 por la Asamblea General de Naciones Unidas y, posteriormente ratificada por España en 1983. La Convención se basa en la Carta de las Naciones Unidas que establece la cooperación internacional para dar solución a problemas económicos, sociales, culturales y humanitarios, así como fomento del respeto a los derechos humanos y a las libertades fundamentales</w:t>
      </w:r>
      <w:r w:rsidRPr="00786B7D">
        <w:rPr>
          <w:rStyle w:val="Refdenotaalpie"/>
          <w:rFonts w:eastAsia="Calibri"/>
          <w:sz w:val="24"/>
          <w:szCs w:val="24"/>
        </w:rPr>
        <w:footnoteReference w:id="46"/>
      </w:r>
      <w:r w:rsidRPr="00786B7D">
        <w:rPr>
          <w:rFonts w:eastAsia="Calibri"/>
          <w:sz w:val="24"/>
          <w:szCs w:val="24"/>
        </w:rPr>
        <w:t xml:space="preserve">. Tiene en cuenta, la Convención, para establecer los preceptos que contiene su articulado las distintas normas, convenios, acuerdos, resoluciones, así como la situación real social de la mujer que sufre de discriminación en distintos ámbitos.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La Convención, en el artículo 1, establece la definición de “discriminación contra la mujer” como aquella por la que resulte dañado o negado el reconocimiento, goce o ejercicio por la mujer de derechos humanos y de libertades fundamentales como resultado de una distinción, exclusión o restricción fundada en el sexo.</w:t>
      </w:r>
      <w:r w:rsidRPr="00786B7D">
        <w:rPr>
          <w:rStyle w:val="Refdenotaalpie"/>
          <w:rFonts w:eastAsia="Calibri"/>
          <w:sz w:val="24"/>
          <w:szCs w:val="24"/>
        </w:rPr>
        <w:footnoteReference w:id="47"/>
      </w:r>
      <w:r w:rsidRPr="00786B7D">
        <w:rPr>
          <w:rFonts w:eastAsia="Calibri"/>
          <w:sz w:val="24"/>
          <w:szCs w:val="24"/>
        </w:rPr>
        <w:t xml:space="preserve"> El resto de su </w:t>
      </w:r>
      <w:r w:rsidRPr="00786B7D">
        <w:rPr>
          <w:rFonts w:eastAsia="Calibri"/>
          <w:sz w:val="24"/>
          <w:szCs w:val="24"/>
        </w:rPr>
        <w:lastRenderedPageBreak/>
        <w:t>articulado expone una serie de medidas y derechos que son las herramientas que se proporcionan a los Estado Miembro para acabar con la discriminación de la mujer. No obstante, a pesar de la necesidad de esta Convención y lo que ella establece y, por tanto, de todo aquello a lo que los Estados Parte se comprometen, ha sido criticada por las reservas que en ella hacen determinados Estados. Las críticas se refieren a la presunta incompatibilidad entre determinadas reservas con el objetivo de la Convención, lo cual vulneraría el artículo 28.2 del Convención.</w:t>
      </w:r>
      <w:r w:rsidRPr="00786B7D">
        <w:rPr>
          <w:rStyle w:val="Refdenotaalpie"/>
          <w:rFonts w:eastAsia="Calibri"/>
          <w:sz w:val="24"/>
          <w:szCs w:val="24"/>
        </w:rPr>
        <w:footnoteReference w:id="48"/>
      </w:r>
      <w:r w:rsidRPr="00786B7D">
        <w:rPr>
          <w:rFonts w:eastAsia="Calibri"/>
          <w:sz w:val="24"/>
          <w:szCs w:val="24"/>
        </w:rPr>
        <w:t xml:space="preserve"> A pesar de esas críticas, no cabe duda de la importancia de dicha Convención por el objetivo que tiene (eliminar la discriminación de la mujer en todos los aspectos) y por las medidas establecidas para conseguirlo. Es por ello, que la legislación española se apoya o se basa, en gran parte, de lo que aquella establece. </w:t>
      </w:r>
    </w:p>
    <w:p w:rsidR="00E45A61" w:rsidRPr="00786B7D" w:rsidRDefault="00E45A61" w:rsidP="00E45A61">
      <w:pPr>
        <w:spacing w:line="360" w:lineRule="auto"/>
        <w:ind w:firstLine="360"/>
        <w:jc w:val="both"/>
        <w:rPr>
          <w:sz w:val="24"/>
          <w:szCs w:val="24"/>
        </w:rPr>
      </w:pPr>
      <w:r w:rsidRPr="00786B7D">
        <w:rPr>
          <w:rFonts w:eastAsia="Calibri"/>
          <w:sz w:val="24"/>
          <w:szCs w:val="24"/>
        </w:rPr>
        <w:t>En el ámbito europeo encontramos el Tratado de Ámsterdam, de 1 de mayo de 1999, por el cual los países pertenecientes a la Unión Europea se comprometen a la eliminación de la discriminación y la instauración de la igualdad entre hombres y mujeres.</w:t>
      </w:r>
      <w:r w:rsidRPr="00786B7D">
        <w:rPr>
          <w:rStyle w:val="Refdenotaalpie"/>
          <w:rFonts w:eastAsia="Calibri"/>
          <w:sz w:val="24"/>
          <w:szCs w:val="24"/>
        </w:rPr>
        <w:footnoteReference w:id="49"/>
      </w:r>
      <w:r w:rsidRPr="00786B7D">
        <w:rPr>
          <w:rFonts w:eastAsia="Calibri"/>
          <w:sz w:val="24"/>
          <w:szCs w:val="24"/>
        </w:rPr>
        <w:t xml:space="preserve"> Del mismo modo, cabe destacar la Directiva 2002/73/CE, </w:t>
      </w:r>
      <w:r w:rsidRPr="00786B7D">
        <w:rPr>
          <w:sz w:val="24"/>
          <w:szCs w:val="24"/>
        </w:rPr>
        <w:t>del Parlamento Europeo y del Consejo, de 23 de septiembre de 2002, que modifica la Directiva 76/207/CEE del Consejo relativa a la aplicación del principio de igualdad de trato entre hombres y mujeres en lo que se refiere al acceso al empleo, la formación y a la promoción profesionales, y las condiciones de trabajo. Entre los preceptos de la Directiva encontramos la concreción de las nociones básicas de los tipos de discriminación, medidas para combatir la discriminación, sanciones cuando se produzca la misma o medidas de fomento de la igualdad.</w:t>
      </w:r>
    </w:p>
    <w:p w:rsidR="00E45A61" w:rsidRPr="00786B7D" w:rsidRDefault="00E45A61" w:rsidP="00E45A61">
      <w:pPr>
        <w:spacing w:line="360" w:lineRule="auto"/>
        <w:ind w:firstLine="360"/>
        <w:jc w:val="both"/>
        <w:rPr>
          <w:sz w:val="24"/>
          <w:szCs w:val="24"/>
        </w:rPr>
      </w:pPr>
      <w:r w:rsidRPr="00786B7D">
        <w:rPr>
          <w:sz w:val="24"/>
          <w:szCs w:val="24"/>
        </w:rPr>
        <w:t xml:space="preserve">Estas normas a nivel europeo concretan lo establecido por los distintos Convenios o tratados universales para los países miembros de la Unión Europea que deberán reflejar en su ordenamiento jurídico interno lo expuesto en dichas normas europeas y, en consecuencia, quedan obligados a llevar a cabo las medidas determinadas en aquellas para establecer la igualdad de género y acabar con la discriminación de la mujer. Es un claro ejemplo de esta repercusión en España la Ley Orgánica 3/2007 para la igualdad efectiva entre mujeres y hombres. </w:t>
      </w:r>
    </w:p>
    <w:p w:rsidR="00E45A61" w:rsidRPr="00786B7D" w:rsidRDefault="00E45A61" w:rsidP="00E45A61">
      <w:pPr>
        <w:spacing w:line="360" w:lineRule="auto"/>
        <w:ind w:left="360"/>
        <w:jc w:val="both"/>
        <w:rPr>
          <w:rFonts w:eastAsia="Calibri"/>
          <w:b/>
          <w:sz w:val="24"/>
          <w:szCs w:val="24"/>
        </w:rPr>
      </w:pPr>
    </w:p>
    <w:p w:rsidR="00E45A61" w:rsidRPr="00786B7D" w:rsidRDefault="00E45A61" w:rsidP="00E45A61">
      <w:pPr>
        <w:pStyle w:val="Ttulo3"/>
        <w:keepLines/>
        <w:numPr>
          <w:ilvl w:val="2"/>
          <w:numId w:val="6"/>
        </w:numPr>
        <w:spacing w:before="200" w:line="360" w:lineRule="auto"/>
        <w:jc w:val="both"/>
        <w:rPr>
          <w:rFonts w:ascii="Times New Roman" w:eastAsia="Calibri" w:hAnsi="Times New Roman"/>
          <w:szCs w:val="24"/>
        </w:rPr>
      </w:pPr>
      <w:bookmarkStart w:id="18" w:name="_Toc486503102"/>
      <w:r w:rsidRPr="00786B7D">
        <w:rPr>
          <w:rFonts w:ascii="Times New Roman" w:eastAsia="Calibri" w:hAnsi="Times New Roman"/>
          <w:szCs w:val="24"/>
        </w:rPr>
        <w:lastRenderedPageBreak/>
        <w:t>LEY 3/2007, DE 22 DE MARZO, PARA LA IGUALDAD EFECIVA ENTRE MUJERES Y HOMBRES.</w:t>
      </w:r>
      <w:bookmarkEnd w:id="18"/>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rFonts w:eastAsia="Calibri"/>
          <w:sz w:val="24"/>
          <w:szCs w:val="24"/>
        </w:rPr>
        <w:t xml:space="preserve">El nacimiento de esta Ley debe comprenderse en un marco social en el que la discriminación sufrida por la mujer en numerosos ámbitos sociales, hace imposible que estas ejerciten los derechos fundamentales de los que son titulares, del mismo modo que los hombres. Dada esta situación, el mandato a los poderes públicos para conseguir la efectividad de la igualdad que establece la CE que, sumado con la obligación de trascribir lo establecido en las Directiva, tienen como resultado la Ley Orgánica 3/2007, de igualdad efectiva entre mujeres y hombres </w:t>
      </w:r>
      <w:r w:rsidRPr="00786B7D">
        <w:rPr>
          <w:sz w:val="24"/>
          <w:szCs w:val="24"/>
        </w:rPr>
        <w:t>(en adelante, LOI)</w:t>
      </w:r>
      <w:r w:rsidRPr="00786B7D">
        <w:rPr>
          <w:rStyle w:val="Refdenotaalpie"/>
          <w:sz w:val="24"/>
          <w:szCs w:val="24"/>
        </w:rPr>
        <w:footnoteReference w:id="50"/>
      </w:r>
      <w:r w:rsidRPr="00786B7D">
        <w:rPr>
          <w:sz w:val="24"/>
          <w:szCs w:val="24"/>
        </w:rPr>
        <w:t xml:space="preserve"> que va más allá de la transcripción, creando más medidas y sistemas para alcanzar la igualdad en todos los ámbitos. Puede decirse que la LOI nace con la ambición de ser un Código de la igualdad entre mujeres y hombres</w:t>
      </w:r>
      <w:r w:rsidRPr="00786B7D">
        <w:rPr>
          <w:rStyle w:val="Refdenotaalpie"/>
          <w:sz w:val="24"/>
          <w:szCs w:val="24"/>
        </w:rPr>
        <w:footnoteReference w:id="51"/>
      </w:r>
      <w:r w:rsidRPr="00786B7D">
        <w:rPr>
          <w:sz w:val="24"/>
          <w:szCs w:val="24"/>
        </w:rPr>
        <w:t xml:space="preserve">, con la finalidad de que </w:t>
      </w:r>
      <w:r w:rsidRPr="00786B7D">
        <w:rPr>
          <w:i/>
          <w:sz w:val="24"/>
          <w:szCs w:val="24"/>
        </w:rPr>
        <w:t>“todos los poderes públicos, a todos los niveles, tiempos y lugares, coadyuven de modo sistemático y permanente en hacer viable el que la igualdad sea real y efectiva y no quede en meras y grandilocuentes declaraciones de buenas intenciones que jamás se ponen en práctica.”</w:t>
      </w:r>
      <w:r w:rsidRPr="00786B7D">
        <w:rPr>
          <w:rStyle w:val="Refdenotaalpie"/>
          <w:i/>
          <w:sz w:val="24"/>
          <w:szCs w:val="24"/>
        </w:rPr>
        <w:footnoteReference w:id="52"/>
      </w:r>
      <w:r w:rsidRPr="00786B7D">
        <w:rPr>
          <w:i/>
          <w:sz w:val="24"/>
          <w:szCs w:val="24"/>
        </w:rPr>
        <w:t xml:space="preserve">. </w:t>
      </w:r>
      <w:r w:rsidRPr="00786B7D">
        <w:rPr>
          <w:sz w:val="24"/>
          <w:szCs w:val="24"/>
        </w:rPr>
        <w:t>Esta aspiración a ley-código de igualdad de género es una muestra de la exigencia de su transversalidad (más allá del principio de transversalidad establecido de forma explícita).</w:t>
      </w:r>
      <w:r w:rsidRPr="00786B7D">
        <w:rPr>
          <w:rStyle w:val="Refdenotaalpie"/>
          <w:sz w:val="24"/>
          <w:szCs w:val="24"/>
        </w:rPr>
        <w:footnoteReference w:id="53"/>
      </w:r>
    </w:p>
    <w:p w:rsidR="00E45A61" w:rsidRPr="00786B7D" w:rsidRDefault="00E45A61" w:rsidP="00E45A61">
      <w:pPr>
        <w:spacing w:line="360" w:lineRule="auto"/>
        <w:ind w:firstLine="360"/>
        <w:jc w:val="both"/>
        <w:rPr>
          <w:rFonts w:eastAsia="Calibri"/>
          <w:sz w:val="24"/>
          <w:szCs w:val="24"/>
        </w:rPr>
      </w:pPr>
      <w:r w:rsidRPr="00786B7D">
        <w:rPr>
          <w:sz w:val="24"/>
          <w:szCs w:val="24"/>
        </w:rPr>
        <w:t xml:space="preserve">El </w:t>
      </w:r>
      <w:r w:rsidRPr="00786B7D">
        <w:rPr>
          <w:rFonts w:eastAsia="Calibri"/>
          <w:sz w:val="24"/>
          <w:szCs w:val="24"/>
        </w:rPr>
        <w:t>objeto de la LOI</w:t>
      </w:r>
      <w:r w:rsidRPr="00786B7D">
        <w:rPr>
          <w:rStyle w:val="Refdenotaalpie"/>
          <w:rFonts w:eastAsia="Calibri"/>
          <w:sz w:val="24"/>
          <w:szCs w:val="24"/>
        </w:rPr>
        <w:footnoteReference w:id="54"/>
      </w:r>
      <w:r w:rsidRPr="00786B7D">
        <w:rPr>
          <w:rFonts w:eastAsia="Calibri"/>
          <w:sz w:val="24"/>
          <w:szCs w:val="24"/>
        </w:rPr>
        <w:t xml:space="preserve"> es la efectividad del derecho de igualdad de trato y oportunidades entre mujeres y hombres, a través de la eliminación de la discriminación que sufren aquellas en las distintas esferas sociales. La LOI pretende que la igualdad de trato y oportunidades sea un referente material y formal de la validez normativa, así se demuestra con su proclamación como principio informador del OJ, esto significa que el </w:t>
      </w:r>
      <w:r w:rsidRPr="00786B7D">
        <w:rPr>
          <w:rFonts w:eastAsia="Calibri"/>
          <w:sz w:val="24"/>
          <w:szCs w:val="24"/>
        </w:rPr>
        <w:lastRenderedPageBreak/>
        <w:t>principio de igualdad tiene un aspecto positivo (como guía del OJ) y un aspecto negativo (constituye un límite a los poderes públicos).</w:t>
      </w:r>
      <w:r w:rsidRPr="00786B7D">
        <w:rPr>
          <w:rStyle w:val="Refdenotaalpie"/>
          <w:rFonts w:eastAsia="Calibri"/>
          <w:sz w:val="24"/>
          <w:szCs w:val="24"/>
        </w:rPr>
        <w:footnoteReference w:id="55"/>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ámbito de aplicación subjetivo (Título Preliminar, artículo 2) se refiere a quiénes son los destinatarios de la LOI, tanto de los derechos que en ella se crean, como los deberes u obligaciones que de ella se desprenden: de los derechos y de las obligaciones son titulares todas las personas, incluso las jurídicas para las obligaciones, sin distinguir por su domicilio, nacionalidad o residencia, ello muestra el carácter de generalidad y universalidad que busca el legislador, pues el derecho de igualdad y no discriminación debe garantizarse de forma universal y no limitarse a un ámbito nacional. No obstante, resulta conflictiva esta vocación de universalidad, cuando el resto de la norma parece enfocarse en personas con una relación estrecha o habitual con España.</w:t>
      </w:r>
      <w:r w:rsidRPr="00786B7D">
        <w:rPr>
          <w:rStyle w:val="Refdenotaalpie"/>
          <w:rFonts w:eastAsia="Calibri"/>
          <w:sz w:val="24"/>
          <w:szCs w:val="24"/>
        </w:rPr>
        <w:footnoteReference w:id="56"/>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La estructura de la LOI  es algo compleja, está compuesta por el Título Preliminar, ocho Títulos y, treinta y una disposiciones adicionales, once transitorias, una disposición derogatoria y ocho disposiciones finales.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I de la LOI, “El principio de igualdad y la tutela contra la discriminación”, se encarga de dar las nociones principales en relación a la igualdad como son los distintos tipos de discriminación o el acoso sexual, términos que expondré en el apartado siguiente. También  encontramos en dicho título el principio de igualdad de trato y de oportunidades, presente en el resto de disposiciones de esta Ley, así como la tutela del mismo y las consecuencias jurídicas que tienen las actuaciones discriminatorias descritas en la LOI.</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En cuanto al principio de igualdad de trato y oportunidades, reconocido por el artículo 3 LOI, es una manifestación específica del principio de igualdad, que se refiere concretamente al trato, lo que implica ausencia de discriminación de obra y palabra.</w:t>
      </w:r>
      <w:r w:rsidRPr="00786B7D">
        <w:rPr>
          <w:rStyle w:val="Refdenotaalpie"/>
          <w:rFonts w:eastAsia="Calibri"/>
          <w:sz w:val="24"/>
          <w:szCs w:val="24"/>
        </w:rPr>
        <w:footnoteReference w:id="57"/>
      </w:r>
      <w:r w:rsidRPr="00786B7D">
        <w:rPr>
          <w:rFonts w:eastAsia="Calibri"/>
          <w:sz w:val="24"/>
          <w:szCs w:val="24"/>
        </w:rPr>
        <w:t xml:space="preserve"> Cuando un acto o clausula sea contraria a dicho principio, es decir, suponga una discriminación, será nulo y quedará sin efecto haciendo surgir la responsabilidad de quien sea responsable de la discriminación a través de un sistema de reparación, indemnización o sanciones que sea proporcional al perjuicio y, a la vez, prevenga ese tipo de conductas.</w:t>
      </w:r>
      <w:r w:rsidRPr="00786B7D">
        <w:rPr>
          <w:rStyle w:val="Refdenotaalpie"/>
          <w:rFonts w:eastAsia="Calibri"/>
          <w:sz w:val="24"/>
          <w:szCs w:val="24"/>
        </w:rPr>
        <w:footnoteReference w:id="58"/>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lastRenderedPageBreak/>
        <w:t>El Título II, “Políticas públicas para la igualdad” está dividido en dos Capítulos de los cuales el Capítulo I se centra en los principios y criterios generales de actuación para la Administración Pública. Expone este capítulo varias disposiciones entre las que encontramos: el nombramiento y designación de cargos públicos equilibrados entre mujeres y hombres, el Plan Estratégico de Igualdad de Oportunidades que debe aprobarse de forma periódica por el Gobierno, el informe periódico del Gobierno sobre las actuaciones del mismo y la aplicación del principio de igualdad de género, los informes de impacto de género que deberán incluir las disposiciones o planes que tengan una importante relevancia, la adecuación de las estadísticas y estudios públicos o la colaboración entre las administraciones para la incorporación del principio de igualdad en sus actuaciones y en el ejercicio de sus competencias.</w:t>
      </w:r>
      <w:r w:rsidRPr="00786B7D">
        <w:rPr>
          <w:rStyle w:val="Refdenotaalpie"/>
          <w:rFonts w:eastAsia="Calibri"/>
          <w:sz w:val="24"/>
          <w:szCs w:val="24"/>
        </w:rPr>
        <w:footnoteReference w:id="59"/>
      </w:r>
      <w:r w:rsidRPr="00786B7D">
        <w:rPr>
          <w:rFonts w:eastAsia="Calibri"/>
          <w:sz w:val="24"/>
          <w:szCs w:val="24"/>
        </w:rPr>
        <w:t xml:space="preserve"> El Capítulo II del Título II “Acción administrativa para la igualdad”, recoge una serie de instrumentos de acción positiva de los poderes públicos para conseguir la igualdad en distintos ámbitos como son la educación, sanidad, cultura, etc.</w:t>
      </w:r>
      <w:r w:rsidRPr="00786B7D">
        <w:rPr>
          <w:rStyle w:val="Refdenotaalpie"/>
          <w:rFonts w:eastAsia="Calibri"/>
          <w:sz w:val="24"/>
          <w:szCs w:val="24"/>
        </w:rPr>
        <w:footnoteReference w:id="60"/>
      </w:r>
      <w:r w:rsidRPr="00786B7D">
        <w:rPr>
          <w:rFonts w:eastAsia="Calibri"/>
          <w:sz w:val="24"/>
          <w:szCs w:val="24"/>
        </w:rPr>
        <w:t xml:space="preserve"> Algunas de estas acciones en el ámbito de la educación son: garantizar el acceso a la educación de mujeres y hombres por igual, eliminar las dificultades que impidan la igualdad entre mujeres y hombres o el fomento de la enseñanza y estudio de la igualdad y su alcance. También recoge este Capítulo políticas de igualdad en otros ámbitos como son el desarrollo rural, urbanismo o las Administraciones Públicas.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III, “Igualdad y medios de comunicación”, incluye normas para los medios de titularidad pública en su actuación como es el uso de un adecuado lenguaje no sexista o la transmisión de una imagen no estereotipada de la mujer; contiene, del mismo modo, medidas de fomento de la igualdad en los medios de comunicación privados.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IV “El derecho al trabajo en igualdad de oportunidades”, es el que se centra en el ámbito laboral privado y, atendiendo a la forma en que se explica en la Exposición de Motivos es uno a los que el legislador más importancia otorga, realizando un análisis previo más amplio que el del resto de los Títulos, esto se debe a que el ámbito laboral es uno de aquellos en los que más discriminación sufre la mujer: discriminación salarial, mayor porcentaje de desempleo, etc.</w:t>
      </w:r>
      <w:r w:rsidRPr="00786B7D">
        <w:rPr>
          <w:rStyle w:val="Refdenotaalpie"/>
          <w:rFonts w:eastAsia="Calibri"/>
          <w:sz w:val="24"/>
          <w:szCs w:val="24"/>
        </w:rPr>
        <w:footnoteReference w:id="61"/>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lastRenderedPageBreak/>
        <w:t>El Título V (artículos 51 a 68 LOI), “El principio de igualdad en el empleo público”, se compone de cuatro Capítulos en los que se regulan los criterios de actuación en relación a la igualdad en las Administraciones Públicas y el principio de presencia equilibrada de mujeres y hombres en los órganos directivos, en los de selección y valoración del personal y en la designación de representantes de la Administración General del Estado. Se establecen medidas de Igualdad en el empleo para la Administración General y los organismos vinculados o dependientes de ella y, por último, incluye el respeto al principio de igualdad de las normas reguladoras de las Fuerzas Armadas y las Fuerzas y Cuerpos de Seguridad del Estado.</w:t>
      </w:r>
      <w:r w:rsidRPr="00786B7D">
        <w:rPr>
          <w:rStyle w:val="Refdenotaalpie"/>
          <w:rFonts w:eastAsia="Calibri"/>
          <w:sz w:val="24"/>
          <w:szCs w:val="24"/>
        </w:rPr>
        <w:footnoteReference w:id="62"/>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VI, “Igualdad de trato en el acceso a bienes y servicios y su suministro”, compuesto por los artículos del 69 al 72, regula el principio de igualdad de trato entre mujeres y hombres en el suministro de los bienes y servicios así como en el acceso a los mismos, sean del sector público o privado, protegiendo a la mujer embarazada y su privacidad y estableciendo una serie de prohibiciones que velan por la igualdad y evitan la discriminación por razón de sexo, así como las consecuencias del incumplimiento de las mismas.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VII, “La igualdad en la responsabilidad social de las empresas”, está dedicado a la posibilidad de las empresas de asumir de forma voluntaria acciones de responsabilidad social por las que establezcan medidas para fomentar la igualdad en la empresa y su entorno, pudiendo hacerse de forma concertada con las trabajadoras y los trabajadores, sus representantes o asociaciones cuyo fin sea la igualdad de trato entre mujeres y hombres.</w:t>
      </w:r>
      <w:r w:rsidRPr="00786B7D">
        <w:rPr>
          <w:rStyle w:val="Refdenotaalpie"/>
          <w:rFonts w:eastAsia="Calibri"/>
          <w:sz w:val="24"/>
          <w:szCs w:val="24"/>
        </w:rPr>
        <w:footnoteReference w:id="63"/>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Por último, el Título VIII recoge una serie de disposiciones organizativas en las cuales se crea una Comisión Interministerial de Igualdad entre mujeres y hombres y una Unidad de Igualdad en cada ministerio, así como un Consejo de Participación de la Mujer para aumentar la participación de esta en la efectividad del principio de igualdad. Contiene en las disposiciones adicionales aquellas modificaciones de las Leyes vigentes que se ven afectadas por la LOI y que deben adaptarse a lo que establece. Concluye el Título, y la LOI, con las disposiciones finales donde encontramos los fundamentos </w:t>
      </w:r>
      <w:r w:rsidRPr="00786B7D">
        <w:rPr>
          <w:rFonts w:eastAsia="Calibri"/>
          <w:sz w:val="24"/>
          <w:szCs w:val="24"/>
        </w:rPr>
        <w:lastRenderedPageBreak/>
        <w:t>constitucionales, su naturaleza, las transposiciones de Directivas Europeas o la fecha de entrada en vigor.</w:t>
      </w:r>
      <w:r w:rsidRPr="00786B7D">
        <w:rPr>
          <w:rStyle w:val="Refdenotaalpie"/>
          <w:rFonts w:eastAsia="Calibri"/>
          <w:sz w:val="24"/>
          <w:szCs w:val="24"/>
        </w:rPr>
        <w:footnoteReference w:id="64"/>
      </w:r>
    </w:p>
    <w:p w:rsidR="00E45A61" w:rsidRPr="00786B7D" w:rsidRDefault="00E45A61" w:rsidP="00E45A61">
      <w:pPr>
        <w:spacing w:line="360" w:lineRule="auto"/>
        <w:ind w:firstLine="360"/>
        <w:jc w:val="both"/>
        <w:rPr>
          <w:rFonts w:eastAsia="Calibri"/>
          <w:sz w:val="24"/>
          <w:szCs w:val="24"/>
        </w:rPr>
      </w:pPr>
    </w:p>
    <w:p w:rsidR="00E45A61" w:rsidRPr="00786B7D" w:rsidRDefault="00E45A61" w:rsidP="00E45A61">
      <w:pPr>
        <w:pStyle w:val="Ttulo3"/>
        <w:keepLines/>
        <w:numPr>
          <w:ilvl w:val="2"/>
          <w:numId w:val="6"/>
        </w:numPr>
        <w:spacing w:before="200" w:line="360" w:lineRule="auto"/>
        <w:jc w:val="both"/>
        <w:rPr>
          <w:rFonts w:ascii="Times New Roman" w:eastAsia="Calibri" w:hAnsi="Times New Roman"/>
          <w:szCs w:val="24"/>
        </w:rPr>
      </w:pPr>
      <w:bookmarkStart w:id="19" w:name="_Toc486503103"/>
      <w:r w:rsidRPr="00786B7D">
        <w:rPr>
          <w:rFonts w:ascii="Times New Roman" w:eastAsia="Calibri" w:hAnsi="Times New Roman"/>
          <w:szCs w:val="24"/>
        </w:rPr>
        <w:t>TIPOS DE DESIGUALDAD RECONOCIDAS POR LA LEY 3/2007, PARA LA IGUALDAD EFECTIVA ENTRE MUJERES Y HOMBRES.</w:t>
      </w:r>
      <w:bookmarkEnd w:id="19"/>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Título I de la LOI tiene un contenido conceptual que incluye una serie de nociones básicas que justifican el régimen jurídico, esta es una técnica generalizada de las normas del Derecho Comunitario</w:t>
      </w:r>
      <w:r w:rsidRPr="00786B7D">
        <w:rPr>
          <w:rStyle w:val="Refdenotaalpie"/>
          <w:rFonts w:eastAsia="Calibri"/>
          <w:sz w:val="24"/>
          <w:szCs w:val="24"/>
        </w:rPr>
        <w:footnoteReference w:id="65"/>
      </w:r>
      <w:r w:rsidRPr="00786B7D">
        <w:rPr>
          <w:rFonts w:eastAsia="Calibri"/>
          <w:sz w:val="24"/>
          <w:szCs w:val="24"/>
        </w:rPr>
        <w:t>. Algunas de estas nociones ya aparecían en nuestro ordenamiento español de forma poco precisa y otras eran introducidas por la jurisprudencia, pero no se encontraban recogidas en la legislación de manera precisa. Por tanto, encuentra su justificación en la necesidad de establecer y unificar de forma clara los conceptos básicos en relación a la igualdad entre mujeres y hombres, lo cual facilitará a los Tribunales correspondientes la toma de resoluciones en materia de igualdad y no discriminación y la aplicación de la LOI.</w:t>
      </w:r>
      <w:r w:rsidRPr="00786B7D">
        <w:rPr>
          <w:rStyle w:val="Refdenotaalpie"/>
          <w:rFonts w:eastAsia="Calibri"/>
          <w:sz w:val="24"/>
          <w:szCs w:val="24"/>
        </w:rPr>
        <w:footnoteReference w:id="66"/>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Entre los conceptos definidos en la LOI están tipos de discriminación que son los siguientes: directa e indirecta, acoso sexual y por razón de sexo, discriminación por embarazo y la indemnidad frente a represalias.</w:t>
      </w:r>
    </w:p>
    <w:p w:rsidR="00E45A61" w:rsidRPr="00786B7D" w:rsidRDefault="00E45A61" w:rsidP="00E45A61">
      <w:pPr>
        <w:pStyle w:val="Prrafodelista"/>
        <w:numPr>
          <w:ilvl w:val="0"/>
          <w:numId w:val="4"/>
        </w:numPr>
        <w:spacing w:after="160" w:line="360" w:lineRule="auto"/>
        <w:jc w:val="both"/>
        <w:rPr>
          <w:rFonts w:eastAsia="Calibri"/>
          <w:sz w:val="24"/>
          <w:szCs w:val="24"/>
        </w:rPr>
      </w:pPr>
      <w:r w:rsidRPr="00786B7D">
        <w:rPr>
          <w:rFonts w:eastAsia="Calibri"/>
          <w:sz w:val="24"/>
          <w:szCs w:val="24"/>
        </w:rPr>
        <w:t xml:space="preserve">La discriminación directa la encontramos definida en el artículo 6.1 de la LOI: </w:t>
      </w:r>
    </w:p>
    <w:p w:rsidR="00E45A61" w:rsidRPr="00786B7D" w:rsidRDefault="00E45A61" w:rsidP="00E45A61">
      <w:pPr>
        <w:spacing w:line="360" w:lineRule="auto"/>
        <w:ind w:firstLine="360"/>
        <w:jc w:val="both"/>
        <w:rPr>
          <w:i/>
          <w:sz w:val="24"/>
          <w:szCs w:val="24"/>
        </w:rPr>
      </w:pPr>
      <w:r w:rsidRPr="00786B7D">
        <w:rPr>
          <w:i/>
          <w:sz w:val="24"/>
          <w:szCs w:val="24"/>
        </w:rPr>
        <w:t>“Se considera discriminación directa por razón de sexo la situación en que se encuentra una persona que sea, haya sido o pudiera ser tratada, en atención a su sexo, de manera menos favorable que otra en situación comparable”.</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Por tanto, la discriminación es directa cuando el tratamiento diferenciado o desfavorable, perjudicial a una persona o grupo de personas tiene como base una característica de la persona discriminada, en este caso su sexo.</w:t>
      </w:r>
      <w:r w:rsidRPr="00786B7D">
        <w:rPr>
          <w:rStyle w:val="Refdenotaalpie"/>
          <w:rFonts w:eastAsia="Calibri"/>
          <w:sz w:val="24"/>
          <w:szCs w:val="24"/>
        </w:rPr>
        <w:footnoteReference w:id="67"/>
      </w:r>
      <w:r w:rsidRPr="00786B7D">
        <w:rPr>
          <w:rFonts w:eastAsia="Calibri"/>
          <w:sz w:val="24"/>
          <w:szCs w:val="24"/>
        </w:rPr>
        <w:t xml:space="preserve">El trato desfavorable no tiene justificación racional, pues se realiza específicamente sobre el criterio que define </w:t>
      </w:r>
      <w:r w:rsidRPr="00786B7D">
        <w:rPr>
          <w:rFonts w:eastAsia="Calibri"/>
          <w:sz w:val="24"/>
          <w:szCs w:val="24"/>
        </w:rPr>
        <w:lastRenderedPageBreak/>
        <w:t>el tipo de persona que resulta discriminada</w:t>
      </w:r>
      <w:r w:rsidRPr="00786B7D">
        <w:rPr>
          <w:rStyle w:val="Refdenotaalpie"/>
          <w:rFonts w:eastAsia="Calibri"/>
          <w:sz w:val="24"/>
          <w:szCs w:val="24"/>
        </w:rPr>
        <w:footnoteReference w:id="68"/>
      </w:r>
      <w:r w:rsidRPr="00786B7D">
        <w:rPr>
          <w:rFonts w:eastAsia="Calibri"/>
          <w:sz w:val="24"/>
          <w:szCs w:val="24"/>
        </w:rPr>
        <w:t xml:space="preserve">, en el caso de la discriminación de género, su sexo. A su vez, pueden diferenciarse dos tipos: abiertas, en las que se ve de forma clara la intención del causante; encubiertas, más difíciles de probar por la persona discriminada, pueden confundirse con las indirectas, pero en el caso de las encubiertas existe intención de discriminar.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El artículo 8 de la LOI reconoce que </w:t>
      </w:r>
      <w:r w:rsidRPr="00786B7D">
        <w:rPr>
          <w:rFonts w:eastAsia="Calibri"/>
          <w:i/>
          <w:sz w:val="24"/>
          <w:szCs w:val="24"/>
        </w:rPr>
        <w:t>“Constituye discriminación directa por razón de sexo todo trato desfavorable a las mujeres relacionado con el embarazo o la maternidad.”</w:t>
      </w:r>
      <w:r w:rsidRPr="00786B7D">
        <w:rPr>
          <w:rFonts w:eastAsia="Calibri"/>
          <w:sz w:val="24"/>
          <w:szCs w:val="24"/>
        </w:rPr>
        <w:t xml:space="preserve"> De este modo el legislador califica discriminación por embarazo o maternidad como discriminación directa, lo cual no significa la exclusión de los supuestos de discriminación indirecta por maternidad o embarazo, sino que señala de forma explícita el rechazo hacia el trato desfavorable a la mujer por esos motivos. Esta discriminación está muy presente en el ámbito laboral, donde son numerosas las causas por las que la mujer es discriminada cuando se queda embarazada o es madre, algunas de ellas son: menor retribución o peores condiciones laborales, despido por razón de embarazo motivado por la baja por maternidad o incapacidad por trastornos posteriores al parto.</w:t>
      </w:r>
      <w:r w:rsidRPr="00786B7D">
        <w:rPr>
          <w:rStyle w:val="Refdenotaalpie"/>
          <w:rFonts w:eastAsia="Calibri"/>
          <w:sz w:val="24"/>
          <w:szCs w:val="24"/>
        </w:rPr>
        <w:footnoteReference w:id="69"/>
      </w:r>
    </w:p>
    <w:p w:rsidR="00E45A61" w:rsidRPr="00786B7D" w:rsidRDefault="00E45A61" w:rsidP="00E45A61">
      <w:pPr>
        <w:spacing w:line="360" w:lineRule="auto"/>
        <w:jc w:val="both"/>
        <w:rPr>
          <w:rFonts w:eastAsia="Calibri"/>
          <w:sz w:val="24"/>
          <w:szCs w:val="24"/>
        </w:rPr>
      </w:pPr>
    </w:p>
    <w:p w:rsidR="00E45A61" w:rsidRPr="00786B7D" w:rsidRDefault="00E45A61" w:rsidP="00E45A61">
      <w:pPr>
        <w:pStyle w:val="Prrafodelista"/>
        <w:numPr>
          <w:ilvl w:val="0"/>
          <w:numId w:val="4"/>
        </w:numPr>
        <w:spacing w:after="160" w:line="360" w:lineRule="auto"/>
        <w:jc w:val="both"/>
        <w:rPr>
          <w:rFonts w:eastAsia="Calibri"/>
          <w:sz w:val="24"/>
          <w:szCs w:val="24"/>
        </w:rPr>
      </w:pPr>
      <w:r w:rsidRPr="00786B7D">
        <w:rPr>
          <w:rFonts w:eastAsia="Calibri"/>
          <w:sz w:val="24"/>
          <w:szCs w:val="24"/>
        </w:rPr>
        <w:t xml:space="preserve">La discriminación es indirecta, conforme al artículo 6.2 de la LOI: </w:t>
      </w:r>
    </w:p>
    <w:p w:rsidR="00E45A61" w:rsidRPr="00786B7D" w:rsidRDefault="00E45A61" w:rsidP="00E45A61">
      <w:pPr>
        <w:spacing w:line="360" w:lineRule="auto"/>
        <w:ind w:firstLine="360"/>
        <w:jc w:val="both"/>
        <w:rPr>
          <w:i/>
          <w:sz w:val="24"/>
          <w:szCs w:val="24"/>
        </w:rPr>
      </w:pPr>
      <w:r w:rsidRPr="00786B7D">
        <w:rPr>
          <w:i/>
          <w:sz w:val="24"/>
          <w:szCs w:val="24"/>
        </w:rPr>
        <w:t>“Se considera discriminación indirecta por razón de sexo la situación en que una disposición, criterio o práctica aparentemente neutros pone a personas de un sexo en desventaja particular con respecto a personas del otro, salvo que dicha disposición, criterio o práctica puedan justificarse objetivamente en atención a una finalidad legítima y que los medios para alcanzar dicha finalidad sean necesarios y adecuados.”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Se refiere a aquellos tratamientos jurídicos, formalmente no discriminatorios, que derivan en perjudiciales o discriminatorias para las mujeres, en su aplicación real. En un principio, no parecen ser medidas discriminatorias, pues no es la intencionalidad del sujeto que así sea. </w:t>
      </w:r>
      <w:r w:rsidRPr="00786B7D">
        <w:rPr>
          <w:rStyle w:val="Refdenotaalpie"/>
          <w:rFonts w:eastAsia="Calibri"/>
          <w:sz w:val="24"/>
          <w:szCs w:val="24"/>
        </w:rPr>
        <w:footnoteReference w:id="70"/>
      </w:r>
      <w:r w:rsidRPr="00786B7D">
        <w:rPr>
          <w:rFonts w:eastAsia="Calibri"/>
          <w:sz w:val="24"/>
          <w:szCs w:val="24"/>
        </w:rPr>
        <w:t xml:space="preserve">Hay una excepción a la discriminación indirecta, pues no será discriminación si la disposición, criterio o práctica están objetivamente justificados por una finalidad legítima y se realice con medios adecuados. La diferencia entre ambas es </w:t>
      </w:r>
      <w:r w:rsidRPr="00786B7D">
        <w:rPr>
          <w:rFonts w:eastAsia="Calibri"/>
          <w:sz w:val="24"/>
          <w:szCs w:val="24"/>
        </w:rPr>
        <w:lastRenderedPageBreak/>
        <w:t>que esta no parte de un motivo discriminatorio sino de una política que resulta desfavorable para la mujer y que tiene resultados en la práctica.</w:t>
      </w:r>
      <w:r w:rsidRPr="00786B7D">
        <w:rPr>
          <w:rStyle w:val="Refdenotaalpie"/>
          <w:rFonts w:eastAsia="Calibri"/>
          <w:sz w:val="24"/>
          <w:szCs w:val="24"/>
        </w:rPr>
        <w:footnoteReference w:id="71"/>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Añade, el artículo 6.3 de la LOI, que en todo caso será discriminatoria una orden de discriminar por razón de sexo.</w:t>
      </w:r>
    </w:p>
    <w:p w:rsidR="00E45A61" w:rsidRPr="00786B7D" w:rsidRDefault="00E45A61" w:rsidP="00E45A61">
      <w:pPr>
        <w:pStyle w:val="Prrafodelista"/>
        <w:numPr>
          <w:ilvl w:val="0"/>
          <w:numId w:val="4"/>
        </w:numPr>
        <w:spacing w:after="160" w:line="360" w:lineRule="auto"/>
        <w:jc w:val="both"/>
        <w:rPr>
          <w:rFonts w:eastAsia="Calibri"/>
          <w:sz w:val="24"/>
          <w:szCs w:val="24"/>
        </w:rPr>
      </w:pPr>
      <w:r w:rsidRPr="00786B7D">
        <w:rPr>
          <w:rFonts w:eastAsia="Calibri"/>
          <w:sz w:val="24"/>
          <w:szCs w:val="24"/>
        </w:rPr>
        <w:t xml:space="preserve">El acoso sexual y el acoso por razón de sexo quedan expuestos en el artículo 7 de la LOI: </w:t>
      </w:r>
    </w:p>
    <w:p w:rsidR="00E45A61" w:rsidRPr="00786B7D" w:rsidRDefault="00E45A61" w:rsidP="00E45A61">
      <w:pPr>
        <w:spacing w:line="360" w:lineRule="auto"/>
        <w:ind w:firstLine="360"/>
        <w:jc w:val="both"/>
        <w:rPr>
          <w:i/>
          <w:sz w:val="24"/>
          <w:szCs w:val="24"/>
        </w:rPr>
      </w:pPr>
      <w:r w:rsidRPr="00786B7D">
        <w:rPr>
          <w:i/>
          <w:sz w:val="24"/>
          <w:szCs w:val="24"/>
        </w:rPr>
        <w:t xml:space="preserve">“1. Sin perjuicio de lo establecido en el Código Penal, a los efectos de esta Ley constituye acoso sexual cualquier comportamiento, verbal o físico, de naturaleza sexual que tenga el propósito o produzca el efecto de atentar contra la dignidad de una persona, en particular cuando se crea un entorno intimidatorio, degradante u ofensivo. </w:t>
      </w:r>
    </w:p>
    <w:p w:rsidR="00E45A61" w:rsidRPr="00786B7D" w:rsidRDefault="00E45A61" w:rsidP="00E45A61">
      <w:pPr>
        <w:spacing w:line="360" w:lineRule="auto"/>
        <w:ind w:firstLine="360"/>
        <w:jc w:val="both"/>
        <w:rPr>
          <w:i/>
          <w:sz w:val="24"/>
          <w:szCs w:val="24"/>
        </w:rPr>
      </w:pPr>
      <w:r w:rsidRPr="00786B7D">
        <w:rPr>
          <w:i/>
          <w:sz w:val="24"/>
          <w:szCs w:val="24"/>
        </w:rPr>
        <w:t>2. Constituye acoso por razón de sexo cualquier comportamiento realizado en función del sexo de una persona, con el propósito o el efecto de atentar contra su dignidad y de crear un entorno intimidatorio, degradante u ofensivo.”</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La diferencia del acoso sexual con el acoso por razón de sexo es la naturaleza de cada acoso, pues el acoso por razón de sexo no tiene naturaleza sexual, sino que se realiza en función del sexo de una persona. Con el apartado segundo, se introduce como conducta delictiva las actuaciones realizadas con el fin de intimidar a alguien por el hecho de pertenecer a un determinado sexo, sin tener intenciones de mantener relaciones sexuales con esa persona.</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El artículo 13.3 de la LOI establece que quedan legitimados para solicitar el amparo de los tribunales frente a cualquiera de estos acosos, solo la víctima del mismo, excluyéndose a asociaciones o sindicatos que nacen con ese propósito, lo cual es incongruente, teniendo en cuenta que en otros casos la LOI legitima a más sujetos para iniciar el procedimiento correspondiente.</w:t>
      </w:r>
      <w:r w:rsidRPr="00786B7D">
        <w:rPr>
          <w:rStyle w:val="Refdenotaalpie"/>
          <w:rFonts w:eastAsia="Calibri"/>
          <w:sz w:val="24"/>
          <w:szCs w:val="24"/>
        </w:rPr>
        <w:footnoteReference w:id="72"/>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Por último, establece el apartado final de este artículo (7.4 LOI) que compone una conducta discriminatoria el hecho de que un derecho o la expectativa del mismo se condicionen a una situación de acoso sexual o por razón de sexo. Es decir, no solo es discriminación la realización de dichas conductas, sino que también se considera como tal el hecho de vincular la consecución beneficio, ventaja o derecho, a las mismas.</w:t>
      </w:r>
    </w:p>
    <w:p w:rsidR="00E45A61" w:rsidRPr="00786B7D" w:rsidRDefault="00E45A61" w:rsidP="00E45A61">
      <w:pPr>
        <w:spacing w:line="360" w:lineRule="auto"/>
        <w:ind w:firstLine="360"/>
        <w:jc w:val="both"/>
        <w:rPr>
          <w:rFonts w:eastAsia="Calibri"/>
          <w:sz w:val="24"/>
          <w:szCs w:val="24"/>
        </w:rPr>
      </w:pPr>
    </w:p>
    <w:p w:rsidR="00E45A61" w:rsidRPr="00786B7D" w:rsidRDefault="00E45A61" w:rsidP="00E45A61">
      <w:pPr>
        <w:pStyle w:val="Prrafodelista"/>
        <w:numPr>
          <w:ilvl w:val="0"/>
          <w:numId w:val="4"/>
        </w:numPr>
        <w:spacing w:after="160" w:line="360" w:lineRule="auto"/>
        <w:jc w:val="both"/>
        <w:rPr>
          <w:rFonts w:eastAsia="Calibri"/>
          <w:sz w:val="24"/>
          <w:szCs w:val="24"/>
        </w:rPr>
      </w:pPr>
      <w:r w:rsidRPr="00786B7D">
        <w:rPr>
          <w:rFonts w:eastAsia="Calibri"/>
          <w:sz w:val="24"/>
          <w:szCs w:val="24"/>
        </w:rPr>
        <w:lastRenderedPageBreak/>
        <w:t>Queda tipificada como una clase de discriminación la indemnidad frente a represalias, conjugada en el artículo 9 de la LOI.</w:t>
      </w:r>
    </w:p>
    <w:p w:rsidR="00E45A61" w:rsidRPr="00786B7D" w:rsidRDefault="00E45A61" w:rsidP="00E45A61">
      <w:pPr>
        <w:spacing w:line="360" w:lineRule="auto"/>
        <w:ind w:firstLine="360"/>
        <w:jc w:val="both"/>
        <w:rPr>
          <w:rFonts w:eastAsia="Calibri"/>
          <w:i/>
          <w:sz w:val="24"/>
          <w:szCs w:val="24"/>
        </w:rPr>
      </w:pPr>
      <w:r w:rsidRPr="00786B7D">
        <w:rPr>
          <w:rFonts w:eastAsia="Calibri"/>
          <w:i/>
          <w:sz w:val="24"/>
          <w:szCs w:val="24"/>
        </w:rPr>
        <w:t>“También se considerará discriminación por razón de sexo cualquier trato adverso o efecto negativo que se produzca en una persona como consecuencia de la presentación por su parte de queja, reclamación, denuncia, demanda o recurso, de cualquier tipo, destinados a impedir su discriminación y a exigir el cumplimiento efectivo del principio de igualdad de trato entre mujeres y hombres.”</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 Se pretende con este artículo que cuando un empleado interponga una queja, reclamación, denuncia, demanda o recurso para exigir el cumplimiento del principio de igualdad de trato entre mujeres y hombres no se vuelvan contra esa persona y tenga un efecto adverso o negativo. Esto es, cuando una empleada inicie acciones para evitar una situación de discriminación que está sufriendo en el trabajo, no tenga consecuencias negativas para ella como puede ser su despido. Se trata de evitar que los trabajadores no exijan el cumplimiento de sus derechos por miedo de las represalias que puedan recaer sobre ellos.</w:t>
      </w:r>
      <w:r w:rsidRPr="00786B7D">
        <w:rPr>
          <w:rStyle w:val="Refdenotaalpie"/>
          <w:rFonts w:eastAsia="Calibri"/>
          <w:sz w:val="24"/>
          <w:szCs w:val="24"/>
        </w:rPr>
        <w:footnoteReference w:id="73"/>
      </w:r>
    </w:p>
    <w:p w:rsidR="00E45A61" w:rsidRPr="00786B7D" w:rsidRDefault="00E45A61" w:rsidP="00E45A61">
      <w:pPr>
        <w:spacing w:line="360" w:lineRule="auto"/>
        <w:ind w:firstLine="360"/>
        <w:jc w:val="both"/>
        <w:rPr>
          <w:rFonts w:eastAsia="Calibri"/>
          <w:sz w:val="24"/>
          <w:szCs w:val="24"/>
        </w:rPr>
      </w:pPr>
    </w:p>
    <w:p w:rsidR="00E45A61" w:rsidRPr="00786B7D" w:rsidRDefault="00E45A61" w:rsidP="00E45A61">
      <w:pPr>
        <w:pStyle w:val="Ttulo3"/>
        <w:keepLines/>
        <w:numPr>
          <w:ilvl w:val="2"/>
          <w:numId w:val="6"/>
        </w:numPr>
        <w:spacing w:before="200" w:line="360" w:lineRule="auto"/>
        <w:jc w:val="both"/>
        <w:rPr>
          <w:rFonts w:ascii="Times New Roman" w:eastAsia="Calibri" w:hAnsi="Times New Roman"/>
          <w:szCs w:val="24"/>
        </w:rPr>
      </w:pPr>
      <w:bookmarkStart w:id="20" w:name="_Toc486503104"/>
      <w:r w:rsidRPr="00786B7D">
        <w:rPr>
          <w:rFonts w:ascii="Times New Roman" w:eastAsia="Calibri" w:hAnsi="Times New Roman"/>
          <w:szCs w:val="24"/>
        </w:rPr>
        <w:t>PRINCIPALES PROBLEMAS DE LA LEY 3/2007 PARA LA IGUALDAD EFECTIVA ENTRE MUJERES Y HOMBRES.</w:t>
      </w:r>
      <w:bookmarkEnd w:id="20"/>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 xml:space="preserve">A pesar de que esta ley se presenta como una herramienta coherente para llegar a la igualdad efectiva, la utilización del Derecho en la lucha contra la discriminación </w:t>
      </w:r>
      <w:r w:rsidRPr="00786B7D">
        <w:rPr>
          <w:i/>
          <w:sz w:val="24"/>
          <w:szCs w:val="24"/>
        </w:rPr>
        <w:t>“a pesar de ser absolutamente necesaria posee un alcance limitado. Es necesario porque todos somos conscientes de la capacidad del Derecho como factor de cambio social, tiene un alcance limitado porque los cambios sociales no llegan de la noche a la mañana…”</w:t>
      </w:r>
      <w:r w:rsidRPr="00786B7D">
        <w:rPr>
          <w:rStyle w:val="Refdenotaalpie"/>
          <w:sz w:val="24"/>
          <w:szCs w:val="24"/>
        </w:rPr>
        <w:footnoteReference w:id="74"/>
      </w:r>
      <w:r w:rsidRPr="00786B7D">
        <w:rPr>
          <w:sz w:val="24"/>
          <w:szCs w:val="24"/>
        </w:rPr>
        <w:t>. Es por ello que me dispongo a analizar algunas de las herramientas o medidas propuestas más destacadas en relación al ámbito laboral, en el marco del empleo público y privado, para conocer su eficacia o su ineficacia, siendo el problema principal de la LOI, la incompetencia de sus medidas o políticas.</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Prrafodelista"/>
        <w:numPr>
          <w:ilvl w:val="0"/>
          <w:numId w:val="5"/>
        </w:numPr>
        <w:spacing w:after="160" w:line="360" w:lineRule="auto"/>
        <w:jc w:val="both"/>
        <w:rPr>
          <w:sz w:val="24"/>
          <w:szCs w:val="24"/>
        </w:rPr>
      </w:pPr>
      <w:r w:rsidRPr="00786B7D">
        <w:rPr>
          <w:sz w:val="24"/>
          <w:szCs w:val="24"/>
        </w:rPr>
        <w:t>Ámbito público:</w:t>
      </w:r>
    </w:p>
    <w:p w:rsidR="00E45A61" w:rsidRPr="00786B7D" w:rsidRDefault="00E45A61" w:rsidP="00E45A61">
      <w:pPr>
        <w:spacing w:line="360" w:lineRule="auto"/>
        <w:ind w:firstLine="360"/>
        <w:jc w:val="both"/>
        <w:rPr>
          <w:sz w:val="24"/>
          <w:szCs w:val="24"/>
        </w:rPr>
      </w:pPr>
      <w:r w:rsidRPr="00786B7D">
        <w:rPr>
          <w:sz w:val="24"/>
          <w:szCs w:val="24"/>
        </w:rPr>
        <w:lastRenderedPageBreak/>
        <w:t>En este ámbito la LOI establece numerosas y distintas medidas, políticas y principios de actuación para que la igualdad material se logre, más allá de la igualdad formal. Estas medidas quedan recogidas en el Título V que comienza con los criterios de actuación de las Administraciones públicas en relación con la aplicación del principio de igualdad entre mujeres y hombres y que son:</w:t>
      </w:r>
    </w:p>
    <w:p w:rsidR="00E45A61" w:rsidRPr="00786B7D" w:rsidRDefault="00E45A61" w:rsidP="00E45A61">
      <w:pPr>
        <w:pStyle w:val="parrafo1"/>
        <w:spacing w:line="360" w:lineRule="auto"/>
        <w:rPr>
          <w:i/>
        </w:rPr>
      </w:pPr>
      <w:r w:rsidRPr="00786B7D">
        <w:rPr>
          <w:i/>
        </w:rPr>
        <w:t>“a) Remover los obstáculos que impliquen la pervivencia de cualquier tipo de discriminación con el fin de ofrecer condiciones de igualdad efectiva entre mujeres y hombres en el acceso al empleo público y en el desarrollo de la carrera profesional.</w:t>
      </w:r>
    </w:p>
    <w:p w:rsidR="00E45A61" w:rsidRPr="00786B7D" w:rsidRDefault="00E45A61" w:rsidP="00E45A61">
      <w:pPr>
        <w:pStyle w:val="parrafo1"/>
        <w:spacing w:line="360" w:lineRule="auto"/>
        <w:rPr>
          <w:i/>
        </w:rPr>
      </w:pPr>
      <w:r w:rsidRPr="00786B7D">
        <w:rPr>
          <w:i/>
        </w:rPr>
        <w:t>b) Facilitar la conciliación de la vida personal, familiar y laboral, sin menoscabo de la promoción profesional.</w:t>
      </w:r>
    </w:p>
    <w:p w:rsidR="00E45A61" w:rsidRPr="00786B7D" w:rsidRDefault="00E45A61" w:rsidP="00E45A61">
      <w:pPr>
        <w:pStyle w:val="parrafo1"/>
        <w:spacing w:line="360" w:lineRule="auto"/>
        <w:rPr>
          <w:i/>
        </w:rPr>
      </w:pPr>
      <w:r w:rsidRPr="00786B7D">
        <w:rPr>
          <w:i/>
        </w:rPr>
        <w:t>c) Fomentar la formación en igualdad, tanto en el acceso al empleo público como a lo largo de la carrera profesional.</w:t>
      </w:r>
    </w:p>
    <w:p w:rsidR="00E45A61" w:rsidRPr="00786B7D" w:rsidRDefault="00E45A61" w:rsidP="00E45A61">
      <w:pPr>
        <w:pStyle w:val="parrafo1"/>
        <w:spacing w:line="360" w:lineRule="auto"/>
        <w:rPr>
          <w:i/>
        </w:rPr>
      </w:pPr>
      <w:r w:rsidRPr="00786B7D">
        <w:rPr>
          <w:i/>
        </w:rPr>
        <w:t>d) Promover la presencia equilibrada de mujeres y hombres en los órganos de selección y valoración.</w:t>
      </w:r>
    </w:p>
    <w:p w:rsidR="00E45A61" w:rsidRPr="00786B7D" w:rsidRDefault="00E45A61" w:rsidP="00E45A61">
      <w:pPr>
        <w:pStyle w:val="parrafo1"/>
        <w:spacing w:line="360" w:lineRule="auto"/>
        <w:rPr>
          <w:i/>
        </w:rPr>
      </w:pPr>
      <w:r w:rsidRPr="00786B7D">
        <w:rPr>
          <w:i/>
        </w:rPr>
        <w:t>e) Establecer medidas efectivas de protección frente al acoso sexual y al acoso por razón de sexo.</w:t>
      </w:r>
    </w:p>
    <w:p w:rsidR="00E45A61" w:rsidRPr="00786B7D" w:rsidRDefault="00E45A61" w:rsidP="00E45A61">
      <w:pPr>
        <w:pStyle w:val="parrafo1"/>
        <w:spacing w:line="360" w:lineRule="auto"/>
        <w:rPr>
          <w:i/>
        </w:rPr>
      </w:pPr>
      <w:r w:rsidRPr="00786B7D">
        <w:rPr>
          <w:i/>
        </w:rPr>
        <w:t>f) Establecer medidas efectivas para eliminar cualquier discriminación retributiva, directa o indirecta, por razón de sexo.</w:t>
      </w:r>
    </w:p>
    <w:p w:rsidR="00E45A61" w:rsidRPr="00786B7D" w:rsidRDefault="00E45A61" w:rsidP="00E45A61">
      <w:pPr>
        <w:pStyle w:val="parrafo1"/>
        <w:spacing w:line="360" w:lineRule="auto"/>
      </w:pPr>
      <w:r w:rsidRPr="00786B7D">
        <w:rPr>
          <w:i/>
        </w:rPr>
        <w:t>g) Evaluar periódicamente la efectividad del principio de igualdad en sus respectivos ámbitos de actuación</w:t>
      </w:r>
      <w:r w:rsidRPr="00786B7D">
        <w:t>.”</w:t>
      </w:r>
      <w:r w:rsidRPr="00786B7D">
        <w:rPr>
          <w:rStyle w:val="Refdenotaalpie"/>
        </w:rPr>
        <w:footnoteReference w:id="75"/>
      </w:r>
    </w:p>
    <w:p w:rsidR="00E45A61" w:rsidRPr="00786B7D" w:rsidRDefault="00E45A61" w:rsidP="00E45A61">
      <w:pPr>
        <w:spacing w:line="360" w:lineRule="auto"/>
        <w:ind w:firstLine="360"/>
        <w:jc w:val="both"/>
        <w:rPr>
          <w:sz w:val="24"/>
          <w:szCs w:val="24"/>
        </w:rPr>
      </w:pPr>
      <w:r w:rsidRPr="00786B7D">
        <w:rPr>
          <w:sz w:val="24"/>
          <w:szCs w:val="24"/>
        </w:rPr>
        <w:t>En el cumplimiento de estos criterios de actuación, destaca una de las medidas que quedan recogidas a lo largo de dicho Título y es el Plan de Igualdad que, como indica el artículo 64 de la LOI, establecerá los objetivos a alcanzar en relación al principio de igualdad de trato y de oportunidades en el empleo público, indicando las estrategias que deben tomarse para su consecución.</w:t>
      </w:r>
    </w:p>
    <w:p w:rsidR="00E45A61" w:rsidRPr="00786B7D" w:rsidRDefault="00E45A61" w:rsidP="00E45A61">
      <w:pPr>
        <w:spacing w:line="360" w:lineRule="auto"/>
        <w:ind w:firstLine="360"/>
        <w:jc w:val="both"/>
        <w:rPr>
          <w:sz w:val="24"/>
          <w:szCs w:val="24"/>
        </w:rPr>
      </w:pPr>
      <w:r w:rsidRPr="00786B7D">
        <w:rPr>
          <w:sz w:val="24"/>
          <w:szCs w:val="24"/>
        </w:rPr>
        <w:t xml:space="preserve">Cada Gobierno está obligado a la aprobación de dicho Plan para la consecución del cumplimiento del principio de igualdad. Esta es la medida más destacable en el ámbito del empleo público, en relación a asegurar el principio de igualdad, pues las medidas y </w:t>
      </w:r>
      <w:r w:rsidRPr="00786B7D">
        <w:rPr>
          <w:sz w:val="24"/>
          <w:szCs w:val="24"/>
        </w:rPr>
        <w:lastRenderedPageBreak/>
        <w:t xml:space="preserve">estrategias que en él se recojan se encuentran entre aquellas reconocidas a lo largo de la LOI, debiendo de aplicarse según lo indica el propio Plan.  En la actualidad, encontramos vigente el II Plan para la igualdad entre mujeres y hombres en la Administración General del Estado y en sus Organismos Públicos (en adelante, II Plan de Igualdad). El objetivo de este II Plan de Igualdad es </w:t>
      </w:r>
      <w:r w:rsidRPr="00786B7D">
        <w:rPr>
          <w:i/>
          <w:sz w:val="24"/>
          <w:szCs w:val="24"/>
        </w:rPr>
        <w:t>“dar continuidad a los logros alcanzados con el I Pan y avanzar en la consecución de los objetivos de igualdad con la inclusión de las medidas anteriores y la incorporación al mismo tiempo de los nuevos objetivos y enfoques en materia de igualdad en el empleo propuestos en Plan Estratégico de Igualdad de Oportunidades 2014-2016.”</w:t>
      </w:r>
      <w:r w:rsidRPr="00786B7D">
        <w:rPr>
          <w:rStyle w:val="Refdenotaalpie"/>
          <w:i/>
          <w:sz w:val="24"/>
          <w:szCs w:val="24"/>
        </w:rPr>
        <w:footnoteReference w:id="76"/>
      </w:r>
    </w:p>
    <w:p w:rsidR="00E45A61" w:rsidRPr="00786B7D" w:rsidRDefault="00E45A61" w:rsidP="00E45A61">
      <w:pPr>
        <w:spacing w:line="360" w:lineRule="auto"/>
        <w:ind w:firstLine="360"/>
        <w:jc w:val="both"/>
        <w:rPr>
          <w:sz w:val="24"/>
          <w:szCs w:val="24"/>
        </w:rPr>
      </w:pPr>
      <w:r w:rsidRPr="00786B7D">
        <w:rPr>
          <w:sz w:val="24"/>
          <w:szCs w:val="24"/>
        </w:rPr>
        <w:t>Para conseguir lo anterior el II Plan contiene los siguientes ejes: acceso al empleo público, igualdad, condiciones de trabajo y carrera profesional, formación, información y sensibilización, tiempo de trabajo, conciliación y corresponsabilidad de la vida personal, familiar y laboral, retribuciones, violencia de género y otras situaciones de especial protección y medidas instrumentales. No obstante, este plan es reciente y hasta su conclusión no se conocerá su efectividad, por tanto, me centraré en los resultados del I Plan de Igualdad que son expuestos y analizados en el II Plan de Igualdad</w:t>
      </w:r>
      <w:r w:rsidRPr="00786B7D">
        <w:rPr>
          <w:rStyle w:val="Refdenotaalpie"/>
          <w:sz w:val="24"/>
          <w:szCs w:val="24"/>
        </w:rPr>
        <w:footnoteReference w:id="77"/>
      </w:r>
      <w:r w:rsidRPr="00786B7D">
        <w:rPr>
          <w:sz w:val="24"/>
          <w:szCs w:val="24"/>
        </w:rPr>
        <w:t>.</w:t>
      </w:r>
    </w:p>
    <w:p w:rsidR="00E45A61" w:rsidRPr="00786B7D" w:rsidRDefault="00E45A61" w:rsidP="00E45A61">
      <w:pPr>
        <w:spacing w:line="360" w:lineRule="auto"/>
        <w:ind w:firstLine="360"/>
        <w:jc w:val="both"/>
        <w:rPr>
          <w:sz w:val="24"/>
          <w:szCs w:val="24"/>
        </w:rPr>
      </w:pPr>
      <w:r w:rsidRPr="00786B7D">
        <w:rPr>
          <w:sz w:val="24"/>
          <w:szCs w:val="24"/>
        </w:rPr>
        <w:t>El análisis se divide en distintos ejes, el primero es la “profundización en el diagnóstico”, cuyos resultados muestran que del total de empleados de la Administración General del Estado (en adelante, AGE), el 51,3% corresponde a mujeres y el 48,7% a hombres, cumpliendo por tanto con el principio de equilibrio entre mujeres y hombres, que establece la LOI.</w:t>
      </w:r>
      <w:r w:rsidRPr="00786B7D">
        <w:rPr>
          <w:rStyle w:val="Refdenotaalpie"/>
          <w:sz w:val="24"/>
          <w:szCs w:val="24"/>
        </w:rPr>
        <w:footnoteReference w:id="78"/>
      </w:r>
      <w:r w:rsidRPr="00786B7D">
        <w:rPr>
          <w:sz w:val="24"/>
          <w:szCs w:val="24"/>
        </w:rPr>
        <w:t xml:space="preserve"> En cuanto al eje “acceso al empleo público”, se cumple de forma genérica con el equilibrio entre mujeres y hombres, rompiéndose en la mayoría de los casos por superar el número de mujeres admitidas o que han accedido, al de los hombres. Se ha logrado, asimismo, el equilibrio en la provisión de los puestos de trabajo, excepto en los niveles 28 y 30, donde aún hay mayoría de hombres, no obstante el porcentaje de mujeres es superior al 38%, cerca del límite establecido para el equilibrio. En referencia al eje “ordenación del tiempo de trabajo, corresponsabilidad y medidas de conciliación de la vida personal, familiar y laboral”, se observa una </w:t>
      </w:r>
      <w:r w:rsidRPr="00786B7D">
        <w:rPr>
          <w:sz w:val="24"/>
          <w:szCs w:val="24"/>
        </w:rPr>
        <w:lastRenderedPageBreak/>
        <w:t>progresividad en el aumento de los permisos concedidos por paternidad al personal funcionario, en el periodo de 2011-2012, que constituyen un 167,9% más que los del periodo anterior; en el caso del personal laboral, el permiso de paternidad alcanza el 68,52%.  Respecto a las “situaciones de especial protección” como son el acoso sexual y el acoso por razón de sexo, se estableció un protocolo de actuación de la AGE, no obstante, solo 23 centros directivos se han adaptado a él y los datos proporcionados por dichos centros son mínimos para realizar un análisis certero; situación parecida es la que se produce respecto a los protocolos y la movilidad de las víctimas de violencia de género. Por último, tampoco pueden sacarse conclusiones sobre el eje de “retribuciones” de mujeres y hombres, por la falta de datos sobre las mismas.</w:t>
      </w:r>
    </w:p>
    <w:p w:rsidR="00E45A61" w:rsidRPr="00786B7D" w:rsidRDefault="00E45A61" w:rsidP="00E45A61">
      <w:pPr>
        <w:spacing w:line="360" w:lineRule="auto"/>
        <w:ind w:firstLine="360"/>
        <w:jc w:val="both"/>
        <w:rPr>
          <w:sz w:val="24"/>
          <w:szCs w:val="24"/>
        </w:rPr>
      </w:pPr>
      <w:r w:rsidRPr="00786B7D">
        <w:rPr>
          <w:sz w:val="24"/>
          <w:szCs w:val="24"/>
        </w:rPr>
        <w:t xml:space="preserve">Por tanto, observamos la eficacia del I Plan de Igualdad en la mayoría de los ejes o ámbitos que trata, pues los resultados son favorables con respecto al objetivo principal que es eliminar la discriminación de género. No obstante, es necesario tomar nuevas medidas y hacer aquellas existentes más estrictas en ámbitos en los que no ha sido aplicado el I Plan o no se han obtenido los resultados esperados, como en el eje de “situaciones de especial protección” y “retribución”, cuya situación no podemos conocer con certeza por no contar con los datos necesario para realizar un análisis. En definitiva, se observa que las medidas del I Plan, de forma general, están siendo positivas, no obstante, no debemos ser conformistas con estos resultados, debiendo el II Plan mejorarlos, hasta conseguir la igualdad de género en todos los ámbitos u ejes objeto del Plan. </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Prrafodelista"/>
        <w:numPr>
          <w:ilvl w:val="0"/>
          <w:numId w:val="5"/>
        </w:numPr>
        <w:spacing w:after="160" w:line="360" w:lineRule="auto"/>
        <w:jc w:val="both"/>
        <w:rPr>
          <w:sz w:val="24"/>
          <w:szCs w:val="24"/>
        </w:rPr>
      </w:pPr>
      <w:r w:rsidRPr="00786B7D">
        <w:rPr>
          <w:sz w:val="24"/>
          <w:szCs w:val="24"/>
        </w:rPr>
        <w:t xml:space="preserve">Ámbito privado: </w:t>
      </w:r>
    </w:p>
    <w:p w:rsidR="00E45A61" w:rsidRPr="00786B7D" w:rsidRDefault="00E45A61" w:rsidP="00E45A61">
      <w:pPr>
        <w:spacing w:line="360" w:lineRule="auto"/>
        <w:ind w:firstLine="360"/>
        <w:jc w:val="both"/>
        <w:rPr>
          <w:sz w:val="24"/>
          <w:szCs w:val="24"/>
        </w:rPr>
      </w:pPr>
      <w:r w:rsidRPr="00786B7D">
        <w:rPr>
          <w:sz w:val="24"/>
          <w:szCs w:val="24"/>
        </w:rPr>
        <w:t>Las medidas para la igualdad en las empresas privadas quedan recogidas en el Título IV, “El derecho al trabajo en igualdad de condiciones”, de la LOI. Las previsiones de la LOI respecto a empresas privadas, van enfocadas al cumplimiento del principio de igualdad de trato y de oportunidades a través de las medidas que fueron mencionadas en el capítulo anterior, entre las que cabe destacar la negociación colectiva, los planes de empresa y los derechos de conciliación de la vida personal, familiar y laboral.</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La discriminación por razón de sexo en el ámbito laboral se presenta de distintas y numerosas formas. La mujer encuentra problemas para acceder al trabajo, los trabajos a los que acceden se caracterizan por ser temporales y con condiciones laborales peores </w:t>
      </w:r>
      <w:r w:rsidRPr="00786B7D">
        <w:rPr>
          <w:rFonts w:eastAsia="Calibri"/>
          <w:sz w:val="24"/>
          <w:szCs w:val="24"/>
        </w:rPr>
        <w:lastRenderedPageBreak/>
        <w:t xml:space="preserve">que las de los hombres en esos mismos puestos, discriminación por embarazo y maternidad (que ha sido expuesta anteriormente), dificultades para ascender y alcanzar altos cargos dentro de una empresa o  la discriminación salarial. Es evidente la mayor dificultad de la mujer para acceder a un trabajo, así lo muestran los datos sobre el desempleo del Instituto Nacional de Estadística (en adelante, INE), en el primer trimestre de 2017, en el cual la tasa del paro masculino se encuentra en el 17´22, mientras que la de la mujer se encuentra más de tres puntos por encima en un 20´51. </w:t>
      </w:r>
    </w:p>
    <w:p w:rsidR="00E45A61" w:rsidRPr="00786B7D" w:rsidRDefault="00E45A61" w:rsidP="00E45A61">
      <w:pPr>
        <w:spacing w:line="360" w:lineRule="auto"/>
        <w:ind w:firstLine="360"/>
        <w:jc w:val="both"/>
        <w:rPr>
          <w:rFonts w:eastAsia="Calibri"/>
          <w:sz w:val="24"/>
          <w:szCs w:val="24"/>
        </w:rPr>
      </w:pPr>
      <w:r w:rsidRPr="00786B7D">
        <w:rPr>
          <w:rFonts w:eastAsia="Calibri"/>
          <w:noProof/>
          <w:sz w:val="24"/>
          <w:szCs w:val="24"/>
        </w:rPr>
        <w:drawing>
          <wp:inline distT="0" distB="0" distL="0" distR="0" wp14:anchorId="55E864D3" wp14:editId="4F70D5B5">
            <wp:extent cx="4867275" cy="2132955"/>
            <wp:effectExtent l="19050" t="0" r="9525" b="0"/>
            <wp:docPr id="1" name="0 Imagen" descr="TABLA INE T120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INE T12017.PNG"/>
                    <pic:cNvPicPr/>
                  </pic:nvPicPr>
                  <pic:blipFill>
                    <a:blip r:embed="rId12"/>
                    <a:stretch>
                      <a:fillRect/>
                    </a:stretch>
                  </pic:blipFill>
                  <pic:spPr>
                    <a:xfrm>
                      <a:off x="0" y="0"/>
                      <a:ext cx="4877001" cy="2137217"/>
                    </a:xfrm>
                    <a:prstGeom prst="rect">
                      <a:avLst/>
                    </a:prstGeom>
                  </pic:spPr>
                </pic:pic>
              </a:graphicData>
            </a:graphic>
          </wp:inline>
        </w:drawing>
      </w:r>
      <w:r w:rsidRPr="00786B7D">
        <w:rPr>
          <w:rStyle w:val="Refdenotaalpie"/>
          <w:rFonts w:eastAsia="Calibri"/>
          <w:sz w:val="24"/>
          <w:szCs w:val="24"/>
        </w:rPr>
        <w:footnoteReference w:id="79"/>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En comparación con la tasa de desempleo de 2006, previa a la aprobación de la LOI, donde la diferencia de puntos entre la tasa de mujeres y hombres era casi de 6 puntos, la tasa de desempleo masculina era de 6´82 mientras que la tasa femenina era del 12´03, casi el doble que la de aquellos.</w:t>
      </w:r>
      <w:r w:rsidRPr="00786B7D">
        <w:rPr>
          <w:rStyle w:val="Refdenotaalpie"/>
          <w:rFonts w:eastAsia="Calibri"/>
          <w:sz w:val="24"/>
          <w:szCs w:val="24"/>
        </w:rPr>
        <w:footnoteReference w:id="80"/>
      </w:r>
    </w:p>
    <w:p w:rsidR="00E45A61" w:rsidRPr="00786B7D" w:rsidRDefault="00E45A61" w:rsidP="00E45A61">
      <w:pPr>
        <w:spacing w:line="360" w:lineRule="auto"/>
        <w:ind w:firstLine="360"/>
        <w:jc w:val="both"/>
        <w:rPr>
          <w:rFonts w:eastAsia="Calibri"/>
          <w:sz w:val="24"/>
          <w:szCs w:val="24"/>
        </w:rPr>
      </w:pPr>
    </w:p>
    <w:p w:rsidR="00E45A61" w:rsidRPr="00786B7D" w:rsidRDefault="00E45A61" w:rsidP="00E45A61">
      <w:pPr>
        <w:spacing w:line="360" w:lineRule="auto"/>
        <w:ind w:firstLine="360"/>
        <w:jc w:val="both"/>
        <w:rPr>
          <w:rFonts w:eastAsia="Calibri"/>
          <w:sz w:val="24"/>
          <w:szCs w:val="24"/>
        </w:rPr>
      </w:pPr>
      <w:r w:rsidRPr="00786B7D">
        <w:rPr>
          <w:rFonts w:eastAsia="Calibri"/>
          <w:noProof/>
          <w:sz w:val="24"/>
          <w:szCs w:val="24"/>
        </w:rPr>
        <w:lastRenderedPageBreak/>
        <w:drawing>
          <wp:inline distT="0" distB="0" distL="0" distR="0" wp14:anchorId="5E933EBE" wp14:editId="51DAE50A">
            <wp:extent cx="4610100" cy="2081774"/>
            <wp:effectExtent l="19050" t="0" r="0" b="0"/>
            <wp:docPr id="2" name="1 Imagen" descr="TABLA INE T120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A INE T12006.PNG"/>
                    <pic:cNvPicPr/>
                  </pic:nvPicPr>
                  <pic:blipFill>
                    <a:blip r:embed="rId13"/>
                    <a:stretch>
                      <a:fillRect/>
                    </a:stretch>
                  </pic:blipFill>
                  <pic:spPr>
                    <a:xfrm>
                      <a:off x="0" y="0"/>
                      <a:ext cx="4623082" cy="2087636"/>
                    </a:xfrm>
                    <a:prstGeom prst="rect">
                      <a:avLst/>
                    </a:prstGeom>
                  </pic:spPr>
                </pic:pic>
              </a:graphicData>
            </a:graphic>
          </wp:inline>
        </w:drawing>
      </w:r>
      <w:r w:rsidRPr="00786B7D">
        <w:rPr>
          <w:rStyle w:val="Refdenotaalpie"/>
          <w:rFonts w:eastAsia="Calibri"/>
          <w:sz w:val="24"/>
          <w:szCs w:val="24"/>
        </w:rPr>
        <w:footnoteReference w:id="81"/>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No obstante, la diferencia de las cifras no es debido a la eficacia o ineficacia de las medidas propuestas por la LOI, sino por la situación de crisis económica en la que se encuentra sumida España. Atendiendo a la diferencia entre ambas tasas de desempleo, femenina y masculina, observamos que esta es menor, pues hace once años había en España casi el doble de mujeres desempleadas que hombres en esa situación.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Actualmente, el número de mujeres desempleadas sigue siendo superior que el de hombres, sin embargo, la diferencia entre ambos sexos ha ido decreciendo desde 2006 hasta la actualidad. Por tanto, podría decirse que están siendo efectivas las distintas medidas establecidas por la LOI para facilitar el acceso de la mujer al mercado laboral, no obstante, no son suficientemente eficaces, pues diez años después de la aprobación de la LOI aún encontramos una gran brecha entre mujeres y hombres empleados. De todos los tipos de discriminación laboral que sufre la mujer, la discriminación salarial es el tipo de discriminación que más interesante me resulta y en el que más hincapié haré, por su importancia y gravedad. La desigualdad salarial, también conocida como brecha salarial, se refiere a la diferencia entre lo que cobran mujeres y hombres de media, en cambio discriminación salarial es la desigualdad salarial basada en motivos discriminatorios, es decir, la diferencia salarial que no puede basarse en razones objetivas que lo justifiquen. La discriminación salarial aparece cuando una mujer y un hombre que realizan un trabajo idéntico cobran un salario distinto, recibiendo aquella </w:t>
      </w:r>
      <w:r w:rsidRPr="00786B7D">
        <w:rPr>
          <w:rFonts w:eastAsia="Calibri"/>
          <w:sz w:val="24"/>
          <w:szCs w:val="24"/>
        </w:rPr>
        <w:lastRenderedPageBreak/>
        <w:t>una remuneración menor que estos, cuando realizan las mismas tareas, tienen las mismas responsabilidades y las mismas condiciones labores.</w:t>
      </w:r>
      <w:r w:rsidRPr="00786B7D">
        <w:rPr>
          <w:rStyle w:val="Refdenotaalpie"/>
          <w:rFonts w:eastAsia="Calibri"/>
          <w:sz w:val="24"/>
          <w:szCs w:val="24"/>
        </w:rPr>
        <w:footnoteReference w:id="82"/>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Los datos del Informe Global de la Brecha de Género del Foro Económico Mundial son los que nos muestran la persistencia de esta discriminación y la lentitud en los avances mundiales (y por países) para “cerrar” la brecha salarial de género. España en el último Informe Global de la Brecha de Género de 2016 se encuentra en el puesto 29</w:t>
      </w:r>
      <w:r w:rsidRPr="00786B7D">
        <w:rPr>
          <w:rStyle w:val="Refdenotaalpie"/>
          <w:rFonts w:eastAsia="Calibri"/>
          <w:sz w:val="24"/>
          <w:szCs w:val="24"/>
        </w:rPr>
        <w:footnoteReference w:id="83"/>
      </w:r>
      <w:r w:rsidRPr="00786B7D">
        <w:rPr>
          <w:rFonts w:eastAsia="Calibri"/>
          <w:sz w:val="24"/>
          <w:szCs w:val="24"/>
        </w:rPr>
        <w:t>, respecto al puesto 25 que alcanzó el año pasado en el ranking que el Foro Económico Mundial realiza, lo cual significa que no se produjo una reducción de la brecha en el año 2016. En el año 2015 el índice de España de brecha salarial era del 0,7420, es decir, un 74,20% donde el 100% es la inexistencia de desigualdad salarial.</w:t>
      </w:r>
      <w:r w:rsidRPr="00786B7D">
        <w:rPr>
          <w:rStyle w:val="Refdenotaalpie"/>
          <w:rFonts w:eastAsia="Calibri"/>
          <w:sz w:val="24"/>
          <w:szCs w:val="24"/>
        </w:rPr>
        <w:footnoteReference w:id="84"/>
      </w:r>
      <w:r w:rsidRPr="00786B7D">
        <w:rPr>
          <w:rFonts w:eastAsia="Calibri"/>
          <w:sz w:val="24"/>
          <w:szCs w:val="24"/>
        </w:rPr>
        <w:t xml:space="preserve"> En el Informe de 2016 el índice ha caído en un 0,48, es decir, un 4,8%, lo que supone que el índice de brecha salarial es de 0,7384, esto es, un 73,84%.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Otros datos indicadores de lo anterior son los recogidos por el INE en la encuesta de estructura salarial cuatrienal. La última encuesta es del año 2014, publicada en octubre de 2016 muestra en sus resultados, una vez más, la brecha salarial presente en España. Esta encuesta establece que la ganancia media anual total por trabajador es de 22.858,17 euros, los hombres obtienen una ganancia media anual de 25.727,24 euros, mientras que la ganancia media anual de las mujeres es de 19.744,82 euros. La diferencia salarial entre mujeres y hombres es de casi seis mil euros anuales. El salario medio anual de las mujeres aumentó un 1´2% con respecto al del año anterior, mientras que el de los hombres experimentó un aumento del 0´2%, lo cual indica que si bien la brecha se está cerrando, pues el salario de la mujer está aumentado de forma más rápida que el del hombre, aún es existe una enorme diferencia salarial entre ambos sexos.</w:t>
      </w:r>
      <w:r w:rsidRPr="00786B7D">
        <w:rPr>
          <w:rStyle w:val="Refdenotaalpie"/>
          <w:rFonts w:eastAsia="Calibri"/>
          <w:sz w:val="24"/>
          <w:szCs w:val="24"/>
        </w:rPr>
        <w:footnoteReference w:id="85"/>
      </w:r>
      <w:r w:rsidRPr="00786B7D">
        <w:rPr>
          <w:rFonts w:eastAsia="Calibri"/>
          <w:sz w:val="24"/>
          <w:szCs w:val="24"/>
        </w:rPr>
        <w:t xml:space="preserve"> Esta diferencia se puede observar en los salarios mensuales, así como en los tipos de trabajos desempeñados por los trabajadores. En los salarios mensuales, los hombres cobran alrededor de 400 euros más que las mujeres. En cuanto a los tipos de trabajo, es una de </w:t>
      </w:r>
      <w:r w:rsidRPr="00786B7D">
        <w:rPr>
          <w:rFonts w:eastAsia="Calibri"/>
          <w:sz w:val="24"/>
          <w:szCs w:val="24"/>
        </w:rPr>
        <w:lastRenderedPageBreak/>
        <w:t>las variables que más influyen en la remuneración de los trabajadores y trabajadores, no obstante en todas las categorías, desde las mejores pagadas hasta las peores, las mujeres han percibido un salario inferior al de los hombres, ocupando el mismo puesto de trabajo, destaca la categoría de “Directores y Gerentes” donde los varones cobran casi diez mil euros más anuales que las mujeres.</w:t>
      </w:r>
      <w:r w:rsidRPr="00786B7D">
        <w:rPr>
          <w:rStyle w:val="Refdenotaalpie"/>
          <w:rFonts w:eastAsia="Calibri"/>
          <w:sz w:val="24"/>
          <w:szCs w:val="24"/>
        </w:rPr>
        <w:footnoteReference w:id="86"/>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 xml:space="preserve">En definitiva, la discriminación salarial de género está latente en la actualidad en empresas privadas como muestran los distintos estudios, informes y encuestas nacionales e internacionales y cuyos resultados revelan que España sigue lejos de conseguir la igualdad de género en este ámbito, así como la necesidad de establecer nuevas medidas o asegurar el cumplimiento de las ya establecidas en la LOI, para hacer de la igualdad salarial una realidad y no solo una igualdad formal. </w:t>
      </w:r>
    </w:p>
    <w:p w:rsidR="00E45A61" w:rsidRPr="00786B7D" w:rsidRDefault="00E45A61" w:rsidP="00E45A61">
      <w:pPr>
        <w:spacing w:line="360" w:lineRule="auto"/>
        <w:ind w:firstLine="360"/>
        <w:jc w:val="both"/>
        <w:rPr>
          <w:rFonts w:eastAsia="Calibri"/>
          <w:sz w:val="24"/>
          <w:szCs w:val="24"/>
        </w:rPr>
      </w:pPr>
      <w:r w:rsidRPr="00786B7D">
        <w:rPr>
          <w:rFonts w:eastAsia="Calibri"/>
          <w:sz w:val="24"/>
          <w:szCs w:val="24"/>
        </w:rPr>
        <w:t>Con todos los datos expuestos, tanto del empleo público como el privado, se observa que el nivel de discriminación de género está reduciendo, poniendo en comparación resultados de informes recientes con datos más antiguos. No obstante, una vez más, no debemos ser conformistas y pensar que la desigualdad salarial de género no es un problema grave o que es un problema pasado contra el que no es necesario luchar, pues los mismos datos que muestran dicho avance hacia la igualdad de género, nos enseñan que el avance es lento e insuficiente y que en la actualidad la discriminación salarial de género está latente en el ámbito laboral privado y, en menor medida, en el público. Por tanto, para conseguir la igualdad real y efectiva entre mujeres y hombres es necesario que aquellas medidas que no están dando resultados positivos y favorables para alcanzar la igualdad salarial con la velocidad y el alcance necesarios, sean revisadas o modificadas, y establecer otras nuevas propuestas para alcanzar dicho objetivo.</w:t>
      </w:r>
    </w:p>
    <w:p w:rsidR="00E45A61" w:rsidRPr="00786B7D" w:rsidRDefault="00E45A61" w:rsidP="00E45A61">
      <w:pPr>
        <w:spacing w:line="360" w:lineRule="auto"/>
        <w:ind w:firstLine="360"/>
        <w:jc w:val="both"/>
        <w:rPr>
          <w:rFonts w:eastAsia="Calibri"/>
          <w:sz w:val="24"/>
          <w:szCs w:val="24"/>
        </w:rPr>
      </w:pPr>
    </w:p>
    <w:p w:rsidR="00E45A61" w:rsidRPr="00786B7D" w:rsidRDefault="00E45A61" w:rsidP="00E45A61">
      <w:pPr>
        <w:pStyle w:val="Ttulo1"/>
        <w:keepLines/>
        <w:numPr>
          <w:ilvl w:val="0"/>
          <w:numId w:val="6"/>
        </w:numPr>
        <w:spacing w:before="480" w:line="360" w:lineRule="auto"/>
        <w:jc w:val="both"/>
        <w:rPr>
          <w:rFonts w:ascii="Times New Roman" w:eastAsia="Calibri" w:hAnsi="Times New Roman"/>
          <w:color w:val="auto"/>
          <w:sz w:val="24"/>
          <w:szCs w:val="24"/>
        </w:rPr>
      </w:pPr>
      <w:bookmarkStart w:id="21" w:name="_Toc486503105"/>
      <w:r w:rsidRPr="00786B7D">
        <w:rPr>
          <w:rFonts w:ascii="Times New Roman" w:eastAsia="Calibri" w:hAnsi="Times New Roman"/>
          <w:color w:val="auto"/>
          <w:sz w:val="24"/>
          <w:szCs w:val="24"/>
        </w:rPr>
        <w:t>CAPÍTULO III: LA DESIGUALDAD SALARIAL ENTRE MUJERES Y HOMBRES: SITUACIÓN ACTUAL Y SOLUCIONES DE FUTURO.</w:t>
      </w:r>
      <w:bookmarkEnd w:id="21"/>
    </w:p>
    <w:p w:rsidR="00E45A61" w:rsidRPr="00786B7D" w:rsidRDefault="00E45A61" w:rsidP="00E45A61">
      <w:pPr>
        <w:pStyle w:val="Prrafodelista"/>
        <w:spacing w:line="360" w:lineRule="auto"/>
        <w:jc w:val="both"/>
        <w:rPr>
          <w:rFonts w:eastAsia="Calibri"/>
          <w:b/>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bookmarkStart w:id="22" w:name="_Toc486503106"/>
      <w:r w:rsidRPr="00786B7D">
        <w:rPr>
          <w:rFonts w:ascii="Times New Roman" w:hAnsi="Times New Roman"/>
          <w:color w:val="auto"/>
          <w:sz w:val="24"/>
          <w:szCs w:val="24"/>
        </w:rPr>
        <w:t>SITUACIÓN ACTUAL: LA PERSISTENCIA DE LA DISCRIMINACIÓN SALARIAL.</w:t>
      </w:r>
      <w:bookmarkEnd w:id="22"/>
    </w:p>
    <w:p w:rsidR="00E45A61" w:rsidRPr="00786B7D" w:rsidRDefault="00E45A61" w:rsidP="00E45A61">
      <w:pPr>
        <w:spacing w:line="360" w:lineRule="auto"/>
        <w:jc w:val="both"/>
        <w:rPr>
          <w:sz w:val="24"/>
          <w:szCs w:val="24"/>
        </w:rPr>
      </w:pPr>
    </w:p>
    <w:p w:rsidR="00E45A61" w:rsidRPr="00786B7D" w:rsidRDefault="00E45A61" w:rsidP="00E45A61">
      <w:pPr>
        <w:spacing w:after="266" w:line="360" w:lineRule="auto"/>
        <w:ind w:firstLine="360"/>
        <w:jc w:val="both"/>
        <w:rPr>
          <w:sz w:val="24"/>
          <w:szCs w:val="24"/>
        </w:rPr>
      </w:pPr>
      <w:r w:rsidRPr="00786B7D">
        <w:rPr>
          <w:sz w:val="24"/>
          <w:szCs w:val="24"/>
        </w:rPr>
        <w:lastRenderedPageBreak/>
        <w:t xml:space="preserve">En el último apartado del capítulo anterior, se mostraron los datos de la brecha salarial en España, según el Informe Global de Brechas de Género y del Reporte de Competitividad Global, presentado por el Foro Económico Mundial en 2016, que muestra una gran diferencia entre el salario de mujeres y hombres, cobrando estos hasta seis mil euros más anualmente. Por ello, la igualdad salarial de género debe ser prioritaria en la agenda económica y productiva del país, pues al ritmo actual mundial de “cierre” de la brecha de género, no encontraremos la igualdad salarial entre mujeres y hombres hasta el año 2133. </w:t>
      </w:r>
    </w:p>
    <w:p w:rsidR="00E45A61" w:rsidRPr="00786B7D" w:rsidRDefault="00E45A61" w:rsidP="00E45A61">
      <w:pPr>
        <w:spacing w:after="266" w:line="360" w:lineRule="auto"/>
        <w:ind w:firstLine="360"/>
        <w:jc w:val="both"/>
        <w:rPr>
          <w:sz w:val="24"/>
          <w:szCs w:val="24"/>
        </w:rPr>
      </w:pPr>
      <w:r w:rsidRPr="00786B7D">
        <w:rPr>
          <w:sz w:val="24"/>
          <w:szCs w:val="24"/>
        </w:rPr>
        <w:t>La discriminación salarial de género está ligada al papel tradicional de la mujer en la familia y el hogar, el cuidado de los hijos, el marido y las personas con necesidades especiales a su cargo. No obstante, acabar con esta concepción del papel social de la mujer y entenderlo igual que el de los hombres reportará beneficios económicos, no solo para las mujeres, pues reduciéndose las probabilidades de que las familias caigan en la pobreza, que los niños deban abandonar los estudios para comenzar a trabajar y, entre otras, se aumenta la independencia de la mujer en todos los aspectos, no sólo el económico. La inclusión real de la mujer en el mundo laboral también es beneficiosa para las empresas que pueden contar con más activos en su plantilla con mejor preparación, pues no se reducen sus posibilidades sólo a hombres.</w:t>
      </w:r>
      <w:r w:rsidRPr="00786B7D">
        <w:rPr>
          <w:rStyle w:val="Refdenotaalpie"/>
          <w:sz w:val="24"/>
          <w:szCs w:val="24"/>
        </w:rPr>
        <w:footnoteReference w:id="87"/>
      </w:r>
      <w:r w:rsidRPr="00786B7D">
        <w:rPr>
          <w:sz w:val="24"/>
          <w:szCs w:val="24"/>
        </w:rPr>
        <w:t xml:space="preserve"> La legislación nacional e internacional asume el principio de igualdad de trato y oportunidades como la forma principal de conseguir la igualdad salarial real, para ello es necesario un mercado laboral con menores barreras y mejores condiciones laborales para las mujeres. </w:t>
      </w:r>
    </w:p>
    <w:p w:rsidR="00E45A61" w:rsidRPr="00786B7D" w:rsidRDefault="00E45A61" w:rsidP="00E45A61">
      <w:pPr>
        <w:spacing w:line="360" w:lineRule="auto"/>
        <w:ind w:firstLine="360"/>
        <w:jc w:val="both"/>
        <w:rPr>
          <w:bCs/>
          <w:iCs/>
          <w:sz w:val="24"/>
          <w:szCs w:val="24"/>
        </w:rPr>
      </w:pPr>
      <w:r w:rsidRPr="00786B7D">
        <w:rPr>
          <w:sz w:val="24"/>
          <w:szCs w:val="24"/>
        </w:rPr>
        <w:t xml:space="preserve">Fue el Convenio 100 de la Organización Internacional del Trabajo (en adelante, OIT) </w:t>
      </w:r>
      <w:r w:rsidRPr="00786B7D">
        <w:rPr>
          <w:bCs/>
          <w:iCs/>
          <w:sz w:val="24"/>
          <w:szCs w:val="24"/>
        </w:rPr>
        <w:t>relativo a la igualdad de remuneración entre la mano de obra masculina y la mano de obra femenina por un trabajo de igual valor (Entrada en vigor: 23 mayo 1953), el primer texto normativo que reconoció el derecho a la igualdad de remuneración, basándose en el igual valor del trabajo desarrollado</w:t>
      </w:r>
      <w:r w:rsidRPr="00786B7D">
        <w:rPr>
          <w:sz w:val="24"/>
          <w:szCs w:val="24"/>
        </w:rPr>
        <w:t xml:space="preserve">, estableció el “trabajo de igual valor” como criterio para establecer el salario, sustituyendo el criterio anterior de “trabajos iguales”, que daba pie a numerosas discriminaciones salariales en base que los trabajos desarrollados. </w:t>
      </w:r>
      <w:r w:rsidRPr="00786B7D">
        <w:rPr>
          <w:bCs/>
          <w:iCs/>
          <w:sz w:val="24"/>
          <w:szCs w:val="24"/>
        </w:rPr>
        <w:t xml:space="preserve"> Evidencia de lo anterior es su artículo 1: </w:t>
      </w:r>
    </w:p>
    <w:p w:rsidR="00E45A61" w:rsidRPr="00786B7D" w:rsidRDefault="00E45A61" w:rsidP="00E45A61">
      <w:pPr>
        <w:spacing w:line="360" w:lineRule="auto"/>
        <w:ind w:firstLine="360"/>
        <w:jc w:val="both"/>
        <w:rPr>
          <w:bCs/>
          <w:i/>
          <w:iCs/>
          <w:sz w:val="24"/>
          <w:szCs w:val="24"/>
        </w:rPr>
      </w:pPr>
      <w:r w:rsidRPr="00786B7D">
        <w:rPr>
          <w:bCs/>
          <w:i/>
          <w:iCs/>
          <w:sz w:val="24"/>
          <w:szCs w:val="24"/>
        </w:rPr>
        <w:t>“A los efectos del presente Convenio:</w:t>
      </w:r>
    </w:p>
    <w:p w:rsidR="00E45A61" w:rsidRPr="00786B7D" w:rsidRDefault="00E45A61" w:rsidP="00E45A61">
      <w:pPr>
        <w:spacing w:line="360" w:lineRule="auto"/>
        <w:ind w:left="360"/>
        <w:jc w:val="both"/>
        <w:rPr>
          <w:bCs/>
          <w:i/>
          <w:iCs/>
          <w:sz w:val="24"/>
          <w:szCs w:val="24"/>
        </w:rPr>
      </w:pPr>
      <w:r w:rsidRPr="00786B7D">
        <w:rPr>
          <w:bCs/>
          <w:i/>
          <w:iCs/>
          <w:sz w:val="24"/>
          <w:szCs w:val="24"/>
        </w:rPr>
        <w:lastRenderedPageBreak/>
        <w:t>a) El término remuneración comprende el salario o sueldo ordinario, básico o mínimo, y cualquier otro emolumento en dinero o en especie pagados por el empleador, directa o indirectamente, al trabajador, en concepto del empleo de este último;</w:t>
      </w:r>
    </w:p>
    <w:p w:rsidR="00E45A61" w:rsidRPr="00786B7D" w:rsidRDefault="00E45A61" w:rsidP="00E45A61">
      <w:pPr>
        <w:spacing w:line="360" w:lineRule="auto"/>
        <w:ind w:left="360"/>
        <w:jc w:val="both"/>
        <w:rPr>
          <w:bCs/>
          <w:i/>
          <w:iCs/>
          <w:sz w:val="24"/>
          <w:szCs w:val="24"/>
        </w:rPr>
      </w:pPr>
      <w:r w:rsidRPr="00786B7D">
        <w:rPr>
          <w:bCs/>
          <w:i/>
          <w:iCs/>
          <w:sz w:val="24"/>
          <w:szCs w:val="24"/>
        </w:rPr>
        <w:t>b) La expresión igualdad de remuneración entre la mano de obra masculina y la mano de obra femenina por un trabajo de igual valor designa las tasas de remuneración fijadas sin discriminación en cuanto al sexo.”</w:t>
      </w:r>
    </w:p>
    <w:p w:rsidR="00E45A61" w:rsidRPr="00786B7D" w:rsidRDefault="00E45A61" w:rsidP="00E45A61">
      <w:pPr>
        <w:spacing w:line="360" w:lineRule="auto"/>
        <w:ind w:firstLine="360"/>
        <w:jc w:val="both"/>
        <w:rPr>
          <w:sz w:val="24"/>
          <w:szCs w:val="24"/>
        </w:rPr>
      </w:pPr>
      <w:r w:rsidRPr="00786B7D">
        <w:rPr>
          <w:sz w:val="24"/>
          <w:szCs w:val="24"/>
        </w:rPr>
        <w:t>Posteriormente, quedó regulado el derecho a la igualdad salarial en el Tratado de Roma (1957) y el Tratado de Funcionamiento de la Unión Europea lo reconoció de forma más amplia. En el ámbito nacional, la CE, en el artículo 35.1 recoge el deber de trabajar y el derecho al trabajo, así como a una remuneración suficiente para satisfacer las necesidades del trabajador y la de su familia, prohibiendo la discriminación por razón de sexo en este ámbito. No obstante, es el Estatuto de los Trabajadores (en adelante, ET) el encargado de regular ampliamente los derechos y deberes de los trabajadores, que trascribe lo establecido en la Directiva 2006/54/CE del Parlamento Europeo y del Consejo de 5 de julio, relativa a la aplicación del principio de igualdad de oportunidades e igualdad de trato entre hombres y mujeres en asuntos de empleo y ocupación. El artículo 1 de la Directiva 2006/54/CE “</w:t>
      </w:r>
      <w:r w:rsidRPr="00786B7D">
        <w:rPr>
          <w:i/>
          <w:sz w:val="24"/>
          <w:szCs w:val="24"/>
        </w:rPr>
        <w:t xml:space="preserve">garantizar la aplicación del principio de igualdad de oportunidades e igualdad de trato entre hombres y mujeres en asuntos de empleo y ocupación”. </w:t>
      </w:r>
      <w:r w:rsidRPr="00786B7D">
        <w:rPr>
          <w:sz w:val="24"/>
          <w:szCs w:val="24"/>
        </w:rPr>
        <w:t>El ET, reconoce el principio de igualdad de remuneración por razón de sexo como criterio que exige al empresario pagar la misma retribución por la prestación de un trabajo de igual valor, prohibiendo la discriminación de sexo en la remuneración del trabajo.</w:t>
      </w:r>
      <w:r w:rsidRPr="00786B7D">
        <w:rPr>
          <w:rStyle w:val="Refdenotaalpie"/>
          <w:sz w:val="24"/>
          <w:szCs w:val="24"/>
        </w:rPr>
        <w:footnoteReference w:id="88"/>
      </w:r>
    </w:p>
    <w:p w:rsidR="00E45A61" w:rsidRPr="00786B7D" w:rsidRDefault="00E45A61" w:rsidP="00E45A61">
      <w:pPr>
        <w:spacing w:after="266" w:line="360" w:lineRule="auto"/>
        <w:ind w:firstLine="360"/>
        <w:jc w:val="both"/>
        <w:rPr>
          <w:sz w:val="24"/>
          <w:szCs w:val="24"/>
        </w:rPr>
      </w:pPr>
      <w:r w:rsidRPr="00786B7D">
        <w:rPr>
          <w:sz w:val="24"/>
          <w:szCs w:val="24"/>
        </w:rPr>
        <w:t xml:space="preserve">La legislación nacional, CE, ET y LOI, así como distintos Convenios y Directivas internacionales, reconocen el derecho a la igualdad salarial entre mujeres y hombres en base al principio de igualdad de trato y de oportunidades y al “trabajo de igual valor”. No obstante, a pesar de dichas normas y del principio de igualdad, en la actualidad no se ha alcanzado la igualdad salarial de género como muestran los datos del Informe del Foro Económico Mundial, por lo que es necesario revisar las medidas establecidas por la LOI, así como medidas alternativas propuestas para lograr la igualdad salarial real. </w:t>
      </w:r>
    </w:p>
    <w:p w:rsidR="00E45A61" w:rsidRPr="00786B7D" w:rsidRDefault="00E45A61" w:rsidP="00E45A61">
      <w:pPr>
        <w:spacing w:after="266" w:line="360" w:lineRule="auto"/>
        <w:ind w:firstLine="360"/>
        <w:jc w:val="both"/>
        <w:rPr>
          <w:sz w:val="24"/>
          <w:szCs w:val="24"/>
        </w:rPr>
      </w:pPr>
    </w:p>
    <w:p w:rsidR="00E45A61" w:rsidRPr="00786B7D" w:rsidRDefault="00E45A61" w:rsidP="00E45A61">
      <w:pPr>
        <w:pStyle w:val="Ttulo2"/>
        <w:keepLines/>
        <w:numPr>
          <w:ilvl w:val="1"/>
          <w:numId w:val="6"/>
        </w:numPr>
        <w:spacing w:before="200" w:line="360" w:lineRule="auto"/>
        <w:jc w:val="both"/>
        <w:rPr>
          <w:rFonts w:ascii="Times New Roman" w:hAnsi="Times New Roman"/>
          <w:color w:val="auto"/>
          <w:sz w:val="24"/>
          <w:szCs w:val="24"/>
        </w:rPr>
      </w:pPr>
      <w:r w:rsidRPr="00786B7D">
        <w:rPr>
          <w:rFonts w:ascii="Times New Roman" w:eastAsia="Calibri" w:hAnsi="Times New Roman"/>
          <w:color w:val="auto"/>
          <w:sz w:val="24"/>
          <w:szCs w:val="24"/>
        </w:rPr>
        <w:t xml:space="preserve"> </w:t>
      </w:r>
      <w:bookmarkStart w:id="23" w:name="_Toc486503107"/>
      <w:r w:rsidRPr="00786B7D">
        <w:rPr>
          <w:rFonts w:ascii="Times New Roman" w:eastAsia="Calibri" w:hAnsi="Times New Roman"/>
          <w:color w:val="auto"/>
          <w:sz w:val="24"/>
          <w:szCs w:val="24"/>
        </w:rPr>
        <w:t>ELENCO DE MEDIDAS PARA ACORTAR LA BRECHA SALARIAL.</w:t>
      </w:r>
      <w:bookmarkEnd w:id="23"/>
    </w:p>
    <w:p w:rsidR="00E45A61" w:rsidRPr="00786B7D" w:rsidRDefault="00E45A61" w:rsidP="00E45A61">
      <w:pPr>
        <w:pStyle w:val="Prrafodelista"/>
        <w:spacing w:after="266" w:line="360" w:lineRule="auto"/>
        <w:ind w:left="786"/>
        <w:jc w:val="both"/>
        <w:rPr>
          <w:b/>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r w:rsidRPr="00786B7D">
        <w:rPr>
          <w:rFonts w:ascii="Times New Roman" w:hAnsi="Times New Roman"/>
          <w:szCs w:val="24"/>
        </w:rPr>
        <w:t xml:space="preserve"> </w:t>
      </w:r>
      <w:bookmarkStart w:id="24" w:name="_Toc486503108"/>
      <w:r w:rsidRPr="00786B7D">
        <w:rPr>
          <w:rFonts w:ascii="Times New Roman" w:hAnsi="Times New Roman"/>
          <w:szCs w:val="24"/>
        </w:rPr>
        <w:t>EN TORNO A LA NEGOCIACIÓN COLECTIVA.</w:t>
      </w:r>
      <w:bookmarkEnd w:id="24"/>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La LOI reconoce como una de las formas de acción positiva de los poderes públicos para conseguir la igualdad el uso de la llamada “negociación colectiva” que es la herramienta por la cual se establecen por acuerdo, entre los trabajadores y las empresas, las condiciones de trabajo y la remuneración por el mismo, así como el establecimiento entre ambas partes de cómo serán sus relaciones.</w:t>
      </w:r>
      <w:r w:rsidRPr="00786B7D">
        <w:rPr>
          <w:rStyle w:val="Refdenotaalpie"/>
          <w:sz w:val="24"/>
          <w:szCs w:val="24"/>
        </w:rPr>
        <w:footnoteReference w:id="89"/>
      </w:r>
      <w:r w:rsidRPr="00786B7D">
        <w:rPr>
          <w:sz w:val="24"/>
          <w:szCs w:val="24"/>
        </w:rPr>
        <w:t xml:space="preserve"> La situación de inferioridad de determinados grupos sociales, como son las mujeres, es la causa de la necesidad de que se establezca en su favor y en exclusividad normas de las que estas son titulares, sin que ello suponga una discriminación para el resto de los ciudadanos. La función principal de las medidas de acción positiva no es otra que la de integrar a los distintos grupos sociales que han sufrido un trato diferenciado discriminatorio, esto lo consiguen, en cuanto a la discriminación salarial de la mujer con medidas como la negociación colectiva.</w:t>
      </w:r>
      <w:r w:rsidRPr="00786B7D">
        <w:rPr>
          <w:rStyle w:val="Refdenotaalpie"/>
          <w:sz w:val="24"/>
          <w:szCs w:val="24"/>
        </w:rPr>
        <w:footnoteReference w:id="90"/>
      </w:r>
    </w:p>
    <w:p w:rsidR="00E45A61" w:rsidRPr="00786B7D" w:rsidRDefault="00E45A61" w:rsidP="00E45A61">
      <w:pPr>
        <w:spacing w:line="360" w:lineRule="auto"/>
        <w:ind w:firstLine="360"/>
        <w:jc w:val="both"/>
        <w:rPr>
          <w:sz w:val="24"/>
          <w:szCs w:val="24"/>
        </w:rPr>
      </w:pPr>
      <w:r w:rsidRPr="00786B7D">
        <w:rPr>
          <w:sz w:val="24"/>
          <w:szCs w:val="24"/>
        </w:rPr>
        <w:t xml:space="preserve">Asimismo, es la negociación colectiva una de las medidas laborales destacables por </w:t>
      </w:r>
      <w:r w:rsidRPr="00786B7D">
        <w:rPr>
          <w:i/>
          <w:sz w:val="24"/>
          <w:szCs w:val="24"/>
        </w:rPr>
        <w:t>“el papel relevante que ésta adquiere en la aplicación de las acciones o medidas de nueva creación implantadas por la citada norma (LOI), en concreto, las relativas a los planes de igualdad y las medidas de acción positiva.”</w:t>
      </w:r>
      <w:r w:rsidRPr="00786B7D">
        <w:rPr>
          <w:rStyle w:val="Refdenotaalpie"/>
          <w:i/>
          <w:sz w:val="24"/>
          <w:szCs w:val="24"/>
        </w:rPr>
        <w:footnoteReference w:id="91"/>
      </w:r>
      <w:r w:rsidRPr="00786B7D">
        <w:rPr>
          <w:i/>
          <w:sz w:val="24"/>
          <w:szCs w:val="24"/>
        </w:rPr>
        <w:t xml:space="preserve">. </w:t>
      </w:r>
      <w:r w:rsidRPr="00786B7D">
        <w:rPr>
          <w:sz w:val="24"/>
          <w:szCs w:val="24"/>
        </w:rPr>
        <w:t xml:space="preserve">No obstante, a pesar de que en teoría es un instrumento adecuado para alcanzar la igualdad salarial y cerrar la brecha, 10 años después de la entrada en vigor de la LOI, sigue latente dicha desigualdad, pues los avances hacia la igualdad son lentos, no cumpliéndose los objetivos propuestos. Esto puede ser consecuencia de la participación mínima de mujeres en las mesas de </w:t>
      </w:r>
      <w:r w:rsidRPr="00786B7D">
        <w:rPr>
          <w:sz w:val="24"/>
          <w:szCs w:val="24"/>
        </w:rPr>
        <w:lastRenderedPageBreak/>
        <w:t>negociación</w:t>
      </w:r>
      <w:r w:rsidRPr="00786B7D">
        <w:rPr>
          <w:rStyle w:val="Refdenotaalpie"/>
          <w:sz w:val="24"/>
          <w:szCs w:val="24"/>
        </w:rPr>
        <w:footnoteReference w:id="92"/>
      </w:r>
      <w:r w:rsidRPr="00786B7D">
        <w:rPr>
          <w:sz w:val="24"/>
          <w:szCs w:val="24"/>
        </w:rPr>
        <w:t>, otro motivo puede ser que, a pesar del incremento de las clausulas en los convenio colectivos relativas a la materia y del incremento del número de convenios que incluyen dichas clausulas, tiene carácter secundario respecto de otras materias que están mucho más asentadas y reguladas en dichos convenios.</w:t>
      </w:r>
    </w:p>
    <w:p w:rsidR="00E45A61" w:rsidRPr="00786B7D" w:rsidRDefault="00E45A61" w:rsidP="00E45A61">
      <w:pPr>
        <w:spacing w:line="360" w:lineRule="auto"/>
        <w:ind w:firstLine="360"/>
        <w:jc w:val="both"/>
        <w:rPr>
          <w:sz w:val="24"/>
          <w:szCs w:val="24"/>
        </w:rPr>
      </w:pPr>
      <w:r w:rsidRPr="00786B7D">
        <w:rPr>
          <w:sz w:val="24"/>
          <w:szCs w:val="24"/>
        </w:rPr>
        <w:t xml:space="preserve">Las materias que se abordan con la negociación colectiva a través de los convenios para lograr la igualdad y no discriminación en la empresa son: el acceso al empleo, la formación y promoción profesional, las condiciones de trabajo y el tratamiento de la igualdad salarial.  En materia salarial, para que la negociación colectiva sea eficiente y consiga los resultados más favorables o positivos posibles, es necesario que se dejen atrás las clausulas colectivas que establecen un salario igual para trabajos iguales, para sustituirla por la fórmula que indica el ET en el artículo 28 “igual salario para trabajos de igual valor”, de esta forma no excluye la posibilidad de justificar la desigualdad salarial entre mujeres y hombres en el desarrollo de trabajos distintos. Para ello, es necesario que en los convenios se establezcan la clasificación profesional, es decir, que se concreten los distintos grupos, divisiones y niveles profesionales en las empresas, así como las tareas, especialidades y responsabilidades asignadas a cada una, sin hacerse distinción por sexo en las distintas categorías o trabajos. Pueden establecer los convenios criterios para determinar el salario de cada grupo profesional,  no apoyándose solo en los criterios más extendidos como el de la antigüedad o las actividades peligrosas, que de forma indirecta favorecen a los hombres, pues los trabajos desarrollados por las mujeres, al ser temporales, no entran dentro del criterio de la antigüedad y, al quedar tradicionalmente reducidas a un tipo de trabajos, tampoco entran en el criterio de las actividades peligrosas o la nocturnidad. </w:t>
      </w:r>
      <w:r w:rsidRPr="00786B7D">
        <w:rPr>
          <w:rStyle w:val="Refdenotaalpie"/>
          <w:sz w:val="24"/>
          <w:szCs w:val="24"/>
        </w:rPr>
        <w:footnoteReference w:id="93"/>
      </w:r>
    </w:p>
    <w:p w:rsidR="00E45A61" w:rsidRPr="00786B7D" w:rsidRDefault="00E45A61" w:rsidP="00E45A61">
      <w:pPr>
        <w:spacing w:line="360" w:lineRule="auto"/>
        <w:ind w:firstLine="360"/>
        <w:jc w:val="both"/>
        <w:rPr>
          <w:sz w:val="24"/>
          <w:szCs w:val="24"/>
        </w:rPr>
      </w:pPr>
      <w:r w:rsidRPr="00786B7D">
        <w:rPr>
          <w:sz w:val="24"/>
          <w:szCs w:val="24"/>
        </w:rPr>
        <w:t xml:space="preserve">En definitiva, para que esta herramienta sea efectiva y ayude a conseguir los resultados positivos esperados, es necesario que se produzcan algunos cambios en la manera de realizarla como: que las mesas se formen de forma equilibrada por mujeres y hombres; que comience a tratarse de forma principal en los convenios la desigualdad salarial y, en general, la igualdad de género, para que no se relegue a un segundo plano y caiga en el olvido; que la clasificación profesional se haga sin discriminación, </w:t>
      </w:r>
      <w:r w:rsidRPr="00786B7D">
        <w:rPr>
          <w:sz w:val="24"/>
          <w:szCs w:val="24"/>
        </w:rPr>
        <w:lastRenderedPageBreak/>
        <w:t xml:space="preserve">basándose en criterios objetivos y laborales más amplios que los criterios tradicionales, para que las mujeres queden incluidas en dichos criterios. </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25" w:name="_Toc486503109"/>
      <w:r w:rsidRPr="00786B7D">
        <w:rPr>
          <w:rFonts w:ascii="Times New Roman" w:hAnsi="Times New Roman"/>
          <w:szCs w:val="24"/>
        </w:rPr>
        <w:t>SOBRE LOS PLANES DE IGUALDAD.</w:t>
      </w:r>
      <w:bookmarkEnd w:id="25"/>
    </w:p>
    <w:p w:rsidR="00E45A61" w:rsidRPr="00786B7D" w:rsidRDefault="00E45A61" w:rsidP="00E45A61">
      <w:pPr>
        <w:spacing w:line="360" w:lineRule="auto"/>
        <w:jc w:val="both"/>
        <w:rPr>
          <w:sz w:val="24"/>
          <w:szCs w:val="24"/>
        </w:rPr>
      </w:pPr>
    </w:p>
    <w:p w:rsidR="00E45A61" w:rsidRPr="00786B7D" w:rsidRDefault="00E45A61" w:rsidP="00E45A61">
      <w:pPr>
        <w:pStyle w:val="parrafo1"/>
        <w:spacing w:line="360" w:lineRule="auto"/>
        <w:rPr>
          <w:i/>
        </w:rPr>
      </w:pPr>
      <w:r w:rsidRPr="00786B7D">
        <w:t xml:space="preserve">Los planes de igualdad son definidos en el artículo 46 de la LOI como </w:t>
      </w:r>
      <w:r w:rsidRPr="00786B7D">
        <w:rPr>
          <w:i/>
        </w:rPr>
        <w:t>“un conjunto ordenado de medidas, adoptadas después de realizar un diagnóstico de situación, tendentes a alcanzar en la empresa la igualdad de trato y de oportunidades entre mujeres y hombres y a eliminar la discriminación por razón de sexo.</w:t>
      </w:r>
    </w:p>
    <w:p w:rsidR="00E45A61" w:rsidRPr="00786B7D" w:rsidRDefault="00E45A61" w:rsidP="00E45A61">
      <w:pPr>
        <w:pStyle w:val="parrafo1"/>
        <w:spacing w:line="360" w:lineRule="auto"/>
        <w:rPr>
          <w:i/>
        </w:rPr>
      </w:pPr>
      <w:r w:rsidRPr="00786B7D">
        <w:rPr>
          <w:i/>
        </w:rPr>
        <w:t>Los planes de igualdad fijarán los concretos objetivos de igualdad a alcanzar, las estrategias y prácticas a adoptar para su consecución, así como el establecimiento de sistemas eficaces de seguimiento y evaluación de los objetivos fijados.”</w:t>
      </w:r>
    </w:p>
    <w:p w:rsidR="00E45A61" w:rsidRPr="00786B7D" w:rsidRDefault="00E45A61" w:rsidP="00E45A61">
      <w:pPr>
        <w:pStyle w:val="parrafo1"/>
        <w:spacing w:line="360" w:lineRule="auto"/>
      </w:pPr>
      <w:r w:rsidRPr="00786B7D">
        <w:t>Con el plan de igualdad la LOI pretende avanzar un paso más en la consecución de la igualdad efectiva entre mujeres y hombres, pues las empresas quedan obligadas, no por el principio de igualdad de trato y de oportunidades, sino por un plan realizado de forma específica para la propia empresa en base a su situación en relación a la igualdad.</w:t>
      </w:r>
      <w:r w:rsidRPr="00786B7D">
        <w:rPr>
          <w:rStyle w:val="Refdenotaalpie"/>
        </w:rPr>
        <w:footnoteReference w:id="94"/>
      </w:r>
    </w:p>
    <w:p w:rsidR="00E45A61" w:rsidRPr="00786B7D" w:rsidRDefault="00E45A61" w:rsidP="00E45A61">
      <w:pPr>
        <w:pStyle w:val="parrafo1"/>
        <w:spacing w:line="360" w:lineRule="auto"/>
      </w:pPr>
      <w:r w:rsidRPr="00786B7D">
        <w:t>El problema principal de los planes de igualdad es que solo son obligatorios para las grandes empresas, es decir, aquellas que cuentan con más de 250 empleados</w:t>
      </w:r>
      <w:r w:rsidRPr="00786B7D">
        <w:rPr>
          <w:rStyle w:val="Refdenotaalpie"/>
        </w:rPr>
        <w:footnoteReference w:id="95"/>
      </w:r>
      <w:r w:rsidRPr="00786B7D">
        <w:t>, teniendo en cuenta que en España la mayoría de las empresas son pequeñas y medianas, es decir, de menos de 250 trabajadores, lo que significa que el porcentaje de empresas obligadas a realizar el plan es mínimo, en 2015 eran de un 0,1% del total de las empresas españolas.</w:t>
      </w:r>
      <w:r w:rsidRPr="00786B7D">
        <w:rPr>
          <w:rStyle w:val="Refdenotaalpie"/>
        </w:rPr>
        <w:footnoteReference w:id="96"/>
      </w:r>
      <w:r w:rsidRPr="00786B7D">
        <w:t xml:space="preserve"> Para el resto de empresas, que conforman el 99,9 de las empresas españolas, los planes de igualdad solo son voluntarios. Por tanto, una medida que podría tener una gran repercusión sobre la igualdad salarial (sobre la igualdad de género en materia laboral, en general) queda apenas sin repercusión. </w:t>
      </w:r>
    </w:p>
    <w:p w:rsidR="00E45A61" w:rsidRPr="00786B7D" w:rsidRDefault="00E45A61" w:rsidP="00E45A61">
      <w:pPr>
        <w:pStyle w:val="parrafo1"/>
        <w:spacing w:line="360" w:lineRule="auto"/>
      </w:pPr>
      <w:r w:rsidRPr="00786B7D">
        <w:lastRenderedPageBreak/>
        <w:t>Las ventajas de los planes de igualdad son varias: se elaboran tras un diagnóstico previo de la situación de igualdad de oportunidades en la empresa que permite conocer cuál es el estado actual en la empresa, a partir de este se identifican los aspectos que deben corregirse y aquellos que se potenciarán para obtener una mayor igualdad, para ello debe de realizarse un examen o control exhaustivo</w:t>
      </w:r>
      <w:r w:rsidRPr="00786B7D">
        <w:rPr>
          <w:rStyle w:val="Refdenotaalpie"/>
        </w:rPr>
        <w:footnoteReference w:id="97"/>
      </w:r>
      <w:r w:rsidRPr="00786B7D">
        <w:t>; para su elaboración, a raíz del diagnóstico se fijarán unos objetivos concretos y las estrategias a adoptar para cumplir los mismos</w:t>
      </w:r>
      <w:r w:rsidRPr="00786B7D">
        <w:rPr>
          <w:rStyle w:val="Refdenotaalpie"/>
        </w:rPr>
        <w:footnoteReference w:id="98"/>
      </w:r>
      <w:r w:rsidRPr="00786B7D">
        <w:t>; se puede formalizar dicho acuerdo a través de un acuerdo colectivo; y, por último, puede hacerse un seguimiento para asegurar su cumplimiento.</w:t>
      </w:r>
      <w:r w:rsidRPr="00786B7D">
        <w:rPr>
          <w:rStyle w:val="Refdenotaalpie"/>
        </w:rPr>
        <w:footnoteReference w:id="99"/>
      </w:r>
      <w:r w:rsidRPr="00786B7D">
        <w:t xml:space="preserve"> Por todas estas ventajas, los planes de igualdad podrían ser una de las herramientas más favorables para cerrar la brecha salarial, pues no solo se realiza un informe sobre la situación de discriminación salarial, sino que se establecerán las estrategias en función de los resultados de un análisis y se hará un seguimiento para asegurar el cumplimiento de las medidas establecidas para el plan. Para más efectividad aún, los trabajadores deben de ser informados sobre el plan, sus medidas y la consecución de los objetivos marcados.</w:t>
      </w:r>
    </w:p>
    <w:p w:rsidR="00E45A61" w:rsidRPr="00786B7D" w:rsidRDefault="00E45A61" w:rsidP="00E45A61">
      <w:pPr>
        <w:pStyle w:val="parrafo1"/>
        <w:spacing w:line="360" w:lineRule="auto"/>
      </w:pPr>
      <w:r w:rsidRPr="00786B7D">
        <w:t>Como puede verse, los planes de igualdad pueden llegar a ser realmente ventajosos para las empresas para conseguir el objetivo de la igualdad salarial, es una herramienta que no solo se centra en la situación específica de cada empresa, sino que además tiene en cuenta a los trabajadores, informándoles de la situación de la misma, por todo ello, debe de ser una medida obligatoria para todas las empresas independientemente del número de empleados que la compongan. Actualmente, la forma de implementarla en las pequeñas y medianas empresas es a través de los convenios colectivos que, como he dicho, apenas incluyen la remuneración entre sus acuerdos.</w:t>
      </w:r>
    </w:p>
    <w:p w:rsidR="00E45A61" w:rsidRPr="00786B7D" w:rsidRDefault="00E45A61" w:rsidP="00E45A61">
      <w:pPr>
        <w:pStyle w:val="parrafo1"/>
        <w:spacing w:line="360" w:lineRule="auto"/>
        <w:rPr>
          <w:b/>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26" w:name="_Toc486503110"/>
      <w:r w:rsidRPr="00786B7D">
        <w:rPr>
          <w:rFonts w:ascii="Times New Roman" w:hAnsi="Times New Roman"/>
          <w:szCs w:val="24"/>
        </w:rPr>
        <w:t>MEDIDAS DE CONCILIACIÓN DE LA VIDA LABORAL, FAMILIAR Y PERSONAL, Y MEDIDAS DE CORRESPONSABILIDAD.</w:t>
      </w:r>
      <w:bookmarkEnd w:id="26"/>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lastRenderedPageBreak/>
        <w:t>La conciliación de la vida personal, familiar, laboral ha evolucionado a lo largo de los años, debido a la incorporación de la mujer en la vida laboral. No obstante, sigue siendo la mujer la que, en la gran mayoría de las ocasiones, está a cargo del cuidado de los hijos, personas mayores y con discapacidad lo que tiene como consecuencia que las mujeres tengan una sobrecarga de tareas. La mayor dedicación de las mujeres a las tareas familiares es uno de los pilares de la discriminación laboral de las trabajadoras, en el acceso al empleo, la formación, promoción y en el reconocimiento profesional y retributivo. Así nace la contradicción del sistema laboral en el que quedan integradas las mujeres y un obsoleto sistema familiar, que atribuye las cargas familiares a la mujer. No integrar o compenetrar el sistema laboral con el familiar ha creado una situación conflictiva y negativa para las mujeres.</w:t>
      </w:r>
      <w:r w:rsidRPr="00786B7D">
        <w:rPr>
          <w:rStyle w:val="Refdenotaalpie"/>
          <w:sz w:val="24"/>
          <w:szCs w:val="24"/>
        </w:rPr>
        <w:footnoteReference w:id="100"/>
      </w:r>
      <w:r w:rsidRPr="00786B7D">
        <w:rPr>
          <w:sz w:val="24"/>
          <w:szCs w:val="24"/>
        </w:rPr>
        <w:t xml:space="preserve"> En los últimos años, en España, se ha producido un avance legislativo respecto a la igualdad entre mujeres y hombres debido a la trascripción de normativa europea y al movimiento de mujeres y organizaciones que luchan por una mayor y mejor regulación de la conciliación de la vida laboral y familiar, así como que se adecúe a los nuevos modelos familiares y los cambios de los roles y estereotipos de géneros.</w:t>
      </w:r>
    </w:p>
    <w:p w:rsidR="00E45A61" w:rsidRPr="00786B7D" w:rsidRDefault="00E45A61" w:rsidP="00E45A61">
      <w:pPr>
        <w:spacing w:line="360" w:lineRule="auto"/>
        <w:ind w:firstLine="360"/>
        <w:jc w:val="both"/>
        <w:rPr>
          <w:sz w:val="24"/>
          <w:szCs w:val="24"/>
        </w:rPr>
      </w:pPr>
      <w:r w:rsidRPr="00786B7D">
        <w:rPr>
          <w:sz w:val="24"/>
          <w:szCs w:val="24"/>
        </w:rPr>
        <w:t>Por todo lo anterior, son necesarias medidas que hagan posible, no solo que las mujeres puedan compaginar la vida laboral con la familiar sin que les repercuta de forma negativa, también con medidas de corresponsabilidad que incluyan al hombre en la vida familiar de igual forma que a la mujer, siendo este encargado de hijos, personas mayores o discapacitados.</w:t>
      </w:r>
      <w:r w:rsidRPr="00786B7D">
        <w:rPr>
          <w:rStyle w:val="Refdenotaalpie"/>
          <w:sz w:val="24"/>
          <w:szCs w:val="24"/>
        </w:rPr>
        <w:footnoteReference w:id="101"/>
      </w:r>
      <w:r w:rsidRPr="00786B7D">
        <w:rPr>
          <w:sz w:val="24"/>
          <w:szCs w:val="24"/>
        </w:rPr>
        <w:t xml:space="preserve"> La diferencia entre la conciliación y la corresponsabilidad es que la primera busca un equilibrio entre el ámbito familiar, el laboral y el social, con el objetivo de mejorar el bienestar, la salud y la capacidad de trabajo. Las medidas de conciliación han ido dirigidas a mujeres, por lo que no se contribuía a la consecución de la igualdad, sino a la feminización de la situación, pues no se combatían los estereotipos tradicionales. Por su parte, la corresponsabilidad social va encaminada tanto a hombres como mujeres, son medidas dirigidas a trabajadoras y trabajadores, promoviendo la igualdad de oportunidades.</w:t>
      </w:r>
      <w:r w:rsidRPr="00786B7D">
        <w:rPr>
          <w:rStyle w:val="Refdenotaalpie"/>
          <w:sz w:val="24"/>
          <w:szCs w:val="24"/>
        </w:rPr>
        <w:footnoteReference w:id="102"/>
      </w:r>
      <w:r w:rsidRPr="00786B7D">
        <w:rPr>
          <w:sz w:val="24"/>
          <w:szCs w:val="24"/>
        </w:rPr>
        <w:t xml:space="preserve"> A pesar de ser más beneficiosa la corresponsabilidad, </w:t>
      </w:r>
      <w:r w:rsidRPr="00786B7D">
        <w:rPr>
          <w:sz w:val="24"/>
          <w:szCs w:val="24"/>
        </w:rPr>
        <w:lastRenderedPageBreak/>
        <w:t>pues no busca facilitar a la mujer el trabajo con la labor familiar, sino incluir al hombre en esta labor, aún son más comunes las medidas de conciliación que aquellas de corresponsabilidad. Las medidas de conciliación y corresponsabilidad son: medidas de flexibilización de la relación laboral; medidas de flexibilización del lugar de trabajo; prestaciones sociales de las empresas relacionadas con conciliación de la vida laboral, personal y familiar; y políticas de recursos humanos de concienciación y fomento del desarrollo de sociedades más justas y equitativas.</w:t>
      </w:r>
    </w:p>
    <w:p w:rsidR="00E45A61" w:rsidRPr="00786B7D" w:rsidRDefault="00E45A61" w:rsidP="00E45A61">
      <w:pPr>
        <w:spacing w:line="360" w:lineRule="auto"/>
        <w:ind w:firstLine="360"/>
        <w:jc w:val="both"/>
        <w:rPr>
          <w:sz w:val="24"/>
          <w:szCs w:val="24"/>
        </w:rPr>
      </w:pPr>
      <w:r w:rsidRPr="00786B7D">
        <w:rPr>
          <w:sz w:val="24"/>
          <w:szCs w:val="24"/>
        </w:rPr>
        <w:t xml:space="preserve">En la LOI, quedan recogidos los derechos de conciliación en el artículo 44, no obstante, dice </w:t>
      </w:r>
      <w:r w:rsidRPr="00786B7D">
        <w:rPr>
          <w:i/>
          <w:sz w:val="24"/>
          <w:szCs w:val="24"/>
        </w:rPr>
        <w:t>“se reconocerán a los trabajadores  las trabajadoras en la forma que fomenten la asunción equilibrada de las responsabilidad familiares…”</w:t>
      </w:r>
      <w:r w:rsidRPr="00786B7D">
        <w:rPr>
          <w:sz w:val="24"/>
          <w:szCs w:val="24"/>
        </w:rPr>
        <w:t>. Por tanto, bajo el nombre de “Los derechos de conciliación de la vida personal, familiar y laboral” encontramos medidas que se aproximan a la correlación, pues dotan tanto a hombres como mujeres de dichos derechos, reconociendo a los padres el derecho a un permiso y una prestación por paternidad, que es una de las protecciones económicas más relevantes introducidas por la LOI para la mejora de las condiciones para alcanzar la igualdad efectiva entre mujeres y hombres, que pretende la corresponsabilidad en la asunción de tareas derivadas del cuidado de los hijos y el fomento de la conciliación de la vida laboral y familiar de los trabajadores.</w:t>
      </w:r>
      <w:r w:rsidRPr="00786B7D">
        <w:rPr>
          <w:rStyle w:val="Refdenotaalpie"/>
          <w:sz w:val="24"/>
          <w:szCs w:val="24"/>
        </w:rPr>
        <w:footnoteReference w:id="103"/>
      </w:r>
    </w:p>
    <w:p w:rsidR="00E45A61" w:rsidRPr="00786B7D" w:rsidRDefault="00E45A61" w:rsidP="00E45A61">
      <w:pPr>
        <w:spacing w:line="360" w:lineRule="auto"/>
        <w:ind w:firstLine="360"/>
        <w:jc w:val="both"/>
        <w:rPr>
          <w:sz w:val="24"/>
          <w:szCs w:val="24"/>
        </w:rPr>
      </w:pPr>
      <w:r w:rsidRPr="00786B7D">
        <w:rPr>
          <w:sz w:val="24"/>
          <w:szCs w:val="24"/>
        </w:rPr>
        <w:t>Es lógico que la LOI dedique parte de sus previsiones a la articulación de medidas de conciliación, pues la dificultad de compatibilizar vida laboral y familiar es una de las causas de abandono del mercado de trabajo que afecta a las mujeres, quedando sin utilidad las medidas de la LOI para la igualdad laboral, si las mujeres no participan completamente en el mercado de trabajo. Las medidas de conciliación y corresponsabilidad contribuyen con el fin de acabar con la desigualdad salarial, pues se integra a la mujer en el ámbito laboral de forma plena, sin correr el riesgo de ver reducido su sueldo por el hecho de formar una familia o tener que cuidar de personas a su cargo, haciendo que tanto hombres como mujeres se equiparen en este tipo de responsabilidades, no obligando a la mujer a reducir su jornada o abandonar su trabajo, por ejemplo, para el cuidado de sus hijos.</w:t>
      </w:r>
    </w:p>
    <w:p w:rsidR="00E45A61" w:rsidRPr="00786B7D" w:rsidRDefault="00E45A61" w:rsidP="00E45A61">
      <w:pPr>
        <w:spacing w:line="360" w:lineRule="auto"/>
        <w:ind w:firstLine="360"/>
        <w:jc w:val="both"/>
        <w:rPr>
          <w:sz w:val="24"/>
          <w:szCs w:val="24"/>
        </w:rPr>
      </w:pPr>
      <w:r w:rsidRPr="00786B7D">
        <w:rPr>
          <w:sz w:val="24"/>
          <w:szCs w:val="24"/>
        </w:rPr>
        <w:lastRenderedPageBreak/>
        <w:t xml:space="preserve">Una de las formas de adoptar medidas de conciliación es a través de la negociación colectiva. Por lo general, los convenios reproducen lo previsto en la legislación o remiten a esta, si bien, cada vez son más numerosos los convenios que tienden a mejorar lo dispuesto en la norma. No obstante, </w:t>
      </w:r>
      <w:r w:rsidRPr="00786B7D">
        <w:rPr>
          <w:i/>
          <w:sz w:val="24"/>
          <w:szCs w:val="24"/>
        </w:rPr>
        <w:t>“hay que hablar, por tanto, del positivo acogimiento que la Ley ha tenido por parte de la negociación colectiva fundamentalmente en el ámbito sectorial y estatal.”</w:t>
      </w:r>
      <w:r w:rsidRPr="00786B7D">
        <w:rPr>
          <w:sz w:val="24"/>
          <w:szCs w:val="24"/>
        </w:rPr>
        <w:t>.</w:t>
      </w:r>
      <w:r w:rsidRPr="00786B7D">
        <w:rPr>
          <w:rStyle w:val="Refdenotaalpie"/>
          <w:sz w:val="24"/>
          <w:szCs w:val="24"/>
        </w:rPr>
        <w:footnoteReference w:id="104"/>
      </w:r>
    </w:p>
    <w:p w:rsidR="00E45A61" w:rsidRPr="00786B7D" w:rsidRDefault="00E45A61" w:rsidP="00E45A61">
      <w:pPr>
        <w:spacing w:line="360" w:lineRule="auto"/>
        <w:ind w:firstLine="360"/>
        <w:jc w:val="both"/>
        <w:rPr>
          <w:sz w:val="24"/>
          <w:szCs w:val="24"/>
        </w:rPr>
      </w:pPr>
      <w:r w:rsidRPr="00786B7D">
        <w:rPr>
          <w:sz w:val="24"/>
          <w:szCs w:val="24"/>
        </w:rPr>
        <w:t>Los datos demuestran que no son suficientes las medidas de conciliación actuales, pues siguen siendo las mujeres las que hacen uso de la excedencia para el cuidado de hijos, en casi el 93% de los casos, en cuanto a los permisos de maternidad, casi el 98% de los casos, se hizo uso de él por mujeres, en 2016.</w:t>
      </w:r>
      <w:r w:rsidRPr="00786B7D">
        <w:rPr>
          <w:rStyle w:val="Refdenotaalpie"/>
          <w:sz w:val="24"/>
          <w:szCs w:val="24"/>
        </w:rPr>
        <w:footnoteReference w:id="105"/>
      </w:r>
      <w:r w:rsidRPr="00786B7D">
        <w:rPr>
          <w:sz w:val="24"/>
          <w:szCs w:val="24"/>
        </w:rPr>
        <w:t xml:space="preserve"> Como consecuencia, es la mujer la que queda desplazada del ámbito laboral.</w:t>
      </w:r>
    </w:p>
    <w:p w:rsidR="00E45A61" w:rsidRPr="00786B7D" w:rsidRDefault="00E45A61" w:rsidP="00E45A61">
      <w:pPr>
        <w:spacing w:line="360" w:lineRule="auto"/>
        <w:ind w:firstLine="360"/>
        <w:jc w:val="both"/>
        <w:rPr>
          <w:sz w:val="24"/>
          <w:szCs w:val="24"/>
        </w:rPr>
      </w:pPr>
      <w:r w:rsidRPr="00786B7D">
        <w:rPr>
          <w:sz w:val="24"/>
          <w:szCs w:val="24"/>
        </w:rPr>
        <w:t>Deben quedar atrás las medidas de conciliación para dar paso a las medidas de corresponsabilidad para conseguir un cambio en el sistema laboral y familiar y adaptarlo a las nuevas situaciones familiares y sociales, para poder lograr la igualdad real laboral y salarial. Este avance puede realizarse a través de la negociación colectiva, incluyéndose clausulas en los convenios colectivos de flexibilización de la jornada como cláusulas que permitan la entrada y salida del puesto de trabajo, por un tiempo concreto, para atender determinadas necesidades de las personas bajo el cuidado de trabajadores y trabajadoras; otra posibilidad es el llamado “teletrabajo”, medida de flexibilización del lugar de trabajo, que consiste en la realización de la actividad laboral desde el domicilio del trabajador o trabajadora, a través de medio telemáticos, que permite a los empleados repartir la jornada de la manera más conveniente.</w:t>
      </w:r>
      <w:r w:rsidRPr="00786B7D">
        <w:rPr>
          <w:rStyle w:val="Refdenotaalpie"/>
          <w:sz w:val="24"/>
          <w:szCs w:val="24"/>
        </w:rPr>
        <w:footnoteReference w:id="106"/>
      </w:r>
      <w:r w:rsidRPr="00786B7D">
        <w:rPr>
          <w:sz w:val="24"/>
          <w:szCs w:val="24"/>
        </w:rPr>
        <w:t xml:space="preserve"> En cuanto a los permisos de maternidad y paternidad, es necesario que las empresas vayan más allá de lo establecido en la LOI e igualen o aumenten los permisos de paternidad con los de maternidad, en cuanto a duración y posibilidad de solicitarlo. En relación con esto, puede acordarse por convenio la posibilidad de preferencia en la elección de turnos de trabajo o vacaciones a las trabajadoras y trabajadores con cargas familiares. Por último, medidas poco comunes para la unificación familiar como es la restricción de la movilidad de las trabajadoras en el periodo de embarazo o lactancia de un hijo menor de </w:t>
      </w:r>
      <w:r w:rsidRPr="00786B7D">
        <w:rPr>
          <w:sz w:val="24"/>
          <w:szCs w:val="24"/>
        </w:rPr>
        <w:lastRenderedPageBreak/>
        <w:t>nueve meses o la preferencia en la permanencia en el centro de trabajo de los trabajadores y trabajadoras con hijos menores de 3 años.</w:t>
      </w:r>
      <w:r w:rsidRPr="00786B7D">
        <w:rPr>
          <w:rStyle w:val="Refdenotaalpie"/>
          <w:sz w:val="24"/>
          <w:szCs w:val="24"/>
        </w:rPr>
        <w:footnoteReference w:id="107"/>
      </w:r>
    </w:p>
    <w:p w:rsidR="00E45A61" w:rsidRPr="00786B7D" w:rsidRDefault="00E45A61" w:rsidP="00E45A61">
      <w:pPr>
        <w:spacing w:line="360" w:lineRule="auto"/>
        <w:ind w:firstLine="360"/>
        <w:jc w:val="both"/>
        <w:rPr>
          <w:sz w:val="24"/>
          <w:szCs w:val="24"/>
        </w:rPr>
      </w:pPr>
      <w:r w:rsidRPr="00786B7D">
        <w:rPr>
          <w:sz w:val="24"/>
          <w:szCs w:val="24"/>
        </w:rPr>
        <w:t>Con la aplicación, mejora y extensión de estas medidas de conciliación y el impulso de las medidas de corresponsabilidad se facilita que mujeres y hombres se hagan cargo por igual de las cargas familiares, compensando las trabas a la participación del padre en las cargas familiares, ampliando las posibilidades de reparto de los derechos reconocidos para el cuidado de hijos o familiares entre ambos progenitores, flexibilizando el disfrute de los derechos a todas las familias, abriendo nuevas vías para proteger a los nuevos tipos de familias, y repartiendo el riesgo profesional entre mujeres y hombres</w:t>
      </w:r>
      <w:r w:rsidRPr="00786B7D">
        <w:rPr>
          <w:rStyle w:val="Refdenotaalpie"/>
          <w:sz w:val="24"/>
          <w:szCs w:val="24"/>
        </w:rPr>
        <w:footnoteReference w:id="108"/>
      </w:r>
      <w:r w:rsidRPr="00786B7D">
        <w:rPr>
          <w:sz w:val="24"/>
          <w:szCs w:val="24"/>
        </w:rPr>
        <w:t xml:space="preserve"> evitando la salida del mercado laboral de la mujer y la continuidad de los roles tradicionales, logrando la igualdad laboral y la salarial entre mujeres y hombres.</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27" w:name="_Toc486503111"/>
      <w:r w:rsidRPr="00786B7D">
        <w:rPr>
          <w:rFonts w:ascii="Times New Roman" w:hAnsi="Times New Roman"/>
          <w:szCs w:val="24"/>
        </w:rPr>
        <w:t>LA IMPORTANCIA DE LAS MEDIDAS EDUCATIVAS: LA COEDUCACIÓN.</w:t>
      </w:r>
      <w:bookmarkEnd w:id="27"/>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La LOI incluye en su articulado varias disposiciones de carácter social, educativo, sanitario, cultural y deportivo, con el objeto de lograr la igualdad efectiva entre mujeres y hombres en esos ámbitos y a partir de ellos.</w:t>
      </w:r>
      <w:r w:rsidRPr="00786B7D">
        <w:rPr>
          <w:rStyle w:val="Refdenotaalpie"/>
          <w:sz w:val="24"/>
          <w:szCs w:val="24"/>
        </w:rPr>
        <w:footnoteReference w:id="109"/>
      </w:r>
      <w:r w:rsidRPr="00786B7D">
        <w:rPr>
          <w:sz w:val="24"/>
          <w:szCs w:val="24"/>
        </w:rPr>
        <w:t xml:space="preserve"> Dentro de la importancia de promocionar la igualdad en todos y cada uno de los aspectos sociales, voy a destacar la importancia de hacerlo en el ámbito educativo por la enorme repercusión social de este aspecto. La educación constituye uno de los pilares fundamentales para conseguir la igualdad a cualquier nivel, pues si desde la etapa de la Educación Infantil, en la cual los niños asimilan las pautas de conducta, reciben una educación correcta basada en pautas de conducta igualitaria, crecerán sin pretensiones culturales sexistas y de discriminación.</w:t>
      </w:r>
    </w:p>
    <w:p w:rsidR="00E45A61" w:rsidRPr="00786B7D" w:rsidRDefault="00E45A61" w:rsidP="00E45A61">
      <w:pPr>
        <w:spacing w:line="360" w:lineRule="auto"/>
        <w:ind w:firstLine="360"/>
        <w:jc w:val="both"/>
        <w:rPr>
          <w:sz w:val="24"/>
          <w:szCs w:val="24"/>
        </w:rPr>
      </w:pPr>
      <w:r w:rsidRPr="00786B7D">
        <w:rPr>
          <w:sz w:val="24"/>
          <w:szCs w:val="24"/>
        </w:rPr>
        <w:t xml:space="preserve">El artículo 23 de la LOI determina en su primer párrafo que el sistema educativo tiene el fin de educar en el respeto de los derechos y libertades fundamentales, así como en la igualdad de derechos y oportunidades entre mujeres y hombres. La forma de conseguir este fin es la coeducación, definida como </w:t>
      </w:r>
      <w:r w:rsidRPr="00786B7D">
        <w:rPr>
          <w:i/>
          <w:sz w:val="24"/>
          <w:szCs w:val="24"/>
        </w:rPr>
        <w:t xml:space="preserve">“la educación democrática de niñas </w:t>
      </w:r>
      <w:r w:rsidRPr="00786B7D">
        <w:rPr>
          <w:i/>
          <w:sz w:val="24"/>
          <w:szCs w:val="24"/>
        </w:rPr>
        <w:lastRenderedPageBreak/>
        <w:t>y niños, hombres y mujeres para las esferas públicas (ámbito laboral y político) y las esferas privadas (ámbito doméstico y de las relaciones personales)”.</w:t>
      </w:r>
      <w:r w:rsidRPr="00786B7D">
        <w:rPr>
          <w:rStyle w:val="Refdenotaalpie"/>
          <w:i/>
          <w:sz w:val="24"/>
          <w:szCs w:val="24"/>
        </w:rPr>
        <w:footnoteReference w:id="110"/>
      </w:r>
      <w:r w:rsidRPr="00786B7D">
        <w:rPr>
          <w:sz w:val="24"/>
          <w:szCs w:val="24"/>
        </w:rPr>
        <w:t xml:space="preserve"> Si el objetivo del sistema educativo es formar a los individuos para que sean autónomos, así como para que puedan relacionarse en todas las esferas sociales con respeto, para ello debe proporcionarse las herramientas para una correcta comunicación entre las personas de ambos sexos, con respeto y convivencia. No obstante, esta educación debe complementarse con la proporcionada por los padres y madres en casa, pues es en la institución familiar donde se transmite de forma principal los modelos de comportamiento, para lo cual debe existir colaboración entre los centros educativos y las familias de los alumnos.</w:t>
      </w:r>
      <w:r w:rsidRPr="00786B7D">
        <w:rPr>
          <w:rStyle w:val="Refdenotaalpie"/>
          <w:sz w:val="24"/>
          <w:szCs w:val="24"/>
        </w:rPr>
        <w:footnoteReference w:id="111"/>
      </w:r>
    </w:p>
    <w:p w:rsidR="00E45A61" w:rsidRPr="00786B7D" w:rsidRDefault="00E45A61" w:rsidP="00E45A61">
      <w:pPr>
        <w:spacing w:line="360" w:lineRule="auto"/>
        <w:ind w:firstLine="360"/>
        <w:jc w:val="both"/>
        <w:rPr>
          <w:sz w:val="24"/>
          <w:szCs w:val="24"/>
        </w:rPr>
      </w:pPr>
      <w:r w:rsidRPr="00786B7D">
        <w:rPr>
          <w:sz w:val="24"/>
          <w:szCs w:val="24"/>
        </w:rPr>
        <w:t>Las personas no nos constituimos como seres humanos sólo en relación al sexo, el sexo es una base biológica sobre la que se han constituido las identidades de género, que son de carácter social, es decir, la sociedad ha creado normas de comportamiento sobre las mujeres y hombres en función a su sexo. Los géneros son limitaciones al desarrollo de las personas, pues se adaptan a patrones que no corresponden con las capacidades o deseos de las personas.</w:t>
      </w:r>
      <w:r w:rsidRPr="00786B7D">
        <w:rPr>
          <w:rStyle w:val="Refdenotaalpie"/>
          <w:sz w:val="24"/>
          <w:szCs w:val="24"/>
        </w:rPr>
        <w:footnoteReference w:id="112"/>
      </w:r>
      <w:r w:rsidRPr="00786B7D">
        <w:rPr>
          <w:sz w:val="24"/>
          <w:szCs w:val="24"/>
        </w:rPr>
        <w:t xml:space="preserve"> Esto ocurre en todos los aspectos de la vida, entre ellos encontramos el laboral, donde encontramos unos determinados sectores feminizados, es decir, áreas o trabajos que sólo son desarrollados por mujeres, mientras que estas no pueden acceder a otras actividades que serán realizadas por hombres. No obstante, va más allá el sistema de géneros, que establece una jerarquía entre los individuos, según el sexo de estos, donde el hombre queda por encima de la mujer. Para poner fin al sistema de géneros y a los roles o estereotipos sexista que establece, son diversas medidas las medidas que pueden llevarse a cabo: evitar la diferencia de trato por parte de los maestros y maestras, así como por los padres y madres, en cuanto a valoración por sexo; usar un lenguaje no sexista ni discriminatorio; fomentar el uso indistinto por parte de niñas y niños de los juegos y juguetes; basar la educación en que las diferencias biológicas no significan diferencias conductuales; evitar los estereotipos en cuanto a trabajo y tareas domésticas; potenciar la autonomía, así como sensibilidad en niñas y niños. </w:t>
      </w:r>
      <w:r w:rsidRPr="00786B7D">
        <w:rPr>
          <w:rStyle w:val="Refdenotaalpie"/>
          <w:sz w:val="24"/>
          <w:szCs w:val="24"/>
        </w:rPr>
        <w:footnoteReference w:id="113"/>
      </w:r>
    </w:p>
    <w:p w:rsidR="00E45A61" w:rsidRPr="00786B7D" w:rsidRDefault="00E45A61" w:rsidP="00E45A61">
      <w:pPr>
        <w:spacing w:line="360" w:lineRule="auto"/>
        <w:ind w:firstLine="360"/>
        <w:jc w:val="both"/>
        <w:rPr>
          <w:sz w:val="24"/>
          <w:szCs w:val="24"/>
        </w:rPr>
      </w:pPr>
      <w:r w:rsidRPr="00786B7D">
        <w:rPr>
          <w:sz w:val="24"/>
          <w:szCs w:val="24"/>
        </w:rPr>
        <w:lastRenderedPageBreak/>
        <w:t>El II Plan Estratégico de Igualdad de Género (2016-2021) tiene como objeto establecer las condiciones para que los centros implementen Planes de Centros un Plan de Igualdad de género que recoja las actuaciones del centro en materia de coeducación. Los Planes de Centros, que obliga a realizar el II Plan Estratégico de Igualdad de Género a todos los Centros Educativos, son la herramienta más adecuada para implementar las medidas de coeducación expuestas anteriormente, que mejor se adapten a la situación específica de cada Centro concreto.</w:t>
      </w:r>
      <w:r w:rsidRPr="00786B7D">
        <w:rPr>
          <w:rStyle w:val="Refdenotaalpie"/>
          <w:sz w:val="24"/>
          <w:szCs w:val="24"/>
        </w:rPr>
        <w:footnoteReference w:id="114"/>
      </w:r>
    </w:p>
    <w:p w:rsidR="00E45A61" w:rsidRPr="00786B7D" w:rsidRDefault="00E45A61" w:rsidP="00E45A61">
      <w:pPr>
        <w:spacing w:line="360" w:lineRule="auto"/>
        <w:ind w:firstLine="360"/>
        <w:jc w:val="both"/>
        <w:rPr>
          <w:sz w:val="24"/>
          <w:szCs w:val="24"/>
        </w:rPr>
      </w:pPr>
      <w:r w:rsidRPr="00786B7D">
        <w:rPr>
          <w:sz w:val="24"/>
          <w:szCs w:val="24"/>
        </w:rPr>
        <w:t>La consecuencia de todo lo anterior es: que niños y niñas crezcan con una educación social no sexista, ni discriminatoria, lo cual permite acabar con los roles de género laborales instaurados actualmente en la sociedad. De aquí la importancia de las medidas educativas, pues influirán en las concepciones sociales, de tal forma que cambiando el sistema educativo, mejorándolo, puede erradicarse el aspecto social de la discriminación de género. Todo lo anterior repercute de forma indirecta en la discriminación salarial, pues si a través de la educación se eliminan los roles tradicionales de mujeres y hombres, con la comprensión de que el trabajo que desarrolla una persona, así como la remuneración que recibe por ese trabajo, no está relacionado con su sexo, sino con criterios objetivos no sexistas como son la formación de la persona o la experiencia, así como que no hay una división de trabajos desarrollados por mujeres y otros desarrollados por hombres, sino que todas las personas pueden realizar cualquier tipo de actividad laboral, más allá de ser mujeres u hombre.</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3"/>
        <w:keepLines/>
        <w:numPr>
          <w:ilvl w:val="2"/>
          <w:numId w:val="6"/>
        </w:numPr>
        <w:spacing w:before="200" w:line="360" w:lineRule="auto"/>
        <w:jc w:val="both"/>
        <w:rPr>
          <w:rFonts w:ascii="Times New Roman" w:hAnsi="Times New Roman"/>
          <w:szCs w:val="24"/>
        </w:rPr>
      </w:pPr>
      <w:bookmarkStart w:id="28" w:name="_Toc486503112"/>
      <w:r w:rsidRPr="00786B7D">
        <w:rPr>
          <w:rFonts w:ascii="Times New Roman" w:hAnsi="Times New Roman"/>
          <w:szCs w:val="24"/>
        </w:rPr>
        <w:t>TAMBIÉN MEDIDAS LEGISLATIVAS.</w:t>
      </w:r>
      <w:bookmarkEnd w:id="28"/>
      <w:r w:rsidRPr="00786B7D">
        <w:rPr>
          <w:rFonts w:ascii="Times New Roman" w:hAnsi="Times New Roman"/>
          <w:szCs w:val="24"/>
        </w:rPr>
        <w:t xml:space="preserve"> </w:t>
      </w:r>
    </w:p>
    <w:p w:rsidR="00E45A61" w:rsidRPr="00786B7D" w:rsidRDefault="00E45A61" w:rsidP="00E45A61">
      <w:pPr>
        <w:spacing w:line="360" w:lineRule="auto"/>
        <w:jc w:val="both"/>
        <w:rPr>
          <w:sz w:val="24"/>
          <w:szCs w:val="24"/>
        </w:rPr>
      </w:pPr>
    </w:p>
    <w:p w:rsidR="00E45A61" w:rsidRPr="00786B7D" w:rsidRDefault="00E45A61" w:rsidP="00E45A61">
      <w:pPr>
        <w:spacing w:line="360" w:lineRule="auto"/>
        <w:ind w:firstLine="360"/>
        <w:jc w:val="both"/>
        <w:rPr>
          <w:sz w:val="24"/>
          <w:szCs w:val="24"/>
        </w:rPr>
      </w:pPr>
      <w:r w:rsidRPr="00786B7D">
        <w:rPr>
          <w:sz w:val="24"/>
          <w:szCs w:val="24"/>
        </w:rPr>
        <w:t xml:space="preserve">El pasado 16 de febrero el Grupo Parlamentario Socialista, presentó una Moción </w:t>
      </w:r>
      <w:r w:rsidRPr="00786B7D">
        <w:rPr>
          <w:i/>
          <w:sz w:val="24"/>
          <w:szCs w:val="24"/>
        </w:rPr>
        <w:t>“sobre medidas que piensa adoptar para corregir la brecha salarial entre hombres y mujeres”</w:t>
      </w:r>
      <w:r w:rsidRPr="00786B7D">
        <w:rPr>
          <w:rStyle w:val="Refdenotaalpie"/>
          <w:sz w:val="24"/>
          <w:szCs w:val="24"/>
        </w:rPr>
        <w:footnoteReference w:id="115"/>
      </w:r>
      <w:r w:rsidRPr="00786B7D">
        <w:rPr>
          <w:sz w:val="24"/>
          <w:szCs w:val="24"/>
        </w:rPr>
        <w:t>. A través de dicha Moción, se insta al Gobierno a tomar medidas inmediatas para reducir la desigualdad salarial entre mujeres y hombres, con el objetivo de eliminarla. Para conseguir dicho fin, exige al Gobierno que, en el plazo de 6 meses, presente un Proyecto de Ley de Igualdad Salarial entre mujeres y hombres.</w:t>
      </w:r>
    </w:p>
    <w:p w:rsidR="00E45A61" w:rsidRPr="00786B7D" w:rsidRDefault="00E45A61" w:rsidP="00E45A61">
      <w:pPr>
        <w:spacing w:line="360" w:lineRule="auto"/>
        <w:ind w:firstLine="360"/>
        <w:jc w:val="both"/>
        <w:rPr>
          <w:sz w:val="24"/>
          <w:szCs w:val="24"/>
        </w:rPr>
      </w:pPr>
      <w:r w:rsidRPr="00786B7D">
        <w:rPr>
          <w:sz w:val="24"/>
          <w:szCs w:val="24"/>
        </w:rPr>
        <w:lastRenderedPageBreak/>
        <w:t>El Proyecto de Ley de Igualdad Salarial, deberá presentarse, tras un diálogo social que garantice la igualdad de retribución de género, real y efectiva, en el acceso al empleo, la permanencia, formación y promoción interna del mismo, debiendo remover los obstáculos que lo impidan o dificulten. Entre los objetivos específicos que constarán en el Proyecto de Ley estará alcanzar la tasa de empleo femenino del 74%, atendiendo a lo establecido por la Unión Europea en la Estrategia 2020. Dicho Proyecto de Ley debe contener medidas de conciliación y de correlación de la vida familiar, social y laboral como la equiparación de los permisos de maternidad y paternidad, la racionalización de horarios o la creación de una red de servicios sociales para la atención de las personas dependientes. Otras propuestas a incluir en el Proyecto de Ley son aquellas dirigidas a promover la transparencia en las empresas y estadísticas oficiales.</w:t>
      </w:r>
      <w:r w:rsidRPr="00786B7D">
        <w:rPr>
          <w:rStyle w:val="Refdenotaalpie"/>
          <w:sz w:val="24"/>
          <w:szCs w:val="24"/>
        </w:rPr>
        <w:footnoteReference w:id="116"/>
      </w:r>
    </w:p>
    <w:p w:rsidR="00E45A61" w:rsidRPr="00786B7D" w:rsidRDefault="00E45A61" w:rsidP="00E45A61">
      <w:pPr>
        <w:spacing w:line="360" w:lineRule="auto"/>
        <w:ind w:firstLine="360"/>
        <w:jc w:val="both"/>
        <w:rPr>
          <w:sz w:val="24"/>
          <w:szCs w:val="24"/>
        </w:rPr>
      </w:pPr>
      <w:r w:rsidRPr="00786B7D">
        <w:rPr>
          <w:sz w:val="24"/>
          <w:szCs w:val="24"/>
        </w:rPr>
        <w:t>Se fundamenta la Propuesta de Ley de Igualdad Salarial en la necesidad de acabar con todos los obstáculos que impiden la igualdad real y efectiva en este ámbito, pues más de 40 años después de la incorporación masiva de la mujer al mundo laboral, las mujeres siguen sufriendo discriminación en dicho ámbito, en gran parte por la existencia de un “techo de cristal” que impide el ascenso de las mujeres a puestos de poder y dirección, así como acceder a determinados sectores masculinizados, quedando recluidas en sectores laborales feminizados.</w:t>
      </w:r>
    </w:p>
    <w:p w:rsidR="00E45A61" w:rsidRPr="00786B7D" w:rsidRDefault="00E45A61" w:rsidP="00E45A61">
      <w:pPr>
        <w:spacing w:line="360" w:lineRule="auto"/>
        <w:ind w:firstLine="360"/>
        <w:jc w:val="both"/>
        <w:rPr>
          <w:sz w:val="24"/>
          <w:szCs w:val="24"/>
        </w:rPr>
      </w:pPr>
      <w:r w:rsidRPr="00786B7D">
        <w:rPr>
          <w:sz w:val="24"/>
          <w:szCs w:val="24"/>
        </w:rPr>
        <w:t xml:space="preserve">No obstante, la Unión General de Trabajadores (en adelante, UGT) realizó una propuesta de Ley de Igualdad Salarial previa a la Moción socialista de 2017. La Ley de Igualdad Salaria propuesta por UGT, debe recoger los principios, conceptos, medidas y políticas necesarias para cerrar la brecha salarial y conseguir la igualdad en este ámbito. Algunos de los preceptos que esta Propuesta de Ley de Igualdad Salarial incluye son: la definición de conceptos básicos como “trabajos de igual valor”, desarrollar el contenido de los planes de igualdad de las empresas que son establecidos por la LOI e incluir la materia salarial y la obligación de adoptarlos por las empresas; crear un Consejo o un Comité público para la igualdad salarial similar a la Comisión Interministerial creada por la LOI para la igualdad entre hombres y mujeres, en los cuales se tengan en cuenta los datos de las empresas en materia salarial para supervisar que se cumple con el principio de igualdad de trato, así como con lo que se haya determinado en los convenios colectivos; o aumentar las sanciones a las empresas cuando incumplan la </w:t>
      </w:r>
      <w:r w:rsidRPr="00786B7D">
        <w:rPr>
          <w:sz w:val="24"/>
          <w:szCs w:val="24"/>
        </w:rPr>
        <w:lastRenderedPageBreak/>
        <w:t>normativa en materia de igualdad, especialmente la salarial. Esta Propuesta de Ley incluye numerosas medidas, algunas de las cuales están establecidas en otras Leyes o normas, como la LOI, pero aplicadas de forma directa al ámbito salarial.</w:t>
      </w:r>
      <w:r w:rsidRPr="00786B7D">
        <w:rPr>
          <w:rStyle w:val="Refdenotaalpie"/>
          <w:sz w:val="24"/>
          <w:szCs w:val="24"/>
        </w:rPr>
        <w:footnoteReference w:id="117"/>
      </w:r>
    </w:p>
    <w:p w:rsidR="00E45A61" w:rsidRPr="00786B7D" w:rsidRDefault="00E45A61" w:rsidP="00E45A61">
      <w:pPr>
        <w:spacing w:line="360" w:lineRule="auto"/>
        <w:ind w:firstLine="360"/>
        <w:jc w:val="both"/>
        <w:rPr>
          <w:sz w:val="24"/>
          <w:szCs w:val="24"/>
        </w:rPr>
      </w:pPr>
      <w:r w:rsidRPr="00786B7D">
        <w:rPr>
          <w:sz w:val="24"/>
          <w:szCs w:val="24"/>
        </w:rPr>
        <w:t>Una de las medidas de la propuesta de Ley de igualdad salarial es llevar los planes de igualdad específicamente al ámbito salarial. Esta propuesta tiene sentido si observamos que el plan de igualdad es uno de los instrumentos eficaces para conseguir la igualdad, pues en él se determinan unas medidas específicas para cada empresa, después de haber realizado esta un análisis sobre la situación de la igualdad en la empresa, que se dirigen concretamente a solucionar los problemas de discriminación específicos de la empresa. No obstante, lo correcto sería afianzar las medidas de cada empresa con un convenio colectivo que fuerce a los empleadores a tomar las medidas y así garantizar a los empleados que se cumplirá con ellas.</w:t>
      </w:r>
      <w:r w:rsidRPr="00786B7D">
        <w:rPr>
          <w:rStyle w:val="Refdenotaalpie"/>
          <w:sz w:val="24"/>
          <w:szCs w:val="24"/>
        </w:rPr>
        <w:footnoteReference w:id="118"/>
      </w:r>
      <w:r w:rsidRPr="00786B7D">
        <w:rPr>
          <w:sz w:val="24"/>
          <w:szCs w:val="24"/>
        </w:rPr>
        <w:t xml:space="preserve"> En relación con los planes de igualdad, otra de las propuestas es cambiar la obligación de realizarlo de las empresas de más 250 personas, a empresas con más de 25 personas en su plantilla.</w:t>
      </w:r>
      <w:r w:rsidRPr="00786B7D">
        <w:rPr>
          <w:rStyle w:val="Refdenotaalpie"/>
          <w:sz w:val="24"/>
          <w:szCs w:val="24"/>
        </w:rPr>
        <w:footnoteReference w:id="119"/>
      </w:r>
    </w:p>
    <w:p w:rsidR="00E45A61" w:rsidRPr="00786B7D" w:rsidRDefault="00E45A61" w:rsidP="00E45A61">
      <w:pPr>
        <w:spacing w:line="360" w:lineRule="auto"/>
        <w:ind w:firstLine="360"/>
        <w:jc w:val="both"/>
        <w:rPr>
          <w:sz w:val="24"/>
          <w:szCs w:val="24"/>
        </w:rPr>
      </w:pPr>
      <w:r w:rsidRPr="00786B7D">
        <w:rPr>
          <w:sz w:val="24"/>
          <w:szCs w:val="24"/>
        </w:rPr>
        <w:t>En cuanto al fomento de la igualdad en las empresas, la LOI establece los “distintivos de igualdad” con el fin de otorgar un reconocimiento especial a las empresas que apliquen con excelencia el principio de igualdad de trato y oportunidades, a través de distintas medidas. En relación a esto se propone otorgar este tipo de distintivos que otorguen determinados beneficios a las empresas que cumplan con la igualdad salarial, de forma que sea atractivo para las empresas instaurar determinadas medidas y conseguir cerrar la brecha salarial.</w:t>
      </w:r>
    </w:p>
    <w:p w:rsidR="00E45A61" w:rsidRPr="00786B7D" w:rsidRDefault="00E45A61" w:rsidP="00E45A61">
      <w:pPr>
        <w:spacing w:line="360" w:lineRule="auto"/>
        <w:ind w:firstLine="360"/>
        <w:jc w:val="both"/>
        <w:rPr>
          <w:sz w:val="24"/>
          <w:szCs w:val="24"/>
        </w:rPr>
      </w:pPr>
      <w:r w:rsidRPr="00786B7D">
        <w:rPr>
          <w:sz w:val="24"/>
          <w:szCs w:val="24"/>
        </w:rPr>
        <w:t xml:space="preserve">UGT y el Grupo Parlamentario Socialista coinciden en la necesidad inminente de esta Ley de Igualdad Salarial entre mujeres y hombres, siendo el instrumento principal por el cual lograr la igualdad salarial, a raíz de los resultados explicados en el capítulo,  que muestran que la brecha salarial es una de las discriminaciones por razón de sexo más afianzadas, arraigadas y graves cuya erradicación, a pesar de la legislación ya existente que aborda dicha discriminación, es realmente lenta. No cabe duda de que una </w:t>
      </w:r>
      <w:r w:rsidRPr="00786B7D">
        <w:rPr>
          <w:sz w:val="24"/>
          <w:szCs w:val="24"/>
        </w:rPr>
        <w:lastRenderedPageBreak/>
        <w:t>Ley de Igualdad Salarial donde se reconozcan derechos de igualdad salarial de trabajadoras y trabajadores, que establezca medidas y obligaciones, entre las cuales pueden incluirse las explicadas en este Capítulo, para empresas privadas, así como para el empleo público, es uno de los mejores instrumentos para lograr la igualdad de género en el ámbito salarial.</w:t>
      </w:r>
    </w:p>
    <w:p w:rsidR="00E45A61" w:rsidRPr="00786B7D" w:rsidRDefault="00E45A61" w:rsidP="00E45A61">
      <w:pPr>
        <w:pStyle w:val="Ttulo1"/>
        <w:spacing w:line="360" w:lineRule="auto"/>
        <w:jc w:val="both"/>
        <w:rPr>
          <w:rFonts w:ascii="Times New Roman" w:hAnsi="Times New Roman"/>
          <w:color w:val="auto"/>
          <w:sz w:val="24"/>
          <w:szCs w:val="24"/>
        </w:rPr>
      </w:pPr>
      <w:bookmarkStart w:id="29" w:name="_Toc486503113"/>
      <w:r w:rsidRPr="00786B7D">
        <w:rPr>
          <w:rFonts w:ascii="Times New Roman" w:hAnsi="Times New Roman"/>
          <w:color w:val="auto"/>
          <w:sz w:val="24"/>
          <w:szCs w:val="24"/>
        </w:rPr>
        <w:t>CONCLUSIONES.</w:t>
      </w:r>
      <w:bookmarkEnd w:id="29"/>
    </w:p>
    <w:p w:rsidR="00E45A61" w:rsidRPr="00786B7D" w:rsidRDefault="00E45A61" w:rsidP="00E45A61">
      <w:pPr>
        <w:spacing w:line="360" w:lineRule="auto"/>
        <w:ind w:firstLine="360"/>
        <w:jc w:val="both"/>
        <w:rPr>
          <w:sz w:val="24"/>
          <w:szCs w:val="24"/>
        </w:rPr>
      </w:pPr>
      <w:r w:rsidRPr="00786B7D">
        <w:rPr>
          <w:sz w:val="24"/>
          <w:szCs w:val="24"/>
        </w:rPr>
        <w:t>PRIMERA. España consta con una gran cantidad de preceptos normativos en distintos textos, constitucional y legislativos, en relación a la igualdad de género y no discriminación por razón del mismo, normas que cubren muy distintos ámbitos como son el cultural, educativo, político, social, económico o laboral. Desde el principio de igualdad establecido en la Constitución Española de 1978, hasta el principio de igualdad de trato y oportunidades reconocido en la Ley de Igualdad efectiva entre mujeres y hombres, se recogen una extensa cantidad de mandatos en relación a la consecución de la igualdad material entre mujeres y hombres.</w:t>
      </w:r>
    </w:p>
    <w:p w:rsidR="00E45A61" w:rsidRPr="00786B7D" w:rsidRDefault="00E45A61" w:rsidP="00E45A61">
      <w:pPr>
        <w:spacing w:line="360" w:lineRule="auto"/>
        <w:ind w:firstLine="360"/>
        <w:jc w:val="both"/>
        <w:rPr>
          <w:sz w:val="24"/>
          <w:szCs w:val="24"/>
        </w:rPr>
      </w:pPr>
      <w:r w:rsidRPr="00786B7D">
        <w:rPr>
          <w:sz w:val="24"/>
          <w:szCs w:val="24"/>
        </w:rPr>
        <w:t>SEGUNDA. La Ley de Igualdad efectiva entre mujeres y hombres es la ley nacional que más medidas recoge en relación a lograr la igualdad real entre mujeres y hombres, tanto es así que puede calificarse como un “Código” de igualdad de género. La importancia de esta Ley viene dada, no sólo por la cantidad de disposiciones que contiene, sino por la novedad de sus propuestas y por establecer las mismas tanto en el ámbito público como en el privado. Esta Ley entró en vigor en 2007 con el objetivo principal de erradicar la discriminación de género, especialmente en el ámbito laboral, siendo esta esfera una de las más afectadas por la discriminación de género.</w:t>
      </w:r>
    </w:p>
    <w:p w:rsidR="00E45A61" w:rsidRPr="00786B7D" w:rsidRDefault="00E45A61" w:rsidP="00E45A61">
      <w:pPr>
        <w:spacing w:line="360" w:lineRule="auto"/>
        <w:ind w:firstLine="360"/>
        <w:jc w:val="both"/>
        <w:rPr>
          <w:sz w:val="24"/>
          <w:szCs w:val="24"/>
        </w:rPr>
      </w:pPr>
      <w:r w:rsidRPr="00786B7D">
        <w:rPr>
          <w:sz w:val="24"/>
          <w:szCs w:val="24"/>
        </w:rPr>
        <w:t xml:space="preserve">TERCERA. Dada la importancia y la ambición con la que nace y se expresa la Ley de Igualdad me pregunté si realmente las medidas establecidas en ella están consiguiendo los resultados favorables que de ella cabría esperar, esto es, la disminución de la discriminación de género, diez años después de su entrada en vigor. Para conocer si se está logrando el objetivo de la misma, me baso en distintos estudios tanto nacionales como internacionales, que tratan sobre la igualdad en el ámbito laboral público y privado. Se hace evidente por los resultados de los distintos informes y encuestas el hecho de que las disposiciones establecidas en la Ley de Igualdad no están consiguiendo los resultados que esperados, pues sigue latente la desigualdad entre mujeres y hombres, mayormente en el ámbito laboral privado, encontrándose las </w:t>
      </w:r>
      <w:r w:rsidRPr="00786B7D">
        <w:rPr>
          <w:sz w:val="24"/>
          <w:szCs w:val="24"/>
        </w:rPr>
        <w:lastRenderedPageBreak/>
        <w:t>mujeres con una mayor dificultad para el acceso al mercado laboral, siendo la tasa de desempleo femenino superior en tres puntos a la masculina. No obstante, en el ámbito laboral público hay mayor paridad entre mujeres y hombres, como consecuencia de la aplicación de los Planes de Igualdad.</w:t>
      </w:r>
    </w:p>
    <w:p w:rsidR="00E45A61" w:rsidRPr="00786B7D" w:rsidRDefault="00E45A61" w:rsidP="00E45A61">
      <w:pPr>
        <w:spacing w:line="360" w:lineRule="auto"/>
        <w:ind w:firstLine="360"/>
        <w:jc w:val="both"/>
        <w:rPr>
          <w:sz w:val="24"/>
          <w:szCs w:val="24"/>
        </w:rPr>
      </w:pPr>
      <w:r w:rsidRPr="00786B7D">
        <w:rPr>
          <w:sz w:val="24"/>
          <w:szCs w:val="24"/>
        </w:rPr>
        <w:t xml:space="preserve">CUARTA. La máxima expresión de la discriminación laboral de la mujer, es la discriminación salarial, como expone el Informe Anual del Foro Económico Nacional. Los resultados de este informe hacen ver que lejos de haber un constante crecimiento de la igualdad de género en España, en los últimos años los resultados de la brecha salarial de género han sido variados, creciendo y decreciendo, siendo alarmantes los resultados del año 2016 que indican que no existirá igualdad real salarial entre mujeres y hombres hasta dentro de 116 años, al ritmo actual. </w:t>
      </w:r>
    </w:p>
    <w:p w:rsidR="00E45A61" w:rsidRPr="00786B7D" w:rsidRDefault="00E45A61" w:rsidP="00E45A61">
      <w:pPr>
        <w:spacing w:line="360" w:lineRule="auto"/>
        <w:ind w:firstLine="360"/>
        <w:jc w:val="both"/>
        <w:rPr>
          <w:sz w:val="24"/>
          <w:szCs w:val="24"/>
        </w:rPr>
      </w:pPr>
      <w:r w:rsidRPr="00786B7D">
        <w:rPr>
          <w:sz w:val="24"/>
          <w:szCs w:val="24"/>
        </w:rPr>
        <w:t>QUINTA. A raíz del estudio de los preceptos de la Constitución Española de 1978, de la Ley de Igualdad efectiva entre mujeres y hombres y de distintos estudios e informes que expongo a lo largo del presente trabajo, así como de la lectura de propuestas legislativas distintas a las actuales más favorables de a la igualdad de género, he observado que más allá de la importancia de la modificación de los mandatos de la Ley de Igualdad o de la necesidad de una ley específica para la igualdad salarial, la forma mejor forma de conseguir la igualdad de género es la coeducación. Esto es así debido a que la discriminación, de cualquier tipo, va más allá de los problemas o la validez de las normas que la tratan, es un problema social y, como tal, solo concienciando o cambiando la concepción de género de mujeres y hombres se podrá conseguir una igualdad real y efectiva. Para conseguirlo, la coeducación, tiene como objetivo educar a los niños y niñas más allá de su sexo, sin preconcebir o preestablecer aquello que por su sexo deben hacer o decir, erradicando, desde la infancia, los roles femeninos y masculinos arraigados en nuestra sociedad para que en el futuro su trabajo o la remuneración que obtengan por él no se base en pretensiones sociales sobre su sexo, sino en criterios laborales objetivos.</w:t>
      </w:r>
    </w:p>
    <w:p w:rsidR="00E45A61" w:rsidRPr="00786B7D" w:rsidRDefault="00E45A61" w:rsidP="00E45A61">
      <w:pPr>
        <w:spacing w:line="360" w:lineRule="auto"/>
        <w:ind w:firstLine="360"/>
        <w:jc w:val="both"/>
        <w:rPr>
          <w:sz w:val="24"/>
          <w:szCs w:val="24"/>
        </w:rPr>
      </w:pPr>
      <w:r w:rsidRPr="00786B7D">
        <w:rPr>
          <w:sz w:val="24"/>
          <w:szCs w:val="24"/>
        </w:rPr>
        <w:t xml:space="preserve">SEXTA. Concluyo con mi opinión personal, basada en las estadísticas, informes y estudios, así como en los artículos y manuales que he consultado a lo largo de la redacción del presente trabajo. La discriminación de género es un problema que va más allá del ámbito político, aunque es a raíz de este desde donde puede llegar a erradicarse, es un problema social arraigado, pues es una de las discriminaciones más antiguas. Es </w:t>
      </w:r>
      <w:r w:rsidRPr="00786B7D">
        <w:rPr>
          <w:sz w:val="24"/>
          <w:szCs w:val="24"/>
        </w:rPr>
        <w:lastRenderedPageBreak/>
        <w:t>por ello, por lo que el Gobierno, cualquiera que sea, no puede conformarse, tampoco los ciudadanos podemos hacerlo, con los resultados actuales de discriminación de género, debiendo realizar tantos cambios como sean necesarios en los ámbitos en los que sean necesarios para que no deban pasar 116 años hasta que las mujeres vean, al fin, cumplidos sus derechos. Diez años después de la entrada en vigor de la Ley de Igualdad el objetivo de esta está muy lejos de cumplirse y los distintos grupos parlamentarios no muestran intenciones de realizar dichos cambios que hagan posible una pronta igualdad de género. Es por ello por lo que somos los ciudadanos los que debemos mostrar nuestro inconformismo y descontento con las medidas actuales y las consecuencias de las mismas exigiendo la modificación de las mismas y la mayor implicación del Gobierno, independientemente del que sea, para que la igualdad de género sea una realidad, consiguiendo que mujeres y hombres no encuentren tratos diferentes por su sexo.</w:t>
      </w:r>
    </w:p>
    <w:p w:rsidR="00E45A61" w:rsidRPr="00786B7D" w:rsidRDefault="00E45A61" w:rsidP="00E45A61">
      <w:pPr>
        <w:spacing w:line="360" w:lineRule="auto"/>
        <w:ind w:firstLine="360"/>
        <w:jc w:val="both"/>
        <w:rPr>
          <w:sz w:val="24"/>
          <w:szCs w:val="24"/>
        </w:rPr>
      </w:pPr>
    </w:p>
    <w:p w:rsidR="00E45A61" w:rsidRPr="00786B7D" w:rsidRDefault="00E45A61" w:rsidP="00E45A61">
      <w:pPr>
        <w:pStyle w:val="Ttulo1"/>
        <w:spacing w:line="360" w:lineRule="auto"/>
        <w:jc w:val="both"/>
        <w:rPr>
          <w:rFonts w:ascii="Times New Roman" w:hAnsi="Times New Roman"/>
          <w:color w:val="auto"/>
          <w:sz w:val="24"/>
          <w:szCs w:val="24"/>
        </w:rPr>
      </w:pPr>
      <w:bookmarkStart w:id="30" w:name="_Toc486503114"/>
      <w:r w:rsidRPr="00786B7D">
        <w:rPr>
          <w:rFonts w:ascii="Times New Roman" w:hAnsi="Times New Roman"/>
          <w:color w:val="auto"/>
          <w:sz w:val="24"/>
          <w:szCs w:val="24"/>
        </w:rPr>
        <w:t>BIBLIOGRAFÍA Y JURISPRUDENCIA.</w:t>
      </w:r>
      <w:bookmarkEnd w:id="30"/>
    </w:p>
    <w:p w:rsidR="00E45A61" w:rsidRPr="00786B7D" w:rsidRDefault="00E45A61" w:rsidP="00E45A61">
      <w:pPr>
        <w:spacing w:line="360" w:lineRule="auto"/>
        <w:jc w:val="both"/>
        <w:rPr>
          <w:sz w:val="24"/>
          <w:szCs w:val="24"/>
        </w:rPr>
      </w:pPr>
    </w:p>
    <w:p w:rsidR="00E45A61" w:rsidRPr="00786B7D" w:rsidRDefault="00E45A61" w:rsidP="00E45A61">
      <w:pPr>
        <w:pStyle w:val="Prrafodelista"/>
        <w:numPr>
          <w:ilvl w:val="0"/>
          <w:numId w:val="3"/>
        </w:numPr>
        <w:spacing w:after="160" w:line="360" w:lineRule="auto"/>
        <w:jc w:val="both"/>
        <w:rPr>
          <w:sz w:val="24"/>
          <w:szCs w:val="24"/>
        </w:rPr>
      </w:pPr>
      <w:r w:rsidRPr="00786B7D">
        <w:rPr>
          <w:sz w:val="24"/>
          <w:szCs w:val="24"/>
        </w:rPr>
        <w:t>BIBLIOGRAFÍA.</w:t>
      </w:r>
    </w:p>
    <w:p w:rsidR="00E45A61" w:rsidRPr="00786B7D" w:rsidRDefault="00E45A61" w:rsidP="00E45A61">
      <w:pPr>
        <w:spacing w:line="360" w:lineRule="auto"/>
        <w:ind w:firstLine="360"/>
        <w:jc w:val="both"/>
        <w:rPr>
          <w:sz w:val="24"/>
          <w:szCs w:val="24"/>
        </w:rPr>
      </w:pPr>
      <w:r w:rsidRPr="00786B7D">
        <w:rPr>
          <w:sz w:val="24"/>
          <w:szCs w:val="24"/>
        </w:rPr>
        <w:t xml:space="preserve">Alegret Burgués, M. (2005), </w:t>
      </w:r>
      <w:r w:rsidRPr="00786B7D">
        <w:rPr>
          <w:i/>
          <w:sz w:val="24"/>
          <w:szCs w:val="24"/>
        </w:rPr>
        <w:t>La discriminación positiva</w:t>
      </w:r>
      <w:r w:rsidRPr="00786B7D">
        <w:rPr>
          <w:sz w:val="24"/>
          <w:szCs w:val="24"/>
        </w:rPr>
        <w:t>, Madrid, Consejo General del Poder Judicial.</w:t>
      </w:r>
    </w:p>
    <w:p w:rsidR="00E45A61" w:rsidRPr="00786B7D" w:rsidRDefault="00E45A61" w:rsidP="00E45A61">
      <w:pPr>
        <w:spacing w:line="360" w:lineRule="auto"/>
        <w:ind w:firstLine="360"/>
        <w:jc w:val="both"/>
        <w:rPr>
          <w:sz w:val="24"/>
          <w:szCs w:val="24"/>
        </w:rPr>
      </w:pPr>
      <w:r w:rsidRPr="00786B7D">
        <w:rPr>
          <w:sz w:val="24"/>
          <w:szCs w:val="24"/>
        </w:rPr>
        <w:t xml:space="preserve">Aragón, J; Cánovas, A; Rocha, F (2005), </w:t>
      </w:r>
      <w:r w:rsidRPr="00786B7D">
        <w:rPr>
          <w:i/>
          <w:sz w:val="24"/>
          <w:szCs w:val="24"/>
        </w:rPr>
        <w:t>Cuadernos de Relaciones Laborales</w:t>
      </w:r>
      <w:r w:rsidRPr="00786B7D">
        <w:rPr>
          <w:sz w:val="24"/>
          <w:szCs w:val="24"/>
        </w:rPr>
        <w:t xml:space="preserve">, </w:t>
      </w:r>
      <w:r w:rsidRPr="00786B7D">
        <w:rPr>
          <w:i/>
          <w:sz w:val="24"/>
          <w:szCs w:val="24"/>
        </w:rPr>
        <w:t>23</w:t>
      </w:r>
      <w:r w:rsidRPr="00786B7D">
        <w:rPr>
          <w:sz w:val="24"/>
          <w:szCs w:val="24"/>
        </w:rPr>
        <w:t>, núm. 1, ISSN: 1131-8632.</w:t>
      </w:r>
    </w:p>
    <w:p w:rsidR="00E45A61" w:rsidRPr="00786B7D" w:rsidRDefault="00E45A61" w:rsidP="00E45A61">
      <w:pPr>
        <w:spacing w:line="360" w:lineRule="auto"/>
        <w:ind w:firstLine="360"/>
        <w:jc w:val="both"/>
        <w:rPr>
          <w:sz w:val="24"/>
          <w:szCs w:val="24"/>
        </w:rPr>
      </w:pPr>
      <w:r w:rsidRPr="00786B7D">
        <w:rPr>
          <w:sz w:val="24"/>
          <w:szCs w:val="24"/>
        </w:rPr>
        <w:t xml:space="preserve">Balaguer, M. L. (2005), </w:t>
      </w:r>
      <w:r w:rsidRPr="00786B7D">
        <w:rPr>
          <w:i/>
          <w:sz w:val="24"/>
          <w:szCs w:val="24"/>
        </w:rPr>
        <w:t>Mujer y Constitución: la construcción jurídica del género</w:t>
      </w:r>
      <w:r w:rsidRPr="00786B7D">
        <w:rPr>
          <w:sz w:val="24"/>
          <w:szCs w:val="24"/>
        </w:rPr>
        <w:t>, Madrid, Ediciones Cátedra.</w:t>
      </w:r>
    </w:p>
    <w:p w:rsidR="00E45A61" w:rsidRPr="00786B7D" w:rsidRDefault="00E45A61" w:rsidP="00E45A61">
      <w:pPr>
        <w:spacing w:line="360" w:lineRule="auto"/>
        <w:ind w:firstLine="360"/>
        <w:jc w:val="both"/>
        <w:rPr>
          <w:sz w:val="24"/>
          <w:szCs w:val="24"/>
        </w:rPr>
      </w:pPr>
      <w:r w:rsidRPr="00786B7D">
        <w:rPr>
          <w:sz w:val="24"/>
          <w:szCs w:val="24"/>
        </w:rPr>
        <w:t xml:space="preserve">Barrère, M. A. (1997), </w:t>
      </w:r>
      <w:r w:rsidRPr="00786B7D">
        <w:rPr>
          <w:i/>
          <w:sz w:val="24"/>
          <w:szCs w:val="24"/>
        </w:rPr>
        <w:t>Discriminación, Derecho antidiscriminatorio y acción positiva en favor de las mujeres</w:t>
      </w:r>
      <w:r w:rsidRPr="00786B7D">
        <w:rPr>
          <w:sz w:val="24"/>
          <w:szCs w:val="24"/>
        </w:rPr>
        <w:t>, Madrid, Civitas.</w:t>
      </w:r>
    </w:p>
    <w:p w:rsidR="00E45A61" w:rsidRPr="00786B7D" w:rsidRDefault="00E45A61" w:rsidP="00E45A61">
      <w:pPr>
        <w:spacing w:line="360" w:lineRule="auto"/>
        <w:ind w:firstLine="360"/>
        <w:jc w:val="both"/>
        <w:rPr>
          <w:sz w:val="24"/>
          <w:szCs w:val="24"/>
        </w:rPr>
      </w:pPr>
      <w:r w:rsidRPr="00786B7D">
        <w:rPr>
          <w:sz w:val="24"/>
          <w:szCs w:val="24"/>
        </w:rPr>
        <w:t xml:space="preserve">Bengoechea Gil, M.A. (2010), AA.VV (Coord. Mª Ángeles Bengoechea Gil), </w:t>
      </w:r>
      <w:r w:rsidRPr="00786B7D">
        <w:rPr>
          <w:i/>
          <w:sz w:val="24"/>
          <w:szCs w:val="24"/>
        </w:rPr>
        <w:t>La Lucha por la igualdad efectiva de mujeres y hombres: reflexiones y aportaciones de la Ley de Igualdad</w:t>
      </w:r>
      <w:r w:rsidRPr="00786B7D">
        <w:rPr>
          <w:sz w:val="24"/>
          <w:szCs w:val="24"/>
        </w:rPr>
        <w:t xml:space="preserve"> </w:t>
      </w:r>
      <w:r w:rsidRPr="00786B7D">
        <w:rPr>
          <w:i/>
          <w:sz w:val="24"/>
          <w:szCs w:val="24"/>
        </w:rPr>
        <w:t>3/2007 de 22 de marzo</w:t>
      </w:r>
      <w:r w:rsidRPr="00786B7D">
        <w:rPr>
          <w:sz w:val="24"/>
          <w:szCs w:val="24"/>
        </w:rPr>
        <w:t>, Madrid, Dykinson.</w:t>
      </w:r>
    </w:p>
    <w:p w:rsidR="00E45A61" w:rsidRPr="00786B7D" w:rsidRDefault="00E45A61" w:rsidP="00E45A61">
      <w:pPr>
        <w:spacing w:line="360" w:lineRule="auto"/>
        <w:ind w:firstLine="360"/>
        <w:jc w:val="both"/>
        <w:rPr>
          <w:sz w:val="24"/>
          <w:szCs w:val="24"/>
        </w:rPr>
      </w:pPr>
      <w:r w:rsidRPr="00786B7D">
        <w:rPr>
          <w:sz w:val="24"/>
          <w:szCs w:val="24"/>
        </w:rPr>
        <w:t xml:space="preserve">De Asís, R. (2008), AA.VV (Coord. Esther Gómez Campello, Félix Valbuena González), </w:t>
      </w:r>
      <w:r w:rsidRPr="00786B7D">
        <w:rPr>
          <w:i/>
          <w:sz w:val="24"/>
          <w:szCs w:val="24"/>
        </w:rPr>
        <w:t>Igualdad de género: una visión jurídica plural</w:t>
      </w:r>
      <w:r w:rsidRPr="00786B7D">
        <w:rPr>
          <w:sz w:val="24"/>
          <w:szCs w:val="24"/>
        </w:rPr>
        <w:t>, Burgos, Universidad de Burgos.</w:t>
      </w:r>
    </w:p>
    <w:p w:rsidR="00E45A61" w:rsidRPr="00786B7D" w:rsidRDefault="00E45A61" w:rsidP="00E45A61">
      <w:pPr>
        <w:spacing w:line="360" w:lineRule="auto"/>
        <w:ind w:firstLine="360"/>
        <w:jc w:val="both"/>
        <w:rPr>
          <w:sz w:val="24"/>
          <w:szCs w:val="24"/>
        </w:rPr>
      </w:pPr>
      <w:r w:rsidRPr="00786B7D">
        <w:rPr>
          <w:sz w:val="24"/>
          <w:szCs w:val="24"/>
        </w:rPr>
        <w:lastRenderedPageBreak/>
        <w:t xml:space="preserve">De Asís, R. (2010), AA.VV (Coord. Mª Ángeles Bengoechea Gil), </w:t>
      </w:r>
      <w:r w:rsidRPr="00786B7D">
        <w:rPr>
          <w:i/>
          <w:sz w:val="24"/>
          <w:szCs w:val="24"/>
        </w:rPr>
        <w:t>La Lucha por la igualdad efectiva de mujeres y hombres: reflexiones y aportaciones de la Ley de Igualdad</w:t>
      </w:r>
      <w:r w:rsidRPr="00786B7D">
        <w:rPr>
          <w:sz w:val="24"/>
          <w:szCs w:val="24"/>
        </w:rPr>
        <w:t xml:space="preserve"> </w:t>
      </w:r>
      <w:r w:rsidRPr="00786B7D">
        <w:rPr>
          <w:i/>
          <w:sz w:val="24"/>
          <w:szCs w:val="24"/>
        </w:rPr>
        <w:t>3/2007 de 22 de marzo</w:t>
      </w:r>
      <w:r w:rsidRPr="00786B7D">
        <w:rPr>
          <w:sz w:val="24"/>
          <w:szCs w:val="24"/>
        </w:rPr>
        <w:t xml:space="preserve">, Madrid, Dykinson. </w:t>
      </w:r>
    </w:p>
    <w:p w:rsidR="00E45A61" w:rsidRPr="00786B7D" w:rsidRDefault="00E45A61" w:rsidP="00E45A61">
      <w:pPr>
        <w:spacing w:line="360" w:lineRule="auto"/>
        <w:ind w:firstLine="360"/>
        <w:jc w:val="both"/>
        <w:rPr>
          <w:sz w:val="24"/>
          <w:szCs w:val="24"/>
        </w:rPr>
      </w:pPr>
      <w:r w:rsidRPr="00786B7D">
        <w:rPr>
          <w:sz w:val="24"/>
          <w:szCs w:val="24"/>
        </w:rPr>
        <w:t xml:space="preserve">Fabregat Monfort, G. (2009), </w:t>
      </w:r>
      <w:r w:rsidRPr="00786B7D">
        <w:rPr>
          <w:i/>
          <w:sz w:val="24"/>
          <w:szCs w:val="24"/>
        </w:rPr>
        <w:t>Los planes de igualdad como obligación empresarial</w:t>
      </w:r>
      <w:r w:rsidRPr="00786B7D">
        <w:rPr>
          <w:sz w:val="24"/>
          <w:szCs w:val="24"/>
        </w:rPr>
        <w:t>, Albacete, Bomarso S.L.</w:t>
      </w:r>
    </w:p>
    <w:p w:rsidR="00E45A61" w:rsidRPr="00786B7D" w:rsidRDefault="00E45A61" w:rsidP="00E45A61">
      <w:pPr>
        <w:spacing w:line="360" w:lineRule="auto"/>
        <w:ind w:firstLine="360"/>
        <w:jc w:val="both"/>
        <w:rPr>
          <w:sz w:val="24"/>
          <w:szCs w:val="24"/>
        </w:rPr>
      </w:pPr>
      <w:r w:rsidRPr="00786B7D">
        <w:rPr>
          <w:sz w:val="24"/>
          <w:szCs w:val="24"/>
        </w:rPr>
        <w:t xml:space="preserve">García de Enterría, E. (1981), </w:t>
      </w:r>
      <w:r w:rsidRPr="00786B7D">
        <w:rPr>
          <w:i/>
          <w:sz w:val="24"/>
          <w:szCs w:val="24"/>
        </w:rPr>
        <w:t>La Constitución como norma y el Tribunal Constitucional</w:t>
      </w:r>
      <w:r w:rsidRPr="00786B7D">
        <w:rPr>
          <w:sz w:val="24"/>
          <w:szCs w:val="24"/>
        </w:rPr>
        <w:t>, Madrid, Cívitas.</w:t>
      </w:r>
    </w:p>
    <w:p w:rsidR="00E45A61" w:rsidRPr="00786B7D" w:rsidRDefault="00E45A61" w:rsidP="00E45A61">
      <w:pPr>
        <w:spacing w:line="360" w:lineRule="auto"/>
        <w:ind w:firstLine="360"/>
        <w:jc w:val="both"/>
        <w:rPr>
          <w:sz w:val="24"/>
          <w:szCs w:val="24"/>
        </w:rPr>
      </w:pPr>
      <w:r w:rsidRPr="00786B7D">
        <w:rPr>
          <w:sz w:val="24"/>
          <w:szCs w:val="24"/>
        </w:rPr>
        <w:t xml:space="preserve">Garrido Gómez, M.A (2009), </w:t>
      </w:r>
      <w:r w:rsidRPr="00786B7D">
        <w:rPr>
          <w:i/>
          <w:sz w:val="24"/>
          <w:szCs w:val="24"/>
        </w:rPr>
        <w:t>La igualdad en el contenido y en la aplicación de la ley</w:t>
      </w:r>
      <w:r w:rsidRPr="00786B7D">
        <w:rPr>
          <w:sz w:val="24"/>
          <w:szCs w:val="24"/>
        </w:rPr>
        <w:t>, Madrid, Dykinson.</w:t>
      </w:r>
    </w:p>
    <w:p w:rsidR="00E45A61" w:rsidRPr="00786B7D" w:rsidRDefault="00E45A61" w:rsidP="00E45A61">
      <w:pPr>
        <w:spacing w:line="360" w:lineRule="auto"/>
        <w:ind w:firstLine="360"/>
        <w:jc w:val="both"/>
        <w:rPr>
          <w:sz w:val="24"/>
          <w:szCs w:val="24"/>
        </w:rPr>
      </w:pPr>
      <w:r w:rsidRPr="00786B7D">
        <w:rPr>
          <w:sz w:val="24"/>
          <w:szCs w:val="24"/>
        </w:rPr>
        <w:t xml:space="preserve">Garrigues Giménez, A. (2008), AA. VV (Pilar Núñez- Cortés, Teresa Velasco, Amparo Garrigues), </w:t>
      </w:r>
      <w:r w:rsidRPr="00786B7D">
        <w:rPr>
          <w:i/>
          <w:sz w:val="24"/>
          <w:szCs w:val="24"/>
        </w:rPr>
        <w:t>Igualdad y conciliación de la vida personal y laboral en la empresa y administraciones públicas</w:t>
      </w:r>
      <w:r w:rsidRPr="00786B7D">
        <w:rPr>
          <w:sz w:val="24"/>
          <w:szCs w:val="24"/>
        </w:rPr>
        <w:t>, Madrid, Dykinson.</w:t>
      </w:r>
    </w:p>
    <w:p w:rsidR="00E45A61" w:rsidRPr="00786B7D" w:rsidRDefault="00E45A61" w:rsidP="00E45A61">
      <w:pPr>
        <w:spacing w:line="360" w:lineRule="auto"/>
        <w:ind w:firstLine="360"/>
        <w:jc w:val="both"/>
        <w:rPr>
          <w:sz w:val="24"/>
          <w:szCs w:val="24"/>
        </w:rPr>
      </w:pPr>
      <w:r w:rsidRPr="00786B7D">
        <w:rPr>
          <w:sz w:val="24"/>
          <w:szCs w:val="24"/>
        </w:rPr>
        <w:t>Gil Ruiz, J.M. (1996</w:t>
      </w:r>
      <w:r w:rsidRPr="00786B7D">
        <w:rPr>
          <w:i/>
          <w:sz w:val="24"/>
          <w:szCs w:val="24"/>
        </w:rPr>
        <w:t>), Las políticas de igualdad en España: avances y retrocesos</w:t>
      </w:r>
      <w:r w:rsidRPr="00786B7D">
        <w:rPr>
          <w:sz w:val="24"/>
          <w:szCs w:val="24"/>
        </w:rPr>
        <w:t>, Granada, Universidad de Granada.</w:t>
      </w:r>
    </w:p>
    <w:p w:rsidR="00E45A61" w:rsidRPr="00786B7D" w:rsidRDefault="00E45A61" w:rsidP="00E45A61">
      <w:pPr>
        <w:spacing w:line="360" w:lineRule="auto"/>
        <w:ind w:firstLine="360"/>
        <w:jc w:val="both"/>
        <w:rPr>
          <w:sz w:val="24"/>
          <w:szCs w:val="24"/>
        </w:rPr>
      </w:pPr>
      <w:r w:rsidRPr="00786B7D">
        <w:rPr>
          <w:sz w:val="24"/>
          <w:szCs w:val="24"/>
        </w:rPr>
        <w:t xml:space="preserve">Hernández Gil, A. (1982), </w:t>
      </w:r>
      <w:r w:rsidRPr="00786B7D">
        <w:rPr>
          <w:i/>
          <w:sz w:val="24"/>
          <w:szCs w:val="24"/>
        </w:rPr>
        <w:t>El cambio político español y la Constitución</w:t>
      </w:r>
      <w:r w:rsidRPr="00786B7D">
        <w:rPr>
          <w:sz w:val="24"/>
          <w:szCs w:val="24"/>
        </w:rPr>
        <w:t>, Barcelona, Planeta.</w:t>
      </w:r>
    </w:p>
    <w:p w:rsidR="00E45A61" w:rsidRPr="00786B7D" w:rsidRDefault="00E45A61" w:rsidP="00E45A61">
      <w:pPr>
        <w:spacing w:line="360" w:lineRule="auto"/>
        <w:ind w:firstLine="360"/>
        <w:jc w:val="both"/>
        <w:rPr>
          <w:sz w:val="24"/>
          <w:szCs w:val="24"/>
        </w:rPr>
      </w:pPr>
      <w:r w:rsidRPr="00786B7D">
        <w:rPr>
          <w:sz w:val="24"/>
          <w:szCs w:val="24"/>
        </w:rPr>
        <w:t xml:space="preserve">Laporta Hernández, E (2016), AA.VV (Coord. María Caterina La Barbera, Marta Cruells López), </w:t>
      </w:r>
      <w:r w:rsidRPr="00786B7D">
        <w:rPr>
          <w:i/>
          <w:sz w:val="24"/>
          <w:szCs w:val="24"/>
        </w:rPr>
        <w:t>Igualdad de género y no discriminación en España: evolución, problemas y perspectivas</w:t>
      </w:r>
      <w:r w:rsidRPr="00786B7D">
        <w:rPr>
          <w:sz w:val="24"/>
          <w:szCs w:val="24"/>
        </w:rPr>
        <w:t>, Madrid, Centro de Estudios Políticos y Constitucionales.</w:t>
      </w:r>
    </w:p>
    <w:p w:rsidR="00E45A61" w:rsidRPr="00786B7D" w:rsidRDefault="00E45A61" w:rsidP="00E45A61">
      <w:pPr>
        <w:spacing w:line="360" w:lineRule="auto"/>
        <w:ind w:firstLine="360"/>
        <w:jc w:val="both"/>
        <w:rPr>
          <w:sz w:val="24"/>
          <w:szCs w:val="24"/>
        </w:rPr>
      </w:pPr>
      <w:r w:rsidRPr="00786B7D">
        <w:rPr>
          <w:sz w:val="24"/>
          <w:szCs w:val="24"/>
        </w:rPr>
        <w:t xml:space="preserve">Lousada Arochena (2008),  J.F., AA.VV (Coord. José Fernando Lousada Arochena), </w:t>
      </w:r>
      <w:r w:rsidRPr="00786B7D">
        <w:rPr>
          <w:i/>
          <w:sz w:val="24"/>
          <w:szCs w:val="24"/>
        </w:rPr>
        <w:t>El principio de igualdad en la negociación colectiva</w:t>
      </w:r>
      <w:r w:rsidRPr="00786B7D">
        <w:rPr>
          <w:sz w:val="24"/>
          <w:szCs w:val="24"/>
        </w:rPr>
        <w:t>, Ministerio de Trabajo e inmigración, Madrid.</w:t>
      </w:r>
    </w:p>
    <w:p w:rsidR="00E45A61" w:rsidRPr="00786B7D" w:rsidRDefault="00E45A61" w:rsidP="00E45A61">
      <w:pPr>
        <w:spacing w:line="360" w:lineRule="auto"/>
        <w:ind w:firstLine="360"/>
        <w:jc w:val="both"/>
        <w:rPr>
          <w:sz w:val="24"/>
          <w:szCs w:val="24"/>
        </w:rPr>
      </w:pPr>
      <w:r w:rsidRPr="00786B7D">
        <w:rPr>
          <w:sz w:val="24"/>
          <w:szCs w:val="24"/>
        </w:rPr>
        <w:t xml:space="preserve">Martínez Sierra, G. (1920), </w:t>
      </w:r>
      <w:r w:rsidRPr="00786B7D">
        <w:rPr>
          <w:i/>
          <w:sz w:val="24"/>
          <w:szCs w:val="24"/>
        </w:rPr>
        <w:t>Feminismo, feminidad, españolismo</w:t>
      </w:r>
      <w:r w:rsidRPr="00786B7D">
        <w:rPr>
          <w:sz w:val="24"/>
          <w:szCs w:val="24"/>
        </w:rPr>
        <w:t>, Madrid, Santuario Calleja.</w:t>
      </w:r>
    </w:p>
    <w:p w:rsidR="00E45A61" w:rsidRPr="00786B7D" w:rsidRDefault="00E45A61" w:rsidP="00E45A61">
      <w:pPr>
        <w:spacing w:line="360" w:lineRule="auto"/>
        <w:ind w:firstLine="360"/>
        <w:jc w:val="both"/>
        <w:rPr>
          <w:sz w:val="24"/>
          <w:szCs w:val="24"/>
        </w:rPr>
      </w:pPr>
      <w:r w:rsidRPr="00786B7D">
        <w:rPr>
          <w:sz w:val="24"/>
          <w:szCs w:val="24"/>
        </w:rPr>
        <w:t xml:space="preserve">Naranjo de la Cruz, R. (2016), </w:t>
      </w:r>
      <w:r w:rsidRPr="00786B7D">
        <w:rPr>
          <w:i/>
          <w:sz w:val="24"/>
          <w:szCs w:val="24"/>
        </w:rPr>
        <w:t>Manual de Derecho Constitucional</w:t>
      </w:r>
      <w:r w:rsidRPr="00786B7D">
        <w:rPr>
          <w:sz w:val="24"/>
          <w:szCs w:val="24"/>
        </w:rPr>
        <w:t>, Madrid, Tecnos.</w:t>
      </w:r>
    </w:p>
    <w:p w:rsidR="00E45A61" w:rsidRPr="00786B7D" w:rsidRDefault="00E45A61" w:rsidP="00E45A61">
      <w:pPr>
        <w:spacing w:line="360" w:lineRule="auto"/>
        <w:ind w:firstLine="360"/>
        <w:jc w:val="both"/>
        <w:rPr>
          <w:sz w:val="24"/>
          <w:szCs w:val="24"/>
        </w:rPr>
      </w:pPr>
      <w:r w:rsidRPr="00786B7D">
        <w:rPr>
          <w:sz w:val="24"/>
          <w:szCs w:val="24"/>
        </w:rPr>
        <w:t xml:space="preserve">Nieto Rojas, P. (2007), AA. VV (Coord. Jesús R. Mercader Uguina), </w:t>
      </w:r>
      <w:r w:rsidRPr="00786B7D">
        <w:rPr>
          <w:i/>
          <w:sz w:val="24"/>
          <w:szCs w:val="24"/>
        </w:rPr>
        <w:t>Comentarios laborales de la Ley de Igualdad entre Mujeres y Hombres</w:t>
      </w:r>
      <w:r w:rsidRPr="00786B7D">
        <w:rPr>
          <w:sz w:val="24"/>
          <w:szCs w:val="24"/>
        </w:rPr>
        <w:t>, Valencia, Tirant lo Blanch.</w:t>
      </w:r>
    </w:p>
    <w:p w:rsidR="00E45A61" w:rsidRPr="00786B7D" w:rsidRDefault="00E45A61" w:rsidP="00E45A61">
      <w:pPr>
        <w:spacing w:line="360" w:lineRule="auto"/>
        <w:ind w:firstLine="360"/>
        <w:jc w:val="both"/>
        <w:rPr>
          <w:sz w:val="24"/>
          <w:szCs w:val="24"/>
        </w:rPr>
      </w:pPr>
      <w:r w:rsidRPr="00786B7D">
        <w:rPr>
          <w:sz w:val="24"/>
          <w:szCs w:val="24"/>
        </w:rPr>
        <w:t xml:space="preserve">Peces-Barba, G. (1999), </w:t>
      </w:r>
      <w:r w:rsidRPr="00786B7D">
        <w:rPr>
          <w:i/>
          <w:sz w:val="24"/>
          <w:szCs w:val="24"/>
        </w:rPr>
        <w:t>Curso de derechos fundamentales: teoría general</w:t>
      </w:r>
      <w:r w:rsidRPr="00786B7D">
        <w:rPr>
          <w:sz w:val="24"/>
          <w:szCs w:val="24"/>
        </w:rPr>
        <w:t>, Madrid, Universidad Carlos III- BOE.</w:t>
      </w:r>
    </w:p>
    <w:p w:rsidR="00E45A61" w:rsidRPr="00786B7D" w:rsidRDefault="00E45A61" w:rsidP="00E45A61">
      <w:pPr>
        <w:spacing w:line="360" w:lineRule="auto"/>
        <w:ind w:firstLine="360"/>
        <w:jc w:val="both"/>
        <w:rPr>
          <w:sz w:val="24"/>
          <w:szCs w:val="24"/>
        </w:rPr>
      </w:pPr>
      <w:r w:rsidRPr="00786B7D">
        <w:rPr>
          <w:sz w:val="24"/>
          <w:szCs w:val="24"/>
        </w:rPr>
        <w:t xml:space="preserve">Pérez Campos, A.I. (2010), </w:t>
      </w:r>
      <w:r w:rsidRPr="00786B7D">
        <w:rPr>
          <w:i/>
          <w:sz w:val="24"/>
          <w:szCs w:val="24"/>
        </w:rPr>
        <w:t>Anuario Jurídico y Económico Escurialense, XLIII</w:t>
      </w:r>
      <w:r w:rsidRPr="00786B7D">
        <w:rPr>
          <w:sz w:val="24"/>
          <w:szCs w:val="24"/>
        </w:rPr>
        <w:t>, ISSN: 1133-3677.</w:t>
      </w:r>
    </w:p>
    <w:p w:rsidR="00E45A61" w:rsidRPr="00786B7D" w:rsidRDefault="00E45A61" w:rsidP="00E45A61">
      <w:pPr>
        <w:spacing w:line="360" w:lineRule="auto"/>
        <w:ind w:firstLine="360"/>
        <w:jc w:val="both"/>
        <w:rPr>
          <w:sz w:val="24"/>
          <w:szCs w:val="24"/>
        </w:rPr>
      </w:pPr>
      <w:r w:rsidRPr="00786B7D">
        <w:rPr>
          <w:sz w:val="24"/>
          <w:szCs w:val="24"/>
        </w:rPr>
        <w:lastRenderedPageBreak/>
        <w:t xml:space="preserve">Pérez Luño, A. E. (2005), </w:t>
      </w:r>
      <w:r w:rsidRPr="00786B7D">
        <w:rPr>
          <w:i/>
          <w:sz w:val="24"/>
          <w:szCs w:val="24"/>
        </w:rPr>
        <w:t>Derechos Humanos, Estado de Derecho y Constitución</w:t>
      </w:r>
      <w:r w:rsidRPr="00786B7D">
        <w:rPr>
          <w:sz w:val="24"/>
          <w:szCs w:val="24"/>
        </w:rPr>
        <w:t>, Madrid, Tecnos.</w:t>
      </w:r>
    </w:p>
    <w:p w:rsidR="00E45A61" w:rsidRPr="00786B7D" w:rsidRDefault="00E45A61" w:rsidP="00E45A61">
      <w:pPr>
        <w:spacing w:line="360" w:lineRule="auto"/>
        <w:ind w:firstLine="360"/>
        <w:jc w:val="both"/>
        <w:rPr>
          <w:sz w:val="24"/>
          <w:szCs w:val="24"/>
        </w:rPr>
      </w:pPr>
      <w:r w:rsidRPr="00786B7D">
        <w:rPr>
          <w:sz w:val="24"/>
          <w:szCs w:val="24"/>
        </w:rPr>
        <w:t xml:space="preserve">Pérez Luño, A.E. (2007), </w:t>
      </w:r>
      <w:r w:rsidRPr="00786B7D">
        <w:rPr>
          <w:i/>
          <w:sz w:val="24"/>
          <w:szCs w:val="24"/>
        </w:rPr>
        <w:t>Dimensiones de la igualdad</w:t>
      </w:r>
      <w:r w:rsidRPr="00786B7D">
        <w:rPr>
          <w:sz w:val="24"/>
          <w:szCs w:val="24"/>
        </w:rPr>
        <w:t>, Madrid: Universidad Carlos III, Dykinson.</w:t>
      </w:r>
    </w:p>
    <w:p w:rsidR="00E45A61" w:rsidRPr="00786B7D" w:rsidRDefault="00E45A61" w:rsidP="00E45A61">
      <w:pPr>
        <w:spacing w:line="360" w:lineRule="auto"/>
        <w:ind w:firstLine="360"/>
        <w:jc w:val="both"/>
        <w:rPr>
          <w:sz w:val="24"/>
          <w:szCs w:val="24"/>
        </w:rPr>
      </w:pPr>
      <w:r w:rsidRPr="00786B7D">
        <w:rPr>
          <w:sz w:val="24"/>
          <w:szCs w:val="24"/>
        </w:rPr>
        <w:t xml:space="preserve">Rey Martínez, F. (2008), AA.VV (Coord. Esther Gómez Campello, Félix Valbuena González), </w:t>
      </w:r>
      <w:r w:rsidRPr="00786B7D">
        <w:rPr>
          <w:i/>
          <w:sz w:val="24"/>
          <w:szCs w:val="24"/>
        </w:rPr>
        <w:t>Igualdad de género: una visión jurídica plural</w:t>
      </w:r>
      <w:r w:rsidRPr="00786B7D">
        <w:rPr>
          <w:sz w:val="24"/>
          <w:szCs w:val="24"/>
        </w:rPr>
        <w:t>, Burgos, Universidad de Burgos.</w:t>
      </w:r>
    </w:p>
    <w:p w:rsidR="00E45A61" w:rsidRPr="00786B7D" w:rsidRDefault="00E45A61" w:rsidP="00E45A61">
      <w:pPr>
        <w:spacing w:line="360" w:lineRule="auto"/>
        <w:ind w:firstLine="360"/>
        <w:jc w:val="both"/>
        <w:rPr>
          <w:sz w:val="24"/>
          <w:szCs w:val="24"/>
        </w:rPr>
      </w:pPr>
      <w:r w:rsidRPr="00786B7D">
        <w:rPr>
          <w:sz w:val="24"/>
          <w:szCs w:val="24"/>
        </w:rPr>
        <w:t xml:space="preserve">Serrano Argüeso, M.: Ereñaga De Jesús, N. (2014), </w:t>
      </w:r>
      <w:r w:rsidRPr="00786B7D">
        <w:rPr>
          <w:i/>
          <w:sz w:val="24"/>
          <w:szCs w:val="24"/>
        </w:rPr>
        <w:t>Revista de la Facultad de Derecho y Ciencias Políticas</w:t>
      </w:r>
      <w:r w:rsidRPr="00786B7D">
        <w:rPr>
          <w:sz w:val="24"/>
          <w:szCs w:val="24"/>
        </w:rPr>
        <w:t>, Vol. 44, No. 120.</w:t>
      </w:r>
    </w:p>
    <w:p w:rsidR="00E45A61" w:rsidRPr="00786B7D" w:rsidRDefault="00E45A61" w:rsidP="00E45A61">
      <w:pPr>
        <w:spacing w:line="360" w:lineRule="auto"/>
        <w:ind w:firstLine="360"/>
        <w:jc w:val="both"/>
        <w:rPr>
          <w:sz w:val="24"/>
          <w:szCs w:val="24"/>
        </w:rPr>
      </w:pPr>
      <w:r w:rsidRPr="00786B7D">
        <w:rPr>
          <w:sz w:val="24"/>
          <w:szCs w:val="24"/>
        </w:rPr>
        <w:t xml:space="preserve">Soler Vilar, A. (2007), AA.VV. (Coord. Amparo Garrigues Giménez), </w:t>
      </w:r>
      <w:r w:rsidRPr="00786B7D">
        <w:rPr>
          <w:i/>
          <w:sz w:val="24"/>
          <w:szCs w:val="24"/>
        </w:rPr>
        <w:t>Comentario a la Ley de Igualdad</w:t>
      </w:r>
      <w:r w:rsidRPr="00786B7D">
        <w:rPr>
          <w:sz w:val="24"/>
          <w:szCs w:val="24"/>
        </w:rPr>
        <w:t>, Valencia, CISS.</w:t>
      </w:r>
    </w:p>
    <w:p w:rsidR="00E45A61" w:rsidRPr="00786B7D" w:rsidRDefault="00E45A61" w:rsidP="00E45A61">
      <w:pPr>
        <w:spacing w:line="360" w:lineRule="auto"/>
        <w:ind w:firstLine="360"/>
        <w:jc w:val="both"/>
        <w:rPr>
          <w:sz w:val="24"/>
          <w:szCs w:val="24"/>
        </w:rPr>
      </w:pPr>
      <w:r w:rsidRPr="00786B7D">
        <w:rPr>
          <w:sz w:val="24"/>
          <w:szCs w:val="24"/>
        </w:rPr>
        <w:t xml:space="preserve">Suarez Pertierra, G. y Amerigo, F. (1996), AA.VV (Coord. Oscar Alzaga Villaamil). </w:t>
      </w:r>
      <w:r w:rsidRPr="00786B7D">
        <w:rPr>
          <w:i/>
          <w:sz w:val="24"/>
          <w:szCs w:val="24"/>
        </w:rPr>
        <w:t>Comentarios a la Constitución Española de 1978</w:t>
      </w:r>
      <w:r w:rsidRPr="00786B7D">
        <w:rPr>
          <w:sz w:val="24"/>
          <w:szCs w:val="24"/>
        </w:rPr>
        <w:t>, Madrid, Ed. Del Foro.</w:t>
      </w:r>
    </w:p>
    <w:p w:rsidR="00E45A61" w:rsidRPr="00786B7D" w:rsidRDefault="00E45A61" w:rsidP="00E45A61">
      <w:pPr>
        <w:spacing w:line="360" w:lineRule="auto"/>
        <w:ind w:firstLine="360"/>
        <w:jc w:val="both"/>
        <w:rPr>
          <w:sz w:val="24"/>
          <w:szCs w:val="24"/>
        </w:rPr>
      </w:pPr>
      <w:r w:rsidRPr="00786B7D">
        <w:rPr>
          <w:sz w:val="24"/>
          <w:szCs w:val="24"/>
        </w:rPr>
        <w:t>Tomé, A. (2002), AA.VV (Coord. Mª Luisa Abad</w:t>
      </w:r>
      <w:r w:rsidRPr="00786B7D">
        <w:rPr>
          <w:i/>
          <w:sz w:val="24"/>
          <w:szCs w:val="24"/>
        </w:rPr>
        <w:t>), Género y educación</w:t>
      </w:r>
      <w:r w:rsidRPr="00786B7D">
        <w:rPr>
          <w:sz w:val="24"/>
          <w:szCs w:val="24"/>
        </w:rPr>
        <w:t>, Barcelona, Graó.</w:t>
      </w:r>
    </w:p>
    <w:p w:rsidR="00E45A61" w:rsidRPr="00786B7D" w:rsidRDefault="00E45A61" w:rsidP="00E45A61">
      <w:pPr>
        <w:spacing w:line="360" w:lineRule="auto"/>
        <w:ind w:firstLine="360"/>
        <w:jc w:val="both"/>
        <w:rPr>
          <w:bCs/>
          <w:sz w:val="24"/>
          <w:szCs w:val="24"/>
        </w:rPr>
      </w:pPr>
      <w:r w:rsidRPr="00786B7D">
        <w:rPr>
          <w:sz w:val="24"/>
          <w:szCs w:val="24"/>
        </w:rPr>
        <w:t xml:space="preserve">Ventura, A. (1999), </w:t>
      </w:r>
      <w:r w:rsidRPr="00786B7D">
        <w:rPr>
          <w:i/>
          <w:sz w:val="24"/>
          <w:szCs w:val="24"/>
        </w:rPr>
        <w:t>Las mujeres y la Constitución española de 1978</w:t>
      </w:r>
      <w:r w:rsidRPr="00786B7D">
        <w:rPr>
          <w:sz w:val="24"/>
          <w:szCs w:val="24"/>
        </w:rPr>
        <w:t xml:space="preserve">, Madrid, </w:t>
      </w:r>
      <w:r w:rsidRPr="00786B7D">
        <w:rPr>
          <w:bCs/>
          <w:sz w:val="24"/>
          <w:szCs w:val="24"/>
        </w:rPr>
        <w:t xml:space="preserve">Ministerio de Trabajo </w:t>
      </w:r>
      <w:r w:rsidRPr="00786B7D">
        <w:rPr>
          <w:b/>
          <w:bCs/>
          <w:sz w:val="24"/>
          <w:szCs w:val="24"/>
        </w:rPr>
        <w:t>y</w:t>
      </w:r>
      <w:r w:rsidRPr="00786B7D">
        <w:rPr>
          <w:bCs/>
          <w:sz w:val="24"/>
          <w:szCs w:val="24"/>
        </w:rPr>
        <w:t xml:space="preserve"> Asuntos Sociales, Instituto de la Mujer.</w:t>
      </w:r>
    </w:p>
    <w:p w:rsidR="00E45A61" w:rsidRPr="00786B7D" w:rsidRDefault="00E45A61" w:rsidP="00E45A61">
      <w:pPr>
        <w:pStyle w:val="Prrafodelista"/>
        <w:numPr>
          <w:ilvl w:val="0"/>
          <w:numId w:val="3"/>
        </w:numPr>
        <w:spacing w:after="160" w:line="360" w:lineRule="auto"/>
        <w:jc w:val="both"/>
        <w:rPr>
          <w:sz w:val="24"/>
          <w:szCs w:val="24"/>
        </w:rPr>
      </w:pPr>
      <w:r w:rsidRPr="00786B7D">
        <w:rPr>
          <w:sz w:val="24"/>
          <w:szCs w:val="24"/>
        </w:rPr>
        <w:t>JURISPRUDENCIA.</w:t>
      </w:r>
    </w:p>
    <w:p w:rsidR="00E45A61" w:rsidRPr="00786B7D" w:rsidRDefault="00E45A61" w:rsidP="00E45A61">
      <w:pPr>
        <w:spacing w:line="360" w:lineRule="auto"/>
        <w:ind w:firstLine="360"/>
        <w:jc w:val="both"/>
        <w:rPr>
          <w:sz w:val="24"/>
          <w:szCs w:val="24"/>
        </w:rPr>
      </w:pPr>
      <w:r w:rsidRPr="00786B7D">
        <w:rPr>
          <w:sz w:val="24"/>
          <w:szCs w:val="24"/>
        </w:rPr>
        <w:t>Sentencia del Tribunal Constitucional 144/1988, de 12 de julio (STC 144/1998).</w:t>
      </w:r>
    </w:p>
    <w:p w:rsidR="00E45A61" w:rsidRPr="00786B7D" w:rsidRDefault="00E45A61" w:rsidP="00E45A61">
      <w:pPr>
        <w:spacing w:line="360" w:lineRule="auto"/>
        <w:ind w:firstLine="360"/>
        <w:jc w:val="both"/>
        <w:rPr>
          <w:sz w:val="24"/>
          <w:szCs w:val="24"/>
        </w:rPr>
      </w:pPr>
      <w:r w:rsidRPr="00786B7D">
        <w:rPr>
          <w:sz w:val="24"/>
          <w:szCs w:val="24"/>
        </w:rPr>
        <w:t>Sentencia del Tribunal Constitucional 75/1983, de 3 de agosto (STC 75/1983, en BJC 28/29).</w:t>
      </w:r>
    </w:p>
    <w:p w:rsidR="00E45A61" w:rsidRPr="00786B7D" w:rsidRDefault="00E45A61" w:rsidP="00E45A61">
      <w:pPr>
        <w:spacing w:line="360" w:lineRule="auto"/>
        <w:jc w:val="both"/>
        <w:rPr>
          <w:sz w:val="24"/>
          <w:szCs w:val="24"/>
        </w:rPr>
      </w:pPr>
    </w:p>
    <w:p w:rsidR="00E45A61" w:rsidRPr="00786B7D" w:rsidRDefault="00E45A61" w:rsidP="00E45A61">
      <w:pPr>
        <w:spacing w:line="360" w:lineRule="auto"/>
        <w:jc w:val="both"/>
        <w:rPr>
          <w:sz w:val="24"/>
          <w:szCs w:val="24"/>
        </w:rPr>
      </w:pPr>
    </w:p>
    <w:p w:rsidR="00E45A61" w:rsidRPr="00E45A61" w:rsidRDefault="00E45A61" w:rsidP="00E45A61">
      <w:pPr>
        <w:jc w:val="both"/>
        <w:rPr>
          <w:sz w:val="24"/>
          <w:szCs w:val="24"/>
        </w:rPr>
      </w:pPr>
    </w:p>
    <w:p w:rsidR="00E45A61" w:rsidRDefault="00E45A61" w:rsidP="00C92F2F"/>
    <w:p w:rsidR="00507ACA" w:rsidRDefault="00507ACA" w:rsidP="00507ACA">
      <w:pPr>
        <w:spacing w:line="360" w:lineRule="auto"/>
        <w:jc w:val="both"/>
      </w:pPr>
    </w:p>
    <w:sectPr w:rsidR="00507ACA" w:rsidSect="00507ACA">
      <w:footerReference w:type="default" r:id="rId14"/>
      <w:pgSz w:w="11906" w:h="16838"/>
      <w:pgMar w:top="1701" w:right="1701" w:bottom="1701" w:left="1701" w:header="720" w:footer="720"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465D" w:rsidRDefault="0017465D" w:rsidP="00E45A61">
      <w:r>
        <w:separator/>
      </w:r>
    </w:p>
  </w:endnote>
  <w:endnote w:type="continuationSeparator" w:id="0">
    <w:p w:rsidR="0017465D" w:rsidRDefault="0017465D" w:rsidP="00E45A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5059031"/>
      <w:docPartObj>
        <w:docPartGallery w:val="Page Numbers (Bottom of Page)"/>
        <w:docPartUnique/>
      </w:docPartObj>
    </w:sdtPr>
    <w:sdtEndPr>
      <w:rPr>
        <w:color w:val="808080" w:themeColor="background1" w:themeShade="80"/>
        <w:spacing w:val="60"/>
      </w:rPr>
    </w:sdtEndPr>
    <w:sdtContent>
      <w:p w:rsidR="00E45A61" w:rsidRDefault="00E45A61">
        <w:pPr>
          <w:pStyle w:val="Piedepgina"/>
          <w:pBdr>
            <w:top w:val="single" w:sz="4" w:space="1" w:color="D9D9D9" w:themeColor="background1" w:themeShade="D9"/>
          </w:pBdr>
          <w:jc w:val="right"/>
        </w:pPr>
        <w:r>
          <w:fldChar w:fldCharType="begin"/>
        </w:r>
        <w:r>
          <w:instrText>PAGE   \* MERGEFORMAT</w:instrText>
        </w:r>
        <w:r>
          <w:fldChar w:fldCharType="separate"/>
        </w:r>
        <w:r>
          <w:rPr>
            <w:noProof/>
          </w:rPr>
          <w:t>6</w:t>
        </w:r>
        <w:r>
          <w:fldChar w:fldCharType="end"/>
        </w:r>
        <w:r>
          <w:t xml:space="preserve"> | </w:t>
        </w:r>
        <w:r w:rsidRPr="00E45A61">
          <w:rPr>
            <w:color w:val="808080" w:themeColor="background1" w:themeShade="80"/>
            <w:spacing w:val="60"/>
          </w:rPr>
          <w:t>Página</w:t>
        </w:r>
      </w:p>
    </w:sdtContent>
  </w:sdt>
  <w:p w:rsidR="00E45A61" w:rsidRDefault="00E45A6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465D" w:rsidRDefault="0017465D" w:rsidP="00E45A61">
      <w:r>
        <w:separator/>
      </w:r>
    </w:p>
  </w:footnote>
  <w:footnote w:type="continuationSeparator" w:id="0">
    <w:p w:rsidR="0017465D" w:rsidRDefault="0017465D" w:rsidP="00E45A61">
      <w:r>
        <w:continuationSeparator/>
      </w:r>
    </w:p>
  </w:footnote>
  <w:footnote w:id="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Peces-Barba, G. (1999), </w:t>
      </w:r>
      <w:r w:rsidRPr="00AA607C">
        <w:rPr>
          <w:rFonts w:ascii="Times New Roman" w:hAnsi="Times New Roman" w:cs="Times New Roman"/>
          <w:i/>
        </w:rPr>
        <w:t>Curso de derechos fundamentales: teoría general</w:t>
      </w:r>
      <w:r w:rsidRPr="00AA607C">
        <w:rPr>
          <w:rFonts w:ascii="Times New Roman" w:hAnsi="Times New Roman" w:cs="Times New Roman"/>
        </w:rPr>
        <w:t>, Madrid, Universidad Carlos III- BOE, pp. 209-210.</w:t>
      </w:r>
    </w:p>
  </w:footnote>
  <w:footnote w:id="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Peces-Barba, </w:t>
      </w:r>
      <w:r w:rsidRPr="00AA607C">
        <w:rPr>
          <w:rFonts w:ascii="Times New Roman" w:hAnsi="Times New Roman" w:cs="Times New Roman"/>
          <w:i/>
        </w:rPr>
        <w:t>Curso de derechos</w:t>
      </w:r>
      <w:r w:rsidRPr="00AA607C">
        <w:rPr>
          <w:rFonts w:ascii="Times New Roman" w:hAnsi="Times New Roman" w:cs="Times New Roman"/>
        </w:rPr>
        <w:t>, p. 214.</w:t>
      </w:r>
    </w:p>
  </w:footnote>
  <w:footnote w:id="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Peces-Barba, </w:t>
      </w:r>
      <w:r w:rsidRPr="00AA607C">
        <w:rPr>
          <w:rFonts w:ascii="Times New Roman" w:hAnsi="Times New Roman" w:cs="Times New Roman"/>
          <w:i/>
        </w:rPr>
        <w:t>Curso de derechos</w:t>
      </w:r>
      <w:r w:rsidRPr="00AA607C">
        <w:rPr>
          <w:rFonts w:ascii="Times New Roman" w:hAnsi="Times New Roman" w:cs="Times New Roman"/>
        </w:rPr>
        <w:t>, p. 212.</w:t>
      </w:r>
    </w:p>
  </w:footnote>
  <w:footnote w:id="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Peces-Barba, </w:t>
      </w:r>
      <w:r w:rsidRPr="00AA607C">
        <w:rPr>
          <w:rFonts w:ascii="Times New Roman" w:hAnsi="Times New Roman" w:cs="Times New Roman"/>
          <w:i/>
        </w:rPr>
        <w:t>Curso de derechos</w:t>
      </w:r>
      <w:r w:rsidRPr="00AA607C">
        <w:rPr>
          <w:rFonts w:ascii="Times New Roman" w:hAnsi="Times New Roman" w:cs="Times New Roman"/>
        </w:rPr>
        <w:t>, p. 282.</w:t>
      </w:r>
    </w:p>
  </w:footnote>
  <w:footnote w:id="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Garrido Gómez, M.A (2009), </w:t>
      </w:r>
      <w:r w:rsidRPr="00AA607C">
        <w:rPr>
          <w:rFonts w:ascii="Times New Roman" w:hAnsi="Times New Roman" w:cs="Times New Roman"/>
          <w:i/>
        </w:rPr>
        <w:t>La igualdad en el contenido y en la aplicación de la ley</w:t>
      </w:r>
      <w:r w:rsidRPr="00AA607C">
        <w:rPr>
          <w:rFonts w:ascii="Times New Roman" w:hAnsi="Times New Roman" w:cs="Times New Roman"/>
        </w:rPr>
        <w:t>, Madrid, Dykinson, p. 71.</w:t>
      </w:r>
    </w:p>
  </w:footnote>
  <w:footnote w:id="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Pérez Luño, A.E. (2007), </w:t>
      </w:r>
      <w:r w:rsidRPr="00AA607C">
        <w:rPr>
          <w:rFonts w:ascii="Times New Roman" w:hAnsi="Times New Roman" w:cs="Times New Roman"/>
          <w:i/>
        </w:rPr>
        <w:t>Dimensiones de la igualdad</w:t>
      </w:r>
      <w:r w:rsidRPr="00AA607C">
        <w:rPr>
          <w:rFonts w:ascii="Times New Roman" w:hAnsi="Times New Roman" w:cs="Times New Roman"/>
        </w:rPr>
        <w:t>, Madrid: Universidad Carlos III, Dykinson pp. 86-87. La dimensión de la igualdad como principio, significa que las normas que componen el OJ son interpretadas y aplicadas sobre la base de la igualdad, integrándose en el OJ e inspirando el mismo.</w:t>
      </w:r>
    </w:p>
  </w:footnote>
  <w:footnote w:id="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Pérez Luño, </w:t>
      </w:r>
      <w:r w:rsidRPr="00AA607C">
        <w:rPr>
          <w:rFonts w:ascii="Times New Roman" w:hAnsi="Times New Roman" w:cs="Times New Roman"/>
          <w:i/>
        </w:rPr>
        <w:t xml:space="preserve">Derechos Humanos, </w:t>
      </w:r>
      <w:r w:rsidRPr="00AA607C">
        <w:rPr>
          <w:rFonts w:ascii="Times New Roman" w:hAnsi="Times New Roman" w:cs="Times New Roman"/>
        </w:rPr>
        <w:t xml:space="preserve"> p. 298.</w:t>
      </w:r>
    </w:p>
  </w:footnote>
  <w:footnote w:id="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STC 75/1983, de 3 de agosto, FJ 2, en BJC 28/29, pp. 946-947.</w:t>
      </w:r>
    </w:p>
  </w:footnote>
  <w:footnote w:id="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Balaguer, M. L. (2005), </w:t>
      </w:r>
      <w:r w:rsidRPr="00AA607C">
        <w:rPr>
          <w:rFonts w:ascii="Times New Roman" w:hAnsi="Times New Roman" w:cs="Times New Roman"/>
          <w:i/>
        </w:rPr>
        <w:t>Mujer y Constitución: la construcción jurídica del género</w:t>
      </w:r>
      <w:r w:rsidRPr="00AA607C">
        <w:rPr>
          <w:rFonts w:ascii="Times New Roman" w:hAnsi="Times New Roman" w:cs="Times New Roman"/>
        </w:rPr>
        <w:t>, Madrid, Ediciones Cátedra, p. 84.</w:t>
      </w:r>
    </w:p>
  </w:footnote>
  <w:footnote w:id="1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Pérez Luño, </w:t>
      </w:r>
      <w:r w:rsidRPr="00AA607C">
        <w:rPr>
          <w:rFonts w:ascii="Times New Roman" w:hAnsi="Times New Roman" w:cs="Times New Roman"/>
          <w:i/>
        </w:rPr>
        <w:t>Dimensiones de la igualdad</w:t>
      </w:r>
      <w:r w:rsidRPr="00AA607C">
        <w:rPr>
          <w:rFonts w:ascii="Times New Roman" w:hAnsi="Times New Roman" w:cs="Times New Roman"/>
        </w:rPr>
        <w:t xml:space="preserve">, p. 96. </w:t>
      </w:r>
    </w:p>
  </w:footnote>
  <w:footnote w:id="1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Pérez Luño, </w:t>
      </w:r>
      <w:r w:rsidRPr="00AA607C">
        <w:rPr>
          <w:rFonts w:ascii="Times New Roman" w:hAnsi="Times New Roman" w:cs="Times New Roman"/>
          <w:i/>
        </w:rPr>
        <w:t>Dimensiones de la igualdad</w:t>
      </w:r>
      <w:r w:rsidRPr="00AA607C">
        <w:rPr>
          <w:rFonts w:ascii="Times New Roman" w:hAnsi="Times New Roman" w:cs="Times New Roman"/>
        </w:rPr>
        <w:t>, pp. 15-16.</w:t>
      </w:r>
    </w:p>
  </w:footnote>
  <w:footnote w:id="1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Pérez Luño, </w:t>
      </w:r>
      <w:r w:rsidRPr="00AA607C">
        <w:rPr>
          <w:rFonts w:ascii="Times New Roman" w:hAnsi="Times New Roman" w:cs="Times New Roman"/>
          <w:i/>
        </w:rPr>
        <w:t>Dimensiones de la igualdad</w:t>
      </w:r>
      <w:r w:rsidRPr="00AA607C">
        <w:rPr>
          <w:rFonts w:ascii="Times New Roman" w:hAnsi="Times New Roman" w:cs="Times New Roman"/>
        </w:rPr>
        <w:t>, pp. 17.</w:t>
      </w:r>
    </w:p>
  </w:footnote>
  <w:footnote w:id="1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Pérez Luño, </w:t>
      </w:r>
      <w:r w:rsidRPr="00AA607C">
        <w:rPr>
          <w:rFonts w:ascii="Times New Roman" w:hAnsi="Times New Roman" w:cs="Times New Roman"/>
          <w:i/>
        </w:rPr>
        <w:t>Dimensiones de la igualdad</w:t>
      </w:r>
      <w:r w:rsidRPr="00AA607C">
        <w:rPr>
          <w:rFonts w:ascii="Times New Roman" w:hAnsi="Times New Roman" w:cs="Times New Roman"/>
        </w:rPr>
        <w:t>, p. 19.</w:t>
      </w:r>
    </w:p>
  </w:footnote>
  <w:footnote w:id="1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Rey Martínez, F. (2008), “El Derecho Fundamental a no ser discriminado por razón de sexo”, AA.VV (Coord. Esther Gómez Campello, Félix Valbuena González), </w:t>
      </w:r>
      <w:r w:rsidRPr="00AA607C">
        <w:rPr>
          <w:rFonts w:ascii="Times New Roman" w:hAnsi="Times New Roman" w:cs="Times New Roman"/>
          <w:i/>
        </w:rPr>
        <w:t>Igualdad de género: una visión jurídica plural</w:t>
      </w:r>
      <w:r w:rsidRPr="00AA607C">
        <w:rPr>
          <w:rFonts w:ascii="Times New Roman" w:hAnsi="Times New Roman" w:cs="Times New Roman"/>
        </w:rPr>
        <w:t>, Burgos, Universidad de Burgos, p. 74.</w:t>
      </w:r>
    </w:p>
  </w:footnote>
  <w:footnote w:id="1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STC 144/1988, de 12 de julio, FJ 1.</w:t>
      </w:r>
    </w:p>
  </w:footnote>
  <w:footnote w:id="1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Garrido Gómez, M.A, </w:t>
      </w:r>
      <w:r w:rsidRPr="00AA607C">
        <w:rPr>
          <w:rFonts w:ascii="Times New Roman" w:hAnsi="Times New Roman" w:cs="Times New Roman"/>
          <w:i/>
        </w:rPr>
        <w:t xml:space="preserve">La igualdad en el contenido, </w:t>
      </w:r>
      <w:r w:rsidRPr="00AA607C">
        <w:rPr>
          <w:rFonts w:ascii="Times New Roman" w:hAnsi="Times New Roman" w:cs="Times New Roman"/>
        </w:rPr>
        <w:t>p 86.</w:t>
      </w:r>
    </w:p>
  </w:footnote>
  <w:footnote w:id="1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Suarez Pertierra, G. y Amerigo, F. (1996), “Artículo 14”. AA.VV (Coord. Oscar Alzaga Villaamil). </w:t>
      </w:r>
      <w:r w:rsidRPr="00AA607C">
        <w:rPr>
          <w:rFonts w:ascii="Times New Roman" w:hAnsi="Times New Roman" w:cs="Times New Roman"/>
          <w:i/>
        </w:rPr>
        <w:t>Comentarios a la Constitución Española de 1978</w:t>
      </w:r>
      <w:r w:rsidRPr="00AA607C">
        <w:rPr>
          <w:rFonts w:ascii="Times New Roman" w:hAnsi="Times New Roman" w:cs="Times New Roman"/>
        </w:rPr>
        <w:t>, Madrid, Ed. Del Foro,  p. 260.</w:t>
      </w:r>
      <w:r w:rsidRPr="00AA607C">
        <w:rPr>
          <w:rFonts w:ascii="Times New Roman" w:hAnsi="Times New Roman" w:cs="Times New Roman"/>
        </w:rPr>
        <w:tab/>
      </w:r>
    </w:p>
  </w:footnote>
  <w:footnote w:id="1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Peces-Barba, </w:t>
      </w:r>
      <w:r w:rsidRPr="00AA607C">
        <w:rPr>
          <w:rFonts w:ascii="Times New Roman" w:hAnsi="Times New Roman" w:cs="Times New Roman"/>
          <w:i/>
        </w:rPr>
        <w:t>Curso de derechos</w:t>
      </w:r>
      <w:r w:rsidRPr="00AA607C">
        <w:rPr>
          <w:rFonts w:ascii="Times New Roman" w:hAnsi="Times New Roman" w:cs="Times New Roman"/>
        </w:rPr>
        <w:t>, p. 284.</w:t>
      </w:r>
    </w:p>
  </w:footnote>
  <w:footnote w:id="1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Pérez Luño, </w:t>
      </w:r>
      <w:r w:rsidRPr="00AA607C">
        <w:rPr>
          <w:rFonts w:ascii="Times New Roman" w:hAnsi="Times New Roman" w:cs="Times New Roman"/>
          <w:i/>
        </w:rPr>
        <w:t>Dimensiones de la igualdad</w:t>
      </w:r>
      <w:r w:rsidRPr="00AA607C">
        <w:rPr>
          <w:rFonts w:ascii="Times New Roman" w:hAnsi="Times New Roman" w:cs="Times New Roman"/>
        </w:rPr>
        <w:t>, pp. 32 y 33.</w:t>
      </w:r>
    </w:p>
  </w:footnote>
  <w:footnote w:id="2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Pérez Luño, </w:t>
      </w:r>
      <w:r w:rsidRPr="00AA607C">
        <w:rPr>
          <w:rFonts w:ascii="Times New Roman" w:hAnsi="Times New Roman" w:cs="Times New Roman"/>
          <w:i/>
        </w:rPr>
        <w:t>Dimensiones de la igualdad</w:t>
      </w:r>
      <w:r w:rsidRPr="00AA607C">
        <w:rPr>
          <w:rFonts w:ascii="Times New Roman" w:hAnsi="Times New Roman" w:cs="Times New Roman"/>
        </w:rPr>
        <w:t>, pp. 28 y 29.</w:t>
      </w:r>
    </w:p>
  </w:footnote>
  <w:footnote w:id="2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Garrido Gómez, M.A, </w:t>
      </w:r>
      <w:r w:rsidRPr="00AA607C">
        <w:rPr>
          <w:rFonts w:ascii="Times New Roman" w:hAnsi="Times New Roman" w:cs="Times New Roman"/>
          <w:i/>
        </w:rPr>
        <w:t xml:space="preserve">La igualdad en el contenido, </w:t>
      </w:r>
      <w:r w:rsidRPr="00AA607C">
        <w:rPr>
          <w:rFonts w:ascii="Times New Roman" w:hAnsi="Times New Roman" w:cs="Times New Roman"/>
        </w:rPr>
        <w:t>pp. 89-90.</w:t>
      </w:r>
    </w:p>
  </w:footnote>
  <w:footnote w:id="2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Pérez Luño, </w:t>
      </w:r>
      <w:r w:rsidRPr="00AA607C">
        <w:rPr>
          <w:rFonts w:ascii="Times New Roman" w:hAnsi="Times New Roman" w:cs="Times New Roman"/>
          <w:i/>
        </w:rPr>
        <w:t>Dimensiones de la igualdad</w:t>
      </w:r>
      <w:r w:rsidRPr="00AA607C">
        <w:rPr>
          <w:rFonts w:ascii="Times New Roman" w:hAnsi="Times New Roman" w:cs="Times New Roman"/>
        </w:rPr>
        <w:t>, pp. 24-26.</w:t>
      </w:r>
    </w:p>
  </w:footnote>
  <w:footnote w:id="2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Suarez Pertierra y Amerigo, </w:t>
      </w:r>
      <w:r w:rsidRPr="00AA607C">
        <w:rPr>
          <w:rFonts w:ascii="Times New Roman" w:hAnsi="Times New Roman" w:cs="Times New Roman"/>
          <w:i/>
        </w:rPr>
        <w:t>Comentario a la Constitución</w:t>
      </w:r>
      <w:r w:rsidRPr="00AA607C">
        <w:rPr>
          <w:rFonts w:ascii="Times New Roman" w:hAnsi="Times New Roman" w:cs="Times New Roman"/>
        </w:rPr>
        <w:t>, pp. 262- 263.</w:t>
      </w:r>
    </w:p>
  </w:footnote>
  <w:footnote w:id="2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Naranjo de la Cruz, R. (2016), “El sistema de Derechos Constitucionales y sus garantías”, Manual de Derecho Constitucional, Madrid, Tecnos, p. 432.</w:t>
      </w:r>
    </w:p>
  </w:footnote>
  <w:footnote w:id="2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Hernández Gil, A. (1982), </w:t>
      </w:r>
      <w:r w:rsidRPr="00AA607C">
        <w:rPr>
          <w:rFonts w:ascii="Times New Roman" w:hAnsi="Times New Roman" w:cs="Times New Roman"/>
          <w:i/>
        </w:rPr>
        <w:t>El cambio político español y la Constitución</w:t>
      </w:r>
      <w:r w:rsidRPr="00AA607C">
        <w:rPr>
          <w:rFonts w:ascii="Times New Roman" w:hAnsi="Times New Roman" w:cs="Times New Roman"/>
        </w:rPr>
        <w:t>, Barcelona, Planeta, p. 408.</w:t>
      </w:r>
    </w:p>
  </w:footnote>
  <w:footnote w:id="2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García de Enterría, E. (1981), </w:t>
      </w:r>
      <w:r w:rsidRPr="00AA607C">
        <w:rPr>
          <w:rFonts w:ascii="Times New Roman" w:hAnsi="Times New Roman" w:cs="Times New Roman"/>
          <w:i/>
        </w:rPr>
        <w:t>La Constitución como norma y el Tribunal Constitucional</w:t>
      </w:r>
      <w:r w:rsidRPr="00AA607C">
        <w:rPr>
          <w:rFonts w:ascii="Times New Roman" w:hAnsi="Times New Roman" w:cs="Times New Roman"/>
        </w:rPr>
        <w:t>, Madrid, Cívitas, p. 98.</w:t>
      </w:r>
    </w:p>
  </w:footnote>
  <w:footnote w:id="2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Pérez Luño, A. E. (2005), </w:t>
      </w:r>
      <w:r w:rsidRPr="00AA607C">
        <w:rPr>
          <w:rFonts w:ascii="Times New Roman" w:hAnsi="Times New Roman" w:cs="Times New Roman"/>
          <w:i/>
        </w:rPr>
        <w:t>Derechos Humanos, Estado de Derecho y Constitución</w:t>
      </w:r>
      <w:r w:rsidRPr="00AA607C">
        <w:rPr>
          <w:rFonts w:ascii="Times New Roman" w:hAnsi="Times New Roman" w:cs="Times New Roman"/>
        </w:rPr>
        <w:t>, Madrid, Tecnos, pp. 293-294.</w:t>
      </w:r>
    </w:p>
  </w:footnote>
  <w:footnote w:id="2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Peces-Barba, </w:t>
      </w:r>
      <w:r w:rsidRPr="00AA607C">
        <w:rPr>
          <w:rFonts w:ascii="Times New Roman" w:hAnsi="Times New Roman" w:cs="Times New Roman"/>
          <w:i/>
        </w:rPr>
        <w:t>Curso de derechos</w:t>
      </w:r>
      <w:r w:rsidRPr="00AA607C">
        <w:rPr>
          <w:rFonts w:ascii="Times New Roman" w:hAnsi="Times New Roman" w:cs="Times New Roman"/>
        </w:rPr>
        <w:t>, p. 288.</w:t>
      </w:r>
    </w:p>
  </w:footnote>
  <w:footnote w:id="2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Véase. Pérez Luño, </w:t>
      </w:r>
      <w:r w:rsidRPr="00AA607C">
        <w:rPr>
          <w:rFonts w:ascii="Times New Roman" w:hAnsi="Times New Roman" w:cs="Times New Roman"/>
          <w:i/>
        </w:rPr>
        <w:t>Dimensiones de la igualdad</w:t>
      </w:r>
      <w:r w:rsidRPr="00AA607C">
        <w:rPr>
          <w:rFonts w:ascii="Times New Roman" w:hAnsi="Times New Roman" w:cs="Times New Roman"/>
        </w:rPr>
        <w:t>, p. 38.</w:t>
      </w:r>
    </w:p>
  </w:footnote>
  <w:footnote w:id="3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Garrido Gómez, M.A, </w:t>
      </w:r>
      <w:r w:rsidRPr="00AA607C">
        <w:rPr>
          <w:rFonts w:ascii="Times New Roman" w:hAnsi="Times New Roman" w:cs="Times New Roman"/>
          <w:i/>
        </w:rPr>
        <w:t xml:space="preserve">La igualdad en el contenido, </w:t>
      </w:r>
      <w:r w:rsidRPr="00AA607C">
        <w:rPr>
          <w:rFonts w:ascii="Times New Roman" w:hAnsi="Times New Roman" w:cs="Times New Roman"/>
        </w:rPr>
        <w:t>p.287.</w:t>
      </w:r>
    </w:p>
  </w:footnote>
  <w:footnote w:id="3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Balaguer, Mujer y Constitución, p. 85.</w:t>
      </w:r>
    </w:p>
  </w:footnote>
  <w:footnote w:id="3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Ventura, A. (1999), Las mujeres y la Constitución española de 1978, Madrid, </w:t>
      </w:r>
      <w:r w:rsidRPr="00AA607C">
        <w:rPr>
          <w:rFonts w:ascii="Times New Roman" w:hAnsi="Times New Roman" w:cs="Times New Roman"/>
          <w:bCs/>
        </w:rPr>
        <w:t xml:space="preserve">Ministerio de Trabajo </w:t>
      </w:r>
      <w:r w:rsidRPr="00AA607C">
        <w:rPr>
          <w:rStyle w:val="Textoennegrita"/>
          <w:rFonts w:ascii="Times New Roman" w:hAnsi="Times New Roman" w:cs="Times New Roman"/>
        </w:rPr>
        <w:t>y</w:t>
      </w:r>
      <w:r w:rsidRPr="00AA607C">
        <w:rPr>
          <w:rFonts w:ascii="Times New Roman" w:hAnsi="Times New Roman" w:cs="Times New Roman"/>
          <w:bCs/>
        </w:rPr>
        <w:t xml:space="preserve"> Asuntos Sociales, Instituto de </w:t>
      </w:r>
      <w:r w:rsidRPr="00AA607C">
        <w:rPr>
          <w:rStyle w:val="Textoennegrita"/>
          <w:rFonts w:ascii="Times New Roman" w:hAnsi="Times New Roman" w:cs="Times New Roman"/>
        </w:rPr>
        <w:t>la</w:t>
      </w:r>
      <w:r w:rsidRPr="00AA607C">
        <w:rPr>
          <w:rFonts w:ascii="Times New Roman" w:hAnsi="Times New Roman" w:cs="Times New Roman"/>
          <w:bCs/>
        </w:rPr>
        <w:t xml:space="preserve"> Mujer, p. 256-257.</w:t>
      </w:r>
    </w:p>
  </w:footnote>
  <w:footnote w:id="3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Laporta Hernández, E (2016), “Desde la Convención sobre la Eliminación de todas las Formas de Discriminación de la Mujer a la igualdad transformativa en España”, AA.VV (Coord. María Caterina La Barbera, Marta Cruells López), </w:t>
      </w:r>
      <w:r w:rsidRPr="00AA607C">
        <w:rPr>
          <w:rFonts w:ascii="Times New Roman" w:hAnsi="Times New Roman" w:cs="Times New Roman"/>
          <w:i/>
        </w:rPr>
        <w:t>Igualdad de género y no discriminación en España: evolución, problemas y perspectivas</w:t>
      </w:r>
      <w:r w:rsidRPr="00AA607C">
        <w:rPr>
          <w:rFonts w:ascii="Times New Roman" w:hAnsi="Times New Roman" w:cs="Times New Roman"/>
        </w:rPr>
        <w:t>, Madrid, Centro de Estudios Políticos y Constitucionales, p. 70.</w:t>
      </w:r>
    </w:p>
  </w:footnote>
  <w:footnote w:id="3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Laporta, Igualdad de género, p. 72.</w:t>
      </w:r>
    </w:p>
  </w:footnote>
  <w:footnote w:id="3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Laporta, Igualdad de género, p. 76.</w:t>
      </w:r>
    </w:p>
  </w:footnote>
  <w:footnote w:id="3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Comunicación de la Comisión, de 21 de febrero de 1996, “Integrar la igualdad de oportunidades entre las mujeres y los hombres en el conjunto de las políticas y acciones comunitarias”.</w:t>
      </w:r>
    </w:p>
  </w:footnote>
  <w:footnote w:id="3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Alegret Burgués, M. (2005), “Presentación e introducción”, </w:t>
      </w:r>
      <w:r w:rsidRPr="00AA607C">
        <w:rPr>
          <w:rFonts w:ascii="Times New Roman" w:hAnsi="Times New Roman" w:cs="Times New Roman"/>
          <w:i/>
        </w:rPr>
        <w:t>La discriminación positiva</w:t>
      </w:r>
      <w:r w:rsidRPr="00AA607C">
        <w:rPr>
          <w:rFonts w:ascii="Times New Roman" w:hAnsi="Times New Roman" w:cs="Times New Roman"/>
        </w:rPr>
        <w:t>, Madrid, Consejo General del Poder Judicial, p. 28.</w:t>
      </w:r>
    </w:p>
  </w:footnote>
  <w:footnote w:id="3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Garrido Gómez, M.A, </w:t>
      </w:r>
      <w:r w:rsidRPr="00AA607C">
        <w:rPr>
          <w:rFonts w:ascii="Times New Roman" w:hAnsi="Times New Roman" w:cs="Times New Roman"/>
          <w:i/>
        </w:rPr>
        <w:t xml:space="preserve">La igualdad en el contenido, </w:t>
      </w:r>
      <w:r w:rsidRPr="00AA607C">
        <w:rPr>
          <w:rFonts w:ascii="Times New Roman" w:hAnsi="Times New Roman" w:cs="Times New Roman"/>
        </w:rPr>
        <w:t>pp. 88-91.</w:t>
      </w:r>
    </w:p>
  </w:footnote>
  <w:footnote w:id="3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Gil Ruiz, J.M. (1996</w:t>
      </w:r>
      <w:r w:rsidRPr="00AA607C">
        <w:rPr>
          <w:rFonts w:ascii="Times New Roman" w:hAnsi="Times New Roman" w:cs="Times New Roman"/>
          <w:i/>
        </w:rPr>
        <w:t>), Las políticas de igualdad en España: avances y retrocesos</w:t>
      </w:r>
      <w:r w:rsidRPr="00AA607C">
        <w:rPr>
          <w:rFonts w:ascii="Times New Roman" w:hAnsi="Times New Roman" w:cs="Times New Roman"/>
        </w:rPr>
        <w:t>, Granada, Universidad de Granada, pp. 39-40.</w:t>
      </w:r>
    </w:p>
  </w:footnote>
  <w:footnote w:id="4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Gil Ruiz, </w:t>
      </w:r>
      <w:r w:rsidRPr="00AA607C">
        <w:rPr>
          <w:rFonts w:ascii="Times New Roman" w:hAnsi="Times New Roman" w:cs="Times New Roman"/>
          <w:i/>
        </w:rPr>
        <w:t>Las políticas de igualdad</w:t>
      </w:r>
      <w:r w:rsidRPr="00AA607C">
        <w:rPr>
          <w:rFonts w:ascii="Times New Roman" w:hAnsi="Times New Roman" w:cs="Times New Roman"/>
        </w:rPr>
        <w:t>, pp. 118-119.</w:t>
      </w:r>
    </w:p>
  </w:footnote>
  <w:footnote w:id="4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Martínez Sierra, G. (1920), </w:t>
      </w:r>
      <w:r w:rsidRPr="00AA607C">
        <w:rPr>
          <w:rFonts w:ascii="Times New Roman" w:hAnsi="Times New Roman" w:cs="Times New Roman"/>
          <w:i/>
        </w:rPr>
        <w:t>Feminismo, feminidad, españolismo</w:t>
      </w:r>
      <w:r w:rsidRPr="00AA607C">
        <w:rPr>
          <w:rFonts w:ascii="Times New Roman" w:hAnsi="Times New Roman" w:cs="Times New Roman"/>
        </w:rPr>
        <w:t>, Madrid, Santuario Calleja, pp. 17-18.</w:t>
      </w:r>
    </w:p>
  </w:footnote>
  <w:footnote w:id="4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De Asís, R. (2010), Prólogo, AA.VV (Coord. Mª Ángeles Bengo</w:t>
      </w:r>
      <w:r>
        <w:rPr>
          <w:rFonts w:ascii="Times New Roman" w:hAnsi="Times New Roman" w:cs="Times New Roman"/>
        </w:rPr>
        <w:t>ec</w:t>
      </w:r>
      <w:r w:rsidRPr="00AA607C">
        <w:rPr>
          <w:rFonts w:ascii="Times New Roman" w:hAnsi="Times New Roman" w:cs="Times New Roman"/>
        </w:rPr>
        <w:t xml:space="preserve">hea Gil), </w:t>
      </w:r>
      <w:r w:rsidRPr="00AA607C">
        <w:rPr>
          <w:rFonts w:ascii="Times New Roman" w:hAnsi="Times New Roman" w:cs="Times New Roman"/>
          <w:i/>
        </w:rPr>
        <w:t>La Lucha por la igualdad efectiva de mujeres y hombres</w:t>
      </w:r>
      <w:r w:rsidRPr="00AA607C">
        <w:rPr>
          <w:rFonts w:ascii="Times New Roman" w:hAnsi="Times New Roman" w:cs="Times New Roman"/>
        </w:rPr>
        <w:t>, Madrid, Dykinson, p. 10-11.</w:t>
      </w:r>
    </w:p>
  </w:footnote>
  <w:footnote w:id="4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Gil Ruiz, </w:t>
      </w:r>
      <w:r w:rsidRPr="00AA607C">
        <w:rPr>
          <w:rFonts w:ascii="Times New Roman" w:hAnsi="Times New Roman" w:cs="Times New Roman"/>
          <w:i/>
        </w:rPr>
        <w:t>Las políticas de igualdad</w:t>
      </w:r>
      <w:r w:rsidRPr="00AA607C">
        <w:rPr>
          <w:rFonts w:ascii="Times New Roman" w:hAnsi="Times New Roman" w:cs="Times New Roman"/>
        </w:rPr>
        <w:t>, pp. 150-157.</w:t>
      </w:r>
    </w:p>
  </w:footnote>
  <w:footnote w:id="4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Gil Ruiz, </w:t>
      </w:r>
      <w:r w:rsidRPr="00AA607C">
        <w:rPr>
          <w:rFonts w:ascii="Times New Roman" w:hAnsi="Times New Roman" w:cs="Times New Roman"/>
          <w:i/>
        </w:rPr>
        <w:t>Las políticas de igualdad</w:t>
      </w:r>
      <w:r w:rsidRPr="00AA607C">
        <w:rPr>
          <w:rFonts w:ascii="Times New Roman" w:hAnsi="Times New Roman" w:cs="Times New Roman"/>
        </w:rPr>
        <w:t>, pp. 159-161.</w:t>
      </w:r>
    </w:p>
  </w:footnote>
  <w:footnote w:id="4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De Asís, </w:t>
      </w:r>
      <w:r w:rsidRPr="00AA607C">
        <w:rPr>
          <w:rFonts w:ascii="Times New Roman" w:hAnsi="Times New Roman" w:cs="Times New Roman"/>
          <w:i/>
        </w:rPr>
        <w:t xml:space="preserve">La Lucha por la igualdad, </w:t>
      </w:r>
      <w:r w:rsidRPr="00AA607C">
        <w:rPr>
          <w:rFonts w:ascii="Times New Roman" w:hAnsi="Times New Roman" w:cs="Times New Roman"/>
        </w:rPr>
        <w:t>p. 10.</w:t>
      </w:r>
    </w:p>
  </w:footnote>
  <w:footnote w:id="4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Carta de las Naciones Unidas, Capítulo I “Propósitos y principios”, Artículo 1.3, BOE núm. 275, p. 33862. </w:t>
      </w:r>
    </w:p>
  </w:footnote>
  <w:footnote w:id="4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eastAsia="Calibri" w:hAnsi="Times New Roman" w:cs="Times New Roman"/>
        </w:rPr>
        <w:t xml:space="preserve"> Véase. Convención sobre la eliminación de todas las formas de discriminación contra la mujer (en adelante, Convención sobre la eliminación), Parte Primera, Artículo 1, BOE núm. 69, p. 7715.</w:t>
      </w:r>
    </w:p>
  </w:footnote>
  <w:footnote w:id="4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eastAsia="Calibri" w:hAnsi="Times New Roman" w:cs="Times New Roman"/>
        </w:rPr>
        <w:t xml:space="preserve"> Véase. Convención sobre la eliminación, Parte VI, Artículo 28.2, BOE núm. 69, p. 7718.</w:t>
      </w:r>
    </w:p>
  </w:footnote>
  <w:footnote w:id="4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Orgánica 3/2007, de 22 de marzo, para la igualdad efectiva de mujeres y hombres, (en adelante, Ley de igualdad) Exposición de Motivos I, BOE núm.71, p. 12611.</w:t>
      </w:r>
    </w:p>
  </w:footnote>
  <w:footnote w:id="5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Ballester Pastor M.A; Ballester Cardell, M. (2008), “Significado general y conceptual de la Ley Orgánica para la igualdad efectiva de mujeres y hombres”, AA.VV. (Coord. Tomás Sala Franco), </w:t>
      </w:r>
      <w:r w:rsidRPr="00AA607C">
        <w:rPr>
          <w:rFonts w:ascii="Times New Roman" w:hAnsi="Times New Roman" w:cs="Times New Roman"/>
          <w:i/>
        </w:rPr>
        <w:t>Comentarios a la Ley 3/2007, de 22 de marzo, para la igualdad efectiva de mujeres y hombres,</w:t>
      </w:r>
      <w:r w:rsidRPr="00AA607C">
        <w:rPr>
          <w:rFonts w:ascii="Times New Roman" w:hAnsi="Times New Roman" w:cs="Times New Roman"/>
        </w:rPr>
        <w:t xml:space="preserve"> Madrid, La Ley, pp. 51-52.</w:t>
      </w:r>
    </w:p>
  </w:footnote>
  <w:footnote w:id="5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Exposición de Motivos III, pp. 12611-12612.</w:t>
      </w:r>
    </w:p>
  </w:footnote>
  <w:footnote w:id="5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Bengoechea Gil, M.A. (2010), “La ley de igualdad 3/2007 de 22 de marzo: el reto de erradicar discriminaciones”, AA.VV (Coord. Mª Ángeles Bengoechea Gil), </w:t>
      </w:r>
      <w:r w:rsidRPr="00AA607C">
        <w:rPr>
          <w:rFonts w:ascii="Times New Roman" w:hAnsi="Times New Roman" w:cs="Times New Roman"/>
          <w:i/>
        </w:rPr>
        <w:t>La Lucha por la igualdad efectiva de mujeres y hombres</w:t>
      </w:r>
      <w:r w:rsidRPr="00AA607C">
        <w:rPr>
          <w:rFonts w:ascii="Times New Roman" w:hAnsi="Times New Roman" w:cs="Times New Roman"/>
        </w:rPr>
        <w:t>, Madrid, Dykinson, p. 22.</w:t>
      </w:r>
    </w:p>
  </w:footnote>
  <w:footnote w:id="5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De Asís, R. (2008), “La ley de igualdad en el discurso de los Derechos Humanos”, AA.VV (Coord. Esther Gómez Campello, Félix Valbuena González), </w:t>
      </w:r>
      <w:r w:rsidRPr="00AA607C">
        <w:rPr>
          <w:rFonts w:ascii="Times New Roman" w:hAnsi="Times New Roman" w:cs="Times New Roman"/>
          <w:i/>
        </w:rPr>
        <w:t>Igualdad de género: una visión jurídica plural</w:t>
      </w:r>
      <w:r w:rsidRPr="00AA607C">
        <w:rPr>
          <w:rFonts w:ascii="Times New Roman" w:hAnsi="Times New Roman" w:cs="Times New Roman"/>
        </w:rPr>
        <w:t>, Burgos, Universidad de Burgos, p. 57.</w:t>
      </w:r>
    </w:p>
  </w:footnote>
  <w:footnote w:id="5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Título Preliminar, Artículo 1, pp. 12613-12614.</w:t>
      </w:r>
    </w:p>
  </w:footnote>
  <w:footnote w:id="5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De Asís, </w:t>
      </w:r>
      <w:r w:rsidRPr="00AA607C">
        <w:rPr>
          <w:rFonts w:ascii="Times New Roman" w:hAnsi="Times New Roman" w:cs="Times New Roman"/>
          <w:i/>
        </w:rPr>
        <w:t>La ley de igualdad</w:t>
      </w:r>
      <w:r w:rsidRPr="00AA607C">
        <w:rPr>
          <w:rFonts w:ascii="Times New Roman" w:hAnsi="Times New Roman" w:cs="Times New Roman"/>
        </w:rPr>
        <w:t>, p. 57.</w:t>
      </w:r>
    </w:p>
  </w:footnote>
  <w:footnote w:id="5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Ballester Pastor M.A; Ballester Cardell, M., </w:t>
      </w:r>
      <w:r w:rsidRPr="00AA607C">
        <w:rPr>
          <w:rFonts w:ascii="Times New Roman" w:hAnsi="Times New Roman" w:cs="Times New Roman"/>
          <w:i/>
        </w:rPr>
        <w:t>Comentarios a la Ley 3/2007</w:t>
      </w:r>
      <w:r w:rsidRPr="00AA607C">
        <w:rPr>
          <w:rFonts w:ascii="Times New Roman" w:hAnsi="Times New Roman" w:cs="Times New Roman"/>
        </w:rPr>
        <w:t>, pp. 59-60.</w:t>
      </w:r>
    </w:p>
  </w:footnote>
  <w:footnote w:id="5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Soler Vilar, A. (2007), “Título II: políticas para la igualdad”, AA.VV. (Coord. Amparo Garrigues Giménez), </w:t>
      </w:r>
      <w:r w:rsidRPr="00AA607C">
        <w:rPr>
          <w:rFonts w:ascii="Times New Roman" w:hAnsi="Times New Roman" w:cs="Times New Roman"/>
          <w:i/>
        </w:rPr>
        <w:t>Comentario a la Ley de Igualdad</w:t>
      </w:r>
      <w:r w:rsidRPr="00AA607C">
        <w:rPr>
          <w:rFonts w:ascii="Times New Roman" w:hAnsi="Times New Roman" w:cs="Times New Roman"/>
        </w:rPr>
        <w:t>, Valencia, CISS, p. 59</w:t>
      </w:r>
    </w:p>
  </w:footnote>
  <w:footnote w:id="5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Título I, Artículo 10, 12614.</w:t>
      </w:r>
    </w:p>
  </w:footnote>
  <w:footnote w:id="5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Exposición de Motivos IV, p. 12612.</w:t>
      </w:r>
    </w:p>
  </w:footnote>
  <w:footnote w:id="6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Soler Vilar, </w:t>
      </w:r>
      <w:r w:rsidRPr="00AA607C">
        <w:rPr>
          <w:rFonts w:ascii="Times New Roman" w:hAnsi="Times New Roman" w:cs="Times New Roman"/>
          <w:i/>
        </w:rPr>
        <w:t>Comentario a la ley de igualdad</w:t>
      </w:r>
      <w:r w:rsidRPr="00AA607C">
        <w:rPr>
          <w:rFonts w:ascii="Times New Roman" w:hAnsi="Times New Roman" w:cs="Times New Roman"/>
        </w:rPr>
        <w:t>, p. 263.</w:t>
      </w:r>
    </w:p>
  </w:footnote>
  <w:footnote w:id="6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Ballester Pastor M.A; Ballester Cardell, M., </w:t>
      </w:r>
      <w:r w:rsidRPr="00AA607C">
        <w:rPr>
          <w:rFonts w:ascii="Times New Roman" w:hAnsi="Times New Roman" w:cs="Times New Roman"/>
          <w:i/>
        </w:rPr>
        <w:t>Comentarios a la Ley 3/2007</w:t>
      </w:r>
      <w:r w:rsidRPr="00AA607C">
        <w:rPr>
          <w:rFonts w:ascii="Times New Roman" w:hAnsi="Times New Roman" w:cs="Times New Roman"/>
        </w:rPr>
        <w:t xml:space="preserve">, p. 185. </w:t>
      </w:r>
    </w:p>
  </w:footnote>
  <w:footnote w:id="6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Exposición de Motivos IV, p. 12613.</w:t>
      </w:r>
    </w:p>
  </w:footnote>
  <w:footnote w:id="6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Exposición de Motivos IV, p. 12613.</w:t>
      </w:r>
    </w:p>
  </w:footnote>
  <w:footnote w:id="6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Título VIII “Disposiciones Organizativas”, pp.12623-12645.</w:t>
      </w:r>
    </w:p>
  </w:footnote>
  <w:footnote w:id="6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Bengoechea Gil, La ley de igualdad, p. 26.</w:t>
      </w:r>
    </w:p>
  </w:footnote>
  <w:footnote w:id="6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Ballester Pastor M.A; Ballester Cardell, M., </w:t>
      </w:r>
      <w:r w:rsidRPr="00AA607C">
        <w:rPr>
          <w:rFonts w:ascii="Times New Roman" w:hAnsi="Times New Roman" w:cs="Times New Roman"/>
          <w:i/>
        </w:rPr>
        <w:t>Comentarios a la Ley 3/2007</w:t>
      </w:r>
      <w:r w:rsidRPr="00AA607C">
        <w:rPr>
          <w:rFonts w:ascii="Times New Roman" w:hAnsi="Times New Roman" w:cs="Times New Roman"/>
        </w:rPr>
        <w:t>, pp. 61-62.</w:t>
      </w:r>
    </w:p>
  </w:footnote>
  <w:footnote w:id="6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Ventura Franch, A. (2007) “Título I: el principio de igualdad y la tutela contra la discriminación. Artículo 6”, AA.VV. (Coord. Amparo Garrigues Giménez), </w:t>
      </w:r>
      <w:r w:rsidRPr="00AA607C">
        <w:rPr>
          <w:rFonts w:ascii="Times New Roman" w:hAnsi="Times New Roman" w:cs="Times New Roman"/>
          <w:i/>
        </w:rPr>
        <w:t>Comentarios a la Ley de Igualdad</w:t>
      </w:r>
      <w:r w:rsidRPr="00AA607C">
        <w:rPr>
          <w:rFonts w:ascii="Times New Roman" w:hAnsi="Times New Roman" w:cs="Times New Roman"/>
        </w:rPr>
        <w:t>, Valencia, CISS, p.  99.</w:t>
      </w:r>
    </w:p>
  </w:footnote>
  <w:footnote w:id="6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Barrère, M.A. (1997), Discriminación, Derecho antidiscriminatorio y acción positiva en favor de las mujeres, Madrid, Civitas, p. 23 y ss.</w:t>
      </w:r>
    </w:p>
  </w:footnote>
  <w:footnote w:id="6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Garrigues Giménez, A.; Núñez-Cortés Contreras, P., </w:t>
      </w:r>
      <w:r w:rsidRPr="00AA607C">
        <w:rPr>
          <w:rFonts w:ascii="Times New Roman" w:hAnsi="Times New Roman" w:cs="Times New Roman"/>
          <w:i/>
        </w:rPr>
        <w:t>Comentarios a la Ley de Igualdad</w:t>
      </w:r>
      <w:r w:rsidRPr="00AA607C">
        <w:rPr>
          <w:rFonts w:ascii="Times New Roman" w:hAnsi="Times New Roman" w:cs="Times New Roman"/>
        </w:rPr>
        <w:t>, pp.  127-135.</w:t>
      </w:r>
    </w:p>
  </w:footnote>
  <w:footnote w:id="7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Bengoechea Gil, </w:t>
      </w:r>
      <w:r w:rsidRPr="00AA607C">
        <w:rPr>
          <w:rFonts w:ascii="Times New Roman" w:hAnsi="Times New Roman" w:cs="Times New Roman"/>
          <w:i/>
        </w:rPr>
        <w:t>La ley de igualdad</w:t>
      </w:r>
      <w:r w:rsidRPr="00AA607C">
        <w:rPr>
          <w:rFonts w:ascii="Times New Roman" w:hAnsi="Times New Roman" w:cs="Times New Roman"/>
        </w:rPr>
        <w:t>, p. 28.</w:t>
      </w:r>
    </w:p>
  </w:footnote>
  <w:footnote w:id="7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Ventura Franch, A., </w:t>
      </w:r>
      <w:r w:rsidRPr="00AA607C">
        <w:rPr>
          <w:rFonts w:ascii="Times New Roman" w:hAnsi="Times New Roman" w:cs="Times New Roman"/>
          <w:i/>
        </w:rPr>
        <w:t>Comentarios a la Ley de Igualdad</w:t>
      </w:r>
      <w:r w:rsidRPr="00AA607C">
        <w:rPr>
          <w:rFonts w:ascii="Times New Roman" w:hAnsi="Times New Roman" w:cs="Times New Roman"/>
        </w:rPr>
        <w:t>, pp. 93-100.</w:t>
      </w:r>
    </w:p>
  </w:footnote>
  <w:footnote w:id="7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Bengoechea Gil, </w:t>
      </w:r>
      <w:r w:rsidRPr="00AA607C">
        <w:rPr>
          <w:rFonts w:ascii="Times New Roman" w:hAnsi="Times New Roman" w:cs="Times New Roman"/>
          <w:i/>
        </w:rPr>
        <w:t>La ley de igualdad</w:t>
      </w:r>
      <w:r w:rsidRPr="00AA607C">
        <w:rPr>
          <w:rFonts w:ascii="Times New Roman" w:hAnsi="Times New Roman" w:cs="Times New Roman"/>
        </w:rPr>
        <w:t>, p. 31.</w:t>
      </w:r>
    </w:p>
  </w:footnote>
  <w:footnote w:id="7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García Ninet, J. I., </w:t>
      </w:r>
      <w:r w:rsidRPr="00AA607C">
        <w:rPr>
          <w:rFonts w:ascii="Times New Roman" w:hAnsi="Times New Roman" w:cs="Times New Roman"/>
          <w:i/>
        </w:rPr>
        <w:t>Comentarios a la Ley de Igualdad</w:t>
      </w:r>
      <w:r w:rsidRPr="00AA607C">
        <w:rPr>
          <w:rFonts w:ascii="Times New Roman" w:hAnsi="Times New Roman" w:cs="Times New Roman"/>
        </w:rPr>
        <w:t>, pp. 137-145.</w:t>
      </w:r>
    </w:p>
  </w:footnote>
  <w:footnote w:id="7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De Asís, </w:t>
      </w:r>
      <w:r w:rsidRPr="00AA607C">
        <w:rPr>
          <w:rFonts w:ascii="Times New Roman" w:hAnsi="Times New Roman" w:cs="Times New Roman"/>
          <w:i/>
        </w:rPr>
        <w:t>La ley de igualdad</w:t>
      </w:r>
      <w:r w:rsidRPr="00AA607C">
        <w:rPr>
          <w:rFonts w:ascii="Times New Roman" w:hAnsi="Times New Roman" w:cs="Times New Roman"/>
        </w:rPr>
        <w:t>, p. 58.</w:t>
      </w:r>
    </w:p>
  </w:footnote>
  <w:footnote w:id="7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Ley de igualdad, Título V, Artículo 51, p. 12621</w:t>
      </w:r>
    </w:p>
  </w:footnote>
  <w:footnote w:id="7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II Plan para la Igualdad entre mujeres y hombres en la Administración General del Estado y en sus organismos públicos, jueves 10 de diciembre de 2015, BOE núm. 295, p. 116510.</w:t>
      </w:r>
    </w:p>
  </w:footnote>
  <w:footnote w:id="7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II Plan para la Igualdad entre mujeres y hombres en la Administración General del Estado y en sus organismos públicos, pp. 116512-116519. </w:t>
      </w:r>
    </w:p>
  </w:footnote>
  <w:footnote w:id="7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Se pueden desglosar estos datos totales en: Personal funcionario: un 52,7% mujeres y un 47,3% hombres; personal laboral: 53,3% hombres y un 46,7% mujeres.</w:t>
      </w:r>
    </w:p>
  </w:footnote>
  <w:footnote w:id="79">
    <w:p w:rsidR="00E45A61" w:rsidRPr="00AA607C" w:rsidRDefault="00E45A61" w:rsidP="00E45A61">
      <w:pPr>
        <w:jc w:val="both"/>
      </w:pPr>
      <w:r w:rsidRPr="00AA607C">
        <w:rPr>
          <w:rStyle w:val="Refdenotaalpie"/>
        </w:rPr>
        <w:footnoteRef/>
      </w:r>
      <w:r w:rsidRPr="00AA607C">
        <w:t xml:space="preserve"> Gráfico muestra de la tasa de paro total de mujeres, hombres y ambos sexos, del primer trimestre de 2017. Consultado el 17 de mayo de 2017, Instituto Nacional de Estadística (INE): </w:t>
      </w:r>
      <w:hyperlink r:id="rId1" w:history="1">
        <w:r w:rsidRPr="00AA607C">
          <w:rPr>
            <w:rStyle w:val="Hipervnculo"/>
          </w:rPr>
          <w:t>http://www.ine.es/jaxiT3/Datos.htm?t=4247</w:t>
        </w:r>
      </w:hyperlink>
    </w:p>
  </w:footnote>
  <w:footnote w:id="80">
    <w:p w:rsidR="00E45A61" w:rsidRPr="00AA607C" w:rsidRDefault="00E45A61" w:rsidP="00E45A61">
      <w:pPr>
        <w:jc w:val="both"/>
      </w:pPr>
      <w:r w:rsidRPr="00AA607C">
        <w:rPr>
          <w:rStyle w:val="Refdenotaalpie"/>
        </w:rPr>
        <w:footnoteRef/>
      </w:r>
      <w:r w:rsidRPr="00AA607C">
        <w:t xml:space="preserve"> Tasas de paro por distintos grupos de edad, sexo y comunidad autónoma (2017).  Consultado el 17 de mayo de 2017, Instituto Nacional de Estadística (INE): </w:t>
      </w:r>
      <w:hyperlink r:id="rId2" w:history="1">
        <w:r w:rsidRPr="00AA607C">
          <w:rPr>
            <w:rStyle w:val="Hipervnculo"/>
          </w:rPr>
          <w:t>http://www.ine.es/jaxiT3/Tabla.htm?t=4247</w:t>
        </w:r>
      </w:hyperlink>
    </w:p>
  </w:footnote>
  <w:footnote w:id="8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Gráfico muestra de la tasa de paro total de mujeres, hombres y ambos sexos, del primer trimestre de 2006. Consultado el 17 de mayo de 2017, Instituto Nacional de Estadísticas (INE): http://www.ine.es/jaxiT3/Datos.htm?t=4247</w:t>
      </w:r>
    </w:p>
  </w:footnote>
  <w:footnote w:id="82">
    <w:p w:rsidR="00E45A61" w:rsidRPr="00AA607C" w:rsidRDefault="00E45A61" w:rsidP="00E45A61">
      <w:pPr>
        <w:jc w:val="both"/>
      </w:pPr>
      <w:r w:rsidRPr="00AA607C">
        <w:rPr>
          <w:rStyle w:val="Refdenotaalpie"/>
        </w:rPr>
        <w:footnoteRef/>
      </w:r>
      <w:r w:rsidRPr="00AA607C">
        <w:t xml:space="preserve"> Diferencia y discriminación salarial por razón de sexo (2007). Consultado el 18 de mayo de 2017, Ministerio de Sanidad, Servicios Sociales e Igualdad: </w:t>
      </w:r>
      <w:hyperlink r:id="rId3" w:history="1">
        <w:r w:rsidRPr="00AA607C">
          <w:rPr>
            <w:rStyle w:val="Hipervnculo"/>
          </w:rPr>
          <w:t>http://www.inmujer.gob.es/areasTematicas/estudios/serieEstudios/docs/diferenciaYDiscriminacion.pdf</w:t>
        </w:r>
      </w:hyperlink>
    </w:p>
  </w:footnote>
  <w:footnote w:id="83">
    <w:p w:rsidR="00E45A61" w:rsidRPr="00AA607C" w:rsidRDefault="00E45A61" w:rsidP="00E45A61">
      <w:pPr>
        <w:jc w:val="both"/>
      </w:pPr>
      <w:r w:rsidRPr="00AA607C">
        <w:rPr>
          <w:rStyle w:val="Refdenotaalpie"/>
        </w:rPr>
        <w:footnoteRef/>
      </w:r>
      <w:hyperlink r:id="rId4" w:history="1">
        <w:r w:rsidRPr="00AA607C">
          <w:rPr>
            <w:lang w:val="en-US"/>
          </w:rPr>
          <w:t>The Global Gender Gap Report (2016)</w:t>
        </w:r>
      </w:hyperlink>
      <w:r w:rsidRPr="00AA607C">
        <w:rPr>
          <w:lang w:val="en-US"/>
        </w:rPr>
        <w:t xml:space="preserve">. </w:t>
      </w:r>
      <w:r w:rsidRPr="00AA607C">
        <w:t xml:space="preserve">Consultado el 18 de mayo de 2017, World Economic Fórum: </w:t>
      </w:r>
      <w:hyperlink r:id="rId5" w:anchor="economy=ESP" w:history="1">
        <w:r w:rsidRPr="00AA607C">
          <w:rPr>
            <w:rStyle w:val="Hipervnculo"/>
          </w:rPr>
          <w:t>http://reports.weforum.org/global-gender-gap-report-2016/economies/#economy=ESP</w:t>
        </w:r>
      </w:hyperlink>
    </w:p>
  </w:footnote>
  <w:footnote w:id="84">
    <w:p w:rsidR="00E45A61" w:rsidRPr="00AA607C" w:rsidRDefault="00E45A61" w:rsidP="00E45A61">
      <w:pPr>
        <w:jc w:val="both"/>
      </w:pPr>
      <w:r w:rsidRPr="00AA607C">
        <w:rPr>
          <w:rStyle w:val="Refdenotaalpie"/>
        </w:rPr>
        <w:footnoteRef/>
      </w:r>
      <w:r w:rsidRPr="00AA607C">
        <w:t xml:space="preserve"> Informe Global de la Diferencia de Género (2015). Consultado el 18 de mayo de 2017, World Economic Fórum: </w:t>
      </w:r>
      <w:hyperlink r:id="rId6" w:history="1">
        <w:r w:rsidRPr="00AA607C">
          <w:rPr>
            <w:rStyle w:val="Hipervnculo"/>
          </w:rPr>
          <w:t>https://www.weforum.org/es/agenda/2015/11/informe-global-de-la-brecha-de-genero-2015/</w:t>
        </w:r>
      </w:hyperlink>
    </w:p>
  </w:footnote>
  <w:footnote w:id="8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Encuesta de estructura salarial de 2014. Resultados definitivos (2016). Consultado el 18 de mayo de 2017, Instituto Nacional de Estadística (INE): </w:t>
      </w:r>
      <w:hyperlink r:id="rId7" w:history="1">
        <w:r w:rsidRPr="00AA607C">
          <w:rPr>
            <w:rStyle w:val="Hipervnculo"/>
            <w:rFonts w:ascii="Times New Roman" w:hAnsi="Times New Roman" w:cs="Times New Roman"/>
          </w:rPr>
          <w:t>http://www.ine.es/prensa/np996.pdf</w:t>
        </w:r>
      </w:hyperlink>
    </w:p>
  </w:footnote>
  <w:footnote w:id="8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Encuesta de estructura salarial de 2014. Resultados definitivos (2016). </w:t>
      </w:r>
    </w:p>
  </w:footnote>
  <w:footnote w:id="8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Roscar (2016), “Igualdad salarial”, </w:t>
      </w:r>
      <w:r w:rsidRPr="00AA607C">
        <w:rPr>
          <w:rFonts w:ascii="Times New Roman" w:hAnsi="Times New Roman" w:cs="Times New Roman"/>
          <w:i/>
        </w:rPr>
        <w:t>Portafolio</w:t>
      </w:r>
      <w:r w:rsidRPr="00AA607C">
        <w:rPr>
          <w:rFonts w:ascii="Times New Roman" w:hAnsi="Times New Roman" w:cs="Times New Roman"/>
        </w:rPr>
        <w:t>, Bogotá.</w:t>
      </w:r>
    </w:p>
  </w:footnote>
  <w:footnote w:id="8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Real Decreto Legislativo 2/2015, de 23 de octubre, por el que se aprueba el texto refundido de la Ley del Estatuto de los Trabajadores, Artículo 28, BOE núm. 255, de 24 de octubre de 2015, p 26.</w:t>
      </w:r>
    </w:p>
  </w:footnote>
  <w:footnote w:id="8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Diálogo Social. Negociación colectiva (2007). Consultado 11 de junio de 2017, Organización Internacional del Trabajo: http://www.ilo.org/public/spanish/dialogue/themes/cb.htm</w:t>
      </w:r>
    </w:p>
  </w:footnote>
  <w:footnote w:id="9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ALEGRET BURGUÉS (2005), M. “Presentación e introducción”, </w:t>
      </w:r>
      <w:r w:rsidRPr="00AA607C">
        <w:rPr>
          <w:rFonts w:ascii="Times New Roman" w:hAnsi="Times New Roman" w:cs="Times New Roman"/>
          <w:i/>
        </w:rPr>
        <w:t>La discriminación positiva</w:t>
      </w:r>
      <w:r w:rsidRPr="00AA607C">
        <w:rPr>
          <w:rFonts w:ascii="Times New Roman" w:hAnsi="Times New Roman" w:cs="Times New Roman"/>
        </w:rPr>
        <w:t>, Consejo General del Poder Judicial, Madrid, p. 28 y 29.</w:t>
      </w:r>
    </w:p>
  </w:footnote>
  <w:footnote w:id="9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Pérez Campos, A.I. (2010), “Igualdad y no discriminación en la negociación colectiva”, </w:t>
      </w:r>
      <w:r w:rsidRPr="00AA607C">
        <w:rPr>
          <w:rFonts w:ascii="Times New Roman" w:hAnsi="Times New Roman" w:cs="Times New Roman"/>
          <w:i/>
        </w:rPr>
        <w:t>Anuario Jurídico y Económico Escurialense, XLIII</w:t>
      </w:r>
      <w:r w:rsidRPr="00AA607C">
        <w:rPr>
          <w:rFonts w:ascii="Times New Roman" w:hAnsi="Times New Roman" w:cs="Times New Roman"/>
        </w:rPr>
        <w:t>, ISSN: 1133-3677,  p.145.</w:t>
      </w:r>
    </w:p>
  </w:footnote>
  <w:footnote w:id="9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Lousada Arochena, J.F., “El marco normativo de la negociación colectiva de medidas de igualdad”, AA.VV (Coord. José Fernando Lousada Arochena), </w:t>
      </w:r>
      <w:r w:rsidRPr="00AA607C">
        <w:rPr>
          <w:rFonts w:ascii="Times New Roman" w:hAnsi="Times New Roman" w:cs="Times New Roman"/>
          <w:i/>
        </w:rPr>
        <w:t>El principio de igualdad en la negociación colectiva</w:t>
      </w:r>
      <w:r w:rsidRPr="00AA607C">
        <w:rPr>
          <w:rFonts w:ascii="Times New Roman" w:hAnsi="Times New Roman" w:cs="Times New Roman"/>
        </w:rPr>
        <w:t>, Ministerio de Trabajo e inmigración, Madrid, 2008, p.29.</w:t>
      </w:r>
    </w:p>
  </w:footnote>
  <w:footnote w:id="9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Pérez Campos, </w:t>
      </w:r>
      <w:r w:rsidRPr="00AA607C">
        <w:rPr>
          <w:rFonts w:ascii="Times New Roman" w:hAnsi="Times New Roman" w:cs="Times New Roman"/>
          <w:i/>
        </w:rPr>
        <w:t>Igualdad y no discriminación</w:t>
      </w:r>
      <w:r w:rsidRPr="00AA607C">
        <w:rPr>
          <w:rFonts w:ascii="Times New Roman" w:hAnsi="Times New Roman" w:cs="Times New Roman"/>
        </w:rPr>
        <w:t>, pp. 145- 156.</w:t>
      </w:r>
    </w:p>
  </w:footnote>
  <w:footnote w:id="9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Nieto Rojas, P. (2007), “Medidas y planes de igualdad en las empresas”, AA. VV (Coord. Jesús R. Mercader Uguina), </w:t>
      </w:r>
      <w:r w:rsidRPr="00AA607C">
        <w:rPr>
          <w:rFonts w:ascii="Times New Roman" w:hAnsi="Times New Roman" w:cs="Times New Roman"/>
          <w:i/>
        </w:rPr>
        <w:t>Comentarios laborales de la Ley de Igualdad entre Mujeres y Hombres</w:t>
      </w:r>
      <w:r w:rsidRPr="00AA607C">
        <w:rPr>
          <w:rFonts w:ascii="Times New Roman" w:hAnsi="Times New Roman" w:cs="Times New Roman"/>
        </w:rPr>
        <w:t xml:space="preserve">, Valencia, Tirant lo Blanch, p. 397. </w:t>
      </w:r>
    </w:p>
  </w:footnote>
  <w:footnote w:id="9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Ley de igualdad, Título IV, Artículo 45.2, p. 12620.</w:t>
      </w:r>
    </w:p>
  </w:footnote>
  <w:footnote w:id="9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Informe “Retrato de la PYME”. Consultado a 17 de junio de 2017, Ministerio de Economía, Industria y Competitividad: </w:t>
      </w:r>
      <w:hyperlink r:id="rId8" w:history="1">
        <w:r w:rsidRPr="00AA607C">
          <w:rPr>
            <w:rStyle w:val="Hipervnculo"/>
            <w:rFonts w:ascii="Times New Roman" w:hAnsi="Times New Roman" w:cs="Times New Roman"/>
          </w:rPr>
          <w:t>http://www.ipyme.org/publicaciones/retrato-pyme-dirce-1-enero-2016.pdf</w:t>
        </w:r>
      </w:hyperlink>
    </w:p>
  </w:footnote>
  <w:footnote w:id="9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Nieto Rojas, </w:t>
      </w:r>
      <w:r w:rsidRPr="00AA607C">
        <w:rPr>
          <w:rFonts w:ascii="Times New Roman" w:hAnsi="Times New Roman" w:cs="Times New Roman"/>
          <w:i/>
        </w:rPr>
        <w:t>Medidas y planes de igualdad</w:t>
      </w:r>
      <w:r w:rsidRPr="00AA607C">
        <w:rPr>
          <w:rFonts w:ascii="Times New Roman" w:hAnsi="Times New Roman" w:cs="Times New Roman"/>
        </w:rPr>
        <w:t>, pp. 405-407.</w:t>
      </w:r>
    </w:p>
  </w:footnote>
  <w:footnote w:id="9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Fabregat Monfort, G. (2009), </w:t>
      </w:r>
      <w:r w:rsidRPr="00AA607C">
        <w:rPr>
          <w:rFonts w:ascii="Times New Roman" w:hAnsi="Times New Roman" w:cs="Times New Roman"/>
          <w:i/>
        </w:rPr>
        <w:t>Los planes de igualdad como obligación empresarial</w:t>
      </w:r>
      <w:r w:rsidRPr="00AA607C">
        <w:rPr>
          <w:rFonts w:ascii="Times New Roman" w:hAnsi="Times New Roman" w:cs="Times New Roman"/>
        </w:rPr>
        <w:t>, Albacete, Bomarso S.L., pp. 43-44.</w:t>
      </w:r>
    </w:p>
  </w:footnote>
  <w:footnote w:id="9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Fabregat Monfort, </w:t>
      </w:r>
      <w:r w:rsidRPr="00AA607C">
        <w:rPr>
          <w:rFonts w:ascii="Times New Roman" w:hAnsi="Times New Roman" w:cs="Times New Roman"/>
          <w:i/>
        </w:rPr>
        <w:t>Los planes de igualdad</w:t>
      </w:r>
      <w:r w:rsidRPr="00AA607C">
        <w:rPr>
          <w:rFonts w:ascii="Times New Roman" w:hAnsi="Times New Roman" w:cs="Times New Roman"/>
        </w:rPr>
        <w:t>, p.47.</w:t>
      </w:r>
    </w:p>
  </w:footnote>
  <w:footnote w:id="10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Serrano Argüeso, M.: Ereñaga De Jesús, N. (2014), “De la conciliación a la corresponsabilidad en la regulación española del permiso de lactancia. Realidad o utopía”, </w:t>
      </w:r>
      <w:r w:rsidRPr="00AA607C">
        <w:rPr>
          <w:rFonts w:ascii="Times New Roman" w:hAnsi="Times New Roman" w:cs="Times New Roman"/>
          <w:i/>
        </w:rPr>
        <w:t>Revista de la Facultad de Derecho y Ciencias Políticas</w:t>
      </w:r>
      <w:r w:rsidRPr="00AA607C">
        <w:rPr>
          <w:rFonts w:ascii="Times New Roman" w:hAnsi="Times New Roman" w:cs="Times New Roman"/>
        </w:rPr>
        <w:t>, Vol. 44, No. 120, p. 156.</w:t>
      </w:r>
    </w:p>
  </w:footnote>
  <w:footnote w:id="10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Ana Cánovas; Jorge Aragón; Fernando Rocha (2005), “Las políticas de conciliación de la vida familiar y laboral”, </w:t>
      </w:r>
      <w:r w:rsidRPr="00AA607C">
        <w:rPr>
          <w:rFonts w:ascii="Times New Roman" w:hAnsi="Times New Roman" w:cs="Times New Roman"/>
          <w:i/>
        </w:rPr>
        <w:t>Cuadernos de Relaciones Laborales</w:t>
      </w:r>
      <w:r w:rsidRPr="00AA607C">
        <w:rPr>
          <w:rFonts w:ascii="Times New Roman" w:hAnsi="Times New Roman" w:cs="Times New Roman"/>
        </w:rPr>
        <w:t xml:space="preserve">, </w:t>
      </w:r>
      <w:r w:rsidRPr="00AA607C">
        <w:rPr>
          <w:rFonts w:ascii="Times New Roman" w:hAnsi="Times New Roman" w:cs="Times New Roman"/>
          <w:i/>
        </w:rPr>
        <w:t>23</w:t>
      </w:r>
      <w:r w:rsidRPr="00AA607C">
        <w:rPr>
          <w:rFonts w:ascii="Times New Roman" w:hAnsi="Times New Roman" w:cs="Times New Roman"/>
        </w:rPr>
        <w:t>, núm. 1, ISSN: 1131-8632, p. 74.</w:t>
      </w:r>
    </w:p>
  </w:footnote>
  <w:footnote w:id="10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Serrano Argüeso; Ereñaga, </w:t>
      </w:r>
      <w:r w:rsidRPr="00AA607C">
        <w:rPr>
          <w:rFonts w:ascii="Times New Roman" w:hAnsi="Times New Roman" w:cs="Times New Roman"/>
          <w:i/>
        </w:rPr>
        <w:t>De la conciliación a la corresponsabilidad</w:t>
      </w:r>
      <w:r w:rsidRPr="00AA607C">
        <w:rPr>
          <w:rFonts w:ascii="Times New Roman" w:hAnsi="Times New Roman" w:cs="Times New Roman"/>
        </w:rPr>
        <w:t>, pp. 156-158.</w:t>
      </w:r>
    </w:p>
  </w:footnote>
  <w:footnote w:id="10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Garrigues Giménez, A. (2008), “La protección jurídica y económica por Paternidad”, AA. VV (Pilar Núñez- Cortés, Teresa Velasco, Amparo Garrigues), Igualdad y conciliación de la vida personal y laboral en la empresa y administraciones públicas, Madrid, Dykinson, pp. 114-115.</w:t>
      </w:r>
    </w:p>
  </w:footnote>
  <w:footnote w:id="10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Pérez Campos, </w:t>
      </w:r>
      <w:r w:rsidRPr="00AA607C">
        <w:rPr>
          <w:rFonts w:ascii="Times New Roman" w:hAnsi="Times New Roman" w:cs="Times New Roman"/>
          <w:i/>
        </w:rPr>
        <w:t>Igualdad y no discriminación</w:t>
      </w:r>
      <w:r w:rsidRPr="00AA607C">
        <w:rPr>
          <w:rFonts w:ascii="Times New Roman" w:hAnsi="Times New Roman" w:cs="Times New Roman"/>
        </w:rPr>
        <w:t>, p. 157.</w:t>
      </w:r>
    </w:p>
  </w:footnote>
  <w:footnote w:id="10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Mujeres en Cifras, Conciliación. Excedencias, permisos y reducciones de jornada. Consultado el 12 de junio de 2017. Instituto de la Mujer y para la Igualdad de Oportunidades, Ministerio de Sanidad, Servicios Sociales e Igualdad. </w:t>
      </w:r>
      <w:hyperlink r:id="rId9" w:history="1">
        <w:r w:rsidRPr="00AA607C">
          <w:rPr>
            <w:rStyle w:val="Hipervnculo"/>
            <w:rFonts w:ascii="Times New Roman" w:hAnsi="Times New Roman" w:cs="Times New Roman"/>
          </w:rPr>
          <w:t>http://www.inmujer.gob.es/MujerCifras/Conciliacion/ExcedPermisos.htm</w:t>
        </w:r>
      </w:hyperlink>
    </w:p>
  </w:footnote>
  <w:footnote w:id="10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Pérez Campos, </w:t>
      </w:r>
      <w:r w:rsidRPr="00AA607C">
        <w:rPr>
          <w:rFonts w:ascii="Times New Roman" w:hAnsi="Times New Roman" w:cs="Times New Roman"/>
          <w:i/>
        </w:rPr>
        <w:t>Igualdad y no discriminación</w:t>
      </w:r>
      <w:r w:rsidRPr="00AA607C">
        <w:rPr>
          <w:rFonts w:ascii="Times New Roman" w:hAnsi="Times New Roman" w:cs="Times New Roman"/>
        </w:rPr>
        <w:t>, pp.160.</w:t>
      </w:r>
    </w:p>
  </w:footnote>
  <w:footnote w:id="10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Pérez Campos, </w:t>
      </w:r>
      <w:r w:rsidRPr="00AA607C">
        <w:rPr>
          <w:rFonts w:ascii="Times New Roman" w:hAnsi="Times New Roman" w:cs="Times New Roman"/>
          <w:i/>
        </w:rPr>
        <w:t>Igualdad y no discriminación</w:t>
      </w:r>
      <w:r w:rsidRPr="00AA607C">
        <w:rPr>
          <w:rFonts w:ascii="Times New Roman" w:hAnsi="Times New Roman" w:cs="Times New Roman"/>
        </w:rPr>
        <w:t>, pp. 160-162.</w:t>
      </w:r>
    </w:p>
  </w:footnote>
  <w:footnote w:id="10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Núñez- Cortés Contreras; Garrigues Giménez., </w:t>
      </w:r>
      <w:r w:rsidRPr="00AA607C">
        <w:rPr>
          <w:rFonts w:ascii="Times New Roman" w:hAnsi="Times New Roman" w:cs="Times New Roman"/>
          <w:i/>
        </w:rPr>
        <w:t>Igualdad y conciliación</w:t>
      </w:r>
      <w:r w:rsidRPr="00AA607C">
        <w:rPr>
          <w:rFonts w:ascii="Times New Roman" w:hAnsi="Times New Roman" w:cs="Times New Roman"/>
        </w:rPr>
        <w:t>, p. 97.</w:t>
      </w:r>
    </w:p>
  </w:footnote>
  <w:footnote w:id="10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Ley de Igualdad, Título II “Políticas públicas para la igualdad” Capítulo II “Acción administrativa para la igualdad”, pp. 12616-12618.</w:t>
      </w:r>
    </w:p>
  </w:footnote>
  <w:footnote w:id="110">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Tomé, A. (2002), “El estado de la cuestión: la coeducación en la etapa de infantil y primaria”, AA.VV (Coord. Mª Luisa Abad</w:t>
      </w:r>
      <w:r w:rsidRPr="00AA607C">
        <w:rPr>
          <w:rFonts w:ascii="Times New Roman" w:hAnsi="Times New Roman" w:cs="Times New Roman"/>
          <w:i/>
        </w:rPr>
        <w:t>), Género y educación</w:t>
      </w:r>
      <w:r w:rsidRPr="00AA607C">
        <w:rPr>
          <w:rFonts w:ascii="Times New Roman" w:hAnsi="Times New Roman" w:cs="Times New Roman"/>
        </w:rPr>
        <w:t>, Barcelona, Graó, p. 50</w:t>
      </w:r>
    </w:p>
  </w:footnote>
  <w:footnote w:id="111">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Tomé, A, </w:t>
      </w:r>
      <w:r w:rsidRPr="00AA607C">
        <w:rPr>
          <w:rFonts w:ascii="Times New Roman" w:hAnsi="Times New Roman" w:cs="Times New Roman"/>
          <w:i/>
        </w:rPr>
        <w:t xml:space="preserve">El estado de la cuestión, </w:t>
      </w:r>
      <w:r w:rsidRPr="00AA607C">
        <w:rPr>
          <w:rFonts w:ascii="Times New Roman" w:hAnsi="Times New Roman" w:cs="Times New Roman"/>
        </w:rPr>
        <w:t>p. 50-51.</w:t>
      </w:r>
    </w:p>
  </w:footnote>
  <w:footnote w:id="112">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Tomé, A, </w:t>
      </w:r>
      <w:r w:rsidRPr="00AA607C">
        <w:rPr>
          <w:rFonts w:ascii="Times New Roman" w:hAnsi="Times New Roman" w:cs="Times New Roman"/>
          <w:i/>
        </w:rPr>
        <w:t>El estado de la cuestión</w:t>
      </w:r>
      <w:r w:rsidRPr="00AA607C">
        <w:rPr>
          <w:rFonts w:ascii="Times New Roman" w:hAnsi="Times New Roman" w:cs="Times New Roman"/>
        </w:rPr>
        <w:t>, p. 52.</w:t>
      </w:r>
    </w:p>
  </w:footnote>
  <w:footnote w:id="113">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Tomé, A, </w:t>
      </w:r>
      <w:r w:rsidRPr="00AA607C">
        <w:rPr>
          <w:rFonts w:ascii="Times New Roman" w:hAnsi="Times New Roman" w:cs="Times New Roman"/>
          <w:i/>
        </w:rPr>
        <w:t>El estado de la cuestión</w:t>
      </w:r>
      <w:r w:rsidRPr="00AA607C">
        <w:rPr>
          <w:rFonts w:ascii="Times New Roman" w:hAnsi="Times New Roman" w:cs="Times New Roman"/>
        </w:rPr>
        <w:t>, p.54-55.</w:t>
      </w:r>
    </w:p>
  </w:footnote>
  <w:footnote w:id="114">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II Plan Estratégico de Igualdad de Género en Educación (2016-2012), p. 8-9. </w:t>
      </w:r>
    </w:p>
  </w:footnote>
  <w:footnote w:id="115">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Moción dirigida a la Mesa del Congreso de los Diputados por el Grupo Parlamentario Socialista, de 16 de febrero de 2017, p.1.</w:t>
      </w:r>
    </w:p>
  </w:footnote>
  <w:footnote w:id="116">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Moción del Grupo Parlamentario Socialista, p. 5</w:t>
      </w:r>
    </w:p>
  </w:footnote>
  <w:footnote w:id="117">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Informe: La falta de políticas de igualdad en el empleo incrementa la brecha salarial, Evolución de la Brecha Salarial en España (2017), Departamento de la Mujer Trabajadora, Vicesecretaría General de UGT. Consultado el 12 junio de 2017: </w:t>
      </w:r>
      <w:hyperlink r:id="rId10" w:history="1">
        <w:r w:rsidRPr="00AA607C">
          <w:rPr>
            <w:rStyle w:val="Hipervnculo"/>
            <w:rFonts w:ascii="Times New Roman" w:hAnsi="Times New Roman" w:cs="Times New Roman"/>
          </w:rPr>
          <w:t>http://www.ugt.es/Publicaciones/Informe%20Brecha%20Salarial-22feb2017-OK.PDF</w:t>
        </w:r>
      </w:hyperlink>
    </w:p>
  </w:footnote>
  <w:footnote w:id="118">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Informe de la Brecha Salarial de 2016, Secretaría de la Mujer de UGT Andalucía. Consultado el 12 de junio de 2017: </w:t>
      </w:r>
      <w:hyperlink r:id="rId11" w:history="1">
        <w:r w:rsidRPr="00AA607C">
          <w:rPr>
            <w:rStyle w:val="Hipervnculo"/>
            <w:rFonts w:ascii="Times New Roman" w:hAnsi="Times New Roman" w:cs="Times New Roman"/>
          </w:rPr>
          <w:t>http://www.ugt-andalucia.com/c/document_library/get_file?uuid=328fdbb9-7915-4b61-bdcf-ff438904b12e&amp;groupId=10157</w:t>
        </w:r>
      </w:hyperlink>
    </w:p>
  </w:footnote>
  <w:footnote w:id="119">
    <w:p w:rsidR="00E45A61" w:rsidRPr="00AA607C" w:rsidRDefault="00E45A61" w:rsidP="00E45A61">
      <w:pPr>
        <w:pStyle w:val="Textonotapie"/>
        <w:jc w:val="both"/>
        <w:rPr>
          <w:rFonts w:ascii="Times New Roman" w:hAnsi="Times New Roman" w:cs="Times New Roman"/>
        </w:rPr>
      </w:pPr>
      <w:r w:rsidRPr="00AA607C">
        <w:rPr>
          <w:rStyle w:val="Refdenotaalpie"/>
          <w:rFonts w:ascii="Times New Roman" w:hAnsi="Times New Roman" w:cs="Times New Roman"/>
        </w:rPr>
        <w:footnoteRef/>
      </w:r>
      <w:r w:rsidRPr="00AA607C">
        <w:rPr>
          <w:rFonts w:ascii="Times New Roman" w:hAnsi="Times New Roman" w:cs="Times New Roman"/>
        </w:rPr>
        <w:t xml:space="preserve"> Véase. Informe: La falta de políticas de igualdad, Vicesecretaría General de UGT.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C6170"/>
    <w:multiLevelType w:val="multilevel"/>
    <w:tmpl w:val="4ED84220"/>
    <w:lvl w:ilvl="0">
      <w:start w:val="1"/>
      <w:numFmt w:val="decimal"/>
      <w:lvlText w:val="%1."/>
      <w:lvlJc w:val="left"/>
      <w:pPr>
        <w:ind w:left="420" w:hanging="420"/>
      </w:pPr>
      <w:rPr>
        <w:rFonts w:hint="default"/>
      </w:rPr>
    </w:lvl>
    <w:lvl w:ilvl="1">
      <w:start w:val="1"/>
      <w:numFmt w:val="decimal"/>
      <w:lvlText w:val="%1.%2."/>
      <w:lvlJc w:val="left"/>
      <w:pPr>
        <w:ind w:left="845" w:hanging="420"/>
      </w:pPr>
      <w:rPr>
        <w:rFonts w:hint="default"/>
        <w:b/>
      </w:rPr>
    </w:lvl>
    <w:lvl w:ilvl="2">
      <w:start w:val="1"/>
      <w:numFmt w:val="decimal"/>
      <w:lvlText w:val="%1.%2.%3."/>
      <w:lvlJc w:val="left"/>
      <w:pPr>
        <w:ind w:left="1571" w:hanging="720"/>
      </w:pPr>
      <w:rPr>
        <w:rFonts w:hint="default"/>
        <w:b/>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24422AB5"/>
    <w:multiLevelType w:val="hybridMultilevel"/>
    <w:tmpl w:val="C2688392"/>
    <w:lvl w:ilvl="0" w:tplc="04020394">
      <w:start w:val="1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2CB60A53"/>
    <w:multiLevelType w:val="hybridMultilevel"/>
    <w:tmpl w:val="EA8ECAB4"/>
    <w:lvl w:ilvl="0" w:tplc="0C0A0019">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2DF71217"/>
    <w:multiLevelType w:val="hybridMultilevel"/>
    <w:tmpl w:val="33BE5372"/>
    <w:lvl w:ilvl="0" w:tplc="AB067920">
      <w:start w:val="1"/>
      <w:numFmt w:val="decimal"/>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551550FD"/>
    <w:multiLevelType w:val="hybridMultilevel"/>
    <w:tmpl w:val="9410A912"/>
    <w:lvl w:ilvl="0" w:tplc="D47ACBA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677E1066"/>
    <w:multiLevelType w:val="hybridMultilevel"/>
    <w:tmpl w:val="00FAC75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8453E"/>
    <w:rsid w:val="0000596D"/>
    <w:rsid w:val="0008453E"/>
    <w:rsid w:val="00102AB0"/>
    <w:rsid w:val="0011754E"/>
    <w:rsid w:val="001523DF"/>
    <w:rsid w:val="001651B2"/>
    <w:rsid w:val="001724CB"/>
    <w:rsid w:val="0017465D"/>
    <w:rsid w:val="00181EDB"/>
    <w:rsid w:val="00297CA4"/>
    <w:rsid w:val="002F076B"/>
    <w:rsid w:val="0032696E"/>
    <w:rsid w:val="00462AF9"/>
    <w:rsid w:val="0048409A"/>
    <w:rsid w:val="00507ACA"/>
    <w:rsid w:val="00682ED9"/>
    <w:rsid w:val="00692F72"/>
    <w:rsid w:val="00714A8E"/>
    <w:rsid w:val="0074392C"/>
    <w:rsid w:val="00822745"/>
    <w:rsid w:val="00885BB4"/>
    <w:rsid w:val="00893C79"/>
    <w:rsid w:val="008E1780"/>
    <w:rsid w:val="008F1E37"/>
    <w:rsid w:val="00935F0F"/>
    <w:rsid w:val="00982AF2"/>
    <w:rsid w:val="009B594B"/>
    <w:rsid w:val="00A52907"/>
    <w:rsid w:val="00A96634"/>
    <w:rsid w:val="00AB1D93"/>
    <w:rsid w:val="00B9129F"/>
    <w:rsid w:val="00BC4D77"/>
    <w:rsid w:val="00C92F2F"/>
    <w:rsid w:val="00D114D2"/>
    <w:rsid w:val="00D406A5"/>
    <w:rsid w:val="00D5404E"/>
    <w:rsid w:val="00DA7C51"/>
    <w:rsid w:val="00E3686C"/>
    <w:rsid w:val="00E45A61"/>
    <w:rsid w:val="00E94AFD"/>
    <w:rsid w:val="00F23877"/>
    <w:rsid w:val="00F62C5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fillcolor="#3cf" stroke="f">
      <v:fill color="#3cf"/>
      <v:stroke on="f"/>
      <v:textbox style="layout-flow:vertical;mso-layout-flow-alt:bottom-to-top"/>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footer" w:uiPriority="99"/>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nhideWhenUsed="0" w:qFormat="1"/>
    <w:lsdException w:name="Normal Table" w:semiHidden="0" w:unhideWhenUsed="0"/>
    <w:lsdException w:name="Table Web 2" w:semiHidden="0" w:unhideWhenUsed="0"/>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CA4"/>
  </w:style>
  <w:style w:type="paragraph" w:styleId="Ttulo1">
    <w:name w:val="heading 1"/>
    <w:basedOn w:val="Normal"/>
    <w:next w:val="Normal"/>
    <w:qFormat/>
    <w:rsid w:val="00297CA4"/>
    <w:pPr>
      <w:keepNext/>
      <w:outlineLvl w:val="0"/>
    </w:pPr>
    <w:rPr>
      <w:rFonts w:ascii="Arial" w:hAnsi="Arial"/>
      <w:outline/>
      <w:color w:val="000000"/>
      <w:sz w:val="96"/>
    </w:rPr>
  </w:style>
  <w:style w:type="paragraph" w:styleId="Ttulo2">
    <w:name w:val="heading 2"/>
    <w:basedOn w:val="Normal"/>
    <w:next w:val="Normal"/>
    <w:qFormat/>
    <w:rsid w:val="00297CA4"/>
    <w:pPr>
      <w:keepNext/>
      <w:outlineLvl w:val="1"/>
    </w:pPr>
    <w:rPr>
      <w:rFonts w:ascii="Arial" w:hAnsi="Arial"/>
      <w:color w:val="C0C0C0"/>
      <w:sz w:val="56"/>
    </w:rPr>
  </w:style>
  <w:style w:type="paragraph" w:styleId="Ttulo3">
    <w:name w:val="heading 3"/>
    <w:basedOn w:val="Normal"/>
    <w:next w:val="Normal"/>
    <w:qFormat/>
    <w:rsid w:val="00297CA4"/>
    <w:pPr>
      <w:keepNext/>
      <w:jc w:val="center"/>
      <w:outlineLvl w:val="2"/>
    </w:pPr>
    <w:rPr>
      <w:rFonts w:ascii="NewBskvll BT" w:hAnsi="NewBskvll BT"/>
      <w:i/>
      <w:sz w:val="24"/>
    </w:rPr>
  </w:style>
  <w:style w:type="paragraph" w:styleId="Ttulo4">
    <w:name w:val="heading 4"/>
    <w:basedOn w:val="Normal"/>
    <w:next w:val="Normal"/>
    <w:qFormat/>
    <w:rsid w:val="00297CA4"/>
    <w:pPr>
      <w:keepNext/>
      <w:jc w:val="center"/>
      <w:outlineLvl w:val="3"/>
    </w:pPr>
    <w:rPr>
      <w:rFonts w:ascii="Arial" w:hAnsi="Arial"/>
      <w:sz w:val="32"/>
    </w:rPr>
  </w:style>
  <w:style w:type="paragraph" w:styleId="Ttulo5">
    <w:name w:val="heading 5"/>
    <w:basedOn w:val="Normal"/>
    <w:next w:val="Normal"/>
    <w:qFormat/>
    <w:rsid w:val="00297CA4"/>
    <w:pPr>
      <w:keepNext/>
      <w:outlineLvl w:val="4"/>
    </w:pPr>
    <w:rPr>
      <w:rFonts w:ascii="Arial" w:hAnsi="Arial"/>
      <w:b/>
      <w:sz w:val="32"/>
      <w:u w:val="single"/>
    </w:rPr>
  </w:style>
  <w:style w:type="paragraph" w:styleId="Ttulo6">
    <w:name w:val="heading 6"/>
    <w:basedOn w:val="Normal"/>
    <w:next w:val="Normal"/>
    <w:qFormat/>
    <w:rsid w:val="00297CA4"/>
    <w:pPr>
      <w:keepNext/>
      <w:jc w:val="center"/>
      <w:outlineLvl w:val="5"/>
    </w:pPr>
    <w:rPr>
      <w:rFonts w:ascii="NewBskvll BT" w:hAnsi="NewBskvll BT"/>
      <w:smallCaps/>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rsid w:val="00297CA4"/>
    <w:pPr>
      <w:jc w:val="center"/>
    </w:pPr>
    <w:rPr>
      <w:sz w:val="48"/>
    </w:rPr>
  </w:style>
  <w:style w:type="paragraph" w:styleId="Textoindependiente2">
    <w:name w:val="Body Text 2"/>
    <w:basedOn w:val="Normal"/>
    <w:rsid w:val="00297CA4"/>
    <w:pPr>
      <w:jc w:val="center"/>
    </w:pPr>
    <w:rPr>
      <w:rFonts w:ascii="Arial" w:hAnsi="Arial"/>
      <w:smallCaps/>
      <w:sz w:val="52"/>
    </w:rPr>
  </w:style>
  <w:style w:type="paragraph" w:styleId="Textodeglobo">
    <w:name w:val="Balloon Text"/>
    <w:basedOn w:val="Normal"/>
    <w:link w:val="TextodegloboCar"/>
    <w:rsid w:val="008E1780"/>
    <w:rPr>
      <w:rFonts w:ascii="Tahoma" w:hAnsi="Tahoma" w:cs="Tahoma"/>
      <w:sz w:val="16"/>
      <w:szCs w:val="16"/>
    </w:rPr>
  </w:style>
  <w:style w:type="character" w:customStyle="1" w:styleId="TextodegloboCar">
    <w:name w:val="Texto de globo Car"/>
    <w:basedOn w:val="Fuentedeprrafopredeter"/>
    <w:link w:val="Textodeglobo"/>
    <w:rsid w:val="008E1780"/>
    <w:rPr>
      <w:rFonts w:ascii="Tahoma" w:hAnsi="Tahoma" w:cs="Tahoma"/>
      <w:sz w:val="16"/>
      <w:szCs w:val="16"/>
    </w:rPr>
  </w:style>
  <w:style w:type="paragraph" w:styleId="Prrafodelista">
    <w:name w:val="List Paragraph"/>
    <w:basedOn w:val="Normal"/>
    <w:uiPriority w:val="34"/>
    <w:qFormat/>
    <w:rsid w:val="008F1E37"/>
    <w:pPr>
      <w:ind w:left="720"/>
      <w:contextualSpacing/>
    </w:pPr>
  </w:style>
  <w:style w:type="paragraph" w:styleId="Textonotapie">
    <w:name w:val="footnote text"/>
    <w:basedOn w:val="Normal"/>
    <w:link w:val="TextonotapieCar"/>
    <w:uiPriority w:val="99"/>
    <w:unhideWhenUsed/>
    <w:rsid w:val="00E45A61"/>
    <w:rPr>
      <w:rFonts w:asciiTheme="minorHAnsi" w:eastAsiaTheme="minorHAnsi" w:hAnsiTheme="minorHAnsi" w:cstheme="minorBidi"/>
      <w:lang w:eastAsia="en-US"/>
    </w:rPr>
  </w:style>
  <w:style w:type="character" w:customStyle="1" w:styleId="TextonotapieCar">
    <w:name w:val="Texto nota pie Car"/>
    <w:basedOn w:val="Fuentedeprrafopredeter"/>
    <w:link w:val="Textonotapie"/>
    <w:uiPriority w:val="99"/>
    <w:rsid w:val="00E45A61"/>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E45A61"/>
    <w:rPr>
      <w:vertAlign w:val="superscript"/>
    </w:rPr>
  </w:style>
  <w:style w:type="character" w:styleId="Textoennegrita">
    <w:name w:val="Strong"/>
    <w:basedOn w:val="Fuentedeprrafopredeter"/>
    <w:uiPriority w:val="22"/>
    <w:qFormat/>
    <w:rsid w:val="00E45A61"/>
    <w:rPr>
      <w:b/>
      <w:bCs/>
    </w:rPr>
  </w:style>
  <w:style w:type="character" w:styleId="Hipervnculo">
    <w:name w:val="Hyperlink"/>
    <w:basedOn w:val="Fuentedeprrafopredeter"/>
    <w:uiPriority w:val="99"/>
    <w:unhideWhenUsed/>
    <w:rsid w:val="00E45A61"/>
    <w:rPr>
      <w:color w:val="0000FF" w:themeColor="hyperlink"/>
      <w:u w:val="single"/>
    </w:rPr>
  </w:style>
  <w:style w:type="paragraph" w:customStyle="1" w:styleId="parrafo1">
    <w:name w:val="parrafo1"/>
    <w:basedOn w:val="Normal"/>
    <w:rsid w:val="00E45A61"/>
    <w:pPr>
      <w:spacing w:before="180" w:after="180"/>
      <w:ind w:firstLine="360"/>
      <w:jc w:val="both"/>
    </w:pPr>
    <w:rPr>
      <w:sz w:val="24"/>
      <w:szCs w:val="24"/>
    </w:rPr>
  </w:style>
  <w:style w:type="paragraph" w:styleId="TtulodeTDC">
    <w:name w:val="TOC Heading"/>
    <w:basedOn w:val="Ttulo1"/>
    <w:next w:val="Normal"/>
    <w:uiPriority w:val="39"/>
    <w:unhideWhenUsed/>
    <w:qFormat/>
    <w:rsid w:val="00E45A61"/>
    <w:pPr>
      <w:keepLines/>
      <w:spacing w:before="480" w:line="276" w:lineRule="auto"/>
      <w:outlineLvl w:val="9"/>
    </w:pPr>
    <w:rPr>
      <w:rFonts w:asciiTheme="majorHAnsi" w:eastAsiaTheme="majorEastAsia" w:hAnsiTheme="majorHAnsi" w:cstheme="majorBidi"/>
      <w:b/>
      <w:bCs/>
      <w:outline w:val="0"/>
      <w:color w:val="365F91" w:themeColor="accent1" w:themeShade="BF"/>
      <w:sz w:val="28"/>
      <w:szCs w:val="28"/>
      <w:lang w:eastAsia="en-US"/>
    </w:rPr>
  </w:style>
  <w:style w:type="paragraph" w:styleId="TDC1">
    <w:name w:val="toc 1"/>
    <w:basedOn w:val="Normal"/>
    <w:next w:val="Normal"/>
    <w:autoRedefine/>
    <w:uiPriority w:val="39"/>
    <w:unhideWhenUsed/>
    <w:rsid w:val="00E45A61"/>
    <w:pPr>
      <w:tabs>
        <w:tab w:val="left" w:pos="440"/>
        <w:tab w:val="right" w:leader="dot" w:pos="8494"/>
      </w:tabs>
      <w:spacing w:after="100" w:line="256" w:lineRule="auto"/>
      <w:jc w:val="both"/>
    </w:pPr>
    <w:rPr>
      <w:rFonts w:asciiTheme="minorHAnsi" w:eastAsiaTheme="minorHAnsi" w:hAnsiTheme="minorHAnsi" w:cstheme="minorBidi"/>
      <w:sz w:val="22"/>
      <w:szCs w:val="22"/>
      <w:lang w:eastAsia="en-US"/>
    </w:rPr>
  </w:style>
  <w:style w:type="paragraph" w:styleId="TDC2">
    <w:name w:val="toc 2"/>
    <w:basedOn w:val="Normal"/>
    <w:next w:val="Normal"/>
    <w:autoRedefine/>
    <w:uiPriority w:val="39"/>
    <w:unhideWhenUsed/>
    <w:rsid w:val="00E45A61"/>
    <w:pPr>
      <w:spacing w:after="100" w:line="256" w:lineRule="auto"/>
      <w:ind w:left="220"/>
    </w:pPr>
    <w:rPr>
      <w:rFonts w:asciiTheme="minorHAnsi" w:eastAsiaTheme="minorHAnsi" w:hAnsiTheme="minorHAnsi" w:cstheme="minorBidi"/>
      <w:sz w:val="22"/>
      <w:szCs w:val="22"/>
      <w:lang w:eastAsia="en-US"/>
    </w:rPr>
  </w:style>
  <w:style w:type="paragraph" w:styleId="TDC3">
    <w:name w:val="toc 3"/>
    <w:basedOn w:val="Normal"/>
    <w:next w:val="Normal"/>
    <w:autoRedefine/>
    <w:uiPriority w:val="39"/>
    <w:unhideWhenUsed/>
    <w:rsid w:val="00E45A61"/>
    <w:pPr>
      <w:spacing w:after="100" w:line="256" w:lineRule="auto"/>
      <w:ind w:left="440"/>
    </w:pPr>
    <w:rPr>
      <w:rFonts w:asciiTheme="minorHAnsi" w:eastAsiaTheme="minorHAnsi" w:hAnsiTheme="minorHAnsi" w:cstheme="minorBidi"/>
      <w:sz w:val="22"/>
      <w:szCs w:val="22"/>
      <w:lang w:eastAsia="en-US"/>
    </w:rPr>
  </w:style>
  <w:style w:type="paragraph" w:styleId="Encabezado">
    <w:name w:val="header"/>
    <w:basedOn w:val="Normal"/>
    <w:link w:val="EncabezadoCar"/>
    <w:unhideWhenUsed/>
    <w:rsid w:val="00E45A61"/>
    <w:pPr>
      <w:tabs>
        <w:tab w:val="center" w:pos="4252"/>
        <w:tab w:val="right" w:pos="8504"/>
      </w:tabs>
    </w:pPr>
  </w:style>
  <w:style w:type="character" w:customStyle="1" w:styleId="EncabezadoCar">
    <w:name w:val="Encabezado Car"/>
    <w:basedOn w:val="Fuentedeprrafopredeter"/>
    <w:link w:val="Encabezado"/>
    <w:rsid w:val="00E45A61"/>
  </w:style>
  <w:style w:type="paragraph" w:styleId="Piedepgina">
    <w:name w:val="footer"/>
    <w:basedOn w:val="Normal"/>
    <w:link w:val="PiedepginaCar"/>
    <w:uiPriority w:val="99"/>
    <w:unhideWhenUsed/>
    <w:rsid w:val="00E45A61"/>
    <w:pPr>
      <w:tabs>
        <w:tab w:val="center" w:pos="4252"/>
        <w:tab w:val="right" w:pos="8504"/>
      </w:tabs>
    </w:pPr>
  </w:style>
  <w:style w:type="character" w:customStyle="1" w:styleId="PiedepginaCar">
    <w:name w:val="Pie de página Car"/>
    <w:basedOn w:val="Fuentedeprrafopredeter"/>
    <w:link w:val="Piedepgina"/>
    <w:uiPriority w:val="99"/>
    <w:rsid w:val="00E45A6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file:///C:\Users\User\Desktop\PORTADA%20Y%20RESUMEN.doc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file:///C:\Users\User\Desktop\PORTADA%20Y%20RESUMEN.docx" TargetMode="External"/><Relationship Id="rId4" Type="http://schemas.openxmlformats.org/officeDocument/2006/relationships/settings" Target="settings.xml"/><Relationship Id="rId9" Type="http://schemas.openxmlformats.org/officeDocument/2006/relationships/hyperlink" Target="file:///C:\Users\User\Desktop\PORTADA%20Y%20RESUMEN.docx" TargetMode="Externa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ipyme.org/publicaciones/retrato-pyme-dirce-1-enero-2016.pdf" TargetMode="External"/><Relationship Id="rId3" Type="http://schemas.openxmlformats.org/officeDocument/2006/relationships/hyperlink" Target="http://www.inmujer.gob.es/areasTematicas/estudios/serieEstudios/docs/diferenciaYDiscriminacion.pdf" TargetMode="External"/><Relationship Id="rId7" Type="http://schemas.openxmlformats.org/officeDocument/2006/relationships/hyperlink" Target="http://www.ine.es/prensa/np996.pdf" TargetMode="External"/><Relationship Id="rId2" Type="http://schemas.openxmlformats.org/officeDocument/2006/relationships/hyperlink" Target="http://www.ine.es/jaxiT3/Tabla.htm?t=4247" TargetMode="External"/><Relationship Id="rId1" Type="http://schemas.openxmlformats.org/officeDocument/2006/relationships/hyperlink" Target="http://www.ine.es/jaxiT3/Datos.htm?t=4247" TargetMode="External"/><Relationship Id="rId6" Type="http://schemas.openxmlformats.org/officeDocument/2006/relationships/hyperlink" Target="https://www.weforum.org/es/agenda/2015/11/informe-global-de-la-brecha-de-genero-2015/" TargetMode="External"/><Relationship Id="rId11" Type="http://schemas.openxmlformats.org/officeDocument/2006/relationships/hyperlink" Target="http://www.ugt-andalucia.com/c/document_library/get_file?uuid=328fdbb9-7915-4b61-bdcf-ff438904b12e&amp;groupId=10157" TargetMode="External"/><Relationship Id="rId5" Type="http://schemas.openxmlformats.org/officeDocument/2006/relationships/hyperlink" Target="http://reports.weforum.org/global-gender-gap-report-2016/economies/" TargetMode="External"/><Relationship Id="rId10" Type="http://schemas.openxmlformats.org/officeDocument/2006/relationships/hyperlink" Target="http://www.ugt.es/Publicaciones/Informe%20Brecha%20Salarial-22feb2017-OK.PDF" TargetMode="External"/><Relationship Id="rId4" Type="http://schemas.openxmlformats.org/officeDocument/2006/relationships/hyperlink" Target="http://reports.weforum.org/global-gender-gap-report-2016/the-global-gender-gap-report-2016/" TargetMode="External"/><Relationship Id="rId9" Type="http://schemas.openxmlformats.org/officeDocument/2006/relationships/hyperlink" Target="http://www.inmujer.gob.es/MujerCifras/Conciliacion/ExcedPermisos.htm"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58</Pages>
  <Words>18488</Words>
  <Characters>101688</Characters>
  <Application>Microsoft Office Word</Application>
  <DocSecurity>0</DocSecurity>
  <Lines>847</Lines>
  <Paragraphs>239</Paragraphs>
  <ScaleCrop>false</ScaleCrop>
  <HeadingPairs>
    <vt:vector size="2" baseType="variant">
      <vt:variant>
        <vt:lpstr>Título</vt:lpstr>
      </vt:variant>
      <vt:variant>
        <vt:i4>1</vt:i4>
      </vt:variant>
    </vt:vector>
  </HeadingPairs>
  <TitlesOfParts>
    <vt:vector size="1" baseType="lpstr">
      <vt:lpstr>Portada TFG</vt:lpstr>
    </vt:vector>
  </TitlesOfParts>
  <Company>Universidad de Jaén</Company>
  <LinksUpToDate>false</LinksUpToDate>
  <CharactersWithSpaces>119937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 TFG</dc:title>
  <dc:creator>UJA</dc:creator>
  <cp:keywords>Portada TFG</cp:keywords>
  <cp:lastModifiedBy>jose karlos gomez martin</cp:lastModifiedBy>
  <cp:revision>5</cp:revision>
  <cp:lastPrinted>2014-04-29T09:22:00Z</cp:lastPrinted>
  <dcterms:created xsi:type="dcterms:W3CDTF">2017-06-27T16:09:00Z</dcterms:created>
  <dcterms:modified xsi:type="dcterms:W3CDTF">2017-06-29T10:36:00Z</dcterms:modified>
</cp:coreProperties>
</file>