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3FBD" w:rsidRDefault="003B40A4" w:rsidP="003B40A4">
      <w:pPr>
        <w:spacing w:line="360" w:lineRule="auto"/>
        <w:jc w:val="center"/>
        <w:rPr>
          <w:rFonts w:ascii="Times New Roman" w:hAnsi="Times New Roman" w:cs="Times New Roman"/>
          <w:b/>
          <w:sz w:val="24"/>
          <w:u w:val="single"/>
        </w:rPr>
      </w:pPr>
      <w:r w:rsidRPr="003B40A4">
        <w:rPr>
          <w:rFonts w:ascii="Times New Roman" w:hAnsi="Times New Roman" w:cs="Times New Roman"/>
          <w:b/>
          <w:sz w:val="24"/>
          <w:u w:val="single"/>
        </w:rPr>
        <w:t>NUEVOS MODELOS PARA LA SOLUCIÓN DE CONFLICTOS INTERNACIONALES: APLICACIÓN DE LA MEDIACIÓN AL CONTENCIOSO DIPLOMÁTICO ENTRE ESPAÑA Y REINO UNIDO SOBRE EL TERRITORIO DE GIBRALTAR. LA BÚSQUEDA DE UN NUEVO MODELO EN LA UNIÓN EUROPEA</w:t>
      </w:r>
    </w:p>
    <w:p w:rsidR="003B40A4" w:rsidRDefault="003B40A4" w:rsidP="003B40A4">
      <w:pPr>
        <w:spacing w:line="360" w:lineRule="auto"/>
        <w:jc w:val="center"/>
        <w:rPr>
          <w:rFonts w:ascii="Times New Roman" w:hAnsi="Times New Roman" w:cs="Times New Roman"/>
          <w:b/>
          <w:sz w:val="24"/>
          <w:u w:val="single"/>
        </w:rPr>
      </w:pP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310DE6">
        <w:rPr>
          <w:rFonts w:ascii="Times New Roman" w:hAnsi="Times New Roman" w:cs="Times New Roman"/>
          <w:sz w:val="24"/>
          <w:szCs w:val="24"/>
        </w:rPr>
        <w:t>INTRODUCCIÓN: LOS MODELOS CLÁSICOS DE ARREGLOS PACÍFICOS DE CONTROVERSIAS</w:t>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Es objeto central del presente Trabajo Fin de Grado el estudio de los nuevos modelos para la solución de conflictos internacionales, tanto en su alcance y contenido, como en su proyección exterior. Planteo como criterio de estudio de esta disertación la solución de conflictos no sólo desde una óptica teórica, sino práctica mediante el análisis de un conflicto internacional tan cercano y de tan notoria actualidad como lo es el disputado entre el Reino de España y el </w:t>
      </w:r>
      <w:r w:rsidRPr="007D51E2">
        <w:rPr>
          <w:rFonts w:ascii="Times New Roman" w:hAnsi="Times New Roman" w:cs="Times New Roman"/>
          <w:sz w:val="24"/>
          <w:szCs w:val="24"/>
        </w:rPr>
        <w:t>Reino Unido de Gran Bretaña e Irlanda del Norte</w:t>
      </w:r>
      <w:r>
        <w:rPr>
          <w:rFonts w:ascii="Times New Roman" w:hAnsi="Times New Roman" w:cs="Times New Roman"/>
          <w:sz w:val="24"/>
          <w:szCs w:val="24"/>
        </w:rPr>
        <w:t xml:space="preserve"> por el Territorio de Gibraltar.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No cabe duda de que a lo largo de la historia de la humanidad ha existido multiplicidad de conflictos o diferencias internacionales, tanto pacíficos </w:t>
      </w:r>
      <w:r w:rsidR="00585469">
        <w:rPr>
          <w:rFonts w:ascii="Times New Roman" w:hAnsi="Times New Roman" w:cs="Times New Roman"/>
          <w:sz w:val="24"/>
          <w:szCs w:val="24"/>
        </w:rPr>
        <w:t xml:space="preserve">como aquellos </w:t>
      </w:r>
      <w:r>
        <w:rPr>
          <w:rFonts w:ascii="Times New Roman" w:hAnsi="Times New Roman" w:cs="Times New Roman"/>
          <w:sz w:val="24"/>
          <w:szCs w:val="24"/>
        </w:rPr>
        <w:t>en los que se ha empleado el uso de la fuerza. Ante estas divergencias, la doctrina del Derecho internacional diferenció entre medios de solución pacíficos y no pacíficos de controversias</w:t>
      </w:r>
      <w:r>
        <w:rPr>
          <w:rStyle w:val="Refdenotaalpie"/>
          <w:rFonts w:ascii="Times New Roman" w:hAnsi="Times New Roman" w:cs="Times New Roman"/>
          <w:sz w:val="24"/>
          <w:szCs w:val="24"/>
        </w:rPr>
        <w:footnoteReference w:id="1"/>
      </w:r>
      <w:r>
        <w:rPr>
          <w:rFonts w:ascii="Times New Roman" w:hAnsi="Times New Roman" w:cs="Times New Roman"/>
          <w:sz w:val="24"/>
          <w:szCs w:val="24"/>
        </w:rPr>
        <w:t xml:space="preserve">, ante la concepción del uso de la fuerza en el pasado como vía lícita de arreglo. Una vez proscrito el uso de la fuerza por el Derecho internacional por la evolución del Derecho internacional, iniciada desde las Conferencias de la Haya de </w:t>
      </w:r>
      <w:r w:rsidRPr="00971F0F">
        <w:rPr>
          <w:rFonts w:ascii="Times New Roman" w:hAnsi="Times New Roman" w:cs="Times New Roman"/>
          <w:sz w:val="24"/>
          <w:szCs w:val="24"/>
        </w:rPr>
        <w:t>1899 y 1907</w:t>
      </w:r>
      <w:r>
        <w:rPr>
          <w:rFonts w:ascii="Times New Roman" w:hAnsi="Times New Roman" w:cs="Times New Roman"/>
          <w:sz w:val="24"/>
          <w:szCs w:val="24"/>
        </w:rPr>
        <w:t>,</w:t>
      </w:r>
      <w:r w:rsidR="00585469">
        <w:rPr>
          <w:rFonts w:ascii="Times New Roman" w:hAnsi="Times New Roman" w:cs="Times New Roman"/>
          <w:sz w:val="24"/>
          <w:szCs w:val="24"/>
        </w:rPr>
        <w:t xml:space="preserve"> seguida con </w:t>
      </w:r>
      <w:r w:rsidR="006212C3">
        <w:rPr>
          <w:rFonts w:ascii="Times New Roman" w:hAnsi="Times New Roman" w:cs="Times New Roman"/>
          <w:sz w:val="24"/>
          <w:szCs w:val="24"/>
        </w:rPr>
        <w:t>la firma del</w:t>
      </w:r>
      <w:r w:rsidR="00585469">
        <w:rPr>
          <w:rFonts w:ascii="Times New Roman" w:hAnsi="Times New Roman" w:cs="Times New Roman"/>
          <w:sz w:val="24"/>
          <w:szCs w:val="24"/>
        </w:rPr>
        <w:t xml:space="preserve"> Pacto Briand-Kellog en París el</w:t>
      </w:r>
      <w:r w:rsidR="00585469" w:rsidRPr="00585469">
        <w:t xml:space="preserve"> </w:t>
      </w:r>
      <w:r w:rsidR="00585469" w:rsidRPr="00585469">
        <w:rPr>
          <w:rFonts w:ascii="Times New Roman" w:hAnsi="Times New Roman" w:cs="Times New Roman"/>
          <w:sz w:val="24"/>
          <w:szCs w:val="24"/>
        </w:rPr>
        <w:t>27 de agosto de 1928</w:t>
      </w:r>
      <w:r>
        <w:rPr>
          <w:rFonts w:ascii="Times New Roman" w:hAnsi="Times New Roman" w:cs="Times New Roman"/>
          <w:sz w:val="24"/>
          <w:szCs w:val="24"/>
        </w:rPr>
        <w:t xml:space="preserve"> y con la abstención del recurso a la amenaza o uso de la fuerza del artículo 2.4 de la Carta de Naciones Unidas, se consolida el recurso a los medios pacíficos siempre que no se ponga en peligro </w:t>
      </w:r>
      <w:r w:rsidRPr="0046522C">
        <w:rPr>
          <w:rFonts w:ascii="Times New Roman" w:hAnsi="Times New Roman" w:cs="Times New Roman"/>
          <w:sz w:val="24"/>
          <w:szCs w:val="24"/>
        </w:rPr>
        <w:t>ni la paz y la seguridad internacionales ni la justicia</w:t>
      </w:r>
      <w:r>
        <w:rPr>
          <w:rFonts w:ascii="Times New Roman" w:hAnsi="Times New Roman" w:cs="Times New Roman"/>
          <w:sz w:val="24"/>
          <w:szCs w:val="24"/>
        </w:rPr>
        <w:t xml:space="preserve"> (art. 2.3 de la citada Carta), obligación extensible a todos los Estados miembros de la organización. </w:t>
      </w:r>
    </w:p>
    <w:p w:rsidR="00B973ED"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Una interpretación más actualizada lleva a la diferenciación doctrinal entre medios diplomáticos y jurídicos, tomando como referencia la intervención de órganos de relaciones internacionales en los medios diplomáticos, como los estatales, en los que el objetivo principal no es la solución de fondo sino aumentar las facilidades de solución estimulando un </w:t>
      </w:r>
      <w:r>
        <w:rPr>
          <w:rFonts w:ascii="Times New Roman" w:hAnsi="Times New Roman" w:cs="Times New Roman"/>
          <w:sz w:val="24"/>
          <w:szCs w:val="24"/>
        </w:rPr>
        <w:lastRenderedPageBreak/>
        <w:t xml:space="preserve">acuerdo amistoso, y por otro lado los judiciales en los que las partes se someten voluntariamente a un órgano, ya sea preexistente o </w:t>
      </w:r>
      <w:r w:rsidRPr="004B6F89">
        <w:rPr>
          <w:rFonts w:ascii="Times New Roman" w:hAnsi="Times New Roman" w:cs="Times New Roman"/>
          <w:i/>
          <w:sz w:val="24"/>
          <w:szCs w:val="24"/>
        </w:rPr>
        <w:t>ad hoc</w:t>
      </w:r>
      <w:r>
        <w:rPr>
          <w:rFonts w:ascii="Times New Roman" w:hAnsi="Times New Roman" w:cs="Times New Roman"/>
          <w:sz w:val="24"/>
          <w:szCs w:val="24"/>
        </w:rPr>
        <w:t>, para que preste una solución ya sea o bien aplicando derecho o por medio de la equidad</w:t>
      </w:r>
      <w:r>
        <w:rPr>
          <w:rStyle w:val="Refdenotaalpie"/>
          <w:rFonts w:ascii="Times New Roman" w:hAnsi="Times New Roman" w:cs="Times New Roman"/>
          <w:sz w:val="24"/>
          <w:szCs w:val="24"/>
        </w:rPr>
        <w:footnoteReference w:id="2"/>
      </w:r>
      <w:r>
        <w:rPr>
          <w:rFonts w:ascii="Times New Roman" w:hAnsi="Times New Roman" w:cs="Times New Roman"/>
          <w:sz w:val="24"/>
          <w:szCs w:val="24"/>
        </w:rPr>
        <w:t xml:space="preserve">. </w:t>
      </w:r>
    </w:p>
    <w:p w:rsidR="003B40A4" w:rsidRDefault="00B973ED"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Las vías</w:t>
      </w:r>
      <w:r w:rsidR="003B40A4">
        <w:rPr>
          <w:rFonts w:ascii="Times New Roman" w:hAnsi="Times New Roman" w:cs="Times New Roman"/>
          <w:sz w:val="24"/>
          <w:szCs w:val="24"/>
        </w:rPr>
        <w:t xml:space="preserve"> </w:t>
      </w:r>
      <w:r>
        <w:rPr>
          <w:rFonts w:ascii="Times New Roman" w:hAnsi="Times New Roman" w:cs="Times New Roman"/>
          <w:sz w:val="24"/>
          <w:szCs w:val="24"/>
        </w:rPr>
        <w:t xml:space="preserve">de solución de controversias, tanto diplomáticas como jurídicas, </w:t>
      </w:r>
      <w:r w:rsidR="003B40A4">
        <w:rPr>
          <w:rFonts w:ascii="Times New Roman" w:hAnsi="Times New Roman" w:cs="Times New Roman"/>
          <w:sz w:val="24"/>
          <w:szCs w:val="24"/>
        </w:rPr>
        <w:t xml:space="preserve">se </w:t>
      </w:r>
      <w:r>
        <w:rPr>
          <w:rFonts w:ascii="Times New Roman" w:hAnsi="Times New Roman" w:cs="Times New Roman"/>
          <w:sz w:val="24"/>
          <w:szCs w:val="24"/>
        </w:rPr>
        <w:t>encuentran establecidas</w:t>
      </w:r>
      <w:r w:rsidR="003B40A4">
        <w:rPr>
          <w:rFonts w:ascii="Times New Roman" w:hAnsi="Times New Roman" w:cs="Times New Roman"/>
          <w:sz w:val="24"/>
          <w:szCs w:val="24"/>
        </w:rPr>
        <w:t xml:space="preserve"> en el artículo 33.1 de la Carta de Naciones Unidas</w:t>
      </w:r>
      <w:r>
        <w:rPr>
          <w:rStyle w:val="Refdenotaalpie"/>
          <w:rFonts w:ascii="Times New Roman" w:hAnsi="Times New Roman" w:cs="Times New Roman"/>
          <w:sz w:val="24"/>
          <w:szCs w:val="24"/>
        </w:rPr>
        <w:footnoteReference w:id="3"/>
      </w:r>
      <w:r w:rsidR="003B40A4">
        <w:rPr>
          <w:rFonts w:ascii="Times New Roman" w:hAnsi="Times New Roman" w:cs="Times New Roman"/>
          <w:sz w:val="24"/>
          <w:szCs w:val="24"/>
        </w:rPr>
        <w:t xml:space="preserve">. Dentro de los medios diplomáticos cabe destacar las </w:t>
      </w:r>
      <w:r w:rsidR="003B40A4" w:rsidRPr="00A1460A">
        <w:rPr>
          <w:rFonts w:ascii="Times New Roman" w:hAnsi="Times New Roman" w:cs="Times New Roman"/>
          <w:sz w:val="24"/>
          <w:szCs w:val="24"/>
        </w:rPr>
        <w:t xml:space="preserve">negociaciones diplomáticas, </w:t>
      </w:r>
      <w:r w:rsidR="003B40A4">
        <w:rPr>
          <w:rFonts w:ascii="Times New Roman" w:hAnsi="Times New Roman" w:cs="Times New Roman"/>
          <w:sz w:val="24"/>
          <w:szCs w:val="24"/>
        </w:rPr>
        <w:t xml:space="preserve">los </w:t>
      </w:r>
      <w:r w:rsidR="003B40A4" w:rsidRPr="00A1460A">
        <w:rPr>
          <w:rFonts w:ascii="Times New Roman" w:hAnsi="Times New Roman" w:cs="Times New Roman"/>
          <w:sz w:val="24"/>
          <w:szCs w:val="24"/>
        </w:rPr>
        <w:t xml:space="preserve">buenos oficios, </w:t>
      </w:r>
      <w:r w:rsidR="003B40A4">
        <w:rPr>
          <w:rFonts w:ascii="Times New Roman" w:hAnsi="Times New Roman" w:cs="Times New Roman"/>
          <w:sz w:val="24"/>
          <w:szCs w:val="24"/>
        </w:rPr>
        <w:t xml:space="preserve">la </w:t>
      </w:r>
      <w:r w:rsidR="003B40A4" w:rsidRPr="00A1460A">
        <w:rPr>
          <w:rFonts w:ascii="Times New Roman" w:hAnsi="Times New Roman" w:cs="Times New Roman"/>
          <w:sz w:val="24"/>
          <w:szCs w:val="24"/>
        </w:rPr>
        <w:t xml:space="preserve">mediación, </w:t>
      </w:r>
      <w:r w:rsidR="003B40A4">
        <w:rPr>
          <w:rFonts w:ascii="Times New Roman" w:hAnsi="Times New Roman" w:cs="Times New Roman"/>
          <w:sz w:val="24"/>
          <w:szCs w:val="24"/>
        </w:rPr>
        <w:t xml:space="preserve">las </w:t>
      </w:r>
      <w:r w:rsidR="003B40A4" w:rsidRPr="00A1460A">
        <w:rPr>
          <w:rFonts w:ascii="Times New Roman" w:hAnsi="Times New Roman" w:cs="Times New Roman"/>
          <w:sz w:val="24"/>
          <w:szCs w:val="24"/>
        </w:rPr>
        <w:t>comisiones de investigación</w:t>
      </w:r>
      <w:r w:rsidR="003B40A4">
        <w:rPr>
          <w:rFonts w:ascii="Times New Roman" w:hAnsi="Times New Roman" w:cs="Times New Roman"/>
          <w:sz w:val="24"/>
          <w:szCs w:val="24"/>
        </w:rPr>
        <w:t>, la conciliación y e</w:t>
      </w:r>
      <w:r w:rsidR="003B40A4" w:rsidRPr="00C41B61">
        <w:rPr>
          <w:rFonts w:ascii="Times New Roman" w:hAnsi="Times New Roman" w:cs="Times New Roman"/>
          <w:sz w:val="24"/>
          <w:szCs w:val="24"/>
        </w:rPr>
        <w:t>l recurso a organismos o acuerdos regionales</w:t>
      </w:r>
      <w:r w:rsidR="003B40A4">
        <w:rPr>
          <w:rStyle w:val="Refdenotaalpie"/>
          <w:rFonts w:ascii="Times New Roman" w:hAnsi="Times New Roman" w:cs="Times New Roman"/>
          <w:sz w:val="24"/>
          <w:szCs w:val="24"/>
        </w:rPr>
        <w:footnoteReference w:id="4"/>
      </w:r>
      <w:r w:rsidR="003B40A4" w:rsidRPr="00A1460A">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Las negociaciones diplomáticas consisten en el entendimiento directo de las partes en un conflicto o diferencia, para llegar a un acuerdo entre las mismas partes, bien sea mediante servicios diplomáticos o en el contexto de una Conferencia Internacional; teniendo como características la inmediatez y la no necesidad de formalismos</w:t>
      </w:r>
      <w:r w:rsidR="00B60D3F">
        <w:rPr>
          <w:rFonts w:ascii="Times New Roman" w:hAnsi="Times New Roman" w:cs="Times New Roman"/>
          <w:sz w:val="24"/>
          <w:szCs w:val="24"/>
        </w:rPr>
        <w:t xml:space="preserve"> de carácter jurídico</w:t>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Los buenos oficios se basan en la intervención de un tercero, que actúa como intermediario sin proponer ninguna solución entre las partes, como acción amistosa</w:t>
      </w:r>
      <w:r>
        <w:rPr>
          <w:rStyle w:val="Refdenotaalpie"/>
          <w:rFonts w:ascii="Times New Roman" w:hAnsi="Times New Roman" w:cs="Times New Roman"/>
          <w:sz w:val="24"/>
          <w:szCs w:val="24"/>
        </w:rPr>
        <w:footnoteReference w:id="5"/>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Por otra parte la mediación comparte con los buenos oficios la intervención de un tercero, con la diferencia de que el mediador interviene proponiendo una solución, no teniendo las partes la obligación de someterse a la misma.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La investigación internacional consiste en establecer la materialidad de los hechos o el origen del conflicto, facilitando la solución y esclareciendo de forma imparcial las cuestiones de hecho</w:t>
      </w:r>
      <w:r>
        <w:rPr>
          <w:rStyle w:val="Refdenotaalpie"/>
          <w:rFonts w:ascii="Times New Roman" w:hAnsi="Times New Roman" w:cs="Times New Roman"/>
          <w:sz w:val="24"/>
          <w:szCs w:val="24"/>
        </w:rPr>
        <w:footnoteReference w:id="6"/>
      </w:r>
      <w:r w:rsidR="00853CA5">
        <w:rPr>
          <w:rFonts w:ascii="Times New Roman" w:hAnsi="Times New Roman" w:cs="Times New Roman"/>
          <w:sz w:val="24"/>
          <w:szCs w:val="24"/>
        </w:rPr>
        <w:t>. Aunque se puede explicar</w:t>
      </w:r>
      <w:r w:rsidR="002D06E4">
        <w:rPr>
          <w:rFonts w:ascii="Times New Roman" w:hAnsi="Times New Roman" w:cs="Times New Roman"/>
          <w:sz w:val="24"/>
          <w:szCs w:val="24"/>
        </w:rPr>
        <w:t xml:space="preserve"> las causas</w:t>
      </w:r>
      <w:r>
        <w:rPr>
          <w:rFonts w:ascii="Times New Roman" w:hAnsi="Times New Roman" w:cs="Times New Roman"/>
          <w:sz w:val="24"/>
          <w:szCs w:val="24"/>
        </w:rPr>
        <w:t xml:space="preserve"> a las partes del conflicto, no se propone ninguna solución. Tan sólo se limita a la aclaración fáctica.</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La conciliación internacional es la intervención en el arreglo de un conflicto internacional de un órgano encargado de examinar todos los aspectos del litigio para proponer </w:t>
      </w:r>
      <w:r>
        <w:rPr>
          <w:rFonts w:ascii="Times New Roman" w:hAnsi="Times New Roman" w:cs="Times New Roman"/>
          <w:sz w:val="24"/>
          <w:szCs w:val="24"/>
        </w:rPr>
        <w:lastRenderedPageBreak/>
        <w:t>una solución al conflicto. Dicha solución no tendrá en ningún modo carácter vinculante para las partes de la controversia</w:t>
      </w:r>
      <w:r>
        <w:rPr>
          <w:rStyle w:val="Refdenotaalpie"/>
          <w:rFonts w:ascii="Times New Roman" w:hAnsi="Times New Roman" w:cs="Times New Roman"/>
          <w:sz w:val="24"/>
          <w:szCs w:val="24"/>
        </w:rPr>
        <w:footnoteReference w:id="7"/>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El recurso a </w:t>
      </w:r>
      <w:r w:rsidRPr="00C41B61">
        <w:rPr>
          <w:rFonts w:ascii="Times New Roman" w:hAnsi="Times New Roman" w:cs="Times New Roman"/>
          <w:sz w:val="24"/>
          <w:szCs w:val="24"/>
        </w:rPr>
        <w:t>organismos o acuerdos regionales</w:t>
      </w:r>
      <w:r>
        <w:rPr>
          <w:rFonts w:ascii="Times New Roman" w:hAnsi="Times New Roman" w:cs="Times New Roman"/>
          <w:sz w:val="24"/>
          <w:szCs w:val="24"/>
        </w:rPr>
        <w:t xml:space="preserve"> supone acudir a una organización internacional en la que está</w:t>
      </w:r>
      <w:r w:rsidR="003C50A6">
        <w:rPr>
          <w:rFonts w:ascii="Times New Roman" w:hAnsi="Times New Roman" w:cs="Times New Roman"/>
          <w:sz w:val="24"/>
          <w:szCs w:val="24"/>
        </w:rPr>
        <w:t>n integrados</w:t>
      </w:r>
      <w:r>
        <w:rPr>
          <w:rFonts w:ascii="Times New Roman" w:hAnsi="Times New Roman" w:cs="Times New Roman"/>
          <w:sz w:val="24"/>
          <w:szCs w:val="24"/>
        </w:rPr>
        <w:t xml:space="preserve"> los estados de una región en particular, que con frecuencia </w:t>
      </w:r>
      <w:r w:rsidRPr="00D53740">
        <w:rPr>
          <w:rFonts w:ascii="Times New Roman" w:hAnsi="Times New Roman" w:cs="Times New Roman"/>
          <w:sz w:val="24"/>
          <w:szCs w:val="24"/>
        </w:rPr>
        <w:t>se involucr</w:t>
      </w:r>
      <w:r>
        <w:rPr>
          <w:rFonts w:ascii="Times New Roman" w:hAnsi="Times New Roman" w:cs="Times New Roman"/>
          <w:sz w:val="24"/>
          <w:szCs w:val="24"/>
        </w:rPr>
        <w:t>an en la resolución de disputas de sus integrantes. Supone solucionar el conflicto en un entorno institucional, que proporciona la posibilidad de dar respuesta a la disputa con la intermediación de los vecinos regionales. La organización ofrecería estímulos, asistencia y daría presión como incentivos</w:t>
      </w:r>
      <w:r>
        <w:rPr>
          <w:rStyle w:val="Refdenotaalpie"/>
          <w:rFonts w:ascii="Times New Roman" w:hAnsi="Times New Roman" w:cs="Times New Roman"/>
          <w:sz w:val="24"/>
          <w:szCs w:val="24"/>
        </w:rPr>
        <w:footnoteReference w:id="8"/>
      </w:r>
      <w:r>
        <w:rPr>
          <w:rFonts w:ascii="Times New Roman" w:hAnsi="Times New Roman" w:cs="Times New Roman"/>
          <w:sz w:val="24"/>
          <w:szCs w:val="24"/>
        </w:rPr>
        <w:t xml:space="preserve">. Ejemplos de tales organizaciones son la Unión Europea, la Unión Africana, la </w:t>
      </w:r>
      <w:r w:rsidRPr="00F93958">
        <w:rPr>
          <w:rFonts w:ascii="Times New Roman" w:hAnsi="Times New Roman" w:cs="Times New Roman"/>
          <w:sz w:val="24"/>
          <w:szCs w:val="24"/>
        </w:rPr>
        <w:t>Organización de los Estados Americanos</w:t>
      </w:r>
      <w:r>
        <w:rPr>
          <w:rFonts w:ascii="Times New Roman" w:hAnsi="Times New Roman" w:cs="Times New Roman"/>
          <w:sz w:val="24"/>
          <w:szCs w:val="24"/>
        </w:rPr>
        <w:t xml:space="preserve">, o la </w:t>
      </w:r>
      <w:r w:rsidRPr="00F93958">
        <w:rPr>
          <w:rFonts w:ascii="Times New Roman" w:hAnsi="Times New Roman" w:cs="Times New Roman"/>
          <w:sz w:val="24"/>
          <w:szCs w:val="24"/>
        </w:rPr>
        <w:t>Organización para la Seguridad y la Cooperación en Europa</w:t>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A su vez dentro de los medios de arreglo judiciales encontramos el arreglo judicial y arbitraje.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El arbitraje supone someter una controversia entre sujetos de Derecho internacional a un tercero independiente para que adopte, tras un proceso contradictorio, una decisión, bien sea basada en derecho o en equidad (a elección de las partes), que deviene obligatoria para las partes</w:t>
      </w:r>
      <w:r>
        <w:rPr>
          <w:rStyle w:val="Refdenotaalpie"/>
          <w:rFonts w:ascii="Times New Roman" w:hAnsi="Times New Roman" w:cs="Times New Roman"/>
          <w:sz w:val="24"/>
          <w:szCs w:val="24"/>
        </w:rPr>
        <w:footnoteReference w:id="9"/>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El arreglo judicial es un medio de solución jurídica, basado en la intervención de órganos compuestos de jueces independientes a las partes de la controversia, que ejercen jurisdicción en el marco de sus competencias, normalmente de forma permanente, mediante un procedimiento judicial contradictorio y que resuelve la diferencia mediante una sentencia con carácter obligatorio para las partes en litigio</w:t>
      </w:r>
      <w:r>
        <w:rPr>
          <w:rStyle w:val="Refdenotaalpie"/>
          <w:rFonts w:ascii="Times New Roman" w:hAnsi="Times New Roman" w:cs="Times New Roman"/>
          <w:sz w:val="24"/>
          <w:szCs w:val="24"/>
        </w:rPr>
        <w:footnoteReference w:id="10"/>
      </w:r>
      <w:r>
        <w:rPr>
          <w:rFonts w:ascii="Times New Roman" w:hAnsi="Times New Roman" w:cs="Times New Roman"/>
          <w:sz w:val="24"/>
          <w:szCs w:val="24"/>
        </w:rPr>
        <w:t xml:space="preserve">. Dentro de los Tribunales Internacionales cabe señalar, a modo ejemplificativo, al Tribunal Internacional de Justicia, al Tribunal Internacional de Derecho del Mar, al Tribunal Europeo de Derechos Humanos, la Corte Interamericana de Derechos Humanos, la Corte Penal Internacional, o los distintos Tribunales de Justicia de la Unión Europea. </w:t>
      </w:r>
    </w:p>
    <w:p w:rsidR="003B40A4" w:rsidRPr="007D51E2"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431EE9">
        <w:rPr>
          <w:rFonts w:ascii="Times New Roman" w:hAnsi="Times New Roman" w:cs="Times New Roman"/>
          <w:sz w:val="24"/>
          <w:szCs w:val="24"/>
        </w:rPr>
        <w:t>El presente trabajo s</w:t>
      </w:r>
      <w:r>
        <w:rPr>
          <w:rFonts w:ascii="Times New Roman" w:hAnsi="Times New Roman" w:cs="Times New Roman"/>
          <w:sz w:val="24"/>
          <w:szCs w:val="24"/>
        </w:rPr>
        <w:t xml:space="preserve">e dividirá en </w:t>
      </w:r>
      <w:r w:rsidR="005E6E2D">
        <w:rPr>
          <w:rFonts w:ascii="Times New Roman" w:hAnsi="Times New Roman" w:cs="Times New Roman"/>
          <w:sz w:val="24"/>
          <w:szCs w:val="24"/>
        </w:rPr>
        <w:t>tres</w:t>
      </w:r>
      <w:r>
        <w:rPr>
          <w:rFonts w:ascii="Times New Roman" w:hAnsi="Times New Roman" w:cs="Times New Roman"/>
          <w:sz w:val="24"/>
          <w:szCs w:val="24"/>
        </w:rPr>
        <w:t xml:space="preserve"> capítulos: (i) el primero dedicado al estudio de la mediación internacional como instrumento </w:t>
      </w:r>
      <w:r w:rsidR="00431EE9">
        <w:rPr>
          <w:rFonts w:ascii="Times New Roman" w:hAnsi="Times New Roman" w:cs="Times New Roman"/>
          <w:sz w:val="24"/>
          <w:szCs w:val="24"/>
        </w:rPr>
        <w:t xml:space="preserve">concreto </w:t>
      </w:r>
      <w:r>
        <w:rPr>
          <w:rFonts w:ascii="Times New Roman" w:hAnsi="Times New Roman" w:cs="Times New Roman"/>
          <w:sz w:val="24"/>
          <w:szCs w:val="24"/>
        </w:rPr>
        <w:t xml:space="preserve">de solución pacífica de controversias así </w:t>
      </w:r>
      <w:r>
        <w:rPr>
          <w:rFonts w:ascii="Times New Roman" w:hAnsi="Times New Roman" w:cs="Times New Roman"/>
          <w:sz w:val="24"/>
          <w:szCs w:val="24"/>
        </w:rPr>
        <w:lastRenderedPageBreak/>
        <w:t xml:space="preserve">como su </w:t>
      </w:r>
      <w:r w:rsidR="00431EE9">
        <w:rPr>
          <w:rFonts w:ascii="Times New Roman" w:hAnsi="Times New Roman" w:cs="Times New Roman"/>
          <w:sz w:val="24"/>
          <w:szCs w:val="24"/>
        </w:rPr>
        <w:t>estatuto</w:t>
      </w:r>
      <w:r>
        <w:rPr>
          <w:rFonts w:ascii="Times New Roman" w:hAnsi="Times New Roman" w:cs="Times New Roman"/>
          <w:sz w:val="24"/>
          <w:szCs w:val="24"/>
        </w:rPr>
        <w:t xml:space="preserve"> jurídico, procedimiento y requisitos subjetivos del mediador;</w:t>
      </w:r>
      <w:r w:rsidR="005E6E2D">
        <w:rPr>
          <w:rFonts w:ascii="Times New Roman" w:hAnsi="Times New Roman" w:cs="Times New Roman"/>
          <w:sz w:val="24"/>
          <w:szCs w:val="24"/>
        </w:rPr>
        <w:t xml:space="preserve"> (ii) el segundo estudiará el contencioso de Gibraltar entre España y Reino Unido como ejemplo de conflicto internacional en sus tres principales dimensiones: la soberanía terrestre, la </w:t>
      </w:r>
      <w:r w:rsidR="005F4064">
        <w:rPr>
          <w:rFonts w:ascii="Times New Roman" w:hAnsi="Times New Roman" w:cs="Times New Roman"/>
          <w:sz w:val="24"/>
          <w:szCs w:val="24"/>
        </w:rPr>
        <w:t xml:space="preserve">soberanía </w:t>
      </w:r>
      <w:r w:rsidR="005E6E2D">
        <w:rPr>
          <w:rFonts w:ascii="Times New Roman" w:hAnsi="Times New Roman" w:cs="Times New Roman"/>
          <w:sz w:val="24"/>
          <w:szCs w:val="24"/>
        </w:rPr>
        <w:t xml:space="preserve">marítima y el </w:t>
      </w:r>
      <w:r w:rsidR="008761DE">
        <w:rPr>
          <w:rFonts w:ascii="Times New Roman" w:hAnsi="Times New Roman" w:cs="Times New Roman"/>
          <w:sz w:val="24"/>
          <w:szCs w:val="24"/>
        </w:rPr>
        <w:t xml:space="preserve">estatuto jurídico del territorio </w:t>
      </w:r>
      <w:r w:rsidR="005E6E2D">
        <w:rPr>
          <w:rFonts w:ascii="Times New Roman" w:hAnsi="Times New Roman" w:cs="Times New Roman"/>
          <w:sz w:val="24"/>
          <w:szCs w:val="24"/>
        </w:rPr>
        <w:t>en la Unión Europea</w:t>
      </w:r>
      <w:r w:rsidR="008761DE">
        <w:rPr>
          <w:rFonts w:ascii="Times New Roman" w:hAnsi="Times New Roman" w:cs="Times New Roman"/>
          <w:sz w:val="24"/>
          <w:szCs w:val="24"/>
        </w:rPr>
        <w:t>,</w:t>
      </w:r>
      <w:r>
        <w:rPr>
          <w:rFonts w:ascii="Times New Roman" w:hAnsi="Times New Roman" w:cs="Times New Roman"/>
          <w:sz w:val="24"/>
          <w:szCs w:val="24"/>
        </w:rPr>
        <w:t xml:space="preserve"> y (ii) el </w:t>
      </w:r>
      <w:r w:rsidR="008761DE">
        <w:rPr>
          <w:rFonts w:ascii="Times New Roman" w:hAnsi="Times New Roman" w:cs="Times New Roman"/>
          <w:sz w:val="24"/>
          <w:szCs w:val="24"/>
        </w:rPr>
        <w:t>tercero</w:t>
      </w:r>
      <w:r>
        <w:rPr>
          <w:rFonts w:ascii="Times New Roman" w:hAnsi="Times New Roman" w:cs="Times New Roman"/>
          <w:sz w:val="24"/>
          <w:szCs w:val="24"/>
        </w:rPr>
        <w:t xml:space="preserve"> orientado a la aplicación del modelo de la mediación al caso concreto del contencioso de Gibraltar, en la dimensión del estatuto jurídico del territorio en la Unión Europea y la intervención de la Unión como mediadora. </w:t>
      </w:r>
    </w:p>
    <w:p w:rsidR="003B40A4" w:rsidRPr="000B3C56" w:rsidRDefault="003B40A4" w:rsidP="003B40A4">
      <w:pPr>
        <w:spacing w:line="360" w:lineRule="auto"/>
        <w:jc w:val="both"/>
        <w:rPr>
          <w:rFonts w:ascii="Times New Roman" w:hAnsi="Times New Roman" w:cs="Times New Roman"/>
          <w:sz w:val="32"/>
          <w:szCs w:val="24"/>
        </w:rPr>
      </w:pPr>
      <w:r>
        <w:rPr>
          <w:rFonts w:ascii="Times New Roman" w:hAnsi="Times New Roman" w:cs="Times New Roman"/>
          <w:sz w:val="24"/>
          <w:szCs w:val="24"/>
        </w:rPr>
        <w:t xml:space="preserve">2. </w:t>
      </w:r>
      <w:r w:rsidRPr="000B3C56">
        <w:rPr>
          <w:rFonts w:ascii="Times New Roman" w:hAnsi="Times New Roman" w:cs="Times New Roman"/>
          <w:sz w:val="24"/>
          <w:szCs w:val="24"/>
        </w:rPr>
        <w:t xml:space="preserve">LA MEDIACIÓN. UN INSTRUMENTO DE SOLUCIÓN PACÍFICA DE CONTROVERSIAS PARA TENER EN CUENTA. </w:t>
      </w:r>
    </w:p>
    <w:p w:rsidR="003B40A4" w:rsidRPr="000B3C56"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2.1 </w:t>
      </w:r>
      <w:r w:rsidR="00431EE9">
        <w:rPr>
          <w:rFonts w:ascii="Times New Roman" w:hAnsi="Times New Roman" w:cs="Times New Roman"/>
          <w:sz w:val="24"/>
          <w:szCs w:val="24"/>
        </w:rPr>
        <w:t>ESTATUTO</w:t>
      </w:r>
      <w:r>
        <w:rPr>
          <w:rFonts w:ascii="Times New Roman" w:hAnsi="Times New Roman" w:cs="Times New Roman"/>
          <w:sz w:val="24"/>
          <w:szCs w:val="24"/>
        </w:rPr>
        <w:t xml:space="preserve"> JURÍDICO DE LA MEDIACIÓN COMO MÉTODO DE SOLUCIÓN DE CONFLICTOS.</w:t>
      </w:r>
      <w:r w:rsidRPr="000B3C56">
        <w:rPr>
          <w:rFonts w:ascii="Times New Roman" w:hAnsi="Times New Roman" w:cs="Times New Roman"/>
          <w:sz w:val="24"/>
          <w:szCs w:val="24"/>
        </w:rPr>
        <w:t xml:space="preserve"> </w:t>
      </w:r>
      <w:r w:rsidRPr="000B3C56">
        <w:rPr>
          <w:rFonts w:ascii="Times New Roman" w:hAnsi="Times New Roman" w:cs="Times New Roman"/>
          <w:sz w:val="24"/>
          <w:szCs w:val="24"/>
        </w:rPr>
        <w:tab/>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El estudio de la mediación </w:t>
      </w:r>
      <w:r w:rsidR="00A3585C">
        <w:rPr>
          <w:rFonts w:ascii="Times New Roman" w:hAnsi="Times New Roman" w:cs="Times New Roman"/>
          <w:sz w:val="24"/>
          <w:szCs w:val="24"/>
        </w:rPr>
        <w:t>ha de relacionarse con el estatuto</w:t>
      </w:r>
      <w:r>
        <w:rPr>
          <w:rFonts w:ascii="Times New Roman" w:hAnsi="Times New Roman" w:cs="Times New Roman"/>
          <w:sz w:val="24"/>
          <w:szCs w:val="24"/>
        </w:rPr>
        <w:t xml:space="preserve"> jurídico dado por el Derecho Internacional para la correcta consecución de sus fines. A lo largo de su historia legislativa se han </w:t>
      </w:r>
      <w:r w:rsidR="00506EED">
        <w:rPr>
          <w:rFonts w:ascii="Times New Roman" w:hAnsi="Times New Roman" w:cs="Times New Roman"/>
          <w:sz w:val="24"/>
          <w:szCs w:val="24"/>
        </w:rPr>
        <w:t>delimitado bajo</w:t>
      </w:r>
      <w:r>
        <w:rPr>
          <w:rFonts w:ascii="Times New Roman" w:hAnsi="Times New Roman" w:cs="Times New Roman"/>
          <w:sz w:val="24"/>
          <w:szCs w:val="24"/>
        </w:rPr>
        <w:t xml:space="preserve"> diversas formas y modalidades en las que se ha ido desarrollando paulatinamente el estatuto jurídico del mediador internacional.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Como indica el </w:t>
      </w:r>
      <w:r w:rsidR="00A47633">
        <w:rPr>
          <w:rFonts w:ascii="Times New Roman" w:hAnsi="Times New Roman" w:cs="Times New Roman"/>
          <w:sz w:val="24"/>
          <w:szCs w:val="24"/>
        </w:rPr>
        <w:t>D</w:t>
      </w:r>
      <w:r>
        <w:rPr>
          <w:rFonts w:ascii="Times New Roman" w:hAnsi="Times New Roman" w:cs="Times New Roman"/>
          <w:sz w:val="24"/>
          <w:szCs w:val="24"/>
        </w:rPr>
        <w:t>ocumento de la oficina de Asuntos Jurídicos de Naciones Unidas (</w:t>
      </w:r>
      <w:r w:rsidRPr="005977D2">
        <w:rPr>
          <w:rFonts w:ascii="Times New Roman" w:hAnsi="Times New Roman" w:cs="Times New Roman"/>
          <w:i/>
          <w:sz w:val="24"/>
          <w:szCs w:val="24"/>
        </w:rPr>
        <w:t>Handbook on the Peaceful Settlement of Disputes between States</w:t>
      </w:r>
      <w:r>
        <w:rPr>
          <w:rFonts w:ascii="Times New Roman" w:hAnsi="Times New Roman" w:cs="Times New Roman"/>
          <w:sz w:val="24"/>
          <w:szCs w:val="24"/>
        </w:rPr>
        <w:t>)</w:t>
      </w:r>
      <w:r>
        <w:rPr>
          <w:rStyle w:val="Refdenotaalpie"/>
          <w:rFonts w:ascii="Times New Roman" w:hAnsi="Times New Roman" w:cs="Times New Roman"/>
          <w:sz w:val="24"/>
          <w:szCs w:val="24"/>
        </w:rPr>
        <w:footnoteReference w:id="11"/>
      </w:r>
      <w:r>
        <w:rPr>
          <w:rFonts w:ascii="Times New Roman" w:hAnsi="Times New Roman" w:cs="Times New Roman"/>
          <w:sz w:val="24"/>
          <w:szCs w:val="24"/>
        </w:rPr>
        <w:t xml:space="preserve">, la mediación como método de solución de conflictos ha sido regulada por una variedad de documentos multilaterales desde las Conferencias de la Haya de 1899 y 1907. En concreto el </w:t>
      </w:r>
      <w:r w:rsidRPr="00B116C6">
        <w:rPr>
          <w:rFonts w:ascii="Times New Roman" w:hAnsi="Times New Roman" w:cs="Times New Roman"/>
          <w:sz w:val="24"/>
          <w:szCs w:val="24"/>
        </w:rPr>
        <w:t>Convenio para el Arreglo pacífico de los conflictos internacionales</w:t>
      </w:r>
      <w:r>
        <w:rPr>
          <w:rFonts w:ascii="Times New Roman" w:hAnsi="Times New Roman" w:cs="Times New Roman"/>
          <w:sz w:val="24"/>
          <w:szCs w:val="24"/>
        </w:rPr>
        <w:t xml:space="preserve"> de la Haya de 1907</w:t>
      </w:r>
      <w:r>
        <w:rPr>
          <w:rStyle w:val="Refdenotaalpie"/>
          <w:rFonts w:ascii="Times New Roman" w:hAnsi="Times New Roman" w:cs="Times New Roman"/>
          <w:sz w:val="24"/>
          <w:szCs w:val="24"/>
        </w:rPr>
        <w:footnoteReference w:id="12"/>
      </w:r>
      <w:r>
        <w:rPr>
          <w:rFonts w:ascii="Times New Roman" w:hAnsi="Times New Roman" w:cs="Times New Roman"/>
          <w:sz w:val="24"/>
          <w:szCs w:val="24"/>
        </w:rPr>
        <w:t xml:space="preserve"> regula la mediación, junto a los buenos oficios, en su Título II. El artículo 2 del Convenio indica que: “</w:t>
      </w:r>
      <w:r w:rsidRPr="00072934">
        <w:rPr>
          <w:rFonts w:ascii="Times New Roman" w:hAnsi="Times New Roman" w:cs="Times New Roman"/>
          <w:i/>
          <w:sz w:val="24"/>
          <w:szCs w:val="24"/>
        </w:rPr>
        <w:t>En caso de grave disentimiento o de conflicto, antes de convocar a las armas, las Potencias Contratantes acuerdan recurrir, tanto cuanto las circunstancias lo permitan, a los buenos oficios o a la mediación de una o de varias Potencias amigas</w:t>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La regulación de este precepto se extiende incluso a las situaciones de conflicto armado como establece el artículo 3 del citado Convenio y descalificándolo como acto poco amistoso. Las bases legales sentadas por el Convenio incluyen también la necesidad de que la mediación se considere como derecho, e incluso como un acto amistoso que tiene la </w:t>
      </w:r>
      <w:r>
        <w:rPr>
          <w:rFonts w:ascii="Times New Roman" w:hAnsi="Times New Roman" w:cs="Times New Roman"/>
          <w:sz w:val="24"/>
          <w:szCs w:val="24"/>
        </w:rPr>
        <w:lastRenderedPageBreak/>
        <w:t>contrapartida de que tengan el carácter de consejo y nunca de fuerza obligatoria, como estipula el artículo 6 del Convenio</w:t>
      </w:r>
      <w:r>
        <w:rPr>
          <w:rStyle w:val="Refdenotaalpie"/>
          <w:rFonts w:ascii="Times New Roman" w:hAnsi="Times New Roman" w:cs="Times New Roman"/>
          <w:sz w:val="24"/>
          <w:szCs w:val="24"/>
        </w:rPr>
        <w:footnoteReference w:id="13"/>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La primera definición de mediador se puede encontrar en el artículo 4 de este Convenio. En él se cita expresamente que: “</w:t>
      </w:r>
      <w:r w:rsidRPr="00165493">
        <w:rPr>
          <w:rFonts w:ascii="Times New Roman" w:hAnsi="Times New Roman" w:cs="Times New Roman"/>
          <w:i/>
          <w:sz w:val="24"/>
          <w:szCs w:val="24"/>
        </w:rPr>
        <w:t>El papel del mediador consiste en reconciliar las pretensiones opuestas y en apaciguar los resentimientos que puedan haber surgido entre los Estados en conflicto</w:t>
      </w:r>
      <w:r>
        <w:rPr>
          <w:rFonts w:ascii="Times New Roman" w:hAnsi="Times New Roman" w:cs="Times New Roman"/>
          <w:sz w:val="24"/>
          <w:szCs w:val="24"/>
        </w:rPr>
        <w:t>”. Este papel del mediador es complementado con un procedimiento primitivo de mediación que establece el artículo 8 del Convenio de la Haya de 1907. Dicho procedimiento se basaba en la elección de las partes en conflicto de una potencia tercera, remitiendo por el plazo de treinta días el tema de la controversia al mediador para la resolución de la controversia, aprovechando la parte mediadora cualquier oportunidad de restablecer la paz en caso de conflicto bélico. Este procedimiento ha de interpretarse en relación al artículo 7 del Convenio de la Haya, que expresamente establece que la mediación, salvo acuerdo en contrario de los Estados, no interrumpe las operaciones militares en curso. Este régimen jurídico, donde los medios pacíficos aún se encuentran en una reglamentación temprana, bajo mi punto de vista no se orienta hacia una mediación efectiva de solución pacífica de la controversia en cuestión.</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El </w:t>
      </w:r>
      <w:r w:rsidRPr="00165493">
        <w:rPr>
          <w:rFonts w:ascii="Times New Roman" w:hAnsi="Times New Roman" w:cs="Times New Roman"/>
          <w:sz w:val="24"/>
          <w:szCs w:val="24"/>
        </w:rPr>
        <w:t xml:space="preserve">Tratado </w:t>
      </w:r>
      <w:r>
        <w:rPr>
          <w:rFonts w:ascii="Times New Roman" w:hAnsi="Times New Roman" w:cs="Times New Roman"/>
          <w:sz w:val="24"/>
          <w:szCs w:val="24"/>
        </w:rPr>
        <w:t>I</w:t>
      </w:r>
      <w:r w:rsidRPr="00165493">
        <w:rPr>
          <w:rFonts w:ascii="Times New Roman" w:hAnsi="Times New Roman" w:cs="Times New Roman"/>
          <w:sz w:val="24"/>
          <w:szCs w:val="24"/>
        </w:rPr>
        <w:t>nteramericano de mediación y buenos oficios de 1936</w:t>
      </w:r>
      <w:r>
        <w:rPr>
          <w:rFonts w:ascii="Times New Roman" w:hAnsi="Times New Roman" w:cs="Times New Roman"/>
          <w:sz w:val="24"/>
          <w:szCs w:val="24"/>
        </w:rPr>
        <w:t xml:space="preserve"> también remitía a las partes a recurrir a los buenos oficios o la mediación en caso de controversia. Los efectos de este Tratado cesaron en virtud del artículo 58 del Tratado Americano de Soluciones Pacíficas, también conocido como “Pacto de Bogotá”, suscrito en Bogotá el 30 de abril de 1948</w:t>
      </w:r>
      <w:r>
        <w:rPr>
          <w:rStyle w:val="Refdenotaalpie"/>
          <w:rFonts w:ascii="Times New Roman" w:hAnsi="Times New Roman" w:cs="Times New Roman"/>
          <w:sz w:val="24"/>
          <w:szCs w:val="24"/>
        </w:rPr>
        <w:footnoteReference w:id="14"/>
      </w:r>
      <w:r>
        <w:rPr>
          <w:rFonts w:ascii="Times New Roman" w:hAnsi="Times New Roman" w:cs="Times New Roman"/>
          <w:sz w:val="24"/>
          <w:szCs w:val="24"/>
        </w:rPr>
        <w:t>. Este Tratado, en su artículo XI define la mediación como un procedimiento mediante el cual se somete</w:t>
      </w:r>
      <w:r w:rsidRPr="00ED6357">
        <w:rPr>
          <w:rFonts w:ascii="Times New Roman" w:hAnsi="Times New Roman" w:cs="Times New Roman"/>
          <w:sz w:val="24"/>
          <w:szCs w:val="24"/>
        </w:rPr>
        <w:t xml:space="preserve"> la controversia a uno o más gobiernos americanos, o a uno o más ciudadanos eminentes de cualquier Estado Americano extraños a la controversia. </w:t>
      </w:r>
      <w:r>
        <w:rPr>
          <w:rFonts w:ascii="Times New Roman" w:hAnsi="Times New Roman" w:cs="Times New Roman"/>
          <w:sz w:val="24"/>
          <w:szCs w:val="24"/>
        </w:rPr>
        <w:t>Se introduce también el precepto disponiendo que</w:t>
      </w:r>
      <w:r w:rsidRPr="00ED6357">
        <w:rPr>
          <w:rFonts w:ascii="Times New Roman" w:hAnsi="Times New Roman" w:cs="Times New Roman"/>
          <w:sz w:val="24"/>
          <w:szCs w:val="24"/>
        </w:rPr>
        <w:t xml:space="preserve"> el mediador o los mediadores serán escogidos de común acuerdo por las partes</w:t>
      </w:r>
      <w:r>
        <w:rPr>
          <w:rFonts w:ascii="Times New Roman" w:hAnsi="Times New Roman" w:cs="Times New Roman"/>
          <w:sz w:val="24"/>
          <w:szCs w:val="24"/>
        </w:rPr>
        <w:t>. Las funciones se fijan en su artículo XII, consistentes en “</w:t>
      </w:r>
      <w:r w:rsidRPr="00B93839">
        <w:rPr>
          <w:rFonts w:ascii="Times New Roman" w:hAnsi="Times New Roman" w:cs="Times New Roman"/>
          <w:i/>
          <w:sz w:val="24"/>
          <w:szCs w:val="24"/>
        </w:rPr>
        <w:t>asistir a las partes en el arreglo de las controversias de la manera más sencilla y directa, evitando formalidades y procurando hallar una solución aceptable</w:t>
      </w:r>
      <w:r>
        <w:rPr>
          <w:rFonts w:ascii="Times New Roman" w:hAnsi="Times New Roman" w:cs="Times New Roman"/>
          <w:sz w:val="24"/>
          <w:szCs w:val="24"/>
        </w:rPr>
        <w:t xml:space="preserve">”. Como particularidad este Tratado se establece, en su artículo XIII, que si llegado a los casos de que transcurra un intervalo de dos meses sin que las partes en conflicto hayan llegado a un acuerdo sobre el nombramiento del mediador o iniciada la mediación transcurran cinco meses sin llegar a la solución de la </w:t>
      </w:r>
      <w:r>
        <w:rPr>
          <w:rFonts w:ascii="Times New Roman" w:hAnsi="Times New Roman" w:cs="Times New Roman"/>
          <w:sz w:val="24"/>
          <w:szCs w:val="24"/>
        </w:rPr>
        <w:lastRenderedPageBreak/>
        <w:t xml:space="preserve">controversia, las partes recurrirán a cualquier otro medio de solución pacífica de controversias que recoja el referido Tratado.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También se puede encontrar una referencia a la mediación en el Tratado Antártico</w:t>
      </w:r>
      <w:r>
        <w:rPr>
          <w:rStyle w:val="Refdenotaalpie"/>
          <w:rFonts w:ascii="Times New Roman" w:hAnsi="Times New Roman" w:cs="Times New Roman"/>
          <w:sz w:val="24"/>
          <w:szCs w:val="24"/>
        </w:rPr>
        <w:footnoteReference w:id="15"/>
      </w:r>
      <w:r>
        <w:rPr>
          <w:rFonts w:ascii="Times New Roman" w:hAnsi="Times New Roman" w:cs="Times New Roman"/>
          <w:sz w:val="24"/>
          <w:szCs w:val="24"/>
        </w:rPr>
        <w:t>, en cuyo artículo XI dispone que e</w:t>
      </w:r>
      <w:r w:rsidRPr="00D95A9B">
        <w:rPr>
          <w:rFonts w:ascii="Times New Roman" w:hAnsi="Times New Roman" w:cs="Times New Roman"/>
          <w:sz w:val="24"/>
          <w:szCs w:val="24"/>
        </w:rPr>
        <w:t xml:space="preserve">n caso de surgir una controversia entre dos o más </w:t>
      </w:r>
      <w:r>
        <w:rPr>
          <w:rFonts w:ascii="Times New Roman" w:hAnsi="Times New Roman" w:cs="Times New Roman"/>
          <w:sz w:val="24"/>
          <w:szCs w:val="24"/>
        </w:rPr>
        <w:t>partes del Tratado</w:t>
      </w:r>
      <w:r w:rsidRPr="00D95A9B">
        <w:rPr>
          <w:rFonts w:ascii="Times New Roman" w:hAnsi="Times New Roman" w:cs="Times New Roman"/>
          <w:sz w:val="24"/>
          <w:szCs w:val="24"/>
        </w:rPr>
        <w:t xml:space="preserve">, concerniente a la interpretación o a la aplicación del </w:t>
      </w:r>
      <w:r>
        <w:rPr>
          <w:rFonts w:ascii="Times New Roman" w:hAnsi="Times New Roman" w:cs="Times New Roman"/>
          <w:sz w:val="24"/>
          <w:szCs w:val="24"/>
        </w:rPr>
        <w:t>mismo</w:t>
      </w:r>
      <w:r w:rsidRPr="00D95A9B">
        <w:rPr>
          <w:rFonts w:ascii="Times New Roman" w:hAnsi="Times New Roman" w:cs="Times New Roman"/>
          <w:sz w:val="24"/>
          <w:szCs w:val="24"/>
        </w:rPr>
        <w:t xml:space="preserve">, </w:t>
      </w:r>
      <w:r>
        <w:rPr>
          <w:rFonts w:ascii="Times New Roman" w:hAnsi="Times New Roman" w:cs="Times New Roman"/>
          <w:sz w:val="24"/>
          <w:szCs w:val="24"/>
        </w:rPr>
        <w:t>las partes</w:t>
      </w:r>
      <w:r w:rsidRPr="00D95A9B">
        <w:rPr>
          <w:rFonts w:ascii="Times New Roman" w:hAnsi="Times New Roman" w:cs="Times New Roman"/>
          <w:sz w:val="24"/>
          <w:szCs w:val="24"/>
        </w:rPr>
        <w:t xml:space="preserve"> se consultarán entre sí con el propósito de resolver la controversia por negociación</w:t>
      </w:r>
      <w:r>
        <w:rPr>
          <w:rFonts w:ascii="Times New Roman" w:hAnsi="Times New Roman" w:cs="Times New Roman"/>
          <w:sz w:val="24"/>
          <w:szCs w:val="24"/>
        </w:rPr>
        <w:t>,</w:t>
      </w:r>
      <w:r w:rsidRPr="00D95A9B">
        <w:rPr>
          <w:rFonts w:ascii="Times New Roman" w:hAnsi="Times New Roman" w:cs="Times New Roman"/>
          <w:sz w:val="24"/>
          <w:szCs w:val="24"/>
        </w:rPr>
        <w:t xml:space="preserve"> investigación, mediación, conciliación, arbitraje, decisión judicial u otros medios pacíficos, a su elección</w:t>
      </w:r>
      <w:r>
        <w:rPr>
          <w:rFonts w:ascii="Times New Roman" w:hAnsi="Times New Roman" w:cs="Times New Roman"/>
          <w:sz w:val="24"/>
          <w:szCs w:val="24"/>
        </w:rPr>
        <w:t xml:space="preserve">; articulando un sistema potestativo de libre elección de medios de solución pacífica de controversias entre los que se incluye la mediación.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En el seno de la Organización de Naciones Unidas se han suscrito diversidad de  textos que aluden a la mediación. La disposición principal es el artículo 33 de la Carta de las Naciones Unidas, el cual establece que </w:t>
      </w:r>
      <w:r w:rsidRPr="00535E57">
        <w:rPr>
          <w:rFonts w:ascii="Times New Roman" w:hAnsi="Times New Roman" w:cs="Times New Roman"/>
          <w:sz w:val="24"/>
          <w:szCs w:val="24"/>
        </w:rPr>
        <w:t xml:space="preserve">en una controversia cuya continuación sea susceptible de poner en peligro el mantenimiento de la paz y la seguridad internacionales </w:t>
      </w:r>
      <w:r>
        <w:rPr>
          <w:rFonts w:ascii="Times New Roman" w:hAnsi="Times New Roman" w:cs="Times New Roman"/>
          <w:sz w:val="24"/>
          <w:szCs w:val="24"/>
        </w:rPr>
        <w:t xml:space="preserve">las partes </w:t>
      </w:r>
      <w:r w:rsidRPr="00535E57">
        <w:rPr>
          <w:rFonts w:ascii="Times New Roman" w:hAnsi="Times New Roman" w:cs="Times New Roman"/>
          <w:sz w:val="24"/>
          <w:szCs w:val="24"/>
        </w:rPr>
        <w:t>tratarán de buscarle solución</w:t>
      </w:r>
      <w:r w:rsidRPr="00C51510">
        <w:rPr>
          <w:rFonts w:ascii="Times New Roman" w:hAnsi="Times New Roman" w:cs="Times New Roman"/>
          <w:sz w:val="24"/>
          <w:szCs w:val="24"/>
        </w:rPr>
        <w:t>,</w:t>
      </w:r>
      <w:r>
        <w:rPr>
          <w:rFonts w:ascii="Times New Roman" w:hAnsi="Times New Roman" w:cs="Times New Roman"/>
          <w:sz w:val="24"/>
          <w:szCs w:val="24"/>
        </w:rPr>
        <w:t xml:space="preserve"> entre otras vías, mediante la mediación</w:t>
      </w:r>
      <w:r>
        <w:rPr>
          <w:rStyle w:val="Refdenotaalpie"/>
          <w:rFonts w:ascii="Times New Roman" w:hAnsi="Times New Roman" w:cs="Times New Roman"/>
          <w:sz w:val="24"/>
          <w:szCs w:val="24"/>
        </w:rPr>
        <w:footnoteReference w:id="16"/>
      </w:r>
      <w:r>
        <w:rPr>
          <w:rFonts w:ascii="Times New Roman" w:hAnsi="Times New Roman" w:cs="Times New Roman"/>
          <w:sz w:val="24"/>
          <w:szCs w:val="24"/>
        </w:rPr>
        <w:t xml:space="preserve">. Este reflejo de la mediación como vía de solución de controversias se complementa con la Declaración de Manila sobre el Arreglo Pacífico de Controversias, aprobado como Anexo por la Resolución 37/10 el 15 de noviembre de 1982. En su punto I-5 del listado de medios pacíficos de resolución de controversias internacionales cuenta con la mediación, en base al principio de libre elección de medios.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La Resolución </w:t>
      </w:r>
      <w:r w:rsidRPr="005A3C50">
        <w:rPr>
          <w:rFonts w:ascii="Times New Roman" w:hAnsi="Times New Roman" w:cs="Times New Roman"/>
          <w:sz w:val="24"/>
          <w:szCs w:val="24"/>
        </w:rPr>
        <w:t>2625 (XXV)</w:t>
      </w:r>
      <w:r>
        <w:rPr>
          <w:rFonts w:ascii="Times New Roman" w:hAnsi="Times New Roman" w:cs="Times New Roman"/>
          <w:sz w:val="24"/>
          <w:szCs w:val="24"/>
        </w:rPr>
        <w:t xml:space="preserve">, de la Asamblea General de Naciones Unidas aprobada el </w:t>
      </w:r>
      <w:r w:rsidRPr="005A3C50">
        <w:rPr>
          <w:rFonts w:ascii="Times New Roman" w:hAnsi="Times New Roman" w:cs="Times New Roman"/>
          <w:sz w:val="24"/>
          <w:szCs w:val="24"/>
        </w:rPr>
        <w:t>24 octubre 1970</w:t>
      </w:r>
      <w:r>
        <w:rPr>
          <w:rFonts w:ascii="Times New Roman" w:hAnsi="Times New Roman" w:cs="Times New Roman"/>
          <w:sz w:val="24"/>
          <w:szCs w:val="24"/>
        </w:rPr>
        <w:t xml:space="preserve">, establece en su anexo la </w:t>
      </w:r>
      <w:r w:rsidRPr="005A3C50">
        <w:rPr>
          <w:rFonts w:ascii="Times New Roman" w:hAnsi="Times New Roman" w:cs="Times New Roman"/>
          <w:sz w:val="24"/>
          <w:szCs w:val="24"/>
        </w:rPr>
        <w:t>Declaración sobre los principios de Derecho Internacional referentes a las relaciones de amistad y a la cooperación entre los Estados de conformidad con la Carta de las Naciones Unidas</w:t>
      </w:r>
      <w:r>
        <w:rPr>
          <w:rFonts w:ascii="Times New Roman" w:hAnsi="Times New Roman" w:cs="Times New Roman"/>
          <w:sz w:val="24"/>
          <w:szCs w:val="24"/>
        </w:rPr>
        <w:t xml:space="preserve">, que consagra el </w:t>
      </w:r>
      <w:r w:rsidRPr="00D50FEF">
        <w:rPr>
          <w:rFonts w:ascii="Times New Roman" w:hAnsi="Times New Roman" w:cs="Times New Roman"/>
          <w:sz w:val="24"/>
          <w:szCs w:val="24"/>
        </w:rPr>
        <w:t>principio de que los Estados arreglarán sus controversias internacionales por medios pacíficos de tal manera que no se pongan en peligro ni la paz y la seguridad internacionales ni la justicia</w:t>
      </w:r>
      <w:r>
        <w:rPr>
          <w:rFonts w:ascii="Times New Roman" w:hAnsi="Times New Roman" w:cs="Times New Roman"/>
          <w:sz w:val="24"/>
          <w:szCs w:val="24"/>
        </w:rPr>
        <w:t>, recurriendo, entre otros medios, a la mediación</w:t>
      </w:r>
      <w:r>
        <w:rPr>
          <w:rStyle w:val="Refdenotaalpie"/>
          <w:rFonts w:ascii="Times New Roman" w:hAnsi="Times New Roman" w:cs="Times New Roman"/>
          <w:sz w:val="24"/>
          <w:szCs w:val="24"/>
        </w:rPr>
        <w:footnoteReference w:id="17"/>
      </w:r>
      <w:r>
        <w:rPr>
          <w:rFonts w:ascii="Times New Roman" w:hAnsi="Times New Roman" w:cs="Times New Roman"/>
          <w:sz w:val="24"/>
          <w:szCs w:val="24"/>
        </w:rPr>
        <w:t xml:space="preserve"> en función de las circunstancias y la naturaleza de la controversia.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Además, en la Resolución 65/283 (</w:t>
      </w:r>
      <w:r w:rsidRPr="00F77967">
        <w:rPr>
          <w:rFonts w:ascii="Times New Roman" w:hAnsi="Times New Roman" w:cs="Times New Roman"/>
          <w:sz w:val="24"/>
          <w:szCs w:val="24"/>
        </w:rPr>
        <w:t>A/RES/65/283</w:t>
      </w:r>
      <w:r>
        <w:rPr>
          <w:rFonts w:ascii="Times New Roman" w:hAnsi="Times New Roman" w:cs="Times New Roman"/>
          <w:sz w:val="24"/>
          <w:szCs w:val="24"/>
        </w:rPr>
        <w:t xml:space="preserve">), de la Asamblea General de las Naciones Unidas aprobada el </w:t>
      </w:r>
      <w:r w:rsidRPr="00B70B92">
        <w:rPr>
          <w:rFonts w:ascii="Times New Roman" w:hAnsi="Times New Roman" w:cs="Times New Roman"/>
          <w:sz w:val="24"/>
          <w:szCs w:val="24"/>
        </w:rPr>
        <w:t>22 de junio de 2011</w:t>
      </w:r>
      <w:r>
        <w:rPr>
          <w:rFonts w:ascii="Times New Roman" w:hAnsi="Times New Roman" w:cs="Times New Roman"/>
          <w:sz w:val="24"/>
          <w:szCs w:val="24"/>
        </w:rPr>
        <w:t>, relativa al f</w:t>
      </w:r>
      <w:r w:rsidRPr="00B70B92">
        <w:rPr>
          <w:rFonts w:ascii="Times New Roman" w:hAnsi="Times New Roman" w:cs="Times New Roman"/>
          <w:sz w:val="24"/>
          <w:szCs w:val="24"/>
        </w:rPr>
        <w:t>ortalecimiento de la función de mediación en el ar</w:t>
      </w:r>
      <w:r>
        <w:rPr>
          <w:rFonts w:ascii="Times New Roman" w:hAnsi="Times New Roman" w:cs="Times New Roman"/>
          <w:sz w:val="24"/>
          <w:szCs w:val="24"/>
        </w:rPr>
        <w:t>reglo pacífico de controversias;</w:t>
      </w:r>
      <w:r w:rsidRPr="00B70B92">
        <w:rPr>
          <w:rFonts w:ascii="Times New Roman" w:hAnsi="Times New Roman" w:cs="Times New Roman"/>
          <w:sz w:val="24"/>
          <w:szCs w:val="24"/>
        </w:rPr>
        <w:t xml:space="preserve"> la prevención de conflictos y su solución</w:t>
      </w:r>
      <w:r>
        <w:rPr>
          <w:rFonts w:ascii="Times New Roman" w:hAnsi="Times New Roman" w:cs="Times New Roman"/>
          <w:sz w:val="24"/>
          <w:szCs w:val="24"/>
        </w:rPr>
        <w:t xml:space="preserve"> da un peso específico a la mediación, tema principal a lo largo del cuerpo del texto. En su punto 3 especifica que la Asamblea </w:t>
      </w:r>
      <w:r w:rsidRPr="00AB6C15">
        <w:rPr>
          <w:rFonts w:ascii="Times New Roman" w:hAnsi="Times New Roman" w:cs="Times New Roman"/>
          <w:sz w:val="24"/>
          <w:szCs w:val="24"/>
        </w:rPr>
        <w:t>acoge las contribuciones de los Estados Miembros a las actividades de mediación, y los alienta a que desarrollen la capaci</w:t>
      </w:r>
      <w:r>
        <w:rPr>
          <w:rFonts w:ascii="Times New Roman" w:hAnsi="Times New Roman" w:cs="Times New Roman"/>
          <w:sz w:val="24"/>
          <w:szCs w:val="24"/>
        </w:rPr>
        <w:t xml:space="preserve">dad nacional de mediación </w:t>
      </w:r>
      <w:r w:rsidRPr="00AB6C15">
        <w:rPr>
          <w:rFonts w:ascii="Times New Roman" w:hAnsi="Times New Roman" w:cs="Times New Roman"/>
          <w:sz w:val="24"/>
          <w:szCs w:val="24"/>
        </w:rPr>
        <w:t>a fin de garantizar una capacidad de respuesta y una mediación coherentes</w:t>
      </w:r>
      <w:r>
        <w:rPr>
          <w:rFonts w:ascii="Times New Roman" w:hAnsi="Times New Roman" w:cs="Times New Roman"/>
          <w:sz w:val="24"/>
          <w:szCs w:val="24"/>
        </w:rPr>
        <w:t>. Este favorecimiento de la mediación se vuelve a repetir en el punto 5 donde lo impulsa no sólo en el plano de la misma organización sino que también en los distintos niveles territoriales</w:t>
      </w:r>
      <w:r>
        <w:rPr>
          <w:rStyle w:val="Refdenotaalpie"/>
          <w:rFonts w:ascii="Times New Roman" w:hAnsi="Times New Roman" w:cs="Times New Roman"/>
          <w:sz w:val="24"/>
          <w:szCs w:val="24"/>
        </w:rPr>
        <w:footnoteReference w:id="18"/>
      </w:r>
      <w:r>
        <w:rPr>
          <w:rFonts w:ascii="Times New Roman" w:hAnsi="Times New Roman" w:cs="Times New Roman"/>
          <w:sz w:val="24"/>
          <w:szCs w:val="24"/>
        </w:rPr>
        <w:t>. Cuestión distinta es cómo el mismo documento no sólo se preocupa de la mediación material, sino de su financiación proponiendo a los estados la aportación de los recursos necesarios para la mediación,  para así lograr su éxito en todos los niveles</w:t>
      </w:r>
      <w:r>
        <w:rPr>
          <w:rStyle w:val="Refdenotaalpie"/>
          <w:rFonts w:ascii="Times New Roman" w:hAnsi="Times New Roman" w:cs="Times New Roman"/>
          <w:sz w:val="24"/>
          <w:szCs w:val="24"/>
        </w:rPr>
        <w:footnoteReference w:id="19"/>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El análisis de esta Resolución dentro del cuerpo legal de la mediación internacional da su protagonismo al Secretario General de la Organización. En su punto 7 se le pide que siga prestando su apoyo a la mediación utilizando como vía las organizaciones regionales y subregionales. Para ello en el punto 8 destaca la importancia </w:t>
      </w:r>
      <w:r w:rsidRPr="00A142AD">
        <w:rPr>
          <w:rFonts w:ascii="Times New Roman" w:hAnsi="Times New Roman" w:cs="Times New Roman"/>
          <w:sz w:val="24"/>
          <w:szCs w:val="24"/>
        </w:rPr>
        <w:t>de contar con especialistas en la mediación y sus procesos a todos los niveles</w:t>
      </w:r>
      <w:r>
        <w:rPr>
          <w:rFonts w:ascii="Times New Roman" w:hAnsi="Times New Roman" w:cs="Times New Roman"/>
          <w:sz w:val="24"/>
          <w:szCs w:val="24"/>
        </w:rPr>
        <w:t>, con unos requisitos subjetivos concretos como la imparcialidad, la experiencia y la diversidad geográfica</w:t>
      </w:r>
      <w:r>
        <w:rPr>
          <w:rStyle w:val="Refdenotaalpie"/>
          <w:rFonts w:ascii="Times New Roman" w:hAnsi="Times New Roman" w:cs="Times New Roman"/>
          <w:sz w:val="24"/>
          <w:szCs w:val="24"/>
        </w:rPr>
        <w:footnoteReference w:id="20"/>
      </w:r>
      <w:r>
        <w:rPr>
          <w:rFonts w:ascii="Times New Roman" w:hAnsi="Times New Roman" w:cs="Times New Roman"/>
          <w:sz w:val="24"/>
          <w:szCs w:val="24"/>
        </w:rPr>
        <w:t>. En base a este criterio se pide a</w:t>
      </w:r>
      <w:r w:rsidRPr="00A142AD">
        <w:rPr>
          <w:rFonts w:ascii="Times New Roman" w:hAnsi="Times New Roman" w:cs="Times New Roman"/>
          <w:sz w:val="24"/>
          <w:szCs w:val="24"/>
        </w:rPr>
        <w:t xml:space="preserve">l Secretario General mantener una lista actualizada de mediadores </w:t>
      </w:r>
      <w:r>
        <w:rPr>
          <w:rFonts w:ascii="Times New Roman" w:hAnsi="Times New Roman" w:cs="Times New Roman"/>
          <w:sz w:val="24"/>
          <w:szCs w:val="24"/>
        </w:rPr>
        <w:t>bajo el principio de</w:t>
      </w:r>
      <w:r w:rsidRPr="00A142AD">
        <w:rPr>
          <w:rFonts w:ascii="Times New Roman" w:hAnsi="Times New Roman" w:cs="Times New Roman"/>
          <w:sz w:val="24"/>
          <w:szCs w:val="24"/>
        </w:rPr>
        <w:t xml:space="preserve"> equilibrio entre los géneros y la representación geográfica equitativa</w:t>
      </w:r>
      <w:r>
        <w:rPr>
          <w:rFonts w:ascii="Times New Roman" w:hAnsi="Times New Roman" w:cs="Times New Roman"/>
          <w:sz w:val="24"/>
          <w:szCs w:val="24"/>
        </w:rPr>
        <w:t>. Este equilibrio de sexos lleva a que en el mismo texto promueva el nombramiento de mujeres como mediadoras en procesos de paz patrocinados por Naciones Unidas.</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Puede ser interpretado también como añadidura al cuerpo de normas marco de mediación las directrices que el Secretario General pueda elaborar para hacer más efectiva la mediación, tal y como se establece en el artículo 11 de la Resolución objeto de análisis. La </w:t>
      </w:r>
      <w:r>
        <w:rPr>
          <w:rFonts w:ascii="Times New Roman" w:hAnsi="Times New Roman" w:cs="Times New Roman"/>
          <w:sz w:val="24"/>
          <w:szCs w:val="24"/>
        </w:rPr>
        <w:lastRenderedPageBreak/>
        <w:t xml:space="preserve">mediación no es sólo una iniciativa unilateral restringida a los Sujetos de Derecho Internacional </w:t>
      </w:r>
      <w:r>
        <w:rPr>
          <w:rFonts w:ascii="Times New Roman" w:hAnsi="Times New Roman" w:cs="Times New Roman"/>
          <w:i/>
          <w:sz w:val="24"/>
          <w:szCs w:val="24"/>
        </w:rPr>
        <w:t xml:space="preserve">stricto sensu. </w:t>
      </w:r>
      <w:r>
        <w:rPr>
          <w:rFonts w:ascii="Times New Roman" w:hAnsi="Times New Roman" w:cs="Times New Roman"/>
          <w:sz w:val="24"/>
          <w:szCs w:val="24"/>
        </w:rPr>
        <w:t>En su punto 14 destaca la labor de las asociaciones y organizaciones internacionales y su cooperación con la sociedad civil para el logro efectivo de los fines de la mediación</w:t>
      </w:r>
      <w:r>
        <w:rPr>
          <w:rStyle w:val="Refdenotaalpie"/>
          <w:rFonts w:ascii="Times New Roman" w:hAnsi="Times New Roman" w:cs="Times New Roman"/>
          <w:sz w:val="24"/>
          <w:szCs w:val="24"/>
        </w:rPr>
        <w:footnoteReference w:id="21"/>
      </w:r>
      <w:r>
        <w:rPr>
          <w:rFonts w:ascii="Times New Roman" w:hAnsi="Times New Roman" w:cs="Times New Roman"/>
          <w:sz w:val="24"/>
          <w:szCs w:val="24"/>
        </w:rPr>
        <w:t xml:space="preserve">. Esto amplía el espectro de sujetos participantes en la mediación dinamizando </w:t>
      </w:r>
      <w:r w:rsidR="003D78B4">
        <w:rPr>
          <w:rFonts w:ascii="Times New Roman" w:hAnsi="Times New Roman" w:cs="Times New Roman"/>
          <w:sz w:val="24"/>
          <w:szCs w:val="24"/>
        </w:rPr>
        <w:t>su</w:t>
      </w:r>
      <w:r>
        <w:rPr>
          <w:rFonts w:ascii="Times New Roman" w:hAnsi="Times New Roman" w:cs="Times New Roman"/>
          <w:sz w:val="24"/>
          <w:szCs w:val="24"/>
        </w:rPr>
        <w:t xml:space="preserve"> esencia como proceso internacional de resolución de conflictos y acercándolo a la realidad social.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En el punto 17 de la Resolución la Asamblea efectúa un mandato</w:t>
      </w:r>
      <w:r w:rsidRPr="00F9128E">
        <w:rPr>
          <w:rFonts w:ascii="Times New Roman" w:hAnsi="Times New Roman" w:cs="Times New Roman"/>
          <w:sz w:val="24"/>
          <w:szCs w:val="24"/>
        </w:rPr>
        <w:t xml:space="preserve"> al Secretario General </w:t>
      </w:r>
      <w:r>
        <w:rPr>
          <w:rFonts w:ascii="Times New Roman" w:hAnsi="Times New Roman" w:cs="Times New Roman"/>
          <w:sz w:val="24"/>
          <w:szCs w:val="24"/>
        </w:rPr>
        <w:t xml:space="preserve">para </w:t>
      </w:r>
      <w:r w:rsidRPr="00F9128E">
        <w:rPr>
          <w:rFonts w:ascii="Times New Roman" w:hAnsi="Times New Roman" w:cs="Times New Roman"/>
          <w:sz w:val="24"/>
          <w:szCs w:val="24"/>
        </w:rPr>
        <w:t>que en su sexagésimo sexto período de sesiones le presente un informe sobre la aplicación</w:t>
      </w:r>
      <w:r>
        <w:rPr>
          <w:rFonts w:ascii="Times New Roman" w:hAnsi="Times New Roman" w:cs="Times New Roman"/>
          <w:sz w:val="24"/>
          <w:szCs w:val="24"/>
        </w:rPr>
        <w:t xml:space="preserve"> de</w:t>
      </w:r>
      <w:r w:rsidRPr="00F9128E">
        <w:rPr>
          <w:rFonts w:ascii="Times New Roman" w:hAnsi="Times New Roman" w:cs="Times New Roman"/>
          <w:sz w:val="24"/>
          <w:szCs w:val="24"/>
        </w:rPr>
        <w:t xml:space="preserve"> </w:t>
      </w:r>
      <w:r>
        <w:rPr>
          <w:rFonts w:ascii="Times New Roman" w:hAnsi="Times New Roman" w:cs="Times New Roman"/>
          <w:sz w:val="24"/>
          <w:szCs w:val="24"/>
        </w:rPr>
        <w:t>Resolución</w:t>
      </w:r>
      <w:r w:rsidRPr="00F9128E">
        <w:rPr>
          <w:rFonts w:ascii="Times New Roman" w:hAnsi="Times New Roman" w:cs="Times New Roman"/>
          <w:sz w:val="24"/>
          <w:szCs w:val="24"/>
        </w:rPr>
        <w:t xml:space="preserve"> para que lo examinen los Estados Miembros,</w:t>
      </w:r>
      <w:r>
        <w:rPr>
          <w:rFonts w:ascii="Times New Roman" w:hAnsi="Times New Roman" w:cs="Times New Roman"/>
          <w:sz w:val="24"/>
          <w:szCs w:val="24"/>
        </w:rPr>
        <w:t xml:space="preserve"> donde</w:t>
      </w:r>
      <w:r w:rsidRPr="00F9128E">
        <w:rPr>
          <w:rFonts w:ascii="Times New Roman" w:hAnsi="Times New Roman" w:cs="Times New Roman"/>
          <w:sz w:val="24"/>
          <w:szCs w:val="24"/>
        </w:rPr>
        <w:t xml:space="preserve"> que incluya, como anexo, las opiniones de los Estados Miembros y demás agentes pertinentes, así como orientaciones para una mediación más eficaz</w:t>
      </w:r>
      <w:r>
        <w:rPr>
          <w:rFonts w:ascii="Times New Roman" w:hAnsi="Times New Roman" w:cs="Times New Roman"/>
          <w:sz w:val="24"/>
          <w:szCs w:val="24"/>
        </w:rPr>
        <w:t xml:space="preserve">. El Informe del Secretario General, publicado el 25 de junio de 2012 (ref. </w:t>
      </w:r>
      <w:r w:rsidRPr="00F9128E">
        <w:rPr>
          <w:rFonts w:ascii="Times New Roman" w:hAnsi="Times New Roman" w:cs="Times New Roman"/>
          <w:sz w:val="24"/>
          <w:szCs w:val="24"/>
        </w:rPr>
        <w:t>A/66/811</w:t>
      </w:r>
      <w:r>
        <w:rPr>
          <w:rFonts w:ascii="Times New Roman" w:hAnsi="Times New Roman" w:cs="Times New Roman"/>
          <w:sz w:val="24"/>
          <w:szCs w:val="24"/>
        </w:rPr>
        <w:t>), no puede pasar por desapercibido como objeto de análisis del presente trabajo y como reflejo de gran importancia para la adaptación de la mediación internacional.</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Este marco normativo de la mediación internacional puede entenderse ampliado por las Directrices de las Naciones Unidas para una Mediación Eficaz, publicadas como anexo al Informe del Secretario General anteriormente citado</w:t>
      </w:r>
      <w:r>
        <w:rPr>
          <w:rStyle w:val="Refdenotaalpie"/>
          <w:rFonts w:ascii="Times New Roman" w:hAnsi="Times New Roman" w:cs="Times New Roman"/>
          <w:sz w:val="24"/>
          <w:szCs w:val="24"/>
        </w:rPr>
        <w:footnoteReference w:id="22"/>
      </w:r>
      <w:r>
        <w:rPr>
          <w:rFonts w:ascii="Times New Roman" w:hAnsi="Times New Roman" w:cs="Times New Roman"/>
          <w:sz w:val="24"/>
          <w:szCs w:val="24"/>
        </w:rPr>
        <w:t xml:space="preserve">. Estos parámetros no pueden excluirse de la actuación de un buen mediador dada la amplitud de circunstancias que pueden marcar el proceso de negociación previstas en el mismo.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Entrando en la d</w:t>
      </w:r>
      <w:r w:rsidRPr="005977D2">
        <w:rPr>
          <w:rFonts w:ascii="Times New Roman" w:hAnsi="Times New Roman" w:cs="Times New Roman"/>
          <w:sz w:val="24"/>
          <w:szCs w:val="24"/>
        </w:rPr>
        <w:t>efinición conceptual de la mediación internacional</w:t>
      </w:r>
      <w:r>
        <w:rPr>
          <w:rFonts w:ascii="Times New Roman" w:hAnsi="Times New Roman" w:cs="Times New Roman"/>
          <w:sz w:val="24"/>
          <w:szCs w:val="24"/>
        </w:rPr>
        <w:t xml:space="preserve">, tal y como apunta el </w:t>
      </w:r>
      <w:r w:rsidRPr="005977D2">
        <w:rPr>
          <w:rFonts w:ascii="Times New Roman" w:hAnsi="Times New Roman" w:cs="Times New Roman"/>
          <w:i/>
          <w:sz w:val="24"/>
          <w:szCs w:val="24"/>
        </w:rPr>
        <w:t>Handbook on the Peaceful Settlement of Disputes between States</w:t>
      </w:r>
      <w:r>
        <w:rPr>
          <w:rStyle w:val="Refdenotaalpie"/>
          <w:rFonts w:ascii="Times New Roman" w:hAnsi="Times New Roman" w:cs="Times New Roman"/>
          <w:sz w:val="24"/>
          <w:szCs w:val="24"/>
        </w:rPr>
        <w:footnoteReference w:id="23"/>
      </w:r>
      <w:r>
        <w:rPr>
          <w:rFonts w:ascii="Times New Roman" w:hAnsi="Times New Roman" w:cs="Times New Roman"/>
          <w:sz w:val="24"/>
          <w:szCs w:val="24"/>
        </w:rPr>
        <w:t xml:space="preserve">, tiene una función basada en reducir la tensión que pueda desarrollarse en el curso de una disputa internacional, que conlleva una función principalmente preventiva.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 El ejercicio de la mediación puede así dife</w:t>
      </w:r>
      <w:r w:rsidR="008241AA">
        <w:rPr>
          <w:rFonts w:ascii="Times New Roman" w:hAnsi="Times New Roman" w:cs="Times New Roman"/>
          <w:sz w:val="24"/>
          <w:szCs w:val="24"/>
        </w:rPr>
        <w:t>renciarse de los buenos oficios</w:t>
      </w:r>
      <w:r>
        <w:rPr>
          <w:rFonts w:ascii="Times New Roman" w:hAnsi="Times New Roman" w:cs="Times New Roman"/>
          <w:sz w:val="24"/>
          <w:szCs w:val="24"/>
        </w:rPr>
        <w:t xml:space="preserve"> en que el mediador interviene no sólo intentando poner de acuerdo a las partes, sino también proponiéndoles una solución</w:t>
      </w:r>
      <w:r>
        <w:rPr>
          <w:rStyle w:val="Refdenotaalpie"/>
          <w:rFonts w:ascii="Times New Roman" w:hAnsi="Times New Roman" w:cs="Times New Roman"/>
          <w:sz w:val="24"/>
          <w:szCs w:val="24"/>
        </w:rPr>
        <w:footnoteReference w:id="24"/>
      </w:r>
      <w:r>
        <w:rPr>
          <w:rFonts w:ascii="Times New Roman" w:hAnsi="Times New Roman" w:cs="Times New Roman"/>
          <w:sz w:val="24"/>
          <w:szCs w:val="24"/>
        </w:rPr>
        <w:t xml:space="preserve">, y siguiendo la línea ofrecida por el Convenio de la Haya ésta mediación no es obligatoria pero tampoco puede ser interpretada como un acto inamistoso.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Un sector de la doctrina define a la mediación como </w:t>
      </w:r>
      <w:r w:rsidRPr="00EF3A36">
        <w:rPr>
          <w:rFonts w:ascii="Times New Roman" w:hAnsi="Times New Roman" w:cs="Times New Roman"/>
          <w:sz w:val="24"/>
          <w:szCs w:val="24"/>
        </w:rPr>
        <w:t xml:space="preserve">un proceso político en el que las partes en conflicto </w:t>
      </w:r>
      <w:r>
        <w:rPr>
          <w:rFonts w:ascii="Times New Roman" w:hAnsi="Times New Roman" w:cs="Times New Roman"/>
          <w:sz w:val="24"/>
          <w:szCs w:val="24"/>
        </w:rPr>
        <w:t>acuerdan</w:t>
      </w:r>
      <w:r w:rsidRPr="00EF3A36">
        <w:rPr>
          <w:rFonts w:ascii="Times New Roman" w:hAnsi="Times New Roman" w:cs="Times New Roman"/>
          <w:sz w:val="24"/>
          <w:szCs w:val="24"/>
        </w:rPr>
        <w:t xml:space="preserve"> en aceptar uno o más terceros actores qu</w:t>
      </w:r>
      <w:r>
        <w:rPr>
          <w:rFonts w:ascii="Times New Roman" w:hAnsi="Times New Roman" w:cs="Times New Roman"/>
          <w:sz w:val="24"/>
          <w:szCs w:val="24"/>
        </w:rPr>
        <w:t xml:space="preserve">e no son parte en el conflicto, los cuales </w:t>
      </w:r>
      <w:r w:rsidRPr="00EF3A36">
        <w:rPr>
          <w:rFonts w:ascii="Times New Roman" w:hAnsi="Times New Roman" w:cs="Times New Roman"/>
          <w:sz w:val="24"/>
          <w:szCs w:val="24"/>
        </w:rPr>
        <w:t xml:space="preserve">que gozan de la confianza de las partes en disputa, y </w:t>
      </w:r>
      <w:r>
        <w:rPr>
          <w:rFonts w:ascii="Times New Roman" w:hAnsi="Times New Roman" w:cs="Times New Roman"/>
          <w:sz w:val="24"/>
          <w:szCs w:val="24"/>
        </w:rPr>
        <w:t>cuya intervención</w:t>
      </w:r>
      <w:r w:rsidRPr="00EF3A36">
        <w:rPr>
          <w:rFonts w:ascii="Times New Roman" w:hAnsi="Times New Roman" w:cs="Times New Roman"/>
          <w:sz w:val="24"/>
          <w:szCs w:val="24"/>
        </w:rPr>
        <w:t xml:space="preserve"> </w:t>
      </w:r>
      <w:r>
        <w:rPr>
          <w:rFonts w:ascii="Times New Roman" w:hAnsi="Times New Roman" w:cs="Times New Roman"/>
          <w:sz w:val="24"/>
          <w:szCs w:val="24"/>
        </w:rPr>
        <w:t>está</w:t>
      </w:r>
      <w:r w:rsidRPr="00EF3A36">
        <w:rPr>
          <w:rFonts w:ascii="Times New Roman" w:hAnsi="Times New Roman" w:cs="Times New Roman"/>
          <w:sz w:val="24"/>
          <w:szCs w:val="24"/>
        </w:rPr>
        <w:t xml:space="preserve"> consideradas como potencialmente favorable para superar </w:t>
      </w:r>
      <w:r>
        <w:rPr>
          <w:rFonts w:ascii="Times New Roman" w:hAnsi="Times New Roman" w:cs="Times New Roman"/>
          <w:sz w:val="24"/>
          <w:szCs w:val="24"/>
        </w:rPr>
        <w:t>el</w:t>
      </w:r>
      <w:r w:rsidRPr="00EF3A36">
        <w:rPr>
          <w:rFonts w:ascii="Times New Roman" w:hAnsi="Times New Roman" w:cs="Times New Roman"/>
          <w:sz w:val="24"/>
          <w:szCs w:val="24"/>
        </w:rPr>
        <w:t xml:space="preserve"> estancamiento provocado por el conflicto</w:t>
      </w:r>
      <w:r>
        <w:rPr>
          <w:rStyle w:val="Refdenotaalpie"/>
          <w:rFonts w:ascii="Times New Roman" w:hAnsi="Times New Roman" w:cs="Times New Roman"/>
          <w:sz w:val="24"/>
          <w:szCs w:val="24"/>
        </w:rPr>
        <w:footnoteReference w:id="25"/>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DC31BD">
        <w:rPr>
          <w:rFonts w:ascii="Times New Roman" w:hAnsi="Times New Roman" w:cs="Times New Roman"/>
          <w:sz w:val="24"/>
          <w:szCs w:val="24"/>
        </w:rPr>
        <w:t>Otra p</w:t>
      </w:r>
      <w:r>
        <w:rPr>
          <w:rFonts w:ascii="Times New Roman" w:hAnsi="Times New Roman" w:cs="Times New Roman"/>
          <w:sz w:val="24"/>
          <w:szCs w:val="24"/>
        </w:rPr>
        <w:t>arte de la doctrina califica a la mediación como una aproximación de las partes, pero estando el mediador autorizado para proponer las bases de negociación e intervenir en ella como vía de comunicación, sugerencia y acomodación de posiciones, sin tratar de imponer una solución</w:t>
      </w:r>
      <w:r>
        <w:rPr>
          <w:rStyle w:val="Refdenotaalpie"/>
          <w:rFonts w:ascii="Times New Roman" w:hAnsi="Times New Roman" w:cs="Times New Roman"/>
          <w:sz w:val="24"/>
          <w:szCs w:val="24"/>
        </w:rPr>
        <w:footnoteReference w:id="26"/>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ab/>
        <w:t xml:space="preserve"> En términos legales podemos encontrar dos definiciones de mediación cuyo análisis puede dar lugar a distintos puntos de vista. Por un lado el ya citado artículo 4 del Convenio de la Haya de 1907, según el cual “</w:t>
      </w:r>
      <w:r w:rsidRPr="006D6ED0">
        <w:rPr>
          <w:rFonts w:ascii="Times New Roman" w:hAnsi="Times New Roman" w:cs="Times New Roman"/>
          <w:i/>
          <w:sz w:val="24"/>
          <w:szCs w:val="24"/>
        </w:rPr>
        <w:t>el papel del mediador consiste en reconciliar las pretensiones opuestas y en apaciguar los resentimientos que puedan haber surgido entre los Estados en conflicto</w:t>
      </w:r>
      <w:r>
        <w:rPr>
          <w:rFonts w:ascii="Times New Roman" w:hAnsi="Times New Roman" w:cs="Times New Roman"/>
          <w:sz w:val="24"/>
          <w:szCs w:val="24"/>
        </w:rPr>
        <w:t>”. De este artículo pueden extraerse dos ideas esenciales inherentes en la figura del mediador: por un lado la existencia de dos o más pretensiones opuestas de dos o más estados y por otro la función apaciguadora de un mediador que se orienta a eliminar la “</w:t>
      </w:r>
      <w:r>
        <w:rPr>
          <w:rFonts w:ascii="Times New Roman" w:hAnsi="Times New Roman" w:cs="Times New Roman"/>
          <w:i/>
          <w:sz w:val="24"/>
          <w:szCs w:val="24"/>
        </w:rPr>
        <w:t xml:space="preserve">discordiae causa”.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Distinto concepto es el ofrecido por el Pacto de Bogotá, que en su artículo XI establece que “</w:t>
      </w:r>
      <w:r w:rsidRPr="00B93839">
        <w:rPr>
          <w:rFonts w:ascii="Times New Roman" w:hAnsi="Times New Roman" w:cs="Times New Roman"/>
          <w:i/>
          <w:sz w:val="24"/>
          <w:szCs w:val="24"/>
        </w:rPr>
        <w:t>consiste en someter la controversia a uno o más gobiernos americanos, o a uno o más ciudadanos eminentes de cualquier Estado Americano extraños a la controversia.</w:t>
      </w:r>
      <w:r>
        <w:rPr>
          <w:rFonts w:ascii="Times New Roman" w:hAnsi="Times New Roman" w:cs="Times New Roman"/>
          <w:sz w:val="24"/>
          <w:szCs w:val="24"/>
        </w:rPr>
        <w:t>”</w:t>
      </w:r>
      <w:r w:rsidRPr="008A71E4">
        <w:rPr>
          <w:rFonts w:ascii="Times New Roman" w:hAnsi="Times New Roman" w:cs="Times New Roman"/>
          <w:sz w:val="24"/>
          <w:szCs w:val="24"/>
        </w:rPr>
        <w:t xml:space="preserve"> </w:t>
      </w:r>
      <w:r>
        <w:rPr>
          <w:rFonts w:ascii="Times New Roman" w:hAnsi="Times New Roman" w:cs="Times New Roman"/>
          <w:sz w:val="24"/>
          <w:szCs w:val="24"/>
        </w:rPr>
        <w:t>Este concepto, a diferencia del Convenio de la Haya de 1907 puede adolecer de falta de claridad al fin exacto de la mediación internacional.</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 En ambos casos, bajo la perspectiva del </w:t>
      </w:r>
      <w:r>
        <w:rPr>
          <w:rFonts w:ascii="Times New Roman" w:hAnsi="Times New Roman" w:cs="Times New Roman"/>
          <w:i/>
          <w:sz w:val="24"/>
          <w:szCs w:val="24"/>
        </w:rPr>
        <w:t>Handbook</w:t>
      </w:r>
      <w:r>
        <w:rPr>
          <w:rFonts w:ascii="Times New Roman" w:hAnsi="Times New Roman" w:cs="Times New Roman"/>
          <w:sz w:val="24"/>
          <w:szCs w:val="24"/>
        </w:rPr>
        <w:t xml:space="preserve"> sobre el Arreglo Pacífico de controversias, la función de la mediación puede encaminarse a lograr una solución provisional de cara a lograr una solución permanente en el ejercicio de la autotutela de protección de los intereses nacionales, así como lograr un alto el fuego en el transcurso de un conflicto bélico. En todo caso habrá de atenderse a la naturaleza del conflicto, bien sea política, militar, económica o de cualquier otra índole, y si el conflicto puede resolverse bien sea por la vía jurisdiccional, otros medios pacíficos de solución de controversias o por la mediación </w:t>
      </w:r>
      <w:r w:rsidRPr="00E41DB9">
        <w:rPr>
          <w:rFonts w:ascii="Times New Roman" w:hAnsi="Times New Roman" w:cs="Times New Roman"/>
          <w:i/>
          <w:sz w:val="24"/>
          <w:szCs w:val="24"/>
        </w:rPr>
        <w:t>per se</w:t>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Las futuras tendencias de la mediación se perfilan en el </w:t>
      </w:r>
      <w:r w:rsidRPr="00036BCB">
        <w:rPr>
          <w:rFonts w:ascii="Times New Roman" w:hAnsi="Times New Roman" w:cs="Times New Roman"/>
          <w:sz w:val="24"/>
          <w:szCs w:val="24"/>
        </w:rPr>
        <w:t>Informe del Secretario General sobre el mejoramiento de la mediación y sus actividades de apoyo</w:t>
      </w:r>
      <w:r>
        <w:rPr>
          <w:rFonts w:ascii="Times New Roman" w:hAnsi="Times New Roman" w:cs="Times New Roman"/>
          <w:sz w:val="24"/>
          <w:szCs w:val="24"/>
        </w:rPr>
        <w:t xml:space="preserve">, de </w:t>
      </w:r>
      <w:r w:rsidRPr="00036BCB">
        <w:rPr>
          <w:rFonts w:ascii="Times New Roman" w:hAnsi="Times New Roman" w:cs="Times New Roman"/>
          <w:sz w:val="24"/>
          <w:szCs w:val="24"/>
        </w:rPr>
        <w:t>8 de abril de 2009</w:t>
      </w:r>
      <w:r>
        <w:rPr>
          <w:rFonts w:ascii="Times New Roman" w:hAnsi="Times New Roman" w:cs="Times New Roman"/>
          <w:sz w:val="24"/>
          <w:szCs w:val="24"/>
        </w:rPr>
        <w:t xml:space="preserve"> (</w:t>
      </w:r>
      <w:r w:rsidRPr="00036BCB">
        <w:rPr>
          <w:rFonts w:ascii="Times New Roman" w:hAnsi="Times New Roman" w:cs="Times New Roman"/>
          <w:sz w:val="24"/>
          <w:szCs w:val="24"/>
        </w:rPr>
        <w:t>S/2009/189</w:t>
      </w:r>
      <w:r>
        <w:rPr>
          <w:rFonts w:ascii="Times New Roman" w:hAnsi="Times New Roman" w:cs="Times New Roman"/>
          <w:sz w:val="24"/>
          <w:szCs w:val="24"/>
        </w:rPr>
        <w:t>). Entre las medidas institucionales a destacar, comunicó la creación de una Dependencia de Apoyo a la Mediación encuadrada dentro del Departamento de Asuntos Políticos de la Organización de Naciones Unidas</w:t>
      </w:r>
      <w:r>
        <w:rPr>
          <w:rStyle w:val="Refdenotaalpie"/>
          <w:rFonts w:ascii="Times New Roman" w:hAnsi="Times New Roman" w:cs="Times New Roman"/>
          <w:sz w:val="24"/>
          <w:szCs w:val="24"/>
        </w:rPr>
        <w:footnoteReference w:id="27"/>
      </w:r>
      <w:r>
        <w:rPr>
          <w:rFonts w:ascii="Times New Roman" w:hAnsi="Times New Roman" w:cs="Times New Roman"/>
          <w:sz w:val="24"/>
          <w:szCs w:val="24"/>
        </w:rPr>
        <w:t xml:space="preserve">. En el documento. El Secretario General sugiere varias recomendaciones para el progreso de la mediación, como reforzar la labor de prevención y solución de conflictos mediante la intervención temprana en Naciones Unidas; la profesionalización del apoyo operacional que se presta a los mediadores con analistas políticos, expertos en mediación y temas externos como seguridad, procesos constitucionales, elecciones, reparto de poder, estado de derecho, </w:t>
      </w:r>
      <w:r w:rsidRPr="00EE23DF">
        <w:rPr>
          <w:rFonts w:ascii="Times New Roman" w:hAnsi="Times New Roman" w:cs="Times New Roman"/>
          <w:sz w:val="24"/>
          <w:szCs w:val="24"/>
        </w:rPr>
        <w:t>derec</w:t>
      </w:r>
      <w:r>
        <w:rPr>
          <w:rFonts w:ascii="Times New Roman" w:hAnsi="Times New Roman" w:cs="Times New Roman"/>
          <w:sz w:val="24"/>
          <w:szCs w:val="24"/>
        </w:rPr>
        <w:t xml:space="preserve">hos humanos, </w:t>
      </w:r>
      <w:r w:rsidRPr="00EE23DF">
        <w:rPr>
          <w:rFonts w:ascii="Times New Roman" w:hAnsi="Times New Roman" w:cs="Times New Roman"/>
          <w:sz w:val="24"/>
          <w:szCs w:val="24"/>
        </w:rPr>
        <w:t>refugiados</w:t>
      </w:r>
      <w:r>
        <w:rPr>
          <w:rFonts w:ascii="Times New Roman" w:hAnsi="Times New Roman" w:cs="Times New Roman"/>
          <w:sz w:val="24"/>
          <w:szCs w:val="24"/>
        </w:rPr>
        <w:t>, cuestiones de género,</w:t>
      </w:r>
      <w:r w:rsidRPr="00EE23DF">
        <w:rPr>
          <w:rFonts w:ascii="Times New Roman" w:hAnsi="Times New Roman" w:cs="Times New Roman"/>
          <w:sz w:val="24"/>
          <w:szCs w:val="24"/>
        </w:rPr>
        <w:t xml:space="preserve"> protección </w:t>
      </w:r>
      <w:r>
        <w:rPr>
          <w:rFonts w:ascii="Times New Roman" w:hAnsi="Times New Roman" w:cs="Times New Roman"/>
          <w:sz w:val="24"/>
          <w:szCs w:val="24"/>
        </w:rPr>
        <w:t xml:space="preserve">de la infancia, justicia de transición, y </w:t>
      </w:r>
      <w:r w:rsidRPr="00EE23DF">
        <w:rPr>
          <w:rFonts w:ascii="Times New Roman" w:hAnsi="Times New Roman" w:cs="Times New Roman"/>
          <w:sz w:val="24"/>
          <w:szCs w:val="24"/>
        </w:rPr>
        <w:t>distribución de la riqueza</w:t>
      </w:r>
      <w:r>
        <w:rPr>
          <w:rFonts w:ascii="Times New Roman" w:hAnsi="Times New Roman" w:cs="Times New Roman"/>
          <w:sz w:val="24"/>
          <w:szCs w:val="24"/>
        </w:rPr>
        <w:t>; y además de este listado expertos en financiación flexible y opciones administrativas y logísticas</w:t>
      </w:r>
      <w:r>
        <w:rPr>
          <w:rStyle w:val="Refdenotaalpie"/>
          <w:rFonts w:ascii="Times New Roman" w:hAnsi="Times New Roman" w:cs="Times New Roman"/>
          <w:sz w:val="24"/>
          <w:szCs w:val="24"/>
        </w:rPr>
        <w:footnoteReference w:id="28"/>
      </w:r>
      <w:r>
        <w:rPr>
          <w:rFonts w:ascii="Times New Roman" w:hAnsi="Times New Roman" w:cs="Times New Roman"/>
          <w:sz w:val="24"/>
          <w:szCs w:val="24"/>
        </w:rPr>
        <w:t>; mejorar la formación de la próxima generación de mediadores de Naciones Unidas creando una estructura con los Estados miembros; f</w:t>
      </w:r>
      <w:r w:rsidRPr="00C66DC6">
        <w:rPr>
          <w:rFonts w:ascii="Times New Roman" w:hAnsi="Times New Roman" w:cs="Times New Roman"/>
          <w:sz w:val="24"/>
          <w:szCs w:val="24"/>
        </w:rPr>
        <w:t xml:space="preserve">orjar asociaciones más estrechas con las organizaciones regionales y  subregionales </w:t>
      </w:r>
      <w:r>
        <w:rPr>
          <w:rFonts w:ascii="Times New Roman" w:hAnsi="Times New Roman" w:cs="Times New Roman"/>
          <w:sz w:val="24"/>
          <w:szCs w:val="24"/>
        </w:rPr>
        <w:t>o f</w:t>
      </w:r>
      <w:r w:rsidRPr="00C66DC6">
        <w:rPr>
          <w:rFonts w:ascii="Times New Roman" w:hAnsi="Times New Roman" w:cs="Times New Roman"/>
          <w:sz w:val="24"/>
          <w:szCs w:val="24"/>
        </w:rPr>
        <w:t>omentar la capacidad nacional y local para la prevención y solución de conflictos</w:t>
      </w:r>
      <w:r>
        <w:rPr>
          <w:rFonts w:ascii="Times New Roman" w:hAnsi="Times New Roman" w:cs="Times New Roman"/>
          <w:sz w:val="24"/>
          <w:szCs w:val="24"/>
        </w:rPr>
        <w:t>, entre otros.</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2.2 PROCEDIMIENTO DE MEDIACIÓN INTERNACIONAL ENTRE ESTADOS.</w:t>
      </w:r>
      <w:r>
        <w:rPr>
          <w:rFonts w:ascii="Times New Roman" w:hAnsi="Times New Roman" w:cs="Times New Roman"/>
          <w:sz w:val="24"/>
          <w:szCs w:val="24"/>
        </w:rPr>
        <w:tab/>
      </w:r>
      <w:r>
        <w:rPr>
          <w:rFonts w:ascii="Times New Roman" w:hAnsi="Times New Roman" w:cs="Times New Roman"/>
          <w:sz w:val="24"/>
          <w:szCs w:val="24"/>
        </w:rPr>
        <w:tab/>
        <w:t xml:space="preserve"> Para que se inicie un procedimiento de mediación internacional entre estados es necesario, en primer lugar</w:t>
      </w:r>
      <w:r>
        <w:rPr>
          <w:rStyle w:val="Refdenotaalpie"/>
          <w:rFonts w:ascii="Times New Roman" w:hAnsi="Times New Roman" w:cs="Times New Roman"/>
          <w:sz w:val="24"/>
          <w:szCs w:val="24"/>
        </w:rPr>
        <w:footnoteReference w:id="29"/>
      </w:r>
      <w:r>
        <w:rPr>
          <w:rFonts w:ascii="Times New Roman" w:hAnsi="Times New Roman" w:cs="Times New Roman"/>
          <w:sz w:val="24"/>
          <w:szCs w:val="24"/>
        </w:rPr>
        <w:t>, la iniciativa de un tercer</w:t>
      </w:r>
      <w:r w:rsidR="00A3585C">
        <w:rPr>
          <w:rFonts w:ascii="Times New Roman" w:hAnsi="Times New Roman" w:cs="Times New Roman"/>
          <w:sz w:val="24"/>
          <w:szCs w:val="24"/>
        </w:rPr>
        <w:t>o</w:t>
      </w:r>
      <w:r>
        <w:rPr>
          <w:rFonts w:ascii="Times New Roman" w:hAnsi="Times New Roman" w:cs="Times New Roman"/>
          <w:sz w:val="24"/>
          <w:szCs w:val="24"/>
        </w:rPr>
        <w:t xml:space="preserve"> ajeno que ofrezca sus servicios de mediación y que a su vez ésta sea aceptada por las partes del conflicto, o bien que las dos </w:t>
      </w:r>
      <w:r>
        <w:rPr>
          <w:rFonts w:ascii="Times New Roman" w:hAnsi="Times New Roman" w:cs="Times New Roman"/>
          <w:sz w:val="24"/>
          <w:szCs w:val="24"/>
        </w:rPr>
        <w:lastRenderedPageBreak/>
        <w:t>partes en conflicto acuerden ellas mismas someterse a mediación. En ambos casos puede plasmarse por escrito</w:t>
      </w:r>
      <w:r>
        <w:rPr>
          <w:rStyle w:val="Refdenotaalpie"/>
          <w:rFonts w:ascii="Times New Roman" w:hAnsi="Times New Roman" w:cs="Times New Roman"/>
          <w:sz w:val="24"/>
          <w:szCs w:val="24"/>
        </w:rPr>
        <w:footnoteReference w:id="30"/>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Como requisito </w:t>
      </w:r>
      <w:r>
        <w:rPr>
          <w:rFonts w:ascii="Times New Roman" w:hAnsi="Times New Roman" w:cs="Times New Roman"/>
          <w:i/>
          <w:sz w:val="24"/>
          <w:szCs w:val="24"/>
        </w:rPr>
        <w:t xml:space="preserve">sine qua </w:t>
      </w:r>
      <w:r w:rsidRPr="00FC37D8">
        <w:rPr>
          <w:rFonts w:ascii="Times New Roman" w:hAnsi="Times New Roman" w:cs="Times New Roman"/>
          <w:i/>
          <w:sz w:val="24"/>
          <w:szCs w:val="24"/>
        </w:rPr>
        <w:t>non</w:t>
      </w:r>
      <w:r>
        <w:rPr>
          <w:rFonts w:ascii="Times New Roman" w:hAnsi="Times New Roman" w:cs="Times New Roman"/>
          <w:sz w:val="24"/>
          <w:szCs w:val="24"/>
        </w:rPr>
        <w:t xml:space="preserve"> se hace necesaria la voluntad de las partes, tanto para el inicio del sometimiento a la mediación como en el transcurso del mismo procedimiento. Tal es así que en el artículo XII </w:t>
      </w:r>
      <w:r w:rsidRPr="00FC37D8">
        <w:rPr>
          <w:rFonts w:ascii="Times New Roman" w:hAnsi="Times New Roman" w:cs="Times New Roman"/>
          <w:i/>
          <w:sz w:val="24"/>
          <w:szCs w:val="24"/>
        </w:rPr>
        <w:t>in fine</w:t>
      </w:r>
      <w:r>
        <w:rPr>
          <w:rFonts w:ascii="Times New Roman" w:hAnsi="Times New Roman" w:cs="Times New Roman"/>
          <w:sz w:val="24"/>
          <w:szCs w:val="24"/>
        </w:rPr>
        <w:t xml:space="preserve"> del Pacto de Bogotá de 1948 se explicita que “</w:t>
      </w:r>
      <w:r w:rsidRPr="00FC37D8">
        <w:rPr>
          <w:rFonts w:ascii="Times New Roman" w:hAnsi="Times New Roman" w:cs="Times New Roman"/>
          <w:i/>
          <w:sz w:val="24"/>
          <w:szCs w:val="24"/>
        </w:rPr>
        <w:t>En uno y otro caso el mediador o los mediadores serán escogidos de común acuerdo por las partes</w:t>
      </w:r>
      <w:r>
        <w:rPr>
          <w:rFonts w:ascii="Times New Roman" w:hAnsi="Times New Roman" w:cs="Times New Roman"/>
          <w:sz w:val="24"/>
          <w:szCs w:val="24"/>
        </w:rPr>
        <w:t>”. En el Convenio de la Haya de 1907 no se utiliza una fórmula expresa, pero sí se puede extr</w:t>
      </w:r>
      <w:r w:rsidR="0061151B">
        <w:rPr>
          <w:rFonts w:ascii="Times New Roman" w:hAnsi="Times New Roman" w:cs="Times New Roman"/>
          <w:sz w:val="24"/>
          <w:szCs w:val="24"/>
        </w:rPr>
        <w:t xml:space="preserve">aer de varios de sus artículos: </w:t>
      </w:r>
      <w:r>
        <w:rPr>
          <w:rFonts w:ascii="Times New Roman" w:hAnsi="Times New Roman" w:cs="Times New Roman"/>
          <w:sz w:val="24"/>
          <w:szCs w:val="24"/>
        </w:rPr>
        <w:t>en el artículo 2, al decir que las partes acuerdan recurrir a los buenos oficios o la mediación, el mero ofrecimiento de dos elecciones es indicador, bajo mi punto de</w:t>
      </w:r>
      <w:r w:rsidR="0061151B">
        <w:rPr>
          <w:rFonts w:ascii="Times New Roman" w:hAnsi="Times New Roman" w:cs="Times New Roman"/>
          <w:sz w:val="24"/>
          <w:szCs w:val="24"/>
        </w:rPr>
        <w:t xml:space="preserve"> vista, de la no obligatoriedad; y a</w:t>
      </w:r>
      <w:r>
        <w:rPr>
          <w:rFonts w:ascii="Times New Roman" w:hAnsi="Times New Roman" w:cs="Times New Roman"/>
          <w:sz w:val="24"/>
          <w:szCs w:val="24"/>
        </w:rPr>
        <w:t>demás el artículo 5 del mismo Convenio hace alusión al abandono en el transcurso del procedimiento de mediación bajo aceptación de las partes o del propio mediador</w:t>
      </w:r>
      <w:r>
        <w:rPr>
          <w:rStyle w:val="Refdenotaalpie"/>
          <w:rFonts w:ascii="Times New Roman" w:hAnsi="Times New Roman" w:cs="Times New Roman"/>
          <w:sz w:val="24"/>
          <w:szCs w:val="24"/>
        </w:rPr>
        <w:footnoteReference w:id="31"/>
      </w:r>
      <w:r>
        <w:rPr>
          <w:rFonts w:ascii="Times New Roman" w:hAnsi="Times New Roman" w:cs="Times New Roman"/>
          <w:i/>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Esta prestación del consentimiento puede tener una base </w:t>
      </w:r>
      <w:r w:rsidRPr="006F6239">
        <w:rPr>
          <w:rFonts w:ascii="Times New Roman" w:hAnsi="Times New Roman" w:cs="Times New Roman"/>
          <w:i/>
          <w:sz w:val="24"/>
          <w:szCs w:val="24"/>
        </w:rPr>
        <w:t>ad hoc</w:t>
      </w:r>
      <w:r>
        <w:rPr>
          <w:rFonts w:ascii="Times New Roman" w:hAnsi="Times New Roman" w:cs="Times New Roman"/>
          <w:sz w:val="24"/>
          <w:szCs w:val="24"/>
        </w:rPr>
        <w:t xml:space="preserve">, aunque también puede preverse expresamente como clausula en un tratado ya sea bilateral como multilateral. Las variables pueden ser diversas: la </w:t>
      </w:r>
      <w:r w:rsidRPr="006F6239">
        <w:rPr>
          <w:rFonts w:ascii="Times New Roman" w:hAnsi="Times New Roman" w:cs="Times New Roman"/>
          <w:sz w:val="24"/>
          <w:szCs w:val="24"/>
        </w:rPr>
        <w:t>comunicación</w:t>
      </w:r>
      <w:r>
        <w:rPr>
          <w:rFonts w:ascii="Times New Roman" w:hAnsi="Times New Roman" w:cs="Times New Roman"/>
          <w:sz w:val="24"/>
          <w:szCs w:val="24"/>
        </w:rPr>
        <w:t xml:space="preserve"> entre las partes</w:t>
      </w:r>
      <w:r w:rsidRPr="006F6239">
        <w:rPr>
          <w:rFonts w:ascii="Times New Roman" w:hAnsi="Times New Roman" w:cs="Times New Roman"/>
          <w:sz w:val="24"/>
          <w:szCs w:val="24"/>
        </w:rPr>
        <w:t xml:space="preserve">, </w:t>
      </w:r>
      <w:r>
        <w:rPr>
          <w:rFonts w:ascii="Times New Roman" w:hAnsi="Times New Roman" w:cs="Times New Roman"/>
          <w:sz w:val="24"/>
          <w:szCs w:val="24"/>
        </w:rPr>
        <w:t>el conocimiento de los hechos</w:t>
      </w:r>
      <w:r w:rsidRPr="006F6239">
        <w:rPr>
          <w:rFonts w:ascii="Times New Roman" w:hAnsi="Times New Roman" w:cs="Times New Roman"/>
          <w:sz w:val="24"/>
          <w:szCs w:val="24"/>
        </w:rPr>
        <w:t>, la elaboración de propuestas</w:t>
      </w:r>
      <w:r>
        <w:rPr>
          <w:rFonts w:ascii="Times New Roman" w:hAnsi="Times New Roman" w:cs="Times New Roman"/>
          <w:sz w:val="24"/>
          <w:szCs w:val="24"/>
        </w:rPr>
        <w:t xml:space="preserve"> previas</w:t>
      </w:r>
      <w:r w:rsidRPr="006F6239">
        <w:rPr>
          <w:rFonts w:ascii="Times New Roman" w:hAnsi="Times New Roman" w:cs="Times New Roman"/>
          <w:sz w:val="24"/>
          <w:szCs w:val="24"/>
        </w:rPr>
        <w:t xml:space="preserve">, la búsqueda de puntos de acuerdo entre las partes, la </w:t>
      </w:r>
      <w:r>
        <w:rPr>
          <w:rFonts w:ascii="Times New Roman" w:hAnsi="Times New Roman" w:cs="Times New Roman"/>
          <w:sz w:val="24"/>
          <w:szCs w:val="24"/>
        </w:rPr>
        <w:t>voluntad o no de</w:t>
      </w:r>
      <w:r w:rsidRPr="006F6239">
        <w:rPr>
          <w:rFonts w:ascii="Times New Roman" w:hAnsi="Times New Roman" w:cs="Times New Roman"/>
          <w:sz w:val="24"/>
          <w:szCs w:val="24"/>
        </w:rPr>
        <w:t xml:space="preserve"> evitar o minimizar los problemas en los que las partes </w:t>
      </w:r>
      <w:r>
        <w:rPr>
          <w:rFonts w:ascii="Times New Roman" w:hAnsi="Times New Roman" w:cs="Times New Roman"/>
          <w:sz w:val="24"/>
          <w:szCs w:val="24"/>
        </w:rPr>
        <w:t xml:space="preserve">permanecen </w:t>
      </w:r>
      <w:r w:rsidRPr="006F6239">
        <w:rPr>
          <w:rFonts w:ascii="Times New Roman" w:hAnsi="Times New Roman" w:cs="Times New Roman"/>
          <w:sz w:val="24"/>
          <w:szCs w:val="24"/>
        </w:rPr>
        <w:t>divid</w:t>
      </w:r>
      <w:r>
        <w:rPr>
          <w:rFonts w:ascii="Times New Roman" w:hAnsi="Times New Roman" w:cs="Times New Roman"/>
          <w:sz w:val="24"/>
          <w:szCs w:val="24"/>
        </w:rPr>
        <w:t xml:space="preserve">idas, etc. Pero en todo caso la mediación tiene el </w:t>
      </w:r>
      <w:r w:rsidRPr="006F6239">
        <w:rPr>
          <w:rFonts w:ascii="Times New Roman" w:hAnsi="Times New Roman" w:cs="Times New Roman"/>
          <w:sz w:val="24"/>
          <w:szCs w:val="24"/>
        </w:rPr>
        <w:t xml:space="preserve">objetivo principal </w:t>
      </w:r>
      <w:r>
        <w:rPr>
          <w:rFonts w:ascii="Times New Roman" w:hAnsi="Times New Roman" w:cs="Times New Roman"/>
          <w:sz w:val="24"/>
          <w:szCs w:val="24"/>
        </w:rPr>
        <w:t>buscar una</w:t>
      </w:r>
      <w:r w:rsidRPr="006F6239">
        <w:rPr>
          <w:rFonts w:ascii="Times New Roman" w:hAnsi="Times New Roman" w:cs="Times New Roman"/>
          <w:sz w:val="24"/>
          <w:szCs w:val="24"/>
        </w:rPr>
        <w:t xml:space="preserve"> solución pronta y </w:t>
      </w:r>
      <w:r>
        <w:rPr>
          <w:rFonts w:ascii="Times New Roman" w:hAnsi="Times New Roman" w:cs="Times New Roman"/>
          <w:sz w:val="24"/>
          <w:szCs w:val="24"/>
        </w:rPr>
        <w:t xml:space="preserve">decisiva en la </w:t>
      </w:r>
      <w:r w:rsidRPr="006F6239">
        <w:rPr>
          <w:rFonts w:ascii="Times New Roman" w:hAnsi="Times New Roman" w:cs="Times New Roman"/>
          <w:sz w:val="24"/>
          <w:szCs w:val="24"/>
        </w:rPr>
        <w:t xml:space="preserve">disputa. </w:t>
      </w:r>
      <w:r>
        <w:rPr>
          <w:rFonts w:ascii="Times New Roman" w:hAnsi="Times New Roman" w:cs="Times New Roman"/>
          <w:sz w:val="24"/>
          <w:szCs w:val="24"/>
        </w:rPr>
        <w:t>Por ello el artículo XII del Pact</w:t>
      </w:r>
      <w:r w:rsidR="000D63EE">
        <w:rPr>
          <w:rFonts w:ascii="Times New Roman" w:hAnsi="Times New Roman" w:cs="Times New Roman"/>
          <w:sz w:val="24"/>
          <w:szCs w:val="24"/>
        </w:rPr>
        <w:t>o de Bogotá de 1948 establece el</w:t>
      </w:r>
      <w:r>
        <w:rPr>
          <w:rFonts w:ascii="Times New Roman" w:hAnsi="Times New Roman" w:cs="Times New Roman"/>
          <w:sz w:val="24"/>
          <w:szCs w:val="24"/>
        </w:rPr>
        <w:t xml:space="preserve"> principio de evasión de formalidades</w:t>
      </w:r>
      <w:r w:rsidR="000D63EE">
        <w:rPr>
          <w:rFonts w:ascii="Times New Roman" w:hAnsi="Times New Roman" w:cs="Times New Roman"/>
          <w:sz w:val="24"/>
          <w:szCs w:val="24"/>
        </w:rPr>
        <w:t xml:space="preserve"> (también denominado informal o de simplificación)</w:t>
      </w:r>
      <w:r>
        <w:rPr>
          <w:rFonts w:ascii="Times New Roman" w:hAnsi="Times New Roman" w:cs="Times New Roman"/>
          <w:sz w:val="24"/>
          <w:szCs w:val="24"/>
        </w:rPr>
        <w:t>, es decir, indicando que el mediador ejercerá sus funciones de la manera más sencilla y directa evadiendo formalidades para el logro efectivo del resultado</w:t>
      </w:r>
      <w:r w:rsidR="000D63EE">
        <w:rPr>
          <w:rFonts w:ascii="Times New Roman" w:hAnsi="Times New Roman" w:cs="Times New Roman"/>
          <w:sz w:val="24"/>
          <w:szCs w:val="24"/>
        </w:rPr>
        <w:t>, que impregnará el desarrollo y tramitación del procedimiento para la efectiva consecución el fin último de la mediación, como es el logro de un acuerdo que ponga fin a la controversia</w:t>
      </w:r>
      <w:r>
        <w:rPr>
          <w:rStyle w:val="Refdenotaalpie"/>
          <w:rFonts w:ascii="Times New Roman" w:hAnsi="Times New Roman" w:cs="Times New Roman"/>
          <w:sz w:val="24"/>
          <w:szCs w:val="24"/>
        </w:rPr>
        <w:footnoteReference w:id="32"/>
      </w:r>
      <w:r>
        <w:rPr>
          <w:rFonts w:ascii="Times New Roman" w:hAnsi="Times New Roman" w:cs="Times New Roman"/>
          <w:sz w:val="24"/>
          <w:szCs w:val="24"/>
        </w:rPr>
        <w:t xml:space="preserve">. Este principio está muy relacionado con la imparcialidad del mediador, pues es necesario que el </w:t>
      </w:r>
      <w:r w:rsidR="000D63EE">
        <w:rPr>
          <w:rFonts w:ascii="Times New Roman" w:hAnsi="Times New Roman" w:cs="Times New Roman"/>
          <w:sz w:val="24"/>
          <w:szCs w:val="24"/>
        </w:rPr>
        <w:t>mismo</w:t>
      </w:r>
      <w:r>
        <w:rPr>
          <w:rFonts w:ascii="Times New Roman" w:hAnsi="Times New Roman" w:cs="Times New Roman"/>
          <w:sz w:val="24"/>
          <w:szCs w:val="24"/>
        </w:rPr>
        <w:t xml:space="preserve"> posea una imparcialidad manifestada en un doble plano: la comprensión de las </w:t>
      </w:r>
      <w:r w:rsidRPr="006F6239">
        <w:rPr>
          <w:rFonts w:ascii="Times New Roman" w:hAnsi="Times New Roman" w:cs="Times New Roman"/>
          <w:sz w:val="24"/>
          <w:szCs w:val="24"/>
        </w:rPr>
        <w:t>posiciones</w:t>
      </w:r>
      <w:r>
        <w:rPr>
          <w:rFonts w:ascii="Times New Roman" w:hAnsi="Times New Roman" w:cs="Times New Roman"/>
          <w:sz w:val="24"/>
          <w:szCs w:val="24"/>
        </w:rPr>
        <w:t xml:space="preserve"> de las partes y no estar sesgado en su opinión por cualquiera de ellas.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Respecto a la composición también dependerá de la voluntad de las partes en la controversia que se someta a mediación</w:t>
      </w:r>
      <w:r>
        <w:rPr>
          <w:rStyle w:val="Refdenotaalpie"/>
          <w:rFonts w:ascii="Times New Roman" w:hAnsi="Times New Roman" w:cs="Times New Roman"/>
          <w:sz w:val="24"/>
          <w:szCs w:val="24"/>
        </w:rPr>
        <w:footnoteReference w:id="33"/>
      </w:r>
      <w:r>
        <w:rPr>
          <w:rFonts w:ascii="Times New Roman" w:hAnsi="Times New Roman" w:cs="Times New Roman"/>
          <w:sz w:val="24"/>
          <w:szCs w:val="24"/>
        </w:rPr>
        <w:t>. Son muchas las opciones que se pueden tomar: bien que sea un solo estado, un grupo de estados, una organización internacional con organismos especializados ya sea a nivel mundial o regional</w:t>
      </w:r>
      <w:r>
        <w:rPr>
          <w:rStyle w:val="Refdenotaalpie"/>
          <w:rFonts w:ascii="Times New Roman" w:hAnsi="Times New Roman" w:cs="Times New Roman"/>
          <w:sz w:val="24"/>
          <w:szCs w:val="24"/>
        </w:rPr>
        <w:footnoteReference w:id="34"/>
      </w:r>
      <w:r>
        <w:rPr>
          <w:rFonts w:ascii="Times New Roman" w:hAnsi="Times New Roman" w:cs="Times New Roman"/>
          <w:sz w:val="24"/>
          <w:szCs w:val="24"/>
        </w:rPr>
        <w:t>, incluso asociaciones o personas particulares. En su modo de actuación puede ser o bien actuando solos o asesorándose por un comité establecido</w:t>
      </w:r>
      <w:r>
        <w:rPr>
          <w:rStyle w:val="Refdenotaalpie"/>
          <w:rFonts w:ascii="Times New Roman" w:hAnsi="Times New Roman" w:cs="Times New Roman"/>
          <w:sz w:val="24"/>
          <w:szCs w:val="24"/>
        </w:rPr>
        <w:footnoteReference w:id="35"/>
      </w:r>
      <w:r>
        <w:rPr>
          <w:rFonts w:ascii="Times New Roman" w:hAnsi="Times New Roman" w:cs="Times New Roman"/>
          <w:sz w:val="24"/>
          <w:szCs w:val="24"/>
        </w:rPr>
        <w:t>. Desde el punto de vista institucional, la Organización de Naciones Unidas ha intervenido en la mediación por varios conductos: bien sea por la mediación del Secretario General, la Asamblea General</w:t>
      </w:r>
      <w:r>
        <w:rPr>
          <w:rStyle w:val="Refdenotaalpie"/>
          <w:rFonts w:ascii="Times New Roman" w:hAnsi="Times New Roman" w:cs="Times New Roman"/>
          <w:sz w:val="24"/>
          <w:szCs w:val="24"/>
        </w:rPr>
        <w:footnoteReference w:id="36"/>
      </w:r>
      <w:r>
        <w:rPr>
          <w:rFonts w:ascii="Times New Roman" w:hAnsi="Times New Roman" w:cs="Times New Roman"/>
          <w:sz w:val="24"/>
          <w:szCs w:val="24"/>
        </w:rPr>
        <w:t xml:space="preserve"> o el Consejo de Seguridad</w:t>
      </w:r>
      <w:r>
        <w:rPr>
          <w:rStyle w:val="Refdenotaalpie"/>
          <w:rFonts w:ascii="Times New Roman" w:hAnsi="Times New Roman" w:cs="Times New Roman"/>
          <w:sz w:val="24"/>
          <w:szCs w:val="24"/>
        </w:rPr>
        <w:footnoteReference w:id="37"/>
      </w:r>
      <w:r>
        <w:rPr>
          <w:rFonts w:ascii="Times New Roman" w:hAnsi="Times New Roman" w:cs="Times New Roman"/>
          <w:sz w:val="24"/>
          <w:szCs w:val="24"/>
        </w:rPr>
        <w:t xml:space="preserve"> en labores de mediación.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Respecto a la duración del procedimiento de mediación, el </w:t>
      </w:r>
      <w:r>
        <w:rPr>
          <w:rFonts w:ascii="Times New Roman" w:hAnsi="Times New Roman" w:cs="Times New Roman"/>
          <w:i/>
          <w:sz w:val="24"/>
          <w:szCs w:val="24"/>
        </w:rPr>
        <w:t>Handbook</w:t>
      </w:r>
      <w:r>
        <w:rPr>
          <w:rFonts w:ascii="Times New Roman" w:hAnsi="Times New Roman" w:cs="Times New Roman"/>
          <w:sz w:val="24"/>
          <w:szCs w:val="24"/>
        </w:rPr>
        <w:t xml:space="preserve"> sobre el Arreglo Pacífico de controversias interpreta que la mediación es una vía pacífica de solución </w:t>
      </w:r>
      <w:r w:rsidR="006104B0">
        <w:rPr>
          <w:rFonts w:ascii="Times New Roman" w:hAnsi="Times New Roman" w:cs="Times New Roman"/>
          <w:sz w:val="24"/>
          <w:szCs w:val="24"/>
        </w:rPr>
        <w:t>la cual,</w:t>
      </w:r>
      <w:r>
        <w:rPr>
          <w:rFonts w:ascii="Times New Roman" w:hAnsi="Times New Roman" w:cs="Times New Roman"/>
          <w:sz w:val="24"/>
          <w:szCs w:val="24"/>
        </w:rPr>
        <w:t xml:space="preserve"> </w:t>
      </w:r>
      <w:r w:rsidR="006104B0">
        <w:rPr>
          <w:rFonts w:ascii="Times New Roman" w:hAnsi="Times New Roman" w:cs="Times New Roman"/>
          <w:sz w:val="24"/>
          <w:szCs w:val="24"/>
        </w:rPr>
        <w:t>si se intenta</w:t>
      </w:r>
      <w:r>
        <w:rPr>
          <w:rFonts w:ascii="Times New Roman" w:hAnsi="Times New Roman" w:cs="Times New Roman"/>
          <w:sz w:val="24"/>
          <w:szCs w:val="24"/>
        </w:rPr>
        <w:t xml:space="preserve"> sin éxito</w:t>
      </w:r>
      <w:r w:rsidR="006104B0">
        <w:rPr>
          <w:rFonts w:ascii="Times New Roman" w:hAnsi="Times New Roman" w:cs="Times New Roman"/>
          <w:sz w:val="24"/>
          <w:szCs w:val="24"/>
        </w:rPr>
        <w:t>,</w:t>
      </w:r>
      <w:r>
        <w:rPr>
          <w:rFonts w:ascii="Times New Roman" w:hAnsi="Times New Roman" w:cs="Times New Roman"/>
          <w:sz w:val="24"/>
          <w:szCs w:val="24"/>
        </w:rPr>
        <w:t xml:space="preserve"> ha de dar paso a otros procedimientos pacíficos de solución de controversias aceptados por las partes, lo que ha de repercutir en la duración del proceso</w:t>
      </w:r>
      <w:r>
        <w:rPr>
          <w:rStyle w:val="Refdenotaalpie"/>
          <w:rFonts w:ascii="Times New Roman" w:hAnsi="Times New Roman" w:cs="Times New Roman"/>
          <w:sz w:val="24"/>
          <w:szCs w:val="24"/>
        </w:rPr>
        <w:footnoteReference w:id="38"/>
      </w:r>
      <w:r>
        <w:rPr>
          <w:rFonts w:ascii="Times New Roman" w:hAnsi="Times New Roman" w:cs="Times New Roman"/>
          <w:sz w:val="24"/>
          <w:szCs w:val="24"/>
        </w:rPr>
        <w:t xml:space="preserve">. Tampoco ha de interpretarse una duración </w:t>
      </w:r>
      <w:r w:rsidR="006104B0">
        <w:rPr>
          <w:rFonts w:ascii="Times New Roman" w:hAnsi="Times New Roman" w:cs="Times New Roman"/>
          <w:sz w:val="24"/>
          <w:szCs w:val="24"/>
        </w:rPr>
        <w:t>ni tramitaciones rígidas</w:t>
      </w:r>
      <w:r>
        <w:rPr>
          <w:rFonts w:ascii="Times New Roman" w:hAnsi="Times New Roman" w:cs="Times New Roman"/>
          <w:sz w:val="24"/>
          <w:szCs w:val="24"/>
        </w:rPr>
        <w:t xml:space="preserve"> pues es un rasgo característico de este medio las pocas trabas formales a las que se ha de someter, pudiendo </w:t>
      </w:r>
      <w:r w:rsidR="00FD463F">
        <w:rPr>
          <w:rFonts w:ascii="Times New Roman" w:hAnsi="Times New Roman" w:cs="Times New Roman"/>
          <w:sz w:val="24"/>
          <w:szCs w:val="24"/>
        </w:rPr>
        <w:lastRenderedPageBreak/>
        <w:t>iniciarse el procedimiento mediante</w:t>
      </w:r>
      <w:r>
        <w:rPr>
          <w:rFonts w:ascii="Times New Roman" w:hAnsi="Times New Roman" w:cs="Times New Roman"/>
          <w:sz w:val="24"/>
          <w:szCs w:val="24"/>
        </w:rPr>
        <w:t xml:space="preserve"> acuerdos informales o simplificados. También existe un supuesto, el artículo XIII del Pacto de Bogotá de 1948, según el cual si habiéndose iniciado el procedimiento de mediación las partes </w:t>
      </w:r>
      <w:r w:rsidRPr="003906EA">
        <w:rPr>
          <w:rFonts w:ascii="Times New Roman" w:hAnsi="Times New Roman" w:cs="Times New Roman"/>
          <w:sz w:val="24"/>
          <w:szCs w:val="24"/>
        </w:rPr>
        <w:t xml:space="preserve">no pudieren ponerse de acuerdo en el plazo de dos meses sobre la elección del mediador o mediadores; o si iniciada la mediación transcurrieren hasta cinco meses sin llegar a la solución de la controversia, recurrirán sin demora a cualquiera de los otros procedimientos de arreglo pacífico </w:t>
      </w:r>
      <w:r>
        <w:rPr>
          <w:rFonts w:ascii="Times New Roman" w:hAnsi="Times New Roman" w:cs="Times New Roman"/>
          <w:sz w:val="24"/>
          <w:szCs w:val="24"/>
        </w:rPr>
        <w:t xml:space="preserve">que establecen el Pacto de Bogotá. Se impone un plazo de dos meses si no hay acuerdo para elegir al mediador o si iniciada la mediación transcurren cinco meses sin llegar a la solución de la controversia. Bajo mi punto de vista no sería adecuado extrapolar la idea del establecimiento de un plazo a la teoría general de Derecho internacional si hay un pacto expreso de no agresión entre las partes. El proceso de mediación puede llegar a ser lento, y la labor del mediador tratar de solucionar las asperezas de fondo que inicialmente motivaron el conflicto. No por ser lenta la labor ha de ser menos fructífera, y por tanto creo que si cesan las hostilidades entre las partes para someterse de forma pacífica al procedimiento de mediación sería adecuado prescindir del elemento tiempo, que podría ser utilizado como plazo de coacción.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Por otra parte tampoco se puede dejar que la mediación se enquiste llegando a “callejones sin salida”, opción probable teniendo en cuenta su esencia de autocomposición, y sin que se logre dar una solución eficaz a la controversia. Sería más aceptable, en su caso, establecer un criterio atemporal y objetivo basado en la efectividad de la mediación para interrumpir la mediación y desviar la solución de la controversia a otros medios pacíficos, tal y como la declaración de alguna de las partes o del mismo mediador, en el ejercicio de su voluntariedad para aceptar el procedimiento de mediación, al haber constatado que ha agotado todas las alternativas posibles para solucionar el conflicto en sí, o la mala fe que alguna de las partes pueda arrojar al proceso para dilatar el mismo.</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En apoyo de esta tesis, el documento de la o</w:t>
      </w:r>
      <w:r w:rsidR="00A3585C">
        <w:rPr>
          <w:rFonts w:ascii="Times New Roman" w:hAnsi="Times New Roman" w:cs="Times New Roman"/>
          <w:sz w:val="24"/>
          <w:szCs w:val="24"/>
        </w:rPr>
        <w:t>ficina de Asuntos Jurídicos de N</w:t>
      </w:r>
      <w:r>
        <w:rPr>
          <w:rFonts w:ascii="Times New Roman" w:hAnsi="Times New Roman" w:cs="Times New Roman"/>
          <w:sz w:val="24"/>
          <w:szCs w:val="24"/>
        </w:rPr>
        <w:t>aciones Unidas sobre el Arreglo Pacífico de controversias</w:t>
      </w:r>
      <w:r>
        <w:rPr>
          <w:rStyle w:val="Refdenotaalpie"/>
          <w:rFonts w:ascii="Times New Roman" w:hAnsi="Times New Roman" w:cs="Times New Roman"/>
          <w:sz w:val="24"/>
          <w:szCs w:val="24"/>
        </w:rPr>
        <w:footnoteReference w:id="39"/>
      </w:r>
      <w:r>
        <w:rPr>
          <w:rFonts w:ascii="Times New Roman" w:hAnsi="Times New Roman" w:cs="Times New Roman"/>
          <w:sz w:val="24"/>
          <w:szCs w:val="24"/>
        </w:rPr>
        <w:t xml:space="preserve"> interpreta que hay otras disposiciones relativas a la determinación de que el proceso puede darse por terminado. Tal puede ser el ya citado artículo 5 de la Convenio de la Haya de 1907, según el cual  </w:t>
      </w:r>
      <w:r w:rsidRPr="00700996">
        <w:rPr>
          <w:rFonts w:ascii="Times New Roman" w:hAnsi="Times New Roman" w:cs="Times New Roman"/>
          <w:sz w:val="24"/>
          <w:szCs w:val="24"/>
        </w:rPr>
        <w:t xml:space="preserve">las funciones del mediador </w:t>
      </w:r>
      <w:r>
        <w:rPr>
          <w:rFonts w:ascii="Times New Roman" w:hAnsi="Times New Roman" w:cs="Times New Roman"/>
          <w:sz w:val="24"/>
          <w:szCs w:val="24"/>
        </w:rPr>
        <w:t>finalizan cuando una de las p</w:t>
      </w:r>
      <w:r w:rsidRPr="00700996">
        <w:rPr>
          <w:rFonts w:ascii="Times New Roman" w:hAnsi="Times New Roman" w:cs="Times New Roman"/>
          <w:sz w:val="24"/>
          <w:szCs w:val="24"/>
        </w:rPr>
        <w:t xml:space="preserve">artes o el </w:t>
      </w:r>
      <w:r>
        <w:rPr>
          <w:rFonts w:ascii="Times New Roman" w:hAnsi="Times New Roman" w:cs="Times New Roman"/>
          <w:sz w:val="24"/>
          <w:szCs w:val="24"/>
        </w:rPr>
        <w:t xml:space="preserve">propio </w:t>
      </w:r>
      <w:r w:rsidRPr="00700996">
        <w:rPr>
          <w:rFonts w:ascii="Times New Roman" w:hAnsi="Times New Roman" w:cs="Times New Roman"/>
          <w:sz w:val="24"/>
          <w:szCs w:val="24"/>
        </w:rPr>
        <w:t>mediador ha</w:t>
      </w:r>
      <w:r>
        <w:rPr>
          <w:rFonts w:ascii="Times New Roman" w:hAnsi="Times New Roman" w:cs="Times New Roman"/>
          <w:sz w:val="24"/>
          <w:szCs w:val="24"/>
        </w:rPr>
        <w:t>n</w:t>
      </w:r>
      <w:r w:rsidRPr="00700996">
        <w:rPr>
          <w:rFonts w:ascii="Times New Roman" w:hAnsi="Times New Roman" w:cs="Times New Roman"/>
          <w:sz w:val="24"/>
          <w:szCs w:val="24"/>
        </w:rPr>
        <w:t xml:space="preserve"> hecho constar que los medios de </w:t>
      </w:r>
      <w:r>
        <w:rPr>
          <w:rFonts w:ascii="Times New Roman" w:hAnsi="Times New Roman" w:cs="Times New Roman"/>
          <w:sz w:val="24"/>
          <w:szCs w:val="24"/>
        </w:rPr>
        <w:t>propuestos por éste</w:t>
      </w:r>
      <w:r w:rsidRPr="00700996">
        <w:rPr>
          <w:rFonts w:ascii="Times New Roman" w:hAnsi="Times New Roman" w:cs="Times New Roman"/>
          <w:sz w:val="24"/>
          <w:szCs w:val="24"/>
        </w:rPr>
        <w:t xml:space="preserve"> no son aceptados</w:t>
      </w:r>
      <w:r>
        <w:rPr>
          <w:rFonts w:ascii="Times New Roman" w:hAnsi="Times New Roman" w:cs="Times New Roman"/>
          <w:sz w:val="24"/>
          <w:szCs w:val="24"/>
        </w:rPr>
        <w:t xml:space="preserve">. Valorando estos dos criterios considero que debe pesar </w:t>
      </w:r>
      <w:r>
        <w:rPr>
          <w:rFonts w:ascii="Times New Roman" w:hAnsi="Times New Roman" w:cs="Times New Roman"/>
          <w:sz w:val="24"/>
          <w:szCs w:val="24"/>
        </w:rPr>
        <w:lastRenderedPageBreak/>
        <w:t xml:space="preserve">más el establecido en el Convenio de la Haya, de carácter universal, frente al Pacto de Bogotá de 1948 suscrito a nivel regional.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El desenlace del proceso de mediación tiene una particularidad básica y es que el inicio del mismo no genera una resolución vinculante para las partes. El artículo 6 del Convenio de la Haya de 1907 deja claro que la mediación tiene</w:t>
      </w:r>
      <w:r w:rsidRPr="00135F3E">
        <w:rPr>
          <w:rFonts w:ascii="Times New Roman" w:hAnsi="Times New Roman" w:cs="Times New Roman"/>
          <w:sz w:val="24"/>
          <w:szCs w:val="24"/>
        </w:rPr>
        <w:t xml:space="preserve"> exclusivamente el carácter de consejo y no tienen jamás fuerza obligatoria</w:t>
      </w:r>
      <w:r>
        <w:rPr>
          <w:rFonts w:ascii="Times New Roman" w:hAnsi="Times New Roman" w:cs="Times New Roman"/>
          <w:sz w:val="24"/>
          <w:szCs w:val="24"/>
        </w:rPr>
        <w:t xml:space="preserve">. Esto quiere decir, como estipula el </w:t>
      </w:r>
      <w:r>
        <w:rPr>
          <w:rFonts w:ascii="Times New Roman" w:hAnsi="Times New Roman" w:cs="Times New Roman"/>
          <w:i/>
          <w:sz w:val="24"/>
          <w:szCs w:val="24"/>
        </w:rPr>
        <w:t>Handbook</w:t>
      </w:r>
      <w:r>
        <w:rPr>
          <w:rFonts w:ascii="Times New Roman" w:hAnsi="Times New Roman" w:cs="Times New Roman"/>
          <w:sz w:val="24"/>
          <w:szCs w:val="24"/>
        </w:rPr>
        <w:t xml:space="preserve"> para la Resolución de Conflictos, que aunque el resultado de la mediación no es obligatorio por sí mismo, sí pueden ser incluidos en otros instrumentos tales como un Tratado, un acuerdo, un protocolo, una declaración conjunta, un comunicado, un memorándum, un canje de instrumentos, un intercambio de carta o incluso un pacto de caballeros. Como ejemplo, en la Guerra del Chaco entre Paraguay y Bolivia el primer protocolo de acuerdo fue presenciado por un grupo de mediación compuesto por Argentina, Brasil, Uruguay, Perú y Estados Unidos y posteriormente se firmó el Tratado de Paz, Amistad y Límites entre las partes en conflicto en julio de 1938. De esta forma, aunque el contenido de la mediación no es vinculante, puede ser usado por las partes en conflicto para llegar a la solución de la disputa. No obstante, el mediador también puede disponer de una prestación de asistencia adicional para aplicar los resultados de la mediación o establecer garantías de la aplicación (como en el plano financiero), pero ello no influye en el carácter no obligatorio los resultados</w:t>
      </w:r>
      <w:r>
        <w:rPr>
          <w:rStyle w:val="Refdenotaalpie"/>
          <w:rFonts w:ascii="Times New Roman" w:hAnsi="Times New Roman" w:cs="Times New Roman"/>
          <w:sz w:val="24"/>
          <w:szCs w:val="24"/>
        </w:rPr>
        <w:footnoteReference w:id="40"/>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 REQUISITOS SUBJETIVOS DEL MEDIADOR Y DIRECTRICES </w:t>
      </w:r>
      <w:r w:rsidR="00113B0C">
        <w:rPr>
          <w:rFonts w:ascii="Times New Roman" w:hAnsi="Times New Roman" w:cs="Times New Roman"/>
          <w:sz w:val="24"/>
          <w:szCs w:val="24"/>
        </w:rPr>
        <w:t xml:space="preserve">DE LAS NACIONES UNIDAS </w:t>
      </w:r>
      <w:r>
        <w:rPr>
          <w:rFonts w:ascii="Times New Roman" w:hAnsi="Times New Roman" w:cs="Times New Roman"/>
          <w:sz w:val="24"/>
          <w:szCs w:val="24"/>
        </w:rPr>
        <w:t xml:space="preserve">PARA UNA MEDIACIÓN EFICAZ.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El estudio de la mediación internacional lleva implícito el de los requisitos subjetivos del mediador como profesional y experto en la solución de controversias internacionales.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El anexo al Informe del Secretario General de Naciones Unidas sobre una Mediación Eficaz (A/66/811) trae consigo las Directrices de Naciones Unidas para una mediación eficaz, que se puede considerar como texto de referencia sobre la ética profesional del mediador</w:t>
      </w:r>
      <w:r>
        <w:rPr>
          <w:rStyle w:val="Refdenotaalpie"/>
          <w:rFonts w:ascii="Times New Roman" w:hAnsi="Times New Roman" w:cs="Times New Roman"/>
          <w:sz w:val="24"/>
          <w:szCs w:val="24"/>
        </w:rPr>
        <w:footnoteReference w:id="41"/>
      </w:r>
      <w:r>
        <w:rPr>
          <w:rFonts w:ascii="Times New Roman" w:hAnsi="Times New Roman" w:cs="Times New Roman"/>
          <w:sz w:val="24"/>
          <w:szCs w:val="24"/>
        </w:rPr>
        <w:t xml:space="preserve">.  </w:t>
      </w:r>
      <w:r w:rsidR="00113B0C">
        <w:rPr>
          <w:rFonts w:ascii="Times New Roman" w:hAnsi="Times New Roman" w:cs="Times New Roman"/>
          <w:sz w:val="24"/>
          <w:szCs w:val="24"/>
        </w:rPr>
        <w:t>Si bien no posee la fuerza vinculante de los tratados (encuadrándose las Directrices en la órbita del “</w:t>
      </w:r>
      <w:r w:rsidR="00113B0C" w:rsidRPr="00113B0C">
        <w:rPr>
          <w:rFonts w:ascii="Times New Roman" w:hAnsi="Times New Roman" w:cs="Times New Roman"/>
          <w:i/>
          <w:sz w:val="24"/>
          <w:szCs w:val="24"/>
        </w:rPr>
        <w:t>soft-law</w:t>
      </w:r>
      <w:r w:rsidR="00113B0C">
        <w:rPr>
          <w:rFonts w:ascii="Times New Roman" w:hAnsi="Times New Roman" w:cs="Times New Roman"/>
          <w:sz w:val="24"/>
          <w:szCs w:val="24"/>
        </w:rPr>
        <w:t>”), orientan la labor del mediador a un planteamiento profesional</w:t>
      </w:r>
      <w:r w:rsidR="004D1658">
        <w:rPr>
          <w:rFonts w:ascii="Times New Roman" w:hAnsi="Times New Roman" w:cs="Times New Roman"/>
          <w:sz w:val="24"/>
          <w:szCs w:val="24"/>
        </w:rPr>
        <w:t>, ofreciendo además una interpretación cualificada del desarrollo de la mediación internacional</w:t>
      </w:r>
      <w:r w:rsidR="00113B0C">
        <w:rPr>
          <w:rFonts w:ascii="Times New Roman" w:hAnsi="Times New Roman" w:cs="Times New Roman"/>
          <w:sz w:val="24"/>
          <w:szCs w:val="24"/>
        </w:rPr>
        <w:t xml:space="preserve">. </w:t>
      </w:r>
      <w:r>
        <w:rPr>
          <w:rFonts w:ascii="Times New Roman" w:hAnsi="Times New Roman" w:cs="Times New Roman"/>
          <w:sz w:val="24"/>
          <w:szCs w:val="24"/>
        </w:rPr>
        <w:t xml:space="preserve">Los </w:t>
      </w:r>
      <w:r>
        <w:rPr>
          <w:rFonts w:ascii="Times New Roman" w:hAnsi="Times New Roman" w:cs="Times New Roman"/>
          <w:sz w:val="24"/>
          <w:szCs w:val="24"/>
        </w:rPr>
        <w:lastRenderedPageBreak/>
        <w:t>objetivos de estas Directrices, como se destaca en las conclusiones de dicho trabajo, se orientan a minimizar los problemas del mediador, teniendo en cuenta siempre la voluntad de las partes del conflicto.</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Estos requisitos subjetivos de la mediación internacional, al hacer referencia a capacidades concretas del mediador, no invalidarían el procedimiento general de mediación si ambas partes tienen la voluntad de someterse a la misma, pero si el mediador adolece de algún requisito subjetivo tal como la imparcialidad, podría justificar que a instancia de ambas partes o de una sola se solicite o bien no aceptar al mediador en cuestión antes de que se inicie el procedimiento de mediación o bien ya iniciado el procedimiento la sustitución del mismo por otro, siempre manteniendo la voluntad de solucionar el conflicto por la vía de la mediación.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2.3.1 LAS </w:t>
      </w:r>
      <w:r w:rsidR="00246FFD">
        <w:rPr>
          <w:rFonts w:ascii="Times New Roman" w:hAnsi="Times New Roman" w:cs="Times New Roman"/>
          <w:sz w:val="24"/>
          <w:szCs w:val="24"/>
        </w:rPr>
        <w:t>CARACTERÍSTICAS</w:t>
      </w:r>
      <w:r>
        <w:rPr>
          <w:rFonts w:ascii="Times New Roman" w:hAnsi="Times New Roman" w:cs="Times New Roman"/>
          <w:sz w:val="24"/>
          <w:szCs w:val="24"/>
        </w:rPr>
        <w:t xml:space="preserve"> DEL MEDIADOR.</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Las </w:t>
      </w:r>
      <w:r w:rsidR="00246FFD">
        <w:rPr>
          <w:rFonts w:ascii="Times New Roman" w:hAnsi="Times New Roman" w:cs="Times New Roman"/>
          <w:sz w:val="24"/>
          <w:szCs w:val="24"/>
        </w:rPr>
        <w:t>características</w:t>
      </w:r>
      <w:r>
        <w:rPr>
          <w:rFonts w:ascii="Times New Roman" w:hAnsi="Times New Roman" w:cs="Times New Roman"/>
          <w:sz w:val="24"/>
          <w:szCs w:val="24"/>
        </w:rPr>
        <w:t xml:space="preserve"> que ha de demo</w:t>
      </w:r>
      <w:r w:rsidR="00246FFD">
        <w:rPr>
          <w:rFonts w:ascii="Times New Roman" w:hAnsi="Times New Roman" w:cs="Times New Roman"/>
          <w:sz w:val="24"/>
          <w:szCs w:val="24"/>
        </w:rPr>
        <w:t xml:space="preserve">strar el mediador se orientan principalmente a la búsqueda de una solución final </w:t>
      </w:r>
      <w:r>
        <w:rPr>
          <w:rFonts w:ascii="Times New Roman" w:hAnsi="Times New Roman" w:cs="Times New Roman"/>
          <w:sz w:val="24"/>
          <w:szCs w:val="24"/>
        </w:rPr>
        <w:t xml:space="preserve">del conflicto, </w:t>
      </w:r>
      <w:r w:rsidR="00246FFD">
        <w:rPr>
          <w:rFonts w:ascii="Times New Roman" w:hAnsi="Times New Roman" w:cs="Times New Roman"/>
          <w:sz w:val="24"/>
          <w:szCs w:val="24"/>
        </w:rPr>
        <w:t>en el que el mediador ha de actuar</w:t>
      </w:r>
      <w:r>
        <w:rPr>
          <w:rFonts w:ascii="Times New Roman" w:hAnsi="Times New Roman" w:cs="Times New Roman"/>
          <w:sz w:val="24"/>
          <w:szCs w:val="24"/>
        </w:rPr>
        <w:t xml:space="preserve"> </w:t>
      </w:r>
      <w:r w:rsidR="00246FFD">
        <w:rPr>
          <w:rFonts w:ascii="Times New Roman" w:hAnsi="Times New Roman" w:cs="Times New Roman"/>
          <w:sz w:val="24"/>
          <w:szCs w:val="24"/>
        </w:rPr>
        <w:t xml:space="preserve">con </w:t>
      </w:r>
      <w:r>
        <w:rPr>
          <w:rFonts w:ascii="Times New Roman" w:hAnsi="Times New Roman" w:cs="Times New Roman"/>
          <w:sz w:val="24"/>
          <w:szCs w:val="24"/>
        </w:rPr>
        <w:t xml:space="preserve">una fuerte convicción moral y personal acorde con las circunstancias. </w:t>
      </w:r>
    </w:p>
    <w:p w:rsidR="003B40A4" w:rsidRPr="002B5456"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ab/>
        <w:t>La mediación en cuanto tal no debe entenderse como ejercicio de una sola persona. Debe interpretarse como una ciencia multidisciplinar para llegar al fondo de la cuestión y poder tener una visión crítica y fundada sobre los hechos, siempre fiel a la realidad. De esta forma e</w:t>
      </w:r>
      <w:r w:rsidRPr="002B5456">
        <w:rPr>
          <w:rFonts w:ascii="Times New Roman" w:hAnsi="Times New Roman" w:cs="Times New Roman"/>
          <w:sz w:val="24"/>
          <w:szCs w:val="24"/>
        </w:rPr>
        <w:t>l trabajo en equipo no es una experiencia nueva en la mediación</w:t>
      </w:r>
      <w:r>
        <w:rPr>
          <w:rFonts w:ascii="Times New Roman" w:hAnsi="Times New Roman" w:cs="Times New Roman"/>
          <w:sz w:val="24"/>
          <w:szCs w:val="24"/>
        </w:rPr>
        <w:t xml:space="preserve"> internacional</w:t>
      </w:r>
      <w:r w:rsidRPr="002B5456">
        <w:rPr>
          <w:rFonts w:ascii="Times New Roman" w:hAnsi="Times New Roman" w:cs="Times New Roman"/>
          <w:sz w:val="24"/>
          <w:szCs w:val="24"/>
        </w:rPr>
        <w:t xml:space="preserve">. </w:t>
      </w:r>
      <w:r>
        <w:rPr>
          <w:rFonts w:ascii="Times New Roman" w:hAnsi="Times New Roman" w:cs="Times New Roman"/>
          <w:sz w:val="24"/>
          <w:szCs w:val="24"/>
        </w:rPr>
        <w:t>E</w:t>
      </w:r>
      <w:r w:rsidRPr="002B5456">
        <w:rPr>
          <w:rFonts w:ascii="Times New Roman" w:hAnsi="Times New Roman" w:cs="Times New Roman"/>
          <w:sz w:val="24"/>
          <w:szCs w:val="24"/>
        </w:rPr>
        <w:t>l Consejo de Seguridad</w:t>
      </w:r>
      <w:r>
        <w:rPr>
          <w:rFonts w:ascii="Times New Roman" w:hAnsi="Times New Roman" w:cs="Times New Roman"/>
          <w:sz w:val="24"/>
          <w:szCs w:val="24"/>
        </w:rPr>
        <w:t xml:space="preserve"> de Naciones Unidas</w:t>
      </w:r>
      <w:r w:rsidRPr="002B5456">
        <w:rPr>
          <w:rFonts w:ascii="Times New Roman" w:hAnsi="Times New Roman" w:cs="Times New Roman"/>
          <w:sz w:val="24"/>
          <w:szCs w:val="24"/>
        </w:rPr>
        <w:t xml:space="preserve">, </w:t>
      </w:r>
      <w:r>
        <w:rPr>
          <w:rFonts w:ascii="Times New Roman" w:hAnsi="Times New Roman" w:cs="Times New Roman"/>
          <w:sz w:val="24"/>
          <w:szCs w:val="24"/>
        </w:rPr>
        <w:t xml:space="preserve">ya </w:t>
      </w:r>
      <w:r w:rsidRPr="002B5456">
        <w:rPr>
          <w:rFonts w:ascii="Times New Roman" w:hAnsi="Times New Roman" w:cs="Times New Roman"/>
          <w:sz w:val="24"/>
          <w:szCs w:val="24"/>
        </w:rPr>
        <w:t xml:space="preserve">en su Resolución 61 de 4 de noviembre de 1948 (S/1070) decidió que, en el marco de la segunda tregua del conflicto de la Primera Guerra árabe-israelí, </w:t>
      </w:r>
      <w:r>
        <w:rPr>
          <w:rFonts w:ascii="Times New Roman" w:hAnsi="Times New Roman" w:cs="Times New Roman"/>
          <w:sz w:val="24"/>
          <w:szCs w:val="24"/>
        </w:rPr>
        <w:t xml:space="preserve">se nombrase un Comité del Consejo </w:t>
      </w:r>
      <w:r w:rsidRPr="002B5456">
        <w:rPr>
          <w:rFonts w:ascii="Times New Roman" w:hAnsi="Times New Roman" w:cs="Times New Roman"/>
          <w:sz w:val="24"/>
          <w:szCs w:val="24"/>
        </w:rPr>
        <w:t>para proporcionar al Mediador Interino del Conflicto el asesoramiento que pudiera necesitar en el desempeño de sus responsabilidades</w:t>
      </w:r>
      <w:r>
        <w:rPr>
          <w:rFonts w:ascii="Times New Roman" w:hAnsi="Times New Roman" w:cs="Times New Roman"/>
          <w:sz w:val="24"/>
          <w:szCs w:val="24"/>
        </w:rPr>
        <w:t>.</w:t>
      </w:r>
    </w:p>
    <w:p w:rsidR="003B40A4" w:rsidRPr="006830C3"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ab/>
        <w:t xml:space="preserve">La mediación no debe entenderse tampoco como un procedimiento para la solución de controversias rígido y poco mutable. En su desarrollo el mediador ha de zigzaguear con precisión los inconvenientes que emanen en el transcurso del procedimiento de mediación, en aplicación del principio de informalidad o simplificación del procedimiento de mediación para facilitar esta labor. </w:t>
      </w:r>
    </w:p>
    <w:p w:rsidR="003B40A4" w:rsidRPr="001D56DF"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La preparación del mediador es otro requisito indispensable para su correcto ejercicio. En el punto el punto 8 de la Resolución 65/283 de la Asamblea General de Naciones Unidas </w:t>
      </w:r>
      <w:r>
        <w:rPr>
          <w:rFonts w:ascii="Times New Roman" w:hAnsi="Times New Roman" w:cs="Times New Roman"/>
          <w:sz w:val="24"/>
          <w:szCs w:val="24"/>
        </w:rPr>
        <w:lastRenderedPageBreak/>
        <w:t xml:space="preserve">se subrayaba también, junto con la imparcialidad, la importancia de contar con mediadores especializados y preparados.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La inclusión de la mujer en los procedimientos de mediación internacionales es otro factor reflejado dentro del ámbito subjetivo. Ya en la Declaración y Plataforma de Acción de Beijing aprobada por la Cuarta Conferencia Mundial de la Mujer </w:t>
      </w:r>
      <w:r w:rsidRPr="00F950E4">
        <w:rPr>
          <w:rFonts w:ascii="Times New Roman" w:hAnsi="Times New Roman" w:cs="Times New Roman"/>
          <w:sz w:val="24"/>
          <w:szCs w:val="24"/>
        </w:rPr>
        <w:t>(</w:t>
      </w:r>
      <w:r>
        <w:rPr>
          <w:rFonts w:ascii="Times New Roman" w:hAnsi="Times New Roman" w:cs="Times New Roman"/>
          <w:sz w:val="24"/>
          <w:szCs w:val="24"/>
        </w:rPr>
        <w:t xml:space="preserve">Ref. </w:t>
      </w:r>
      <w:r w:rsidRPr="00F950E4">
        <w:rPr>
          <w:rFonts w:ascii="Times New Roman" w:hAnsi="Times New Roman" w:cs="Times New Roman"/>
          <w:sz w:val="24"/>
          <w:szCs w:val="24"/>
        </w:rPr>
        <w:t>A/49/587, secc. IV)</w:t>
      </w:r>
      <w:r>
        <w:rPr>
          <w:rStyle w:val="Refdenotaalpie"/>
          <w:rFonts w:ascii="Times New Roman" w:hAnsi="Times New Roman" w:cs="Times New Roman"/>
          <w:sz w:val="24"/>
          <w:szCs w:val="24"/>
        </w:rPr>
        <w:footnoteReference w:id="42"/>
      </w:r>
      <w:r>
        <w:rPr>
          <w:rFonts w:ascii="Times New Roman" w:hAnsi="Times New Roman" w:cs="Times New Roman"/>
          <w:sz w:val="24"/>
          <w:szCs w:val="24"/>
        </w:rPr>
        <w:t>, en su punto 144.c estipula como medida que ha de adoptarse el reforzamiento</w:t>
      </w:r>
      <w:r w:rsidRPr="00F950E4">
        <w:rPr>
          <w:rFonts w:ascii="Times New Roman" w:hAnsi="Times New Roman" w:cs="Times New Roman"/>
          <w:sz w:val="24"/>
          <w:szCs w:val="24"/>
        </w:rPr>
        <w:t xml:space="preserve"> la función de la mujer cuestiones relativas al mantenimiento de la paz, </w:t>
      </w:r>
      <w:r>
        <w:rPr>
          <w:rFonts w:ascii="Times New Roman" w:hAnsi="Times New Roman" w:cs="Times New Roman"/>
          <w:sz w:val="24"/>
          <w:szCs w:val="24"/>
        </w:rPr>
        <w:t>así como en</w:t>
      </w:r>
      <w:r w:rsidRPr="00F950E4">
        <w:rPr>
          <w:rFonts w:ascii="Times New Roman" w:hAnsi="Times New Roman" w:cs="Times New Roman"/>
          <w:sz w:val="24"/>
          <w:szCs w:val="24"/>
        </w:rPr>
        <w:t xml:space="preserve"> los procesos de mediac</w:t>
      </w:r>
      <w:r>
        <w:rPr>
          <w:rFonts w:ascii="Times New Roman" w:hAnsi="Times New Roman" w:cs="Times New Roman"/>
          <w:sz w:val="24"/>
          <w:szCs w:val="24"/>
        </w:rPr>
        <w:t>ión y las negociaciones de paz.  En aplicación de esta medida a adoptar, el punto 9 de la Resolución 65/283 a</w:t>
      </w:r>
      <w:r w:rsidRPr="001418A9">
        <w:rPr>
          <w:rFonts w:ascii="Times New Roman" w:hAnsi="Times New Roman" w:cs="Times New Roman"/>
          <w:sz w:val="24"/>
          <w:szCs w:val="24"/>
        </w:rPr>
        <w:t>lienta al Secretario General a que nombre a mujeres mediadoras principales o jefas en los procesos de paz patrocinados por las Naciones Unidas</w:t>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Además, en la </w:t>
      </w:r>
      <w:r w:rsidRPr="00786B60">
        <w:rPr>
          <w:rFonts w:ascii="Times New Roman" w:hAnsi="Times New Roman" w:cs="Times New Roman"/>
          <w:sz w:val="24"/>
          <w:szCs w:val="24"/>
        </w:rPr>
        <w:t>Resolución 1325 (2000)</w:t>
      </w:r>
      <w:r>
        <w:rPr>
          <w:rFonts w:ascii="Times New Roman" w:hAnsi="Times New Roman" w:cs="Times New Roman"/>
          <w:sz w:val="24"/>
          <w:szCs w:val="24"/>
        </w:rPr>
        <w:t xml:space="preserve"> del Consejo de Seguridad de </w:t>
      </w:r>
      <w:r w:rsidRPr="00786B60">
        <w:rPr>
          <w:rFonts w:ascii="Times New Roman" w:hAnsi="Times New Roman" w:cs="Times New Roman"/>
          <w:sz w:val="24"/>
          <w:szCs w:val="24"/>
        </w:rPr>
        <w:t>31 de octubre de 2000</w:t>
      </w:r>
      <w:r>
        <w:rPr>
          <w:rFonts w:ascii="Times New Roman" w:hAnsi="Times New Roman" w:cs="Times New Roman"/>
          <w:sz w:val="24"/>
          <w:szCs w:val="24"/>
        </w:rPr>
        <w:t xml:space="preserve"> se instó</w:t>
      </w:r>
      <w:r w:rsidRPr="00786B60">
        <w:rPr>
          <w:rFonts w:ascii="Times New Roman" w:hAnsi="Times New Roman" w:cs="Times New Roman"/>
          <w:sz w:val="24"/>
          <w:szCs w:val="24"/>
        </w:rPr>
        <w:t xml:space="preserve"> al</w:t>
      </w:r>
      <w:r>
        <w:rPr>
          <w:rFonts w:ascii="Times New Roman" w:hAnsi="Times New Roman" w:cs="Times New Roman"/>
          <w:sz w:val="24"/>
          <w:szCs w:val="24"/>
        </w:rPr>
        <w:t xml:space="preserve"> Secretario General a que nombrase</w:t>
      </w:r>
      <w:r w:rsidRPr="00786B60">
        <w:rPr>
          <w:rFonts w:ascii="Times New Roman" w:hAnsi="Times New Roman" w:cs="Times New Roman"/>
          <w:sz w:val="24"/>
          <w:szCs w:val="24"/>
        </w:rPr>
        <w:t xml:space="preserve"> a más mujeres representantes especiales y enviadas especiales para realizar misiones de buenos oficios en su nombre y</w:t>
      </w:r>
      <w:r>
        <w:rPr>
          <w:rFonts w:ascii="Times New Roman" w:hAnsi="Times New Roman" w:cs="Times New Roman"/>
          <w:sz w:val="24"/>
          <w:szCs w:val="24"/>
        </w:rPr>
        <w:t xml:space="preserve"> pidió</w:t>
      </w:r>
      <w:r w:rsidRPr="00786B60">
        <w:rPr>
          <w:rFonts w:ascii="Times New Roman" w:hAnsi="Times New Roman" w:cs="Times New Roman"/>
          <w:sz w:val="24"/>
          <w:szCs w:val="24"/>
        </w:rPr>
        <w:t xml:space="preserve"> a lo</w:t>
      </w:r>
      <w:r>
        <w:rPr>
          <w:rFonts w:ascii="Times New Roman" w:hAnsi="Times New Roman" w:cs="Times New Roman"/>
          <w:sz w:val="24"/>
          <w:szCs w:val="24"/>
        </w:rPr>
        <w:t>s Estados Miembros que presentasen</w:t>
      </w:r>
      <w:r w:rsidRPr="00786B60">
        <w:rPr>
          <w:rFonts w:ascii="Times New Roman" w:hAnsi="Times New Roman" w:cs="Times New Roman"/>
          <w:sz w:val="24"/>
          <w:szCs w:val="24"/>
        </w:rPr>
        <w:t xml:space="preserve"> al Secretario General candidatas para que se las incluya en una lista centralizada</w:t>
      </w:r>
      <w:r>
        <w:rPr>
          <w:rFonts w:ascii="Times New Roman" w:hAnsi="Times New Roman" w:cs="Times New Roman"/>
          <w:sz w:val="24"/>
          <w:szCs w:val="24"/>
        </w:rPr>
        <w:t xml:space="preserve">. Este mismo espíritu se puede extrapolar a la mediación. Como además se explicita en la recomendación f del Informe del Secretario General </w:t>
      </w:r>
      <w:r w:rsidRPr="00786B60">
        <w:rPr>
          <w:rFonts w:ascii="Times New Roman" w:hAnsi="Times New Roman" w:cs="Times New Roman"/>
          <w:sz w:val="24"/>
          <w:szCs w:val="24"/>
        </w:rPr>
        <w:t>de 8 de abril de 2009 (S/2009/189)</w:t>
      </w:r>
      <w:r>
        <w:rPr>
          <w:rFonts w:ascii="Times New Roman" w:hAnsi="Times New Roman" w:cs="Times New Roman"/>
          <w:sz w:val="24"/>
          <w:szCs w:val="24"/>
        </w:rPr>
        <w:t xml:space="preserve">, hay determinados temas, como la violencia sexual, en los que es preciso intervenir ante grupos de mujeres, y en los que la mediación efectuada por mujeres puede ofrecer mejores resultados.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Se deduce, por tanto, una voluntad de los instrumentos de Derecho Internacional </w:t>
      </w:r>
      <w:r w:rsidRPr="005F4B5C">
        <w:rPr>
          <w:rFonts w:ascii="Times New Roman" w:hAnsi="Times New Roman" w:cs="Times New Roman"/>
          <w:sz w:val="24"/>
          <w:szCs w:val="24"/>
        </w:rPr>
        <w:t>favorables a la participación de la mujer en procesos de negociación internacionales.</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2.3.2 LA PRESTACIÓN DEL CONSENTIMIENTO A LA MEDIACIÓN.</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El conflicto a tratar puede tener una naturaleza muy heterogénea. Aunque se puede partir de una idea inicial basada en la existencia de dos partes, el conflicto puede ser multilateral y darse el caso de que sólo una parte del todo del conflicto quiera someterse a mediación, cuestión que puede presentar una dificultad a la prestación de consentimiento en la mediación</w:t>
      </w:r>
      <w:r w:rsidRPr="001418A9">
        <w:rPr>
          <w:rStyle w:val="Refdenotaalpie"/>
          <w:rFonts w:ascii="Times New Roman" w:hAnsi="Times New Roman" w:cs="Times New Roman"/>
          <w:sz w:val="24"/>
          <w:szCs w:val="24"/>
        </w:rPr>
        <w:footnoteReference w:id="43"/>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 xml:space="preserve">El punto 12 de la Resolución 65/283 de la Asamblea General de Naciones Unidas reconoce, entre otros requisitos para lograr una mediación responsable, el consentimiento de las partes en la controversia, valor también reafirmado en la exposición de motivos.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El consentimiento implica de forma implícita que los estados sean plenamente conscientes de que se someten a un proceso de mediación internacional, y de que todas las partes conozcan el sometimiento de una o varias partes a mediación, lo que la Directriz para la mediación eficaz denomina “consentimiento suficiente”. Por lo tanto debe ser labor del mediador no sólo tener una actitud conciliadora entre las partes en litigo, sino también con los terceros parte del conflicto que no quieren someterse a mediación. La consciencia profesional del propio mediador debe llevarle a razonar los riesgos de iniciar un proceso de mediación imperfecto ante la capacidad de boicot del tercero. Esto tampoco descarta que la mediación de parte de un conflicto lleve a solucionarlo parcialmente. </w:t>
      </w:r>
    </w:p>
    <w:p w:rsidR="003B40A4" w:rsidRPr="0054359B"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De este modo según la opinión doctrinal, para que la mediación internacional se ponga en marcha las partes deben hacer algo más que aceptar que es una buena idea. La voluntad debe plasmarse en el mediador</w:t>
      </w:r>
      <w:r>
        <w:rPr>
          <w:rStyle w:val="Refdenotaalpie"/>
          <w:rFonts w:ascii="Times New Roman" w:hAnsi="Times New Roman" w:cs="Times New Roman"/>
          <w:sz w:val="24"/>
          <w:szCs w:val="24"/>
        </w:rPr>
        <w:footnoteReference w:id="44"/>
      </w:r>
      <w:r>
        <w:rPr>
          <w:rFonts w:ascii="Times New Roman" w:hAnsi="Times New Roman" w:cs="Times New Roman"/>
          <w:sz w:val="24"/>
          <w:szCs w:val="24"/>
        </w:rPr>
        <w:t xml:space="preserve">, y no sólo ello, sino que tal mediador debe estar exento de perjuicios por las partes, ya que si las mismas creen que el aspirante a </w:t>
      </w:r>
      <w:r w:rsidRPr="00215D0C">
        <w:rPr>
          <w:rFonts w:ascii="Times New Roman" w:hAnsi="Times New Roman" w:cs="Times New Roman"/>
          <w:sz w:val="24"/>
          <w:szCs w:val="24"/>
        </w:rPr>
        <w:t xml:space="preserve">mediador tiene poca comprensión de su posición, es antipático, </w:t>
      </w:r>
      <w:r>
        <w:rPr>
          <w:rFonts w:ascii="Times New Roman" w:hAnsi="Times New Roman" w:cs="Times New Roman"/>
          <w:sz w:val="24"/>
          <w:szCs w:val="24"/>
        </w:rPr>
        <w:t xml:space="preserve">o </w:t>
      </w:r>
      <w:r w:rsidRPr="00215D0C">
        <w:rPr>
          <w:rFonts w:ascii="Times New Roman" w:hAnsi="Times New Roman" w:cs="Times New Roman"/>
          <w:sz w:val="24"/>
          <w:szCs w:val="24"/>
        </w:rPr>
        <w:t>comprometid</w:t>
      </w:r>
      <w:r>
        <w:rPr>
          <w:rFonts w:ascii="Times New Roman" w:hAnsi="Times New Roman" w:cs="Times New Roman"/>
          <w:sz w:val="24"/>
          <w:szCs w:val="24"/>
        </w:rPr>
        <w:t>o con la otra parte</w:t>
      </w:r>
      <w:r w:rsidRPr="00215D0C">
        <w:rPr>
          <w:rFonts w:ascii="Times New Roman" w:hAnsi="Times New Roman" w:cs="Times New Roman"/>
          <w:sz w:val="24"/>
          <w:szCs w:val="24"/>
        </w:rPr>
        <w:t>, es poc</w:t>
      </w:r>
      <w:r>
        <w:rPr>
          <w:rFonts w:ascii="Times New Roman" w:hAnsi="Times New Roman" w:cs="Times New Roman"/>
          <w:sz w:val="24"/>
          <w:szCs w:val="24"/>
        </w:rPr>
        <w:t>o probable que sea aceptable tal</w:t>
      </w:r>
      <w:r w:rsidRPr="00215D0C">
        <w:rPr>
          <w:rFonts w:ascii="Times New Roman" w:hAnsi="Times New Roman" w:cs="Times New Roman"/>
          <w:sz w:val="24"/>
          <w:szCs w:val="24"/>
        </w:rPr>
        <w:t xml:space="preserve"> candidato</w:t>
      </w:r>
      <w:r>
        <w:rPr>
          <w:rFonts w:ascii="Times New Roman" w:hAnsi="Times New Roman" w:cs="Times New Roman"/>
          <w:sz w:val="24"/>
          <w:szCs w:val="24"/>
        </w:rPr>
        <w:t xml:space="preserve"> o que la mediación llegue a buen puerto. Por tanto, aunque no haya objeciones</w:t>
      </w:r>
      <w:r w:rsidRPr="00215D0C">
        <w:rPr>
          <w:rFonts w:ascii="Times New Roman" w:hAnsi="Times New Roman" w:cs="Times New Roman"/>
          <w:sz w:val="24"/>
          <w:szCs w:val="24"/>
        </w:rPr>
        <w:t xml:space="preserve">, </w:t>
      </w:r>
      <w:r>
        <w:rPr>
          <w:rFonts w:ascii="Times New Roman" w:hAnsi="Times New Roman" w:cs="Times New Roman"/>
          <w:sz w:val="24"/>
          <w:szCs w:val="24"/>
        </w:rPr>
        <w:t xml:space="preserve">si la voluntad de las partes adolece de tales perjuicios, independientemente de la naturaleza de los mismos, es aconsejable proceder al nombramiento de un mediador diferente y estrictamente como neutral.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el proceso de mediación cobra especial importancia las relaciones entre las partes. Según el principio de simplicidad en la tramitación es necesario tener en cuenta las llamadas conversaciones oficiosas, sin la formalidad que implica actuar en el ejercicio del cargo de mediador. La toma de contacto previa constituye un importante pilar de la mediación en el sentido de construir un camino para la solución de la controversia. </w:t>
      </w:r>
    </w:p>
    <w:p w:rsidR="003B40A4" w:rsidRPr="00591ECC"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También se hace alusión a las prenegociaciones en la mediación. Pueden generar confianza entre las partes y ayudar al mediador a descubrir las verdaderas intenciones de la </w:t>
      </w:r>
      <w:r>
        <w:rPr>
          <w:rFonts w:ascii="Times New Roman" w:hAnsi="Times New Roman" w:cs="Times New Roman"/>
          <w:sz w:val="24"/>
          <w:szCs w:val="24"/>
        </w:rPr>
        <w:lastRenderedPageBreak/>
        <w:t>otra parte. Por ejemplo, los Acuerdos de paz de Oslo de 1993 se iniciaron con negociaciones privadas y se basaron en una estrategia gradual</w:t>
      </w:r>
      <w:r>
        <w:rPr>
          <w:rStyle w:val="Refdenotaalpie"/>
          <w:rFonts w:ascii="Times New Roman" w:hAnsi="Times New Roman" w:cs="Times New Roman"/>
          <w:sz w:val="24"/>
          <w:szCs w:val="24"/>
        </w:rPr>
        <w:footnoteReference w:id="45"/>
      </w:r>
      <w:r>
        <w:rPr>
          <w:rFonts w:ascii="Times New Roman" w:hAnsi="Times New Roman" w:cs="Times New Roman"/>
          <w:sz w:val="24"/>
          <w:szCs w:val="24"/>
        </w:rPr>
        <w:t>.</w:t>
      </w:r>
    </w:p>
    <w:p w:rsidR="003B40A4" w:rsidRPr="006C42A3"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La Asamblea General, en la exposición de motivos de la Resolución 65/283, da especial importancia a la intervención de las organizaciones regionales y subregionales en la mediación internacional. En su punto 5 concreta esta idea, alentando a los Estados Miembros a que utilicen la capacidad de mediación de las organizaciones regionales y subregionales subsidiariamente a la Organización de Naciones Unidas; invitando a la financiación de las actividades de mediación de las organizaciones regionales (p.6) y solicitando la mejor asociación de la Secretaría General con las Organizaciones Regionales con este fin (p.7). Además acoge con beneplácito la labor mediadora de las organizaciones regionales y destaca la importancia de estas organizaciones regionales en referencia al intercambio de información, cooperación y coordinación como tareas complementarias en el contexto de la mediación</w:t>
      </w:r>
      <w:r>
        <w:rPr>
          <w:rStyle w:val="Refdenotaalpie"/>
          <w:rFonts w:ascii="Times New Roman" w:hAnsi="Times New Roman" w:cs="Times New Roman"/>
          <w:sz w:val="24"/>
          <w:szCs w:val="24"/>
        </w:rPr>
        <w:footnoteReference w:id="46"/>
      </w:r>
      <w:r>
        <w:rPr>
          <w:rFonts w:ascii="Times New Roman" w:hAnsi="Times New Roman" w:cs="Times New Roman"/>
          <w:sz w:val="24"/>
          <w:szCs w:val="24"/>
        </w:rPr>
        <w:t xml:space="preserve">. </w:t>
      </w:r>
    </w:p>
    <w:p w:rsidR="003B40A4" w:rsidRPr="00387310"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Las relaciones entre el mediador y las partes han de estar presididas por las cualidades de coherencia, transparencia e imparcialidad, siendo fundamentales para un fluido intercambio de ideas y de opiniones, y siempre con la ausencia de un interés material. La dimensión de la confidencialidad del mediador es extrapolable al resto de consideraciones del mediador en cuanto a profesional que ejercita la mediación, con todos los datos que puedan derivar del mismo, teniendo muy en cuenta las posibles limitaciones a la confidencialidad que puedan derivarse (como conocimiento de crímenes internacionales o datos que den lugar a responsabilidad internacional).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Aunque el consentimiento puede ser otorgado al inicio del procedimiento de mediación, puede verse alterado bien sea por voluntad de alguna de las partes o por el mediador. Por ello el mediador ha de ser capaz de dilucidar esta cuestión e intentar solventarla. Ello no impide la libre voluntad de las partes de abandonar el procedimiento de mediación, sobre todo ante la infracción del mediador de alguna norma de Derecho internacional o Directriz del mediador, pero la labor del mediador ha de ser la de conservar la voluntad de las partes tanto al inicio, como en el transcurso, como en la ejecución de los acuerdos fruto de la mediación internacional.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2.3.3 LA IMPARCIALIDAD DEL MEDIADOR</w:t>
      </w:r>
    </w:p>
    <w:p w:rsidR="003B40A4" w:rsidRPr="000E7A61"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E</w:t>
      </w:r>
      <w:r w:rsidRPr="000E7A61">
        <w:rPr>
          <w:rFonts w:ascii="Times New Roman" w:hAnsi="Times New Roman" w:cs="Times New Roman"/>
          <w:sz w:val="24"/>
          <w:szCs w:val="24"/>
        </w:rPr>
        <w:t xml:space="preserve">l requisito de la imparcialidad </w:t>
      </w:r>
      <w:r>
        <w:rPr>
          <w:rFonts w:ascii="Times New Roman" w:hAnsi="Times New Roman" w:cs="Times New Roman"/>
          <w:sz w:val="24"/>
          <w:szCs w:val="24"/>
        </w:rPr>
        <w:t>se establece</w:t>
      </w:r>
      <w:r w:rsidRPr="000E7A61">
        <w:rPr>
          <w:rFonts w:ascii="Times New Roman" w:hAnsi="Times New Roman" w:cs="Times New Roman"/>
          <w:sz w:val="24"/>
          <w:szCs w:val="24"/>
        </w:rPr>
        <w:t xml:space="preserve"> en los puntos 8 y 12 de la Resolución 65/283 de la Asamblea General de Naciones Unidas</w:t>
      </w:r>
      <w:r>
        <w:rPr>
          <w:rFonts w:ascii="Times New Roman" w:hAnsi="Times New Roman" w:cs="Times New Roman"/>
          <w:sz w:val="24"/>
          <w:szCs w:val="24"/>
        </w:rPr>
        <w:t>, y se plasman en las Directrices para la mediación eficaz</w:t>
      </w:r>
      <w:r w:rsidRPr="00387310">
        <w:rPr>
          <w:rStyle w:val="Refdenotaalpie"/>
          <w:rFonts w:ascii="Times New Roman" w:hAnsi="Times New Roman" w:cs="Times New Roman"/>
          <w:sz w:val="24"/>
          <w:szCs w:val="24"/>
        </w:rPr>
        <w:footnoteReference w:id="47"/>
      </w:r>
      <w:r w:rsidRPr="000E7A61">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sidRPr="000E7A61">
        <w:rPr>
          <w:rFonts w:ascii="Times New Roman" w:hAnsi="Times New Roman" w:cs="Times New Roman"/>
          <w:sz w:val="24"/>
          <w:szCs w:val="24"/>
        </w:rPr>
        <w:tab/>
        <w:t xml:space="preserve"> ¿Cómo ha de entenderse la imparcialidad? El Diccionario de la Real Academia de la Lengua Española lo define como “</w:t>
      </w:r>
      <w:r w:rsidRPr="000E7A61">
        <w:rPr>
          <w:rFonts w:ascii="Times New Roman" w:hAnsi="Times New Roman" w:cs="Times New Roman"/>
          <w:i/>
          <w:sz w:val="24"/>
          <w:szCs w:val="24"/>
        </w:rPr>
        <w:t>falta de designio anticipado o de prevención en favor o en contra de alguien o algo, que permite juzgar o proceder con rectitud</w:t>
      </w:r>
      <w:r w:rsidRPr="000E7A61">
        <w:rPr>
          <w:rFonts w:ascii="Times New Roman" w:hAnsi="Times New Roman" w:cs="Times New Roman"/>
          <w:sz w:val="24"/>
          <w:szCs w:val="24"/>
        </w:rPr>
        <w:t xml:space="preserve">”. Dando un perfil internacional, en el </w:t>
      </w:r>
      <w:r>
        <w:rPr>
          <w:rFonts w:ascii="Times New Roman" w:hAnsi="Times New Roman" w:cs="Times New Roman"/>
          <w:i/>
          <w:sz w:val="24"/>
          <w:szCs w:val="24"/>
        </w:rPr>
        <w:t>Handbook</w:t>
      </w:r>
      <w:r w:rsidRPr="000E7A61">
        <w:rPr>
          <w:rFonts w:ascii="Times New Roman" w:hAnsi="Times New Roman" w:cs="Times New Roman"/>
          <w:sz w:val="24"/>
          <w:szCs w:val="24"/>
        </w:rPr>
        <w:t xml:space="preserve"> sobre el Arreglo Pacífico de las Controversias entre Estados</w:t>
      </w:r>
      <w:r>
        <w:rPr>
          <w:rStyle w:val="Refdenotaalpie"/>
          <w:rFonts w:ascii="Times New Roman" w:hAnsi="Times New Roman" w:cs="Times New Roman"/>
          <w:sz w:val="24"/>
          <w:szCs w:val="24"/>
        </w:rPr>
        <w:footnoteReference w:id="48"/>
      </w:r>
      <w:r w:rsidRPr="000E7A61">
        <w:rPr>
          <w:rFonts w:ascii="Times New Roman" w:hAnsi="Times New Roman" w:cs="Times New Roman"/>
          <w:sz w:val="24"/>
          <w:szCs w:val="24"/>
        </w:rPr>
        <w:t xml:space="preserve"> se explicita que se basa en dos planos: la comprensión de las posiciones de las partes y no estar sesgado en su opinión por cualquiera de ellas.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Pr="000E7A61">
        <w:rPr>
          <w:rFonts w:ascii="Times New Roman" w:hAnsi="Times New Roman" w:cs="Times New Roman"/>
          <w:sz w:val="24"/>
          <w:szCs w:val="24"/>
        </w:rPr>
        <w:t>La comprensión de las posiciones de las partes implica una voluntad del mediador de llegar tanto al fondo del asunto como de la motivación de los sectores en conflicto. A su vez el no estar sesgado por cualquier opinión implica tanto la ausencia de prejuicios por alguna de las partes como el no haber hecho previamente o en el transcurso del procedimiento manifestaciones que induzcan a pensar que el mediador es partidario de alguna de las partes</w:t>
      </w:r>
      <w:r>
        <w:rPr>
          <w:rFonts w:ascii="Times New Roman" w:hAnsi="Times New Roman" w:cs="Times New Roman"/>
          <w:sz w:val="24"/>
          <w:szCs w:val="24"/>
        </w:rPr>
        <w:t>.</w:t>
      </w:r>
      <w:r w:rsidRPr="00E16F6A">
        <w:rPr>
          <w:rFonts w:ascii="Times New Roman" w:hAnsi="Times New Roman" w:cs="Times New Roman"/>
          <w:b/>
          <w:sz w:val="24"/>
          <w:szCs w:val="24"/>
        </w:rPr>
        <w:t xml:space="preserve"> </w:t>
      </w:r>
    </w:p>
    <w:p w:rsidR="003B40A4" w:rsidRPr="00E16F6A"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ab/>
        <w:t xml:space="preserve"> Como apunta la doctrina, habría que diferenciar entre la parcialidad del mediador y la propuesta de éste de una solución parcial al conflicto. A veces la mediación internacional sólo puede buscar una solución parcial (que no a manos de un mediador parcial), que no sería posible si las partes se aferran tenazmente a posiciones incompatibles</w:t>
      </w:r>
      <w:r>
        <w:rPr>
          <w:rStyle w:val="Refdenotaalpie"/>
          <w:rFonts w:ascii="Times New Roman" w:hAnsi="Times New Roman" w:cs="Times New Roman"/>
          <w:sz w:val="24"/>
          <w:szCs w:val="24"/>
        </w:rPr>
        <w:footnoteReference w:id="49"/>
      </w:r>
      <w:r>
        <w:rPr>
          <w:rFonts w:ascii="Times New Roman" w:hAnsi="Times New Roman" w:cs="Times New Roman"/>
          <w:sz w:val="24"/>
          <w:szCs w:val="24"/>
        </w:rPr>
        <w:t xml:space="preserve">. </w:t>
      </w:r>
    </w:p>
    <w:p w:rsidR="003B40A4" w:rsidRPr="000E7A61"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El proceso de mediación debe ser por igual estanco para que las partes puedan llegar a la solución que en mayor medida satisfagan sus intereses. Si bien la mediación implica la asistencia de un tercero, ésta es directa para el entendimiento de las partes. Para que el mediador pueda actuar con pura imparcialidad la intervención de agentes externos deba limitarse estrictamente al mismo mediador o su equipo.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t xml:space="preserve"> </w:t>
      </w:r>
      <w:r w:rsidRPr="004705F3">
        <w:rPr>
          <w:rFonts w:ascii="Times New Roman" w:hAnsi="Times New Roman" w:cs="Times New Roman"/>
          <w:sz w:val="24"/>
          <w:szCs w:val="24"/>
        </w:rPr>
        <w:tab/>
      </w:r>
      <w:r>
        <w:rPr>
          <w:rFonts w:ascii="Times New Roman" w:hAnsi="Times New Roman" w:cs="Times New Roman"/>
          <w:sz w:val="24"/>
          <w:szCs w:val="24"/>
        </w:rPr>
        <w:t>También, en</w:t>
      </w:r>
      <w:r w:rsidRPr="004705F3">
        <w:rPr>
          <w:rFonts w:ascii="Times New Roman" w:hAnsi="Times New Roman" w:cs="Times New Roman"/>
          <w:sz w:val="24"/>
          <w:szCs w:val="24"/>
        </w:rPr>
        <w:t xml:space="preserve"> ejercicio de su profesionalidad el mediador ha de ser consciente de sus límites personales, y tener una autoevaluación crítica tanto de su forma de pensar como de </w:t>
      </w:r>
      <w:r>
        <w:rPr>
          <w:rFonts w:ascii="Times New Roman" w:hAnsi="Times New Roman" w:cs="Times New Roman"/>
          <w:sz w:val="24"/>
          <w:szCs w:val="24"/>
        </w:rPr>
        <w:t>su</w:t>
      </w:r>
      <w:r w:rsidRPr="004705F3">
        <w:rPr>
          <w:rFonts w:ascii="Times New Roman" w:hAnsi="Times New Roman" w:cs="Times New Roman"/>
          <w:sz w:val="24"/>
          <w:szCs w:val="24"/>
        </w:rPr>
        <w:t xml:space="preserve"> influencia en la guía del proceso de mediación</w:t>
      </w:r>
      <w:r>
        <w:rPr>
          <w:rFonts w:ascii="Times New Roman" w:hAnsi="Times New Roman" w:cs="Times New Roman"/>
          <w:sz w:val="24"/>
          <w:szCs w:val="24"/>
        </w:rPr>
        <w:t>. Por eso se hace indispensable</w:t>
      </w:r>
      <w:r w:rsidRPr="004705F3">
        <w:rPr>
          <w:rFonts w:ascii="Times New Roman" w:hAnsi="Times New Roman" w:cs="Times New Roman"/>
          <w:sz w:val="24"/>
          <w:szCs w:val="24"/>
        </w:rPr>
        <w:t xml:space="preserve"> que</w:t>
      </w:r>
      <w:r>
        <w:rPr>
          <w:rFonts w:ascii="Times New Roman" w:hAnsi="Times New Roman" w:cs="Times New Roman"/>
          <w:sz w:val="24"/>
          <w:szCs w:val="24"/>
        </w:rPr>
        <w:t>,</w:t>
      </w:r>
      <w:r w:rsidRPr="004705F3">
        <w:rPr>
          <w:rFonts w:ascii="Times New Roman" w:hAnsi="Times New Roman" w:cs="Times New Roman"/>
          <w:sz w:val="24"/>
          <w:szCs w:val="24"/>
        </w:rPr>
        <w:t xml:space="preserve"> ante </w:t>
      </w:r>
      <w:r w:rsidRPr="004705F3">
        <w:rPr>
          <w:rFonts w:ascii="Times New Roman" w:hAnsi="Times New Roman" w:cs="Times New Roman"/>
          <w:sz w:val="24"/>
          <w:szCs w:val="24"/>
        </w:rPr>
        <w:lastRenderedPageBreak/>
        <w:t xml:space="preserve">situaciones en los que, bien sea por la opinión crítica, moral o creencia religiosa del mediador, objete de su labor y libremente decida transmitirla a un tercero, en cuyo caso deberá transmitir toda la información necesaria obtenida inicialmente en su labor como mediador.  </w:t>
      </w:r>
    </w:p>
    <w:p w:rsidR="003B40A4" w:rsidRPr="004705F3"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En todo caso la imparcialidad del mediador puede ser puesta bajo tela de juicio de las partes en la toma de decisión de aceptación del sometimiento a mediación. Como establece la doctrina puede ser que el tercer estado no acepte intervenir como mediador (tal y como sucedió en enero de 2011 cuando la misión de Naciones Unidas en el Líbano rechazó la solicitud del Líbano de mediar en una disputa con Israel en una zona en la que se encontraron distintos yacimientos de gas), o que cualquiera de las partes rechace la intervención de terceros en la controversia (como el rechazo de la República Popular China de la oferta de mediación efectuada en noviembre de 2011 por Estados Unidos de mediar en la disputa con Japón y Taiwan sobre las islas Senkaku)</w:t>
      </w:r>
      <w:r>
        <w:rPr>
          <w:rStyle w:val="Refdenotaalpie"/>
          <w:rFonts w:ascii="Times New Roman" w:hAnsi="Times New Roman" w:cs="Times New Roman"/>
          <w:sz w:val="24"/>
          <w:szCs w:val="24"/>
        </w:rPr>
        <w:footnoteReference w:id="50"/>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sidRPr="004705F3">
        <w:rPr>
          <w:rFonts w:ascii="Times New Roman" w:hAnsi="Times New Roman" w:cs="Times New Roman"/>
          <w:sz w:val="24"/>
          <w:szCs w:val="24"/>
        </w:rPr>
        <w:t xml:space="preserve"> </w:t>
      </w:r>
      <w:r w:rsidRPr="004705F3">
        <w:rPr>
          <w:rFonts w:ascii="Times New Roman" w:hAnsi="Times New Roman" w:cs="Times New Roman"/>
          <w:sz w:val="24"/>
          <w:szCs w:val="24"/>
        </w:rPr>
        <w:tab/>
      </w:r>
      <w:r>
        <w:rPr>
          <w:rFonts w:ascii="Times New Roman" w:hAnsi="Times New Roman" w:cs="Times New Roman"/>
          <w:sz w:val="24"/>
          <w:szCs w:val="24"/>
        </w:rPr>
        <w:t>Respecto al carácter inclusivo del mediador</w:t>
      </w:r>
      <w:r w:rsidRPr="002437E6">
        <w:rPr>
          <w:rStyle w:val="Refdenotaalpie"/>
          <w:rFonts w:ascii="Times New Roman" w:hAnsi="Times New Roman" w:cs="Times New Roman"/>
          <w:sz w:val="24"/>
          <w:szCs w:val="24"/>
        </w:rPr>
        <w:footnoteReference w:id="51"/>
      </w:r>
      <w:r>
        <w:rPr>
          <w:rFonts w:ascii="Times New Roman" w:hAnsi="Times New Roman" w:cs="Times New Roman"/>
          <w:sz w:val="24"/>
          <w:szCs w:val="24"/>
        </w:rPr>
        <w:t>,</w:t>
      </w:r>
      <w:r w:rsidRPr="00212D6D">
        <w:rPr>
          <w:rFonts w:ascii="Times New Roman" w:hAnsi="Times New Roman" w:cs="Times New Roman"/>
          <w:sz w:val="24"/>
          <w:szCs w:val="24"/>
        </w:rPr>
        <w:t xml:space="preserve"> se ha de entender a la manera en que las opiniones y necesidades de otras partes en conflicto y otros interesados se integran en el proceso de mediación, para comprender mejor las causas que llevan a la mediación</w:t>
      </w:r>
      <w:r>
        <w:rPr>
          <w:rFonts w:ascii="Times New Roman" w:hAnsi="Times New Roman" w:cs="Times New Roman"/>
          <w:sz w:val="24"/>
          <w:szCs w:val="24"/>
        </w:rPr>
        <w:t xml:space="preserve"> (como grupos religiosos, políticos u administrativos internos)</w:t>
      </w:r>
      <w:r w:rsidRPr="00212D6D">
        <w:rPr>
          <w:rFonts w:ascii="Times New Roman" w:hAnsi="Times New Roman" w:cs="Times New Roman"/>
          <w:sz w:val="24"/>
          <w:szCs w:val="24"/>
        </w:rPr>
        <w:t xml:space="preserve"> </w:t>
      </w:r>
      <w:r>
        <w:rPr>
          <w:rFonts w:ascii="Times New Roman" w:hAnsi="Times New Roman" w:cs="Times New Roman"/>
          <w:sz w:val="24"/>
          <w:szCs w:val="24"/>
        </w:rPr>
        <w:t>así como</w:t>
      </w:r>
      <w:r w:rsidRPr="00212D6D">
        <w:rPr>
          <w:rFonts w:ascii="Times New Roman" w:hAnsi="Times New Roman" w:cs="Times New Roman"/>
          <w:sz w:val="24"/>
          <w:szCs w:val="24"/>
        </w:rPr>
        <w:t xml:space="preserve"> las necesidades de los sectores afectados de la población, garantizando mejor los futuros resultados de la mediación.</w:t>
      </w:r>
      <w:r>
        <w:rPr>
          <w:rFonts w:ascii="Times New Roman" w:hAnsi="Times New Roman" w:cs="Times New Roman"/>
          <w:sz w:val="24"/>
          <w:szCs w:val="24"/>
        </w:rPr>
        <w:t xml:space="preserve"> </w:t>
      </w:r>
      <w:r w:rsidRPr="00212D6D">
        <w:rPr>
          <w:rFonts w:ascii="Times New Roman" w:hAnsi="Times New Roman" w:cs="Times New Roman"/>
          <w:sz w:val="24"/>
          <w:szCs w:val="24"/>
        </w:rPr>
        <w:t>Ello no implica una participación directa en la mediación</w:t>
      </w:r>
      <w:r>
        <w:rPr>
          <w:rFonts w:ascii="Times New Roman" w:hAnsi="Times New Roman" w:cs="Times New Roman"/>
          <w:sz w:val="24"/>
          <w:szCs w:val="24"/>
        </w:rPr>
        <w:t>, ni el reconocimiento a tales de sujetos de Derecho internacional</w:t>
      </w:r>
      <w:r w:rsidRPr="00212D6D">
        <w:rPr>
          <w:rFonts w:ascii="Times New Roman" w:hAnsi="Times New Roman" w:cs="Times New Roman"/>
          <w:sz w:val="24"/>
          <w:szCs w:val="24"/>
        </w:rPr>
        <w:t xml:space="preserve">, sino de una interacción que trata de incluir todas las perspectivas en el proceso de mediación internacional. </w:t>
      </w:r>
    </w:p>
    <w:p w:rsidR="003B40A4" w:rsidRPr="002437E6"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Puede suponer un ejemplo de la intervención positiva de la religión en la solución de conflictos internacionales</w:t>
      </w:r>
      <w:r>
        <w:rPr>
          <w:rStyle w:val="Refdenotaalpie"/>
          <w:rFonts w:ascii="Times New Roman" w:hAnsi="Times New Roman" w:cs="Times New Roman"/>
          <w:sz w:val="24"/>
          <w:szCs w:val="24"/>
        </w:rPr>
        <w:footnoteReference w:id="52"/>
      </w:r>
      <w:r>
        <w:rPr>
          <w:rFonts w:ascii="Times New Roman" w:hAnsi="Times New Roman" w:cs="Times New Roman"/>
          <w:sz w:val="24"/>
          <w:szCs w:val="24"/>
        </w:rPr>
        <w:t xml:space="preserve"> la mediación de la Iglesia Católica en el conflicto entre Argentina y Chile por la delimitación del Canal Beagle en 1979, o las recientes declaraciones del Papa Francisco I en el conflicto árabe israelí para la búsqueda de un acuerdo por vías pacíficas</w:t>
      </w:r>
      <w:r>
        <w:rPr>
          <w:rStyle w:val="Refdenotaalpie"/>
          <w:rFonts w:ascii="Times New Roman" w:hAnsi="Times New Roman" w:cs="Times New Roman"/>
          <w:sz w:val="24"/>
          <w:szCs w:val="24"/>
        </w:rPr>
        <w:footnoteReference w:id="53"/>
      </w:r>
      <w:r>
        <w:rPr>
          <w:rFonts w:ascii="Times New Roman" w:hAnsi="Times New Roman" w:cs="Times New Roman"/>
          <w:sz w:val="24"/>
          <w:szCs w:val="24"/>
        </w:rPr>
        <w:t>.</w:t>
      </w:r>
    </w:p>
    <w:p w:rsidR="003B40A4" w:rsidRPr="00EE1EF8"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La participación en un procedimiento de mediación implica además una legitimidad de las partes que interactúan en el mismo. No sólo se ha de garantizar una correcta adecuación de los representantes nacionales en conformidad a su Derecho constitucional interno, sino que además será preciso que se adecúen al Ordenamiento Jurídico Internacional y en especial al Estatuto de la Corte Penal Internacional</w:t>
      </w:r>
      <w:r>
        <w:rPr>
          <w:rStyle w:val="Refdenotaalpie"/>
          <w:rFonts w:ascii="Times New Roman" w:hAnsi="Times New Roman" w:cs="Times New Roman"/>
          <w:sz w:val="24"/>
          <w:szCs w:val="24"/>
        </w:rPr>
        <w:footnoteReference w:id="54"/>
      </w:r>
      <w:r>
        <w:rPr>
          <w:rFonts w:ascii="Times New Roman" w:hAnsi="Times New Roman" w:cs="Times New Roman"/>
          <w:sz w:val="24"/>
          <w:szCs w:val="24"/>
        </w:rPr>
        <w:t xml:space="preserve">. El propio mediador ha de ser capaz de juzgar a priori o en el transcurso del procedimiento la legitimidad de las partes que se embarquen en el proceso de mediación y actuar en consecuencia, bien subsanándolo o poniéndolo en conocimiento de las instancias oportunas.  </w:t>
      </w:r>
    </w:p>
    <w:p w:rsidR="003B40A4" w:rsidRPr="00EE1EF8"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En l</w:t>
      </w:r>
      <w:r w:rsidR="009F0EAB">
        <w:rPr>
          <w:rFonts w:ascii="Times New Roman" w:hAnsi="Times New Roman" w:cs="Times New Roman"/>
          <w:sz w:val="24"/>
          <w:szCs w:val="24"/>
        </w:rPr>
        <w:t>a participación en la mediación</w:t>
      </w:r>
      <w:r>
        <w:rPr>
          <w:rFonts w:ascii="Times New Roman" w:hAnsi="Times New Roman" w:cs="Times New Roman"/>
          <w:sz w:val="24"/>
          <w:szCs w:val="24"/>
        </w:rPr>
        <w:t xml:space="preserve"> no se prevé sólo de que intervengan sujetos de Derecho Internacional Público. En la </w:t>
      </w:r>
      <w:r w:rsidRPr="000E7A61">
        <w:rPr>
          <w:rFonts w:ascii="Times New Roman" w:hAnsi="Times New Roman" w:cs="Times New Roman"/>
          <w:sz w:val="24"/>
          <w:szCs w:val="24"/>
        </w:rPr>
        <w:t>Resolución 65/283</w:t>
      </w:r>
      <w:r>
        <w:rPr>
          <w:rFonts w:ascii="Times New Roman" w:hAnsi="Times New Roman" w:cs="Times New Roman"/>
          <w:sz w:val="24"/>
          <w:szCs w:val="24"/>
        </w:rPr>
        <w:t xml:space="preserve"> de la Asamblea Genear</w:t>
      </w:r>
      <w:r w:rsidR="009F0EAB">
        <w:rPr>
          <w:rFonts w:ascii="Times New Roman" w:hAnsi="Times New Roman" w:cs="Times New Roman"/>
          <w:sz w:val="24"/>
          <w:szCs w:val="24"/>
        </w:rPr>
        <w:t>a</w:t>
      </w:r>
      <w:r>
        <w:rPr>
          <w:rFonts w:ascii="Times New Roman" w:hAnsi="Times New Roman" w:cs="Times New Roman"/>
          <w:sz w:val="24"/>
          <w:szCs w:val="24"/>
        </w:rPr>
        <w:t>l</w:t>
      </w:r>
      <w:r w:rsidRPr="000E7A61">
        <w:rPr>
          <w:rFonts w:ascii="Times New Roman" w:hAnsi="Times New Roman" w:cs="Times New Roman"/>
          <w:sz w:val="24"/>
          <w:szCs w:val="24"/>
        </w:rPr>
        <w:t xml:space="preserve"> </w:t>
      </w:r>
      <w:r>
        <w:rPr>
          <w:rFonts w:ascii="Times New Roman" w:hAnsi="Times New Roman" w:cs="Times New Roman"/>
          <w:sz w:val="24"/>
          <w:szCs w:val="24"/>
        </w:rPr>
        <w:t>(p</w:t>
      </w:r>
      <w:r w:rsidR="009F0EAB">
        <w:rPr>
          <w:rFonts w:ascii="Times New Roman" w:hAnsi="Times New Roman" w:cs="Times New Roman"/>
          <w:sz w:val="24"/>
          <w:szCs w:val="24"/>
        </w:rPr>
        <w:t xml:space="preserve">unto </w:t>
      </w:r>
      <w:r>
        <w:rPr>
          <w:rFonts w:ascii="Times New Roman" w:hAnsi="Times New Roman" w:cs="Times New Roman"/>
          <w:sz w:val="24"/>
          <w:szCs w:val="24"/>
        </w:rPr>
        <w:t>14)</w:t>
      </w:r>
      <w:r w:rsidRPr="000E7A61">
        <w:rPr>
          <w:rFonts w:ascii="Times New Roman" w:hAnsi="Times New Roman" w:cs="Times New Roman"/>
          <w:sz w:val="24"/>
          <w:szCs w:val="24"/>
        </w:rPr>
        <w:t xml:space="preserve"> </w:t>
      </w:r>
      <w:r>
        <w:rPr>
          <w:rFonts w:ascii="Times New Roman" w:hAnsi="Times New Roman" w:cs="Times New Roman"/>
          <w:sz w:val="24"/>
          <w:szCs w:val="24"/>
        </w:rPr>
        <w:t xml:space="preserve">se destaca la cooperación con la sociedad civil así como la elaboración de </w:t>
      </w:r>
      <w:r w:rsidRPr="00A33B62">
        <w:rPr>
          <w:rFonts w:ascii="Times New Roman" w:hAnsi="Times New Roman" w:cs="Times New Roman"/>
          <w:sz w:val="24"/>
          <w:szCs w:val="24"/>
        </w:rPr>
        <w:t xml:space="preserve">mecanismos para mejorar el intercambio de información, y la coordinación </w:t>
      </w:r>
      <w:r>
        <w:rPr>
          <w:rFonts w:ascii="Times New Roman" w:hAnsi="Times New Roman" w:cs="Times New Roman"/>
          <w:sz w:val="24"/>
          <w:szCs w:val="24"/>
        </w:rPr>
        <w:t>para</w:t>
      </w:r>
      <w:r w:rsidRPr="00A33B62">
        <w:rPr>
          <w:rFonts w:ascii="Times New Roman" w:hAnsi="Times New Roman" w:cs="Times New Roman"/>
          <w:sz w:val="24"/>
          <w:szCs w:val="24"/>
        </w:rPr>
        <w:t xml:space="preserve"> asegurar la coherencia y complementariedad de la labor</w:t>
      </w:r>
      <w:r>
        <w:rPr>
          <w:rFonts w:ascii="Times New Roman" w:hAnsi="Times New Roman" w:cs="Times New Roman"/>
          <w:sz w:val="24"/>
          <w:szCs w:val="24"/>
        </w:rPr>
        <w:t xml:space="preserve"> del mediador. Según la doctrina, la mediación ha de jugar un papel importante en tres situaciones: en la prevención del conflicto, la resolución del mismo y la consolidación del proceso de paz una vez haya finalizado, en la etapa postconflicto </w:t>
      </w:r>
      <w:r>
        <w:rPr>
          <w:rStyle w:val="Refdenotaalpie"/>
          <w:rFonts w:ascii="Times New Roman" w:hAnsi="Times New Roman" w:cs="Times New Roman"/>
          <w:sz w:val="24"/>
          <w:szCs w:val="24"/>
        </w:rPr>
        <w:footnoteReference w:id="55"/>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Si un estado se somete a un proceso de mediación cabe considerarlo como de naturaleza pública, dando lugar al derecho de los ciudadanos de referido estado a manifestar su opinión sobre el transcurso, fondo y posibles fines del proceso de negociación, así como las alternativas que se barajen a la hora de acercar las posturas; en aplicación del artículo 25.a) del Pacto Internacional de los Derechos Civiles y Políticos</w:t>
      </w:r>
      <w:r>
        <w:rPr>
          <w:rStyle w:val="Refdenotaalpie"/>
          <w:rFonts w:ascii="Times New Roman" w:hAnsi="Times New Roman" w:cs="Times New Roman"/>
          <w:sz w:val="24"/>
          <w:szCs w:val="24"/>
        </w:rPr>
        <w:footnoteReference w:id="56"/>
      </w:r>
      <w:r>
        <w:rPr>
          <w:rFonts w:ascii="Times New Roman" w:hAnsi="Times New Roman" w:cs="Times New Roman"/>
          <w:sz w:val="24"/>
          <w:szCs w:val="24"/>
        </w:rPr>
        <w:t xml:space="preserve">, que prevé que todos los ciudadanos gozarán del derecho a participar en la dirección de los asuntos públicos, directamente o por medio de representantes libremente elegidos.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2.3.4 LA IMPLICACIÓN DE LOS ESTADOS COMO SUJETOS DE DERECHO INTERNACIONAL EN EL PROCESO DE MEDIACIÓN</w:t>
      </w:r>
    </w:p>
    <w:p w:rsidR="003B40A4" w:rsidRPr="00752A71"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La</w:t>
      </w:r>
      <w:r w:rsidRPr="00F919AB">
        <w:rPr>
          <w:rFonts w:ascii="Times New Roman" w:hAnsi="Times New Roman" w:cs="Times New Roman"/>
          <w:sz w:val="24"/>
          <w:szCs w:val="24"/>
        </w:rPr>
        <w:t xml:space="preserve"> implicación nacional se </w:t>
      </w:r>
      <w:r>
        <w:rPr>
          <w:rFonts w:ascii="Times New Roman" w:hAnsi="Times New Roman" w:cs="Times New Roman"/>
          <w:sz w:val="24"/>
          <w:szCs w:val="24"/>
        </w:rPr>
        <w:t>fundamenta</w:t>
      </w:r>
      <w:r w:rsidRPr="00F919AB">
        <w:rPr>
          <w:rFonts w:ascii="Times New Roman" w:hAnsi="Times New Roman" w:cs="Times New Roman"/>
          <w:sz w:val="24"/>
          <w:szCs w:val="24"/>
        </w:rPr>
        <w:t xml:space="preserve"> en que las partes en conflicto y la sociedad en general se comprometen al proceso de mediación, los acuerdos resultantes y su aplicación</w:t>
      </w:r>
      <w:r w:rsidRPr="00167AE8">
        <w:rPr>
          <w:rStyle w:val="Refdenotaalpie"/>
          <w:rFonts w:ascii="Times New Roman" w:hAnsi="Times New Roman" w:cs="Times New Roman"/>
          <w:sz w:val="24"/>
          <w:szCs w:val="24"/>
        </w:rPr>
        <w:footnoteReference w:id="57"/>
      </w:r>
      <w:r w:rsidRPr="00F919AB">
        <w:rPr>
          <w:rFonts w:ascii="Times New Roman" w:hAnsi="Times New Roman" w:cs="Times New Roman"/>
          <w:sz w:val="24"/>
          <w:szCs w:val="24"/>
        </w:rPr>
        <w:t>.</w:t>
      </w:r>
      <w:r>
        <w:rPr>
          <w:rFonts w:ascii="Times New Roman" w:hAnsi="Times New Roman" w:cs="Times New Roman"/>
          <w:sz w:val="24"/>
          <w:szCs w:val="24"/>
        </w:rPr>
        <w:t xml:space="preserve"> No es preciso olvidar tampoco e</w:t>
      </w:r>
      <w:r w:rsidRPr="00F919AB">
        <w:rPr>
          <w:rFonts w:ascii="Times New Roman" w:hAnsi="Times New Roman" w:cs="Times New Roman"/>
          <w:sz w:val="24"/>
          <w:szCs w:val="24"/>
        </w:rPr>
        <w:t>l artículo 21.3 de la Declaración Un</w:t>
      </w:r>
      <w:r>
        <w:rPr>
          <w:rFonts w:ascii="Times New Roman" w:hAnsi="Times New Roman" w:cs="Times New Roman"/>
          <w:sz w:val="24"/>
          <w:szCs w:val="24"/>
        </w:rPr>
        <w:t xml:space="preserve">iversal de los Derechos Humanos, que </w:t>
      </w:r>
      <w:r w:rsidRPr="00F919AB">
        <w:rPr>
          <w:rFonts w:ascii="Times New Roman" w:hAnsi="Times New Roman" w:cs="Times New Roman"/>
          <w:sz w:val="24"/>
          <w:szCs w:val="24"/>
        </w:rPr>
        <w:t xml:space="preserve">valora la voluntad del pueblo como la base de la autoridad del poder público, </w:t>
      </w:r>
      <w:r>
        <w:rPr>
          <w:rFonts w:ascii="Times New Roman" w:hAnsi="Times New Roman" w:cs="Times New Roman"/>
          <w:sz w:val="24"/>
          <w:szCs w:val="24"/>
        </w:rPr>
        <w:t>expresada</w:t>
      </w:r>
      <w:r w:rsidRPr="00F919AB">
        <w:rPr>
          <w:rFonts w:ascii="Times New Roman" w:hAnsi="Times New Roman" w:cs="Times New Roman"/>
          <w:sz w:val="24"/>
          <w:szCs w:val="24"/>
        </w:rPr>
        <w:t xml:space="preserve"> mediante elecciones auténticas</w:t>
      </w:r>
      <w:r>
        <w:rPr>
          <w:rFonts w:ascii="Times New Roman" w:hAnsi="Times New Roman" w:cs="Times New Roman"/>
          <w:sz w:val="24"/>
          <w:szCs w:val="24"/>
        </w:rPr>
        <w:t>.</w:t>
      </w:r>
    </w:p>
    <w:p w:rsidR="003B40A4" w:rsidRPr="00167AE8" w:rsidRDefault="003B40A4" w:rsidP="003B40A4">
      <w:pPr>
        <w:spacing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Pr>
          <w:rFonts w:ascii="Times New Roman" w:hAnsi="Times New Roman" w:cs="Times New Roman"/>
          <w:i/>
          <w:sz w:val="24"/>
          <w:szCs w:val="24"/>
        </w:rPr>
        <w:tab/>
      </w:r>
      <w:r>
        <w:rPr>
          <w:rFonts w:ascii="Times New Roman" w:hAnsi="Times New Roman" w:cs="Times New Roman"/>
          <w:sz w:val="24"/>
          <w:szCs w:val="24"/>
        </w:rPr>
        <w:t xml:space="preserve">Cuestión distinta es la capacidad para intervenir en un proceso de mediación. Puede que alguna de las partes no disponga ni de medios ni de infraestructuras para hacer frente al procedimiento de mediación, y obviamente necesitarán ser tenidas en cuenta por la figura del mediador para tener una posición equitativa en el proceso (sobre todo en los países en vías de desarrollo). Será preciso que el mediador pueda detectar cuál es la parte débil, ya sea desde el punto de vista económico o social, por efecto de catástrofes naturales, circunstancias bélicas o militares, o por la actuación de la parte contraria que intervenga negativamente favoreciendo la posición desfavorable, para de esta forma dar lugar al principio de igualdad en la negociación del proceso de mediación.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La estructura de la sociedad civil puede disponer de multiplicidad de agentes y factores, que pueden influir directa o indirectamente en la voluntad interna de cada estado. Es preciso hacer alusión a grupos religiosos, partidos políticos, sindicatos, asociaciones, minorías, grupos de etnias, pueblos, etc.  El mediador debe ser flexible y constante en el intercambio de información, siendo consciente de la opinión de los grupos y su intervención en el conflicto de fondo.  También es preciso tener en cuenta la estructura territorial del estado, su naturaleza (central o federal), la cesión de competencias a entidades subnacionales para comprender la naturaleza del conflicto y sus posibles soluciones.</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Según la doctrina, el mediador desde una perspectiva institucional debe hacer un análisis de los actores externos </w:t>
      </w:r>
      <w:r w:rsidR="005B21B8">
        <w:rPr>
          <w:rFonts w:ascii="Times New Roman" w:hAnsi="Times New Roman" w:cs="Times New Roman"/>
          <w:sz w:val="24"/>
          <w:szCs w:val="24"/>
        </w:rPr>
        <w:t xml:space="preserve">e internos </w:t>
      </w:r>
      <w:r>
        <w:rPr>
          <w:rFonts w:ascii="Times New Roman" w:hAnsi="Times New Roman" w:cs="Times New Roman"/>
          <w:sz w:val="24"/>
          <w:szCs w:val="24"/>
        </w:rPr>
        <w:t xml:space="preserve">identificando retos y oportunidades en los mismos. El mediador también debe ser consciente de la disposición de las partes en conflicto y su capacidad para relacionarse con actores </w:t>
      </w:r>
      <w:r w:rsidR="005B21B8">
        <w:rPr>
          <w:rFonts w:ascii="Times New Roman" w:hAnsi="Times New Roman" w:cs="Times New Roman"/>
          <w:sz w:val="24"/>
          <w:szCs w:val="24"/>
        </w:rPr>
        <w:t>internos</w:t>
      </w:r>
      <w:r>
        <w:rPr>
          <w:rFonts w:ascii="Times New Roman" w:hAnsi="Times New Roman" w:cs="Times New Roman"/>
          <w:sz w:val="24"/>
          <w:szCs w:val="24"/>
        </w:rPr>
        <w:t>, que pueden ser variables ya que en algunos conflicto</w:t>
      </w:r>
      <w:r w:rsidR="00B42E4A">
        <w:rPr>
          <w:rFonts w:ascii="Times New Roman" w:hAnsi="Times New Roman" w:cs="Times New Roman"/>
          <w:sz w:val="24"/>
          <w:szCs w:val="24"/>
        </w:rPr>
        <w:t>s las partes pueden negarse a la</w:t>
      </w:r>
      <w:r>
        <w:rPr>
          <w:rFonts w:ascii="Times New Roman" w:hAnsi="Times New Roman" w:cs="Times New Roman"/>
          <w:sz w:val="24"/>
          <w:szCs w:val="24"/>
        </w:rPr>
        <w:t xml:space="preserve"> internacionalización </w:t>
      </w:r>
      <w:r w:rsidR="00B42E4A">
        <w:rPr>
          <w:rFonts w:ascii="Times New Roman" w:hAnsi="Times New Roman" w:cs="Times New Roman"/>
          <w:sz w:val="24"/>
          <w:szCs w:val="24"/>
        </w:rPr>
        <w:t>del mismo</w:t>
      </w:r>
      <w:r w:rsidR="00B42E4A">
        <w:rPr>
          <w:rStyle w:val="Refdenotaalpie"/>
          <w:rFonts w:ascii="Times New Roman" w:hAnsi="Times New Roman" w:cs="Times New Roman"/>
          <w:sz w:val="24"/>
          <w:szCs w:val="24"/>
        </w:rPr>
        <w:footnoteReference w:id="58"/>
      </w:r>
      <w:r w:rsidR="00B42E4A">
        <w:rPr>
          <w:rFonts w:ascii="Times New Roman" w:hAnsi="Times New Roman" w:cs="Times New Roman"/>
          <w:sz w:val="24"/>
          <w:szCs w:val="24"/>
        </w:rPr>
        <w:t>,</w:t>
      </w:r>
      <w:r>
        <w:rPr>
          <w:rFonts w:ascii="Times New Roman" w:hAnsi="Times New Roman" w:cs="Times New Roman"/>
          <w:sz w:val="24"/>
          <w:szCs w:val="24"/>
        </w:rPr>
        <w:t xml:space="preserve"> </w:t>
      </w:r>
      <w:r w:rsidR="005B21B8">
        <w:rPr>
          <w:rFonts w:ascii="Times New Roman" w:hAnsi="Times New Roman" w:cs="Times New Roman"/>
          <w:sz w:val="24"/>
          <w:szCs w:val="24"/>
        </w:rPr>
        <w:t>puesto que</w:t>
      </w:r>
      <w:r>
        <w:rPr>
          <w:rFonts w:ascii="Times New Roman" w:hAnsi="Times New Roman" w:cs="Times New Roman"/>
          <w:sz w:val="24"/>
          <w:szCs w:val="24"/>
        </w:rPr>
        <w:t xml:space="preserve"> en esos </w:t>
      </w:r>
      <w:r>
        <w:rPr>
          <w:rFonts w:ascii="Times New Roman" w:hAnsi="Times New Roman" w:cs="Times New Roman"/>
          <w:sz w:val="24"/>
          <w:szCs w:val="24"/>
        </w:rPr>
        <w:lastRenderedPageBreak/>
        <w:t xml:space="preserve">casos las partes </w:t>
      </w:r>
      <w:r w:rsidR="004042FE">
        <w:rPr>
          <w:rFonts w:ascii="Times New Roman" w:hAnsi="Times New Roman" w:cs="Times New Roman"/>
          <w:sz w:val="24"/>
          <w:szCs w:val="24"/>
        </w:rPr>
        <w:t>que no son sujetos de Derecho internacional</w:t>
      </w:r>
      <w:r>
        <w:rPr>
          <w:rFonts w:ascii="Times New Roman" w:hAnsi="Times New Roman" w:cs="Times New Roman"/>
          <w:sz w:val="24"/>
          <w:szCs w:val="24"/>
        </w:rPr>
        <w:t xml:space="preserve"> </w:t>
      </w:r>
      <w:r w:rsidR="005B21B8">
        <w:rPr>
          <w:rFonts w:ascii="Times New Roman" w:hAnsi="Times New Roman" w:cs="Times New Roman"/>
          <w:sz w:val="24"/>
          <w:szCs w:val="24"/>
        </w:rPr>
        <w:t>desean</w:t>
      </w:r>
      <w:r>
        <w:rPr>
          <w:rFonts w:ascii="Times New Roman" w:hAnsi="Times New Roman" w:cs="Times New Roman"/>
          <w:sz w:val="24"/>
          <w:szCs w:val="24"/>
        </w:rPr>
        <w:t xml:space="preserve"> que se internacionalice el conflicto </w:t>
      </w:r>
      <w:r w:rsidR="004042FE">
        <w:rPr>
          <w:rFonts w:ascii="Times New Roman" w:hAnsi="Times New Roman" w:cs="Times New Roman"/>
          <w:sz w:val="24"/>
          <w:szCs w:val="24"/>
        </w:rPr>
        <w:t>al contemplarlo</w:t>
      </w:r>
      <w:r>
        <w:rPr>
          <w:rFonts w:ascii="Times New Roman" w:hAnsi="Times New Roman" w:cs="Times New Roman"/>
          <w:sz w:val="24"/>
          <w:szCs w:val="24"/>
        </w:rPr>
        <w:t xml:space="preserve"> como una legitimación en su lucha</w:t>
      </w:r>
      <w:r>
        <w:rPr>
          <w:rStyle w:val="Refdenotaalpie"/>
          <w:rFonts w:ascii="Times New Roman" w:hAnsi="Times New Roman" w:cs="Times New Roman"/>
          <w:sz w:val="24"/>
          <w:szCs w:val="24"/>
        </w:rPr>
        <w:footnoteReference w:id="59"/>
      </w:r>
      <w:r>
        <w:rPr>
          <w:rFonts w:ascii="Times New Roman" w:hAnsi="Times New Roman" w:cs="Times New Roman"/>
          <w:sz w:val="24"/>
          <w:szCs w:val="24"/>
        </w:rPr>
        <w:t xml:space="preserve">. En esas circunstancias el mediador internacional tendrá más dificultades para identificar </w:t>
      </w:r>
      <w:r w:rsidR="005B21B8">
        <w:rPr>
          <w:rFonts w:ascii="Times New Roman" w:hAnsi="Times New Roman" w:cs="Times New Roman"/>
          <w:sz w:val="24"/>
          <w:szCs w:val="24"/>
        </w:rPr>
        <w:t xml:space="preserve">los </w:t>
      </w:r>
      <w:r>
        <w:rPr>
          <w:rFonts w:ascii="Times New Roman" w:hAnsi="Times New Roman" w:cs="Times New Roman"/>
          <w:sz w:val="24"/>
          <w:szCs w:val="24"/>
        </w:rPr>
        <w:t>actores. Éstos pueden ser actores regionales, grandes países vecinos que pueden ver el conflicto como una amenaza (como la intervención de México en conflictos centroamericanos), incluso socios distantes si tienen un especial interés (como el apoyo de Francia a Marruecos en el conflicto del Sahara).</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La multiculturalidad y la participación local pueden ser un punto de apoyo del mediador para conseguir sus fines de forma ágil. En concreto cabe destacar a las </w:t>
      </w:r>
      <w:r w:rsidR="009040E0">
        <w:rPr>
          <w:rFonts w:ascii="Times New Roman" w:hAnsi="Times New Roman" w:cs="Times New Roman"/>
          <w:sz w:val="24"/>
          <w:szCs w:val="24"/>
        </w:rPr>
        <w:t>fórmulas</w:t>
      </w:r>
      <w:r>
        <w:rPr>
          <w:rFonts w:ascii="Times New Roman" w:hAnsi="Times New Roman" w:cs="Times New Roman"/>
          <w:sz w:val="24"/>
          <w:szCs w:val="24"/>
        </w:rPr>
        <w:t xml:space="preserve"> indígenas de solución de controversias. Como afirma la doctrina, los procesos de administración de justicia indígena (sobre todo los indígenas de Ecuador) están repletos de rasgos de mediación y conciliación para que a través de las sanciones se pueda rehabilitar y reincorporar al individuo en la comunidad</w:t>
      </w:r>
      <w:r>
        <w:rPr>
          <w:rStyle w:val="Refdenotaalpie"/>
          <w:rFonts w:ascii="Times New Roman" w:hAnsi="Times New Roman" w:cs="Times New Roman"/>
          <w:sz w:val="24"/>
          <w:szCs w:val="24"/>
        </w:rPr>
        <w:footnoteReference w:id="60"/>
      </w:r>
      <w:r>
        <w:rPr>
          <w:rFonts w:ascii="Times New Roman" w:hAnsi="Times New Roman" w:cs="Times New Roman"/>
          <w:sz w:val="24"/>
          <w:szCs w:val="24"/>
        </w:rPr>
        <w:t xml:space="preserve">, en cuyo proceso debe cuidarse siempre el respeto a los Derecho humanos, discrecionalidad que corresponderá en todo caso al mediador.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Respecto al debate sobre la aplicación de plazos por el mediador, en aplicación del principio de informalidad debe señalarse que la planificación anticipada puede hacer incompatible la solución. Se puede poner esta reflexión en relación con el punto 42 del Informe del Secretario General de 8 de abril de 2009, que expresaba que los </w:t>
      </w:r>
      <w:r w:rsidRPr="00036BCB">
        <w:rPr>
          <w:rFonts w:ascii="Times New Roman" w:hAnsi="Times New Roman" w:cs="Times New Roman"/>
          <w:sz w:val="24"/>
          <w:szCs w:val="24"/>
        </w:rPr>
        <w:t>acuerdos de paz más eficaces son también los que contienen directrices claras sobre las prioridades de aplicación y plazos de cumplimiento realistas</w:t>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En relación con programas incompatibles o plazos externos no realistas, en ningún momento cualidades aceptables en una buena mediación. Según la doctrina, la inflexibilidad a la hora de ser indiferente al cambio de contexto, mapa político o de personajes en el conflicto, y de las falsas promesas si no se percata el mediador de los problemas técnicos o la situación del estado en conflicto tras la guerra pueden suponer un claro inconveniente</w:t>
      </w:r>
      <w:r>
        <w:rPr>
          <w:rStyle w:val="Refdenotaalpie"/>
          <w:rFonts w:ascii="Times New Roman" w:hAnsi="Times New Roman" w:cs="Times New Roman"/>
          <w:sz w:val="24"/>
          <w:szCs w:val="24"/>
        </w:rPr>
        <w:footnoteReference w:id="61"/>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En la búsqueda de límites a la mediación, la doctrina señala que podría constituir límite añadido al proceso de mediación las posibles perspectivas de éxito de las partes </w:t>
      </w:r>
      <w:r>
        <w:rPr>
          <w:rFonts w:ascii="Times New Roman" w:hAnsi="Times New Roman" w:cs="Times New Roman"/>
          <w:sz w:val="24"/>
          <w:szCs w:val="24"/>
        </w:rPr>
        <w:lastRenderedPageBreak/>
        <w:t>involucradas en el proceso de mediación</w:t>
      </w:r>
      <w:r>
        <w:rPr>
          <w:rStyle w:val="Refdenotaalpie"/>
          <w:rFonts w:ascii="Times New Roman" w:hAnsi="Times New Roman" w:cs="Times New Roman"/>
          <w:sz w:val="24"/>
          <w:szCs w:val="24"/>
        </w:rPr>
        <w:footnoteReference w:id="62"/>
      </w:r>
      <w:r>
        <w:rPr>
          <w:rFonts w:ascii="Times New Roman" w:hAnsi="Times New Roman" w:cs="Times New Roman"/>
          <w:sz w:val="24"/>
          <w:szCs w:val="24"/>
        </w:rPr>
        <w:t xml:space="preserve">. Por ejemplo, se señala el conflicto de las Islas Maldivas en el que las opiniones de las partes en conflicto eran diametralmente opuestas y orientadas ambas a la búsqueda de la soberanía de las islas. La voluntad de mediación debe en todo momento orientarse a la capacidad de abandonar las intenciones iniciales para ser capaces de contemplar otras posibilidades. Es preciso, por tanto, detectar los esfuerzos de </w:t>
      </w:r>
      <w:r w:rsidRPr="009A070E">
        <w:rPr>
          <w:rFonts w:ascii="Times New Roman" w:hAnsi="Times New Roman" w:cs="Times New Roman"/>
          <w:sz w:val="24"/>
          <w:szCs w:val="24"/>
        </w:rPr>
        <w:t xml:space="preserve">otras </w:t>
      </w:r>
      <w:r>
        <w:rPr>
          <w:rFonts w:ascii="Times New Roman" w:hAnsi="Times New Roman" w:cs="Times New Roman"/>
          <w:sz w:val="24"/>
          <w:szCs w:val="24"/>
        </w:rPr>
        <w:t>partes</w:t>
      </w:r>
      <w:r w:rsidRPr="009A070E">
        <w:rPr>
          <w:rFonts w:ascii="Times New Roman" w:hAnsi="Times New Roman" w:cs="Times New Roman"/>
          <w:sz w:val="24"/>
          <w:szCs w:val="24"/>
        </w:rPr>
        <w:t xml:space="preserve"> que puedan haber participado en etapas anteriores</w:t>
      </w:r>
      <w:r>
        <w:rPr>
          <w:rFonts w:ascii="Times New Roman" w:hAnsi="Times New Roman" w:cs="Times New Roman"/>
          <w:sz w:val="24"/>
          <w:szCs w:val="24"/>
        </w:rPr>
        <w:t xml:space="preserve"> al conflicto</w:t>
      </w:r>
      <w:r w:rsidRPr="009A070E">
        <w:rPr>
          <w:rFonts w:ascii="Times New Roman" w:hAnsi="Times New Roman" w:cs="Times New Roman"/>
          <w:sz w:val="24"/>
          <w:szCs w:val="24"/>
        </w:rPr>
        <w:t>, o que todavía puede estar presente en el fondo</w:t>
      </w:r>
      <w:r>
        <w:rPr>
          <w:rFonts w:ascii="Times New Roman" w:hAnsi="Times New Roman" w:cs="Times New Roman"/>
          <w:sz w:val="24"/>
          <w:szCs w:val="24"/>
        </w:rPr>
        <w:t xml:space="preserve">, canalizándolas de forma positiva al procedimiento de mediación (como el conflicto de Cachemira, donde fue crucial la influencia soviética).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424F46">
        <w:rPr>
          <w:rFonts w:ascii="Times New Roman" w:hAnsi="Times New Roman" w:cs="Times New Roman"/>
          <w:sz w:val="24"/>
          <w:szCs w:val="24"/>
        </w:rPr>
        <w:t xml:space="preserve">El contraste de intereses entre el interés nacional y el de la comunidad internacional </w:t>
      </w:r>
      <w:r>
        <w:rPr>
          <w:rFonts w:ascii="Times New Roman" w:hAnsi="Times New Roman" w:cs="Times New Roman"/>
          <w:sz w:val="24"/>
          <w:szCs w:val="24"/>
        </w:rPr>
        <w:t xml:space="preserve">para ejecutar los acuerdos de mediación puede ser un problema en el desenlace del procedimiento. Vuelve a ser precisa la constancia del mediador con actitud moderadora de las opiniones para el óptimo resultado. En palabras </w:t>
      </w:r>
      <w:r w:rsidR="009040E0">
        <w:rPr>
          <w:rFonts w:ascii="Times New Roman" w:hAnsi="Times New Roman" w:cs="Times New Roman"/>
          <w:sz w:val="24"/>
          <w:szCs w:val="24"/>
        </w:rPr>
        <w:t xml:space="preserve">de </w:t>
      </w:r>
      <w:r>
        <w:rPr>
          <w:rFonts w:ascii="Times New Roman" w:hAnsi="Times New Roman" w:cs="Times New Roman"/>
          <w:sz w:val="24"/>
          <w:szCs w:val="24"/>
        </w:rPr>
        <w:t>la doctrina</w:t>
      </w:r>
      <w:r>
        <w:rPr>
          <w:rStyle w:val="Refdenotaalpie"/>
          <w:rFonts w:ascii="Times New Roman" w:hAnsi="Times New Roman" w:cs="Times New Roman"/>
          <w:sz w:val="24"/>
          <w:szCs w:val="24"/>
        </w:rPr>
        <w:footnoteReference w:id="63"/>
      </w:r>
      <w:r>
        <w:rPr>
          <w:rFonts w:ascii="Times New Roman" w:hAnsi="Times New Roman" w:cs="Times New Roman"/>
          <w:sz w:val="24"/>
          <w:szCs w:val="24"/>
        </w:rPr>
        <w:t xml:space="preserve">, la mediación, a la hora de poner en contraste los intereses de ambas partes, debe basarse en una estrategia de comunicación múltiple entre las partes en conflicto. Esto da al mediador una señal pública de disposición al compromiso y a su vez ante la Comunidad Internacional para lograr la simpatía de terceros estados y Organizaciones Internacionales, suponiendo una reacción constructiva a quienes se opongan al proceso de mediación. </w:t>
      </w:r>
      <w:r>
        <w:rPr>
          <w:rFonts w:ascii="Times New Roman" w:hAnsi="Times New Roman" w:cs="Times New Roman"/>
          <w:sz w:val="24"/>
          <w:szCs w:val="24"/>
        </w:rPr>
        <w:tab/>
      </w:r>
    </w:p>
    <w:p w:rsidR="003B40A4" w:rsidRPr="00E2717F"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Dentro de las Directrices</w:t>
      </w:r>
      <w:r w:rsidRPr="00E700E9">
        <w:rPr>
          <w:rStyle w:val="Refdenotaalpie"/>
          <w:rFonts w:ascii="Times New Roman" w:hAnsi="Times New Roman" w:cs="Times New Roman"/>
          <w:sz w:val="24"/>
          <w:szCs w:val="24"/>
        </w:rPr>
        <w:footnoteReference w:id="64"/>
      </w:r>
      <w:r>
        <w:rPr>
          <w:rFonts w:ascii="Times New Roman" w:hAnsi="Times New Roman" w:cs="Times New Roman"/>
          <w:sz w:val="24"/>
          <w:szCs w:val="24"/>
        </w:rPr>
        <w:t xml:space="preserve">, el mediador, en su labor de operador del Ordenamiento Jurídico Internacional se encuentra en la obligación de que interpretarlo, traducirlo o transliterarlo, sólo o en compañía de su equipo de asesoramiento, para que las partes en el procedimiento puedan ser capaces de tomar decisiones conforme a Derecho y adecuar su Ordenamiento Jurídico interno a los requisitos que exija el procedimiento de mediación.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La implicación de los estados tiene además un claro límite en la disposición de las partes sobre el objeto del proceso de mediación: la amnistía sobre crímenes internacionales en base al principio de justicia universal.  Este principio debe influir de forma decisiva a la hora de depurar responsabilidades tras un procedimiento de mediación.  Las partes no pueden acordar diluir las responsabilidades al finalizar el proceso, aunque los referidos delitos no se encuentren previstos en sus respectivas legislaciones penales. Según la doctrina, el principio de justicia universal encuentra su fundamento en la posición de garante que ostenta cada </w:t>
      </w:r>
      <w:r>
        <w:rPr>
          <w:rFonts w:ascii="Times New Roman" w:hAnsi="Times New Roman" w:cs="Times New Roman"/>
          <w:sz w:val="24"/>
          <w:szCs w:val="24"/>
        </w:rPr>
        <w:lastRenderedPageBreak/>
        <w:t>Estado como parte de la Comunidad Internacional para la protección de intereses supranacionales que afectan por tanto a toda la Comunidad Internacional en la persecución de los crímenes más intolerables que ofenden a toda la Comunidad Internacional</w:t>
      </w:r>
      <w:r>
        <w:rPr>
          <w:rStyle w:val="Refdenotaalpie"/>
          <w:rFonts w:ascii="Times New Roman" w:hAnsi="Times New Roman" w:cs="Times New Roman"/>
          <w:sz w:val="24"/>
          <w:szCs w:val="24"/>
        </w:rPr>
        <w:footnoteReference w:id="65"/>
      </w:r>
      <w:r>
        <w:rPr>
          <w:rFonts w:ascii="Times New Roman" w:hAnsi="Times New Roman" w:cs="Times New Roman"/>
          <w:sz w:val="24"/>
          <w:szCs w:val="24"/>
        </w:rPr>
        <w:t xml:space="preserve">. Esta responsabilidad impide que el mediador pueda eludirla, lo que incluso podría derivar en su propia responsabilidad internacional. </w:t>
      </w:r>
    </w:p>
    <w:p w:rsidR="003B40A4" w:rsidRPr="00E2717F"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ab/>
        <w:t xml:space="preserve"> Cuestión distinta es la concesión de amnistías para otros delitos o delitos políticos, como la traición o la rebelión. </w:t>
      </w:r>
      <w:r>
        <w:rPr>
          <w:rFonts w:ascii="Times New Roman" w:hAnsi="Times New Roman"/>
          <w:sz w:val="24"/>
          <w:szCs w:val="24"/>
        </w:rPr>
        <w:t>Como apunta la doctrina penal respecto a los delitos de traición, se caracterizan por la nota del relativismo. Las valoraciones políticas acaban haciendo depender los comportamientos y más que una conducta es el resultado del conflicto bélico en el que se enmarca la traición, como muestra de la paradoja de que “la historia la escriben los vencedores y no los vencidos”</w:t>
      </w:r>
      <w:r>
        <w:rPr>
          <w:rStyle w:val="Refdenotaalpie"/>
          <w:rFonts w:ascii="Times New Roman" w:hAnsi="Times New Roman"/>
          <w:sz w:val="24"/>
          <w:szCs w:val="24"/>
        </w:rPr>
        <w:footnoteReference w:id="66"/>
      </w:r>
      <w:r>
        <w:rPr>
          <w:rFonts w:ascii="Times New Roman" w:hAnsi="Times New Roman"/>
          <w:sz w:val="24"/>
          <w:szCs w:val="24"/>
        </w:rPr>
        <w:t xml:space="preserve">. Este relativismo no ofende los intereses de la Comunidad Internacional y por tanto no genera la responsabilidad derivada del principio de justicia universal, por lo que la mediación podría perfectamente refrendar una posible amnistía. </w:t>
      </w:r>
    </w:p>
    <w:p w:rsidR="003B40A4" w:rsidRDefault="006104B0"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3B40A4">
        <w:rPr>
          <w:rFonts w:ascii="Times New Roman" w:hAnsi="Times New Roman" w:cs="Times New Roman"/>
          <w:sz w:val="24"/>
          <w:szCs w:val="24"/>
        </w:rPr>
        <w:t xml:space="preserve"> LA CONSECUCIÓN DEL ACUERDO A TRAVÉS DEL PROCEDIMIENTO DE MEDIACIÓN.</w:t>
      </w:r>
    </w:p>
    <w:p w:rsidR="003B40A4" w:rsidRPr="00623E53"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Pr="00623E53">
        <w:rPr>
          <w:rFonts w:ascii="Times New Roman" w:hAnsi="Times New Roman" w:cs="Times New Roman"/>
          <w:sz w:val="24"/>
          <w:szCs w:val="24"/>
        </w:rPr>
        <w:t xml:space="preserve">Para </w:t>
      </w:r>
      <w:r>
        <w:rPr>
          <w:rFonts w:ascii="Times New Roman" w:hAnsi="Times New Roman" w:cs="Times New Roman"/>
          <w:sz w:val="24"/>
          <w:szCs w:val="24"/>
        </w:rPr>
        <w:t xml:space="preserve">el logro de un acuerdo de paz o finalizador de la controversia </w:t>
      </w:r>
      <w:r w:rsidRPr="00623E53">
        <w:rPr>
          <w:rFonts w:ascii="Times New Roman" w:hAnsi="Times New Roman" w:cs="Times New Roman"/>
          <w:sz w:val="24"/>
          <w:szCs w:val="24"/>
        </w:rPr>
        <w:t>de calidad, durante las negociaciones debe prestarse atención al proceso, el fondo y la institucionalización de los mecanismos que prevén la solución no violenta del conflicto y evitan el resurgimiento del conflicto violento</w:t>
      </w:r>
      <w:r w:rsidRPr="00623E53">
        <w:rPr>
          <w:rStyle w:val="Refdenotaalpie"/>
          <w:rFonts w:ascii="Times New Roman" w:hAnsi="Times New Roman" w:cs="Times New Roman"/>
          <w:sz w:val="24"/>
          <w:szCs w:val="24"/>
        </w:rPr>
        <w:footnoteReference w:id="67"/>
      </w:r>
      <w:r w:rsidRPr="00623E53">
        <w:rPr>
          <w:rFonts w:ascii="Times New Roman" w:hAnsi="Times New Roman" w:cs="Times New Roman"/>
          <w:sz w:val="24"/>
          <w:szCs w:val="24"/>
        </w:rPr>
        <w:t>.</w:t>
      </w:r>
      <w:r w:rsidRPr="00B61AD8">
        <w:rPr>
          <w:rFonts w:ascii="Times New Roman" w:hAnsi="Times New Roman" w:cs="Times New Roman"/>
          <w:i/>
          <w:sz w:val="24"/>
          <w:szCs w:val="24"/>
        </w:rPr>
        <w:t xml:space="preserve">  </w:t>
      </w:r>
      <w:r>
        <w:rPr>
          <w:rFonts w:ascii="Times New Roman" w:hAnsi="Times New Roman" w:cs="Times New Roman"/>
          <w:sz w:val="24"/>
          <w:szCs w:val="24"/>
        </w:rPr>
        <w:t>Como indica la doctrina, la mediación, además de suponer costes no triviales a largo plazo, proporciona a los actores, como mínimo, un alivio a corto plazo de las actividades. Esta solución a corto plazo debe incluir la capacidad de conseguir un acuerdo formal de paz con la voluntad de hacer concesiones y reducir la tensión en el breve periodo una vez que la crisis haya finalizado</w:t>
      </w:r>
      <w:r>
        <w:rPr>
          <w:rStyle w:val="Refdenotaalpie"/>
          <w:rFonts w:ascii="Times New Roman" w:hAnsi="Times New Roman" w:cs="Times New Roman"/>
          <w:sz w:val="24"/>
          <w:szCs w:val="24"/>
        </w:rPr>
        <w:footnoteReference w:id="68"/>
      </w:r>
      <w:r>
        <w:rPr>
          <w:rFonts w:ascii="Times New Roman" w:hAnsi="Times New Roman" w:cs="Times New Roman"/>
          <w:sz w:val="24"/>
          <w:szCs w:val="24"/>
        </w:rPr>
        <w:t xml:space="preserve">. </w:t>
      </w:r>
    </w:p>
    <w:p w:rsidR="003B40A4" w:rsidRPr="00623E53" w:rsidRDefault="003B40A4" w:rsidP="003B40A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El acuerdo de paz </w:t>
      </w:r>
      <w:r w:rsidR="00445FF2">
        <w:rPr>
          <w:rFonts w:ascii="Times New Roman" w:hAnsi="Times New Roman" w:cs="Times New Roman"/>
          <w:sz w:val="24"/>
          <w:szCs w:val="24"/>
        </w:rPr>
        <w:t xml:space="preserve">o finalizador </w:t>
      </w:r>
      <w:r>
        <w:rPr>
          <w:rFonts w:ascii="Times New Roman" w:hAnsi="Times New Roman" w:cs="Times New Roman"/>
          <w:sz w:val="24"/>
          <w:szCs w:val="24"/>
        </w:rPr>
        <w:t>deb</w:t>
      </w:r>
      <w:r w:rsidR="00445FF2">
        <w:rPr>
          <w:rFonts w:ascii="Times New Roman" w:hAnsi="Times New Roman" w:cs="Times New Roman"/>
          <w:sz w:val="24"/>
          <w:szCs w:val="24"/>
        </w:rPr>
        <w:t>erá</w:t>
      </w:r>
      <w:r>
        <w:rPr>
          <w:rFonts w:ascii="Times New Roman" w:hAnsi="Times New Roman" w:cs="Times New Roman"/>
          <w:sz w:val="24"/>
          <w:szCs w:val="24"/>
        </w:rPr>
        <w:t xml:space="preserve"> de tratar todos los puntos conflictivos </w:t>
      </w:r>
      <w:r w:rsidR="00445FF2">
        <w:rPr>
          <w:rFonts w:ascii="Times New Roman" w:hAnsi="Times New Roman" w:cs="Times New Roman"/>
          <w:sz w:val="24"/>
          <w:szCs w:val="24"/>
        </w:rPr>
        <w:t xml:space="preserve">en los que se pueda suscribir un pacto </w:t>
      </w:r>
      <w:r>
        <w:rPr>
          <w:rFonts w:ascii="Times New Roman" w:hAnsi="Times New Roman" w:cs="Times New Roman"/>
          <w:sz w:val="24"/>
          <w:szCs w:val="24"/>
        </w:rPr>
        <w:t xml:space="preserve">e intentar atajar todas las cuestiones, bien sea de forma directa </w:t>
      </w:r>
      <w:r w:rsidR="00184EA6">
        <w:rPr>
          <w:rFonts w:ascii="Times New Roman" w:hAnsi="Times New Roman" w:cs="Times New Roman"/>
          <w:sz w:val="24"/>
          <w:szCs w:val="24"/>
        </w:rPr>
        <w:t>o</w:t>
      </w:r>
      <w:r>
        <w:rPr>
          <w:rFonts w:ascii="Times New Roman" w:hAnsi="Times New Roman" w:cs="Times New Roman"/>
          <w:sz w:val="24"/>
          <w:szCs w:val="24"/>
        </w:rPr>
        <w:t xml:space="preserve"> de forma indirecta pero siempre estableciendo mecanismos o instituciones (ya sea métodos pacíficos de solución de controversias u organismos comunes, como un Tribunal, Asamblea u </w:t>
      </w:r>
      <w:r>
        <w:rPr>
          <w:rFonts w:ascii="Times New Roman" w:hAnsi="Times New Roman" w:cs="Times New Roman"/>
          <w:sz w:val="24"/>
          <w:szCs w:val="24"/>
        </w:rPr>
        <w:lastRenderedPageBreak/>
        <w:t>organización)</w:t>
      </w:r>
      <w:r>
        <w:rPr>
          <w:rStyle w:val="Refdenotaalpie"/>
          <w:rFonts w:ascii="Times New Roman" w:hAnsi="Times New Roman" w:cs="Times New Roman"/>
          <w:sz w:val="24"/>
          <w:szCs w:val="24"/>
        </w:rPr>
        <w:footnoteReference w:id="69"/>
      </w:r>
      <w:r>
        <w:rPr>
          <w:rFonts w:ascii="Times New Roman" w:hAnsi="Times New Roman" w:cs="Times New Roman"/>
          <w:sz w:val="24"/>
          <w:szCs w:val="24"/>
        </w:rPr>
        <w:t>,</w:t>
      </w:r>
      <w:r w:rsidR="00445FF2">
        <w:rPr>
          <w:rFonts w:ascii="Times New Roman" w:hAnsi="Times New Roman" w:cs="Times New Roman"/>
          <w:sz w:val="24"/>
          <w:szCs w:val="24"/>
        </w:rPr>
        <w:t xml:space="preserve"> como vía de garantía objetiva y</w:t>
      </w:r>
      <w:r>
        <w:rPr>
          <w:rFonts w:ascii="Times New Roman" w:hAnsi="Times New Roman" w:cs="Times New Roman"/>
          <w:sz w:val="24"/>
          <w:szCs w:val="24"/>
        </w:rPr>
        <w:t xml:space="preserve"> para ejecutar de forma plena el acuerdo de paz. De esta forma el acuerdo de paz logrará tener una lógica sistemática interna que dará lugar a la solución plena del conflicto por vía pacífica, y dará respuesta eficaz a futuras controversias. Según la doctrina</w:t>
      </w:r>
      <w:r>
        <w:rPr>
          <w:rStyle w:val="Refdenotaalpie"/>
          <w:rFonts w:ascii="Times New Roman" w:hAnsi="Times New Roman" w:cs="Times New Roman"/>
          <w:sz w:val="24"/>
          <w:szCs w:val="24"/>
        </w:rPr>
        <w:footnoteReference w:id="70"/>
      </w:r>
      <w:r>
        <w:rPr>
          <w:rFonts w:ascii="Times New Roman" w:hAnsi="Times New Roman" w:cs="Times New Roman"/>
          <w:sz w:val="24"/>
          <w:szCs w:val="24"/>
        </w:rPr>
        <w:t>, si un acuerdo de mediación no establece o prevé procedimientos futuros, corre el riesgo de devenir ineficaz si no se garantiza su aplicación. Como ejemplo en la disputa entre Irak e Irán, Algeria no sólo supervisó la negociación del Tratado de Paz de 1975, sino que estuvo presente en la creación y en las deliberaciones de las comisiones mixtas que se crearon.</w:t>
      </w:r>
      <w:r>
        <w:rPr>
          <w:rFonts w:ascii="Times New Roman" w:hAnsi="Times New Roman" w:cs="Times New Roman"/>
          <w:i/>
          <w:sz w:val="24"/>
          <w:szCs w:val="24"/>
        </w:rPr>
        <w:t xml:space="preserve"> </w:t>
      </w:r>
      <w:r>
        <w:rPr>
          <w:rFonts w:ascii="Times New Roman" w:hAnsi="Times New Roman" w:cs="Times New Roman"/>
          <w:sz w:val="24"/>
          <w:szCs w:val="24"/>
        </w:rPr>
        <w:t>Uno de los fines del mediador ha de ser el de buscar alternativas que las partes acepten mutuamente. Los acuerdos formales son costosos de elaborar, y pueden suponer un riesgo de renegar. Por esta razón los actores generalmente sólo firmarán los acuerdos internacionales cuando estén fuertemente satisfechos en relación con un futuro inmediato</w:t>
      </w:r>
      <w:r>
        <w:rPr>
          <w:rStyle w:val="Refdenotaalpie"/>
          <w:rFonts w:ascii="Times New Roman" w:hAnsi="Times New Roman" w:cs="Times New Roman"/>
          <w:sz w:val="24"/>
          <w:szCs w:val="24"/>
        </w:rPr>
        <w:footnoteReference w:id="71"/>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Algunos sectores de la doctrina también plantean fórmulas a medio camino entre la mediación y el arbitraje, el llamado “med-arb” o “arb-med”, como método de solución alternativa de controversias. Se parte de la idea de un mediador que intenta solucionar el conflicto, y si no lo consigue, el mediador da pasos atrás para convertirse en el árbitro de la controversia. No cabe duda que supone un reto en la perspectiva tradicional de la resolución pacífica de controversias</w:t>
      </w:r>
      <w:r>
        <w:rPr>
          <w:rStyle w:val="Refdenotaalpie"/>
          <w:rFonts w:ascii="Times New Roman" w:hAnsi="Times New Roman" w:cs="Times New Roman"/>
          <w:sz w:val="24"/>
          <w:szCs w:val="24"/>
        </w:rPr>
        <w:footnoteReference w:id="72"/>
      </w:r>
      <w:r>
        <w:rPr>
          <w:rFonts w:ascii="Times New Roman" w:hAnsi="Times New Roman" w:cs="Times New Roman"/>
          <w:sz w:val="24"/>
          <w:szCs w:val="24"/>
        </w:rPr>
        <w:t xml:space="preserve">. En todo caso el “med-arb” debe partir de un consentimiento mutuo entre las partes plasmado de igual forma que la mediación o el arbitraje; y supone una fórmula economizadora y orientada a una resolución, puesto que el “med-arb”, en su labor de mediación adquiere un mayor conocimiento sobre la motivación de las partes y el fondo del asunto.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E91F5C">
        <w:rPr>
          <w:rFonts w:ascii="Times New Roman" w:hAnsi="Times New Roman" w:cs="Times New Roman"/>
          <w:sz w:val="24"/>
          <w:szCs w:val="24"/>
        </w:rPr>
        <w:t>LA APLICACIÓN DEL MODELO DE LA MEDIACIÓN A UN CASO CONCRETO:</w:t>
      </w:r>
      <w:r>
        <w:rPr>
          <w:rFonts w:ascii="Times New Roman" w:hAnsi="Times New Roman" w:cs="Times New Roman"/>
          <w:sz w:val="24"/>
          <w:szCs w:val="24"/>
        </w:rPr>
        <w:t xml:space="preserve"> </w:t>
      </w:r>
      <w:r w:rsidRPr="00DE69D0">
        <w:rPr>
          <w:rFonts w:ascii="Times New Roman" w:hAnsi="Times New Roman" w:cs="Times New Roman"/>
          <w:sz w:val="24"/>
          <w:szCs w:val="24"/>
        </w:rPr>
        <w:t xml:space="preserve">ESTUDIO DEL </w:t>
      </w:r>
      <w:r>
        <w:rPr>
          <w:rFonts w:ascii="Times New Roman" w:hAnsi="Times New Roman" w:cs="Times New Roman"/>
          <w:sz w:val="24"/>
          <w:szCs w:val="24"/>
        </w:rPr>
        <w:t>CONTENCIOSO</w:t>
      </w:r>
      <w:r w:rsidRPr="00DE69D0">
        <w:rPr>
          <w:rFonts w:ascii="Times New Roman" w:hAnsi="Times New Roman" w:cs="Times New Roman"/>
          <w:sz w:val="24"/>
          <w:szCs w:val="24"/>
        </w:rPr>
        <w:t xml:space="preserve"> DIPLOMÁTICO ENTRE ESPAÑA Y REINO UNIDO POR EL TERRITO</w:t>
      </w:r>
      <w:r>
        <w:rPr>
          <w:rFonts w:ascii="Times New Roman" w:hAnsi="Times New Roman" w:cs="Times New Roman"/>
          <w:sz w:val="24"/>
          <w:szCs w:val="24"/>
        </w:rPr>
        <w:t>RIO DE GIBRALTAR Y SUS DIMENSIONES.</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3.1 </w:t>
      </w:r>
      <w:r w:rsidRPr="00EF3F51">
        <w:rPr>
          <w:rFonts w:ascii="Times New Roman" w:hAnsi="Times New Roman" w:cs="Times New Roman"/>
          <w:sz w:val="24"/>
          <w:szCs w:val="24"/>
        </w:rPr>
        <w:t>CONSIDERACIONES RELATIVAS AL CONFLICTO DE SOB</w:t>
      </w:r>
      <w:r>
        <w:rPr>
          <w:rFonts w:ascii="Times New Roman" w:hAnsi="Times New Roman" w:cs="Times New Roman"/>
          <w:sz w:val="24"/>
          <w:szCs w:val="24"/>
        </w:rPr>
        <w:t xml:space="preserve">ERANÍA SOBRE EL TERRITORIO.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Desde un punto de vista estructural, muy someramente y sin ánimo de ser exhaustivo en una temática ampliamente profundizada doctrinal y diplomáticamente</w:t>
      </w:r>
      <w:r w:rsidR="009040E0">
        <w:rPr>
          <w:rFonts w:ascii="Times New Roman" w:hAnsi="Times New Roman" w:cs="Times New Roman"/>
          <w:sz w:val="24"/>
          <w:szCs w:val="24"/>
        </w:rPr>
        <w:t>,</w:t>
      </w:r>
      <w:r>
        <w:rPr>
          <w:rFonts w:ascii="Times New Roman" w:hAnsi="Times New Roman" w:cs="Times New Roman"/>
          <w:sz w:val="24"/>
          <w:szCs w:val="24"/>
        </w:rPr>
        <w:t xml:space="preserve"> analizaré las dimensiones y consideraciones relativas al conflicto de soberanía territorial y marítima sobre Gibraltar, con el objetivo de obtener una perspectiva global del contencioso y facilitar el establecimiento de presupue</w:t>
      </w:r>
      <w:r w:rsidR="009040E0">
        <w:rPr>
          <w:rFonts w:ascii="Times New Roman" w:hAnsi="Times New Roman" w:cs="Times New Roman"/>
          <w:sz w:val="24"/>
          <w:szCs w:val="24"/>
        </w:rPr>
        <w:t xml:space="preserve">stos objetivos que faciliten la consecución </w:t>
      </w:r>
      <w:r>
        <w:rPr>
          <w:rFonts w:ascii="Times New Roman" w:hAnsi="Times New Roman" w:cs="Times New Roman"/>
          <w:sz w:val="24"/>
          <w:szCs w:val="24"/>
        </w:rPr>
        <w:t xml:space="preserve">de un programa y pautas de mediación internacional. </w:t>
      </w:r>
    </w:p>
    <w:p w:rsidR="003B40A4" w:rsidRPr="00B3074B"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El texto de referencia para comenzar el estudio sobre la soberanía del territorio es el Artículo X del Tratado de Utrecht de 13 de julio de 1713, en el que con el tenor literal siguiente se estableció la cesión de territorio en su párrafo primero: “</w:t>
      </w:r>
      <w:r>
        <w:rPr>
          <w:rFonts w:ascii="Times New Roman" w:hAnsi="Times New Roman" w:cs="Times New Roman"/>
          <w:i/>
          <w:sz w:val="24"/>
          <w:szCs w:val="24"/>
        </w:rPr>
        <w:t>El Rey Católico, por sí y por sus herederos y sucesores, cede por este Tratado a la Corona de la Gran Bretaña la plena y entera propiedad de la ciudad y castillo de Gibraltar, juntamente con su puerto, defensas y fortaleza que le pertenecen, dando la dicha propiedad absolutamente para que la tenga y goce con entero derecho y para siempre, sin excepción ni impedimento alguno”</w:t>
      </w:r>
      <w:r>
        <w:rPr>
          <w:rStyle w:val="Refdenotaalpie"/>
          <w:rFonts w:ascii="Times New Roman" w:hAnsi="Times New Roman" w:cs="Times New Roman"/>
          <w:i/>
          <w:sz w:val="24"/>
          <w:szCs w:val="24"/>
        </w:rPr>
        <w:footnoteReference w:id="73"/>
      </w:r>
      <w:r>
        <w:rPr>
          <w:rFonts w:ascii="Times New Roman" w:hAnsi="Times New Roman" w:cs="Times New Roman"/>
          <w:i/>
          <w:sz w:val="24"/>
          <w:szCs w:val="24"/>
        </w:rPr>
        <w:t>.</w:t>
      </w:r>
      <w:r>
        <w:rPr>
          <w:rFonts w:ascii="Times New Roman" w:hAnsi="Times New Roman" w:cs="Times New Roman"/>
          <w:sz w:val="24"/>
          <w:szCs w:val="24"/>
        </w:rPr>
        <w:t xml:space="preserve"> Destaca también la adopción de una estipulación de Derecho de retracto (o </w:t>
      </w:r>
      <w:r>
        <w:rPr>
          <w:rFonts w:ascii="Times New Roman" w:hAnsi="Times New Roman" w:cs="Times New Roman"/>
          <w:i/>
          <w:sz w:val="24"/>
          <w:szCs w:val="24"/>
        </w:rPr>
        <w:t xml:space="preserve">“pre-emption </w:t>
      </w:r>
      <w:r w:rsidRPr="002B4140">
        <w:rPr>
          <w:rFonts w:ascii="Times New Roman" w:hAnsi="Times New Roman" w:cs="Times New Roman"/>
          <w:i/>
          <w:sz w:val="24"/>
          <w:szCs w:val="24"/>
        </w:rPr>
        <w:t>right</w:t>
      </w:r>
      <w:r>
        <w:rPr>
          <w:rFonts w:ascii="Times New Roman" w:hAnsi="Times New Roman" w:cs="Times New Roman"/>
          <w:sz w:val="24"/>
          <w:szCs w:val="24"/>
        </w:rPr>
        <w:t xml:space="preserve">) </w:t>
      </w:r>
      <w:r w:rsidRPr="002B4140">
        <w:rPr>
          <w:rFonts w:ascii="Times New Roman" w:hAnsi="Times New Roman" w:cs="Times New Roman"/>
          <w:sz w:val="24"/>
          <w:szCs w:val="24"/>
        </w:rPr>
        <w:t>a</w:t>
      </w:r>
      <w:r>
        <w:rPr>
          <w:rFonts w:ascii="Times New Roman" w:hAnsi="Times New Roman" w:cs="Times New Roman"/>
          <w:sz w:val="24"/>
          <w:szCs w:val="24"/>
        </w:rPr>
        <w:t xml:space="preserve"> favor de España en el último párrafo, según el cual </w:t>
      </w:r>
      <w:r w:rsidRPr="00B44FE0">
        <w:rPr>
          <w:rFonts w:ascii="Times New Roman" w:hAnsi="Times New Roman" w:cs="Times New Roman"/>
          <w:sz w:val="24"/>
          <w:szCs w:val="24"/>
        </w:rPr>
        <w:t xml:space="preserve">si Gran Bretaña </w:t>
      </w:r>
      <w:r>
        <w:rPr>
          <w:rFonts w:ascii="Times New Roman" w:hAnsi="Times New Roman" w:cs="Times New Roman"/>
          <w:sz w:val="24"/>
          <w:szCs w:val="24"/>
        </w:rPr>
        <w:t>decide</w:t>
      </w:r>
      <w:r w:rsidRPr="00B44FE0">
        <w:rPr>
          <w:rFonts w:ascii="Times New Roman" w:hAnsi="Times New Roman" w:cs="Times New Roman"/>
          <w:sz w:val="24"/>
          <w:szCs w:val="24"/>
        </w:rPr>
        <w:t xml:space="preserve"> </w:t>
      </w:r>
      <w:r>
        <w:rPr>
          <w:rFonts w:ascii="Times New Roman" w:hAnsi="Times New Roman" w:cs="Times New Roman"/>
          <w:sz w:val="24"/>
          <w:szCs w:val="24"/>
        </w:rPr>
        <w:t>la</w:t>
      </w:r>
      <w:r w:rsidRPr="00B44FE0">
        <w:rPr>
          <w:rFonts w:ascii="Times New Roman" w:hAnsi="Times New Roman" w:cs="Times New Roman"/>
          <w:sz w:val="24"/>
          <w:szCs w:val="24"/>
        </w:rPr>
        <w:t xml:space="preserve"> Ciudad de Gibraltar, se dará a la Corona de España la primera acción antes que a otros,</w:t>
      </w:r>
      <w:r>
        <w:rPr>
          <w:rFonts w:ascii="Times New Roman" w:hAnsi="Times New Roman" w:cs="Times New Roman"/>
          <w:sz w:val="24"/>
          <w:szCs w:val="24"/>
        </w:rPr>
        <w:t xml:space="preserve"> condicionándose la soberanía de Reino Unido a la hora de desprenderse del territorio.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i/>
          <w:sz w:val="24"/>
          <w:szCs w:val="24"/>
        </w:rPr>
        <w:tab/>
        <w:t xml:space="preserve"> </w:t>
      </w:r>
      <w:r>
        <w:rPr>
          <w:rFonts w:ascii="Times New Roman" w:hAnsi="Times New Roman" w:cs="Times New Roman"/>
          <w:sz w:val="24"/>
          <w:szCs w:val="24"/>
        </w:rPr>
        <w:t xml:space="preserve">Es preciso por tanto diferenciar, a efectos del estudio de las zonas en disputa: el territorio cedido </w:t>
      </w:r>
      <w:r w:rsidRPr="00FA5C4E">
        <w:rPr>
          <w:rFonts w:ascii="Times New Roman" w:hAnsi="Times New Roman" w:cs="Times New Roman"/>
          <w:i/>
          <w:sz w:val="24"/>
          <w:szCs w:val="24"/>
        </w:rPr>
        <w:t>strictu sensu</w:t>
      </w:r>
      <w:r>
        <w:rPr>
          <w:rFonts w:ascii="Times New Roman" w:hAnsi="Times New Roman" w:cs="Times New Roman"/>
          <w:sz w:val="24"/>
          <w:szCs w:val="24"/>
        </w:rPr>
        <w:t xml:space="preserve"> por vía del Tratado de Utrecht, la zona del Monte Calpe y el istmo. Respecto de cada uno de los enunciados las partes en controversia alegarán distintos títulos de adquisición, adquiriendo el contencioso disímiles escenarios.</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En relación a los territorios cedidos por el tratado de Utrecht, podría interpretarse la existencia de un acuerdo tácito entre las partes en relación a la legitimidad del Tratado de Utrecht</w:t>
      </w:r>
      <w:r>
        <w:rPr>
          <w:rStyle w:val="Refdenotaalpie"/>
          <w:rFonts w:ascii="Times New Roman" w:hAnsi="Times New Roman" w:cs="Times New Roman"/>
          <w:sz w:val="24"/>
          <w:szCs w:val="24"/>
        </w:rPr>
        <w:footnoteReference w:id="74"/>
      </w:r>
      <w:r>
        <w:rPr>
          <w:rFonts w:ascii="Times New Roman" w:hAnsi="Times New Roman" w:cs="Times New Roman"/>
          <w:sz w:val="24"/>
          <w:szCs w:val="24"/>
        </w:rPr>
        <w:t xml:space="preserve">. Cabe también indicar la existencia de un sector de la doctrina española que asegura que la cesión del territorio se ha llevado a cabo por una modalidad de soberanía territorial denominada cesión forzosa, precedido por la conquista británica que impone por las armas las </w:t>
      </w:r>
      <w:r>
        <w:rPr>
          <w:rFonts w:ascii="Times New Roman" w:hAnsi="Times New Roman" w:cs="Times New Roman"/>
          <w:sz w:val="24"/>
          <w:szCs w:val="24"/>
        </w:rPr>
        <w:lastRenderedPageBreak/>
        <w:t>condiciones del Tratado</w:t>
      </w:r>
      <w:r>
        <w:rPr>
          <w:rStyle w:val="Refdenotaalpie"/>
          <w:rFonts w:ascii="Times New Roman" w:hAnsi="Times New Roman" w:cs="Times New Roman"/>
          <w:sz w:val="24"/>
          <w:szCs w:val="24"/>
        </w:rPr>
        <w:footnoteReference w:id="75"/>
      </w:r>
      <w:r>
        <w:rPr>
          <w:rFonts w:ascii="Times New Roman" w:hAnsi="Times New Roman" w:cs="Times New Roman"/>
          <w:sz w:val="24"/>
          <w:szCs w:val="24"/>
        </w:rPr>
        <w:t>. Este punto es contrastado por la propia doctrina española, que trae a colación la idea de que la cesión se confirmó por los Tratados posteriores de Sevilla del año 1729, Aquisgrán de 1748, París de 1763 y Versalles de 1783</w:t>
      </w:r>
      <w:r>
        <w:rPr>
          <w:rStyle w:val="Refdenotaalpie"/>
          <w:rFonts w:ascii="Times New Roman" w:hAnsi="Times New Roman" w:cs="Times New Roman"/>
          <w:sz w:val="24"/>
          <w:szCs w:val="24"/>
        </w:rPr>
        <w:footnoteReference w:id="76"/>
      </w:r>
      <w:r>
        <w:rPr>
          <w:rFonts w:ascii="Times New Roman" w:hAnsi="Times New Roman" w:cs="Times New Roman"/>
          <w:sz w:val="24"/>
          <w:szCs w:val="24"/>
        </w:rPr>
        <w:t xml:space="preserve">. </w:t>
      </w:r>
    </w:p>
    <w:p w:rsidR="003B40A4" w:rsidRDefault="003B40A4" w:rsidP="003B40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El territorio cedido por el tratado se limita a la ciudad, castillo</w:t>
      </w:r>
      <w:r w:rsidRPr="00C22132">
        <w:rPr>
          <w:rFonts w:ascii="Times New Roman" w:hAnsi="Times New Roman" w:cs="Times New Roman"/>
          <w:sz w:val="24"/>
          <w:szCs w:val="24"/>
        </w:rPr>
        <w:t>, puerto, defensas y fortaleza</w:t>
      </w:r>
      <w:r>
        <w:rPr>
          <w:rFonts w:ascii="Times New Roman" w:hAnsi="Times New Roman" w:cs="Times New Roman"/>
          <w:sz w:val="24"/>
          <w:szCs w:val="24"/>
        </w:rPr>
        <w:t>. De este modo la delimitación del territorio que se cede por el tratado se restringe sólo a ello. Por tanto la doctrina plantea dudas respecto al alcance de la cesión del Monte Calpe hasta Punta Europa, que ha originado dudas interpretativas por parte de las autoridades españolas</w:t>
      </w:r>
      <w:r>
        <w:rPr>
          <w:rStyle w:val="Refdenotaalpie"/>
          <w:rFonts w:ascii="Times New Roman" w:hAnsi="Times New Roman" w:cs="Times New Roman"/>
          <w:sz w:val="24"/>
          <w:szCs w:val="24"/>
        </w:rPr>
        <w:footnoteReference w:id="77"/>
      </w:r>
      <w:r>
        <w:rPr>
          <w:rFonts w:ascii="Times New Roman" w:hAnsi="Times New Roman" w:cs="Times New Roman"/>
          <w:sz w:val="24"/>
          <w:szCs w:val="24"/>
        </w:rPr>
        <w:t>. Se alega también que en el Tratado de Utrecht en la cesión de Menorca (art. XI) se diferencia entre la cesión de la ciudad y el castillo respecto del resto de territorio cedido (como es la isla de Menorca). En todo caso se apunta, desde la doctrina española que la prescripción adquisitiva podría ser un título adquisitivo alegado por Reino Unido para justificar la soberanía sobre el Peñón</w:t>
      </w:r>
      <w:r>
        <w:rPr>
          <w:rStyle w:val="Refdenotaalpie"/>
          <w:rFonts w:ascii="Times New Roman" w:hAnsi="Times New Roman" w:cs="Times New Roman"/>
          <w:sz w:val="24"/>
          <w:szCs w:val="24"/>
        </w:rPr>
        <w:footnoteReference w:id="78"/>
      </w:r>
      <w:r>
        <w:rPr>
          <w:rFonts w:ascii="Times New Roman" w:hAnsi="Times New Roman" w:cs="Times New Roman"/>
          <w:sz w:val="24"/>
          <w:szCs w:val="24"/>
        </w:rPr>
        <w:t>.</w:t>
      </w:r>
    </w:p>
    <w:p w:rsidR="003B40A4" w:rsidRDefault="003B40A4" w:rsidP="003B40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Otro argumento usado por la doctrina es el uso de la expresión “propiedad” en lugar de “soberanía” en el tenor literal del Tratado, unida al hecho de que en el párrafo segundo del art. X se indica que la propiedad se cede </w:t>
      </w:r>
      <w:r>
        <w:rPr>
          <w:rFonts w:ascii="Times New Roman" w:hAnsi="Times New Roman" w:cs="Times New Roman"/>
          <w:i/>
          <w:sz w:val="24"/>
          <w:szCs w:val="24"/>
        </w:rPr>
        <w:t xml:space="preserve">“sin jurisdicción territorial alguna”. </w:t>
      </w:r>
      <w:r>
        <w:rPr>
          <w:rFonts w:ascii="Times New Roman" w:hAnsi="Times New Roman" w:cs="Times New Roman"/>
          <w:sz w:val="24"/>
          <w:szCs w:val="24"/>
        </w:rPr>
        <w:t>De este modo bajo esta interpretación España cedería el territorio de Gibraltar en el sentido jurídico-civil de la palabra (</w:t>
      </w:r>
      <w:r>
        <w:rPr>
          <w:rFonts w:ascii="Times New Roman" w:hAnsi="Times New Roman" w:cs="Times New Roman"/>
          <w:i/>
          <w:sz w:val="24"/>
          <w:szCs w:val="24"/>
        </w:rPr>
        <w:t>potestas</w:t>
      </w:r>
      <w:r>
        <w:rPr>
          <w:rFonts w:ascii="Times New Roman" w:hAnsi="Times New Roman" w:cs="Times New Roman"/>
          <w:sz w:val="24"/>
          <w:szCs w:val="24"/>
        </w:rPr>
        <w:t>) sin cesión de soberanía jurídico-internacional del estado español (</w:t>
      </w:r>
      <w:r>
        <w:rPr>
          <w:rFonts w:ascii="Times New Roman" w:hAnsi="Times New Roman" w:cs="Times New Roman"/>
          <w:i/>
          <w:sz w:val="24"/>
          <w:szCs w:val="24"/>
        </w:rPr>
        <w:t>autorictas</w:t>
      </w:r>
      <w:r>
        <w:rPr>
          <w:rFonts w:ascii="Times New Roman" w:hAnsi="Times New Roman" w:cs="Times New Roman"/>
          <w:sz w:val="24"/>
          <w:szCs w:val="24"/>
        </w:rPr>
        <w:t>)</w:t>
      </w:r>
      <w:r>
        <w:rPr>
          <w:rStyle w:val="Refdenotaalpie"/>
          <w:rFonts w:ascii="Times New Roman" w:hAnsi="Times New Roman" w:cs="Times New Roman"/>
          <w:sz w:val="24"/>
          <w:szCs w:val="24"/>
        </w:rPr>
        <w:footnoteReference w:id="79"/>
      </w:r>
      <w:r>
        <w:rPr>
          <w:rFonts w:ascii="Times New Roman" w:hAnsi="Times New Roman" w:cs="Times New Roman"/>
          <w:sz w:val="24"/>
          <w:szCs w:val="24"/>
        </w:rPr>
        <w:t>. No obstante señalo la opinión de otro sector doctrinal español que acepta la aplicación de la jurisprudencia del Tribunal Internacional de Justicia</w:t>
      </w:r>
      <w:r>
        <w:rPr>
          <w:rStyle w:val="Refdenotaalpie"/>
          <w:rFonts w:ascii="Times New Roman" w:hAnsi="Times New Roman" w:cs="Times New Roman"/>
          <w:sz w:val="24"/>
          <w:szCs w:val="24"/>
        </w:rPr>
        <w:footnoteReference w:id="80"/>
      </w:r>
      <w:r>
        <w:rPr>
          <w:rFonts w:ascii="Times New Roman" w:hAnsi="Times New Roman" w:cs="Times New Roman"/>
          <w:sz w:val="24"/>
          <w:szCs w:val="24"/>
        </w:rPr>
        <w:t>, en concreto a la luz de la Sentencia de 12 de abril de 1960 (</w:t>
      </w:r>
      <w:r w:rsidRPr="00897FA7">
        <w:rPr>
          <w:rFonts w:ascii="Times New Roman" w:hAnsi="Times New Roman" w:cs="Times New Roman"/>
          <w:i/>
          <w:sz w:val="24"/>
          <w:szCs w:val="24"/>
        </w:rPr>
        <w:t>Right of Passage over Indian Territory Case</w:t>
      </w:r>
      <w:r>
        <w:rPr>
          <w:rFonts w:ascii="Times New Roman" w:hAnsi="Times New Roman" w:cs="Times New Roman"/>
          <w:sz w:val="24"/>
          <w:szCs w:val="24"/>
        </w:rPr>
        <w:t>)</w:t>
      </w:r>
      <w:r>
        <w:rPr>
          <w:rStyle w:val="Refdenotaalpie"/>
          <w:rFonts w:ascii="Times New Roman" w:hAnsi="Times New Roman" w:cs="Times New Roman"/>
          <w:sz w:val="24"/>
          <w:szCs w:val="24"/>
        </w:rPr>
        <w:footnoteReference w:id="81"/>
      </w:r>
      <w:r>
        <w:rPr>
          <w:rFonts w:ascii="Times New Roman" w:hAnsi="Times New Roman" w:cs="Times New Roman"/>
          <w:sz w:val="24"/>
          <w:szCs w:val="24"/>
        </w:rPr>
        <w:t xml:space="preserve"> según la cual las cesiones de territorio se han de interpretar necesariamente como cesiones de soberanía.</w:t>
      </w:r>
    </w:p>
    <w:p w:rsidR="003B40A4" w:rsidRDefault="003B40A4" w:rsidP="003B40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 Cuestión distinta constituye la controversia territorial sobre el istmo, territorio que en ningún momento se cede en el Tratado de Utrecht. Según la doctrina</w:t>
      </w:r>
      <w:r>
        <w:rPr>
          <w:rStyle w:val="Refdenotaalpie"/>
          <w:rFonts w:ascii="Times New Roman" w:hAnsi="Times New Roman" w:cs="Times New Roman"/>
          <w:sz w:val="24"/>
          <w:szCs w:val="24"/>
        </w:rPr>
        <w:footnoteReference w:id="82"/>
      </w:r>
      <w:r>
        <w:rPr>
          <w:rFonts w:ascii="Times New Roman" w:hAnsi="Times New Roman" w:cs="Times New Roman"/>
          <w:sz w:val="24"/>
          <w:szCs w:val="24"/>
        </w:rPr>
        <w:t xml:space="preserve">, la posición británica sólo tendría modo de adquirir un título justificativo de adquisición mediante la prescripción adquisitiva, aspecto muy discutido y contrapuesto por la posición española (a diferencia del Monte Calpe). Bajo una visión cronológica, entre 1908 y 1909, como fruto de la expansión territorial británica más allá de los límites tradicionales delimitados en el Tratado se construyó la verja por la parte británica, siendo ésta usada </w:t>
      </w:r>
      <w:r w:rsidRPr="00690CB7">
        <w:rPr>
          <w:rFonts w:ascii="Times New Roman" w:hAnsi="Times New Roman" w:cs="Times New Roman"/>
          <w:i/>
          <w:sz w:val="24"/>
          <w:szCs w:val="24"/>
        </w:rPr>
        <w:t>de facto</w:t>
      </w:r>
      <w:r>
        <w:rPr>
          <w:rFonts w:ascii="Times New Roman" w:hAnsi="Times New Roman" w:cs="Times New Roman"/>
          <w:sz w:val="24"/>
          <w:szCs w:val="24"/>
        </w:rPr>
        <w:t xml:space="preserve"> como una delimitación fronteriza por parte de Reino Unido, pero que como fue declarado expresamente por Reino Unido en 1909 tal Verja no constituía en ningún modo una frontera</w:t>
      </w:r>
      <w:r>
        <w:rPr>
          <w:rStyle w:val="Refdenotaalpie"/>
          <w:rFonts w:ascii="Times New Roman" w:hAnsi="Times New Roman" w:cs="Times New Roman"/>
          <w:sz w:val="24"/>
          <w:szCs w:val="24"/>
        </w:rPr>
        <w:footnoteReference w:id="83"/>
      </w:r>
      <w:r>
        <w:rPr>
          <w:rFonts w:ascii="Times New Roman" w:hAnsi="Times New Roman" w:cs="Times New Roman"/>
          <w:sz w:val="24"/>
          <w:szCs w:val="24"/>
        </w:rPr>
        <w:t>. Posteriormente en 1966 la posición británica sobre la Verja cambió, argumentando que sí que era una frontera</w:t>
      </w:r>
      <w:r>
        <w:rPr>
          <w:rStyle w:val="Refdenotaalpie"/>
          <w:rFonts w:ascii="Times New Roman" w:hAnsi="Times New Roman" w:cs="Times New Roman"/>
          <w:sz w:val="24"/>
          <w:szCs w:val="24"/>
        </w:rPr>
        <w:footnoteReference w:id="84"/>
      </w:r>
      <w:r>
        <w:rPr>
          <w:rFonts w:ascii="Times New Roman" w:hAnsi="Times New Roman" w:cs="Times New Roman"/>
          <w:sz w:val="24"/>
          <w:szCs w:val="24"/>
        </w:rPr>
        <w:t xml:space="preserve"> y que el territorio se había adquirido bajo la modalidad de prescripción adquisitiva</w:t>
      </w:r>
      <w:r>
        <w:rPr>
          <w:rStyle w:val="Refdenotaalpie"/>
          <w:rFonts w:ascii="Times New Roman" w:hAnsi="Times New Roman" w:cs="Times New Roman"/>
          <w:sz w:val="24"/>
          <w:szCs w:val="24"/>
        </w:rPr>
        <w:footnoteReference w:id="85"/>
      </w:r>
      <w:r>
        <w:rPr>
          <w:rFonts w:ascii="Times New Roman" w:hAnsi="Times New Roman" w:cs="Times New Roman"/>
          <w:sz w:val="24"/>
          <w:szCs w:val="24"/>
        </w:rPr>
        <w:t xml:space="preserve">. </w:t>
      </w:r>
    </w:p>
    <w:p w:rsidR="003B40A4" w:rsidRDefault="003B40A4" w:rsidP="003B40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Es preciso valorar la existencia de los elementos de la prescripción adquisitiva de Derecho Internacional. Esta vía de adquisición de la competencia territorial se fundamenta en la adquisición de soberanía sobre un territorio del que un tercer estado ha gozado con anterioridad de soberanía, siendo su antecedente la institución jurídica de la </w:t>
      </w:r>
      <w:r>
        <w:rPr>
          <w:rFonts w:ascii="Times New Roman" w:hAnsi="Times New Roman" w:cs="Times New Roman"/>
          <w:i/>
          <w:sz w:val="24"/>
          <w:szCs w:val="24"/>
        </w:rPr>
        <w:t>usucapio</w:t>
      </w:r>
      <w:r>
        <w:rPr>
          <w:rFonts w:ascii="Times New Roman" w:hAnsi="Times New Roman" w:cs="Times New Roman"/>
          <w:sz w:val="24"/>
          <w:szCs w:val="24"/>
        </w:rPr>
        <w:t xml:space="preserve"> del Derecho romano. Como elementos, la doctrina señala que el estado ha de ejercer soberanía efectiva de funciones estatales durante un periodo de tiempo, cuyo lapso será suficiente cuando de lugar a un reconocimiento general del título. Este ejercicio debe efectuarse de forma continuada e ininterrumpida además de pacífica y pública. Esto implica la total ausencia de protesta por el estado que ostentase la soberanía anterior, existiendo aquiescencia española. Esta aquiescencia se basaría en el conjunto de la falta de protesta y el silencio por parte del estado frente al que se opone la prescripción adquisitiva</w:t>
      </w:r>
      <w:r>
        <w:rPr>
          <w:rStyle w:val="Refdenotaalpie"/>
          <w:rFonts w:ascii="Times New Roman" w:hAnsi="Times New Roman" w:cs="Times New Roman"/>
          <w:sz w:val="24"/>
          <w:szCs w:val="24"/>
        </w:rPr>
        <w:footnoteReference w:id="86"/>
      </w:r>
      <w:r>
        <w:rPr>
          <w:rFonts w:ascii="Times New Roman" w:hAnsi="Times New Roman" w:cs="Times New Roman"/>
          <w:sz w:val="24"/>
          <w:szCs w:val="24"/>
        </w:rPr>
        <w:t>.</w:t>
      </w:r>
    </w:p>
    <w:p w:rsidR="003B40A4" w:rsidRDefault="003B40A4" w:rsidP="003B40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Surgiría así una discrepancia entre Reino Unido y España por la soberanía del istmo. La posesión británica del istmo en ningún momento ha sido pacífica por parte de España, que desde el siglo XIX ha procedido periódicamente a emitir notas de protesta por la ocupación el </w:t>
      </w:r>
      <w:r>
        <w:rPr>
          <w:rFonts w:ascii="Times New Roman" w:hAnsi="Times New Roman" w:cs="Times New Roman"/>
          <w:sz w:val="24"/>
          <w:szCs w:val="24"/>
        </w:rPr>
        <w:lastRenderedPageBreak/>
        <w:t>istmo</w:t>
      </w:r>
      <w:r>
        <w:rPr>
          <w:rStyle w:val="Refdenotaalpie"/>
          <w:rFonts w:ascii="Times New Roman" w:hAnsi="Times New Roman" w:cs="Times New Roman"/>
          <w:sz w:val="24"/>
          <w:szCs w:val="24"/>
        </w:rPr>
        <w:footnoteReference w:id="87"/>
      </w:r>
      <w:r>
        <w:rPr>
          <w:rFonts w:ascii="Times New Roman" w:hAnsi="Times New Roman" w:cs="Times New Roman"/>
          <w:sz w:val="24"/>
          <w:szCs w:val="24"/>
        </w:rPr>
        <w:t xml:space="preserve">; y ya entrado el siglo XX en el 6 de abril de 1909 una vez que se erigió la verja y ordenando la realización de otra nota de protesta al embajador en Londres el 4 de mayo de 1939 por la construcción del aeródromo, trasladándose posteriormente en la década de 1960 el escenario de protestas a la negociación en el seno de Naciones Unidas tendente a la descolonización. Como consecuencia de esta problemática es preciso señalar el cierre de la frontera terrestre entre el </w:t>
      </w:r>
      <w:r w:rsidRPr="002C7E87">
        <w:rPr>
          <w:rFonts w:ascii="Times New Roman" w:hAnsi="Times New Roman" w:cs="Times New Roman"/>
          <w:sz w:val="24"/>
          <w:szCs w:val="24"/>
        </w:rPr>
        <w:t>8 de junio de 196</w:t>
      </w:r>
      <w:r>
        <w:rPr>
          <w:rFonts w:ascii="Times New Roman" w:hAnsi="Times New Roman" w:cs="Times New Roman"/>
          <w:sz w:val="24"/>
          <w:szCs w:val="24"/>
        </w:rPr>
        <w:t>9</w:t>
      </w:r>
      <w:r>
        <w:rPr>
          <w:rStyle w:val="Refdenotaalpie"/>
          <w:rFonts w:ascii="Times New Roman" w:hAnsi="Times New Roman" w:cs="Times New Roman"/>
          <w:sz w:val="24"/>
          <w:szCs w:val="24"/>
        </w:rPr>
        <w:footnoteReference w:id="88"/>
      </w:r>
      <w:r>
        <w:rPr>
          <w:rFonts w:ascii="Times New Roman" w:hAnsi="Times New Roman" w:cs="Times New Roman"/>
          <w:sz w:val="24"/>
          <w:szCs w:val="24"/>
        </w:rPr>
        <w:t xml:space="preserve"> y su reapertura el </w:t>
      </w:r>
      <w:r w:rsidRPr="002C7E87">
        <w:rPr>
          <w:rFonts w:ascii="Times New Roman" w:hAnsi="Times New Roman" w:cs="Times New Roman"/>
          <w:sz w:val="24"/>
          <w:szCs w:val="24"/>
        </w:rPr>
        <w:t>14 de diciembre de 1982</w:t>
      </w:r>
      <w:r>
        <w:rPr>
          <w:rStyle w:val="Refdenotaalpie"/>
          <w:rFonts w:ascii="Times New Roman" w:hAnsi="Times New Roman" w:cs="Times New Roman"/>
          <w:sz w:val="24"/>
          <w:szCs w:val="24"/>
        </w:rPr>
        <w:footnoteReference w:id="89"/>
      </w:r>
      <w:r>
        <w:rPr>
          <w:rFonts w:ascii="Times New Roman" w:hAnsi="Times New Roman" w:cs="Times New Roman"/>
          <w:sz w:val="24"/>
          <w:szCs w:val="24"/>
        </w:rPr>
        <w:t>.</w:t>
      </w:r>
    </w:p>
    <w:p w:rsidR="003B40A4" w:rsidRDefault="003B40A4" w:rsidP="003B40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Cabría entonces la aplicación de la jurisprudencia de dos casos</w:t>
      </w:r>
      <w:r w:rsidR="006478EF">
        <w:rPr>
          <w:rFonts w:ascii="Times New Roman" w:hAnsi="Times New Roman" w:cs="Times New Roman"/>
          <w:sz w:val="24"/>
          <w:szCs w:val="24"/>
        </w:rPr>
        <w:t xml:space="preserve">: </w:t>
      </w:r>
      <w:r>
        <w:rPr>
          <w:rFonts w:ascii="Times New Roman" w:hAnsi="Times New Roman" w:cs="Times New Roman"/>
          <w:sz w:val="24"/>
          <w:szCs w:val="24"/>
        </w:rPr>
        <w:t xml:space="preserve">en primer lugar y como interpreta </w:t>
      </w:r>
      <w:r w:rsidR="006478EF">
        <w:rPr>
          <w:rFonts w:ascii="Times New Roman" w:hAnsi="Times New Roman" w:cs="Times New Roman"/>
          <w:sz w:val="24"/>
          <w:szCs w:val="24"/>
        </w:rPr>
        <w:t>la doctrina</w:t>
      </w:r>
      <w:r>
        <w:rPr>
          <w:rFonts w:ascii="Times New Roman" w:hAnsi="Times New Roman" w:cs="Times New Roman"/>
          <w:sz w:val="24"/>
          <w:szCs w:val="24"/>
        </w:rPr>
        <w:t xml:space="preserve"> a raíz del Asunto Haya de la Torre (Sentencia de 13 de junio de 1951</w:t>
      </w:r>
      <w:r w:rsidR="006478EF">
        <w:rPr>
          <w:rFonts w:ascii="Times New Roman" w:hAnsi="Times New Roman" w:cs="Times New Roman"/>
          <w:sz w:val="24"/>
          <w:szCs w:val="24"/>
        </w:rPr>
        <w:t xml:space="preserve"> de</w:t>
      </w:r>
      <w:r w:rsidR="00B8108B">
        <w:rPr>
          <w:rFonts w:ascii="Times New Roman" w:hAnsi="Times New Roman" w:cs="Times New Roman"/>
          <w:sz w:val="24"/>
          <w:szCs w:val="24"/>
        </w:rPr>
        <w:t xml:space="preserve">l Tribunal </w:t>
      </w:r>
      <w:r w:rsidR="006478EF">
        <w:rPr>
          <w:rFonts w:ascii="Times New Roman" w:hAnsi="Times New Roman" w:cs="Times New Roman"/>
          <w:sz w:val="24"/>
          <w:szCs w:val="24"/>
        </w:rPr>
        <w:t>Internacional de Justicia</w:t>
      </w:r>
      <w:r>
        <w:rPr>
          <w:rFonts w:ascii="Times New Roman" w:hAnsi="Times New Roman" w:cs="Times New Roman"/>
          <w:sz w:val="24"/>
          <w:szCs w:val="24"/>
        </w:rPr>
        <w:t>)</w:t>
      </w:r>
      <w:r>
        <w:rPr>
          <w:rStyle w:val="Refdenotaalpie"/>
          <w:rFonts w:ascii="Times New Roman" w:hAnsi="Times New Roman" w:cs="Times New Roman"/>
          <w:sz w:val="24"/>
          <w:szCs w:val="24"/>
        </w:rPr>
        <w:footnoteReference w:id="90"/>
      </w:r>
      <w:r>
        <w:rPr>
          <w:rFonts w:ascii="Times New Roman" w:hAnsi="Times New Roman" w:cs="Times New Roman"/>
          <w:sz w:val="24"/>
          <w:szCs w:val="24"/>
        </w:rPr>
        <w:t xml:space="preserve"> la aceptación de hechos por cortesía u oportunidad política no equivaldrían en ningún modo a un reconocimiento</w:t>
      </w:r>
      <w:r>
        <w:rPr>
          <w:rStyle w:val="Refdenotaalpie"/>
          <w:rFonts w:ascii="Times New Roman" w:hAnsi="Times New Roman" w:cs="Times New Roman"/>
          <w:sz w:val="24"/>
          <w:szCs w:val="24"/>
        </w:rPr>
        <w:footnoteReference w:id="91"/>
      </w:r>
      <w:r>
        <w:rPr>
          <w:rFonts w:ascii="Times New Roman" w:hAnsi="Times New Roman" w:cs="Times New Roman"/>
          <w:sz w:val="24"/>
          <w:szCs w:val="24"/>
        </w:rPr>
        <w:t xml:space="preserve">; y el Asunto de las Islas </w:t>
      </w:r>
      <w:r w:rsidRPr="00D234B8">
        <w:rPr>
          <w:rFonts w:ascii="Times New Roman" w:hAnsi="Times New Roman" w:cs="Times New Roman"/>
          <w:sz w:val="24"/>
          <w:szCs w:val="24"/>
        </w:rPr>
        <w:t xml:space="preserve">Minquiers </w:t>
      </w:r>
      <w:r>
        <w:rPr>
          <w:rFonts w:ascii="Times New Roman" w:hAnsi="Times New Roman" w:cs="Times New Roman"/>
          <w:sz w:val="24"/>
          <w:szCs w:val="24"/>
        </w:rPr>
        <w:t>y</w:t>
      </w:r>
      <w:r w:rsidRPr="00D234B8">
        <w:rPr>
          <w:rFonts w:ascii="Times New Roman" w:hAnsi="Times New Roman" w:cs="Times New Roman"/>
          <w:sz w:val="24"/>
          <w:szCs w:val="24"/>
        </w:rPr>
        <w:t xml:space="preserve"> Ecrehos </w:t>
      </w:r>
      <w:r>
        <w:rPr>
          <w:rFonts w:ascii="Times New Roman" w:hAnsi="Times New Roman" w:cs="Times New Roman"/>
          <w:sz w:val="24"/>
          <w:szCs w:val="24"/>
        </w:rPr>
        <w:t>(Sentencia de 17 de noviembre de 1953</w:t>
      </w:r>
      <w:r w:rsidR="00B8108B">
        <w:rPr>
          <w:rFonts w:ascii="Times New Roman" w:hAnsi="Times New Roman" w:cs="Times New Roman"/>
          <w:sz w:val="24"/>
          <w:szCs w:val="24"/>
        </w:rPr>
        <w:t xml:space="preserve"> del Tribunal Internacional de Justicia</w:t>
      </w:r>
      <w:r>
        <w:rPr>
          <w:rFonts w:ascii="Times New Roman" w:hAnsi="Times New Roman" w:cs="Times New Roman"/>
          <w:sz w:val="24"/>
          <w:szCs w:val="24"/>
        </w:rPr>
        <w:t>)</w:t>
      </w:r>
      <w:r>
        <w:rPr>
          <w:rStyle w:val="Refdenotaalpie"/>
          <w:rFonts w:ascii="Times New Roman" w:hAnsi="Times New Roman" w:cs="Times New Roman"/>
          <w:sz w:val="24"/>
          <w:szCs w:val="24"/>
        </w:rPr>
        <w:footnoteReference w:id="92"/>
      </w:r>
      <w:r>
        <w:rPr>
          <w:rFonts w:ascii="Times New Roman" w:hAnsi="Times New Roman" w:cs="Times New Roman"/>
          <w:sz w:val="24"/>
          <w:szCs w:val="24"/>
        </w:rPr>
        <w:t xml:space="preserve"> mediante la cual no se puede considerar como prueba suficiente de la intencionalidad de un gobierno para la obtención de un título de soberanía ni manifestación de autoridad estatal la asunción de los servicios eléctricos, efectuación de visitas oficiales y edificación de construcciones por parte del estado reclamante (en alusión a la construcción del aeródromo, sobre el que se realizó la oportuna protesta por escrito el 1 de mayo de 1940). </w:t>
      </w:r>
    </w:p>
    <w:p w:rsidR="003B40A4" w:rsidRDefault="003B40A4" w:rsidP="003B40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Por lo tanto el debate sobre la legitimidad del título de prescripción adquisitiva británica sobre el istmo es, cuanto menos, controvertida entre las partes del contencioso</w:t>
      </w:r>
      <w:r>
        <w:rPr>
          <w:rStyle w:val="Refdenotaalpie"/>
          <w:rFonts w:ascii="Times New Roman" w:hAnsi="Times New Roman" w:cs="Times New Roman"/>
          <w:sz w:val="24"/>
          <w:szCs w:val="24"/>
        </w:rPr>
        <w:footnoteReference w:id="93"/>
      </w:r>
      <w:r>
        <w:rPr>
          <w:rFonts w:ascii="Times New Roman" w:hAnsi="Times New Roman" w:cs="Times New Roman"/>
          <w:sz w:val="24"/>
          <w:szCs w:val="24"/>
        </w:rPr>
        <w:t>.</w:t>
      </w:r>
    </w:p>
    <w:p w:rsidR="003B40A4" w:rsidRDefault="003B40A4" w:rsidP="003B40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 No menos interés despierta el proceso de descolonización iniciado en Naciones Unidas. El 16 de octubre de 1964 el Comité </w:t>
      </w:r>
      <w:r w:rsidRPr="00DD28D9">
        <w:rPr>
          <w:rFonts w:ascii="Times New Roman" w:hAnsi="Times New Roman" w:cs="Times New Roman"/>
          <w:sz w:val="24"/>
          <w:szCs w:val="24"/>
        </w:rPr>
        <w:t>Especial de Descolonización</w:t>
      </w:r>
      <w:r>
        <w:rPr>
          <w:rFonts w:ascii="Times New Roman" w:hAnsi="Times New Roman" w:cs="Times New Roman"/>
          <w:sz w:val="24"/>
          <w:szCs w:val="24"/>
        </w:rPr>
        <w:t xml:space="preserve"> (de los Veinticuatro) adoptó un consenso por el que se invitaba a Reino Unido y a España a iniciar conversaciones a fin de encontrar una solución negociada conforme a las disposiciones de la resolución 1514 (XV) de la Asamblea General</w:t>
      </w:r>
      <w:r>
        <w:rPr>
          <w:rStyle w:val="Refdenotaalpie"/>
          <w:rFonts w:ascii="Times New Roman" w:hAnsi="Times New Roman" w:cs="Times New Roman"/>
          <w:sz w:val="24"/>
          <w:szCs w:val="24"/>
        </w:rPr>
        <w:footnoteReference w:id="94"/>
      </w:r>
      <w:r>
        <w:rPr>
          <w:rFonts w:ascii="Times New Roman" w:hAnsi="Times New Roman" w:cs="Times New Roman"/>
          <w:sz w:val="24"/>
          <w:szCs w:val="24"/>
        </w:rPr>
        <w:t>. Este documento abrió de este modo un esquema de trabajo en Naciones Unidas cuyo contenido se plasmó en la Resolución 2070 (XX) de 16 de diciembre de 1965 de la Asamblea General, primero en el que se invita a las partes a iniciar una negociación. Posteriormente la Resolución 2231 (XXI) de 20 de diciembre de 1966 de la Asamblea General pidió la continuación del proceso de descolonización teniendo en cuenta el interés de la población y requirió a los gobiernos británico y español que no obstaculizasen el proceso de negociación respecto del Gobierno de España (entre otras disposiciones). No obstante el incumplimiento se volvió a poner de manifiesto en la Resolución 2353 (XXII) de 8 de enero de 1968 de la Asamblea General en la que se declara la contravención por parte de Gobierno de Reino Unido por la celebración de un referéndum en Gibraltar por ser contrario a los propósitos de la Resolución 2231, en la que se parte de la idea de que la situación colonial que destruye la integridad territorial de un país es incompatible con los principios recogidos en la Carta, y se vuelve a invitar a reanudar las negociaciones pidiendo además al Secretario General que preste ayuda a los gobiernos de España y Reino Unido. Similares contenidos se plasmaron en la Resolución 2429 (XXII) de 1 de diciembre de 1968 de la Asamblea General donde se pide a Reino Unido como Potencia administradora el término de la situación colonial antes de una fecha concreta (1 de octubre de 1969). Desde entonces la postura de Naciones Unidas ha tendido en tal sentido: la Resolución 3163 (XXVIII) de 14 de diciembre de 1973 de la Asamblea General advierte de los efectos potencialmente perjudiciales del conflicto y vuelve a instar a la búsqueda de un acuerdo y la negociación, y en la Resolución 3286 (XXIX) de 13 de diciembre de 1974 vuelve a urgir a los gobiernos parte del contencioso a reanu</w:t>
      </w:r>
      <w:r w:rsidR="000D63EE">
        <w:rPr>
          <w:rFonts w:ascii="Times New Roman" w:hAnsi="Times New Roman" w:cs="Times New Roman"/>
          <w:sz w:val="24"/>
          <w:szCs w:val="24"/>
        </w:rPr>
        <w:t>dar las negociaciones e informar</w:t>
      </w:r>
      <w:r>
        <w:rPr>
          <w:rFonts w:ascii="Times New Roman" w:hAnsi="Times New Roman" w:cs="Times New Roman"/>
          <w:sz w:val="24"/>
          <w:szCs w:val="24"/>
        </w:rPr>
        <w:t xml:space="preserve"> del resultado de las mismas</w:t>
      </w:r>
      <w:r>
        <w:rPr>
          <w:rStyle w:val="Refdenotaalpie"/>
          <w:rFonts w:ascii="Times New Roman" w:hAnsi="Times New Roman" w:cs="Times New Roman"/>
          <w:sz w:val="24"/>
          <w:szCs w:val="24"/>
        </w:rPr>
        <w:footnoteReference w:id="95"/>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3.2</w:t>
      </w:r>
      <w:r w:rsidRPr="00EF3F51">
        <w:rPr>
          <w:rFonts w:ascii="Times New Roman" w:hAnsi="Times New Roman" w:cs="Times New Roman"/>
          <w:sz w:val="24"/>
          <w:szCs w:val="24"/>
        </w:rPr>
        <w:t>LA SOBERANÍA MARÍTIMA.</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La soberanía marítima sobre las aguas adyacentes a la zona de Gibraltar constituye también otra arista importante del contencioso. Será por tanto el tema principal del presente </w:t>
      </w:r>
      <w:r>
        <w:rPr>
          <w:rFonts w:ascii="Times New Roman" w:hAnsi="Times New Roman" w:cs="Times New Roman"/>
          <w:sz w:val="24"/>
          <w:szCs w:val="24"/>
        </w:rPr>
        <w:lastRenderedPageBreak/>
        <w:t xml:space="preserve">punto, y sin la intención tampoco de ofrecer un análisis exhaustivo, la configuración de los principales argumentos tanto de la parte británica como de la española.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Desde el punto de vista histórico, y como señala la doctrina específica</w:t>
      </w:r>
      <w:r>
        <w:rPr>
          <w:rStyle w:val="Refdenotaalpie"/>
          <w:rFonts w:ascii="Times New Roman" w:hAnsi="Times New Roman" w:cs="Times New Roman"/>
          <w:sz w:val="24"/>
          <w:szCs w:val="24"/>
        </w:rPr>
        <w:footnoteReference w:id="96"/>
      </w:r>
      <w:r>
        <w:rPr>
          <w:rFonts w:ascii="Times New Roman" w:hAnsi="Times New Roman" w:cs="Times New Roman"/>
          <w:sz w:val="24"/>
          <w:szCs w:val="24"/>
        </w:rPr>
        <w:t>, a lo largo de los siglos XVIII, XIX y hasta la mitad del XX España no ha negado el derecho de Gibraltar a extender su soberanía sobre las aguas adyacentes a Gibraltar. De hecho si bien no se refleja expresamente en el Tratado de Utrecht por el contexto histórico el criterio doctrinal que en 1702 que propuso Cornelius Van Bynkershoek (regla de las tres millas o “del alcance de bala del cañón”, según la cual la soberanía de los estados no pueden extenderse más allá del control que desde tierra puede efectuar su artillería, “</w:t>
      </w:r>
      <w:r w:rsidRPr="00EC1182">
        <w:rPr>
          <w:rFonts w:ascii="Times New Roman" w:hAnsi="Times New Roman" w:cs="Times New Roman"/>
          <w:i/>
          <w:sz w:val="24"/>
          <w:szCs w:val="24"/>
        </w:rPr>
        <w:t>generali dicendum es</w:t>
      </w:r>
      <w:r>
        <w:rPr>
          <w:rFonts w:ascii="Times New Roman" w:hAnsi="Times New Roman" w:cs="Times New Roman"/>
          <w:i/>
          <w:sz w:val="24"/>
          <w:szCs w:val="24"/>
        </w:rPr>
        <w:t>s</w:t>
      </w:r>
      <w:r w:rsidRPr="00EC1182">
        <w:rPr>
          <w:rFonts w:ascii="Times New Roman" w:hAnsi="Times New Roman" w:cs="Times New Roman"/>
          <w:i/>
          <w:sz w:val="24"/>
          <w:szCs w:val="24"/>
        </w:rPr>
        <w:t>et, potestatem terrae finiri, ubi finitur armorum vis</w:t>
      </w:r>
      <w:r>
        <w:rPr>
          <w:rFonts w:ascii="Times New Roman" w:hAnsi="Times New Roman" w:cs="Times New Roman"/>
          <w:sz w:val="24"/>
          <w:szCs w:val="24"/>
        </w:rPr>
        <w:t>”) era tendente al reconocimiento de derechos soberanos de los estados sobre el mar.</w:t>
      </w:r>
      <w:r w:rsidRPr="00EC1182">
        <w:rPr>
          <w:rFonts w:ascii="Times New Roman" w:hAnsi="Times New Roman" w:cs="Times New Roman"/>
          <w:sz w:val="24"/>
          <w:szCs w:val="24"/>
        </w:rPr>
        <w:t> </w:t>
      </w:r>
      <w:r>
        <w:rPr>
          <w:rFonts w:ascii="Times New Roman" w:hAnsi="Times New Roman" w:cs="Times New Roman"/>
          <w:sz w:val="24"/>
          <w:szCs w:val="24"/>
        </w:rPr>
        <w:t>De hecho existe un documento jurídico que reconoce los límites de las aguas de la Bahía de Algeciras con límite en las de Gibraltar a efectos de persecución del contrabando (Real Decreto de 10 de diciembre de 1876). Señala de este modo el autor antes citado que durante el siglo XIX no se cuestionaba la existencia de aguas bajo la soberanía de Reino Unido, sino la delimitación; siendo la postura española la de rechazar que la jurisdicción del puerto de Gibraltar abarcase aguas contiguas hasta la española. No sería hasta la llegada de la dictadura franquista, según el autor, cuando la posición española defendió la teoría de la costa seca</w:t>
      </w:r>
      <w:r>
        <w:rPr>
          <w:rStyle w:val="Refdenotaalpie"/>
          <w:rFonts w:ascii="Times New Roman" w:hAnsi="Times New Roman" w:cs="Times New Roman"/>
          <w:sz w:val="24"/>
          <w:szCs w:val="24"/>
        </w:rPr>
        <w:footnoteReference w:id="97"/>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La posición de costa seca puede enunciarse a la luz de diferentes textos jurídicos españoles. Así, en la protección del espacio aéreo la </w:t>
      </w:r>
      <w:r w:rsidRPr="00150D0E">
        <w:rPr>
          <w:rFonts w:ascii="Times New Roman" w:hAnsi="Times New Roman" w:cs="Times New Roman"/>
          <w:sz w:val="24"/>
          <w:szCs w:val="24"/>
        </w:rPr>
        <w:t>Orden de 18 de enero de 1993 sobre zonas prohibidas y restringidas al vuelo</w:t>
      </w:r>
      <w:r>
        <w:rPr>
          <w:rFonts w:ascii="Times New Roman" w:hAnsi="Times New Roman" w:cs="Times New Roman"/>
          <w:sz w:val="24"/>
          <w:szCs w:val="24"/>
        </w:rPr>
        <w:t xml:space="preserve"> (que sucede a la Orden de </w:t>
      </w:r>
      <w:r w:rsidRPr="00D05606">
        <w:rPr>
          <w:rFonts w:ascii="Times New Roman" w:hAnsi="Times New Roman" w:cs="Times New Roman"/>
          <w:sz w:val="24"/>
          <w:szCs w:val="24"/>
        </w:rPr>
        <w:t>15 de marzo de 1985</w:t>
      </w:r>
      <w:r>
        <w:rPr>
          <w:rFonts w:ascii="Times New Roman" w:hAnsi="Times New Roman" w:cs="Times New Roman"/>
          <w:sz w:val="24"/>
          <w:szCs w:val="24"/>
        </w:rPr>
        <w:t>)</w:t>
      </w:r>
      <w:r>
        <w:rPr>
          <w:rStyle w:val="Refdenotaalpie"/>
          <w:rFonts w:ascii="Times New Roman" w:hAnsi="Times New Roman" w:cs="Times New Roman"/>
          <w:sz w:val="24"/>
          <w:szCs w:val="24"/>
        </w:rPr>
        <w:footnoteReference w:id="98"/>
      </w:r>
      <w:r>
        <w:rPr>
          <w:rFonts w:ascii="Times New Roman" w:hAnsi="Times New Roman" w:cs="Times New Roman"/>
          <w:sz w:val="24"/>
          <w:szCs w:val="24"/>
        </w:rPr>
        <w:t xml:space="preserve"> establece respecto la zona de la Bahía de Algeciras y Gibraltar que </w:t>
      </w:r>
      <w:r w:rsidRPr="00D05606">
        <w:rPr>
          <w:rFonts w:ascii="Times New Roman" w:hAnsi="Times New Roman" w:cs="Times New Roman"/>
          <w:sz w:val="24"/>
          <w:szCs w:val="24"/>
        </w:rPr>
        <w:t>no significan una delimitación del territorio nacional, ni la renuncia a los derechos soberanos de España al sur de los mismos</w:t>
      </w:r>
      <w:r>
        <w:rPr>
          <w:rFonts w:ascii="Times New Roman" w:hAnsi="Times New Roman" w:cs="Times New Roman"/>
          <w:sz w:val="24"/>
          <w:szCs w:val="24"/>
        </w:rPr>
        <w:t xml:space="preserve">. La </w:t>
      </w:r>
      <w:r w:rsidRPr="00D05606">
        <w:rPr>
          <w:rFonts w:ascii="Times New Roman" w:hAnsi="Times New Roman" w:cs="Times New Roman"/>
          <w:sz w:val="24"/>
          <w:szCs w:val="24"/>
        </w:rPr>
        <w:t>Ley 10/1977, de 4 de enero, sobre mar territorial</w:t>
      </w:r>
      <w:r>
        <w:rPr>
          <w:rStyle w:val="Refdenotaalpie"/>
          <w:rFonts w:ascii="Times New Roman" w:hAnsi="Times New Roman" w:cs="Times New Roman"/>
          <w:sz w:val="24"/>
          <w:szCs w:val="24"/>
        </w:rPr>
        <w:footnoteReference w:id="99"/>
      </w:r>
      <w:r>
        <w:rPr>
          <w:rFonts w:ascii="Times New Roman" w:hAnsi="Times New Roman" w:cs="Times New Roman"/>
          <w:sz w:val="24"/>
          <w:szCs w:val="24"/>
        </w:rPr>
        <w:t xml:space="preserve"> en su Disposición Final Primera instituye que “</w:t>
      </w:r>
      <w:r w:rsidRPr="00D05606">
        <w:rPr>
          <w:rFonts w:ascii="Times New Roman" w:hAnsi="Times New Roman" w:cs="Times New Roman"/>
          <w:i/>
          <w:sz w:val="24"/>
          <w:szCs w:val="24"/>
        </w:rPr>
        <w:t>el presente texto legal no puede ser interpretado como reconocimiento de cualesquiera derechos o situaciones relativos a los espacios marítimos de Gibraltar, que no estén comprendidos en el artículo diez del Tratado de Utrecht, de trece de julio de mil setecientos trece, entre las Coronas de España y Gran Bretaña</w:t>
      </w:r>
      <w:r>
        <w:rPr>
          <w:rFonts w:ascii="Times New Roman" w:hAnsi="Times New Roman" w:cs="Times New Roman"/>
          <w:sz w:val="24"/>
          <w:szCs w:val="24"/>
        </w:rPr>
        <w:t xml:space="preserve">”. Además en punto segundo del </w:t>
      </w:r>
      <w:r w:rsidRPr="00D05606">
        <w:rPr>
          <w:rFonts w:ascii="Times New Roman" w:hAnsi="Times New Roman" w:cs="Times New Roman"/>
          <w:sz w:val="24"/>
          <w:szCs w:val="24"/>
        </w:rPr>
        <w:t>Instrumento de ratificación</w:t>
      </w:r>
      <w:r>
        <w:rPr>
          <w:rFonts w:ascii="Times New Roman" w:hAnsi="Times New Roman" w:cs="Times New Roman"/>
          <w:sz w:val="24"/>
          <w:szCs w:val="24"/>
        </w:rPr>
        <w:t xml:space="preserve"> del Reino de España</w:t>
      </w:r>
      <w:r w:rsidRPr="00D05606">
        <w:rPr>
          <w:rFonts w:ascii="Times New Roman" w:hAnsi="Times New Roman" w:cs="Times New Roman"/>
          <w:sz w:val="24"/>
          <w:szCs w:val="24"/>
        </w:rPr>
        <w:t xml:space="preserve"> de la Convención de las Naciones Unidas </w:t>
      </w:r>
      <w:r w:rsidRPr="00D05606">
        <w:rPr>
          <w:rFonts w:ascii="Times New Roman" w:hAnsi="Times New Roman" w:cs="Times New Roman"/>
          <w:sz w:val="24"/>
          <w:szCs w:val="24"/>
        </w:rPr>
        <w:lastRenderedPageBreak/>
        <w:t>sobre el Derecho del Mar, hecho en Montego Bay el 10 de diciembre de 1982</w:t>
      </w:r>
      <w:r>
        <w:rPr>
          <w:rStyle w:val="Refdenotaalpie"/>
          <w:rFonts w:ascii="Times New Roman" w:hAnsi="Times New Roman" w:cs="Times New Roman"/>
          <w:sz w:val="24"/>
          <w:szCs w:val="24"/>
        </w:rPr>
        <w:footnoteReference w:id="100"/>
      </w:r>
      <w:r>
        <w:rPr>
          <w:rFonts w:ascii="Times New Roman" w:hAnsi="Times New Roman" w:cs="Times New Roman"/>
          <w:sz w:val="24"/>
          <w:szCs w:val="24"/>
        </w:rPr>
        <w:t xml:space="preserve"> se efectúa un límite de interpretación del Convenio respecto del</w:t>
      </w:r>
      <w:r w:rsidRPr="00A138E0">
        <w:rPr>
          <w:rFonts w:ascii="Times New Roman" w:hAnsi="Times New Roman" w:cs="Times New Roman"/>
          <w:sz w:val="24"/>
          <w:szCs w:val="24"/>
        </w:rPr>
        <w:t xml:space="preserve"> reconocimiento de </w:t>
      </w:r>
      <w:r>
        <w:rPr>
          <w:rFonts w:ascii="Times New Roman" w:hAnsi="Times New Roman" w:cs="Times New Roman"/>
          <w:sz w:val="24"/>
          <w:szCs w:val="24"/>
        </w:rPr>
        <w:t xml:space="preserve">los </w:t>
      </w:r>
      <w:r w:rsidRPr="00A138E0">
        <w:rPr>
          <w:rFonts w:ascii="Times New Roman" w:hAnsi="Times New Roman" w:cs="Times New Roman"/>
          <w:sz w:val="24"/>
          <w:szCs w:val="24"/>
        </w:rPr>
        <w:t>derechos o situaciones relativas a los espacios marítimos de Gibraltar que no estén comprendidos en el art</w:t>
      </w:r>
      <w:r>
        <w:rPr>
          <w:rFonts w:ascii="Times New Roman" w:hAnsi="Times New Roman" w:cs="Times New Roman"/>
          <w:sz w:val="24"/>
          <w:szCs w:val="24"/>
        </w:rPr>
        <w:t>ículo 10 del Tratado de Utrecht.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Respecto de esta Declaración la doctrina guarda dudas en referencia a la efectividad de la misma, debido a la prohibición de formulación de reservas contenido en el propio texto de la Convención de Naciones Unidas sobre derecho del mar. Así el artículo 309 de la Convención de las Naciones Unidas sobre el Derecho del Mar establece que no </w:t>
      </w:r>
      <w:r w:rsidRPr="00E347FF">
        <w:rPr>
          <w:rFonts w:ascii="Times New Roman" w:hAnsi="Times New Roman" w:cs="Times New Roman"/>
          <w:sz w:val="24"/>
          <w:szCs w:val="24"/>
        </w:rPr>
        <w:t>podrán formular reservas ni excepciones</w:t>
      </w:r>
      <w:r>
        <w:rPr>
          <w:rFonts w:ascii="Times New Roman" w:hAnsi="Times New Roman" w:cs="Times New Roman"/>
          <w:sz w:val="24"/>
          <w:szCs w:val="24"/>
        </w:rPr>
        <w:t xml:space="preserve"> a la Convención. Además el artículo 310 de la misma establece la posibilidad de los estados de efectuar declaraciones </w:t>
      </w:r>
      <w:r w:rsidRPr="00E347FF">
        <w:rPr>
          <w:rFonts w:ascii="Times New Roman" w:hAnsi="Times New Roman" w:cs="Times New Roman"/>
          <w:sz w:val="24"/>
          <w:szCs w:val="24"/>
        </w:rPr>
        <w:t xml:space="preserve">al firmar o ratificar </w:t>
      </w:r>
      <w:r>
        <w:rPr>
          <w:rFonts w:ascii="Times New Roman" w:hAnsi="Times New Roman" w:cs="Times New Roman"/>
          <w:sz w:val="24"/>
          <w:szCs w:val="24"/>
        </w:rPr>
        <w:t>la</w:t>
      </w:r>
      <w:r w:rsidRPr="00E347FF">
        <w:rPr>
          <w:rFonts w:ascii="Times New Roman" w:hAnsi="Times New Roman" w:cs="Times New Roman"/>
          <w:sz w:val="24"/>
          <w:szCs w:val="24"/>
        </w:rPr>
        <w:t xml:space="preserve"> Convención o adherirse a ella, cualquiera que sea su enu</w:t>
      </w:r>
      <w:r>
        <w:rPr>
          <w:rFonts w:ascii="Times New Roman" w:hAnsi="Times New Roman" w:cs="Times New Roman"/>
          <w:sz w:val="24"/>
          <w:szCs w:val="24"/>
        </w:rPr>
        <w:t>nciado o denominación, a fin de (</w:t>
      </w:r>
      <w:r w:rsidRPr="00E347FF">
        <w:rPr>
          <w:rFonts w:ascii="Times New Roman" w:hAnsi="Times New Roman" w:cs="Times New Roman"/>
          <w:sz w:val="24"/>
          <w:szCs w:val="24"/>
        </w:rPr>
        <w:t xml:space="preserve">entre otras </w:t>
      </w:r>
      <w:r>
        <w:rPr>
          <w:rFonts w:ascii="Times New Roman" w:hAnsi="Times New Roman" w:cs="Times New Roman"/>
          <w:sz w:val="24"/>
          <w:szCs w:val="24"/>
        </w:rPr>
        <w:t>cuestiones)</w:t>
      </w:r>
      <w:r w:rsidRPr="00E347FF">
        <w:rPr>
          <w:rFonts w:ascii="Times New Roman" w:hAnsi="Times New Roman" w:cs="Times New Roman"/>
          <w:sz w:val="24"/>
          <w:szCs w:val="24"/>
        </w:rPr>
        <w:t xml:space="preserve"> armonizar </w:t>
      </w:r>
      <w:r>
        <w:rPr>
          <w:rFonts w:ascii="Times New Roman" w:hAnsi="Times New Roman" w:cs="Times New Roman"/>
          <w:sz w:val="24"/>
          <w:szCs w:val="24"/>
        </w:rPr>
        <w:t>el</w:t>
      </w:r>
      <w:r w:rsidRPr="00E347FF">
        <w:rPr>
          <w:rFonts w:ascii="Times New Roman" w:hAnsi="Times New Roman" w:cs="Times New Roman"/>
          <w:sz w:val="24"/>
          <w:szCs w:val="24"/>
        </w:rPr>
        <w:t xml:space="preserve"> derecho interno con las</w:t>
      </w:r>
      <w:r>
        <w:rPr>
          <w:rFonts w:ascii="Times New Roman" w:hAnsi="Times New Roman" w:cs="Times New Roman"/>
          <w:sz w:val="24"/>
          <w:szCs w:val="24"/>
        </w:rPr>
        <w:t xml:space="preserve"> disposiciones de la Convención; estableciéndose como condicionante</w:t>
      </w:r>
      <w:r w:rsidRPr="00E347FF">
        <w:rPr>
          <w:rFonts w:ascii="Times New Roman" w:hAnsi="Times New Roman" w:cs="Times New Roman"/>
          <w:sz w:val="24"/>
          <w:szCs w:val="24"/>
        </w:rPr>
        <w:t xml:space="preserve"> que tales declaraciones o manifestaciones no tengan por objeto excluir o modificar los efectos jurídicos de las disposiciones de l</w:t>
      </w:r>
      <w:r>
        <w:rPr>
          <w:rFonts w:ascii="Times New Roman" w:hAnsi="Times New Roman" w:cs="Times New Roman"/>
          <w:sz w:val="24"/>
          <w:szCs w:val="24"/>
        </w:rPr>
        <w:t xml:space="preserve">a Convención en su aplicación al </w:t>
      </w:r>
      <w:r w:rsidRPr="00E347FF">
        <w:rPr>
          <w:rFonts w:ascii="Times New Roman" w:hAnsi="Times New Roman" w:cs="Times New Roman"/>
          <w:sz w:val="24"/>
          <w:szCs w:val="24"/>
        </w:rPr>
        <w:t>Estado</w:t>
      </w:r>
      <w:r>
        <w:rPr>
          <w:rFonts w:ascii="Times New Roman" w:hAnsi="Times New Roman" w:cs="Times New Roman"/>
          <w:sz w:val="24"/>
          <w:szCs w:val="24"/>
        </w:rPr>
        <w:t>. De esta forma la doctrina pone en tela de juicio el valor jurídico de las declaraciones unilaterales de España, teniendo en cuenta el marco general del Convenio</w:t>
      </w:r>
      <w:r>
        <w:rPr>
          <w:rStyle w:val="Refdenotaalpie"/>
          <w:rFonts w:ascii="Times New Roman" w:hAnsi="Times New Roman" w:cs="Times New Roman"/>
          <w:sz w:val="24"/>
          <w:szCs w:val="24"/>
        </w:rPr>
        <w:footnoteReference w:id="101"/>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Por igual son varios los principios jurídicos que podrían ser invocados al efecto: (i) el criterio “la tierra domina al mar” perfilado por primera vez por el Tribunal Internacional de Justicia en el Caso de </w:t>
      </w:r>
      <w:r w:rsidRPr="00A03053">
        <w:rPr>
          <w:rFonts w:ascii="Times New Roman" w:hAnsi="Times New Roman" w:cs="Times New Roman"/>
          <w:sz w:val="24"/>
          <w:szCs w:val="24"/>
        </w:rPr>
        <w:t>Delimitación de la Fron</w:t>
      </w:r>
      <w:r>
        <w:rPr>
          <w:rFonts w:ascii="Times New Roman" w:hAnsi="Times New Roman" w:cs="Times New Roman"/>
          <w:sz w:val="24"/>
          <w:szCs w:val="24"/>
        </w:rPr>
        <w:t xml:space="preserve">tera Marítima en la Región del </w:t>
      </w:r>
      <w:r w:rsidRPr="00A03053">
        <w:rPr>
          <w:rFonts w:ascii="Times New Roman" w:hAnsi="Times New Roman" w:cs="Times New Roman"/>
          <w:sz w:val="24"/>
          <w:szCs w:val="24"/>
        </w:rPr>
        <w:t>Golfo de Maine</w:t>
      </w:r>
      <w:r>
        <w:rPr>
          <w:rFonts w:ascii="Times New Roman" w:hAnsi="Times New Roman" w:cs="Times New Roman"/>
          <w:sz w:val="24"/>
          <w:szCs w:val="24"/>
        </w:rPr>
        <w:t xml:space="preserve"> (Sentencia de 12 de octubre de 1984) </w:t>
      </w:r>
      <w:r>
        <w:rPr>
          <w:rStyle w:val="Refdenotaalpie"/>
          <w:rFonts w:ascii="Times New Roman" w:hAnsi="Times New Roman" w:cs="Times New Roman"/>
          <w:sz w:val="24"/>
          <w:szCs w:val="24"/>
        </w:rPr>
        <w:footnoteReference w:id="102"/>
      </w:r>
      <w:r>
        <w:rPr>
          <w:rFonts w:ascii="Times New Roman" w:hAnsi="Times New Roman" w:cs="Times New Roman"/>
          <w:sz w:val="24"/>
          <w:szCs w:val="24"/>
        </w:rPr>
        <w:t>; (ii) el carácter internacional que tiene la delimitación de las zonas marítimas y que</w:t>
      </w:r>
      <w:r w:rsidRPr="00134C37">
        <w:rPr>
          <w:rFonts w:ascii="Times New Roman" w:hAnsi="Times New Roman" w:cs="Times New Roman"/>
          <w:sz w:val="24"/>
          <w:szCs w:val="24"/>
        </w:rPr>
        <w:t xml:space="preserve"> no puede depender únicamente de la voluntad del Estado ribereño como </w:t>
      </w:r>
      <w:r>
        <w:rPr>
          <w:rFonts w:ascii="Times New Roman" w:hAnsi="Times New Roman" w:cs="Times New Roman"/>
          <w:sz w:val="24"/>
          <w:szCs w:val="24"/>
        </w:rPr>
        <w:t>establezca en su derecho interno (puesto que s</w:t>
      </w:r>
      <w:r w:rsidRPr="00134C37">
        <w:rPr>
          <w:rFonts w:ascii="Times New Roman" w:hAnsi="Times New Roman" w:cs="Times New Roman"/>
          <w:sz w:val="24"/>
          <w:szCs w:val="24"/>
        </w:rPr>
        <w:t xml:space="preserve">i el acto de </w:t>
      </w:r>
      <w:r>
        <w:rPr>
          <w:rFonts w:ascii="Times New Roman" w:hAnsi="Times New Roman" w:cs="Times New Roman"/>
          <w:sz w:val="24"/>
          <w:szCs w:val="24"/>
        </w:rPr>
        <w:t>delimitación</w:t>
      </w:r>
      <w:r w:rsidRPr="00134C37">
        <w:rPr>
          <w:rFonts w:ascii="Times New Roman" w:hAnsi="Times New Roman" w:cs="Times New Roman"/>
          <w:sz w:val="24"/>
          <w:szCs w:val="24"/>
        </w:rPr>
        <w:t xml:space="preserve"> es unilateral, </w:t>
      </w:r>
      <w:r>
        <w:rPr>
          <w:rFonts w:ascii="Times New Roman" w:hAnsi="Times New Roman" w:cs="Times New Roman"/>
          <w:sz w:val="24"/>
          <w:szCs w:val="24"/>
        </w:rPr>
        <w:t xml:space="preserve">su </w:t>
      </w:r>
      <w:r w:rsidRPr="00134C37">
        <w:rPr>
          <w:rFonts w:ascii="Times New Roman" w:hAnsi="Times New Roman" w:cs="Times New Roman"/>
          <w:sz w:val="24"/>
          <w:szCs w:val="24"/>
        </w:rPr>
        <w:t>validez respecto a otros Estados depende</w:t>
      </w:r>
      <w:r>
        <w:rPr>
          <w:rFonts w:ascii="Times New Roman" w:hAnsi="Times New Roman" w:cs="Times New Roman"/>
          <w:sz w:val="24"/>
          <w:szCs w:val="24"/>
        </w:rPr>
        <w:t xml:space="preserve">rá del derecho internacional) como se clarifica en la Sentencia del Tribunal Internacional de Justicia de 18 de diciembre de 1951 </w:t>
      </w:r>
      <w:r>
        <w:rPr>
          <w:rFonts w:ascii="Times New Roman" w:hAnsi="Times New Roman" w:cs="Times New Roman"/>
          <w:sz w:val="24"/>
          <w:szCs w:val="24"/>
        </w:rPr>
        <w:lastRenderedPageBreak/>
        <w:t>(Caso Pesquerías)</w:t>
      </w:r>
      <w:r>
        <w:rPr>
          <w:rStyle w:val="Refdenotaalpie"/>
          <w:rFonts w:ascii="Times New Roman" w:hAnsi="Times New Roman" w:cs="Times New Roman"/>
          <w:sz w:val="24"/>
          <w:szCs w:val="24"/>
        </w:rPr>
        <w:footnoteReference w:id="103"/>
      </w:r>
      <w:r>
        <w:rPr>
          <w:rFonts w:ascii="Times New Roman" w:hAnsi="Times New Roman" w:cs="Times New Roman"/>
          <w:sz w:val="24"/>
          <w:szCs w:val="24"/>
        </w:rPr>
        <w:t xml:space="preserve"> y (iii) y el principio clásico de “</w:t>
      </w:r>
      <w:r w:rsidRPr="00E65102">
        <w:rPr>
          <w:rFonts w:ascii="Times New Roman" w:hAnsi="Times New Roman" w:cs="Times New Roman"/>
          <w:i/>
          <w:sz w:val="24"/>
          <w:szCs w:val="24"/>
        </w:rPr>
        <w:t>lex posterior derogat legi priori</w:t>
      </w:r>
      <w:r>
        <w:rPr>
          <w:rFonts w:ascii="Times New Roman" w:hAnsi="Times New Roman" w:cs="Times New Roman"/>
          <w:sz w:val="24"/>
          <w:szCs w:val="24"/>
        </w:rPr>
        <w:t xml:space="preserve">” (la ley anterior deroga la posterior), entendiendo que si tanto España como Reino Unido son estados parte del Convenio de Naciones Unidas de Derecho del Mar </w:t>
      </w:r>
      <w:r w:rsidRPr="00DA7A30">
        <w:rPr>
          <w:rFonts w:ascii="Times New Roman" w:hAnsi="Times New Roman" w:cs="Times New Roman"/>
          <w:sz w:val="24"/>
          <w:szCs w:val="24"/>
        </w:rPr>
        <w:t>hecho en Montego Bay el 10 de diciembre de 1982</w:t>
      </w:r>
      <w:r>
        <w:rPr>
          <w:rFonts w:ascii="Times New Roman" w:hAnsi="Times New Roman" w:cs="Times New Roman"/>
          <w:sz w:val="24"/>
          <w:szCs w:val="24"/>
        </w:rPr>
        <w:t xml:space="preserve"> éste derogará o modificará las disposiciones (en materia de Derecho marítimo) del Tratado de Utrecht así como el resto de normas jurídicas bilaterales, multilaterales o unilaterales. El Convenio es claro en este sentido: el artículo 3 dispone que t</w:t>
      </w:r>
      <w:r w:rsidRPr="00A36AAF">
        <w:rPr>
          <w:rFonts w:ascii="Times New Roman" w:hAnsi="Times New Roman" w:cs="Times New Roman"/>
          <w:sz w:val="24"/>
          <w:szCs w:val="24"/>
        </w:rPr>
        <w:t>odo Estado tiene derecho a establecer la anchura de su mar territorial hasta un límite que no exceda de 12 millas marinas</w:t>
      </w:r>
      <w:r>
        <w:rPr>
          <w:rFonts w:ascii="Times New Roman" w:hAnsi="Times New Roman" w:cs="Times New Roman"/>
          <w:sz w:val="24"/>
          <w:szCs w:val="24"/>
        </w:rPr>
        <w:t>, y puesto que la costa de la Bahía de Algeciras es adyacente y se encuentra frente a frente con Gibraltar según el artículo 15 del Convenio el mar territorial se extenderá mediante</w:t>
      </w:r>
      <w:r w:rsidRPr="00A57852">
        <w:rPr>
          <w:rFonts w:ascii="Times New Roman" w:hAnsi="Times New Roman" w:cs="Times New Roman"/>
          <w:sz w:val="24"/>
          <w:szCs w:val="24"/>
        </w:rPr>
        <w:t xml:space="preserve"> una línea media cuyos puntos sean equidistantes de los puntos más próximos de las líneas de base a partir de las cuales se mida la</w:t>
      </w:r>
      <w:r>
        <w:rPr>
          <w:rFonts w:ascii="Times New Roman" w:hAnsi="Times New Roman" w:cs="Times New Roman"/>
          <w:sz w:val="24"/>
          <w:szCs w:val="24"/>
        </w:rPr>
        <w:t xml:space="preserve"> anchura del mar territorial tanto de España como de Reino Unido</w:t>
      </w:r>
      <w:r>
        <w:rPr>
          <w:rStyle w:val="Refdenotaalpie"/>
          <w:rFonts w:ascii="Times New Roman" w:hAnsi="Times New Roman" w:cs="Times New Roman"/>
          <w:sz w:val="24"/>
          <w:szCs w:val="24"/>
        </w:rPr>
        <w:footnoteReference w:id="104"/>
      </w:r>
      <w:r>
        <w:rPr>
          <w:rFonts w:ascii="Times New Roman" w:hAnsi="Times New Roman" w:cs="Times New Roman"/>
          <w:sz w:val="24"/>
          <w:szCs w:val="24"/>
        </w:rPr>
        <w:t xml:space="preserve">. De esta forma la tesis de la “costa seca” en ningún modo tendría virtualidad bajo el Derecho internacional reconociendo el derecho de Reino Unido al mar territorial en Gibraltar.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Esto no es óbice para delimitar el fragmento de mar territorial en disputa. La delimitación marítima ofrece otro problema y es la soberanía sobre el mar adyacente al istmo. En 1987 el diario oficial de Gibraltar (</w:t>
      </w:r>
      <w:r w:rsidRPr="003A243D">
        <w:rPr>
          <w:rFonts w:ascii="Times New Roman" w:hAnsi="Times New Roman" w:cs="Times New Roman"/>
          <w:i/>
          <w:sz w:val="24"/>
          <w:szCs w:val="24"/>
        </w:rPr>
        <w:t>The Gibraltar Gazette</w:t>
      </w:r>
      <w:r>
        <w:rPr>
          <w:rFonts w:ascii="Times New Roman" w:hAnsi="Times New Roman" w:cs="Times New Roman"/>
          <w:sz w:val="24"/>
          <w:szCs w:val="24"/>
        </w:rPr>
        <w:t>) publicó una delimitación que incluyó un arco de agua de dos millas en línea con la verja, extendiéndose otro cuarto de milla y que según la doctrina no respeta la línea equidistante invadiendo levemente la zona española</w:t>
      </w:r>
      <w:r>
        <w:rPr>
          <w:rStyle w:val="Refdenotaalpie"/>
          <w:rFonts w:ascii="Times New Roman" w:hAnsi="Times New Roman" w:cs="Times New Roman"/>
          <w:sz w:val="24"/>
          <w:szCs w:val="24"/>
        </w:rPr>
        <w:footnoteReference w:id="105"/>
      </w:r>
      <w:r>
        <w:rPr>
          <w:rFonts w:ascii="Times New Roman" w:hAnsi="Times New Roman" w:cs="Times New Roman"/>
          <w:sz w:val="24"/>
          <w:szCs w:val="24"/>
        </w:rPr>
        <w:t xml:space="preserve">. Por lo tanto si bien no cabe duda que la legitimidad de Gibraltar para ostentar soberanía de mar territorial a la luz del Derecho internacional, ello no le permite extenderla sobre un territorio claramente en disputa. </w:t>
      </w:r>
    </w:p>
    <w:p w:rsidR="003B40A4" w:rsidRPr="00450812"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Finalmente y por su cercanía cronológica es preciso aludir al lanzamiento de</w:t>
      </w:r>
      <w:r w:rsidRPr="00450812">
        <w:rPr>
          <w:rFonts w:ascii="Times New Roman" w:hAnsi="Times New Roman" w:cs="Times New Roman"/>
          <w:sz w:val="24"/>
          <w:szCs w:val="24"/>
        </w:rPr>
        <w:t xml:space="preserve"> bloques de hormigón al mar en las inmediaciones de su aeropuerto</w:t>
      </w:r>
      <w:r>
        <w:rPr>
          <w:rFonts w:ascii="Times New Roman" w:hAnsi="Times New Roman" w:cs="Times New Roman"/>
          <w:sz w:val="24"/>
          <w:szCs w:val="24"/>
        </w:rPr>
        <w:t xml:space="preserve"> a manos del Gobierno gibraltareño</w:t>
      </w:r>
      <w:r w:rsidRPr="00450812">
        <w:rPr>
          <w:rFonts w:ascii="Times New Roman" w:hAnsi="Times New Roman" w:cs="Times New Roman"/>
          <w:sz w:val="24"/>
          <w:szCs w:val="24"/>
        </w:rPr>
        <w:t>, para construir un arrecife artificial con la intención de regenerar la pesca e impedir el uso de arrastreros</w:t>
      </w:r>
      <w:r>
        <w:rPr>
          <w:rFonts w:ascii="Times New Roman" w:hAnsi="Times New Roman" w:cs="Times New Roman"/>
          <w:sz w:val="24"/>
          <w:szCs w:val="24"/>
        </w:rPr>
        <w:t xml:space="preserve"> de pescadores españoles</w:t>
      </w:r>
      <w:r>
        <w:rPr>
          <w:rStyle w:val="Refdenotaalpie"/>
          <w:rFonts w:ascii="Times New Roman" w:hAnsi="Times New Roman" w:cs="Times New Roman"/>
          <w:sz w:val="24"/>
          <w:szCs w:val="24"/>
        </w:rPr>
        <w:footnoteReference w:id="106"/>
      </w:r>
      <w:r>
        <w:rPr>
          <w:rFonts w:ascii="Times New Roman" w:hAnsi="Times New Roman" w:cs="Times New Roman"/>
          <w:sz w:val="24"/>
          <w:szCs w:val="24"/>
        </w:rPr>
        <w:t xml:space="preserve">. Más allá del trasfondo político del asunto basado en el recrudecimiento de las relaciones entre Reino Unido y Gibraltar por los cambios de gobierno en España y Gibraltar (y que ha ocasionado el cierre del llamado foro tripartito, como señalaré </w:t>
      </w:r>
      <w:r w:rsidRPr="007377B0">
        <w:rPr>
          <w:rFonts w:ascii="Times New Roman" w:hAnsi="Times New Roman" w:cs="Times New Roman"/>
          <w:i/>
          <w:sz w:val="24"/>
          <w:szCs w:val="24"/>
        </w:rPr>
        <w:lastRenderedPageBreak/>
        <w:t>ut infra</w:t>
      </w:r>
      <w:r>
        <w:rPr>
          <w:rFonts w:ascii="Times New Roman" w:hAnsi="Times New Roman" w:cs="Times New Roman"/>
          <w:sz w:val="24"/>
          <w:szCs w:val="24"/>
        </w:rPr>
        <w:t>), los efectos jurídicos son cuanto menos interesantes. Más allá del carácter en disputa de la zona en la que se efectúa la construcción del arrecife (reproduciendo aquí todo lo dicho sobre el istmo y sus aguas adyacentes), si bien bajo la óptica británica puede alegarse un legítimo ejercicio de derechos dentro del mar territorial, desde la perspectiva española sería conveniente el estudio y encuadre del lanzamiento dentro del abuso de derecho internacional en los términos del artículo 300 del Convenio de Derecho del Mar en cuanto al perjuicio que sufre la economía local pesquera española de la zona</w:t>
      </w:r>
      <w:r>
        <w:rPr>
          <w:rStyle w:val="Refdenotaalpie"/>
          <w:rFonts w:ascii="Times New Roman" w:hAnsi="Times New Roman" w:cs="Times New Roman"/>
          <w:sz w:val="24"/>
          <w:szCs w:val="24"/>
        </w:rPr>
        <w:footnoteReference w:id="107"/>
      </w:r>
      <w:r>
        <w:rPr>
          <w:rFonts w:ascii="Times New Roman" w:hAnsi="Times New Roman" w:cs="Times New Roman"/>
          <w:sz w:val="24"/>
          <w:szCs w:val="24"/>
        </w:rPr>
        <w:t>.</w:t>
      </w:r>
    </w:p>
    <w:p w:rsidR="003B40A4" w:rsidRPr="00EC1182"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3.3 UN NUEVO MODELO PARA GIBRALTAR EN LA UNIÓN EUROPEA. EL FIN DEL RÉGIMEN ESPECIAL DE LA UNIÓN APLICADO A GIBRALTAR.</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3.3.1 </w:t>
      </w:r>
      <w:r w:rsidRPr="00A17AFD">
        <w:rPr>
          <w:rFonts w:ascii="Times New Roman" w:hAnsi="Times New Roman" w:cs="Times New Roman"/>
          <w:sz w:val="24"/>
          <w:szCs w:val="24"/>
        </w:rPr>
        <w:t>LOS DERECHOS Y LAS OBLIGACIONES DE LOS CIUDADANOS DE GIBRALTAR COMO CIUDADANOS DE LA UNIÓN EUROPEA</w:t>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Como punto de partida, es preciso delimitar las </w:t>
      </w:r>
      <w:r w:rsidR="00C368D0" w:rsidRPr="00C368D0">
        <w:rPr>
          <w:rFonts w:ascii="Times New Roman" w:hAnsi="Times New Roman" w:cs="Times New Roman"/>
          <w:sz w:val="24"/>
          <w:szCs w:val="24"/>
        </w:rPr>
        <w:t xml:space="preserve">especificidades </w:t>
      </w:r>
      <w:r>
        <w:rPr>
          <w:rFonts w:ascii="Times New Roman" w:hAnsi="Times New Roman" w:cs="Times New Roman"/>
          <w:sz w:val="24"/>
          <w:szCs w:val="24"/>
        </w:rPr>
        <w:t>que ha despertado, tanto en la doctrina como en la jurisprudencia, la aplicación de los derechos y las obligaciones de los ciudadanos del Gibraltar en cuanto a ciudadanos de la Unión Europea y en concreto de sus derechos políticos de participación en las elecciones en el ejercicio de sus derechos de sufragio activo y pasivo.</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Ha sido constante la evolución entre los primeros conatos de una delimitación de derechos fundamentales en el marco de la jurisprudencia del Tribunal de Justicia de l</w:t>
      </w:r>
      <w:r w:rsidR="00C368D0">
        <w:rPr>
          <w:rFonts w:ascii="Times New Roman" w:hAnsi="Times New Roman" w:cs="Times New Roman"/>
          <w:sz w:val="24"/>
          <w:szCs w:val="24"/>
        </w:rPr>
        <w:t>as Comunidades Europeas</w:t>
      </w:r>
      <w:r>
        <w:rPr>
          <w:rStyle w:val="Refdenotaalpie"/>
          <w:rFonts w:ascii="Times New Roman" w:hAnsi="Times New Roman" w:cs="Times New Roman"/>
          <w:sz w:val="24"/>
          <w:szCs w:val="24"/>
        </w:rPr>
        <w:footnoteReference w:id="108"/>
      </w:r>
      <w:r w:rsidR="00C368D0">
        <w:rPr>
          <w:rFonts w:ascii="Times New Roman" w:hAnsi="Times New Roman" w:cs="Times New Roman"/>
          <w:sz w:val="24"/>
          <w:szCs w:val="24"/>
        </w:rPr>
        <w:t xml:space="preserve"> y</w:t>
      </w:r>
      <w:r>
        <w:rPr>
          <w:rFonts w:ascii="Times New Roman" w:hAnsi="Times New Roman" w:cs="Times New Roman"/>
          <w:sz w:val="24"/>
          <w:szCs w:val="24"/>
        </w:rPr>
        <w:t xml:space="preserve"> la proclamación de la </w:t>
      </w:r>
      <w:r w:rsidRPr="00CE008C">
        <w:rPr>
          <w:rFonts w:ascii="Times New Roman" w:hAnsi="Times New Roman" w:cs="Times New Roman"/>
          <w:sz w:val="24"/>
          <w:szCs w:val="24"/>
        </w:rPr>
        <w:t xml:space="preserve">Carta de los Derechos Fundamentales de la </w:t>
      </w:r>
      <w:r w:rsidRPr="00CE008C">
        <w:rPr>
          <w:rFonts w:ascii="Times New Roman" w:hAnsi="Times New Roman" w:cs="Times New Roman"/>
          <w:sz w:val="24"/>
          <w:szCs w:val="24"/>
        </w:rPr>
        <w:lastRenderedPageBreak/>
        <w:t>Unión Europea</w:t>
      </w:r>
      <w:r>
        <w:rPr>
          <w:rFonts w:ascii="Times New Roman" w:hAnsi="Times New Roman" w:cs="Times New Roman"/>
          <w:sz w:val="24"/>
          <w:szCs w:val="24"/>
        </w:rPr>
        <w:t xml:space="preserve"> de Niza de 2000</w:t>
      </w:r>
      <w:r w:rsidR="00C368D0">
        <w:rPr>
          <w:rFonts w:ascii="Times New Roman" w:hAnsi="Times New Roman" w:cs="Times New Roman"/>
          <w:sz w:val="24"/>
          <w:szCs w:val="24"/>
        </w:rPr>
        <w:t xml:space="preserve"> </w:t>
      </w:r>
      <w:r w:rsidR="00C368D0" w:rsidRPr="00C368D0">
        <w:rPr>
          <w:rFonts w:ascii="Times New Roman" w:hAnsi="Times New Roman" w:cs="Times New Roman"/>
          <w:sz w:val="24"/>
          <w:szCs w:val="24"/>
        </w:rPr>
        <w:t xml:space="preserve">refrendada por el Tratado de Lisboa en su artículo 6 </w:t>
      </w:r>
      <w:r>
        <w:rPr>
          <w:rFonts w:ascii="Times New Roman" w:hAnsi="Times New Roman" w:cs="Times New Roman"/>
          <w:sz w:val="24"/>
          <w:szCs w:val="24"/>
        </w:rPr>
        <w:t>(referencia 2000/C-</w:t>
      </w:r>
      <w:r w:rsidRPr="00D9469A">
        <w:rPr>
          <w:rFonts w:ascii="Times New Roman" w:hAnsi="Times New Roman" w:cs="Times New Roman"/>
          <w:sz w:val="24"/>
          <w:szCs w:val="24"/>
        </w:rPr>
        <w:t>364/01</w:t>
      </w:r>
      <w:r>
        <w:rPr>
          <w:rFonts w:ascii="Times New Roman" w:hAnsi="Times New Roman" w:cs="Times New Roman"/>
          <w:sz w:val="24"/>
          <w:szCs w:val="24"/>
        </w:rPr>
        <w:t>)</w:t>
      </w:r>
      <w:r>
        <w:rPr>
          <w:rStyle w:val="Refdenotaalpie"/>
          <w:rFonts w:ascii="Times New Roman" w:hAnsi="Times New Roman" w:cs="Times New Roman"/>
          <w:sz w:val="24"/>
          <w:szCs w:val="24"/>
        </w:rPr>
        <w:footnoteReference w:id="109"/>
      </w:r>
      <w:r>
        <w:rPr>
          <w:rFonts w:ascii="Times New Roman" w:hAnsi="Times New Roman" w:cs="Times New Roman"/>
          <w:sz w:val="24"/>
          <w:szCs w:val="24"/>
        </w:rPr>
        <w:t xml:space="preserve">, pasando por la adhesión de la Unión Europea a la </w:t>
      </w:r>
      <w:r w:rsidRPr="00D9469A">
        <w:rPr>
          <w:rFonts w:ascii="Times New Roman" w:hAnsi="Times New Roman" w:cs="Times New Roman"/>
          <w:sz w:val="24"/>
          <w:szCs w:val="24"/>
        </w:rPr>
        <w:t>Convención Europea de Derechos Humanos</w:t>
      </w:r>
      <w:r>
        <w:rPr>
          <w:rFonts w:ascii="Times New Roman" w:hAnsi="Times New Roman" w:cs="Times New Roman"/>
          <w:sz w:val="24"/>
          <w:szCs w:val="24"/>
        </w:rPr>
        <w:t xml:space="preserve"> plasmadas en la opinión consultiva del TJUE de 28 de marzo de 1996 ensamblada en la propia Carta de Niza de 2000. Cabe por igual destacar y señalar en este punto el caso particular que supuso Reino Unido, junto a Polonia</w:t>
      </w:r>
      <w:r>
        <w:rPr>
          <w:rStyle w:val="Refdenotaalpie"/>
          <w:rFonts w:ascii="Times New Roman" w:hAnsi="Times New Roman" w:cs="Times New Roman"/>
          <w:sz w:val="24"/>
          <w:szCs w:val="24"/>
        </w:rPr>
        <w:footnoteReference w:id="110"/>
      </w:r>
      <w:r>
        <w:rPr>
          <w:rFonts w:ascii="Times New Roman" w:hAnsi="Times New Roman" w:cs="Times New Roman"/>
          <w:sz w:val="24"/>
          <w:szCs w:val="24"/>
        </w:rPr>
        <w:t>, los cuales formularon reservas sobre de la Carta de Niza durante las negociaciones del Tratado de Lisboa en el año 2007. De hecho el Tratado de Lisboa modifica el artículo 6 del Tratado de la Unión Europea para establecer que l</w:t>
      </w:r>
      <w:r w:rsidRPr="00C04053">
        <w:rPr>
          <w:rFonts w:ascii="Times New Roman" w:hAnsi="Times New Roman" w:cs="Times New Roman"/>
          <w:sz w:val="24"/>
          <w:szCs w:val="24"/>
        </w:rPr>
        <w:t xml:space="preserve">a Unión reconoce los derechos, libertades y principios enunciados en la </w:t>
      </w:r>
      <w:r>
        <w:rPr>
          <w:rFonts w:ascii="Times New Roman" w:hAnsi="Times New Roman" w:cs="Times New Roman"/>
          <w:sz w:val="24"/>
          <w:szCs w:val="24"/>
        </w:rPr>
        <w:t>Carta de los Derechos Fundamentales de Niza</w:t>
      </w:r>
      <w:r w:rsidRPr="00C04053">
        <w:rPr>
          <w:rFonts w:ascii="Times New Roman" w:hAnsi="Times New Roman" w:cs="Times New Roman"/>
          <w:sz w:val="24"/>
          <w:szCs w:val="24"/>
        </w:rPr>
        <w:t xml:space="preserve">, tal como fue adaptada el 12 de diciembre de 2007 en Estrasburgo, </w:t>
      </w:r>
      <w:r>
        <w:rPr>
          <w:rFonts w:ascii="Times New Roman" w:hAnsi="Times New Roman" w:cs="Times New Roman"/>
          <w:sz w:val="24"/>
          <w:szCs w:val="24"/>
        </w:rPr>
        <w:t>dotándola con</w:t>
      </w:r>
      <w:r w:rsidRPr="00C04053">
        <w:rPr>
          <w:rFonts w:ascii="Times New Roman" w:hAnsi="Times New Roman" w:cs="Times New Roman"/>
          <w:sz w:val="24"/>
          <w:szCs w:val="24"/>
        </w:rPr>
        <w:t xml:space="preserve"> el mismo valor jurídico que los Tratados.</w:t>
      </w:r>
      <w:r>
        <w:rPr>
          <w:rFonts w:ascii="Times New Roman" w:hAnsi="Times New Roman" w:cs="Times New Roman"/>
          <w:sz w:val="24"/>
          <w:szCs w:val="24"/>
        </w:rPr>
        <w:t xml:space="preserve"> </w:t>
      </w:r>
    </w:p>
    <w:p w:rsidR="003B40A4" w:rsidRDefault="003B40A4" w:rsidP="003B40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No obstante en el Protocolo nº 30 s</w:t>
      </w:r>
      <w:r w:rsidRPr="008B6459">
        <w:rPr>
          <w:rFonts w:ascii="Times New Roman" w:hAnsi="Times New Roman" w:cs="Times New Roman"/>
          <w:sz w:val="24"/>
          <w:szCs w:val="24"/>
        </w:rPr>
        <w:t>obre la aplicación de la Carta de los Derechos Fundamentales de la Unión Europea a Polonia y al Reino Unido</w:t>
      </w:r>
      <w:r>
        <w:rPr>
          <w:rStyle w:val="Refdenotaalpie"/>
          <w:rFonts w:ascii="Times New Roman" w:hAnsi="Times New Roman" w:cs="Times New Roman"/>
          <w:sz w:val="24"/>
          <w:szCs w:val="24"/>
        </w:rPr>
        <w:footnoteReference w:id="111"/>
      </w:r>
      <w:r>
        <w:rPr>
          <w:rFonts w:ascii="Times New Roman" w:hAnsi="Times New Roman" w:cs="Times New Roman"/>
          <w:sz w:val="24"/>
          <w:szCs w:val="24"/>
        </w:rPr>
        <w:t>, no amplía</w:t>
      </w:r>
      <w:r w:rsidRPr="003D43AA">
        <w:rPr>
          <w:rFonts w:ascii="Times New Roman" w:hAnsi="Times New Roman" w:cs="Times New Roman"/>
          <w:sz w:val="24"/>
          <w:szCs w:val="24"/>
        </w:rPr>
        <w:t xml:space="preserve"> </w:t>
      </w:r>
      <w:r>
        <w:rPr>
          <w:rFonts w:ascii="Times New Roman" w:hAnsi="Times New Roman" w:cs="Times New Roman"/>
          <w:sz w:val="24"/>
          <w:szCs w:val="24"/>
        </w:rPr>
        <w:t xml:space="preserve">en su artículo 1 </w:t>
      </w:r>
      <w:r w:rsidRPr="003D43AA">
        <w:rPr>
          <w:rFonts w:ascii="Times New Roman" w:hAnsi="Times New Roman" w:cs="Times New Roman"/>
          <w:sz w:val="24"/>
          <w:szCs w:val="24"/>
        </w:rPr>
        <w:t xml:space="preserve">la competencia del </w:t>
      </w:r>
      <w:r>
        <w:rPr>
          <w:rFonts w:ascii="Times New Roman" w:hAnsi="Times New Roman" w:cs="Times New Roman"/>
          <w:sz w:val="24"/>
          <w:szCs w:val="24"/>
        </w:rPr>
        <w:t>TJUE</w:t>
      </w:r>
      <w:r w:rsidRPr="003D43AA">
        <w:rPr>
          <w:rFonts w:ascii="Times New Roman" w:hAnsi="Times New Roman" w:cs="Times New Roman"/>
          <w:sz w:val="24"/>
          <w:szCs w:val="24"/>
        </w:rPr>
        <w:t xml:space="preserve"> </w:t>
      </w:r>
      <w:r w:rsidRPr="00192850">
        <w:rPr>
          <w:rFonts w:ascii="Times New Roman" w:hAnsi="Times New Roman" w:cs="Times New Roman"/>
          <w:sz w:val="24"/>
          <w:szCs w:val="24"/>
        </w:rPr>
        <w:t>ni de ningún otro órgano jurisdiccional de Polonia o del Reino Unido</w:t>
      </w:r>
      <w:r>
        <w:rPr>
          <w:rStyle w:val="Refdenotaalpie"/>
          <w:rFonts w:ascii="Times New Roman" w:hAnsi="Times New Roman" w:cs="Times New Roman"/>
          <w:sz w:val="24"/>
          <w:szCs w:val="24"/>
        </w:rPr>
        <w:footnoteReference w:id="112"/>
      </w:r>
      <w:r w:rsidRPr="00192850">
        <w:rPr>
          <w:rFonts w:ascii="Times New Roman" w:hAnsi="Times New Roman" w:cs="Times New Roman"/>
          <w:sz w:val="24"/>
          <w:szCs w:val="24"/>
        </w:rPr>
        <w:t>.</w:t>
      </w:r>
      <w:r>
        <w:rPr>
          <w:rFonts w:ascii="Times New Roman" w:hAnsi="Times New Roman" w:cs="Times New Roman"/>
          <w:sz w:val="24"/>
          <w:szCs w:val="24"/>
        </w:rPr>
        <w:t xml:space="preserve"> Así, la interpretación doctrinal sobre el efecto de esta disposición se orienta en el sentido de que más que excusar a los estados suscriptores del Protocolo de la obligación del cumplimiento de la Carta, se exceptúa de la tutela jurisdiccional tanto de las instancias nacionales como comunitarias, no obstante permitiendo el reconocimiento de una obligación jurídica cierta pero no susceptible de invocación ante los tribunales</w:t>
      </w:r>
      <w:r>
        <w:rPr>
          <w:rStyle w:val="Refdenotaalpie"/>
          <w:rFonts w:ascii="Times New Roman" w:hAnsi="Times New Roman" w:cs="Times New Roman"/>
          <w:sz w:val="24"/>
          <w:szCs w:val="24"/>
        </w:rPr>
        <w:footnoteReference w:id="113"/>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Los principales problemas de interpretación e integración de derechos pueden reseñarse en los derechos de participación política: en el derecho a ser elector y elegible a las elecciones del Parlamento europeo y las municipales, hoy reflejados en los artículos 39 y 40  la Carta de Niza.  El derecho a sufragio tanto activo como pasivo en el contexto de la Unión </w:t>
      </w:r>
      <w:r>
        <w:rPr>
          <w:rFonts w:ascii="Times New Roman" w:hAnsi="Times New Roman" w:cs="Times New Roman"/>
          <w:sz w:val="24"/>
          <w:szCs w:val="24"/>
        </w:rPr>
        <w:lastRenderedPageBreak/>
        <w:t>Europea adquiere una doble dimensión: en las elecciones del Parlamento europeo (artículo 39 de la Carta de Niza)</w:t>
      </w:r>
      <w:r>
        <w:rPr>
          <w:rStyle w:val="Refdenotaalpie"/>
          <w:rFonts w:ascii="Times New Roman" w:hAnsi="Times New Roman" w:cs="Times New Roman"/>
          <w:sz w:val="24"/>
          <w:szCs w:val="24"/>
        </w:rPr>
        <w:footnoteReference w:id="114"/>
      </w:r>
      <w:r>
        <w:rPr>
          <w:rFonts w:ascii="Times New Roman" w:hAnsi="Times New Roman" w:cs="Times New Roman"/>
          <w:sz w:val="24"/>
          <w:szCs w:val="24"/>
        </w:rPr>
        <w:t xml:space="preserve"> y en las elecciones locales.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Llegados a este punto, cabe volver a destacar las particularidades en la aplicación del Derecho europeo en el territorio de Gibraltar. Tales vicisitudes fueron puestas de relieve en la Sentencia del Tribunal Europeo de Derechos Humanos de 19 de febrero de 1999 (Caso Matthews v. United Kingdom)</w:t>
      </w:r>
      <w:r>
        <w:rPr>
          <w:rStyle w:val="Refdenotaalpie"/>
          <w:rFonts w:ascii="Times New Roman" w:hAnsi="Times New Roman" w:cs="Times New Roman"/>
          <w:sz w:val="24"/>
          <w:szCs w:val="24"/>
        </w:rPr>
        <w:footnoteReference w:id="115"/>
      </w:r>
      <w:r>
        <w:rPr>
          <w:rFonts w:ascii="Times New Roman" w:hAnsi="Times New Roman" w:cs="Times New Roman"/>
          <w:sz w:val="24"/>
          <w:szCs w:val="24"/>
        </w:rPr>
        <w:t xml:space="preserve">. Con anterioridad al comentado caso, los ciudadanos de Gibraltar eran excluidos de las elecciones al parlamento europeo. A raíz del mismo se reconoció la obligación de Reino Unido de permitir el derecho de sufragio de los ciudadanos de Gibraltar en las elecciones del parlamento europeo; interpretando que para que el precepto del artículo 56-3º del </w:t>
      </w:r>
      <w:r w:rsidRPr="00B947C2">
        <w:rPr>
          <w:rFonts w:ascii="Times New Roman" w:hAnsi="Times New Roman" w:cs="Times New Roman"/>
          <w:sz w:val="24"/>
          <w:szCs w:val="24"/>
        </w:rPr>
        <w:t>Convenio Europeo para la Protección de los Derechos Humanos y de las Libertades Fundamentales</w:t>
      </w:r>
      <w:r>
        <w:rPr>
          <w:rStyle w:val="Refdenotaalpie"/>
          <w:rFonts w:ascii="Times New Roman" w:hAnsi="Times New Roman" w:cs="Times New Roman"/>
          <w:sz w:val="24"/>
          <w:szCs w:val="24"/>
        </w:rPr>
        <w:footnoteReference w:id="116"/>
      </w:r>
      <w:r w:rsidRPr="00B947C2">
        <w:rPr>
          <w:rFonts w:ascii="Times New Roman" w:hAnsi="Times New Roman" w:cs="Times New Roman"/>
          <w:sz w:val="24"/>
          <w:szCs w:val="24"/>
        </w:rPr>
        <w:t xml:space="preserve"> </w:t>
      </w:r>
      <w:r>
        <w:rPr>
          <w:rFonts w:ascii="Times New Roman" w:hAnsi="Times New Roman" w:cs="Times New Roman"/>
          <w:sz w:val="24"/>
          <w:szCs w:val="24"/>
        </w:rPr>
        <w:t>sea aplicado (el cual especifica que en los territorios de los que los estados parte del convenio sean responsables en sus relaciones internacionales, como Reino Unido con Gibraltar, las disposiciones se aplicarán teniendo en cuenta las necesidades locales) es necesaria la prueba manifiesta y clara (</w:t>
      </w:r>
      <w:r w:rsidRPr="00B947C2">
        <w:rPr>
          <w:rFonts w:ascii="Times New Roman" w:hAnsi="Times New Roman" w:cs="Times New Roman"/>
          <w:i/>
          <w:sz w:val="24"/>
          <w:szCs w:val="24"/>
        </w:rPr>
        <w:t>compelling nature</w:t>
      </w:r>
      <w:r>
        <w:rPr>
          <w:rFonts w:ascii="Times New Roman" w:hAnsi="Times New Roman" w:cs="Times New Roman"/>
          <w:sz w:val="24"/>
          <w:szCs w:val="24"/>
        </w:rPr>
        <w:t>) de una necesidad local (fj 59); requisito que el Tribunal no encontró justificado en el estatuto de Gibraltar, indicando de contrario que podría constituir una limitación al Convenio Europeo de Derechos Humanos. También se constató la infracción de</w:t>
      </w:r>
      <w:r w:rsidRPr="00B947C2">
        <w:rPr>
          <w:rFonts w:ascii="Times New Roman" w:hAnsi="Times New Roman" w:cs="Times New Roman"/>
          <w:sz w:val="24"/>
          <w:szCs w:val="24"/>
        </w:rPr>
        <w:t xml:space="preserve">l artículo 3 del Protocolo nº 1 del </w:t>
      </w:r>
      <w:r>
        <w:rPr>
          <w:rFonts w:ascii="Times New Roman" w:hAnsi="Times New Roman" w:cs="Times New Roman"/>
          <w:sz w:val="24"/>
          <w:szCs w:val="24"/>
        </w:rPr>
        <w:t>CEDH</w:t>
      </w:r>
      <w:r w:rsidRPr="00B947C2">
        <w:rPr>
          <w:rFonts w:ascii="Times New Roman" w:hAnsi="Times New Roman" w:cs="Times New Roman"/>
          <w:sz w:val="24"/>
          <w:szCs w:val="24"/>
        </w:rPr>
        <w:t>, que obliga a las Pa</w:t>
      </w:r>
      <w:r>
        <w:rPr>
          <w:rFonts w:ascii="Times New Roman" w:hAnsi="Times New Roman" w:cs="Times New Roman"/>
          <w:sz w:val="24"/>
          <w:szCs w:val="24"/>
        </w:rPr>
        <w:t>rtes Contratantes a organizar, en</w:t>
      </w:r>
      <w:r w:rsidRPr="00B947C2">
        <w:rPr>
          <w:rFonts w:ascii="Times New Roman" w:hAnsi="Times New Roman" w:cs="Times New Roman"/>
          <w:sz w:val="24"/>
          <w:szCs w:val="24"/>
        </w:rPr>
        <w:t xml:space="preserve"> intervalos razonables, elecciones libres con escrutinio secreto</w:t>
      </w:r>
      <w:r>
        <w:rPr>
          <w:rFonts w:ascii="Times New Roman" w:hAnsi="Times New Roman" w:cs="Times New Roman"/>
          <w:sz w:val="24"/>
          <w:szCs w:val="24"/>
        </w:rPr>
        <w:t xml:space="preserve"> en la elección del cuerpo legislativo.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La doctrina del “Caso Matthews” fue consolidada, de igual forma, en la Sentencia del Tribunal de Justicia de las Comunidades Europeas </w:t>
      </w:r>
      <w:r w:rsidRPr="00B947C2">
        <w:rPr>
          <w:rFonts w:ascii="Times New Roman" w:hAnsi="Times New Roman" w:cs="Times New Roman"/>
          <w:sz w:val="24"/>
          <w:szCs w:val="24"/>
        </w:rPr>
        <w:t>de 12 de septiembre de 2006</w:t>
      </w:r>
      <w:r>
        <w:rPr>
          <w:rFonts w:ascii="Times New Roman" w:hAnsi="Times New Roman" w:cs="Times New Roman"/>
          <w:sz w:val="24"/>
          <w:szCs w:val="24"/>
        </w:rPr>
        <w:t xml:space="preserve"> (Asunto c-145/04), en un recurso de incumplimiento planteado por España al considerar que los gibraltareños no tenían </w:t>
      </w:r>
      <w:r w:rsidRPr="009117EA">
        <w:rPr>
          <w:rFonts w:ascii="Times New Roman" w:hAnsi="Times New Roman" w:cs="Times New Roman"/>
          <w:sz w:val="24"/>
          <w:szCs w:val="24"/>
        </w:rPr>
        <w:t>la condición de nacionales comunitarios</w:t>
      </w:r>
      <w:r>
        <w:rPr>
          <w:rFonts w:ascii="Times New Roman" w:hAnsi="Times New Roman" w:cs="Times New Roman"/>
          <w:sz w:val="24"/>
          <w:szCs w:val="24"/>
        </w:rPr>
        <w:t xml:space="preserve">. El Tribunal consideró que </w:t>
      </w:r>
      <w:r w:rsidRPr="009117EA">
        <w:rPr>
          <w:rFonts w:ascii="Times New Roman" w:hAnsi="Times New Roman" w:cs="Times New Roman"/>
          <w:sz w:val="24"/>
          <w:szCs w:val="24"/>
        </w:rPr>
        <w:t xml:space="preserve">la determinación de los titulares del derecho de sufragio activo y pasivo en las elecciones al </w:t>
      </w:r>
      <w:r w:rsidRPr="009117EA">
        <w:rPr>
          <w:rFonts w:ascii="Times New Roman" w:hAnsi="Times New Roman" w:cs="Times New Roman"/>
          <w:sz w:val="24"/>
          <w:szCs w:val="24"/>
        </w:rPr>
        <w:lastRenderedPageBreak/>
        <w:t xml:space="preserve">Parlamento Europeo es competencia de cada Estado miembro, dentro del respeto del Derecho comunitario, y que </w:t>
      </w:r>
      <w:r>
        <w:rPr>
          <w:rFonts w:ascii="Times New Roman" w:hAnsi="Times New Roman" w:cs="Times New Roman"/>
          <w:sz w:val="24"/>
          <w:szCs w:val="24"/>
        </w:rPr>
        <w:t>el derecho primario no se opone</w:t>
      </w:r>
      <w:r w:rsidRPr="009117EA">
        <w:rPr>
          <w:rFonts w:ascii="Times New Roman" w:hAnsi="Times New Roman" w:cs="Times New Roman"/>
          <w:sz w:val="24"/>
          <w:szCs w:val="24"/>
        </w:rPr>
        <w:t xml:space="preserve"> a que los Estados miembros reconozcan ese derecho de sufragio activo y pasivo a determinadas personas que tengan un estrecho vínculo con ellos y que no sean sus propios nacionales o los ciudadanos de la Unión residentes en su territorio</w:t>
      </w:r>
      <w:r w:rsidR="00F278C9">
        <w:rPr>
          <w:rFonts w:ascii="Times New Roman" w:hAnsi="Times New Roman" w:cs="Times New Roman"/>
          <w:sz w:val="24"/>
          <w:szCs w:val="24"/>
        </w:rPr>
        <w:t xml:space="preserve"> (FJ</w:t>
      </w:r>
      <w:r>
        <w:rPr>
          <w:rFonts w:ascii="Times New Roman" w:hAnsi="Times New Roman" w:cs="Times New Roman"/>
          <w:sz w:val="24"/>
          <w:szCs w:val="24"/>
        </w:rPr>
        <w:t>. 78).</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Aunque la cuestión del derecho de sufragio activo y pasivo ya ha sido superada, es importante poner de relieve el carácter peculiar del estatuto jurídico de Gibraltar en cuanto a la exclusión parcial del territorio a efectos aduaneros y fiscales en relación a sus habitantes, que poseen la condición de ciudadanos de la Unión Europea.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3.2.2 LA APLICACIÓN ASIMÉTRICA DEL DERECHO COMUNITARIO EN EL TERRITORIO DE GIBRALTAR EN RELACIÓN CON SU MODELO ECONÓMICO Y FISCAL</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Dentro del estudio particularizado de las distintas dimensiones del contencioso entre Reino Unido y España he decidido profundizar y aplicar específicamente los procedimientos de mediación a la problemática de la integración del territorio y su modelo económico en la Unión Europea.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Sin duda el paradigma del contencioso de Gibraltar honda sus bases en una aplicación diferenciada del Derecho de la Unión Europea en el territorio de Gibraltar, que como sostendré en el presente Trabajo configura un modelo económico caduco, del que dimana en mayor medida el latente conflicto y de cuya renovación se precisa como propuesta </w:t>
      </w:r>
      <w:r>
        <w:rPr>
          <w:rFonts w:ascii="Times New Roman" w:hAnsi="Times New Roman" w:cs="Times New Roman"/>
          <w:i/>
          <w:sz w:val="24"/>
          <w:szCs w:val="24"/>
        </w:rPr>
        <w:t>de lege ferenda</w:t>
      </w:r>
      <w:r>
        <w:rPr>
          <w:rFonts w:ascii="Times New Roman" w:hAnsi="Times New Roman" w:cs="Times New Roman"/>
          <w:sz w:val="24"/>
          <w:szCs w:val="24"/>
        </w:rPr>
        <w:t xml:space="preserve"> para favorecer las óptimas condiciones de la aplicación de un eventual proceso de mediación.</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Ha de partirse, sin lugar a dudas, de un precepto general que es el recogido en el artículo 355.3 del Tratado de Funcionamiento de la Unión Europea</w:t>
      </w:r>
      <w:r>
        <w:rPr>
          <w:rStyle w:val="Refdenotaalpie"/>
          <w:rFonts w:ascii="Times New Roman" w:hAnsi="Times New Roman" w:cs="Times New Roman"/>
          <w:sz w:val="24"/>
          <w:szCs w:val="24"/>
        </w:rPr>
        <w:footnoteReference w:id="117"/>
      </w:r>
      <w:r>
        <w:rPr>
          <w:rFonts w:ascii="Times New Roman" w:hAnsi="Times New Roman" w:cs="Times New Roman"/>
          <w:sz w:val="24"/>
          <w:szCs w:val="24"/>
        </w:rPr>
        <w:t xml:space="preserve"> (antiguo artículo </w:t>
      </w:r>
      <w:r w:rsidRPr="00AB0912">
        <w:rPr>
          <w:rFonts w:ascii="Times New Roman" w:hAnsi="Times New Roman" w:cs="Times New Roman"/>
          <w:sz w:val="24"/>
          <w:szCs w:val="24"/>
        </w:rPr>
        <w:t>299, apartado 2, párrafo primero, y apartados 3 a 6</w:t>
      </w:r>
      <w:r>
        <w:rPr>
          <w:rFonts w:ascii="Times New Roman" w:hAnsi="Times New Roman" w:cs="Times New Roman"/>
          <w:sz w:val="24"/>
          <w:szCs w:val="24"/>
        </w:rPr>
        <w:t xml:space="preserve"> del Tratado de las Comunidades Europeas), el cual estipula que l</w:t>
      </w:r>
      <w:r w:rsidRPr="000C1724">
        <w:rPr>
          <w:rFonts w:ascii="Times New Roman" w:hAnsi="Times New Roman" w:cs="Times New Roman"/>
          <w:sz w:val="24"/>
          <w:szCs w:val="24"/>
        </w:rPr>
        <w:t>as disposiciones de los Tratados se aplicarán a los territorios europeos cuyas relaciones exteriores asuma un Estado miembro</w:t>
      </w:r>
      <w:r>
        <w:rPr>
          <w:rFonts w:ascii="Times New Roman" w:hAnsi="Times New Roman" w:cs="Times New Roman"/>
          <w:sz w:val="24"/>
          <w:szCs w:val="24"/>
        </w:rPr>
        <w:t xml:space="preserve">, siendo el Reino Unido el estado con tal condición respecto a Gibraltar.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De la lectura del citado artículo podría interpretarse a simple vista que el Derecho comunitario es aplicable al territorio de Gibraltar (y más cuando las relaciones exteriores del </w:t>
      </w:r>
      <w:r>
        <w:rPr>
          <w:rFonts w:ascii="Times New Roman" w:hAnsi="Times New Roman" w:cs="Times New Roman"/>
          <w:sz w:val="24"/>
          <w:szCs w:val="24"/>
        </w:rPr>
        <w:lastRenderedPageBreak/>
        <w:t xml:space="preserve">territorio son asumidas por Reino Unido). Nada más lejos de la realidad, el complejo estatuto jurídico de dicho territorio unido dado de su condición como Territorio Británico de Ultramar, en adición a las diferentes reservas formuladas en los Tratados por parte de Reino Unido dan lugar a distintas particularidades tanto económicas como financieras que provocan que si bien Gibraltar se encuentra integrado en un estado parte de la Unión Europea a su territorio no les son aplicables las regulaciones emanadas de la Unión Europea, tal como si no estuviesen integrados en el espacio europeo.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A efectos del presente trabajo y siguiendo el criterio doctrinal puede clasificarse la aplicación asimétrica del derecho comunitario en varias facetas: (i) en la exclusión del espacio de libre circulación de mercancías, (ii) en la dispersa o nula aplicación de la regulación de armonización de imposición indirecta y (iii) en la</w:t>
      </w:r>
      <w:r w:rsidRPr="00FB4D18">
        <w:t xml:space="preserve"> </w:t>
      </w:r>
      <w:r w:rsidRPr="00FB4D18">
        <w:rPr>
          <w:rFonts w:ascii="Times New Roman" w:hAnsi="Times New Roman" w:cs="Times New Roman"/>
          <w:sz w:val="24"/>
          <w:szCs w:val="24"/>
        </w:rPr>
        <w:t>configuración del sistema impositivo directo</w:t>
      </w:r>
      <w:r>
        <w:rPr>
          <w:rStyle w:val="Refdenotaalpie"/>
          <w:rFonts w:ascii="Times New Roman" w:hAnsi="Times New Roman" w:cs="Times New Roman"/>
          <w:sz w:val="24"/>
          <w:szCs w:val="24"/>
        </w:rPr>
        <w:footnoteReference w:id="118"/>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En el Acta de 1972 </w:t>
      </w:r>
      <w:r w:rsidRPr="00576B1F">
        <w:rPr>
          <w:rFonts w:ascii="Times New Roman" w:hAnsi="Times New Roman" w:cs="Times New Roman"/>
          <w:sz w:val="24"/>
          <w:szCs w:val="24"/>
        </w:rPr>
        <w:t>relativa a las condiciones de adhesión ya las adaptaciones de los Tratados</w:t>
      </w:r>
      <w:r>
        <w:rPr>
          <w:rFonts w:ascii="Times New Roman" w:hAnsi="Times New Roman" w:cs="Times New Roman"/>
          <w:sz w:val="24"/>
          <w:szCs w:val="24"/>
        </w:rPr>
        <w:t xml:space="preserve"> de las Comunidades Europeas por parte de Reino Unido</w:t>
      </w:r>
      <w:r>
        <w:rPr>
          <w:rStyle w:val="Refdenotaalpie"/>
          <w:rFonts w:ascii="Times New Roman" w:hAnsi="Times New Roman" w:cs="Times New Roman"/>
          <w:sz w:val="24"/>
          <w:szCs w:val="24"/>
        </w:rPr>
        <w:footnoteReference w:id="119"/>
      </w:r>
      <w:r>
        <w:rPr>
          <w:rFonts w:ascii="Times New Roman" w:hAnsi="Times New Roman" w:cs="Times New Roman"/>
          <w:sz w:val="24"/>
          <w:szCs w:val="24"/>
        </w:rPr>
        <w:t xml:space="preserve"> se establece expresamente en su artículo 28 que “</w:t>
      </w:r>
      <w:r w:rsidRPr="00486733">
        <w:rPr>
          <w:rFonts w:ascii="Times New Roman" w:hAnsi="Times New Roman" w:cs="Times New Roman"/>
          <w:i/>
          <w:sz w:val="24"/>
          <w:szCs w:val="24"/>
        </w:rPr>
        <w:t>los actos de las instituciones de la Comunidad en relación con los productos del Anexo II del Tratado CEE ya los productos sometidos, a su importación en la Comunidad a una regulación específica como consecuencia de la aplicación de la política agrícola común, así como los actos en la armonización de las legislaciones de los Estados miembros en materia de impuestos sobre el volumen, no se aplicará a Gibraltar, a menos que el Consejo, por unanimidad, a propuesta de la Comisión, disponga otra cosa</w:t>
      </w:r>
      <w:r>
        <w:rPr>
          <w:rFonts w:ascii="Times New Roman" w:hAnsi="Times New Roman" w:cs="Times New Roman"/>
          <w:sz w:val="24"/>
          <w:szCs w:val="24"/>
        </w:rPr>
        <w:t>”</w:t>
      </w:r>
      <w:r w:rsidRPr="00486733">
        <w:rPr>
          <w:rFonts w:ascii="Times New Roman" w:hAnsi="Times New Roman" w:cs="Times New Roman"/>
          <w:sz w:val="24"/>
          <w:szCs w:val="24"/>
        </w:rPr>
        <w:t>.</w:t>
      </w:r>
      <w:r>
        <w:rPr>
          <w:rFonts w:ascii="Times New Roman" w:hAnsi="Times New Roman" w:cs="Times New Roman"/>
          <w:sz w:val="24"/>
          <w:szCs w:val="24"/>
        </w:rPr>
        <w:t xml:space="preserve"> De la interpretación de este precepto deduce la doctrina y jurisprudencia que si bien el territorio de Gibraltar se encuentra integrado en la Unión Europea, en la aplicación de las políticas económicas descritas se le aplicará un régimen análogo al de un tercer estado</w:t>
      </w:r>
      <w:r>
        <w:rPr>
          <w:rStyle w:val="Refdenotaalpie"/>
          <w:rFonts w:ascii="Times New Roman" w:hAnsi="Times New Roman" w:cs="Times New Roman"/>
          <w:sz w:val="24"/>
          <w:szCs w:val="24"/>
        </w:rPr>
        <w:footnoteReference w:id="120"/>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La exclusión del espacio del Espacio Aduanero Comunitario viene dada también por la Reforma del Reglamento </w:t>
      </w:r>
      <w:r w:rsidRPr="0001743E">
        <w:rPr>
          <w:rFonts w:ascii="Times New Roman" w:hAnsi="Times New Roman" w:cs="Times New Roman"/>
          <w:sz w:val="24"/>
          <w:szCs w:val="24"/>
        </w:rPr>
        <w:t xml:space="preserve">1496/68 </w:t>
      </w:r>
      <w:r>
        <w:rPr>
          <w:rFonts w:ascii="Times New Roman" w:hAnsi="Times New Roman" w:cs="Times New Roman"/>
          <w:sz w:val="24"/>
          <w:szCs w:val="24"/>
        </w:rPr>
        <w:t xml:space="preserve">de </w:t>
      </w:r>
      <w:r w:rsidRPr="0001743E">
        <w:rPr>
          <w:rFonts w:ascii="Times New Roman" w:hAnsi="Times New Roman" w:cs="Times New Roman"/>
          <w:sz w:val="24"/>
          <w:szCs w:val="24"/>
        </w:rPr>
        <w:t xml:space="preserve"> 27 </w:t>
      </w:r>
      <w:r>
        <w:rPr>
          <w:rFonts w:ascii="Times New Roman" w:hAnsi="Times New Roman" w:cs="Times New Roman"/>
          <w:sz w:val="24"/>
          <w:szCs w:val="24"/>
        </w:rPr>
        <w:t>de septiembre de</w:t>
      </w:r>
      <w:r w:rsidRPr="0001743E">
        <w:rPr>
          <w:rFonts w:ascii="Times New Roman" w:hAnsi="Times New Roman" w:cs="Times New Roman"/>
          <w:sz w:val="24"/>
          <w:szCs w:val="24"/>
        </w:rPr>
        <w:t xml:space="preserve"> 1968</w:t>
      </w:r>
      <w:r>
        <w:rPr>
          <w:rFonts w:ascii="Times New Roman" w:hAnsi="Times New Roman" w:cs="Times New Roman"/>
          <w:sz w:val="24"/>
          <w:szCs w:val="24"/>
        </w:rPr>
        <w:t xml:space="preserve">, relativo a la delimitación del Espacio Aduanero Comunitario, y que con la firma del Acta de Adhesión de Reino Unido y la introducción de su Anexo I se modifica el ámbito de aplicación indicando que el territorio aduanero comunitario comprenderá el territorio de Reino Unido e Irlanda del Norte, las Islas </w:t>
      </w:r>
      <w:r>
        <w:rPr>
          <w:rFonts w:ascii="Times New Roman" w:hAnsi="Times New Roman" w:cs="Times New Roman"/>
          <w:sz w:val="24"/>
          <w:szCs w:val="24"/>
        </w:rPr>
        <w:lastRenderedPageBreak/>
        <w:t xml:space="preserve">del Canal y la Isla de Man, no incluyendo por tanto el territorio de Gibraltar dentro de susodicho espacio.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La exclusión del Espacio Aduanero Comunitario ha sido el presupuesto de los controles fronterizos efectuados por España</w:t>
      </w:r>
      <w:r>
        <w:rPr>
          <w:rStyle w:val="Refdenotaalpie"/>
          <w:rFonts w:ascii="Times New Roman" w:hAnsi="Times New Roman" w:cs="Times New Roman"/>
          <w:sz w:val="24"/>
          <w:szCs w:val="24"/>
        </w:rPr>
        <w:footnoteReference w:id="121"/>
      </w:r>
      <w:r>
        <w:rPr>
          <w:rFonts w:ascii="Times New Roman" w:hAnsi="Times New Roman" w:cs="Times New Roman"/>
          <w:sz w:val="24"/>
          <w:szCs w:val="24"/>
        </w:rPr>
        <w:t>. La propia Comisión Europea, en la contestación a varias preguntas escritas en materia de los controles realizados por España, ha determinado que si bien Gibraltar forma parte de los territorios a los que se les aplican las normas de derecho primario, no obstante está excluido del territorio aduanero, por lo cual no les sería de aplicación las normas relativas a la libre circulación de mercancías en los intercambios entre Gibraltar y España, ya que las mercancías procedentes de nuestro país quedarían integradas en el régimen común de importación de la Unión Europea. Por lo tanto no se aplicarían las facilidades previstas en el derecho comunitario para los intercambios de mercancías en la frontera entre Gibraltar y España.</w:t>
      </w:r>
    </w:p>
    <w:p w:rsidR="003B40A4" w:rsidRDefault="003B40A4" w:rsidP="003B40A4">
      <w:pPr>
        <w:spacing w:line="360" w:lineRule="auto"/>
        <w:jc w:val="both"/>
        <w:rPr>
          <w:rFonts w:ascii="Times New Roman" w:hAnsi="Times New Roman" w:cs="Times New Roman"/>
          <w:sz w:val="24"/>
          <w:szCs w:val="24"/>
        </w:rPr>
      </w:pPr>
      <w:r w:rsidRPr="00E16A15">
        <w:rPr>
          <w:rFonts w:ascii="Times New Roman" w:hAnsi="Times New Roman" w:cs="Times New Roman"/>
          <w:sz w:val="24"/>
          <w:szCs w:val="24"/>
        </w:rPr>
        <w:t xml:space="preserve"> </w:t>
      </w:r>
      <w:r w:rsidRPr="00E16A15">
        <w:rPr>
          <w:rFonts w:ascii="Times New Roman" w:hAnsi="Times New Roman" w:cs="Times New Roman"/>
          <w:sz w:val="24"/>
          <w:szCs w:val="24"/>
        </w:rPr>
        <w:tab/>
        <w:t>Por medio del Tratado de Funcionamiento de la Unión Europea se establecen las bases fundamentales de la libre circulación de mercancías (artículos 28-29) y la unión aduanera (artículos 30-32), así como el principio de cooperación aduanera del artículo 33 que obliga a las instituciones legislativas de la Unión a adoptarán medidas destinadas a fortalecer la cooperación aduanera entre los Estados miembros. El artículo 28.1 del Tratado de Funcionamiento detalla que la unión aduanera abarcará la totalidad de los intercambios de mercancías y la prohibición, entre los Estados miembros, de los derechos de aduana de importación y exportación u equivalentes, así como la adopción de un arancel aduanero común en sus relaciones con terceros países. La propia jurisprudencia del Tribunal de Justicia de las Comunidades Europeas vincula como condición previa indispensable para la realización de una unión aduanera la consagración del principio de libre circulación de mercancías (</w:t>
      </w:r>
      <w:r>
        <w:rPr>
          <w:rFonts w:ascii="Times New Roman" w:hAnsi="Times New Roman" w:cs="Times New Roman"/>
          <w:sz w:val="24"/>
          <w:szCs w:val="24"/>
        </w:rPr>
        <w:t>Sentencia</w:t>
      </w:r>
      <w:r w:rsidRPr="00E16A15">
        <w:rPr>
          <w:rFonts w:ascii="Times New Roman" w:hAnsi="Times New Roman" w:cs="Times New Roman"/>
          <w:sz w:val="24"/>
          <w:szCs w:val="24"/>
        </w:rPr>
        <w:t xml:space="preserve"> de 9 de agosto de 1994, en los asuntos acumulados C-363/93, C-407/93, C-408-93, C-409/93, C-410/93 y C-411/93, punto 29).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No encontrándose integrado el territorio de Gibraltar en la unión aduanera, y como apunta la doctrina, se consideraría que las mercancías entrantes de Gibraltar tendrían el mismo régimen jurídico que los productos que accediesen desde un tercer estado, por lo que se aplicarían los derechos de aduana comunitarios (Arancel Aduanero Común), y que por el contrario las mercancías que se exportasen al territorio británico de ultramar serían gravadas </w:t>
      </w:r>
      <w:r>
        <w:rPr>
          <w:rFonts w:ascii="Times New Roman" w:hAnsi="Times New Roman" w:cs="Times New Roman"/>
          <w:sz w:val="24"/>
          <w:szCs w:val="24"/>
        </w:rPr>
        <w:lastRenderedPageBreak/>
        <w:t>por los derechos aduaneros propios de Gibraltar</w:t>
      </w:r>
      <w:r>
        <w:rPr>
          <w:rStyle w:val="Refdenotaalpie"/>
          <w:rFonts w:ascii="Times New Roman" w:hAnsi="Times New Roman" w:cs="Times New Roman"/>
          <w:sz w:val="24"/>
          <w:szCs w:val="24"/>
        </w:rPr>
        <w:footnoteReference w:id="122"/>
      </w:r>
      <w:r>
        <w:rPr>
          <w:rFonts w:ascii="Times New Roman" w:hAnsi="Times New Roman" w:cs="Times New Roman"/>
          <w:sz w:val="24"/>
          <w:szCs w:val="24"/>
        </w:rPr>
        <w:t xml:space="preserve"> (</w:t>
      </w:r>
      <w:r w:rsidRPr="00F136D1">
        <w:rPr>
          <w:rFonts w:ascii="Times New Roman" w:hAnsi="Times New Roman" w:cs="Times New Roman"/>
          <w:i/>
          <w:sz w:val="24"/>
          <w:szCs w:val="24"/>
        </w:rPr>
        <w:t>Gibraltar Customs Integrated Tariff</w:t>
      </w:r>
      <w:r>
        <w:rPr>
          <w:rFonts w:ascii="Times New Roman" w:hAnsi="Times New Roman" w:cs="Times New Roman"/>
          <w:sz w:val="24"/>
          <w:szCs w:val="24"/>
        </w:rPr>
        <w:t xml:space="preserve">), recogidos en la </w:t>
      </w:r>
      <w:r>
        <w:rPr>
          <w:rFonts w:ascii="Times New Roman" w:hAnsi="Times New Roman" w:cs="Times New Roman"/>
          <w:i/>
          <w:sz w:val="24"/>
          <w:szCs w:val="24"/>
        </w:rPr>
        <w:t xml:space="preserve">Import and Export Regulation </w:t>
      </w:r>
      <w:r>
        <w:rPr>
          <w:rFonts w:ascii="Times New Roman" w:hAnsi="Times New Roman" w:cs="Times New Roman"/>
          <w:sz w:val="24"/>
          <w:szCs w:val="24"/>
        </w:rPr>
        <w:t xml:space="preserve">de 1987 y la </w:t>
      </w:r>
      <w:r>
        <w:rPr>
          <w:rFonts w:ascii="Times New Roman" w:hAnsi="Times New Roman" w:cs="Times New Roman"/>
          <w:i/>
          <w:sz w:val="24"/>
          <w:szCs w:val="24"/>
        </w:rPr>
        <w:t xml:space="preserve">Import duty (integrated tariff) regulations, </w:t>
      </w:r>
      <w:r>
        <w:rPr>
          <w:rFonts w:ascii="Times New Roman" w:hAnsi="Times New Roman" w:cs="Times New Roman"/>
          <w:sz w:val="24"/>
          <w:szCs w:val="24"/>
        </w:rPr>
        <w:t>de 1993</w:t>
      </w:r>
      <w:r>
        <w:rPr>
          <w:rStyle w:val="Refdenotaalpie"/>
          <w:rFonts w:ascii="Times New Roman" w:hAnsi="Times New Roman" w:cs="Times New Roman"/>
          <w:sz w:val="24"/>
          <w:szCs w:val="24"/>
        </w:rPr>
        <w:footnoteReference w:id="123"/>
      </w:r>
      <w:r>
        <w:rPr>
          <w:rFonts w:ascii="Times New Roman" w:hAnsi="Times New Roman" w:cs="Times New Roman"/>
          <w:sz w:val="24"/>
          <w:szCs w:val="24"/>
        </w:rPr>
        <w:t>.</w:t>
      </w:r>
    </w:p>
    <w:p w:rsidR="003B40A4" w:rsidRPr="005221EA" w:rsidRDefault="003B40A4" w:rsidP="003B40A4">
      <w:pPr>
        <w:spacing w:line="360" w:lineRule="auto"/>
        <w:jc w:val="both"/>
        <w:rPr>
          <w:rFonts w:ascii="Times New Roman" w:hAnsi="Times New Roman" w:cs="Times New Roman"/>
          <w:sz w:val="24"/>
          <w:szCs w:val="24"/>
        </w:rPr>
      </w:pPr>
      <w:r w:rsidRPr="005221EA">
        <w:rPr>
          <w:rFonts w:ascii="Times New Roman" w:hAnsi="Times New Roman" w:cs="Times New Roman"/>
          <w:sz w:val="24"/>
          <w:szCs w:val="24"/>
        </w:rPr>
        <w:t xml:space="preserve"> </w:t>
      </w:r>
      <w:r w:rsidRPr="005221EA">
        <w:rPr>
          <w:rFonts w:ascii="Times New Roman" w:hAnsi="Times New Roman" w:cs="Times New Roman"/>
          <w:sz w:val="24"/>
          <w:szCs w:val="24"/>
        </w:rPr>
        <w:tab/>
        <w:t xml:space="preserve">A esta conclusión llega el Tribunal de Justicia de las Comunidades Europeas en el punto 39 de la sentencia de 23 de septiembre de 2003 (asunto C-30/2001, caso Comisión contra Reino Unido), especificando que aun cuando Gibraltar no debía tener ya el estatuto de país tercero, debido a la adhesión del Reino Unido al Tratado CEE, su situación </w:t>
      </w:r>
      <w:r>
        <w:rPr>
          <w:rFonts w:ascii="Times New Roman" w:hAnsi="Times New Roman" w:cs="Times New Roman"/>
          <w:sz w:val="24"/>
          <w:szCs w:val="24"/>
        </w:rPr>
        <w:t>sigue</w:t>
      </w:r>
      <w:r w:rsidRPr="005221EA">
        <w:rPr>
          <w:rFonts w:ascii="Times New Roman" w:hAnsi="Times New Roman" w:cs="Times New Roman"/>
          <w:sz w:val="24"/>
          <w:szCs w:val="24"/>
        </w:rPr>
        <w:t xml:space="preserve"> siendo análoga a la de un país tercero en lo relativo a los intercambios de mercancías tanto con los Estados miembros como con los países terceros.</w:t>
      </w:r>
      <w:r>
        <w:rPr>
          <w:rFonts w:ascii="Times New Roman" w:hAnsi="Times New Roman" w:cs="Times New Roman"/>
          <w:sz w:val="24"/>
          <w:szCs w:val="24"/>
        </w:rPr>
        <w:t xml:space="preserve"> De este modo se detalla que </w:t>
      </w:r>
      <w:r w:rsidRPr="00CC7974">
        <w:rPr>
          <w:rFonts w:ascii="Times New Roman" w:hAnsi="Times New Roman" w:cs="Times New Roman"/>
          <w:sz w:val="24"/>
          <w:szCs w:val="24"/>
        </w:rPr>
        <w:t>los productos originarios de Gibraltar no son productos originarios de la Comunidad</w:t>
      </w:r>
      <w:r w:rsidR="00093C88">
        <w:rPr>
          <w:rFonts w:ascii="Times New Roman" w:hAnsi="Times New Roman" w:cs="Times New Roman"/>
          <w:sz w:val="24"/>
          <w:szCs w:val="24"/>
        </w:rPr>
        <w:t xml:space="preserve"> Europea (FJ</w:t>
      </w:r>
      <w:r>
        <w:rPr>
          <w:rFonts w:ascii="Times New Roman" w:hAnsi="Times New Roman" w:cs="Times New Roman"/>
          <w:sz w:val="24"/>
          <w:szCs w:val="24"/>
        </w:rPr>
        <w:t xml:space="preserve">. 55) y que </w:t>
      </w:r>
      <w:r w:rsidRPr="00CC7974">
        <w:rPr>
          <w:rFonts w:ascii="Times New Roman" w:hAnsi="Times New Roman" w:cs="Times New Roman"/>
          <w:sz w:val="24"/>
          <w:szCs w:val="24"/>
        </w:rPr>
        <w:t xml:space="preserve">las mercancías importadas en Gibraltar no se consideran mercancías en libre práctica en un Estado miembro </w:t>
      </w:r>
      <w:r>
        <w:rPr>
          <w:rFonts w:ascii="Times New Roman" w:hAnsi="Times New Roman" w:cs="Times New Roman"/>
          <w:sz w:val="24"/>
          <w:szCs w:val="24"/>
        </w:rPr>
        <w:t>por lo que</w:t>
      </w:r>
      <w:r w:rsidRPr="00CC7974">
        <w:rPr>
          <w:rFonts w:ascii="Times New Roman" w:hAnsi="Times New Roman" w:cs="Times New Roman"/>
          <w:sz w:val="24"/>
          <w:szCs w:val="24"/>
        </w:rPr>
        <w:t xml:space="preserve"> no están sujetas a los derechos de aduana del arancel aduanero común</w:t>
      </w:r>
      <w:r w:rsidR="00093C88">
        <w:rPr>
          <w:rFonts w:ascii="Times New Roman" w:hAnsi="Times New Roman" w:cs="Times New Roman"/>
          <w:sz w:val="24"/>
          <w:szCs w:val="24"/>
        </w:rPr>
        <w:t xml:space="preserve"> (FJ</w:t>
      </w:r>
      <w:r>
        <w:rPr>
          <w:rFonts w:ascii="Times New Roman" w:hAnsi="Times New Roman" w:cs="Times New Roman"/>
          <w:sz w:val="24"/>
          <w:szCs w:val="24"/>
        </w:rPr>
        <w:t>. 57) y por lo tanto la exclusión</w:t>
      </w:r>
      <w:r w:rsidRPr="00CC7974">
        <w:rPr>
          <w:rFonts w:ascii="Times New Roman" w:hAnsi="Times New Roman" w:cs="Times New Roman"/>
          <w:sz w:val="24"/>
          <w:szCs w:val="24"/>
        </w:rPr>
        <w:t xml:space="preserve"> de Gibraltar del territorio aduanero de la Comunidad </w:t>
      </w:r>
      <w:r>
        <w:rPr>
          <w:rFonts w:ascii="Times New Roman" w:hAnsi="Times New Roman" w:cs="Times New Roman"/>
          <w:sz w:val="24"/>
          <w:szCs w:val="24"/>
        </w:rPr>
        <w:t>implicaría</w:t>
      </w:r>
      <w:r w:rsidRPr="00CC7974">
        <w:rPr>
          <w:rFonts w:ascii="Times New Roman" w:hAnsi="Times New Roman" w:cs="Times New Roman"/>
          <w:sz w:val="24"/>
          <w:szCs w:val="24"/>
        </w:rPr>
        <w:t xml:space="preserve"> que no le son aplicables ni las normas </w:t>
      </w:r>
      <w:r>
        <w:rPr>
          <w:rFonts w:ascii="Times New Roman" w:hAnsi="Times New Roman" w:cs="Times New Roman"/>
          <w:sz w:val="24"/>
          <w:szCs w:val="24"/>
        </w:rPr>
        <w:t>de los Tratados constitutivos</w:t>
      </w:r>
      <w:r w:rsidRPr="00CC7974">
        <w:rPr>
          <w:rFonts w:ascii="Times New Roman" w:hAnsi="Times New Roman" w:cs="Times New Roman"/>
          <w:sz w:val="24"/>
          <w:szCs w:val="24"/>
        </w:rPr>
        <w:t xml:space="preserve"> relativas a la libre circulación de mercancías ni las del Derecho comunitario derivado </w:t>
      </w:r>
      <w:r w:rsidR="00093C88">
        <w:rPr>
          <w:rFonts w:ascii="Times New Roman" w:hAnsi="Times New Roman" w:cs="Times New Roman"/>
          <w:sz w:val="24"/>
          <w:szCs w:val="24"/>
        </w:rPr>
        <w:t>(FJ</w:t>
      </w:r>
      <w:r>
        <w:rPr>
          <w:rFonts w:ascii="Times New Roman" w:hAnsi="Times New Roman" w:cs="Times New Roman"/>
          <w:sz w:val="24"/>
          <w:szCs w:val="24"/>
        </w:rPr>
        <w:t xml:space="preserve">. 59), por lo que tampoco surtiría la obligación de trasponer la normativa comunitaria en desarrollo de las materias excluidas.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Siguiendo el hilo argumental, en materia de imposición indirecta ha de seguirse una interpretación vinculada a las exclusiones de Reino Unido sobre el territorio efectuadas en materia de libre circulación de mercancías, dada la complementariedad entre la circulación de mercancías y su imposición</w:t>
      </w:r>
      <w:r>
        <w:rPr>
          <w:rStyle w:val="Refdenotaalpie"/>
          <w:rFonts w:ascii="Times New Roman" w:hAnsi="Times New Roman" w:cs="Times New Roman"/>
          <w:sz w:val="24"/>
          <w:szCs w:val="24"/>
        </w:rPr>
        <w:footnoteReference w:id="124"/>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El Tratado de Funcionamiento establece entre sus artículos 110 y 113 el marco general sobre las disposiciones fiscales. En concreto, dentro de las medidas de fiscalidad indirecta y de forma paralela a la unión aduanera las instituciones comunitarias han armonizado los impuestos de los Estados miembros, a través de diversas disposiciones. La armonización </w:t>
      </w:r>
      <w:r>
        <w:rPr>
          <w:rFonts w:ascii="Times New Roman" w:hAnsi="Times New Roman" w:cs="Times New Roman"/>
          <w:sz w:val="24"/>
          <w:szCs w:val="24"/>
        </w:rPr>
        <w:lastRenderedPageBreak/>
        <w:t>abarcó los impuestos sobre el valor añadido</w:t>
      </w:r>
      <w:r>
        <w:rPr>
          <w:rStyle w:val="Refdenotaalpie"/>
          <w:rFonts w:ascii="Times New Roman" w:hAnsi="Times New Roman" w:cs="Times New Roman"/>
          <w:sz w:val="24"/>
          <w:szCs w:val="24"/>
        </w:rPr>
        <w:footnoteReference w:id="125"/>
      </w:r>
      <w:r>
        <w:rPr>
          <w:rFonts w:ascii="Times New Roman" w:hAnsi="Times New Roman" w:cs="Times New Roman"/>
          <w:sz w:val="24"/>
          <w:szCs w:val="24"/>
        </w:rPr>
        <w:t xml:space="preserve"> y varios impuestos especiales como los aplicados a las bebidas alcohólicas, productos del tabaco y a los energéticos</w:t>
      </w:r>
      <w:r>
        <w:rPr>
          <w:rStyle w:val="Refdenotaalpie"/>
          <w:rFonts w:ascii="Times New Roman" w:hAnsi="Times New Roman" w:cs="Times New Roman"/>
          <w:sz w:val="24"/>
          <w:szCs w:val="24"/>
        </w:rPr>
        <w:footnoteReference w:id="126"/>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Si en el caso de Gibraltar no se aplican las disposiciones comunitarias en materia de libre </w:t>
      </w:r>
      <w:r w:rsidRPr="005119CE">
        <w:rPr>
          <w:rFonts w:ascii="Times New Roman" w:hAnsi="Times New Roman" w:cs="Times New Roman"/>
          <w:sz w:val="24"/>
          <w:szCs w:val="24"/>
        </w:rPr>
        <w:t xml:space="preserve">circulación de mercancías, tal y como señala la doctrina cualificada tampoco se aplicará la normativa fiscal </w:t>
      </w:r>
      <w:r>
        <w:rPr>
          <w:rFonts w:ascii="Times New Roman" w:hAnsi="Times New Roman" w:cs="Times New Roman"/>
          <w:sz w:val="24"/>
          <w:szCs w:val="24"/>
        </w:rPr>
        <w:t xml:space="preserve">indirecta </w:t>
      </w:r>
      <w:r w:rsidRPr="005119CE">
        <w:rPr>
          <w:rFonts w:ascii="Times New Roman" w:hAnsi="Times New Roman" w:cs="Times New Roman"/>
          <w:sz w:val="24"/>
          <w:szCs w:val="24"/>
        </w:rPr>
        <w:t>tendente a eliminar las barreras fiscales intracomunitarias al ser un instrumento absolutamente necesario para conseguir la libre circulación</w:t>
      </w:r>
      <w:r w:rsidRPr="005119CE">
        <w:rPr>
          <w:rStyle w:val="Refdenotaalpie"/>
          <w:rFonts w:ascii="Times New Roman" w:hAnsi="Times New Roman" w:cs="Times New Roman"/>
          <w:sz w:val="24"/>
          <w:szCs w:val="24"/>
        </w:rPr>
        <w:footnoteReference w:id="127"/>
      </w:r>
      <w:r w:rsidRPr="005119CE">
        <w:rPr>
          <w:rFonts w:ascii="Times New Roman" w:hAnsi="Times New Roman" w:cs="Times New Roman"/>
          <w:sz w:val="24"/>
          <w:szCs w:val="24"/>
        </w:rPr>
        <w:t>. Y si bien el artículo 110.2 del Tratado de Funcionamiento estipula el principio de no discriminación en la fiscalidad europea</w:t>
      </w:r>
      <w:r>
        <w:rPr>
          <w:rStyle w:val="Refdenotaalpie"/>
          <w:rFonts w:ascii="Times New Roman" w:hAnsi="Times New Roman" w:cs="Times New Roman"/>
          <w:sz w:val="24"/>
          <w:szCs w:val="24"/>
        </w:rPr>
        <w:footnoteReference w:id="128"/>
      </w:r>
      <w:r>
        <w:rPr>
          <w:rFonts w:ascii="Times New Roman" w:hAnsi="Times New Roman" w:cs="Times New Roman"/>
          <w:sz w:val="24"/>
          <w:szCs w:val="24"/>
        </w:rPr>
        <w:t xml:space="preserve">, el mencionado artículo del acta de adhesión excluye </w:t>
      </w:r>
      <w:r>
        <w:rPr>
          <w:rFonts w:ascii="Times New Roman" w:hAnsi="Times New Roman" w:cs="Times New Roman"/>
          <w:i/>
          <w:sz w:val="24"/>
          <w:szCs w:val="24"/>
        </w:rPr>
        <w:t xml:space="preserve">ipso iure </w:t>
      </w:r>
      <w:r>
        <w:rPr>
          <w:rFonts w:ascii="Times New Roman" w:hAnsi="Times New Roman" w:cs="Times New Roman"/>
          <w:sz w:val="24"/>
          <w:szCs w:val="24"/>
        </w:rPr>
        <w:t xml:space="preserve">de la aplicación a Gibraltar de la </w:t>
      </w:r>
      <w:r w:rsidRPr="009C38D5">
        <w:rPr>
          <w:rFonts w:ascii="Times New Roman" w:hAnsi="Times New Roman" w:cs="Times New Roman"/>
          <w:sz w:val="24"/>
          <w:szCs w:val="24"/>
        </w:rPr>
        <w:t xml:space="preserve">armonización de </w:t>
      </w:r>
      <w:r>
        <w:rPr>
          <w:rFonts w:ascii="Times New Roman" w:hAnsi="Times New Roman" w:cs="Times New Roman"/>
          <w:sz w:val="24"/>
          <w:szCs w:val="24"/>
        </w:rPr>
        <w:t>de la legislación</w:t>
      </w:r>
      <w:r w:rsidRPr="009C38D5">
        <w:rPr>
          <w:rFonts w:ascii="Times New Roman" w:hAnsi="Times New Roman" w:cs="Times New Roman"/>
          <w:sz w:val="24"/>
          <w:szCs w:val="24"/>
        </w:rPr>
        <w:t xml:space="preserve"> </w:t>
      </w:r>
      <w:r>
        <w:rPr>
          <w:rFonts w:ascii="Times New Roman" w:hAnsi="Times New Roman" w:cs="Times New Roman"/>
          <w:sz w:val="24"/>
          <w:szCs w:val="24"/>
        </w:rPr>
        <w:t>en relación</w:t>
      </w:r>
      <w:r w:rsidRPr="009C38D5">
        <w:rPr>
          <w:rFonts w:ascii="Times New Roman" w:hAnsi="Times New Roman" w:cs="Times New Roman"/>
          <w:sz w:val="24"/>
          <w:szCs w:val="24"/>
        </w:rPr>
        <w:t xml:space="preserve"> a los impuestos sobre el volumen de negocios</w:t>
      </w:r>
      <w:r>
        <w:rPr>
          <w:rFonts w:ascii="Times New Roman" w:hAnsi="Times New Roman" w:cs="Times New Roman"/>
          <w:sz w:val="24"/>
          <w:szCs w:val="24"/>
        </w:rPr>
        <w:t xml:space="preserve">. </w:t>
      </w:r>
      <w:r>
        <w:rPr>
          <w:rFonts w:ascii="Times New Roman" w:hAnsi="Times New Roman" w:cs="Times New Roman"/>
          <w:sz w:val="24"/>
          <w:szCs w:val="24"/>
        </w:rPr>
        <w:tab/>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De esta forma la normativa europea, plasmada por el marco general que ofrecen los Tratados y el derecho derivado en materia de armonización fiscal no se aplicarán en ningún modo al territorio de Gibraltar dentro del actual modelo económico que sobre el territorio se configura, ni del IVA ni de los impuestos especiales del alcohol, tabaco ni productos energéticos.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pesar de este claro límite, el Tribunal de Justicia de las Comunidades introduce un principio general en la citada sentencia de </w:t>
      </w:r>
      <w:r w:rsidRPr="005221EA">
        <w:rPr>
          <w:rFonts w:ascii="Times New Roman" w:hAnsi="Times New Roman" w:cs="Times New Roman"/>
          <w:sz w:val="24"/>
          <w:szCs w:val="24"/>
        </w:rPr>
        <w:t>23 de septiembre de 2003</w:t>
      </w:r>
      <w:r>
        <w:rPr>
          <w:rFonts w:ascii="Times New Roman" w:hAnsi="Times New Roman" w:cs="Times New Roman"/>
          <w:sz w:val="24"/>
          <w:szCs w:val="24"/>
        </w:rPr>
        <w:t>, que es el criterio según el cual las excepciones el</w:t>
      </w:r>
      <w:r w:rsidRPr="003F2793">
        <w:rPr>
          <w:rFonts w:ascii="Times New Roman" w:hAnsi="Times New Roman" w:cs="Times New Roman"/>
          <w:sz w:val="24"/>
          <w:szCs w:val="24"/>
        </w:rPr>
        <w:t xml:space="preserve"> Derecho comunitario han de </w:t>
      </w:r>
      <w:r>
        <w:rPr>
          <w:rFonts w:ascii="Times New Roman" w:hAnsi="Times New Roman" w:cs="Times New Roman"/>
          <w:sz w:val="24"/>
          <w:szCs w:val="24"/>
        </w:rPr>
        <w:t>interpretarse de forma estricta; por lo que c</w:t>
      </w:r>
      <w:r w:rsidRPr="003F2793">
        <w:rPr>
          <w:rFonts w:ascii="Times New Roman" w:hAnsi="Times New Roman" w:cs="Times New Roman"/>
          <w:sz w:val="24"/>
          <w:szCs w:val="24"/>
        </w:rPr>
        <w:t xml:space="preserve">omo norma general, para que un territorio quede sustraído a la aplicación del Derecho </w:t>
      </w:r>
      <w:r w:rsidRPr="003F2793">
        <w:rPr>
          <w:rFonts w:ascii="Times New Roman" w:hAnsi="Times New Roman" w:cs="Times New Roman"/>
          <w:sz w:val="24"/>
          <w:szCs w:val="24"/>
        </w:rPr>
        <w:lastRenderedPageBreak/>
        <w:t xml:space="preserve">comunitario es necesaria una exclusión expresa recogida bien en el Tratado, </w:t>
      </w:r>
      <w:r>
        <w:rPr>
          <w:rFonts w:ascii="Times New Roman" w:hAnsi="Times New Roman" w:cs="Times New Roman"/>
          <w:sz w:val="24"/>
          <w:szCs w:val="24"/>
        </w:rPr>
        <w:t xml:space="preserve">o </w:t>
      </w:r>
      <w:r w:rsidRPr="003F2793">
        <w:rPr>
          <w:rFonts w:ascii="Times New Roman" w:hAnsi="Times New Roman" w:cs="Times New Roman"/>
          <w:sz w:val="24"/>
          <w:szCs w:val="24"/>
        </w:rPr>
        <w:t>en una norma de Derecho derivado</w:t>
      </w:r>
      <w:r>
        <w:rPr>
          <w:rFonts w:ascii="Times New Roman" w:hAnsi="Times New Roman" w:cs="Times New Roman"/>
          <w:sz w:val="24"/>
          <w:szCs w:val="24"/>
        </w:rPr>
        <w:t xml:space="preserve"> (p. 26)</w:t>
      </w:r>
      <w:r w:rsidRPr="003F2793">
        <w:rPr>
          <w:rFonts w:ascii="Times New Roman" w:hAnsi="Times New Roman" w:cs="Times New Roman"/>
          <w:sz w:val="24"/>
          <w:szCs w:val="24"/>
        </w:rPr>
        <w:t>.</w:t>
      </w:r>
      <w:r>
        <w:rPr>
          <w:rFonts w:ascii="Times New Roman" w:hAnsi="Times New Roman" w:cs="Times New Roman"/>
          <w:sz w:val="24"/>
          <w:szCs w:val="24"/>
        </w:rPr>
        <w:t xml:space="preserve"> De este modo cabría preguntarse, como excepción a la sustracción de Gibraltar sobre la imposición indirecta, si cabría la aplicación y trasposición de normas comunitarias en materia de imposición indirecta cuyo fin no fuese la libre circulación de mercancías, como la cooperación entre autoridades fiscales de los distintos Estados de la Unión. Es el caso de la </w:t>
      </w:r>
      <w:r w:rsidRPr="00465B8B">
        <w:rPr>
          <w:rFonts w:ascii="Times New Roman" w:hAnsi="Times New Roman" w:cs="Times New Roman"/>
          <w:sz w:val="24"/>
          <w:szCs w:val="24"/>
        </w:rPr>
        <w:t>Directiva 77/799/CEE del Consejo, de 19 de diciembre de 1977</w:t>
      </w:r>
      <w:r>
        <w:rPr>
          <w:rStyle w:val="Refdenotaalpie"/>
          <w:rFonts w:ascii="Times New Roman" w:hAnsi="Times New Roman" w:cs="Times New Roman"/>
          <w:sz w:val="24"/>
          <w:szCs w:val="24"/>
        </w:rPr>
        <w:footnoteReference w:id="129"/>
      </w:r>
      <w:r w:rsidRPr="00465B8B">
        <w:rPr>
          <w:rFonts w:ascii="Times New Roman" w:hAnsi="Times New Roman" w:cs="Times New Roman"/>
          <w:sz w:val="24"/>
          <w:szCs w:val="24"/>
        </w:rPr>
        <w:t>, relativa a la asistencia mutua entre las autoridades competentes de los Estados miembros en el ámbito de los impuestos directos y los impuestos sobre las primas de seguros</w:t>
      </w:r>
      <w:r>
        <w:rPr>
          <w:rFonts w:ascii="Times New Roman" w:hAnsi="Times New Roman" w:cs="Times New Roman"/>
          <w:sz w:val="24"/>
          <w:szCs w:val="24"/>
        </w:rPr>
        <w:t>. Mediante esta normativa l</w:t>
      </w:r>
      <w:r w:rsidRPr="00465B8B">
        <w:rPr>
          <w:rFonts w:ascii="Times New Roman" w:hAnsi="Times New Roman" w:cs="Times New Roman"/>
          <w:sz w:val="24"/>
          <w:szCs w:val="24"/>
        </w:rPr>
        <w:t xml:space="preserve">as autoridades de los Estados miembros </w:t>
      </w:r>
      <w:r>
        <w:rPr>
          <w:rFonts w:ascii="Times New Roman" w:hAnsi="Times New Roman" w:cs="Times New Roman"/>
          <w:sz w:val="24"/>
          <w:szCs w:val="24"/>
        </w:rPr>
        <w:t>están obligadas al intercambio de</w:t>
      </w:r>
      <w:r w:rsidRPr="00465B8B">
        <w:rPr>
          <w:rFonts w:ascii="Times New Roman" w:hAnsi="Times New Roman" w:cs="Times New Roman"/>
          <w:sz w:val="24"/>
          <w:szCs w:val="24"/>
        </w:rPr>
        <w:t xml:space="preserve"> todas las informaciones necesarias para la liquidación correcta de los impuestos sobre la renta y sobre el patrimonio, </w:t>
      </w:r>
      <w:r>
        <w:rPr>
          <w:rFonts w:ascii="Times New Roman" w:hAnsi="Times New Roman" w:cs="Times New Roman"/>
          <w:sz w:val="24"/>
          <w:szCs w:val="24"/>
        </w:rPr>
        <w:t xml:space="preserve">y de los impuestos indirectos sobre el valor añadido, </w:t>
      </w:r>
      <w:r w:rsidRPr="00465B8B">
        <w:rPr>
          <w:rFonts w:ascii="Times New Roman" w:hAnsi="Times New Roman" w:cs="Times New Roman"/>
          <w:sz w:val="24"/>
          <w:szCs w:val="24"/>
        </w:rPr>
        <w:t>sobre el alc</w:t>
      </w:r>
      <w:r>
        <w:rPr>
          <w:rFonts w:ascii="Times New Roman" w:hAnsi="Times New Roman" w:cs="Times New Roman"/>
          <w:sz w:val="24"/>
          <w:szCs w:val="24"/>
        </w:rPr>
        <w:t xml:space="preserve">ohol y las bebidas alcohólicas y </w:t>
      </w:r>
      <w:r w:rsidRPr="00465B8B">
        <w:rPr>
          <w:rFonts w:ascii="Times New Roman" w:hAnsi="Times New Roman" w:cs="Times New Roman"/>
          <w:sz w:val="24"/>
          <w:szCs w:val="24"/>
        </w:rPr>
        <w:t>sobre las labores de tabaco</w:t>
      </w:r>
      <w:r>
        <w:rPr>
          <w:rFonts w:ascii="Times New Roman" w:hAnsi="Times New Roman" w:cs="Times New Roman"/>
          <w:sz w:val="24"/>
          <w:szCs w:val="24"/>
        </w:rPr>
        <w:t>; así como de sus actos modificativos posteriores</w:t>
      </w:r>
      <w:r w:rsidRPr="00465B8B">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El Gobierno de Gibraltar no desarrolló la referida normativa para aplicarla a su sistema de imposición indirecta, lo que motivó la apertura de un procedimiento de infracción contra Reino Unido por la Comisión Europea, el consecuente dictamen motivado con fecha de 15 de julio de 2002 y la interposición de un recurso de incumplimiento contra Reino Unido el 8 agosto del mismo año; proceso en el que se personó como coadyuvante el Reino de España. </w:t>
      </w:r>
    </w:p>
    <w:p w:rsidR="003B40A4" w:rsidRPr="006B0ED6" w:rsidRDefault="003B40A4" w:rsidP="003B40A4">
      <w:pPr>
        <w:spacing w:line="360" w:lineRule="auto"/>
        <w:jc w:val="both"/>
        <w:rPr>
          <w:rFonts w:ascii="Times New Roman" w:hAnsi="Times New Roman" w:cs="Times New Roman"/>
          <w:sz w:val="24"/>
          <w:szCs w:val="24"/>
        </w:rPr>
      </w:pPr>
      <w:r w:rsidRPr="006B0ED6">
        <w:rPr>
          <w:rFonts w:ascii="Times New Roman" w:hAnsi="Times New Roman" w:cs="Times New Roman"/>
          <w:sz w:val="24"/>
          <w:szCs w:val="24"/>
        </w:rPr>
        <w:tab/>
        <w:t xml:space="preserve"> El recurso se sustanció en la Sentencia del TJCE de 21 de julio de 2005 (asunto C</w:t>
      </w:r>
      <w:r w:rsidRPr="006B0ED6">
        <w:rPr>
          <w:rFonts w:ascii="MS Mincho" w:eastAsia="MS Mincho" w:hAnsi="MS Mincho" w:cs="MS Mincho" w:hint="eastAsia"/>
          <w:sz w:val="24"/>
          <w:szCs w:val="24"/>
        </w:rPr>
        <w:t>‑</w:t>
      </w:r>
      <w:r w:rsidRPr="006B0ED6">
        <w:rPr>
          <w:rFonts w:ascii="Times New Roman" w:hAnsi="Times New Roman" w:cs="Times New Roman"/>
          <w:sz w:val="24"/>
          <w:szCs w:val="24"/>
        </w:rPr>
        <w:t xml:space="preserve">349/03, caso Comisión y España contra Reino Unido), en la que el Tribunal declaró que Reino Unido incumplió su obligaciones de aplicar en el territorio de Gibraltar la Directiva 77/799/CEE. En el procedimiento el Gobierno de Reino Unido entendía que la Directiva, al referirse a la asistencia mutua en materia de IVA, incluía una armonización de las legislaciones de los Estados miembros relativas a los impuestos sobre el volumen de negocios en el sentido del artículo 28 del Acta de adhesión y, por consiguiente, no se aplica a Gibraltar, </w:t>
      </w:r>
      <w:r>
        <w:rPr>
          <w:rFonts w:ascii="Times New Roman" w:hAnsi="Times New Roman" w:cs="Times New Roman"/>
          <w:sz w:val="24"/>
          <w:szCs w:val="24"/>
        </w:rPr>
        <w:t>ni tampoco</w:t>
      </w:r>
      <w:r w:rsidRPr="006B0ED6">
        <w:rPr>
          <w:rFonts w:ascii="Times New Roman" w:hAnsi="Times New Roman" w:cs="Times New Roman"/>
          <w:sz w:val="24"/>
          <w:szCs w:val="24"/>
        </w:rPr>
        <w:t xml:space="preserve"> l</w:t>
      </w:r>
      <w:r w:rsidR="001241A0">
        <w:rPr>
          <w:rFonts w:ascii="Times New Roman" w:hAnsi="Times New Roman" w:cs="Times New Roman"/>
          <w:sz w:val="24"/>
          <w:szCs w:val="24"/>
        </w:rPr>
        <w:t>a asistencia mutua tributaria (FJ</w:t>
      </w:r>
      <w:r w:rsidRPr="006B0ED6">
        <w:rPr>
          <w:rFonts w:ascii="Times New Roman" w:hAnsi="Times New Roman" w:cs="Times New Roman"/>
          <w:sz w:val="24"/>
          <w:szCs w:val="24"/>
        </w:rPr>
        <w:t>.32). Por el contrario el Tribunal interpreta que dicha disposición debe ser objeto de una interpretación que limite su alcance a lo estrictamente necesario para salvaguardar los intereses que per</w:t>
      </w:r>
      <w:r w:rsidR="001241A0">
        <w:rPr>
          <w:rFonts w:ascii="Times New Roman" w:hAnsi="Times New Roman" w:cs="Times New Roman"/>
          <w:sz w:val="24"/>
          <w:szCs w:val="24"/>
        </w:rPr>
        <w:t>mite que preserve a Gibraltar (FJ</w:t>
      </w:r>
      <w:r w:rsidRPr="006B0ED6">
        <w:rPr>
          <w:rFonts w:ascii="Times New Roman" w:hAnsi="Times New Roman" w:cs="Times New Roman"/>
          <w:sz w:val="24"/>
          <w:szCs w:val="24"/>
        </w:rPr>
        <w:t xml:space="preserve">. 43); ya que las disposiciones de la Directiva se limitan a establecer una colaboración entre Estados miembros, permitiendo a cada uno de ellos utilizar sus propios métodos de investigación y de comunicación de la información, sin que cupiese entenderlas como una </w:t>
      </w:r>
      <w:r w:rsidRPr="006B0ED6">
        <w:rPr>
          <w:rFonts w:ascii="Times New Roman" w:hAnsi="Times New Roman" w:cs="Times New Roman"/>
          <w:sz w:val="24"/>
          <w:szCs w:val="24"/>
        </w:rPr>
        <w:lastRenderedPageBreak/>
        <w:t>armonización impositiva, distinguiendo así entre disposiciones fiscales y act</w:t>
      </w:r>
      <w:r w:rsidR="001241A0">
        <w:rPr>
          <w:rFonts w:ascii="Times New Roman" w:hAnsi="Times New Roman" w:cs="Times New Roman"/>
          <w:sz w:val="24"/>
          <w:szCs w:val="24"/>
        </w:rPr>
        <w:t>os en materia de armonización (FJ</w:t>
      </w:r>
      <w:r w:rsidRPr="006B0ED6">
        <w:rPr>
          <w:rFonts w:ascii="Times New Roman" w:hAnsi="Times New Roman" w:cs="Times New Roman"/>
          <w:sz w:val="24"/>
          <w:szCs w:val="24"/>
        </w:rPr>
        <w:t>. 47). Por lo tanto la exclusión</w:t>
      </w:r>
      <w:r>
        <w:rPr>
          <w:rFonts w:ascii="Times New Roman" w:hAnsi="Times New Roman" w:cs="Times New Roman"/>
          <w:sz w:val="24"/>
          <w:szCs w:val="24"/>
        </w:rPr>
        <w:t xml:space="preserve"> del artículo 28</w:t>
      </w:r>
      <w:r w:rsidRPr="006B0ED6">
        <w:rPr>
          <w:rFonts w:ascii="Times New Roman" w:hAnsi="Times New Roman" w:cs="Times New Roman"/>
          <w:sz w:val="24"/>
          <w:szCs w:val="24"/>
        </w:rPr>
        <w:t xml:space="preserve"> no implica que Gibraltar quede fuera del deber de asistencia mutua de las autoridades competentes de los Estados miembros que impone la Directiva 77/799</w:t>
      </w:r>
      <w:r w:rsidR="001241A0">
        <w:rPr>
          <w:rFonts w:ascii="Times New Roman" w:hAnsi="Times New Roman" w:cs="Times New Roman"/>
          <w:sz w:val="24"/>
          <w:szCs w:val="24"/>
        </w:rPr>
        <w:t xml:space="preserve"> (FJ</w:t>
      </w:r>
      <w:r>
        <w:rPr>
          <w:rFonts w:ascii="Times New Roman" w:hAnsi="Times New Roman" w:cs="Times New Roman"/>
          <w:sz w:val="24"/>
          <w:szCs w:val="24"/>
        </w:rPr>
        <w:t>. 53)</w:t>
      </w:r>
      <w:r w:rsidRPr="006B0ED6">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Por todo ello, a la luz de las normas de Derecho primario, de Derecho derivado, del artículo 28 del Acta de Adhesión de Reino Unido y de la jurisprudencia del Tribunal de Justicia de la Unión Europea, se desprende la idea de que sobre el territorio de Gibraltar no se aplica el ordenamiento comunitario regulador de la imposición indirecta, en la medida que se engloba dentro de la libre circulación de mercancías. Fuera de este concepto, en aplicación del principio de interpretación estricta sí generan aplicación las disposiciones fiscales que no sean tendentes a generar una armonización, lo que puede comprender, en el ejemplo del caso analizado, la cooperación entre autoridades e intercambio de información tributaria. </w:t>
      </w:r>
    </w:p>
    <w:p w:rsidR="003B40A4" w:rsidRPr="001B4E8A" w:rsidRDefault="003B40A4" w:rsidP="003B40A4">
      <w:pPr>
        <w:spacing w:line="360" w:lineRule="auto"/>
        <w:jc w:val="both"/>
        <w:rPr>
          <w:rFonts w:ascii="Times New Roman" w:hAnsi="Times New Roman" w:cs="Times New Roman"/>
          <w:sz w:val="24"/>
          <w:szCs w:val="24"/>
        </w:rPr>
      </w:pPr>
      <w:r w:rsidRPr="001B4E8A">
        <w:rPr>
          <w:rFonts w:ascii="Times New Roman" w:hAnsi="Times New Roman" w:cs="Times New Roman"/>
          <w:sz w:val="24"/>
          <w:szCs w:val="24"/>
        </w:rPr>
        <w:tab/>
        <w:t xml:space="preserve"> Cuestión distinta al encuadre en el sistema fiscal comunitario de la armonización de la imposición indirecta constituye la configuración del sistema impositivo directo gibraltareño. En la actualidad las competencias en materia de fiscalidad directa no se encuentran directamente reguladas por la Unión Europea, por lo que la armonización es mucho menos intensa, limitándose a la aprobación de meras normas de coordinación fiscal entre los Estados miembros</w:t>
      </w:r>
      <w:r w:rsidRPr="001B4E8A">
        <w:rPr>
          <w:rStyle w:val="Refdenotaalpie"/>
          <w:rFonts w:ascii="Times New Roman" w:hAnsi="Times New Roman" w:cs="Times New Roman"/>
          <w:sz w:val="24"/>
          <w:szCs w:val="24"/>
        </w:rPr>
        <w:footnoteReference w:id="130"/>
      </w:r>
      <w:r w:rsidRPr="001B4E8A">
        <w:rPr>
          <w:rFonts w:ascii="Times New Roman" w:hAnsi="Times New Roman" w:cs="Times New Roman"/>
          <w:sz w:val="24"/>
          <w:szCs w:val="24"/>
        </w:rPr>
        <w:t>. La única referencia que se encuentra expresamente reflejada en el Tratado de Funcionamiento es la del artículo 115, permite la autorización, por vía de Directiva, de aproximar</w:t>
      </w:r>
      <w:r>
        <w:rPr>
          <w:rFonts w:ascii="Times New Roman" w:hAnsi="Times New Roman" w:cs="Times New Roman"/>
          <w:sz w:val="24"/>
          <w:szCs w:val="24"/>
        </w:rPr>
        <w:t xml:space="preserve"> </w:t>
      </w:r>
      <w:r w:rsidRPr="001B4E8A">
        <w:rPr>
          <w:rFonts w:ascii="Times New Roman" w:hAnsi="Times New Roman" w:cs="Times New Roman"/>
          <w:sz w:val="24"/>
          <w:szCs w:val="24"/>
        </w:rPr>
        <w:t>las disposiciones legales, reglamentarias y administrativas de los Estados miembros que incidan directamente en el establecimiento o funcionamiento del mercado interior.</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Esta regulación concede la libertad para que los distintos Estados miembros puedan configurar con autonomía sus propios sistemas de imposición directa tanto de personas físicas como jurídicas, dando lugar a claras diferencias entre los distintos tipos de gravamen</w:t>
      </w:r>
      <w:r>
        <w:rPr>
          <w:rStyle w:val="Refdenotaalpie"/>
          <w:rFonts w:ascii="Times New Roman" w:hAnsi="Times New Roman" w:cs="Times New Roman"/>
          <w:sz w:val="24"/>
          <w:szCs w:val="24"/>
        </w:rPr>
        <w:footnoteReference w:id="131"/>
      </w:r>
      <w:r>
        <w:rPr>
          <w:rFonts w:ascii="Times New Roman" w:hAnsi="Times New Roman" w:cs="Times New Roman"/>
          <w:sz w:val="24"/>
          <w:szCs w:val="24"/>
        </w:rPr>
        <w:t xml:space="preserve">. Es </w:t>
      </w:r>
      <w:r>
        <w:rPr>
          <w:rFonts w:ascii="Times New Roman" w:hAnsi="Times New Roman" w:cs="Times New Roman"/>
          <w:sz w:val="24"/>
          <w:szCs w:val="24"/>
        </w:rPr>
        <w:lastRenderedPageBreak/>
        <w:t>precisamente en el territorio de Gibraltar donde la regulación societaria, la cual me dispongo a señalar, genera una de las divergencias del contencioso objeto del presente estudio.</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A pesar de la libertad de establecimiento en materia impositiva, constituye a efectos de la doctrina un interés de la Unión Europea la minoración de los regímenes fiscales que pudieran constituir una competencia desleal, para así evitar las injerencias en el normal funcionamiento del mercado interior o el surgimiento de paraísos fiscales</w:t>
      </w:r>
      <w:r>
        <w:rPr>
          <w:rStyle w:val="Refdenotaalpie"/>
          <w:rFonts w:ascii="Times New Roman" w:hAnsi="Times New Roman" w:cs="Times New Roman"/>
          <w:sz w:val="24"/>
          <w:szCs w:val="24"/>
        </w:rPr>
        <w:footnoteReference w:id="132"/>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En este sentido se han establecido distintas normas, recomendaciones e informes que es preciso traer a colación. En primer lugar el </w:t>
      </w:r>
      <w:r w:rsidRPr="00E17334">
        <w:rPr>
          <w:rFonts w:ascii="Times New Roman" w:hAnsi="Times New Roman" w:cs="Times New Roman"/>
          <w:sz w:val="24"/>
          <w:szCs w:val="24"/>
        </w:rPr>
        <w:t>Código de conducta sobre fiscalidad de las empresas, incluido en el anexo 1 de las conclusiones del Consejo ECOFIN, de 1 de diciembre de 1997</w:t>
      </w:r>
      <w:r>
        <w:rPr>
          <w:rFonts w:ascii="Times New Roman" w:hAnsi="Times New Roman" w:cs="Times New Roman"/>
          <w:sz w:val="24"/>
          <w:szCs w:val="24"/>
        </w:rPr>
        <w:t>, que constituye el inicio de las vías políticas intracomunitarias para asumir compromisos de lucha frente a los paraísos fiscales. Por igual el Informe del Grupo de Expertos presentado al Consejo el 29 de noviembre de 1999 (conocido como “Informe Primarolo”</w:t>
      </w:r>
      <w:r>
        <w:rPr>
          <w:rStyle w:val="Refdenotaalpie"/>
          <w:rFonts w:ascii="Times New Roman" w:hAnsi="Times New Roman" w:cs="Times New Roman"/>
          <w:sz w:val="24"/>
          <w:szCs w:val="24"/>
        </w:rPr>
        <w:footnoteReference w:id="133"/>
      </w:r>
      <w:r>
        <w:rPr>
          <w:rFonts w:ascii="Times New Roman" w:hAnsi="Times New Roman" w:cs="Times New Roman"/>
          <w:sz w:val="24"/>
          <w:szCs w:val="24"/>
        </w:rPr>
        <w:t xml:space="preserve">) señaló como pernicioso el sistema impositivo societario del territorio de Gibraltar en cuanto a su régimen de fiscal societario. Esta voluntad normativa ha evolucionado hasta los actos más recientes: la </w:t>
      </w:r>
      <w:r w:rsidRPr="00E17334">
        <w:rPr>
          <w:rFonts w:ascii="Times New Roman" w:hAnsi="Times New Roman" w:cs="Times New Roman"/>
          <w:sz w:val="24"/>
          <w:szCs w:val="24"/>
        </w:rPr>
        <w:t>Recomendación de la Comisión, de 6 de diciembre de 2012, relativa a las medidas encaminadas a fomentar la aplicación, por parte de terceros países, de normas mínimas de buena gobernanza en el ámbito fiscal</w:t>
      </w:r>
      <w:r>
        <w:rPr>
          <w:rStyle w:val="Refdenotaalpie"/>
          <w:rFonts w:ascii="Times New Roman" w:hAnsi="Times New Roman" w:cs="Times New Roman"/>
          <w:sz w:val="24"/>
          <w:szCs w:val="24"/>
        </w:rPr>
        <w:footnoteReference w:id="134"/>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En el punto tercero de la Recomendación se establecen unas n</w:t>
      </w:r>
      <w:r w:rsidRPr="00B0525E">
        <w:rPr>
          <w:rFonts w:ascii="Times New Roman" w:hAnsi="Times New Roman" w:cs="Times New Roman"/>
          <w:sz w:val="24"/>
          <w:szCs w:val="24"/>
        </w:rPr>
        <w:t>ormas mínimas de buena gobernanza en el ámbito fiscal</w:t>
      </w:r>
      <w:r>
        <w:rPr>
          <w:rFonts w:ascii="Times New Roman" w:hAnsi="Times New Roman" w:cs="Times New Roman"/>
          <w:sz w:val="24"/>
          <w:szCs w:val="24"/>
        </w:rPr>
        <w:t>, mediante las cuales u</w:t>
      </w:r>
      <w:r w:rsidRPr="00B0525E">
        <w:rPr>
          <w:rFonts w:ascii="Times New Roman" w:hAnsi="Times New Roman" w:cs="Times New Roman"/>
          <w:sz w:val="24"/>
          <w:szCs w:val="24"/>
        </w:rPr>
        <w:t xml:space="preserve">n tercer país solo cumple las normas mínimas de buena </w:t>
      </w:r>
      <w:r>
        <w:rPr>
          <w:rFonts w:ascii="Times New Roman" w:hAnsi="Times New Roman" w:cs="Times New Roman"/>
          <w:sz w:val="24"/>
          <w:szCs w:val="24"/>
        </w:rPr>
        <w:t xml:space="preserve">gobernanza en el ámbito fiscal </w:t>
      </w:r>
      <w:r w:rsidRPr="00B0525E">
        <w:rPr>
          <w:rFonts w:ascii="Times New Roman" w:hAnsi="Times New Roman" w:cs="Times New Roman"/>
          <w:sz w:val="24"/>
          <w:szCs w:val="24"/>
        </w:rPr>
        <w:t>cuando ha adoptado medidas legislativas, reglamentarias y administrativas destinadas a cumplir las normas en materia de transparencia e intercambio de información</w:t>
      </w:r>
      <w:r>
        <w:rPr>
          <w:rFonts w:ascii="Times New Roman" w:hAnsi="Times New Roman" w:cs="Times New Roman"/>
          <w:sz w:val="24"/>
          <w:szCs w:val="24"/>
        </w:rPr>
        <w:t xml:space="preserve">; o </w:t>
      </w:r>
      <w:r w:rsidRPr="00B0525E">
        <w:rPr>
          <w:rFonts w:ascii="Times New Roman" w:hAnsi="Times New Roman" w:cs="Times New Roman"/>
          <w:sz w:val="24"/>
          <w:szCs w:val="24"/>
        </w:rPr>
        <w:t xml:space="preserve">cuando no aplica medidas fiscales perniciosas en </w:t>
      </w:r>
      <w:r>
        <w:rPr>
          <w:rFonts w:ascii="Times New Roman" w:hAnsi="Times New Roman" w:cs="Times New Roman"/>
          <w:sz w:val="24"/>
          <w:szCs w:val="24"/>
        </w:rPr>
        <w:t>l</w:t>
      </w:r>
      <w:r w:rsidRPr="00B0525E">
        <w:rPr>
          <w:rFonts w:ascii="Times New Roman" w:hAnsi="Times New Roman" w:cs="Times New Roman"/>
          <w:sz w:val="24"/>
          <w:szCs w:val="24"/>
        </w:rPr>
        <w:t>a fiscalidad de las empresas.</w:t>
      </w:r>
      <w:r>
        <w:rPr>
          <w:rFonts w:ascii="Times New Roman" w:hAnsi="Times New Roman" w:cs="Times New Roman"/>
          <w:sz w:val="24"/>
          <w:szCs w:val="24"/>
        </w:rPr>
        <w:t xml:space="preserve"> El concepto que ofrece el texto sobre medidas fiscales potencialmente perniciosas se refiere a aquellas que</w:t>
      </w:r>
      <w:r w:rsidRPr="00E6416E">
        <w:rPr>
          <w:rFonts w:ascii="Times New Roman" w:hAnsi="Times New Roman" w:cs="Times New Roman"/>
          <w:sz w:val="24"/>
          <w:szCs w:val="24"/>
        </w:rPr>
        <w:t xml:space="preserve"> implican un nivel impositivo efectivo notablemente inferior, incluido el tipo cero, al aplicado habitualmente en ese tercer país</w:t>
      </w:r>
      <w:r>
        <w:rPr>
          <w:rStyle w:val="Refdenotaalpie"/>
          <w:rFonts w:ascii="Times New Roman" w:hAnsi="Times New Roman" w:cs="Times New Roman"/>
          <w:sz w:val="24"/>
          <w:szCs w:val="24"/>
        </w:rPr>
        <w:footnoteReference w:id="135"/>
      </w:r>
      <w:r w:rsidRPr="00E6416E">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 El sistema fiscal societario gibraltareño encuentra su principal regulación en la </w:t>
      </w:r>
      <w:r w:rsidRPr="00765594">
        <w:rPr>
          <w:rFonts w:ascii="Times New Roman" w:hAnsi="Times New Roman" w:cs="Times New Roman"/>
          <w:i/>
          <w:sz w:val="24"/>
          <w:szCs w:val="24"/>
        </w:rPr>
        <w:t>Companies (taxation and concessions) act</w:t>
      </w:r>
      <w:r w:rsidRPr="00765594">
        <w:rPr>
          <w:rFonts w:ascii="Times New Roman" w:hAnsi="Times New Roman" w:cs="Times New Roman"/>
          <w:sz w:val="24"/>
          <w:szCs w:val="24"/>
        </w:rPr>
        <w:t xml:space="preserve">, </w:t>
      </w:r>
      <w:r>
        <w:rPr>
          <w:rFonts w:ascii="Times New Roman" w:hAnsi="Times New Roman" w:cs="Times New Roman"/>
          <w:sz w:val="24"/>
          <w:szCs w:val="24"/>
        </w:rPr>
        <w:t xml:space="preserve">de </w:t>
      </w:r>
      <w:r w:rsidRPr="00765594">
        <w:rPr>
          <w:rFonts w:ascii="Times New Roman" w:hAnsi="Times New Roman" w:cs="Times New Roman"/>
          <w:sz w:val="24"/>
          <w:szCs w:val="24"/>
        </w:rPr>
        <w:t>19</w:t>
      </w:r>
      <w:r>
        <w:rPr>
          <w:rFonts w:ascii="Times New Roman" w:hAnsi="Times New Roman" w:cs="Times New Roman"/>
          <w:sz w:val="24"/>
          <w:szCs w:val="24"/>
        </w:rPr>
        <w:t>67</w:t>
      </w:r>
      <w:r>
        <w:rPr>
          <w:rStyle w:val="Refdenotaalpie"/>
          <w:rFonts w:ascii="Times New Roman" w:hAnsi="Times New Roman" w:cs="Times New Roman"/>
          <w:sz w:val="24"/>
          <w:szCs w:val="24"/>
        </w:rPr>
        <w:footnoteReference w:id="136"/>
      </w:r>
      <w:r>
        <w:rPr>
          <w:rFonts w:ascii="Times New Roman" w:hAnsi="Times New Roman" w:cs="Times New Roman"/>
          <w:sz w:val="24"/>
          <w:szCs w:val="24"/>
        </w:rPr>
        <w:t xml:space="preserve">. Debido a la diferencia de trato entre la tradicional regulación de las sociedades no residentes y las residentes (que pagan el 35% de los beneficios obtenidos como tipo de gravamen general) la doctrina ha calificado al centro financiero de Gibraltar como </w:t>
      </w:r>
      <w:r>
        <w:rPr>
          <w:rFonts w:ascii="Times New Roman" w:hAnsi="Times New Roman" w:cs="Times New Roman"/>
          <w:i/>
          <w:sz w:val="24"/>
          <w:szCs w:val="24"/>
        </w:rPr>
        <w:t xml:space="preserve">offshore, </w:t>
      </w:r>
      <w:r>
        <w:rPr>
          <w:rFonts w:ascii="Times New Roman" w:hAnsi="Times New Roman" w:cs="Times New Roman"/>
          <w:sz w:val="24"/>
          <w:szCs w:val="24"/>
        </w:rPr>
        <w:t>a consecuencia de esta diferencia de trato causada en la rebaja de tipos impositivos se atraen a inversores extranjeros</w:t>
      </w:r>
      <w:r>
        <w:rPr>
          <w:rStyle w:val="Refdenotaalpie"/>
          <w:rFonts w:ascii="Times New Roman" w:hAnsi="Times New Roman" w:cs="Times New Roman"/>
          <w:sz w:val="24"/>
          <w:szCs w:val="24"/>
        </w:rPr>
        <w:footnoteReference w:id="137"/>
      </w:r>
      <w:r>
        <w:rPr>
          <w:rFonts w:ascii="Times New Roman" w:hAnsi="Times New Roman" w:cs="Times New Roman"/>
          <w:sz w:val="24"/>
          <w:szCs w:val="24"/>
        </w:rPr>
        <w:t>. Interesan especialmente dos modalidades societarias: la sociedad exenta (</w:t>
      </w:r>
      <w:r>
        <w:rPr>
          <w:rFonts w:ascii="Times New Roman" w:hAnsi="Times New Roman" w:cs="Times New Roman"/>
          <w:i/>
          <w:sz w:val="24"/>
          <w:szCs w:val="24"/>
        </w:rPr>
        <w:t>“exempt company”</w:t>
      </w:r>
      <w:r>
        <w:rPr>
          <w:rFonts w:ascii="Times New Roman" w:hAnsi="Times New Roman" w:cs="Times New Roman"/>
          <w:sz w:val="24"/>
          <w:szCs w:val="24"/>
        </w:rPr>
        <w:t xml:space="preserve">) y la sociedad beneficiaria de tipos impositivos reducidos. A efectos de la normativa interna se establecen como requisitos en el artículo 3 de la norma gibraltareña, entre otros, que la compañía se encuentre registrada en Gibraltar, el desembolso de un capital de 100 libras, que no desarrolle actividad empresarial o comercial en Gibraltar </w:t>
      </w:r>
      <w:r w:rsidRPr="006E4561">
        <w:rPr>
          <w:rFonts w:ascii="Times New Roman" w:hAnsi="Times New Roman" w:cs="Times New Roman"/>
          <w:sz w:val="24"/>
          <w:szCs w:val="24"/>
        </w:rPr>
        <w:t>sin la aprobación del Director del Centro de Finanzas o cualquier otro funcionario público del Ministerio de Industria y Comercio</w:t>
      </w:r>
      <w:r>
        <w:rPr>
          <w:rFonts w:ascii="Times New Roman" w:hAnsi="Times New Roman" w:cs="Times New Roman"/>
          <w:sz w:val="24"/>
          <w:szCs w:val="24"/>
        </w:rPr>
        <w:t>, y que ningún gibraltareño o residente participe en las acciones de la empresa. La sociedad sujeta a esta modalidad empresarial sólo ha estado obligada a pagar anualmente una tasa anual a tanto alzado (hasta 2011). Respecto a las sociedades beneficiarias de tipos reducidos, indicar someramente que como se puso de relieve en el proceso judicial que se incoó al efecto disponen de requisitos similares a las sociedades exentas, y obliga al abono de</w:t>
      </w:r>
      <w:r w:rsidRPr="00241344">
        <w:rPr>
          <w:rFonts w:ascii="Times New Roman" w:hAnsi="Times New Roman" w:cs="Times New Roman"/>
          <w:sz w:val="24"/>
          <w:szCs w:val="24"/>
        </w:rPr>
        <w:t xml:space="preserve"> un impuesto cuyo tipo </w:t>
      </w:r>
      <w:r>
        <w:rPr>
          <w:rFonts w:ascii="Times New Roman" w:hAnsi="Times New Roman" w:cs="Times New Roman"/>
          <w:sz w:val="24"/>
          <w:szCs w:val="24"/>
        </w:rPr>
        <w:t>se negociaba</w:t>
      </w:r>
      <w:r w:rsidRPr="00241344">
        <w:rPr>
          <w:rFonts w:ascii="Times New Roman" w:hAnsi="Times New Roman" w:cs="Times New Roman"/>
          <w:sz w:val="24"/>
          <w:szCs w:val="24"/>
        </w:rPr>
        <w:t xml:space="preserve"> con las autoridades fiscales de Gibraltar </w:t>
      </w:r>
      <w:r>
        <w:rPr>
          <w:rFonts w:ascii="Times New Roman" w:hAnsi="Times New Roman" w:cs="Times New Roman"/>
          <w:sz w:val="24"/>
          <w:szCs w:val="24"/>
        </w:rPr>
        <w:t>oscilando</w:t>
      </w:r>
      <w:r w:rsidRPr="00241344">
        <w:rPr>
          <w:rFonts w:ascii="Times New Roman" w:hAnsi="Times New Roman" w:cs="Times New Roman"/>
          <w:sz w:val="24"/>
          <w:szCs w:val="24"/>
        </w:rPr>
        <w:t xml:space="preserve"> entre el 2 % y el 10 % de los beneficios</w:t>
      </w:r>
      <w:r>
        <w:rPr>
          <w:rFonts w:ascii="Times New Roman" w:hAnsi="Times New Roman" w:cs="Times New Roman"/>
          <w:sz w:val="24"/>
          <w:szCs w:val="24"/>
        </w:rPr>
        <w:t xml:space="preserve">. Tras la reforma de la </w:t>
      </w:r>
      <w:r w:rsidRPr="00392755">
        <w:rPr>
          <w:rFonts w:ascii="Times New Roman" w:hAnsi="Times New Roman" w:cs="Times New Roman"/>
          <w:i/>
          <w:sz w:val="24"/>
          <w:szCs w:val="24"/>
        </w:rPr>
        <w:t>Income Tax Act</w:t>
      </w:r>
      <w:r>
        <w:rPr>
          <w:rFonts w:ascii="Times New Roman" w:hAnsi="Times New Roman" w:cs="Times New Roman"/>
          <w:sz w:val="24"/>
          <w:szCs w:val="24"/>
        </w:rPr>
        <w:t>, de 2010, el tipo general del impuesto de sociedades gibraltareño ha quedado fijado finalmente en un 10% de los beneficios</w:t>
      </w:r>
      <w:r>
        <w:rPr>
          <w:rStyle w:val="Refdenotaalpie"/>
          <w:rFonts w:ascii="Times New Roman" w:hAnsi="Times New Roman" w:cs="Times New Roman"/>
          <w:sz w:val="24"/>
          <w:szCs w:val="24"/>
        </w:rPr>
        <w:footnoteReference w:id="138"/>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Este modelo impositivo ha sido puesto en tela de juicio a raíz de la Sentencia de la Gran Sala del Tribunal de Justicia de </w:t>
      </w:r>
      <w:r w:rsidR="00093C88">
        <w:rPr>
          <w:rFonts w:ascii="Times New Roman" w:hAnsi="Times New Roman" w:cs="Times New Roman"/>
          <w:sz w:val="24"/>
          <w:szCs w:val="24"/>
        </w:rPr>
        <w:t>1</w:t>
      </w:r>
      <w:r w:rsidRPr="00FC6E82">
        <w:rPr>
          <w:rFonts w:ascii="Times New Roman" w:hAnsi="Times New Roman" w:cs="Times New Roman"/>
          <w:sz w:val="24"/>
          <w:szCs w:val="24"/>
        </w:rPr>
        <w:t>5 de noviembre de 2011</w:t>
      </w:r>
      <w:r>
        <w:rPr>
          <w:rFonts w:ascii="Times New Roman" w:hAnsi="Times New Roman" w:cs="Times New Roman"/>
          <w:sz w:val="24"/>
          <w:szCs w:val="24"/>
        </w:rPr>
        <w:t>, tras un largo devenir procedimental y judicial</w:t>
      </w:r>
      <w:r>
        <w:rPr>
          <w:rStyle w:val="Refdenotaalpie"/>
          <w:rFonts w:ascii="Times New Roman" w:hAnsi="Times New Roman" w:cs="Times New Roman"/>
          <w:sz w:val="24"/>
          <w:szCs w:val="24"/>
        </w:rPr>
        <w:footnoteReference w:id="139"/>
      </w:r>
      <w:r>
        <w:rPr>
          <w:rFonts w:ascii="Times New Roman" w:hAnsi="Times New Roman" w:cs="Times New Roman"/>
          <w:sz w:val="24"/>
          <w:szCs w:val="24"/>
        </w:rPr>
        <w:t xml:space="preserve">. </w:t>
      </w:r>
      <w:r w:rsidRPr="0088659E">
        <w:rPr>
          <w:rFonts w:ascii="Times New Roman" w:hAnsi="Times New Roman" w:cs="Times New Roman"/>
          <w:sz w:val="24"/>
          <w:szCs w:val="24"/>
        </w:rPr>
        <w:t xml:space="preserve">El </w:t>
      </w:r>
      <w:r>
        <w:rPr>
          <w:rFonts w:ascii="Times New Roman" w:hAnsi="Times New Roman" w:cs="Times New Roman"/>
          <w:sz w:val="24"/>
          <w:szCs w:val="24"/>
        </w:rPr>
        <w:t xml:space="preserve">27 de abril de 2002 el Gobierno de Gibraltar anunció </w:t>
      </w:r>
      <w:r w:rsidRPr="0088659E">
        <w:rPr>
          <w:rFonts w:ascii="Times New Roman" w:hAnsi="Times New Roman" w:cs="Times New Roman"/>
          <w:sz w:val="24"/>
          <w:szCs w:val="24"/>
        </w:rPr>
        <w:t xml:space="preserve">su </w:t>
      </w:r>
      <w:r w:rsidRPr="0088659E">
        <w:rPr>
          <w:rFonts w:ascii="Times New Roman" w:hAnsi="Times New Roman" w:cs="Times New Roman"/>
          <w:sz w:val="24"/>
          <w:szCs w:val="24"/>
        </w:rPr>
        <w:lastRenderedPageBreak/>
        <w:t xml:space="preserve">intención de </w:t>
      </w:r>
      <w:r>
        <w:rPr>
          <w:rFonts w:ascii="Times New Roman" w:hAnsi="Times New Roman" w:cs="Times New Roman"/>
          <w:sz w:val="24"/>
          <w:szCs w:val="24"/>
        </w:rPr>
        <w:t>reformar</w:t>
      </w:r>
      <w:r w:rsidRPr="0088659E">
        <w:rPr>
          <w:rFonts w:ascii="Times New Roman" w:hAnsi="Times New Roman" w:cs="Times New Roman"/>
          <w:sz w:val="24"/>
          <w:szCs w:val="24"/>
        </w:rPr>
        <w:t xml:space="preserve"> su legislación </w:t>
      </w:r>
      <w:r>
        <w:rPr>
          <w:rFonts w:ascii="Times New Roman" w:hAnsi="Times New Roman" w:cs="Times New Roman"/>
          <w:sz w:val="24"/>
          <w:szCs w:val="24"/>
        </w:rPr>
        <w:t>fiscal empresarial</w:t>
      </w:r>
      <w:r w:rsidRPr="0088659E">
        <w:rPr>
          <w:rFonts w:ascii="Times New Roman" w:hAnsi="Times New Roman" w:cs="Times New Roman"/>
          <w:sz w:val="24"/>
          <w:szCs w:val="24"/>
        </w:rPr>
        <w:t xml:space="preserve"> y de establecer un régimen fiscal nuevo para todas las sociedades de Gibraltar.</w:t>
      </w:r>
      <w:r>
        <w:rPr>
          <w:rFonts w:ascii="Times New Roman" w:hAnsi="Times New Roman" w:cs="Times New Roman"/>
          <w:sz w:val="24"/>
          <w:szCs w:val="24"/>
        </w:rPr>
        <w:t xml:space="preserve"> </w:t>
      </w:r>
      <w:r w:rsidRPr="0088659E">
        <w:rPr>
          <w:rFonts w:ascii="Times New Roman" w:hAnsi="Times New Roman" w:cs="Times New Roman"/>
          <w:sz w:val="24"/>
          <w:szCs w:val="24"/>
        </w:rPr>
        <w:t xml:space="preserve">El sistema </w:t>
      </w:r>
      <w:r>
        <w:rPr>
          <w:rFonts w:ascii="Times New Roman" w:hAnsi="Times New Roman" w:cs="Times New Roman"/>
          <w:sz w:val="24"/>
          <w:szCs w:val="24"/>
        </w:rPr>
        <w:t xml:space="preserve">pretendido por el Gobierno se basó en </w:t>
      </w:r>
      <w:r w:rsidRPr="0088659E">
        <w:rPr>
          <w:rFonts w:ascii="Times New Roman" w:hAnsi="Times New Roman" w:cs="Times New Roman"/>
          <w:sz w:val="24"/>
          <w:szCs w:val="24"/>
        </w:rPr>
        <w:t>un impuesto sobre el número de empleados, un impuesto por superficie ocupada y una tasa de registro</w:t>
      </w:r>
      <w:r>
        <w:rPr>
          <w:rStyle w:val="Refdenotaalpie"/>
          <w:rFonts w:ascii="Times New Roman" w:hAnsi="Times New Roman" w:cs="Times New Roman"/>
          <w:sz w:val="24"/>
          <w:szCs w:val="24"/>
        </w:rPr>
        <w:footnoteReference w:id="140"/>
      </w:r>
      <w:r w:rsidRPr="00E36066">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Sobre esta reforma, la Sentencia del Tribunal de Justicia de </w:t>
      </w:r>
      <w:r w:rsidR="00093C88">
        <w:rPr>
          <w:rFonts w:ascii="Times New Roman" w:hAnsi="Times New Roman" w:cs="Times New Roman"/>
          <w:sz w:val="24"/>
          <w:szCs w:val="24"/>
        </w:rPr>
        <w:t>1</w:t>
      </w:r>
      <w:r w:rsidRPr="00FC6E82">
        <w:rPr>
          <w:rFonts w:ascii="Times New Roman" w:hAnsi="Times New Roman" w:cs="Times New Roman"/>
          <w:sz w:val="24"/>
          <w:szCs w:val="24"/>
        </w:rPr>
        <w:t>5 de noviembre de 2011</w:t>
      </w:r>
      <w:r>
        <w:rPr>
          <w:rFonts w:ascii="Times New Roman" w:hAnsi="Times New Roman" w:cs="Times New Roman"/>
          <w:sz w:val="24"/>
          <w:szCs w:val="24"/>
        </w:rPr>
        <w:t xml:space="preserve"> determinó que, partiendo de la idea de que un trato fiscal ventajoso puede llegar a constituir una ayuda estatal (salvo medidas con carácter general) la propuesta legislativa de reglamentación fiscal de las sociedades extraterritoriales gibraltareñas de 2002 constituyó  una ventaja selectiva. Debido a que l</w:t>
      </w:r>
      <w:r w:rsidRPr="00DE146B">
        <w:rPr>
          <w:rFonts w:ascii="Times New Roman" w:hAnsi="Times New Roman" w:cs="Times New Roman"/>
          <w:sz w:val="24"/>
          <w:szCs w:val="24"/>
        </w:rPr>
        <w:t xml:space="preserve">a combinación de </w:t>
      </w:r>
      <w:r>
        <w:rPr>
          <w:rFonts w:ascii="Times New Roman" w:hAnsi="Times New Roman" w:cs="Times New Roman"/>
          <w:sz w:val="24"/>
          <w:szCs w:val="24"/>
        </w:rPr>
        <w:t xml:space="preserve">las bases imponibles de la reforma (y aunque éstas tenían carácter general) el Tribunal determinó que </w:t>
      </w:r>
      <w:r w:rsidRPr="0078321C">
        <w:rPr>
          <w:rFonts w:ascii="Times New Roman" w:hAnsi="Times New Roman" w:cs="Times New Roman"/>
          <w:sz w:val="24"/>
          <w:szCs w:val="24"/>
        </w:rPr>
        <w:t xml:space="preserve">las </w:t>
      </w:r>
      <w:r>
        <w:rPr>
          <w:rFonts w:ascii="Times New Roman" w:hAnsi="Times New Roman" w:cs="Times New Roman"/>
          <w:sz w:val="24"/>
          <w:szCs w:val="24"/>
        </w:rPr>
        <w:t>mismas se encontraban</w:t>
      </w:r>
      <w:r w:rsidRPr="0078321C">
        <w:rPr>
          <w:rFonts w:ascii="Times New Roman" w:hAnsi="Times New Roman" w:cs="Times New Roman"/>
          <w:sz w:val="24"/>
          <w:szCs w:val="24"/>
        </w:rPr>
        <w:t xml:space="preserve"> concebidas </w:t>
      </w:r>
      <w:r>
        <w:rPr>
          <w:rFonts w:ascii="Times New Roman" w:hAnsi="Times New Roman" w:cs="Times New Roman"/>
          <w:sz w:val="24"/>
          <w:szCs w:val="24"/>
        </w:rPr>
        <w:t>de tal</w:t>
      </w:r>
      <w:r w:rsidRPr="0078321C">
        <w:rPr>
          <w:rFonts w:ascii="Times New Roman" w:hAnsi="Times New Roman" w:cs="Times New Roman"/>
          <w:sz w:val="24"/>
          <w:szCs w:val="24"/>
        </w:rPr>
        <w:t xml:space="preserve"> </w:t>
      </w:r>
      <w:r>
        <w:rPr>
          <w:rFonts w:ascii="Times New Roman" w:hAnsi="Times New Roman" w:cs="Times New Roman"/>
          <w:sz w:val="24"/>
          <w:szCs w:val="24"/>
        </w:rPr>
        <w:t xml:space="preserve">manera </w:t>
      </w:r>
      <w:r w:rsidRPr="0078321C">
        <w:rPr>
          <w:rFonts w:ascii="Times New Roman" w:hAnsi="Times New Roman" w:cs="Times New Roman"/>
          <w:sz w:val="24"/>
          <w:szCs w:val="24"/>
        </w:rPr>
        <w:t xml:space="preserve">que </w:t>
      </w:r>
      <w:r>
        <w:rPr>
          <w:rFonts w:ascii="Times New Roman" w:hAnsi="Times New Roman" w:cs="Times New Roman"/>
          <w:sz w:val="24"/>
          <w:szCs w:val="24"/>
        </w:rPr>
        <w:t>en relación a las sociedades extraterritoriales (</w:t>
      </w:r>
      <w:r w:rsidRPr="0078321C">
        <w:rPr>
          <w:rFonts w:ascii="Times New Roman" w:hAnsi="Times New Roman" w:cs="Times New Roman"/>
          <w:sz w:val="24"/>
          <w:szCs w:val="24"/>
        </w:rPr>
        <w:t xml:space="preserve">que por su naturaleza no </w:t>
      </w:r>
      <w:r>
        <w:rPr>
          <w:rFonts w:ascii="Times New Roman" w:hAnsi="Times New Roman" w:cs="Times New Roman"/>
          <w:sz w:val="24"/>
          <w:szCs w:val="24"/>
        </w:rPr>
        <w:t xml:space="preserve">tienen </w:t>
      </w:r>
      <w:r w:rsidRPr="0078321C">
        <w:rPr>
          <w:rFonts w:ascii="Times New Roman" w:hAnsi="Times New Roman" w:cs="Times New Roman"/>
          <w:sz w:val="24"/>
          <w:szCs w:val="24"/>
        </w:rPr>
        <w:t xml:space="preserve">empleados ni </w:t>
      </w:r>
      <w:r>
        <w:rPr>
          <w:rFonts w:ascii="Times New Roman" w:hAnsi="Times New Roman" w:cs="Times New Roman"/>
          <w:sz w:val="24"/>
          <w:szCs w:val="24"/>
        </w:rPr>
        <w:t>locales)</w:t>
      </w:r>
      <w:r w:rsidRPr="0078321C">
        <w:rPr>
          <w:rFonts w:ascii="Times New Roman" w:hAnsi="Times New Roman" w:cs="Times New Roman"/>
          <w:sz w:val="24"/>
          <w:szCs w:val="24"/>
        </w:rPr>
        <w:t xml:space="preserve"> no </w:t>
      </w:r>
      <w:r>
        <w:rPr>
          <w:rFonts w:ascii="Times New Roman" w:hAnsi="Times New Roman" w:cs="Times New Roman"/>
          <w:sz w:val="24"/>
          <w:szCs w:val="24"/>
        </w:rPr>
        <w:t>dispusiesen</w:t>
      </w:r>
      <w:r w:rsidRPr="0078321C">
        <w:rPr>
          <w:rFonts w:ascii="Times New Roman" w:hAnsi="Times New Roman" w:cs="Times New Roman"/>
          <w:sz w:val="24"/>
          <w:szCs w:val="24"/>
        </w:rPr>
        <w:t xml:space="preserve"> de tal base imponible</w:t>
      </w:r>
      <w:r>
        <w:rPr>
          <w:rFonts w:ascii="Times New Roman" w:hAnsi="Times New Roman" w:cs="Times New Roman"/>
          <w:sz w:val="24"/>
          <w:szCs w:val="24"/>
        </w:rPr>
        <w:t>,</w:t>
      </w:r>
      <w:r w:rsidRPr="0078321C">
        <w:rPr>
          <w:rFonts w:ascii="Times New Roman" w:hAnsi="Times New Roman" w:cs="Times New Roman"/>
          <w:sz w:val="24"/>
          <w:szCs w:val="24"/>
        </w:rPr>
        <w:t xml:space="preserve"> </w:t>
      </w:r>
      <w:r>
        <w:rPr>
          <w:rFonts w:ascii="Times New Roman" w:hAnsi="Times New Roman" w:cs="Times New Roman"/>
          <w:sz w:val="24"/>
          <w:szCs w:val="24"/>
        </w:rPr>
        <w:t xml:space="preserve">produciéndose así </w:t>
      </w:r>
      <w:r w:rsidRPr="00DE146B">
        <w:rPr>
          <w:rFonts w:ascii="Times New Roman" w:hAnsi="Times New Roman" w:cs="Times New Roman"/>
          <w:sz w:val="24"/>
          <w:szCs w:val="24"/>
        </w:rPr>
        <w:t>una discriminación en</w:t>
      </w:r>
      <w:r>
        <w:rPr>
          <w:rFonts w:ascii="Times New Roman" w:hAnsi="Times New Roman" w:cs="Times New Roman"/>
          <w:sz w:val="24"/>
          <w:szCs w:val="24"/>
        </w:rPr>
        <w:t>tre sociedades territoriales que se pudiesen encontrar</w:t>
      </w:r>
      <w:r w:rsidRPr="00DE146B">
        <w:rPr>
          <w:rFonts w:ascii="Times New Roman" w:hAnsi="Times New Roman" w:cs="Times New Roman"/>
          <w:sz w:val="24"/>
          <w:szCs w:val="24"/>
        </w:rPr>
        <w:t xml:space="preserve"> en una situación </w:t>
      </w:r>
      <w:r>
        <w:rPr>
          <w:rFonts w:ascii="Times New Roman" w:hAnsi="Times New Roman" w:cs="Times New Roman"/>
          <w:sz w:val="24"/>
          <w:szCs w:val="24"/>
        </w:rPr>
        <w:t>similar</w:t>
      </w:r>
      <w:r>
        <w:rPr>
          <w:rStyle w:val="Refdenotaalpie"/>
          <w:rFonts w:ascii="Times New Roman" w:hAnsi="Times New Roman" w:cs="Times New Roman"/>
          <w:sz w:val="24"/>
          <w:szCs w:val="24"/>
        </w:rPr>
        <w:footnoteReference w:id="141"/>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 xml:space="preserve"> Es importante señalar que, como indica la doctrina cualificada en interpretación de esta sentencia, aunque la reforma que propuso el Gobierno de Gibraltar no entró en vigor tal jurisprudencia ofrece importantes elementos de análisis sobre la fiscalidad directa de Gibraltar, que en el presente trabajo señalo</w:t>
      </w:r>
      <w:r>
        <w:rPr>
          <w:rStyle w:val="Refdenotaalpie"/>
          <w:rFonts w:ascii="Times New Roman" w:hAnsi="Times New Roman" w:cs="Times New Roman"/>
          <w:sz w:val="24"/>
          <w:szCs w:val="24"/>
        </w:rPr>
        <w:footnoteReference w:id="142"/>
      </w:r>
      <w:r>
        <w:rPr>
          <w:rFonts w:ascii="Times New Roman" w:hAnsi="Times New Roman" w:cs="Times New Roman"/>
          <w:sz w:val="24"/>
          <w:szCs w:val="24"/>
        </w:rPr>
        <w:t>, y que sin lugar a duda revelan las importantes y recientes dimensiones del conflicto en materia de integración europea dentro del campo de la imposición directa.</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De este modo cabe citar la doctrina de economistas españoles que denuncian que el presente modelo económico altera y deprime el entorno económico del Campo de Gibraltar y la Costa del Sol</w:t>
      </w:r>
      <w:r>
        <w:rPr>
          <w:rStyle w:val="Refdenotaalpie"/>
          <w:rFonts w:ascii="Times New Roman" w:hAnsi="Times New Roman" w:cs="Times New Roman"/>
          <w:sz w:val="24"/>
          <w:szCs w:val="24"/>
        </w:rPr>
        <w:footnoteReference w:id="143"/>
      </w:r>
      <w:r>
        <w:rPr>
          <w:rFonts w:ascii="Times New Roman" w:hAnsi="Times New Roman" w:cs="Times New Roman"/>
          <w:sz w:val="24"/>
          <w:szCs w:val="24"/>
        </w:rPr>
        <w:t>, aspecto controvertido por la doctrina británica que defiende un efecto positivo en la economía española</w:t>
      </w:r>
      <w:r>
        <w:rPr>
          <w:rStyle w:val="Refdenotaalpie"/>
          <w:rFonts w:ascii="Times New Roman" w:hAnsi="Times New Roman" w:cs="Times New Roman"/>
          <w:sz w:val="24"/>
          <w:szCs w:val="24"/>
        </w:rPr>
        <w:footnoteReference w:id="144"/>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sidRPr="00E117F9">
        <w:rPr>
          <w:rFonts w:ascii="Times New Roman" w:hAnsi="Times New Roman" w:cs="Times New Roman"/>
          <w:sz w:val="24"/>
          <w:szCs w:val="24"/>
        </w:rPr>
        <w:t>4</w:t>
      </w:r>
      <w:r>
        <w:rPr>
          <w:rFonts w:ascii="Times New Roman" w:hAnsi="Times New Roman" w:cs="Times New Roman"/>
          <w:sz w:val="24"/>
          <w:szCs w:val="24"/>
        </w:rPr>
        <w:t>.</w:t>
      </w:r>
      <w:r w:rsidRPr="00E117F9">
        <w:rPr>
          <w:rFonts w:ascii="Times New Roman" w:hAnsi="Times New Roman" w:cs="Times New Roman"/>
          <w:sz w:val="24"/>
          <w:szCs w:val="24"/>
        </w:rPr>
        <w:t xml:space="preserve"> ESTIMACIONES SOBRE LA APLICACIÓN DE UN PLAN DE MEDIACIÓN DIRIGIDO POR LA UNIÓN EUROPEA.</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C368D0" w:rsidRPr="00C368D0">
        <w:rPr>
          <w:rFonts w:ascii="Times New Roman" w:hAnsi="Times New Roman" w:cs="Times New Roman"/>
          <w:sz w:val="24"/>
          <w:szCs w:val="24"/>
        </w:rPr>
        <w:t>El desarrollo de las relaciones diplomáticas entre el Reino Unido y España han dado lugar a un complejo escenario de negociaciones que orientan sin duda alguna a considerar y valorar la búsqueda de nuevos medios de solución a la controversia</w:t>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Desde el punto de vista histórico es necesario traer a colación la Declaración de Lisboa de 10 de abril de 1980</w:t>
      </w:r>
      <w:r>
        <w:rPr>
          <w:rStyle w:val="Refdenotaalpie"/>
          <w:rFonts w:ascii="Times New Roman" w:hAnsi="Times New Roman" w:cs="Times New Roman"/>
          <w:sz w:val="24"/>
          <w:szCs w:val="24"/>
        </w:rPr>
        <w:footnoteReference w:id="145"/>
      </w:r>
      <w:r>
        <w:rPr>
          <w:rFonts w:ascii="Times New Roman" w:hAnsi="Times New Roman" w:cs="Times New Roman"/>
          <w:sz w:val="24"/>
          <w:szCs w:val="24"/>
        </w:rPr>
        <w:t xml:space="preserve">, que la doctrina califica de acuerdo político no normativo entre el </w:t>
      </w:r>
      <w:r>
        <w:rPr>
          <w:rFonts w:ascii="Times New Roman" w:hAnsi="Times New Roman" w:cs="Times New Roman"/>
          <w:sz w:val="24"/>
          <w:szCs w:val="24"/>
        </w:rPr>
        <w:lastRenderedPageBreak/>
        <w:t xml:space="preserve">Ministerio de Asuntos Exteriores español y el </w:t>
      </w:r>
      <w:r w:rsidRPr="005655D5">
        <w:rPr>
          <w:rFonts w:ascii="Times New Roman" w:hAnsi="Times New Roman" w:cs="Times New Roman"/>
          <w:i/>
          <w:sz w:val="24"/>
          <w:szCs w:val="24"/>
        </w:rPr>
        <w:t>Foreing Office</w:t>
      </w:r>
      <w:r>
        <w:rPr>
          <w:rFonts w:ascii="Times New Roman" w:hAnsi="Times New Roman" w:cs="Times New Roman"/>
          <w:sz w:val="24"/>
          <w:szCs w:val="24"/>
        </w:rPr>
        <w:t xml:space="preserve"> de Reino Unido</w:t>
      </w:r>
      <w:r>
        <w:rPr>
          <w:rStyle w:val="Refdenotaalpie"/>
          <w:rFonts w:ascii="Times New Roman" w:hAnsi="Times New Roman" w:cs="Times New Roman"/>
          <w:sz w:val="24"/>
          <w:szCs w:val="24"/>
        </w:rPr>
        <w:footnoteReference w:id="146"/>
      </w:r>
      <w:r>
        <w:rPr>
          <w:rFonts w:ascii="Times New Roman" w:hAnsi="Times New Roman" w:cs="Times New Roman"/>
          <w:sz w:val="24"/>
          <w:szCs w:val="24"/>
        </w:rPr>
        <w:t>, fruto de las peticiones surgidas en el seno de Naciones Unidas. El documento anuncia como propósito entre las partes “</w:t>
      </w:r>
      <w:r w:rsidRPr="005655D5">
        <w:rPr>
          <w:rFonts w:ascii="Times New Roman" w:hAnsi="Times New Roman" w:cs="Times New Roman"/>
          <w:i/>
          <w:sz w:val="24"/>
          <w:szCs w:val="24"/>
        </w:rPr>
        <w:t>resolver el problema de Gibraltar en un espíritu de amistad y de acuerdo con las resoluciones pertinentes de Naciones Unidas</w:t>
      </w:r>
      <w:r>
        <w:rPr>
          <w:rFonts w:ascii="Times New Roman" w:hAnsi="Times New Roman" w:cs="Times New Roman"/>
          <w:sz w:val="24"/>
          <w:szCs w:val="24"/>
        </w:rPr>
        <w:t xml:space="preserve">”. Para ello se acuerda iniciar las negociaciones con el fin de solucionar todas las diferencias. Entre otros compromisos se lleva a cabo el restablecimiento de las comunicaciones, la cooperación basada en la reciprocidad e igualdad de derechos, y la apertura de un entendimiento más estrecho para las partes directamente perjudicadas, amén de reconocer el carácter beneficioso de la cooperación. Como particularidades, el Gobierno español reafirma su posición  en el restablecimiento de la integridad territorial salvaguardando los intereses de los gibraltareños y el Gobierno británico asume respetar los deseos democráticamente plasmados de la población de Gibraltar.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La intención de negociar se reafirma con la Declaración de Bruselas de 27 de noviembre de 1984</w:t>
      </w:r>
      <w:r>
        <w:rPr>
          <w:rStyle w:val="Refdenotaalpie"/>
          <w:rFonts w:ascii="Times New Roman" w:hAnsi="Times New Roman" w:cs="Times New Roman"/>
          <w:sz w:val="24"/>
          <w:szCs w:val="24"/>
        </w:rPr>
        <w:footnoteReference w:id="147"/>
      </w:r>
      <w:r>
        <w:rPr>
          <w:rFonts w:ascii="Times New Roman" w:hAnsi="Times New Roman" w:cs="Times New Roman"/>
          <w:sz w:val="24"/>
          <w:szCs w:val="24"/>
        </w:rPr>
        <w:t>, que como los estudiosos afirman interpreta, ejecuta y pone en práctica la Declaración de Lisboa</w:t>
      </w:r>
      <w:r>
        <w:rPr>
          <w:rStyle w:val="Refdenotaalpie"/>
          <w:rFonts w:ascii="Times New Roman" w:hAnsi="Times New Roman" w:cs="Times New Roman"/>
          <w:sz w:val="24"/>
          <w:szCs w:val="24"/>
        </w:rPr>
        <w:footnoteReference w:id="148"/>
      </w:r>
      <w:r>
        <w:rPr>
          <w:rFonts w:ascii="Times New Roman" w:hAnsi="Times New Roman" w:cs="Times New Roman"/>
          <w:sz w:val="24"/>
          <w:szCs w:val="24"/>
        </w:rPr>
        <w:t xml:space="preserve">. El texto propone el establecimiento de igualdad y reciprocidad de derechos de los españoles en Gibraltar y los gibraltareños en España. Por ello se puso de manifiesto la concesión de derecho que gozan los ciudadanos de los países comunitarios, bajo las condiciones acordadas en el marco de la Comunidad Europea. Además de una declaración favorable al libre tránsito de personas, vehículos y mercancías entre Gibraltar y España, se estableció un proceso negociador a fin de solucionar las diferencias sobre Gibraltar así como la promoción de la cooperación económica, cultural, y en materia de turismo y medio ambiente; así como el tratamiento de cuestiones de soberanía. Destaca la importancia de la suscripción de un acuerdo de celebración de reuniones de grupos de trabajo supervisadas periódicamente en encuentros de los Ministros de asuntos exteriores de cada respectivo gobierno.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A pesar de las declaraciones orientadas a la apertura de la negociación el llamado “proceso de Bruselas” no llegó a buen puerto. Como señala la doctrina dos son los hechos que dieron lugar al fracaso de este proceso de negociación: por un lado la firma de Reino Unido con la República Popular China un acuerdo sobre el nuevo estatuto de Hong-Kong el 19 de diciembre de 1984 mediante el cual la antigua metrópoli devolvía la soberanía de la colonia a China con distintos condicionantes (que constituyó un precedente a tener en cuenta y que </w:t>
      </w:r>
      <w:r>
        <w:rPr>
          <w:rFonts w:ascii="Times New Roman" w:hAnsi="Times New Roman" w:cs="Times New Roman"/>
          <w:sz w:val="24"/>
          <w:szCs w:val="24"/>
        </w:rPr>
        <w:lastRenderedPageBreak/>
        <w:t>como indicó la doctrina es inexplicable por qué dos estados que forman parte de la Unión Europea pudiesen llegar a un acuerdo similar); y la negativa de Reino Unido de ejecutar acuerdos adoptados en el foro de Bruselas como la Declaración Conjunta sobre el aeropuerto de Gibraltar de 2 de diciembre de 1987, a cuya inejecución el ejecutivo británico de Margaret T</w:t>
      </w:r>
      <w:r w:rsidRPr="002C33D5">
        <w:rPr>
          <w:rFonts w:ascii="Times New Roman" w:hAnsi="Times New Roman" w:cs="Times New Roman"/>
          <w:sz w:val="24"/>
          <w:szCs w:val="24"/>
        </w:rPr>
        <w:t>hatcher</w:t>
      </w:r>
      <w:r>
        <w:rPr>
          <w:rFonts w:ascii="Times New Roman" w:hAnsi="Times New Roman" w:cs="Times New Roman"/>
          <w:sz w:val="24"/>
          <w:szCs w:val="24"/>
        </w:rPr>
        <w:t xml:space="preserve"> argumentó la oposición de las autoridades locales gibraltareñas</w:t>
      </w:r>
      <w:r>
        <w:rPr>
          <w:rStyle w:val="Refdenotaalpie"/>
          <w:rFonts w:ascii="Times New Roman" w:hAnsi="Times New Roman" w:cs="Times New Roman"/>
          <w:sz w:val="24"/>
          <w:szCs w:val="24"/>
        </w:rPr>
        <w:footnoteReference w:id="149"/>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La reactivación de un proceso negociador y creación de un foro común de diálogo transfronterizo no vendría dado hasta el Comunicado emitido de Madrid, de 27 de octubre de 2004</w:t>
      </w:r>
      <w:r>
        <w:rPr>
          <w:rStyle w:val="Refdenotaalpie"/>
          <w:rFonts w:ascii="Times New Roman" w:hAnsi="Times New Roman" w:cs="Times New Roman"/>
          <w:sz w:val="24"/>
          <w:szCs w:val="24"/>
        </w:rPr>
        <w:footnoteReference w:id="150"/>
      </w:r>
      <w:r>
        <w:rPr>
          <w:rFonts w:ascii="Times New Roman" w:hAnsi="Times New Roman" w:cs="Times New Roman"/>
          <w:sz w:val="24"/>
          <w:szCs w:val="24"/>
        </w:rPr>
        <w:t>. En el mismo, los ministerios de exteriores británico y español acordaron realizar consultas sobre el establecimiento de un nuevo foro de diálogo con agenda abierta en la que Gibraltar tuviese voz propia. Además se puso de manifiesto el carácter positivo de la cooperación local entre Gibraltar y su zona circundante, acogiéndose la idea de crear un Comité Conjunto entre el Gobierno de Gibraltar y la Mancomunidad de Municipios del Campo de Gibraltar. Esta intención constitutiva se plasmaría por igual en el Comunicado Conjunto de Madrid</w:t>
      </w:r>
      <w:r>
        <w:rPr>
          <w:rStyle w:val="Refdenotaalpie"/>
          <w:rFonts w:ascii="Times New Roman" w:hAnsi="Times New Roman" w:cs="Times New Roman"/>
          <w:sz w:val="24"/>
          <w:szCs w:val="24"/>
        </w:rPr>
        <w:footnoteReference w:id="151"/>
      </w:r>
      <w:r>
        <w:rPr>
          <w:rFonts w:ascii="Times New Roman" w:hAnsi="Times New Roman" w:cs="Times New Roman"/>
          <w:sz w:val="24"/>
          <w:szCs w:val="24"/>
        </w:rPr>
        <w:t xml:space="preserve">, de 16 de diciembre de 2004 entre las mismas partes, en el que se acordó el establecimiento de un nuevo foro de diálogo a tres bandas (Gobierno español, gobierno británico y gibraltareño) sobre Gibraltar y separado del proceso de Bruselas. Las distintas modalidades de este nuevo foro de diálogo eran las siguientes: tendría una agenda abierta en la que cualquiera de los participantes podría plantear asuntos relacionados con Gibraltar, cada parte tendría voz y participación propia con independencia del estatus constitucional, cualquier decisión debería ser acordada por cada uno de los tres participantes, el foro sería convocado a nivel ministerial por las tres partes cada doce meses, en el mismo se podrían crear los Grupos de Trabajo que fuesen necesarios, y que dicho foro tendría en cuenta las actuaciones de la Comisión Mixta de Cooperación de 18 de noviembre de 2004 entre la Mancomunidad de Municipios de la Comarca de Campo de Gibraltar y el Gobierno de Gibraltar. Entre los principios de este foro estaría la creación de una atmósfera constructiva y la cooperación en beneficio y para la prosperidad de Gibraltar.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Los resultados del Foro Tripartito fueron en principio positivos. Destacan así los Acuerdos de Córdoba de 2006</w:t>
      </w:r>
      <w:r>
        <w:rPr>
          <w:rStyle w:val="Refdenotaalpie"/>
          <w:rFonts w:ascii="Times New Roman" w:hAnsi="Times New Roman" w:cs="Times New Roman"/>
          <w:sz w:val="24"/>
          <w:szCs w:val="24"/>
        </w:rPr>
        <w:footnoteReference w:id="152"/>
      </w:r>
      <w:r>
        <w:rPr>
          <w:rFonts w:ascii="Times New Roman" w:hAnsi="Times New Roman" w:cs="Times New Roman"/>
          <w:sz w:val="24"/>
          <w:szCs w:val="24"/>
        </w:rPr>
        <w:t xml:space="preserve">, cuya facilidad de diálogo se acrecentó entre otras razones </w:t>
      </w:r>
      <w:r>
        <w:rPr>
          <w:rFonts w:ascii="Times New Roman" w:hAnsi="Times New Roman" w:cs="Times New Roman"/>
          <w:sz w:val="24"/>
          <w:szCs w:val="24"/>
        </w:rPr>
        <w:lastRenderedPageBreak/>
        <w:t>debido a que las partes negociaron sin perjuicio de sus posiciones de soberanía y jurisdicción, como especifica en el punto tercero de dichos acuerdos. Entre otros asuntos se llegó a consenso en diversos temas, en los que se incluye la cuestión de las pensiones de antiguos trabajadores españoles en Gibraltar, el mejor uso del Aeropuerto de Gibraltar, la circulación de personas, vehículos y mercancías, telecomunicaciones, la apertura del Instituto Cervantes con sede en Gibraltar, la cooperación portuaria y el compromiso con el proceso negociador. Si bien cabe calificar a estos acuerdos como meramente instrumentos políticos sin efecto vinculante entre las partes (</w:t>
      </w:r>
      <w:r w:rsidRPr="004F6255">
        <w:rPr>
          <w:rFonts w:ascii="Times New Roman" w:hAnsi="Times New Roman" w:cs="Times New Roman"/>
          <w:i/>
          <w:sz w:val="24"/>
          <w:szCs w:val="24"/>
        </w:rPr>
        <w:t>soft-law</w:t>
      </w:r>
      <w:r>
        <w:rPr>
          <w:rFonts w:ascii="Times New Roman" w:hAnsi="Times New Roman" w:cs="Times New Roman"/>
          <w:sz w:val="24"/>
          <w:szCs w:val="24"/>
        </w:rPr>
        <w:t xml:space="preserve">), revelaron una clara voluntad tendente a la negociación en esta circunstancia.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A pesar de las muy positivas expectativas del Foro Tripartito, a partir del año 2010 se produjeron dos acontecimientos que marcaron el nuevo estancamiento del proceso negociador.  Por un lado la delimitación de las aguas y los incidentes entre </w:t>
      </w:r>
      <w:r w:rsidRPr="004F6255">
        <w:rPr>
          <w:rFonts w:ascii="Times New Roman" w:hAnsi="Times New Roman" w:cs="Times New Roman"/>
          <w:sz w:val="24"/>
          <w:szCs w:val="24"/>
        </w:rPr>
        <w:t xml:space="preserve">Guardia Civil, la Armada española, la </w:t>
      </w:r>
      <w:r w:rsidRPr="004F6255">
        <w:rPr>
          <w:rFonts w:ascii="Times New Roman" w:hAnsi="Times New Roman" w:cs="Times New Roman"/>
          <w:i/>
          <w:sz w:val="24"/>
          <w:szCs w:val="24"/>
        </w:rPr>
        <w:t>Royal Gibraltar Police</w:t>
      </w:r>
      <w:r w:rsidRPr="004F6255">
        <w:rPr>
          <w:rFonts w:ascii="Times New Roman" w:hAnsi="Times New Roman" w:cs="Times New Roman"/>
          <w:sz w:val="24"/>
          <w:szCs w:val="24"/>
        </w:rPr>
        <w:t xml:space="preserve"> y la </w:t>
      </w:r>
      <w:r w:rsidRPr="004F6255">
        <w:rPr>
          <w:rFonts w:ascii="Times New Roman" w:hAnsi="Times New Roman" w:cs="Times New Roman"/>
          <w:i/>
          <w:sz w:val="24"/>
          <w:szCs w:val="24"/>
        </w:rPr>
        <w:t>Royal Navy</w:t>
      </w:r>
      <w:r w:rsidRPr="004F6255">
        <w:rPr>
          <w:rFonts w:ascii="Times New Roman" w:hAnsi="Times New Roman" w:cs="Times New Roman"/>
          <w:sz w:val="24"/>
          <w:szCs w:val="24"/>
        </w:rPr>
        <w:t xml:space="preserve">, </w:t>
      </w:r>
      <w:r>
        <w:rPr>
          <w:rFonts w:ascii="Times New Roman" w:hAnsi="Times New Roman" w:cs="Times New Roman"/>
          <w:sz w:val="24"/>
          <w:szCs w:val="24"/>
        </w:rPr>
        <w:t>motivado por el</w:t>
      </w:r>
      <w:r w:rsidRPr="004F6255">
        <w:rPr>
          <w:rFonts w:ascii="Times New Roman" w:hAnsi="Times New Roman" w:cs="Times New Roman"/>
          <w:sz w:val="24"/>
          <w:szCs w:val="24"/>
        </w:rPr>
        <w:t xml:space="preserve"> solapamiento de los Lugares de Interés Comunitario (LIC)</w:t>
      </w:r>
      <w:r>
        <w:rPr>
          <w:rStyle w:val="Refdenotaalpie"/>
          <w:rFonts w:ascii="Times New Roman" w:hAnsi="Times New Roman" w:cs="Times New Roman"/>
          <w:sz w:val="24"/>
          <w:szCs w:val="24"/>
        </w:rPr>
        <w:footnoteReference w:id="153"/>
      </w:r>
      <w:r w:rsidRPr="004F6255">
        <w:rPr>
          <w:rFonts w:ascii="Times New Roman" w:hAnsi="Times New Roman" w:cs="Times New Roman"/>
          <w:sz w:val="24"/>
          <w:szCs w:val="24"/>
        </w:rPr>
        <w:t xml:space="preserve">, que </w:t>
      </w:r>
      <w:r>
        <w:rPr>
          <w:rFonts w:ascii="Times New Roman" w:hAnsi="Times New Roman" w:cs="Times New Roman"/>
          <w:sz w:val="24"/>
          <w:szCs w:val="24"/>
        </w:rPr>
        <w:t xml:space="preserve">desembocó en un recurso </w:t>
      </w:r>
      <w:r w:rsidRPr="004F6255">
        <w:rPr>
          <w:rFonts w:ascii="Times New Roman" w:hAnsi="Times New Roman" w:cs="Times New Roman"/>
          <w:sz w:val="24"/>
          <w:szCs w:val="24"/>
        </w:rPr>
        <w:t>ante el Tribunal de Justicia de la UE</w:t>
      </w:r>
      <w:r>
        <w:rPr>
          <w:rFonts w:ascii="Times New Roman" w:hAnsi="Times New Roman" w:cs="Times New Roman"/>
          <w:sz w:val="24"/>
          <w:szCs w:val="24"/>
        </w:rPr>
        <w:t xml:space="preserve"> (</w:t>
      </w:r>
      <w:r w:rsidRPr="004F6255">
        <w:rPr>
          <w:rFonts w:ascii="Times New Roman" w:hAnsi="Times New Roman" w:cs="Times New Roman"/>
          <w:sz w:val="24"/>
          <w:szCs w:val="24"/>
        </w:rPr>
        <w:t>Auto del Tribunal de Justicia de 12 de julio de 2012</w:t>
      </w:r>
      <w:r>
        <w:rPr>
          <w:rFonts w:ascii="Times New Roman" w:hAnsi="Times New Roman" w:cs="Times New Roman"/>
          <w:sz w:val="24"/>
          <w:szCs w:val="24"/>
        </w:rPr>
        <w:t xml:space="preserve">, asunto </w:t>
      </w:r>
      <w:r w:rsidRPr="004F6255">
        <w:rPr>
          <w:rFonts w:ascii="Times New Roman" w:hAnsi="Times New Roman" w:cs="Times New Roman"/>
          <w:sz w:val="24"/>
          <w:szCs w:val="24"/>
        </w:rPr>
        <w:t>C-407/11</w:t>
      </w:r>
      <w:r>
        <w:rPr>
          <w:rFonts w:ascii="Times New Roman" w:hAnsi="Times New Roman" w:cs="Times New Roman"/>
          <w:sz w:val="24"/>
          <w:szCs w:val="24"/>
        </w:rPr>
        <w:t>); además de los cambios de gobierno producidos en el año 2011 (Mariano Rajoy en España y Fabian Picardo en Gibraltar)</w:t>
      </w:r>
      <w:r>
        <w:rPr>
          <w:rStyle w:val="Refdenotaalpie"/>
          <w:rFonts w:ascii="Times New Roman" w:hAnsi="Times New Roman" w:cs="Times New Roman"/>
          <w:sz w:val="24"/>
          <w:szCs w:val="24"/>
        </w:rPr>
        <w:footnoteReference w:id="154"/>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No cabe duda de la naturaleza eminentemente política de las soluciones que se han planteado por ambas partes del contencioso, y de la congelación temporal de las distintas soluciones que se tratan de plantear por ambas partes, si bien en el presente trabajo es necesario señalar las más recientes declaraciones políticas tendentes a una solución negociada así como del resurgimiento de un foro de negociación</w:t>
      </w:r>
      <w:r>
        <w:rPr>
          <w:rStyle w:val="Refdenotaalpie"/>
          <w:rFonts w:ascii="Times New Roman" w:hAnsi="Times New Roman" w:cs="Times New Roman"/>
          <w:sz w:val="24"/>
          <w:szCs w:val="24"/>
        </w:rPr>
        <w:footnoteReference w:id="155"/>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 xml:space="preserve">Analizada la trayectoria histórica de los distintos procesos de negociación intentados y fracasados ya desde la apertura del proceso de descolonización en Naciones Unidas, y que se ha perdurado en el tiempo a través de las Declaraciones de Lisboa y Bruselas; cabría preguntarse si la negociación como vía de solución extrajudicial de controversias ha fracasado y se deben replantear nuevos modelos de solución del conflicto aplicable al contencioso y a las distintas facetas y dimensiones del mismo, puestos de relieve en este trabajo.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Los distintos cambios de gobiernos, políticas y pretensiones de las partes han sido los principales agentes causantes del fracaso de las negociaciones. Además de este factor, los autores señalan un crecimiento del nacionalismo gibraltareño y su “identidad colectiva”: el sentimiento nacional crece debido a la creación de una identidad (a pesar de que como señalan los autores su cultura está impregnada de la propia española) con las ideales de “fortaleza impenetrable” o “cementerio de Trafralgar”. Este hecho se une al uso colores y símbolos propios, la celebración de festivales ingleses, la introducción de cabinas telefónicas británicas (rojas), autobuses de dos pisos, nombres ingleses de calles, etc. De esta forma los autores determinan que los gibraltareños reclaman una identidad étnico-cultural distinta a la española bajo los atributos de la nacionalidad (un gobierno, un parlamento, radio y televisión, bandera e himno, Constitución y un día nacional)</w:t>
      </w:r>
      <w:r>
        <w:rPr>
          <w:rStyle w:val="Refdenotaalpie"/>
          <w:rFonts w:ascii="Times New Roman" w:hAnsi="Times New Roman" w:cs="Times New Roman"/>
          <w:sz w:val="24"/>
          <w:szCs w:val="24"/>
        </w:rPr>
        <w:footnoteReference w:id="156"/>
      </w:r>
      <w:r>
        <w:rPr>
          <w:rFonts w:ascii="Times New Roman" w:hAnsi="Times New Roman" w:cs="Times New Roman"/>
          <w:sz w:val="24"/>
          <w:szCs w:val="24"/>
        </w:rPr>
        <w:t>; y no faltan autores favorables al derecho de autodeterminación de Gibraltar</w:t>
      </w:r>
      <w:r>
        <w:rPr>
          <w:rStyle w:val="Refdenotaalpie"/>
          <w:rFonts w:ascii="Times New Roman" w:hAnsi="Times New Roman" w:cs="Times New Roman"/>
          <w:sz w:val="24"/>
          <w:szCs w:val="24"/>
        </w:rPr>
        <w:footnoteReference w:id="157"/>
      </w:r>
      <w:r>
        <w:rPr>
          <w:rFonts w:ascii="Times New Roman" w:hAnsi="Times New Roman" w:cs="Times New Roman"/>
          <w:sz w:val="24"/>
          <w:szCs w:val="24"/>
        </w:rPr>
        <w:t>. Por el contrario otros autores niegan la aplicación de la doctrina de la autodeterminación de Gibraltar,</w:t>
      </w:r>
      <w:r w:rsidRPr="009608EB">
        <w:t xml:space="preserve"> </w:t>
      </w:r>
      <w:r>
        <w:rPr>
          <w:rFonts w:ascii="Times New Roman" w:hAnsi="Times New Roman" w:cs="Times New Roman"/>
          <w:sz w:val="24"/>
          <w:szCs w:val="24"/>
        </w:rPr>
        <w:t>así como</w:t>
      </w:r>
      <w:r w:rsidRPr="009608EB">
        <w:rPr>
          <w:rFonts w:ascii="Times New Roman" w:hAnsi="Times New Roman" w:cs="Times New Roman"/>
          <w:sz w:val="24"/>
          <w:szCs w:val="24"/>
        </w:rPr>
        <w:t xml:space="preserve"> la devolución del territorio que habitan a España al </w:t>
      </w:r>
      <w:r>
        <w:rPr>
          <w:rFonts w:ascii="Times New Roman" w:hAnsi="Times New Roman" w:cs="Times New Roman"/>
          <w:sz w:val="24"/>
          <w:szCs w:val="24"/>
        </w:rPr>
        <w:t>ubicarse en ella</w:t>
      </w:r>
      <w:r w:rsidRPr="009608EB">
        <w:rPr>
          <w:rFonts w:ascii="Times New Roman" w:hAnsi="Times New Roman" w:cs="Times New Roman"/>
          <w:sz w:val="24"/>
          <w:szCs w:val="24"/>
        </w:rPr>
        <w:t xml:space="preserve"> de una población </w:t>
      </w:r>
      <w:r>
        <w:rPr>
          <w:rFonts w:ascii="Times New Roman" w:hAnsi="Times New Roman" w:cs="Times New Roman"/>
          <w:sz w:val="24"/>
          <w:szCs w:val="24"/>
        </w:rPr>
        <w:t>“</w:t>
      </w:r>
      <w:r w:rsidRPr="009608EB">
        <w:rPr>
          <w:rFonts w:ascii="Times New Roman" w:hAnsi="Times New Roman" w:cs="Times New Roman"/>
          <w:sz w:val="24"/>
          <w:szCs w:val="24"/>
        </w:rPr>
        <w:t>importada</w:t>
      </w:r>
      <w:r>
        <w:rPr>
          <w:rFonts w:ascii="Times New Roman" w:hAnsi="Times New Roman" w:cs="Times New Roman"/>
          <w:sz w:val="24"/>
          <w:szCs w:val="24"/>
        </w:rPr>
        <w:t>”</w:t>
      </w:r>
      <w:r w:rsidRPr="009608EB">
        <w:rPr>
          <w:rFonts w:ascii="Times New Roman" w:hAnsi="Times New Roman" w:cs="Times New Roman"/>
          <w:sz w:val="24"/>
          <w:szCs w:val="24"/>
        </w:rPr>
        <w:t xml:space="preserve">. </w:t>
      </w:r>
      <w:r>
        <w:rPr>
          <w:rFonts w:ascii="Times New Roman" w:hAnsi="Times New Roman" w:cs="Times New Roman"/>
          <w:sz w:val="24"/>
          <w:szCs w:val="24"/>
        </w:rPr>
        <w:t>Partiría este sector doctrinal</w:t>
      </w:r>
      <w:r w:rsidRPr="009608EB">
        <w:rPr>
          <w:rFonts w:ascii="Times New Roman" w:hAnsi="Times New Roman" w:cs="Times New Roman"/>
          <w:sz w:val="24"/>
          <w:szCs w:val="24"/>
        </w:rPr>
        <w:t xml:space="preserve"> como definición de población importada </w:t>
      </w:r>
      <w:r>
        <w:rPr>
          <w:rFonts w:ascii="Times New Roman" w:hAnsi="Times New Roman" w:cs="Times New Roman"/>
          <w:sz w:val="24"/>
          <w:szCs w:val="24"/>
        </w:rPr>
        <w:t>como</w:t>
      </w:r>
      <w:r w:rsidRPr="009608EB">
        <w:rPr>
          <w:rFonts w:ascii="Times New Roman" w:hAnsi="Times New Roman" w:cs="Times New Roman"/>
          <w:sz w:val="24"/>
          <w:szCs w:val="24"/>
        </w:rPr>
        <w:t xml:space="preserve"> aquella transferida por la potencia colonial frente a la población autóctona del lugar, que supone un obstáculo al derecho a la libre determinación de los pueblos (y más cuando la población autóctona </w:t>
      </w:r>
      <w:r>
        <w:rPr>
          <w:rFonts w:ascii="Times New Roman" w:hAnsi="Times New Roman" w:cs="Times New Roman"/>
          <w:sz w:val="24"/>
          <w:szCs w:val="24"/>
        </w:rPr>
        <w:t>fuese desalojada por la potencia colonial o que la población importada superase a la autóctona) citando como ejemplo el control de las Naciones Unidas para que en el referéndum de autodeterminación de Sáhara Occidental participasen sólo las personas originarias del territorio; llegando a la determinación de que la población “importada” no tendría derecho a la oposición de devolución del territorio ocupado ni a esgrimir un legítimo derecho a la autodeterminación</w:t>
      </w:r>
      <w:r>
        <w:rPr>
          <w:rStyle w:val="Refdenotaalpie"/>
          <w:rFonts w:ascii="Times New Roman" w:hAnsi="Times New Roman" w:cs="Times New Roman"/>
          <w:sz w:val="24"/>
          <w:szCs w:val="24"/>
        </w:rPr>
        <w:footnoteReference w:id="158"/>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Es interesante la apreciación doctrinal de cómo, frente al movimiento integrador que constituye la Unión Europea como ruptura de fronteras se configura en la zona de Gibraltar el fenómeno sociológico de “sociedad de frontera”, caracterizado por el rechazo al otro para construir una pauta de identidad (aunque sea inexistente) y laxitud en tal identidad; desembocando todo ello en complejas relaciones de vecindad en las que influye de forma determinante el modelo económico, la dinámica poblacional y la ausencia de un marco específico para la gestión de los recursos humanos</w:t>
      </w:r>
      <w:r>
        <w:rPr>
          <w:rStyle w:val="Refdenotaalpie"/>
          <w:rFonts w:ascii="Times New Roman" w:hAnsi="Times New Roman" w:cs="Times New Roman"/>
          <w:sz w:val="24"/>
          <w:szCs w:val="24"/>
        </w:rPr>
        <w:footnoteReference w:id="159"/>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Por todo ello la mediación se perfila como una alternativa cualificada que es muy necesario tener en cuenta </w:t>
      </w:r>
      <w:r w:rsidR="007614CA">
        <w:rPr>
          <w:rFonts w:ascii="Times New Roman" w:hAnsi="Times New Roman" w:cs="Times New Roman"/>
          <w:sz w:val="24"/>
          <w:szCs w:val="24"/>
        </w:rPr>
        <w:t>en razón a varios argumentos: (i)</w:t>
      </w:r>
      <w:r>
        <w:rPr>
          <w:rFonts w:ascii="Times New Roman" w:hAnsi="Times New Roman" w:cs="Times New Roman"/>
          <w:sz w:val="24"/>
          <w:szCs w:val="24"/>
        </w:rPr>
        <w:t xml:space="preserve"> la mejora que supone la intervención de un tercero imparcial que </w:t>
      </w:r>
      <w:r w:rsidR="007614CA">
        <w:rPr>
          <w:rFonts w:ascii="Times New Roman" w:hAnsi="Times New Roman" w:cs="Times New Roman"/>
          <w:sz w:val="24"/>
          <w:szCs w:val="24"/>
        </w:rPr>
        <w:t>pueda contribuir al acercamiento de posturas; (ii) el</w:t>
      </w:r>
      <w:r>
        <w:rPr>
          <w:rFonts w:ascii="Times New Roman" w:hAnsi="Times New Roman" w:cs="Times New Roman"/>
          <w:sz w:val="24"/>
          <w:szCs w:val="24"/>
        </w:rPr>
        <w:t xml:space="preserve"> </w:t>
      </w:r>
      <w:r w:rsidR="007614CA">
        <w:rPr>
          <w:rFonts w:ascii="Times New Roman" w:hAnsi="Times New Roman" w:cs="Times New Roman"/>
          <w:sz w:val="24"/>
          <w:szCs w:val="24"/>
        </w:rPr>
        <w:t>vencimiento de</w:t>
      </w:r>
      <w:r>
        <w:rPr>
          <w:rFonts w:ascii="Times New Roman" w:hAnsi="Times New Roman" w:cs="Times New Roman"/>
          <w:sz w:val="24"/>
          <w:szCs w:val="24"/>
        </w:rPr>
        <w:t xml:space="preserve"> los estancamientos que puedan surgir en el procedimiento de solución y la sucesión de gobiernos</w:t>
      </w:r>
      <w:r w:rsidR="007614CA">
        <w:rPr>
          <w:rFonts w:ascii="Times New Roman" w:hAnsi="Times New Roman" w:cs="Times New Roman"/>
          <w:sz w:val="24"/>
          <w:szCs w:val="24"/>
        </w:rPr>
        <w:t xml:space="preserve">; (iii) dentro del carácter multidimensional del conflicto y en concreto </w:t>
      </w:r>
      <w:r w:rsidR="005435EB">
        <w:rPr>
          <w:rFonts w:ascii="Times New Roman" w:hAnsi="Times New Roman" w:cs="Times New Roman"/>
          <w:sz w:val="24"/>
          <w:szCs w:val="24"/>
        </w:rPr>
        <w:t xml:space="preserve">la faceta </w:t>
      </w:r>
      <w:r w:rsidR="007614CA">
        <w:rPr>
          <w:rFonts w:ascii="Times New Roman" w:hAnsi="Times New Roman" w:cs="Times New Roman"/>
          <w:sz w:val="24"/>
          <w:szCs w:val="24"/>
        </w:rPr>
        <w:t>de la aplicación del Derecho comunitario</w:t>
      </w:r>
      <w:r w:rsidR="005435EB">
        <w:rPr>
          <w:rFonts w:ascii="Times New Roman" w:hAnsi="Times New Roman" w:cs="Times New Roman"/>
          <w:sz w:val="24"/>
          <w:szCs w:val="24"/>
        </w:rPr>
        <w:t>,</w:t>
      </w:r>
      <w:r w:rsidR="007614CA">
        <w:rPr>
          <w:rFonts w:ascii="Times New Roman" w:hAnsi="Times New Roman" w:cs="Times New Roman"/>
          <w:sz w:val="24"/>
          <w:szCs w:val="24"/>
        </w:rPr>
        <w:t xml:space="preserve"> la vía judicial comunitaria no ha ofrecido una solución efectiva, en razón del número de procedimientos incoados al efecto, ni general, puesto que los </w:t>
      </w:r>
      <w:r w:rsidR="001241A0">
        <w:rPr>
          <w:rFonts w:ascii="Times New Roman" w:hAnsi="Times New Roman" w:cs="Times New Roman"/>
          <w:sz w:val="24"/>
          <w:szCs w:val="24"/>
        </w:rPr>
        <w:t>mismos</w:t>
      </w:r>
      <w:r w:rsidR="007614CA">
        <w:rPr>
          <w:rFonts w:ascii="Times New Roman" w:hAnsi="Times New Roman" w:cs="Times New Roman"/>
          <w:sz w:val="24"/>
          <w:szCs w:val="24"/>
        </w:rPr>
        <w:t xml:space="preserve"> se han sustanciado siempre ante incumplimientos concretos</w:t>
      </w:r>
      <w:r w:rsidR="00F56972">
        <w:rPr>
          <w:rFonts w:ascii="Times New Roman" w:hAnsi="Times New Roman" w:cs="Times New Roman"/>
          <w:sz w:val="24"/>
          <w:szCs w:val="24"/>
        </w:rPr>
        <w:t xml:space="preserve"> de Derecho c</w:t>
      </w:r>
      <w:r w:rsidR="001241A0">
        <w:rPr>
          <w:rFonts w:ascii="Times New Roman" w:hAnsi="Times New Roman" w:cs="Times New Roman"/>
          <w:sz w:val="24"/>
          <w:szCs w:val="24"/>
        </w:rPr>
        <w:t>omunitario</w:t>
      </w:r>
      <w:r>
        <w:rPr>
          <w:rFonts w:ascii="Times New Roman" w:hAnsi="Times New Roman" w:cs="Times New Roman"/>
          <w:sz w:val="24"/>
          <w:szCs w:val="24"/>
        </w:rPr>
        <w:t>.</w:t>
      </w:r>
    </w:p>
    <w:p w:rsidR="00EC3959" w:rsidRDefault="00EC3959"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De esta forma no sería aconsejable someter la</w:t>
      </w:r>
      <w:r w:rsidR="00F56972">
        <w:rPr>
          <w:rFonts w:ascii="Times New Roman" w:hAnsi="Times New Roman" w:cs="Times New Roman"/>
          <w:sz w:val="24"/>
          <w:szCs w:val="24"/>
        </w:rPr>
        <w:t xml:space="preserve"> cuestión de la</w:t>
      </w:r>
      <w:r>
        <w:rPr>
          <w:rFonts w:ascii="Times New Roman" w:hAnsi="Times New Roman" w:cs="Times New Roman"/>
          <w:sz w:val="24"/>
          <w:szCs w:val="24"/>
        </w:rPr>
        <w:t xml:space="preserve"> integración </w:t>
      </w:r>
      <w:r w:rsidR="00F56972">
        <w:rPr>
          <w:rFonts w:ascii="Times New Roman" w:hAnsi="Times New Roman" w:cs="Times New Roman"/>
          <w:sz w:val="24"/>
          <w:szCs w:val="24"/>
        </w:rPr>
        <w:t xml:space="preserve">económica y fiscal </w:t>
      </w:r>
      <w:r>
        <w:rPr>
          <w:rFonts w:ascii="Times New Roman" w:hAnsi="Times New Roman" w:cs="Times New Roman"/>
          <w:sz w:val="24"/>
          <w:szCs w:val="24"/>
        </w:rPr>
        <w:t xml:space="preserve">del territorio de Gibraltar en la Unión Europea </w:t>
      </w:r>
      <w:r w:rsidR="00F56972">
        <w:rPr>
          <w:rFonts w:ascii="Times New Roman" w:hAnsi="Times New Roman" w:cs="Times New Roman"/>
          <w:sz w:val="24"/>
          <w:szCs w:val="24"/>
        </w:rPr>
        <w:t>a los</w:t>
      </w:r>
      <w:r>
        <w:rPr>
          <w:rFonts w:ascii="Times New Roman" w:hAnsi="Times New Roman" w:cs="Times New Roman"/>
          <w:sz w:val="24"/>
          <w:szCs w:val="24"/>
        </w:rPr>
        <w:t xml:space="preserve"> medios jurídicos (como el recurso al Tribunal Internacional de Justicia</w:t>
      </w:r>
      <w:r w:rsidR="00F935DE">
        <w:rPr>
          <w:rFonts w:ascii="Times New Roman" w:hAnsi="Times New Roman" w:cs="Times New Roman"/>
          <w:sz w:val="24"/>
          <w:szCs w:val="24"/>
        </w:rPr>
        <w:t xml:space="preserve"> o arbitraje</w:t>
      </w:r>
      <w:r>
        <w:rPr>
          <w:rFonts w:ascii="Times New Roman" w:hAnsi="Times New Roman" w:cs="Times New Roman"/>
          <w:sz w:val="24"/>
          <w:szCs w:val="24"/>
        </w:rPr>
        <w:t xml:space="preserve">) </w:t>
      </w:r>
      <w:r w:rsidR="00F56972">
        <w:rPr>
          <w:rFonts w:ascii="Times New Roman" w:hAnsi="Times New Roman" w:cs="Times New Roman"/>
          <w:sz w:val="24"/>
          <w:szCs w:val="24"/>
        </w:rPr>
        <w:t xml:space="preserve">por </w:t>
      </w:r>
      <w:r w:rsidR="006A4264">
        <w:rPr>
          <w:rFonts w:ascii="Times New Roman" w:hAnsi="Times New Roman" w:cs="Times New Roman"/>
          <w:sz w:val="24"/>
          <w:szCs w:val="24"/>
        </w:rPr>
        <w:t>dos</w:t>
      </w:r>
      <w:r w:rsidR="00F56972">
        <w:rPr>
          <w:rFonts w:ascii="Times New Roman" w:hAnsi="Times New Roman" w:cs="Times New Roman"/>
          <w:sz w:val="24"/>
          <w:szCs w:val="24"/>
        </w:rPr>
        <w:t xml:space="preserve"> razones</w:t>
      </w:r>
      <w:r w:rsidR="00F935DE">
        <w:rPr>
          <w:rFonts w:ascii="Times New Roman" w:hAnsi="Times New Roman" w:cs="Times New Roman"/>
          <w:sz w:val="24"/>
          <w:szCs w:val="24"/>
        </w:rPr>
        <w:t xml:space="preserve"> fundamentales</w:t>
      </w:r>
      <w:r w:rsidR="00F56972">
        <w:rPr>
          <w:rFonts w:ascii="Times New Roman" w:hAnsi="Times New Roman" w:cs="Times New Roman"/>
          <w:sz w:val="24"/>
          <w:szCs w:val="24"/>
        </w:rPr>
        <w:t xml:space="preserve">: (i) por las competencias cedidas por los Estados integrantes </w:t>
      </w:r>
      <w:r w:rsidR="00F935DE">
        <w:rPr>
          <w:rFonts w:ascii="Times New Roman" w:hAnsi="Times New Roman" w:cs="Times New Roman"/>
          <w:sz w:val="24"/>
          <w:szCs w:val="24"/>
        </w:rPr>
        <w:t>a</w:t>
      </w:r>
      <w:r w:rsidR="00F56972">
        <w:rPr>
          <w:rFonts w:ascii="Times New Roman" w:hAnsi="Times New Roman" w:cs="Times New Roman"/>
          <w:sz w:val="24"/>
          <w:szCs w:val="24"/>
        </w:rPr>
        <w:t xml:space="preserve"> la Unión Europa (España y Reino Unido entre ellos) en materia de libre circulación de mercancías y armonización fiscal, que </w:t>
      </w:r>
      <w:r w:rsidR="00F935DE">
        <w:rPr>
          <w:rFonts w:ascii="Times New Roman" w:hAnsi="Times New Roman" w:cs="Times New Roman"/>
          <w:sz w:val="24"/>
          <w:szCs w:val="24"/>
        </w:rPr>
        <w:t>establecería</w:t>
      </w:r>
      <w:r w:rsidR="00F56972">
        <w:rPr>
          <w:rFonts w:ascii="Times New Roman" w:hAnsi="Times New Roman" w:cs="Times New Roman"/>
          <w:sz w:val="24"/>
          <w:szCs w:val="24"/>
        </w:rPr>
        <w:t xml:space="preserve"> la jurisdicción del Tribunal de Justicia de la Unión Europea; </w:t>
      </w:r>
      <w:r w:rsidR="006A4264">
        <w:rPr>
          <w:rFonts w:ascii="Times New Roman" w:hAnsi="Times New Roman" w:cs="Times New Roman"/>
          <w:sz w:val="24"/>
          <w:szCs w:val="24"/>
        </w:rPr>
        <w:t xml:space="preserve">y </w:t>
      </w:r>
      <w:r w:rsidR="00F56972">
        <w:rPr>
          <w:rFonts w:ascii="Times New Roman" w:hAnsi="Times New Roman" w:cs="Times New Roman"/>
          <w:sz w:val="24"/>
          <w:szCs w:val="24"/>
        </w:rPr>
        <w:t>(ii) porque según la doctrina sería desaconsejable para España judicializar la controversia de Gibraltar ante los altos riesgos de la posición jurídica española</w:t>
      </w:r>
      <w:r w:rsidR="006A4264">
        <w:rPr>
          <w:rFonts w:ascii="Times New Roman" w:hAnsi="Times New Roman" w:cs="Times New Roman"/>
          <w:sz w:val="24"/>
          <w:szCs w:val="24"/>
        </w:rPr>
        <w:t>,</w:t>
      </w:r>
      <w:r w:rsidR="00F56972">
        <w:rPr>
          <w:rFonts w:ascii="Times New Roman" w:hAnsi="Times New Roman" w:cs="Times New Roman"/>
          <w:sz w:val="24"/>
          <w:szCs w:val="24"/>
        </w:rPr>
        <w:t xml:space="preserve"> ya que se deduciría que en un eventual procedimiento</w:t>
      </w:r>
      <w:r w:rsidR="006A4264">
        <w:rPr>
          <w:rFonts w:ascii="Times New Roman" w:hAnsi="Times New Roman" w:cs="Times New Roman"/>
          <w:sz w:val="24"/>
          <w:szCs w:val="24"/>
        </w:rPr>
        <w:t xml:space="preserve"> </w:t>
      </w:r>
      <w:r w:rsidR="00F56972">
        <w:rPr>
          <w:rFonts w:ascii="Times New Roman" w:hAnsi="Times New Roman" w:cs="Times New Roman"/>
          <w:sz w:val="24"/>
          <w:szCs w:val="24"/>
        </w:rPr>
        <w:t xml:space="preserve">Reino Unido podría solicitar el tratamiento </w:t>
      </w:r>
      <w:r w:rsidR="00F935DE">
        <w:rPr>
          <w:rFonts w:ascii="Times New Roman" w:hAnsi="Times New Roman" w:cs="Times New Roman"/>
          <w:sz w:val="24"/>
          <w:szCs w:val="24"/>
        </w:rPr>
        <w:t xml:space="preserve">conjunto </w:t>
      </w:r>
      <w:r w:rsidR="00F56972">
        <w:rPr>
          <w:rFonts w:ascii="Times New Roman" w:hAnsi="Times New Roman" w:cs="Times New Roman"/>
          <w:sz w:val="24"/>
          <w:szCs w:val="24"/>
        </w:rPr>
        <w:t>de cuestiones de soberanía</w:t>
      </w:r>
      <w:r w:rsidR="00F935DE">
        <w:rPr>
          <w:rFonts w:ascii="Times New Roman" w:hAnsi="Times New Roman" w:cs="Times New Roman"/>
          <w:sz w:val="24"/>
          <w:szCs w:val="24"/>
        </w:rPr>
        <w:t>, pudiéndose alterar la posición jurídica de España reforzada con los procedimientos de descolonización</w:t>
      </w:r>
      <w:r w:rsidR="00F935DE">
        <w:rPr>
          <w:rStyle w:val="Refdenotaalpie"/>
          <w:rFonts w:ascii="Times New Roman" w:hAnsi="Times New Roman" w:cs="Times New Roman"/>
          <w:sz w:val="24"/>
          <w:szCs w:val="24"/>
        </w:rPr>
        <w:footnoteReference w:id="160"/>
      </w:r>
      <w:r w:rsidR="006A4264">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No cabe de este modo duda alguna de que una de las propuestas más viables para el estudio de una mediación cercana e imparcial para ambas partes podría residir en la </w:t>
      </w:r>
      <w:r>
        <w:rPr>
          <w:rFonts w:ascii="Times New Roman" w:hAnsi="Times New Roman" w:cs="Times New Roman"/>
          <w:sz w:val="24"/>
          <w:szCs w:val="24"/>
        </w:rPr>
        <w:lastRenderedPageBreak/>
        <w:t xml:space="preserve">intervención de la Unión Europea, estableciendo un procedimiento en el que se dialoguen materias más allá de las competencias cedidas por los estados a la Unión.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Sin duda las relaciones bilaterales Reino Unido-España han estado impregnadas de una europeización de los asuntos, sobre todo en el debate de la integración del territorio. Es preciso destacar, como ejemplo de este hecho, el Canje de Notas entre España y el Reino Unido en relación a la firma y posterior ratificación del Tratado relativo a la Adhesión de España a las Comunidades Europeas, hecho en Madrid el 13 de junio de 1985</w:t>
      </w:r>
      <w:r>
        <w:rPr>
          <w:rStyle w:val="Refdenotaalpie"/>
          <w:rFonts w:ascii="Times New Roman" w:hAnsi="Times New Roman" w:cs="Times New Roman"/>
          <w:sz w:val="24"/>
          <w:szCs w:val="24"/>
        </w:rPr>
        <w:footnoteReference w:id="161"/>
      </w:r>
      <w:r>
        <w:rPr>
          <w:rFonts w:ascii="Times New Roman" w:hAnsi="Times New Roman" w:cs="Times New Roman"/>
          <w:sz w:val="24"/>
          <w:szCs w:val="24"/>
        </w:rPr>
        <w:t xml:space="preserve">. El Gobierno Español se dirigió al británico para comunicar que la firma del Tratado relativo a la Adhesión de España a las Comunidades Europeas no implicaba ninguna modificación de su posición respecto a Gibraltar y no afectaba al proceso negociador de Bruselas. La nota fue respondida por la embajada británica, afirmando que la adhesión de España a las Comunidades Europeas no implicaría ninguna modificación de la posición de Reino Unido respecto a Gibraltar en la aplicación de normativa comunitaria y que tampoco afectaría al proceso negociador.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Las partes desistieron desde la adhesión de España al inicio de una negociación orientada a la integración del territorio, entre otras circunstancias por la todavía joven incorporación de ambos estados a la Comunidad Europea, lo que reveló que en la década de los 80 no se iniciasen negociaciones al respecto. No obstante, una vez que el proceso de integración europea adquirió mayores dimensiones la intervención de la Unión Europea se ha acentuado en dos planos: (i) por un lado mediante la aplicación de la potestad sancionadora de la Comisión Europea en los distintos procedimientos sancionadores (comentados en el epígrafe dedicado al análisis de la aplicación asimétrica del derecho comunitario) en materia tributaria y de Unión Aduanera; y (ii) por la vía judicial del Tribunal de Justicia.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Más allá de la intervención de la Unión Europea como organización internacional en el marco de sus competencias o por la vía judicial; acentúo los intentos políticos de acercamiento, como los revelados en las Conclusiones del Consejo europeo de Barcelona de 15 de marzo de 2002</w:t>
      </w:r>
      <w:r>
        <w:rPr>
          <w:rStyle w:val="Refdenotaalpie"/>
          <w:rFonts w:ascii="Times New Roman" w:hAnsi="Times New Roman" w:cs="Times New Roman"/>
          <w:sz w:val="24"/>
          <w:szCs w:val="24"/>
        </w:rPr>
        <w:footnoteReference w:id="162"/>
      </w:r>
      <w:r>
        <w:rPr>
          <w:rFonts w:ascii="Times New Roman" w:hAnsi="Times New Roman" w:cs="Times New Roman"/>
          <w:sz w:val="24"/>
          <w:szCs w:val="24"/>
        </w:rPr>
        <w:t xml:space="preserve">. En concreto el Consejo Europeo en su conclusión 56 </w:t>
      </w:r>
      <w:r w:rsidRPr="002D16AF">
        <w:rPr>
          <w:rFonts w:ascii="Times New Roman" w:hAnsi="Times New Roman" w:cs="Times New Roman"/>
          <w:sz w:val="24"/>
          <w:szCs w:val="24"/>
        </w:rPr>
        <w:t>recib</w:t>
      </w:r>
      <w:r>
        <w:rPr>
          <w:rFonts w:ascii="Times New Roman" w:hAnsi="Times New Roman" w:cs="Times New Roman"/>
          <w:sz w:val="24"/>
          <w:szCs w:val="24"/>
        </w:rPr>
        <w:t>ió</w:t>
      </w:r>
      <w:r w:rsidRPr="002D16AF">
        <w:rPr>
          <w:rFonts w:ascii="Times New Roman" w:hAnsi="Times New Roman" w:cs="Times New Roman"/>
          <w:sz w:val="24"/>
          <w:szCs w:val="24"/>
        </w:rPr>
        <w:t xml:space="preserve"> con satisfacción la decisión del Reino Unido y de España de relanzar el Proc</w:t>
      </w:r>
      <w:r>
        <w:rPr>
          <w:rFonts w:ascii="Times New Roman" w:hAnsi="Times New Roman" w:cs="Times New Roman"/>
          <w:sz w:val="24"/>
          <w:szCs w:val="24"/>
        </w:rPr>
        <w:t>eso de Bruselas sobre Gibraltar</w:t>
      </w:r>
      <w:r w:rsidRPr="002D16AF">
        <w:rPr>
          <w:rFonts w:ascii="Times New Roman" w:hAnsi="Times New Roman" w:cs="Times New Roman"/>
          <w:sz w:val="24"/>
          <w:szCs w:val="24"/>
        </w:rPr>
        <w:t xml:space="preserve">; </w:t>
      </w:r>
      <w:r>
        <w:rPr>
          <w:rFonts w:ascii="Times New Roman" w:hAnsi="Times New Roman" w:cs="Times New Roman"/>
          <w:sz w:val="24"/>
          <w:szCs w:val="24"/>
        </w:rPr>
        <w:t>y subrayó</w:t>
      </w:r>
      <w:r w:rsidRPr="002D16AF">
        <w:rPr>
          <w:rFonts w:ascii="Times New Roman" w:hAnsi="Times New Roman" w:cs="Times New Roman"/>
          <w:sz w:val="24"/>
          <w:szCs w:val="24"/>
        </w:rPr>
        <w:t xml:space="preserve"> el apoyo de la Unión Europea al compromiso de ambos Gobiernos de superar sus diferencias sobre Gibraltar</w:t>
      </w:r>
      <w:r>
        <w:rPr>
          <w:rFonts w:ascii="Times New Roman" w:hAnsi="Times New Roman" w:cs="Times New Roman"/>
          <w:sz w:val="24"/>
          <w:szCs w:val="24"/>
        </w:rPr>
        <w:t xml:space="preserve"> y de concluir un acuerdo global</w:t>
      </w:r>
      <w:r w:rsidRPr="002D16AF">
        <w:rPr>
          <w:rFonts w:ascii="Times New Roman" w:hAnsi="Times New Roman" w:cs="Times New Roman"/>
          <w:sz w:val="24"/>
          <w:szCs w:val="24"/>
        </w:rPr>
        <w:t xml:space="preserve">; </w:t>
      </w:r>
      <w:r>
        <w:rPr>
          <w:rFonts w:ascii="Times New Roman" w:hAnsi="Times New Roman" w:cs="Times New Roman"/>
          <w:sz w:val="24"/>
          <w:szCs w:val="24"/>
        </w:rPr>
        <w:t>invitando</w:t>
      </w:r>
      <w:r w:rsidRPr="002D16AF">
        <w:rPr>
          <w:rFonts w:ascii="Times New Roman" w:hAnsi="Times New Roman" w:cs="Times New Roman"/>
          <w:sz w:val="24"/>
          <w:szCs w:val="24"/>
        </w:rPr>
        <w:t xml:space="preserve"> a la </w:t>
      </w:r>
      <w:r w:rsidRPr="002D16AF">
        <w:rPr>
          <w:rFonts w:ascii="Times New Roman" w:hAnsi="Times New Roman" w:cs="Times New Roman"/>
          <w:sz w:val="24"/>
          <w:szCs w:val="24"/>
        </w:rPr>
        <w:lastRenderedPageBreak/>
        <w:t xml:space="preserve">Comisión a que </w:t>
      </w:r>
      <w:r>
        <w:rPr>
          <w:rFonts w:ascii="Times New Roman" w:hAnsi="Times New Roman" w:cs="Times New Roman"/>
          <w:sz w:val="24"/>
          <w:szCs w:val="24"/>
        </w:rPr>
        <w:t>explorase</w:t>
      </w:r>
      <w:r w:rsidRPr="002D16AF">
        <w:rPr>
          <w:rFonts w:ascii="Times New Roman" w:hAnsi="Times New Roman" w:cs="Times New Roman"/>
          <w:sz w:val="24"/>
          <w:szCs w:val="24"/>
        </w:rPr>
        <w:t xml:space="preserve"> las posibles maneras en que la Unión Europea podría apoyar cualquier acuerdo al que se llegue</w:t>
      </w:r>
      <w:r>
        <w:rPr>
          <w:rFonts w:ascii="Times New Roman" w:hAnsi="Times New Roman" w:cs="Times New Roman"/>
          <w:sz w:val="24"/>
          <w:szCs w:val="24"/>
        </w:rPr>
        <w:t>.</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La intervención de la Unión Europea en el conflicto de Gibraltar se ha puesto de relieve recientemente en relación a la investigación de los controles realizados por las autoridades españolas en la frontera de Gibraltar. En la propuesta de archivo de la denuncia CHAP 2013/</w:t>
      </w:r>
      <w:r w:rsidRPr="00EF2467">
        <w:rPr>
          <w:rFonts w:ascii="Times New Roman" w:hAnsi="Times New Roman" w:cs="Times New Roman"/>
          <w:sz w:val="24"/>
          <w:szCs w:val="24"/>
        </w:rPr>
        <w:t>2466 (2013/C 357/04)</w:t>
      </w:r>
      <w:r>
        <w:rPr>
          <w:rStyle w:val="Refdenotaalpie"/>
          <w:rFonts w:ascii="Times New Roman" w:hAnsi="Times New Roman" w:cs="Times New Roman"/>
          <w:sz w:val="24"/>
          <w:szCs w:val="24"/>
        </w:rPr>
        <w:footnoteReference w:id="163"/>
      </w:r>
      <w:r>
        <w:rPr>
          <w:rFonts w:ascii="Times New Roman" w:hAnsi="Times New Roman" w:cs="Times New Roman"/>
          <w:sz w:val="24"/>
          <w:szCs w:val="24"/>
        </w:rPr>
        <w:t xml:space="preserve"> se exponen las conclusiones de la visita técnica producida a la zona fronteriza el 25 de septiembre de 2013, invitando la Comisión tanto a las autoridades españolas como británicas considerar acciones para la gestión del paso fronterizo</w:t>
      </w:r>
      <w:r>
        <w:rPr>
          <w:rStyle w:val="Refdenotaalpie"/>
          <w:rFonts w:ascii="Times New Roman" w:hAnsi="Times New Roman" w:cs="Times New Roman"/>
          <w:sz w:val="24"/>
          <w:szCs w:val="24"/>
        </w:rPr>
        <w:footnoteReference w:id="164"/>
      </w:r>
      <w:r>
        <w:rPr>
          <w:rFonts w:ascii="Times New Roman" w:hAnsi="Times New Roman" w:cs="Times New Roman"/>
          <w:sz w:val="24"/>
          <w:szCs w:val="24"/>
        </w:rPr>
        <w:t xml:space="preserve">. Destaca el punto octavo de la propuesta de archivo de la denuncia, donde </w:t>
      </w:r>
      <w:r w:rsidRPr="000008A8">
        <w:rPr>
          <w:rFonts w:ascii="Times New Roman" w:hAnsi="Times New Roman" w:cs="Times New Roman"/>
          <w:sz w:val="24"/>
          <w:szCs w:val="24"/>
        </w:rPr>
        <w:t xml:space="preserve">la Comisión </w:t>
      </w:r>
      <w:r>
        <w:rPr>
          <w:rFonts w:ascii="Times New Roman" w:hAnsi="Times New Roman" w:cs="Times New Roman"/>
          <w:sz w:val="24"/>
          <w:szCs w:val="24"/>
        </w:rPr>
        <w:t>anima</w:t>
      </w:r>
      <w:r w:rsidRPr="000008A8">
        <w:rPr>
          <w:rFonts w:ascii="Times New Roman" w:hAnsi="Times New Roman" w:cs="Times New Roman"/>
          <w:sz w:val="24"/>
          <w:szCs w:val="24"/>
        </w:rPr>
        <w:t xml:space="preserve"> a todas las autoridades pertinentes a refor</w:t>
      </w:r>
      <w:r>
        <w:rPr>
          <w:rFonts w:ascii="Times New Roman" w:hAnsi="Times New Roman" w:cs="Times New Roman"/>
          <w:sz w:val="24"/>
          <w:szCs w:val="24"/>
        </w:rPr>
        <w:t xml:space="preserve">zar su diálogo constructivo </w:t>
      </w:r>
      <w:r w:rsidRPr="000008A8">
        <w:rPr>
          <w:rFonts w:ascii="Times New Roman" w:hAnsi="Times New Roman" w:cs="Times New Roman"/>
          <w:sz w:val="24"/>
          <w:szCs w:val="24"/>
        </w:rPr>
        <w:t>para alcanzar este objetivo</w:t>
      </w:r>
      <w:r>
        <w:rPr>
          <w:rFonts w:ascii="Times New Roman" w:hAnsi="Times New Roman" w:cs="Times New Roman"/>
          <w:sz w:val="24"/>
          <w:szCs w:val="24"/>
        </w:rPr>
        <w:t xml:space="preserve"> (cooperación en persecución del contrabando y delitos transfronterizos).</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De este modo la Unión Europea se ha erigido como un agente de especial importancia y referencia entre las partes en los últimos años. Por ello sería aconsejable, (i) por un lado la creación de un nuevo foro de diálogo donde intervenga tanto el Gobierno español como el británico, además de las autoridades gibraltareñas (que disponen de competencias de autogobierno en virtud de la Constitución de Gibraltar de 2006</w:t>
      </w:r>
      <w:r>
        <w:rPr>
          <w:rStyle w:val="Refdenotaalpie"/>
          <w:rFonts w:ascii="Times New Roman" w:hAnsi="Times New Roman" w:cs="Times New Roman"/>
          <w:sz w:val="24"/>
          <w:szCs w:val="24"/>
        </w:rPr>
        <w:footnoteReference w:id="165"/>
      </w:r>
      <w:r>
        <w:rPr>
          <w:rFonts w:ascii="Times New Roman" w:hAnsi="Times New Roman" w:cs="Times New Roman"/>
          <w:sz w:val="24"/>
          <w:szCs w:val="24"/>
        </w:rPr>
        <w:t>) y la Comunidad Autónoma de Andalucía</w:t>
      </w:r>
      <w:r>
        <w:rPr>
          <w:rStyle w:val="Refdenotaalpie"/>
          <w:rFonts w:ascii="Times New Roman" w:hAnsi="Times New Roman" w:cs="Times New Roman"/>
          <w:sz w:val="24"/>
          <w:szCs w:val="24"/>
        </w:rPr>
        <w:footnoteReference w:id="166"/>
      </w:r>
      <w:r>
        <w:rPr>
          <w:rFonts w:ascii="Times New Roman" w:hAnsi="Times New Roman" w:cs="Times New Roman"/>
          <w:sz w:val="24"/>
          <w:szCs w:val="24"/>
        </w:rPr>
        <w:t xml:space="preserve"> (con competencias propias cedidas por el artículo 148 de la Constitución Española de 1978 y el Estatuto de Autonomía de Andalucía); y (ii) por otro lado la intervención de la Unión Europea en calidad mediadora en este foro de diálogo, acercando posturas contrapuestas y reduciendo los riesgos que pudieran amenazar un proceso de diálogo y mediación (tales como los cambios de gobierno o movimientos nacionalistas antes comentados).</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 xml:space="preserve">Sin intención de defender un pronunciamiento sobre el fondo del asunto, es preciso destacar que la normalización del territorio de Gibraltar en la Unión Europea debe constituir un punto ineludible que las partes del contencioso habrán de afrontar para reducir su dimensión global.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Tomando como referencia las consideraciones recientemente enunciadas en la propuesta de archivo de la denuncia CHAP 2013/</w:t>
      </w:r>
      <w:r w:rsidRPr="00EF2467">
        <w:rPr>
          <w:rFonts w:ascii="Times New Roman" w:hAnsi="Times New Roman" w:cs="Times New Roman"/>
          <w:sz w:val="24"/>
          <w:szCs w:val="24"/>
        </w:rPr>
        <w:t>2466 (2013/C 357/04)</w:t>
      </w:r>
      <w:r>
        <w:rPr>
          <w:rFonts w:ascii="Times New Roman" w:hAnsi="Times New Roman" w:cs="Times New Roman"/>
          <w:sz w:val="24"/>
          <w:szCs w:val="24"/>
        </w:rPr>
        <w:t xml:space="preserve">, es preciso recalcar que la Comisión invitó a las autoridades de Gibraltar </w:t>
      </w:r>
      <w:r w:rsidRPr="00C04F46">
        <w:rPr>
          <w:rFonts w:ascii="Times New Roman" w:hAnsi="Times New Roman" w:cs="Times New Roman"/>
          <w:sz w:val="24"/>
          <w:szCs w:val="24"/>
        </w:rPr>
        <w:t xml:space="preserve">a considerar la posibilidad de revisar la </w:t>
      </w:r>
      <w:r>
        <w:rPr>
          <w:rFonts w:ascii="Times New Roman" w:hAnsi="Times New Roman" w:cs="Times New Roman"/>
          <w:sz w:val="24"/>
          <w:szCs w:val="24"/>
        </w:rPr>
        <w:t>legislación</w:t>
      </w:r>
      <w:r w:rsidRPr="00C04F46">
        <w:rPr>
          <w:rFonts w:ascii="Times New Roman" w:hAnsi="Times New Roman" w:cs="Times New Roman"/>
          <w:sz w:val="24"/>
          <w:szCs w:val="24"/>
        </w:rPr>
        <w:t xml:space="preserve"> gibraltareña </w:t>
      </w:r>
      <w:r>
        <w:rPr>
          <w:rFonts w:ascii="Times New Roman" w:hAnsi="Times New Roman" w:cs="Times New Roman"/>
          <w:sz w:val="24"/>
          <w:szCs w:val="24"/>
        </w:rPr>
        <w:t>reguladora d</w:t>
      </w:r>
      <w:r w:rsidRPr="00C04F46">
        <w:rPr>
          <w:rFonts w:ascii="Times New Roman" w:hAnsi="Times New Roman" w:cs="Times New Roman"/>
          <w:sz w:val="24"/>
          <w:szCs w:val="24"/>
        </w:rPr>
        <w:t xml:space="preserve">el tabaco de 1997 </w:t>
      </w:r>
      <w:r>
        <w:rPr>
          <w:rFonts w:ascii="Times New Roman" w:hAnsi="Times New Roman" w:cs="Times New Roman"/>
          <w:sz w:val="24"/>
          <w:szCs w:val="24"/>
        </w:rPr>
        <w:t>con el objetivo</w:t>
      </w:r>
      <w:r w:rsidRPr="00C04F46">
        <w:rPr>
          <w:rFonts w:ascii="Times New Roman" w:hAnsi="Times New Roman" w:cs="Times New Roman"/>
          <w:sz w:val="24"/>
          <w:szCs w:val="24"/>
        </w:rPr>
        <w:t xml:space="preserve"> aju</w:t>
      </w:r>
      <w:r>
        <w:rPr>
          <w:rFonts w:ascii="Times New Roman" w:hAnsi="Times New Roman" w:cs="Times New Roman"/>
          <w:sz w:val="24"/>
          <w:szCs w:val="24"/>
        </w:rPr>
        <w:t>starla a la legislación de la Unión Europea</w:t>
      </w:r>
      <w:r w:rsidRPr="00C04F46">
        <w:rPr>
          <w:rFonts w:ascii="Times New Roman" w:hAnsi="Times New Roman" w:cs="Times New Roman"/>
          <w:sz w:val="24"/>
          <w:szCs w:val="24"/>
        </w:rPr>
        <w:t xml:space="preserve"> sobre las exenciones fiscales y aduaneras para </w:t>
      </w:r>
      <w:r>
        <w:rPr>
          <w:rFonts w:ascii="Times New Roman" w:hAnsi="Times New Roman" w:cs="Times New Roman"/>
          <w:sz w:val="24"/>
          <w:szCs w:val="24"/>
        </w:rPr>
        <w:t>los viajeros con destino a la Unión</w:t>
      </w:r>
      <w:r w:rsidRPr="00C04F46">
        <w:rPr>
          <w:rFonts w:ascii="Times New Roman" w:hAnsi="Times New Roman" w:cs="Times New Roman"/>
          <w:sz w:val="24"/>
          <w:szCs w:val="24"/>
        </w:rPr>
        <w:t xml:space="preserve"> y a los límites cuantitativos correspondientes para la importación de productos d</w:t>
      </w:r>
      <w:r>
        <w:rPr>
          <w:rFonts w:ascii="Times New Roman" w:hAnsi="Times New Roman" w:cs="Times New Roman"/>
          <w:sz w:val="24"/>
          <w:szCs w:val="24"/>
        </w:rPr>
        <w:t xml:space="preserve">el tabaco libre de impuestos especiales. La Comisión igualmente animó </w:t>
      </w:r>
      <w:r w:rsidRPr="00C04F46">
        <w:rPr>
          <w:rFonts w:ascii="Times New Roman" w:hAnsi="Times New Roman" w:cs="Times New Roman"/>
          <w:sz w:val="24"/>
          <w:szCs w:val="24"/>
        </w:rPr>
        <w:t xml:space="preserve">a las autoridades de Gibraltar a tomar medidas adecuadas para garantizar que las importaciones a Gibraltar de productos del tabaco </w:t>
      </w:r>
      <w:r>
        <w:rPr>
          <w:rFonts w:ascii="Times New Roman" w:hAnsi="Times New Roman" w:cs="Times New Roman"/>
          <w:sz w:val="24"/>
          <w:szCs w:val="24"/>
        </w:rPr>
        <w:t>fuesen</w:t>
      </w:r>
      <w:r w:rsidRPr="00C04F46">
        <w:rPr>
          <w:rFonts w:ascii="Times New Roman" w:hAnsi="Times New Roman" w:cs="Times New Roman"/>
          <w:sz w:val="24"/>
          <w:szCs w:val="24"/>
        </w:rPr>
        <w:t xml:space="preserve"> acordes con la demanda legítima</w:t>
      </w:r>
      <w:r>
        <w:rPr>
          <w:rFonts w:ascii="Times New Roman" w:hAnsi="Times New Roman" w:cs="Times New Roman"/>
          <w:sz w:val="24"/>
          <w:szCs w:val="24"/>
        </w:rPr>
        <w:t xml:space="preserve">; así como </w:t>
      </w:r>
      <w:r w:rsidRPr="00C04F46">
        <w:rPr>
          <w:rFonts w:ascii="Times New Roman" w:hAnsi="Times New Roman" w:cs="Times New Roman"/>
          <w:sz w:val="24"/>
          <w:szCs w:val="24"/>
        </w:rPr>
        <w:t xml:space="preserve">garantizar </w:t>
      </w:r>
      <w:r>
        <w:rPr>
          <w:rFonts w:ascii="Times New Roman" w:hAnsi="Times New Roman" w:cs="Times New Roman"/>
          <w:sz w:val="24"/>
          <w:szCs w:val="24"/>
        </w:rPr>
        <w:t>que</w:t>
      </w:r>
      <w:r w:rsidRPr="00C04F46">
        <w:rPr>
          <w:rFonts w:ascii="Times New Roman" w:hAnsi="Times New Roman" w:cs="Times New Roman"/>
          <w:sz w:val="24"/>
          <w:szCs w:val="24"/>
        </w:rPr>
        <w:t xml:space="preserve"> los fabricantes de tabaco que suministren </w:t>
      </w:r>
      <w:r>
        <w:rPr>
          <w:rFonts w:ascii="Times New Roman" w:hAnsi="Times New Roman" w:cs="Times New Roman"/>
          <w:sz w:val="24"/>
          <w:szCs w:val="24"/>
        </w:rPr>
        <w:t>sus productos</w:t>
      </w:r>
      <w:r w:rsidRPr="00C04F46">
        <w:rPr>
          <w:rFonts w:ascii="Times New Roman" w:hAnsi="Times New Roman" w:cs="Times New Roman"/>
          <w:sz w:val="24"/>
          <w:szCs w:val="24"/>
        </w:rPr>
        <w:t xml:space="preserve"> a los clientes en Gibraltar procedan a los controles adecuados de la cadena de suministro.</w:t>
      </w:r>
      <w:r>
        <w:rPr>
          <w:rFonts w:ascii="Times New Roman" w:hAnsi="Times New Roman" w:cs="Times New Roman"/>
          <w:sz w:val="24"/>
          <w:szCs w:val="24"/>
        </w:rPr>
        <w:t xml:space="preserve">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Las valoraciones de la Comisión dan lugar a la conclusión de que existe una relación entre la no integración del territorio de Gibraltar en la Unión Aduanera ni la armonización fiscal (en el caso concreto de los impuestos especiales del tabaco) y los problemas fronterizos fruto de los controles legítimos efectuados por las autoridades españolas. </w:t>
      </w:r>
    </w:p>
    <w:p w:rsidR="00281C3C"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Siguiendo con este orden expositivo, es muy importante destacar el espíritu de los Acuerdos de Córdoba de 2006, los cuales buscaron el desarrollo económico y social tanto de Gibraltar como de la zona del Campo de Gibraltar, dejando “aparcado” el debate sobre la soberanía del territorio (que no tiene una dimensión comunitaria tan directa en comparación con la unión aduanera o la armonización fiscal)</w:t>
      </w:r>
      <w:r w:rsidR="007B5F12">
        <w:rPr>
          <w:rStyle w:val="Refdenotaalpie"/>
          <w:rFonts w:ascii="Times New Roman" w:hAnsi="Times New Roman" w:cs="Times New Roman"/>
          <w:sz w:val="24"/>
          <w:szCs w:val="24"/>
        </w:rPr>
        <w:footnoteReference w:id="167"/>
      </w:r>
      <w:r>
        <w:rPr>
          <w:rFonts w:ascii="Times New Roman" w:hAnsi="Times New Roman" w:cs="Times New Roman"/>
          <w:sz w:val="24"/>
          <w:szCs w:val="24"/>
        </w:rPr>
        <w:t xml:space="preserve">. Sería conveniente, pues, valorar la posibilidad de entablar un procedimiento de mediación específico sobre la integración del territorio de Gibraltar en la Unión Europea, relegando a otras vías de resolución de controversias el tratamiento de las dimensiones del contencioso relacionadas con la soberanía </w:t>
      </w:r>
      <w:r>
        <w:rPr>
          <w:rFonts w:ascii="Times New Roman" w:hAnsi="Times New Roman" w:cs="Times New Roman"/>
          <w:sz w:val="24"/>
          <w:szCs w:val="24"/>
        </w:rPr>
        <w:lastRenderedPageBreak/>
        <w:t xml:space="preserve">terrestre y marítima sobre los territorios en disputa en el que las diferencias entre las partes pudieran ser más abruptas (como la vía judicial del Tribunal Internacional de Justicia u el arbitraje, </w:t>
      </w:r>
      <w:r w:rsidR="003E5A04">
        <w:rPr>
          <w:rFonts w:ascii="Times New Roman" w:hAnsi="Times New Roman" w:cs="Times New Roman"/>
          <w:sz w:val="24"/>
          <w:szCs w:val="24"/>
        </w:rPr>
        <w:t>por ejemplo</w:t>
      </w:r>
      <w:r>
        <w:rPr>
          <w:rFonts w:ascii="Times New Roman" w:hAnsi="Times New Roman" w:cs="Times New Roman"/>
          <w:sz w:val="24"/>
          <w:szCs w:val="24"/>
        </w:rPr>
        <w:t>).</w:t>
      </w:r>
      <w:r w:rsidR="003E5A04">
        <w:rPr>
          <w:rFonts w:ascii="Times New Roman" w:hAnsi="Times New Roman" w:cs="Times New Roman"/>
          <w:sz w:val="24"/>
          <w:szCs w:val="24"/>
        </w:rPr>
        <w:t xml:space="preserve"> </w:t>
      </w:r>
    </w:p>
    <w:p w:rsidR="003B40A4" w:rsidRDefault="00281C3C"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3E5A04">
        <w:rPr>
          <w:rFonts w:ascii="Times New Roman" w:hAnsi="Times New Roman" w:cs="Times New Roman"/>
          <w:sz w:val="24"/>
          <w:szCs w:val="24"/>
        </w:rPr>
        <w:t>Dentro de la dimensión de integración comunitaria,</w:t>
      </w:r>
      <w:r>
        <w:rPr>
          <w:rFonts w:ascii="Times New Roman" w:hAnsi="Times New Roman" w:cs="Times New Roman"/>
          <w:sz w:val="24"/>
          <w:szCs w:val="24"/>
        </w:rPr>
        <w:t xml:space="preserve"> por el contrario,</w:t>
      </w:r>
      <w:r w:rsidR="003E5A04">
        <w:rPr>
          <w:rFonts w:ascii="Times New Roman" w:hAnsi="Times New Roman" w:cs="Times New Roman"/>
          <w:sz w:val="24"/>
          <w:szCs w:val="24"/>
        </w:rPr>
        <w:t xml:space="preserve"> la mediación adquiere indudablemente más relevancia</w:t>
      </w:r>
      <w:r>
        <w:rPr>
          <w:rFonts w:ascii="Times New Roman" w:hAnsi="Times New Roman" w:cs="Times New Roman"/>
          <w:sz w:val="24"/>
          <w:szCs w:val="24"/>
        </w:rPr>
        <w:t xml:space="preserve"> frente a los medios jurídicos, puesto que a diferencia de la </w:t>
      </w:r>
      <w:r w:rsidR="00EC3959">
        <w:rPr>
          <w:rFonts w:ascii="Times New Roman" w:hAnsi="Times New Roman" w:cs="Times New Roman"/>
          <w:sz w:val="24"/>
          <w:szCs w:val="24"/>
        </w:rPr>
        <w:t>cuestión de la soberanía (</w:t>
      </w:r>
      <w:r>
        <w:rPr>
          <w:rFonts w:ascii="Times New Roman" w:hAnsi="Times New Roman" w:cs="Times New Roman"/>
          <w:sz w:val="24"/>
          <w:szCs w:val="24"/>
        </w:rPr>
        <w:t>que nunca antes se ha sometido a controversia ante tribunales internacionales), la aplicación del Derecho comunitario en Gibraltar ha sido llevado a la vía judicial (</w:t>
      </w:r>
      <w:r w:rsidR="00EC3959">
        <w:rPr>
          <w:rFonts w:ascii="Times New Roman" w:hAnsi="Times New Roman" w:cs="Times New Roman"/>
          <w:sz w:val="24"/>
          <w:szCs w:val="24"/>
        </w:rPr>
        <w:t xml:space="preserve">a través del </w:t>
      </w:r>
      <w:r>
        <w:rPr>
          <w:rFonts w:ascii="Times New Roman" w:hAnsi="Times New Roman" w:cs="Times New Roman"/>
          <w:sz w:val="24"/>
          <w:szCs w:val="24"/>
        </w:rPr>
        <w:t xml:space="preserve">Tribunal de Justicia de las Comunidades Europeas) </w:t>
      </w:r>
      <w:r w:rsidR="00EC3959">
        <w:rPr>
          <w:rFonts w:ascii="Times New Roman" w:hAnsi="Times New Roman" w:cs="Times New Roman"/>
          <w:sz w:val="24"/>
          <w:szCs w:val="24"/>
        </w:rPr>
        <w:t>sustanciado por</w:t>
      </w:r>
      <w:r>
        <w:rPr>
          <w:rFonts w:ascii="Times New Roman" w:hAnsi="Times New Roman" w:cs="Times New Roman"/>
          <w:sz w:val="24"/>
          <w:szCs w:val="24"/>
        </w:rPr>
        <w:t xml:space="preserve"> diversos </w:t>
      </w:r>
      <w:r w:rsidR="00EC3959">
        <w:rPr>
          <w:rFonts w:ascii="Times New Roman" w:hAnsi="Times New Roman" w:cs="Times New Roman"/>
          <w:sz w:val="24"/>
          <w:szCs w:val="24"/>
        </w:rPr>
        <w:t>recursos de incumplimiento</w:t>
      </w:r>
      <w:r>
        <w:rPr>
          <w:rFonts w:ascii="Times New Roman" w:hAnsi="Times New Roman" w:cs="Times New Roman"/>
          <w:sz w:val="24"/>
          <w:szCs w:val="24"/>
        </w:rPr>
        <w:t xml:space="preserve">. </w:t>
      </w:r>
      <w:r w:rsidR="003B40A4">
        <w:rPr>
          <w:rFonts w:ascii="Times New Roman" w:hAnsi="Times New Roman" w:cs="Times New Roman"/>
          <w:sz w:val="24"/>
          <w:szCs w:val="24"/>
        </w:rPr>
        <w:t>La vía judicial europea, como he puesto de relieve en el epígrafe sobre la aplicación asimétrica del derecho comunitario en el territorio de Gibraltar, ha sido una vía de solución muy habitual para controversias concretas en materia de libre circulación de mercancías y armonización fiscal</w:t>
      </w:r>
      <w:r>
        <w:rPr>
          <w:rFonts w:ascii="Times New Roman" w:hAnsi="Times New Roman" w:cs="Times New Roman"/>
          <w:sz w:val="24"/>
          <w:szCs w:val="24"/>
        </w:rPr>
        <w:t xml:space="preserve">, </w:t>
      </w:r>
      <w:r w:rsidR="00F278C9">
        <w:rPr>
          <w:rFonts w:ascii="Times New Roman" w:hAnsi="Times New Roman" w:cs="Times New Roman"/>
          <w:sz w:val="24"/>
          <w:szCs w:val="24"/>
        </w:rPr>
        <w:t xml:space="preserve">pero no ha aportado soluciones definitivas </w:t>
      </w:r>
      <w:r w:rsidR="00EC3959">
        <w:rPr>
          <w:rFonts w:ascii="Times New Roman" w:hAnsi="Times New Roman" w:cs="Times New Roman"/>
          <w:sz w:val="24"/>
          <w:szCs w:val="24"/>
        </w:rPr>
        <w:t xml:space="preserve">ni generales </w:t>
      </w:r>
      <w:r w:rsidR="00F278C9">
        <w:rPr>
          <w:rFonts w:ascii="Times New Roman" w:hAnsi="Times New Roman" w:cs="Times New Roman"/>
          <w:sz w:val="24"/>
          <w:szCs w:val="24"/>
        </w:rPr>
        <w:t>al contencioso</w:t>
      </w:r>
      <w:r w:rsidR="00EC3959">
        <w:rPr>
          <w:rFonts w:ascii="Times New Roman" w:hAnsi="Times New Roman" w:cs="Times New Roman"/>
          <w:sz w:val="24"/>
          <w:szCs w:val="24"/>
        </w:rPr>
        <w:t xml:space="preserve">. Estas </w:t>
      </w:r>
      <w:r w:rsidR="00F278C9">
        <w:rPr>
          <w:rFonts w:ascii="Times New Roman" w:hAnsi="Times New Roman" w:cs="Times New Roman"/>
          <w:sz w:val="24"/>
          <w:szCs w:val="24"/>
        </w:rPr>
        <w:t>soluciones adquieren una dimensión más política</w:t>
      </w:r>
      <w:r w:rsidR="00EC3959">
        <w:rPr>
          <w:rFonts w:ascii="Times New Roman" w:hAnsi="Times New Roman" w:cs="Times New Roman"/>
          <w:sz w:val="24"/>
          <w:szCs w:val="24"/>
        </w:rPr>
        <w:t>, requiriendo la manifestación de las voluntades concretas de Reino Unido y España,</w:t>
      </w:r>
      <w:r w:rsidR="00F278C9">
        <w:rPr>
          <w:rFonts w:ascii="Times New Roman" w:hAnsi="Times New Roman" w:cs="Times New Roman"/>
          <w:sz w:val="24"/>
          <w:szCs w:val="24"/>
        </w:rPr>
        <w:t xml:space="preserve"> y </w:t>
      </w:r>
      <w:r w:rsidR="00EC3959">
        <w:rPr>
          <w:rFonts w:ascii="Times New Roman" w:hAnsi="Times New Roman" w:cs="Times New Roman"/>
          <w:sz w:val="24"/>
          <w:szCs w:val="24"/>
        </w:rPr>
        <w:t xml:space="preserve">se </w:t>
      </w:r>
      <w:r w:rsidR="00F278C9">
        <w:rPr>
          <w:rFonts w:ascii="Times New Roman" w:hAnsi="Times New Roman" w:cs="Times New Roman"/>
          <w:sz w:val="24"/>
          <w:szCs w:val="24"/>
        </w:rPr>
        <w:t>encuadrad</w:t>
      </w:r>
      <w:r w:rsidR="00EC3959">
        <w:rPr>
          <w:rFonts w:ascii="Times New Roman" w:hAnsi="Times New Roman" w:cs="Times New Roman"/>
          <w:sz w:val="24"/>
          <w:szCs w:val="24"/>
        </w:rPr>
        <w:t>a</w:t>
      </w:r>
      <w:r w:rsidR="00F278C9">
        <w:rPr>
          <w:rFonts w:ascii="Times New Roman" w:hAnsi="Times New Roman" w:cs="Times New Roman"/>
          <w:sz w:val="24"/>
          <w:szCs w:val="24"/>
        </w:rPr>
        <w:t xml:space="preserve"> en el contexto de la Unión Europea en razón de las competencias que atribuyen los Estados a la Organización</w:t>
      </w:r>
      <w:r w:rsidR="00EC3959">
        <w:rPr>
          <w:rFonts w:ascii="Times New Roman" w:hAnsi="Times New Roman" w:cs="Times New Roman"/>
          <w:sz w:val="24"/>
          <w:szCs w:val="24"/>
        </w:rPr>
        <w:t xml:space="preserve"> en los Tratados</w:t>
      </w:r>
      <w:r w:rsidR="003B40A4">
        <w:rPr>
          <w:rFonts w:ascii="Times New Roman" w:hAnsi="Times New Roman" w:cs="Times New Roman"/>
          <w:sz w:val="24"/>
          <w:szCs w:val="24"/>
        </w:rPr>
        <w:t>. A mi juicio es el momento de plantear un modelo que se oriente a proporcionar una solución definitiva y superadora, que en principio podría venir de la mano de la mediación.</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De este modo se podría señalar, como ejemplo de una posible normalización del territorio de Gibraltar en la Unión Europea el estatuto jurídico comunitario de las Islas del Canal, que aún no formando parte de las Islas Británicas y permaneciendo en territorio continental europeo su régimen aduanero y fiscal no está excluido del Acta de Adhesión de Reino Unido a la Unión Europea (y eventualmente tendría más sentido su diferenciación, ya que son territorios insulares a diferencia de Gibraltar que está unido físicamente al continente, siendo quizás la única frontera y aduana existente en territorio de la Unión Europea a día de hoy).</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En suma, el tratamiento de la normalización e integración del territorio de Gibraltar en la Unión Europea deberá ser un punto de vital importancia en el transcurso de un procedimiento de mediación. </w:t>
      </w:r>
    </w:p>
    <w:p w:rsidR="003B40A4" w:rsidRDefault="003B40A4"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5.  CONCLUSIONES.</w:t>
      </w:r>
    </w:p>
    <w:p w:rsidR="002326AB" w:rsidRDefault="007439BC" w:rsidP="002326A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r>
      <w:r w:rsidR="002326AB">
        <w:rPr>
          <w:rFonts w:ascii="Times New Roman" w:hAnsi="Times New Roman" w:cs="Times New Roman"/>
          <w:sz w:val="24"/>
          <w:szCs w:val="24"/>
        </w:rPr>
        <w:t xml:space="preserve">1. Dentro de los modelos clásicos de solución de controversias, la mediación internacional se perfila como un sistema basado en la intervención de un tercero para acercar posturas y proponer soluciones a la controversia. Si bien tradicionalmente se ha configurado en el Ordenamiento jurídico internacional tanto en el plano regional como en el universal; su promoción y propuestas de mejora llevados a cabo principalmente por el Secretario General de Naciones Unidas y la doctrina científica permiten encuadrar su actualización dentro de los nuevos modelos y escenarios de solución pacífica de controversias, así como su integración en modelos mixtos en conjunto con el arbitraje. </w:t>
      </w:r>
    </w:p>
    <w:p w:rsidR="002326AB" w:rsidRDefault="002326AB" w:rsidP="0023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2.  El procedimiento de mediación internacional deberá estar presidido por el principio de simplificación en su tramitación y desarrollo, diferenciador respecto de otros modelos de solución de controversias y elemento clave a la hora de la consecución de un acuerdo participado por las partes. Este principio deberá incluir por igual a la duración, no resultando positiva la inclusión de un plazo siempre que el procedimiento de mediación se sustente en una viabilidad objetiva.</w:t>
      </w:r>
    </w:p>
    <w:p w:rsidR="002326AB" w:rsidRDefault="002326AB" w:rsidP="002326A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3. El ejercicio de la labor del mediador internacional deberá estar influenciada por las Directrices de las Naciones Unidas para una Mediación Eficaz, que si bien no posen el valor vinculante de los Tratados orientan la labor del mediador internacional a un planteamiento profesional, ofreciendo además una interpretación cualificada de la aplicación práctica de la mediación internacional. En concreto destaca la actuación bajo los principios de imparcialidad, coherencia y transparencia; así como de actuación bajo el consentimiento de las partes a lo largo de todo el procedimiento de mediación, incluyéndose la ejecución de los acuerdos resultantes. Destaca por igual la participación de más agentes capaces de intervenir positivamente en el procedimiento de mediación aunque no sean sujetos de Derecho Internacional </w:t>
      </w:r>
      <w:r w:rsidRPr="00F96EED">
        <w:rPr>
          <w:rFonts w:ascii="Times New Roman" w:hAnsi="Times New Roman" w:cs="Times New Roman"/>
          <w:i/>
          <w:sz w:val="24"/>
          <w:szCs w:val="24"/>
        </w:rPr>
        <w:t>stricto sensu</w:t>
      </w:r>
      <w:r>
        <w:rPr>
          <w:rFonts w:ascii="Times New Roman" w:hAnsi="Times New Roman" w:cs="Times New Roman"/>
          <w:sz w:val="24"/>
          <w:szCs w:val="24"/>
        </w:rPr>
        <w:t xml:space="preserve">, como grupos religiosos, entidades locales, u órganos subnacionales con competencias atribuidas o propias.   </w:t>
      </w:r>
    </w:p>
    <w:p w:rsidR="002326AB" w:rsidRDefault="002326AB" w:rsidP="0023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4. El acuerdo que ponga fin a la mediación, si lo hubiere, deberá tratar todos los puntos conflictivos en los que se pudiera suscribir un pacto e intentar atajar todas las cuestiones estableciendo mecanismos o instituciones como garantía objetiva y vía de ejecución de cara a futuras controversias, como el recurso a otros métodos pacíficos y organismos comunes como un Tribunal, Asamblea u organización internacional.</w:t>
      </w:r>
    </w:p>
    <w:p w:rsidR="002326AB" w:rsidRDefault="002326AB" w:rsidP="0023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5. A la hora de aplicar el procedimiento de mediación al contencioso de Gibraltar entre Reino Unido y España, es necesario partir de la idea de la complejidad del mismo y de sus </w:t>
      </w:r>
      <w:r>
        <w:rPr>
          <w:rFonts w:ascii="Times New Roman" w:hAnsi="Times New Roman" w:cs="Times New Roman"/>
          <w:sz w:val="24"/>
          <w:szCs w:val="24"/>
        </w:rPr>
        <w:lastRenderedPageBreak/>
        <w:t xml:space="preserve">dimensiones en materia de soberanía terrestre, soberanía marítima e integración europea del modelo económico. </w:t>
      </w:r>
    </w:p>
    <w:p w:rsidR="002326AB" w:rsidRDefault="002326AB" w:rsidP="0023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6. En referencia al conflicto de soberanía terrestre, el territorio cedido ostenta diversos títulos en función del cedido en el Tratado de Utrecht, la zona del Monte Calpe adquirida por prescripción adquisitiva y el istmo, territorio este último en controversia internacional respecto del cual Reino Unido alega la existencia de prescripción adquisitiva y España la niega, alegando la existencia de múltiples protestos desde que se erigió por primera vez la llamada “verja” en el año 1909. </w:t>
      </w:r>
    </w:p>
    <w:p w:rsidR="002326AB" w:rsidRDefault="002326AB" w:rsidP="002326A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7. En relación al conflicto de soberanía marítima, la controversia alcanza dos interpretaciones distintas pues España alega la aplicación del principio de “costa seca” mediante el cual no se reconocería mar territorial y por el contrario Reino Unido defiende la existencia de dicho mar territorial. Bajo la Convención de Naciones Unidas sobre el Derecho del Mar no cabe duda del reconocimiento de mar territorial a Gibraltar, pero en ningún modo habría de entenderse que su derecho alcanzase al mar territorial del istmo en cuanto que el mismo es un territorio en disputa. </w:t>
      </w:r>
    </w:p>
    <w:p w:rsidR="002326AB" w:rsidRDefault="002326AB" w:rsidP="002326A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8. El conflicto en su dimensión de integración europea, si bien en referencia al estatus de los ciudadanos de Gibraltar como ciudadanos de la Unión Europea parece ya superado jurisprudencialmente, alcanzaría una mayor disputa en relación a la aplicación asimétrica del Derecho comunitario al modelo económico y fiscal de Gibraltar. El artículo 28 del Acta de Adhesión de Reino Unido a las Comunidades Europeas excluye de la aplicación a Gibraltar, entre otros, de la Unión Aduanera y la armonización de la imposición indirecta; aspectos que han repercutido en diversos incumplimientos incoados por España en sede judicial europea y que acrecienta el contencioso respecto de los controles fronterizos que trae consigo. Además, el sistema de imposición directa sobre sociedades ha sido parcialmente puesto en tela de juicio por el Tribunal de Justicia de la Unión Europea en el sentido del tratamiento diferenciado y las ventajas selectivas otorgado por Gibraltar a las sociedades extraterritoriales.</w:t>
      </w:r>
    </w:p>
    <w:p w:rsidR="003B40A4" w:rsidRDefault="002326AB" w:rsidP="003B40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9. Fracasado el modelo de negociación instado desde el proceso de descolonización iniciado por Naciones Unidas, consensuado en los acuerdos de Lisboa, Bruselas y el más reciente de 2004 que constituyó el Foro Trilateral (entre otras causas por cambios de gobierno y surgimiento de posiciones nacionalistas); es la hora de plantearse la búsqueda de nuevos modelos de solución de controversias para el contencioso teniendo muy en cuenta las distintas dimensiones del mismo y el tratamiento diferenciado que requieren. </w:t>
      </w:r>
      <w:r w:rsidR="00D94550">
        <w:rPr>
          <w:rFonts w:ascii="Times New Roman" w:hAnsi="Times New Roman" w:cs="Times New Roman"/>
          <w:sz w:val="24"/>
          <w:szCs w:val="24"/>
        </w:rPr>
        <w:t xml:space="preserve">Dentro de los medios </w:t>
      </w:r>
      <w:r w:rsidR="00D94550">
        <w:rPr>
          <w:rFonts w:ascii="Times New Roman" w:hAnsi="Times New Roman" w:cs="Times New Roman"/>
          <w:sz w:val="24"/>
          <w:szCs w:val="24"/>
        </w:rPr>
        <w:lastRenderedPageBreak/>
        <w:t>pacíficos aplicables a la integración europea la mediación se posiciona como una hipótesis c</w:t>
      </w:r>
      <w:r w:rsidR="00F935DE">
        <w:rPr>
          <w:rFonts w:ascii="Times New Roman" w:hAnsi="Times New Roman" w:cs="Times New Roman"/>
          <w:sz w:val="24"/>
          <w:szCs w:val="24"/>
        </w:rPr>
        <w:t>ualificada frente a la</w:t>
      </w:r>
      <w:r w:rsidR="00654E19">
        <w:rPr>
          <w:rFonts w:ascii="Times New Roman" w:hAnsi="Times New Roman" w:cs="Times New Roman"/>
          <w:sz w:val="24"/>
          <w:szCs w:val="24"/>
        </w:rPr>
        <w:t xml:space="preserve"> vía judicial o</w:t>
      </w:r>
      <w:r w:rsidR="00D94550">
        <w:rPr>
          <w:rFonts w:ascii="Times New Roman" w:hAnsi="Times New Roman" w:cs="Times New Roman"/>
          <w:sz w:val="24"/>
          <w:szCs w:val="24"/>
        </w:rPr>
        <w:t xml:space="preserve"> el arbitraje en razón a las </w:t>
      </w:r>
      <w:r w:rsidR="008B2113">
        <w:rPr>
          <w:rFonts w:ascii="Times New Roman" w:hAnsi="Times New Roman" w:cs="Times New Roman"/>
          <w:sz w:val="24"/>
          <w:szCs w:val="24"/>
        </w:rPr>
        <w:t>c</w:t>
      </w:r>
      <w:r w:rsidR="00D94550">
        <w:rPr>
          <w:rFonts w:ascii="Times New Roman" w:hAnsi="Times New Roman" w:cs="Times New Roman"/>
          <w:sz w:val="24"/>
          <w:szCs w:val="24"/>
        </w:rPr>
        <w:t>ompetencias cedidas por los Estados a la Unión Europea y la necesidad de obtener una</w:t>
      </w:r>
      <w:r w:rsidR="00F935DE">
        <w:rPr>
          <w:rFonts w:ascii="Times New Roman" w:hAnsi="Times New Roman" w:cs="Times New Roman"/>
          <w:sz w:val="24"/>
          <w:szCs w:val="24"/>
        </w:rPr>
        <w:t xml:space="preserve"> solución general y definitiva en la que participen los dos estados en conflicto. El inicio de medios políticos podría implicar el </w:t>
      </w:r>
      <w:r w:rsidR="00D94550">
        <w:rPr>
          <w:rFonts w:ascii="Times New Roman" w:hAnsi="Times New Roman" w:cs="Times New Roman"/>
          <w:sz w:val="24"/>
          <w:szCs w:val="24"/>
        </w:rPr>
        <w:t>estableciendo</w:t>
      </w:r>
      <w:r w:rsidR="00F935DE">
        <w:rPr>
          <w:rFonts w:ascii="Times New Roman" w:hAnsi="Times New Roman" w:cs="Times New Roman"/>
          <w:sz w:val="24"/>
          <w:szCs w:val="24"/>
        </w:rPr>
        <w:t xml:space="preserve"> de</w:t>
      </w:r>
      <w:r>
        <w:rPr>
          <w:rFonts w:ascii="Times New Roman" w:hAnsi="Times New Roman" w:cs="Times New Roman"/>
          <w:sz w:val="24"/>
          <w:szCs w:val="24"/>
        </w:rPr>
        <w:t xml:space="preserve"> un foro de diálogo entre Reino Unido, España, Gibraltar y Andalucía (estas últimas como entidades subnacionales con competencias </w:t>
      </w:r>
      <w:r w:rsidR="008B2113">
        <w:rPr>
          <w:rFonts w:ascii="Times New Roman" w:hAnsi="Times New Roman" w:cs="Times New Roman"/>
          <w:sz w:val="24"/>
          <w:szCs w:val="24"/>
        </w:rPr>
        <w:t xml:space="preserve">internas </w:t>
      </w:r>
      <w:r>
        <w:rPr>
          <w:rFonts w:ascii="Times New Roman" w:hAnsi="Times New Roman" w:cs="Times New Roman"/>
          <w:sz w:val="24"/>
          <w:szCs w:val="24"/>
        </w:rPr>
        <w:t xml:space="preserve">cedidas y cercanía geográfica) con el patrocinio de una mediación a manos de la Unión Europea; para así conseguir crear un entorno de diálogo y acercamiento de posturas donde se trate, con una mayor viabilidad de éxito el estudio de un nuevo modelo económico y fiscal para Gibraltar en la Unión Europea.  </w:t>
      </w:r>
    </w:p>
    <w:p w:rsidR="00884509" w:rsidRDefault="00884509" w:rsidP="003B40A4">
      <w:pPr>
        <w:spacing w:line="360" w:lineRule="auto"/>
        <w:jc w:val="both"/>
        <w:rPr>
          <w:rFonts w:ascii="Times New Roman" w:hAnsi="Times New Roman" w:cs="Times New Roman"/>
          <w:sz w:val="24"/>
          <w:szCs w:val="24"/>
        </w:rPr>
      </w:pPr>
    </w:p>
    <w:p w:rsidR="00884509" w:rsidRDefault="00884509" w:rsidP="003B40A4">
      <w:pPr>
        <w:spacing w:line="360" w:lineRule="auto"/>
        <w:jc w:val="both"/>
        <w:rPr>
          <w:rFonts w:ascii="Times New Roman" w:hAnsi="Times New Roman" w:cs="Times New Roman"/>
          <w:sz w:val="24"/>
          <w:szCs w:val="24"/>
        </w:rPr>
      </w:pPr>
    </w:p>
    <w:p w:rsidR="00884509" w:rsidRDefault="00884509" w:rsidP="003B40A4">
      <w:pPr>
        <w:spacing w:line="360" w:lineRule="auto"/>
        <w:jc w:val="both"/>
        <w:rPr>
          <w:rFonts w:ascii="Times New Roman" w:hAnsi="Times New Roman" w:cs="Times New Roman"/>
          <w:sz w:val="24"/>
          <w:szCs w:val="24"/>
        </w:rPr>
      </w:pPr>
    </w:p>
    <w:p w:rsidR="00884509" w:rsidRDefault="00884509" w:rsidP="003B40A4">
      <w:pPr>
        <w:spacing w:line="360" w:lineRule="auto"/>
        <w:jc w:val="both"/>
        <w:rPr>
          <w:rFonts w:ascii="Times New Roman" w:hAnsi="Times New Roman" w:cs="Times New Roman"/>
          <w:sz w:val="24"/>
          <w:szCs w:val="24"/>
        </w:rPr>
      </w:pPr>
    </w:p>
    <w:p w:rsidR="00884509" w:rsidRDefault="00884509" w:rsidP="003B40A4">
      <w:pPr>
        <w:spacing w:line="360" w:lineRule="auto"/>
        <w:jc w:val="both"/>
        <w:rPr>
          <w:rFonts w:ascii="Times New Roman" w:hAnsi="Times New Roman" w:cs="Times New Roman"/>
          <w:sz w:val="24"/>
          <w:szCs w:val="24"/>
        </w:rPr>
      </w:pPr>
    </w:p>
    <w:p w:rsidR="00884509" w:rsidRDefault="00884509" w:rsidP="003B40A4">
      <w:pPr>
        <w:spacing w:line="360" w:lineRule="auto"/>
        <w:jc w:val="both"/>
        <w:rPr>
          <w:rFonts w:ascii="Times New Roman" w:hAnsi="Times New Roman" w:cs="Times New Roman"/>
          <w:sz w:val="24"/>
          <w:szCs w:val="24"/>
        </w:rPr>
      </w:pPr>
    </w:p>
    <w:p w:rsidR="00884509" w:rsidRDefault="00884509" w:rsidP="003B40A4">
      <w:pPr>
        <w:spacing w:line="360" w:lineRule="auto"/>
        <w:jc w:val="both"/>
        <w:rPr>
          <w:rFonts w:ascii="Times New Roman" w:hAnsi="Times New Roman" w:cs="Times New Roman"/>
          <w:sz w:val="24"/>
          <w:szCs w:val="24"/>
        </w:rPr>
      </w:pPr>
    </w:p>
    <w:p w:rsidR="00884509" w:rsidRDefault="00884509" w:rsidP="003B40A4">
      <w:pPr>
        <w:spacing w:line="360" w:lineRule="auto"/>
        <w:jc w:val="both"/>
        <w:rPr>
          <w:rFonts w:ascii="Times New Roman" w:hAnsi="Times New Roman" w:cs="Times New Roman"/>
          <w:sz w:val="24"/>
          <w:szCs w:val="24"/>
        </w:rPr>
      </w:pPr>
    </w:p>
    <w:p w:rsidR="005E6E2D" w:rsidRDefault="005E6E2D" w:rsidP="003B40A4">
      <w:pPr>
        <w:spacing w:line="360" w:lineRule="auto"/>
        <w:jc w:val="both"/>
        <w:rPr>
          <w:rFonts w:ascii="Times New Roman" w:hAnsi="Times New Roman" w:cs="Times New Roman"/>
          <w:sz w:val="24"/>
          <w:szCs w:val="24"/>
        </w:rPr>
      </w:pPr>
    </w:p>
    <w:p w:rsidR="005E6E2D" w:rsidRDefault="005E6E2D" w:rsidP="003B40A4">
      <w:pPr>
        <w:spacing w:line="360" w:lineRule="auto"/>
        <w:jc w:val="both"/>
        <w:rPr>
          <w:rFonts w:ascii="Times New Roman" w:hAnsi="Times New Roman" w:cs="Times New Roman"/>
          <w:sz w:val="24"/>
          <w:szCs w:val="24"/>
        </w:rPr>
      </w:pPr>
    </w:p>
    <w:p w:rsidR="005E6E2D" w:rsidRDefault="005E6E2D" w:rsidP="003B40A4">
      <w:pPr>
        <w:spacing w:line="360" w:lineRule="auto"/>
        <w:jc w:val="both"/>
        <w:rPr>
          <w:rFonts w:ascii="Times New Roman" w:hAnsi="Times New Roman" w:cs="Times New Roman"/>
          <w:sz w:val="24"/>
          <w:szCs w:val="24"/>
        </w:rPr>
      </w:pPr>
    </w:p>
    <w:p w:rsidR="005E6E2D" w:rsidRDefault="005E6E2D" w:rsidP="003B40A4">
      <w:pPr>
        <w:spacing w:line="360" w:lineRule="auto"/>
        <w:jc w:val="both"/>
        <w:rPr>
          <w:rFonts w:ascii="Times New Roman" w:hAnsi="Times New Roman" w:cs="Times New Roman"/>
          <w:sz w:val="24"/>
          <w:szCs w:val="24"/>
        </w:rPr>
      </w:pPr>
    </w:p>
    <w:p w:rsidR="005E6E2D" w:rsidRDefault="005E6E2D" w:rsidP="003B40A4">
      <w:pPr>
        <w:spacing w:line="360" w:lineRule="auto"/>
        <w:jc w:val="both"/>
        <w:rPr>
          <w:rFonts w:ascii="Times New Roman" w:hAnsi="Times New Roman" w:cs="Times New Roman"/>
          <w:sz w:val="24"/>
          <w:szCs w:val="24"/>
        </w:rPr>
      </w:pPr>
    </w:p>
    <w:p w:rsidR="005E6E2D" w:rsidRDefault="005E6E2D" w:rsidP="003B40A4">
      <w:pPr>
        <w:spacing w:line="360" w:lineRule="auto"/>
        <w:jc w:val="both"/>
        <w:rPr>
          <w:rFonts w:ascii="Times New Roman" w:hAnsi="Times New Roman" w:cs="Times New Roman"/>
          <w:sz w:val="24"/>
          <w:szCs w:val="24"/>
        </w:rPr>
      </w:pPr>
    </w:p>
    <w:p w:rsidR="005E6E2D" w:rsidRDefault="005E6E2D" w:rsidP="003B40A4">
      <w:pPr>
        <w:spacing w:line="360" w:lineRule="auto"/>
        <w:jc w:val="both"/>
        <w:rPr>
          <w:rFonts w:ascii="Times New Roman" w:hAnsi="Times New Roman" w:cs="Times New Roman"/>
          <w:sz w:val="24"/>
          <w:szCs w:val="24"/>
        </w:rPr>
      </w:pPr>
    </w:p>
    <w:p w:rsidR="005E6E2D" w:rsidRDefault="005E6E2D" w:rsidP="003B40A4">
      <w:pPr>
        <w:spacing w:line="360" w:lineRule="auto"/>
        <w:jc w:val="both"/>
        <w:rPr>
          <w:rFonts w:ascii="Times New Roman" w:hAnsi="Times New Roman" w:cs="Times New Roman"/>
          <w:sz w:val="24"/>
          <w:szCs w:val="24"/>
        </w:rPr>
      </w:pPr>
    </w:p>
    <w:p w:rsidR="00884509" w:rsidRPr="005D5197" w:rsidRDefault="00884509" w:rsidP="00884509">
      <w:pPr>
        <w:spacing w:line="360" w:lineRule="auto"/>
        <w:jc w:val="both"/>
        <w:rPr>
          <w:rFonts w:ascii="Times New Roman" w:hAnsi="Times New Roman"/>
          <w:sz w:val="24"/>
          <w:szCs w:val="24"/>
        </w:rPr>
      </w:pPr>
      <w:r w:rsidRPr="005D5197">
        <w:rPr>
          <w:rFonts w:ascii="Times New Roman" w:hAnsi="Times New Roman"/>
          <w:sz w:val="24"/>
          <w:szCs w:val="24"/>
        </w:rPr>
        <w:lastRenderedPageBreak/>
        <w:t>6. BIBLIOGRAFÍA.</w:t>
      </w:r>
    </w:p>
    <w:p w:rsidR="00884509" w:rsidRPr="005D5197" w:rsidRDefault="00884509" w:rsidP="00884509">
      <w:pPr>
        <w:spacing w:line="360" w:lineRule="auto"/>
        <w:jc w:val="center"/>
        <w:rPr>
          <w:rFonts w:ascii="Times New Roman" w:hAnsi="Times New Roman"/>
          <w:sz w:val="24"/>
          <w:szCs w:val="24"/>
          <w:u w:val="single"/>
        </w:rPr>
      </w:pPr>
      <w:r w:rsidRPr="005D5197">
        <w:rPr>
          <w:rFonts w:ascii="Times New Roman" w:hAnsi="Times New Roman"/>
          <w:sz w:val="24"/>
          <w:szCs w:val="24"/>
          <w:u w:val="single"/>
        </w:rPr>
        <w:t>INDICE DE AUTORES</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rPr>
        <w:t xml:space="preserve">ANTÓN GUARDIOLA, C. </w:t>
      </w:r>
      <w:r w:rsidRPr="005D5197">
        <w:rPr>
          <w:rFonts w:ascii="Times New Roman" w:hAnsi="Times New Roman" w:cs="Times New Roman"/>
          <w:i/>
          <w:sz w:val="24"/>
          <w:szCs w:val="24"/>
        </w:rPr>
        <w:t xml:space="preserve">Gibraltar: un desafío en la Unión Europea. </w:t>
      </w:r>
      <w:r w:rsidRPr="005D5197">
        <w:rPr>
          <w:rFonts w:ascii="Times New Roman" w:hAnsi="Times New Roman" w:cs="Times New Roman"/>
          <w:sz w:val="24"/>
          <w:szCs w:val="24"/>
        </w:rPr>
        <w:t>Tirant lo Blanch, Valencia 2011.</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rPr>
        <w:t xml:space="preserve">AZCÁRRAGA BUSTAMANTE, J. “Las aguas españolas de Gibraltar”, publicado en </w:t>
      </w:r>
      <w:r w:rsidRPr="005D5197">
        <w:rPr>
          <w:rFonts w:ascii="Times New Roman" w:hAnsi="Times New Roman" w:cs="Times New Roman"/>
          <w:i/>
          <w:sz w:val="24"/>
          <w:szCs w:val="24"/>
        </w:rPr>
        <w:t xml:space="preserve">Estudios de Derecho internacional público y privado. Homenaje al profesor Luis Sela Stampil. </w:t>
      </w:r>
      <w:r w:rsidRPr="005D5197">
        <w:rPr>
          <w:rFonts w:ascii="Times New Roman" w:hAnsi="Times New Roman" w:cs="Times New Roman"/>
          <w:sz w:val="24"/>
          <w:szCs w:val="24"/>
        </w:rPr>
        <w:t>Universidad de Oviedo, 1970.</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884509">
        <w:rPr>
          <w:rFonts w:ascii="Times New Roman" w:hAnsi="Times New Roman" w:cs="Times New Roman"/>
          <w:sz w:val="24"/>
          <w:szCs w:val="24"/>
        </w:rPr>
        <w:t xml:space="preserve">AZOPARDI, K. </w:t>
      </w:r>
      <w:r w:rsidRPr="00884509">
        <w:rPr>
          <w:rFonts w:ascii="Times New Roman" w:hAnsi="Times New Roman" w:cs="Times New Roman"/>
          <w:i/>
          <w:sz w:val="24"/>
          <w:szCs w:val="24"/>
        </w:rPr>
        <w:t>Sovereignty and the Stateless Nation. Gibraltar in the Modern Legal Context.</w:t>
      </w:r>
      <w:r w:rsidRPr="00884509">
        <w:rPr>
          <w:rFonts w:ascii="Times New Roman" w:hAnsi="Times New Roman" w:cs="Times New Roman"/>
          <w:sz w:val="24"/>
          <w:szCs w:val="24"/>
        </w:rPr>
        <w:t xml:space="preserve"> </w:t>
      </w:r>
      <w:r w:rsidRPr="005D5197">
        <w:rPr>
          <w:rFonts w:ascii="Times New Roman" w:hAnsi="Times New Roman" w:cs="Times New Roman"/>
          <w:sz w:val="24"/>
          <w:szCs w:val="24"/>
        </w:rPr>
        <w:t>Hart Publishing. Portland (Oregon) 2009.</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rPr>
        <w:t xml:space="preserve">BAEZA BETANCORT, F. </w:t>
      </w:r>
      <w:r w:rsidRPr="005D5197">
        <w:rPr>
          <w:rFonts w:ascii="Times New Roman" w:hAnsi="Times New Roman" w:cs="Times New Roman"/>
          <w:i/>
          <w:sz w:val="24"/>
          <w:szCs w:val="24"/>
        </w:rPr>
        <w:t xml:space="preserve">Una aproximación jurídica al contencioso de Gibraltar. La clausula rebus sic standibus y el derecho de libre determinación de los pueblos. </w:t>
      </w:r>
      <w:r w:rsidRPr="005D5197">
        <w:rPr>
          <w:rFonts w:ascii="Times New Roman" w:hAnsi="Times New Roman" w:cs="Times New Roman"/>
          <w:sz w:val="24"/>
          <w:szCs w:val="24"/>
        </w:rPr>
        <w:t>Real Sociedad Económica de Amigos del País. Las Palmas de Gran Canaria 2001.</w:t>
      </w:r>
    </w:p>
    <w:p w:rsidR="00884509" w:rsidRPr="005D5197" w:rsidRDefault="00884509" w:rsidP="00884509">
      <w:pPr>
        <w:spacing w:line="360" w:lineRule="auto"/>
        <w:ind w:left="1134" w:hanging="1134"/>
        <w:jc w:val="both"/>
        <w:rPr>
          <w:rFonts w:ascii="Times New Roman" w:hAnsi="Times New Roman" w:cs="Times New Roman"/>
          <w:sz w:val="24"/>
          <w:szCs w:val="24"/>
          <w:lang w:val="en-US"/>
        </w:rPr>
      </w:pPr>
      <w:r w:rsidRPr="005D5197">
        <w:rPr>
          <w:rFonts w:ascii="Times New Roman" w:hAnsi="Times New Roman" w:cs="Times New Roman"/>
          <w:sz w:val="24"/>
          <w:szCs w:val="24"/>
          <w:lang w:val="en-US"/>
        </w:rPr>
        <w:t xml:space="preserve">BEARDSLEY, K. </w:t>
      </w:r>
      <w:r w:rsidRPr="005D5197">
        <w:rPr>
          <w:rFonts w:ascii="Times New Roman" w:hAnsi="Times New Roman" w:cs="Times New Roman"/>
          <w:i/>
          <w:sz w:val="24"/>
          <w:szCs w:val="24"/>
          <w:lang w:val="en-US"/>
        </w:rPr>
        <w:t>The Mediation Dilemma</w:t>
      </w:r>
      <w:r w:rsidRPr="005D5197">
        <w:rPr>
          <w:rFonts w:ascii="Times New Roman" w:hAnsi="Times New Roman" w:cs="Times New Roman"/>
          <w:sz w:val="24"/>
          <w:szCs w:val="24"/>
          <w:lang w:val="en-US"/>
        </w:rPr>
        <w:t>. Editorial Cornell University Press. Ithaca, Nueva York 2011.</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lang w:val="en-US"/>
        </w:rPr>
        <w:t xml:space="preserve">BRAHIMI, L. y AHMED, S. </w:t>
      </w:r>
      <w:r w:rsidRPr="005D5197">
        <w:rPr>
          <w:rFonts w:ascii="Times New Roman" w:hAnsi="Times New Roman" w:cs="Times New Roman"/>
          <w:i/>
          <w:sz w:val="24"/>
          <w:szCs w:val="24"/>
          <w:lang w:val="en-US"/>
        </w:rPr>
        <w:t xml:space="preserve">In pursuit of sustainable peace. The Seven Deadly Sins of Mediation. </w:t>
      </w:r>
      <w:r w:rsidRPr="005D5197">
        <w:rPr>
          <w:rFonts w:ascii="Times New Roman" w:hAnsi="Times New Roman" w:cs="Times New Roman"/>
          <w:sz w:val="24"/>
          <w:szCs w:val="24"/>
        </w:rPr>
        <w:t>Center on International Cooperation. New York University, Nueva York 2009.</w:t>
      </w:r>
    </w:p>
    <w:p w:rsidR="00884509" w:rsidRPr="005D5197" w:rsidRDefault="00884509" w:rsidP="00884509">
      <w:pPr>
        <w:spacing w:line="360" w:lineRule="auto"/>
        <w:ind w:left="1134" w:hanging="1134"/>
        <w:jc w:val="both"/>
        <w:rPr>
          <w:rFonts w:ascii="Times New Roman" w:hAnsi="Times New Roman"/>
          <w:sz w:val="24"/>
          <w:szCs w:val="24"/>
        </w:rPr>
      </w:pPr>
      <w:r w:rsidRPr="005D5197">
        <w:rPr>
          <w:rFonts w:ascii="Times New Roman" w:hAnsi="Times New Roman" w:cs="Times New Roman"/>
          <w:sz w:val="24"/>
          <w:szCs w:val="24"/>
        </w:rPr>
        <w:t xml:space="preserve">CARABATE MUNTADA, José, </w:t>
      </w:r>
      <w:r w:rsidRPr="005D5197">
        <w:rPr>
          <w:rFonts w:ascii="Times New Roman" w:hAnsi="Times New Roman" w:cs="Times New Roman"/>
          <w:i/>
          <w:sz w:val="24"/>
          <w:szCs w:val="24"/>
        </w:rPr>
        <w:t xml:space="preserve">La mediación. Presente y futuro de una institución jurídica. </w:t>
      </w:r>
      <w:r w:rsidRPr="005D5197">
        <w:rPr>
          <w:rFonts w:ascii="Times New Roman" w:hAnsi="Times New Roman" w:cs="Times New Roman"/>
          <w:sz w:val="24"/>
          <w:szCs w:val="24"/>
        </w:rPr>
        <w:t>Centro Universitario Villanueva de la Universidad Complutense de Madrid, 2010 .</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rPr>
        <w:t xml:space="preserve">DEL VALLE GÁLVEZ, A. </w:t>
      </w:r>
    </w:p>
    <w:p w:rsidR="00884509" w:rsidRPr="005D5197" w:rsidRDefault="00884509" w:rsidP="00884509">
      <w:pPr>
        <w:pStyle w:val="Prrafodelista"/>
        <w:numPr>
          <w:ilvl w:val="0"/>
          <w:numId w:val="4"/>
        </w:numPr>
        <w:spacing w:line="360" w:lineRule="auto"/>
        <w:ind w:left="1134"/>
        <w:jc w:val="both"/>
        <w:rPr>
          <w:rFonts w:ascii="Times New Roman" w:hAnsi="Times New Roman" w:cs="Times New Roman"/>
          <w:sz w:val="24"/>
          <w:szCs w:val="24"/>
        </w:rPr>
      </w:pPr>
      <w:r w:rsidRPr="005D5197">
        <w:rPr>
          <w:rFonts w:ascii="Times New Roman" w:hAnsi="Times New Roman" w:cs="Times New Roman"/>
          <w:sz w:val="24"/>
          <w:szCs w:val="24"/>
        </w:rPr>
        <w:t xml:space="preserve">y GONZALEZ GARCÍA, I. </w:t>
      </w:r>
      <w:r w:rsidRPr="005D5197">
        <w:rPr>
          <w:rFonts w:ascii="Times New Roman" w:hAnsi="Times New Roman" w:cs="Times New Roman"/>
          <w:i/>
          <w:sz w:val="24"/>
          <w:szCs w:val="24"/>
        </w:rPr>
        <w:t xml:space="preserve">Gibraltar, 300 años. </w:t>
      </w:r>
      <w:r w:rsidRPr="005D5197">
        <w:rPr>
          <w:rFonts w:ascii="Times New Roman" w:hAnsi="Times New Roman" w:cs="Times New Roman"/>
          <w:sz w:val="24"/>
          <w:szCs w:val="24"/>
        </w:rPr>
        <w:t>Servicio de publicaciones de la Universidad de Cádiz. Cádiz, 2004.</w:t>
      </w:r>
    </w:p>
    <w:p w:rsidR="00884509" w:rsidRPr="005D5197" w:rsidRDefault="00884509" w:rsidP="00884509">
      <w:pPr>
        <w:pStyle w:val="Prrafodelista"/>
        <w:numPr>
          <w:ilvl w:val="0"/>
          <w:numId w:val="4"/>
        </w:numPr>
        <w:spacing w:line="360" w:lineRule="auto"/>
        <w:ind w:left="1134"/>
        <w:jc w:val="both"/>
        <w:rPr>
          <w:rFonts w:ascii="Times New Roman" w:hAnsi="Times New Roman" w:cs="Times New Roman"/>
          <w:sz w:val="24"/>
          <w:szCs w:val="24"/>
        </w:rPr>
      </w:pPr>
      <w:r w:rsidRPr="005D5197">
        <w:rPr>
          <w:rFonts w:ascii="Times New Roman" w:hAnsi="Times New Roman" w:cs="Times New Roman"/>
          <w:sz w:val="24"/>
          <w:szCs w:val="24"/>
        </w:rPr>
        <w:t>“¿De verdad cedimos el peñón? Opciones estratégicas de España sobre Gibraltar a los 300 años del Tratado de Utrecht”. Publicado en la Revista Española de Derecho Internacional, vol. LXV de 2013.</w:t>
      </w:r>
    </w:p>
    <w:p w:rsidR="00884509" w:rsidRPr="005D5197" w:rsidRDefault="00884509" w:rsidP="00884509">
      <w:pPr>
        <w:pStyle w:val="Prrafodelista"/>
        <w:numPr>
          <w:ilvl w:val="0"/>
          <w:numId w:val="4"/>
        </w:numPr>
        <w:spacing w:line="360" w:lineRule="auto"/>
        <w:ind w:left="1134"/>
        <w:jc w:val="both"/>
        <w:rPr>
          <w:rFonts w:ascii="Times New Roman" w:hAnsi="Times New Roman" w:cs="Times New Roman"/>
          <w:sz w:val="24"/>
          <w:szCs w:val="24"/>
        </w:rPr>
      </w:pPr>
      <w:r w:rsidRPr="005D5197">
        <w:rPr>
          <w:rFonts w:ascii="Times New Roman" w:hAnsi="Times New Roman" w:cs="Times New Roman"/>
          <w:sz w:val="24"/>
          <w:szCs w:val="24"/>
        </w:rPr>
        <w:t>“Gibraltar: del foro tripartito a cuatripartito: entre la cooperación transfronteriza y la soberanía. Revista ARI, Real Instituto Elcano, 21/2012, fecha 23/03/2012.</w:t>
      </w:r>
    </w:p>
    <w:p w:rsidR="00884509" w:rsidRPr="005D5197" w:rsidRDefault="00884509" w:rsidP="00884509">
      <w:pPr>
        <w:pStyle w:val="Prrafodelista"/>
        <w:numPr>
          <w:ilvl w:val="0"/>
          <w:numId w:val="4"/>
        </w:numPr>
        <w:spacing w:line="360" w:lineRule="auto"/>
        <w:ind w:left="1134"/>
        <w:jc w:val="both"/>
        <w:rPr>
          <w:rFonts w:ascii="Times New Roman" w:hAnsi="Times New Roman" w:cs="Times New Roman"/>
          <w:sz w:val="24"/>
          <w:szCs w:val="24"/>
        </w:rPr>
      </w:pPr>
      <w:r w:rsidRPr="005D5197">
        <w:rPr>
          <w:rFonts w:ascii="Times New Roman" w:hAnsi="Times New Roman" w:cs="Times New Roman"/>
          <w:sz w:val="24"/>
          <w:szCs w:val="24"/>
        </w:rPr>
        <w:t>“Los acuerdos del Foro de Diálogo sobre Gibraltar: la apuesta por la normalización”.  Revista ARI 107/2006, Real Instituto Elcano, fecha 19/10/2006.</w:t>
      </w:r>
    </w:p>
    <w:p w:rsidR="00884509" w:rsidRPr="005D5197" w:rsidRDefault="00884509" w:rsidP="00884509">
      <w:pPr>
        <w:spacing w:line="360" w:lineRule="auto"/>
        <w:ind w:left="1134" w:hanging="1134"/>
        <w:jc w:val="both"/>
        <w:rPr>
          <w:rFonts w:ascii="Times New Roman" w:hAnsi="Times New Roman"/>
          <w:sz w:val="24"/>
          <w:szCs w:val="24"/>
        </w:rPr>
      </w:pPr>
      <w:r w:rsidRPr="005D5197">
        <w:rPr>
          <w:rFonts w:ascii="Times New Roman" w:hAnsi="Times New Roman" w:cs="Times New Roman"/>
          <w:sz w:val="24"/>
          <w:szCs w:val="24"/>
        </w:rPr>
        <w:lastRenderedPageBreak/>
        <w:t>DIAZ ABAD, N. “La fiscalidad de Gibraltar a examen”. Revista Española de Derecho Europeo, enero-marzo de 2012.</w:t>
      </w:r>
    </w:p>
    <w:p w:rsidR="00884509" w:rsidRPr="005D5197" w:rsidRDefault="00884509" w:rsidP="00884509">
      <w:pPr>
        <w:spacing w:line="360" w:lineRule="auto"/>
        <w:ind w:left="1134" w:hanging="1134"/>
        <w:jc w:val="both"/>
        <w:rPr>
          <w:rFonts w:ascii="Times New Roman" w:hAnsi="Times New Roman"/>
          <w:sz w:val="24"/>
          <w:szCs w:val="24"/>
        </w:rPr>
      </w:pPr>
      <w:r w:rsidRPr="005D5197">
        <w:rPr>
          <w:rFonts w:ascii="Times New Roman" w:hAnsi="Times New Roman"/>
          <w:sz w:val="24"/>
          <w:szCs w:val="24"/>
        </w:rPr>
        <w:t xml:space="preserve">DIEZ DE VELASCO, M. </w:t>
      </w:r>
      <w:r w:rsidRPr="005D5197">
        <w:rPr>
          <w:rFonts w:ascii="Times New Roman" w:hAnsi="Times New Roman"/>
          <w:i/>
          <w:sz w:val="24"/>
          <w:szCs w:val="24"/>
        </w:rPr>
        <w:t>Instituciones de derecho internacional público.</w:t>
      </w:r>
      <w:r w:rsidRPr="005D5197">
        <w:rPr>
          <w:rFonts w:ascii="Times New Roman" w:hAnsi="Times New Roman"/>
          <w:sz w:val="24"/>
          <w:szCs w:val="24"/>
        </w:rPr>
        <w:t xml:space="preserve"> Editorial Tecnos, Madrid 2011. </w:t>
      </w:r>
    </w:p>
    <w:p w:rsidR="00884509" w:rsidRPr="005D5197" w:rsidRDefault="00884509" w:rsidP="00884509">
      <w:pPr>
        <w:spacing w:line="360" w:lineRule="auto"/>
        <w:ind w:left="1134" w:hanging="1134"/>
        <w:jc w:val="both"/>
        <w:rPr>
          <w:rFonts w:ascii="Times New Roman" w:hAnsi="Times New Roman"/>
          <w:sz w:val="24"/>
          <w:szCs w:val="24"/>
        </w:rPr>
      </w:pPr>
      <w:r w:rsidRPr="005D5197">
        <w:rPr>
          <w:rFonts w:ascii="Times New Roman" w:hAnsi="Times New Roman" w:cs="Times New Roman"/>
          <w:sz w:val="24"/>
          <w:szCs w:val="24"/>
        </w:rPr>
        <w:t xml:space="preserve">GARCIA ROJA, J. y FERNADNEZ SANCHEZ, A. (coordinadores) </w:t>
      </w:r>
      <w:r w:rsidRPr="005D5197">
        <w:rPr>
          <w:rFonts w:ascii="Times New Roman" w:hAnsi="Times New Roman" w:cs="Times New Roman"/>
          <w:i/>
          <w:sz w:val="24"/>
          <w:szCs w:val="24"/>
        </w:rPr>
        <w:t xml:space="preserve">Integración europea a través de derechos fundamentales: de un sistema binario a otro integrado. </w:t>
      </w:r>
      <w:r w:rsidRPr="005D5197">
        <w:rPr>
          <w:rFonts w:ascii="Times New Roman" w:hAnsi="Times New Roman" w:cs="Times New Roman"/>
          <w:sz w:val="24"/>
          <w:szCs w:val="24"/>
        </w:rPr>
        <w:t>Centro de Estudios Políticos y Constitucionales, Madrid 2009.</w:t>
      </w:r>
    </w:p>
    <w:p w:rsidR="00884509" w:rsidRPr="005D5197" w:rsidRDefault="00884509" w:rsidP="00884509">
      <w:pPr>
        <w:spacing w:line="360" w:lineRule="auto"/>
        <w:ind w:left="1134" w:hanging="1134"/>
        <w:jc w:val="both"/>
        <w:rPr>
          <w:rFonts w:ascii="Times New Roman" w:hAnsi="Times New Roman"/>
          <w:sz w:val="24"/>
          <w:szCs w:val="24"/>
          <w:lang w:val="en-US"/>
        </w:rPr>
      </w:pPr>
      <w:r w:rsidRPr="005D5197">
        <w:rPr>
          <w:rFonts w:ascii="Times New Roman" w:hAnsi="Times New Roman"/>
          <w:sz w:val="24"/>
          <w:szCs w:val="24"/>
        </w:rPr>
        <w:t xml:space="preserve">QUINTERO OLIVARES, G., MORALES PRATS, F y otros. </w:t>
      </w:r>
      <w:r w:rsidRPr="005D5197">
        <w:rPr>
          <w:rFonts w:ascii="Times New Roman" w:hAnsi="Times New Roman"/>
          <w:i/>
          <w:sz w:val="24"/>
          <w:szCs w:val="24"/>
        </w:rPr>
        <w:t xml:space="preserve">Comentarios al Código penal, parte especial. </w:t>
      </w:r>
      <w:r w:rsidRPr="005D5197">
        <w:rPr>
          <w:rFonts w:ascii="Times New Roman" w:hAnsi="Times New Roman"/>
          <w:sz w:val="24"/>
          <w:szCs w:val="24"/>
          <w:lang w:val="en-US"/>
        </w:rPr>
        <w:t>Tomo III. Editorial Aranzadi-Thomson Reuters, Cizur Menor, Navarra 2008.</w:t>
      </w:r>
    </w:p>
    <w:p w:rsidR="00884509" w:rsidRPr="005D5197" w:rsidRDefault="00884509" w:rsidP="00884509">
      <w:pPr>
        <w:spacing w:line="360" w:lineRule="auto"/>
        <w:ind w:left="1134" w:hanging="1134"/>
        <w:jc w:val="both"/>
        <w:rPr>
          <w:rFonts w:ascii="Times New Roman" w:hAnsi="Times New Roman" w:cs="Times New Roman"/>
          <w:sz w:val="24"/>
          <w:szCs w:val="24"/>
          <w:lang w:val="en-US"/>
        </w:rPr>
      </w:pPr>
      <w:r w:rsidRPr="005D5197">
        <w:rPr>
          <w:rFonts w:ascii="Times New Roman" w:hAnsi="Times New Roman" w:cs="Times New Roman"/>
          <w:sz w:val="24"/>
          <w:szCs w:val="24"/>
          <w:lang w:val="en-US"/>
        </w:rPr>
        <w:t>GIESSMAN, Hans y WILLS, Oliver. “Seeking Compromise? Mediation Through the Eyes of Conflict Parties”, en Advancing Conflict Transformation, p. 187. The Berghof Handbook II. Opladen/Framington Hills: Barbara Budrich Publishers, Leverkusen 2011.</w:t>
      </w:r>
    </w:p>
    <w:p w:rsidR="00884509" w:rsidRPr="005D5197" w:rsidRDefault="00884509" w:rsidP="00884509">
      <w:pPr>
        <w:spacing w:line="360" w:lineRule="auto"/>
        <w:ind w:left="1134" w:hanging="1134"/>
        <w:jc w:val="both"/>
        <w:rPr>
          <w:rFonts w:ascii="Times New Roman" w:hAnsi="Times New Roman"/>
          <w:sz w:val="24"/>
          <w:szCs w:val="24"/>
        </w:rPr>
      </w:pPr>
      <w:r w:rsidRPr="005D5197">
        <w:rPr>
          <w:rFonts w:ascii="Times New Roman" w:hAnsi="Times New Roman" w:cs="Times New Roman"/>
          <w:sz w:val="24"/>
          <w:szCs w:val="24"/>
        </w:rPr>
        <w:t xml:space="preserve">IZQUIERDO SANS, C. </w:t>
      </w:r>
      <w:r w:rsidRPr="005D5197">
        <w:rPr>
          <w:rFonts w:ascii="Times New Roman" w:hAnsi="Times New Roman" w:cs="Times New Roman"/>
          <w:i/>
          <w:sz w:val="24"/>
          <w:szCs w:val="24"/>
        </w:rPr>
        <w:t xml:space="preserve">Gibraltar en la Unión Europea. Consecuencias sobre el contencioso hispánico-británico y el proceso de construcción europea. </w:t>
      </w:r>
      <w:r w:rsidRPr="005D5197">
        <w:rPr>
          <w:rFonts w:ascii="Times New Roman" w:hAnsi="Times New Roman" w:cs="Times New Roman"/>
          <w:sz w:val="24"/>
          <w:szCs w:val="24"/>
        </w:rPr>
        <w:t>Editorial Tecnos (Ediciones de la Universidad Autónoma de Madrid), Madrid 1996.</w:t>
      </w:r>
    </w:p>
    <w:p w:rsidR="00884509" w:rsidRPr="005D5197" w:rsidRDefault="00884509" w:rsidP="00884509">
      <w:pPr>
        <w:spacing w:line="360" w:lineRule="auto"/>
        <w:ind w:left="1134" w:hanging="1134"/>
        <w:jc w:val="both"/>
        <w:rPr>
          <w:rFonts w:ascii="Times New Roman" w:hAnsi="Times New Roman" w:cs="Times New Roman"/>
          <w:sz w:val="24"/>
          <w:szCs w:val="24"/>
          <w:lang w:val="en-US"/>
        </w:rPr>
      </w:pPr>
      <w:r w:rsidRPr="005D5197">
        <w:rPr>
          <w:rFonts w:ascii="Times New Roman" w:hAnsi="Times New Roman" w:cs="Times New Roman"/>
          <w:sz w:val="24"/>
          <w:szCs w:val="24"/>
          <w:lang w:val="en-US"/>
        </w:rPr>
        <w:t>LINCOLN, S. “The Legal Status of Gibraltar: Whose Rock is it Anyway?” Fordham International Law Journal, Volume 18, Issue 1. Nueva York, 1994.</w:t>
      </w:r>
    </w:p>
    <w:p w:rsidR="00884509" w:rsidRPr="005D5197" w:rsidRDefault="00884509" w:rsidP="00884509">
      <w:pPr>
        <w:spacing w:line="360" w:lineRule="auto"/>
        <w:ind w:left="1134" w:hanging="1134"/>
        <w:jc w:val="both"/>
        <w:rPr>
          <w:rFonts w:ascii="Times New Roman" w:hAnsi="Times New Roman" w:cs="Times New Roman"/>
          <w:sz w:val="24"/>
          <w:szCs w:val="24"/>
          <w:lang w:val="en-US"/>
        </w:rPr>
      </w:pPr>
      <w:r w:rsidRPr="005D5197">
        <w:rPr>
          <w:rFonts w:ascii="Times New Roman" w:hAnsi="Times New Roman" w:cs="Times New Roman"/>
          <w:sz w:val="24"/>
          <w:szCs w:val="24"/>
          <w:lang w:val="en-US"/>
        </w:rPr>
        <w:t xml:space="preserve">MERRIS, J.G. </w:t>
      </w:r>
      <w:r w:rsidRPr="005D5197">
        <w:rPr>
          <w:rFonts w:ascii="Times New Roman" w:hAnsi="Times New Roman" w:cs="Times New Roman"/>
          <w:i/>
          <w:sz w:val="24"/>
          <w:szCs w:val="24"/>
          <w:lang w:val="en-US"/>
        </w:rPr>
        <w:t xml:space="preserve">International dispute settlement. </w:t>
      </w:r>
      <w:r w:rsidRPr="005D5197">
        <w:rPr>
          <w:rFonts w:ascii="Times New Roman" w:hAnsi="Times New Roman" w:cs="Times New Roman"/>
          <w:sz w:val="24"/>
          <w:szCs w:val="24"/>
          <w:lang w:val="en-US"/>
        </w:rPr>
        <w:t>Cambridge University Press, Nueva York 2011.</w:t>
      </w:r>
    </w:p>
    <w:p w:rsidR="00884509" w:rsidRPr="005D5197" w:rsidRDefault="00884509" w:rsidP="00884509">
      <w:pPr>
        <w:spacing w:line="360" w:lineRule="auto"/>
        <w:ind w:left="1134" w:hanging="1134"/>
        <w:jc w:val="both"/>
        <w:rPr>
          <w:rFonts w:ascii="Times New Roman" w:hAnsi="Times New Roman" w:cs="Times New Roman"/>
          <w:sz w:val="24"/>
          <w:szCs w:val="24"/>
          <w:lang w:val="en-US"/>
        </w:rPr>
      </w:pPr>
      <w:r w:rsidRPr="005D5197">
        <w:rPr>
          <w:rFonts w:ascii="Times New Roman" w:hAnsi="Times New Roman" w:cs="Times New Roman"/>
          <w:sz w:val="24"/>
          <w:szCs w:val="24"/>
          <w:lang w:val="en-US"/>
        </w:rPr>
        <w:t>MULLER, K. “Being “european” in Gibraltar”. European Integration Journal, vol. 26, Nº 1, March 2004. Carfax Publishing, Londres 2004.</w:t>
      </w:r>
    </w:p>
    <w:p w:rsidR="00884509" w:rsidRPr="005D5197" w:rsidRDefault="00884509" w:rsidP="00884509">
      <w:pPr>
        <w:spacing w:line="360" w:lineRule="auto"/>
        <w:ind w:left="1134" w:hanging="1134"/>
        <w:jc w:val="both"/>
        <w:rPr>
          <w:rFonts w:ascii="Times New Roman" w:hAnsi="Times New Roman" w:cs="Times New Roman"/>
          <w:sz w:val="24"/>
          <w:szCs w:val="24"/>
          <w:lang w:val="en-US"/>
        </w:rPr>
      </w:pPr>
      <w:r w:rsidRPr="005D5197">
        <w:rPr>
          <w:rFonts w:ascii="Times New Roman" w:hAnsi="Times New Roman" w:cs="Times New Roman"/>
          <w:sz w:val="24"/>
          <w:szCs w:val="24"/>
          <w:lang w:val="en-US"/>
        </w:rPr>
        <w:t>NALDI, G. “The Status of the Disputed Waters Surrounding Gibraltar”. The international Journal of Marine and Coastal law, 2013.</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lang w:val="en-US"/>
        </w:rPr>
        <w:t xml:space="preserve">OLLÉ SESÉ, Manuel.  </w:t>
      </w:r>
      <w:r w:rsidRPr="005D5197">
        <w:rPr>
          <w:rFonts w:ascii="Times New Roman" w:hAnsi="Times New Roman" w:cs="Times New Roman"/>
          <w:i/>
          <w:sz w:val="24"/>
          <w:szCs w:val="24"/>
        </w:rPr>
        <w:t xml:space="preserve">Justicia universal para crímenes internacionales. </w:t>
      </w:r>
      <w:r w:rsidRPr="005D5197">
        <w:rPr>
          <w:rFonts w:ascii="Times New Roman" w:hAnsi="Times New Roman" w:cs="Times New Roman"/>
          <w:sz w:val="24"/>
          <w:szCs w:val="24"/>
        </w:rPr>
        <w:t>Editorial La Ley, Madrid 2008.</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rPr>
        <w:t xml:space="preserve">REMIRO BROTONS, A.  </w:t>
      </w:r>
    </w:p>
    <w:p w:rsidR="00884509" w:rsidRPr="005D5197" w:rsidRDefault="00884509" w:rsidP="00884509">
      <w:pPr>
        <w:pStyle w:val="Prrafodelista"/>
        <w:numPr>
          <w:ilvl w:val="0"/>
          <w:numId w:val="3"/>
        </w:numPr>
        <w:spacing w:line="360" w:lineRule="auto"/>
        <w:jc w:val="both"/>
        <w:rPr>
          <w:rFonts w:ascii="Times New Roman" w:hAnsi="Times New Roman" w:cs="Times New Roman"/>
          <w:sz w:val="24"/>
          <w:szCs w:val="24"/>
        </w:rPr>
      </w:pPr>
      <w:r w:rsidRPr="005D5197">
        <w:rPr>
          <w:rFonts w:ascii="Times New Roman" w:hAnsi="Times New Roman" w:cs="Times New Roman"/>
          <w:i/>
          <w:sz w:val="24"/>
          <w:szCs w:val="24"/>
        </w:rPr>
        <w:lastRenderedPageBreak/>
        <w:t xml:space="preserve">Derecho Internacional. </w:t>
      </w:r>
      <w:r w:rsidRPr="005D5197">
        <w:rPr>
          <w:rFonts w:ascii="Times New Roman" w:hAnsi="Times New Roman" w:cs="Times New Roman"/>
          <w:sz w:val="24"/>
          <w:szCs w:val="24"/>
        </w:rPr>
        <w:t>McGraw Hill, Madrid 1997.</w:t>
      </w:r>
    </w:p>
    <w:p w:rsidR="00884509" w:rsidRPr="005D5197" w:rsidRDefault="00884509" w:rsidP="00884509">
      <w:pPr>
        <w:pStyle w:val="Prrafodelista"/>
        <w:numPr>
          <w:ilvl w:val="0"/>
          <w:numId w:val="3"/>
        </w:numPr>
        <w:spacing w:line="360" w:lineRule="auto"/>
        <w:jc w:val="both"/>
        <w:rPr>
          <w:rFonts w:ascii="Times New Roman" w:hAnsi="Times New Roman" w:cs="Times New Roman"/>
          <w:sz w:val="24"/>
          <w:szCs w:val="24"/>
        </w:rPr>
      </w:pPr>
      <w:r w:rsidRPr="005D5197">
        <w:rPr>
          <w:rFonts w:ascii="Times New Roman" w:hAnsi="Times New Roman" w:cs="Times New Roman"/>
          <w:sz w:val="24"/>
          <w:szCs w:val="24"/>
        </w:rPr>
        <w:t>“Regreso a Gibraltar: acuerdos y desacuerdos hispano-británicos”. Universidad Autónoma de Madrid, Revista Jurídica, 2004</w:t>
      </w:r>
    </w:p>
    <w:p w:rsidR="00884509" w:rsidRPr="005D5197" w:rsidRDefault="00884509" w:rsidP="00884509">
      <w:pPr>
        <w:spacing w:line="360" w:lineRule="auto"/>
        <w:ind w:left="1134" w:hanging="1134"/>
        <w:jc w:val="both"/>
        <w:rPr>
          <w:rFonts w:ascii="Times New Roman" w:hAnsi="Times New Roman" w:cs="Times New Roman"/>
          <w:sz w:val="24"/>
          <w:szCs w:val="24"/>
          <w:lang w:val="en-US"/>
        </w:rPr>
      </w:pPr>
      <w:r w:rsidRPr="005D5197">
        <w:rPr>
          <w:rFonts w:ascii="Times New Roman" w:hAnsi="Times New Roman" w:cs="Times New Roman"/>
          <w:sz w:val="24"/>
          <w:szCs w:val="24"/>
          <w:lang w:val="en-US"/>
        </w:rPr>
        <w:t xml:space="preserve">ROVINE, A. </w:t>
      </w:r>
      <w:r w:rsidRPr="005D5197">
        <w:rPr>
          <w:rFonts w:ascii="Times New Roman" w:hAnsi="Times New Roman" w:cs="Times New Roman"/>
          <w:i/>
          <w:sz w:val="24"/>
          <w:szCs w:val="24"/>
          <w:lang w:val="en-US"/>
        </w:rPr>
        <w:t>Contemporary issues in international arbitration and mediation</w:t>
      </w:r>
      <w:r w:rsidRPr="005D5197">
        <w:rPr>
          <w:rFonts w:ascii="Times New Roman" w:hAnsi="Times New Roman" w:cs="Times New Roman"/>
          <w:sz w:val="24"/>
          <w:szCs w:val="24"/>
          <w:lang w:val="en-US"/>
        </w:rPr>
        <w:t>. Fordham Papers, Nueva York 2009</w:t>
      </w:r>
    </w:p>
    <w:p w:rsidR="00884509" w:rsidRPr="00884509" w:rsidRDefault="00884509" w:rsidP="00884509">
      <w:pPr>
        <w:spacing w:line="360" w:lineRule="auto"/>
        <w:ind w:left="1134" w:hanging="1134"/>
        <w:jc w:val="both"/>
        <w:rPr>
          <w:rFonts w:ascii="Times New Roman" w:hAnsi="Times New Roman" w:cs="Times New Roman"/>
          <w:sz w:val="24"/>
          <w:szCs w:val="24"/>
          <w:lang w:val="en-US"/>
        </w:rPr>
      </w:pPr>
      <w:r w:rsidRPr="00884509">
        <w:rPr>
          <w:rFonts w:ascii="Times New Roman" w:hAnsi="Times New Roman" w:cs="Times New Roman"/>
          <w:sz w:val="24"/>
          <w:szCs w:val="24"/>
          <w:lang w:val="en-US"/>
        </w:rPr>
        <w:t xml:space="preserve">RØD-LARSEN, T. y otros. </w:t>
      </w:r>
      <w:r w:rsidRPr="005D5197">
        <w:rPr>
          <w:rFonts w:ascii="Times New Roman" w:hAnsi="Times New Roman" w:cs="Times New Roman"/>
          <w:i/>
          <w:sz w:val="24"/>
          <w:szCs w:val="24"/>
          <w:lang w:val="en-US"/>
        </w:rPr>
        <w:t>International Peace Institute Blue Papers.</w:t>
      </w:r>
      <w:r w:rsidRPr="005D5197">
        <w:rPr>
          <w:rFonts w:ascii="Times New Roman" w:hAnsi="Times New Roman" w:cs="Times New Roman"/>
          <w:sz w:val="24"/>
          <w:szCs w:val="24"/>
          <w:lang w:val="en-US"/>
        </w:rPr>
        <w:t xml:space="preserve"> </w:t>
      </w:r>
      <w:r w:rsidRPr="005D5197">
        <w:rPr>
          <w:rFonts w:ascii="Times New Roman" w:hAnsi="Times New Roman" w:cs="Times New Roman"/>
          <w:i/>
          <w:sz w:val="24"/>
          <w:szCs w:val="24"/>
          <w:lang w:val="en-US"/>
        </w:rPr>
        <w:t>Mediation and Peace Process. Task Forces on Strengthening Multilateral Security Capacity</w:t>
      </w:r>
      <w:r w:rsidRPr="005D5197">
        <w:rPr>
          <w:rFonts w:ascii="Times New Roman" w:hAnsi="Times New Roman" w:cs="Times New Roman"/>
          <w:sz w:val="24"/>
          <w:szCs w:val="24"/>
          <w:lang w:val="en-US"/>
        </w:rPr>
        <w:t xml:space="preserve">. </w:t>
      </w:r>
      <w:r w:rsidRPr="00884509">
        <w:rPr>
          <w:rFonts w:ascii="Times New Roman" w:hAnsi="Times New Roman" w:cs="Times New Roman"/>
          <w:sz w:val="24"/>
          <w:szCs w:val="24"/>
          <w:lang w:val="en-US"/>
        </w:rPr>
        <w:t>Página 19. International Peace Institute, Nueva York 2009.</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rPr>
        <w:t xml:space="preserve">SALGADO, J. </w:t>
      </w:r>
      <w:r w:rsidRPr="005D5197">
        <w:rPr>
          <w:rFonts w:ascii="Times New Roman" w:hAnsi="Times New Roman" w:cs="Times New Roman"/>
          <w:i/>
          <w:sz w:val="24"/>
          <w:szCs w:val="24"/>
        </w:rPr>
        <w:t xml:space="preserve">Justicia Indígena. Apuntes para un debate. </w:t>
      </w:r>
      <w:r w:rsidRPr="005D5197">
        <w:rPr>
          <w:rFonts w:ascii="Times New Roman" w:hAnsi="Times New Roman" w:cs="Times New Roman"/>
          <w:sz w:val="24"/>
          <w:szCs w:val="24"/>
        </w:rPr>
        <w:t>Editorial Abya Yala,  Quito 2002.</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rPr>
        <w:t xml:space="preserve">VAZQUEZ GÓMEZ,, E y otros autores, </w:t>
      </w:r>
      <w:r w:rsidRPr="005D5197">
        <w:rPr>
          <w:rFonts w:ascii="Times New Roman" w:hAnsi="Times New Roman" w:cs="Times New Roman"/>
          <w:i/>
          <w:sz w:val="24"/>
          <w:szCs w:val="24"/>
        </w:rPr>
        <w:t xml:space="preserve">El arreglo pacífico de controversias internacionales. XXIV Jornadas de la Asociación Española de Derecho Internacional y relaciones internacionales, Córdoba 20-22 de octubre de 2011. </w:t>
      </w:r>
      <w:r w:rsidRPr="005D5197">
        <w:rPr>
          <w:rFonts w:ascii="Times New Roman" w:hAnsi="Times New Roman" w:cs="Times New Roman"/>
          <w:sz w:val="24"/>
          <w:szCs w:val="24"/>
        </w:rPr>
        <w:t>Editorial Tirant lo Blanch, Valencia 2013.</w:t>
      </w:r>
    </w:p>
    <w:p w:rsidR="00884509" w:rsidRPr="005D5197" w:rsidRDefault="00884509" w:rsidP="00884509">
      <w:pPr>
        <w:spacing w:line="360" w:lineRule="auto"/>
        <w:ind w:left="1134" w:hanging="1134"/>
        <w:jc w:val="both"/>
        <w:rPr>
          <w:rFonts w:ascii="Times New Roman" w:hAnsi="Times New Roman" w:cs="Times New Roman"/>
          <w:sz w:val="24"/>
          <w:szCs w:val="24"/>
        </w:rPr>
      </w:pPr>
      <w:r w:rsidRPr="005D5197">
        <w:rPr>
          <w:rFonts w:ascii="Times New Roman" w:hAnsi="Times New Roman" w:cs="Times New Roman"/>
          <w:sz w:val="24"/>
          <w:szCs w:val="24"/>
        </w:rPr>
        <w:t>VERDÚ BAEZA, J. “La controversia sobre las aguas de Gibraltar: el mito de la costa seca”. Publicado en la Revista Española de derecho Internacional, vol. LXVI de 2014.</w:t>
      </w:r>
    </w:p>
    <w:p w:rsidR="00884509" w:rsidRPr="005D5197" w:rsidRDefault="00884509" w:rsidP="00884509">
      <w:pPr>
        <w:spacing w:line="360" w:lineRule="auto"/>
        <w:ind w:left="1134" w:hanging="1134"/>
        <w:jc w:val="both"/>
        <w:rPr>
          <w:rFonts w:ascii="Times New Roman" w:hAnsi="Times New Roman" w:cs="Times New Roman"/>
          <w:sz w:val="24"/>
          <w:szCs w:val="24"/>
          <w:lang w:val="en-US"/>
        </w:rPr>
      </w:pPr>
      <w:r w:rsidRPr="005D5197">
        <w:rPr>
          <w:rFonts w:ascii="Times New Roman" w:hAnsi="Times New Roman" w:cs="Times New Roman"/>
          <w:sz w:val="24"/>
          <w:szCs w:val="24"/>
        </w:rPr>
        <w:t xml:space="preserve">VELARDE FUENTES, J. </w:t>
      </w:r>
      <w:r w:rsidRPr="005D5197">
        <w:rPr>
          <w:rFonts w:ascii="Times New Roman" w:hAnsi="Times New Roman" w:cs="Times New Roman"/>
          <w:i/>
          <w:sz w:val="24"/>
          <w:szCs w:val="24"/>
        </w:rPr>
        <w:t>Gibraltar y su Campo: Una economía deprimida</w:t>
      </w:r>
      <w:r w:rsidRPr="005D5197">
        <w:rPr>
          <w:rFonts w:ascii="Times New Roman" w:hAnsi="Times New Roman" w:cs="Times New Roman"/>
          <w:sz w:val="24"/>
          <w:szCs w:val="24"/>
        </w:rPr>
        <w:t xml:space="preserve">. </w:t>
      </w:r>
      <w:r w:rsidRPr="005D5197">
        <w:rPr>
          <w:rFonts w:ascii="Times New Roman" w:hAnsi="Times New Roman" w:cs="Times New Roman"/>
          <w:sz w:val="24"/>
          <w:szCs w:val="24"/>
          <w:lang w:val="en-US"/>
        </w:rPr>
        <w:t>Editorial: Ariel, S.A., Barcelona 1970.</w:t>
      </w:r>
    </w:p>
    <w:p w:rsidR="00884509" w:rsidRDefault="00884509" w:rsidP="00884509">
      <w:pPr>
        <w:spacing w:line="360" w:lineRule="auto"/>
        <w:ind w:left="1134" w:hanging="1134"/>
        <w:jc w:val="both"/>
        <w:rPr>
          <w:rFonts w:ascii="Times New Roman" w:hAnsi="Times New Roman" w:cs="Times New Roman"/>
          <w:sz w:val="24"/>
          <w:szCs w:val="24"/>
          <w:lang w:val="en-US"/>
        </w:rPr>
      </w:pPr>
      <w:r w:rsidRPr="005D5197">
        <w:rPr>
          <w:rFonts w:ascii="Times New Roman" w:hAnsi="Times New Roman" w:cs="Times New Roman"/>
          <w:sz w:val="24"/>
          <w:szCs w:val="24"/>
          <w:lang w:val="en-US"/>
        </w:rPr>
        <w:t xml:space="preserve">WITHFIELD, T. </w:t>
      </w:r>
      <w:r w:rsidRPr="005D5197">
        <w:rPr>
          <w:rFonts w:ascii="Times New Roman" w:hAnsi="Times New Roman" w:cs="Times New Roman"/>
          <w:i/>
          <w:sz w:val="24"/>
          <w:szCs w:val="24"/>
          <w:lang w:val="en-US"/>
        </w:rPr>
        <w:t xml:space="preserve">External actors in mediation. Dilemmas &amp; options for mediators. </w:t>
      </w:r>
      <w:r w:rsidRPr="005D5197">
        <w:rPr>
          <w:rFonts w:ascii="Times New Roman" w:hAnsi="Times New Roman" w:cs="Times New Roman"/>
          <w:sz w:val="24"/>
          <w:szCs w:val="24"/>
          <w:lang w:val="en-US"/>
        </w:rPr>
        <w:t>Center for humanitarian dialogue, Ginebra 2010.</w:t>
      </w:r>
    </w:p>
    <w:p w:rsidR="00884509" w:rsidRDefault="00884509" w:rsidP="00884509">
      <w:pPr>
        <w:spacing w:line="360" w:lineRule="auto"/>
        <w:ind w:left="1134" w:hanging="1134"/>
        <w:jc w:val="both"/>
        <w:rPr>
          <w:rFonts w:ascii="Times New Roman" w:hAnsi="Times New Roman" w:cs="Times New Roman"/>
          <w:sz w:val="24"/>
          <w:szCs w:val="24"/>
          <w:lang w:val="en-US"/>
        </w:rPr>
      </w:pPr>
    </w:p>
    <w:p w:rsidR="00884509" w:rsidRDefault="00884509" w:rsidP="00884509">
      <w:pPr>
        <w:spacing w:line="360" w:lineRule="auto"/>
        <w:ind w:left="1134" w:hanging="1134"/>
        <w:jc w:val="both"/>
        <w:rPr>
          <w:rFonts w:ascii="Times New Roman" w:hAnsi="Times New Roman" w:cs="Times New Roman"/>
          <w:sz w:val="24"/>
          <w:szCs w:val="24"/>
          <w:lang w:val="en-US"/>
        </w:rPr>
      </w:pPr>
    </w:p>
    <w:p w:rsidR="00884509" w:rsidRDefault="00884509" w:rsidP="00884509">
      <w:pPr>
        <w:spacing w:line="360" w:lineRule="auto"/>
        <w:ind w:left="1134" w:hanging="1134"/>
        <w:jc w:val="both"/>
        <w:rPr>
          <w:rFonts w:ascii="Times New Roman" w:hAnsi="Times New Roman" w:cs="Times New Roman"/>
          <w:sz w:val="24"/>
          <w:szCs w:val="24"/>
          <w:lang w:val="en-US"/>
        </w:rPr>
      </w:pPr>
    </w:p>
    <w:p w:rsidR="00884509" w:rsidRDefault="00884509" w:rsidP="00884509">
      <w:pPr>
        <w:spacing w:line="360" w:lineRule="auto"/>
        <w:ind w:left="1134" w:hanging="1134"/>
        <w:jc w:val="both"/>
        <w:rPr>
          <w:rFonts w:ascii="Times New Roman" w:hAnsi="Times New Roman" w:cs="Times New Roman"/>
          <w:sz w:val="24"/>
          <w:szCs w:val="24"/>
          <w:lang w:val="en-US"/>
        </w:rPr>
      </w:pPr>
    </w:p>
    <w:p w:rsidR="00884509" w:rsidRDefault="00884509" w:rsidP="00884509">
      <w:pPr>
        <w:spacing w:line="360" w:lineRule="auto"/>
        <w:ind w:left="1134" w:hanging="1134"/>
        <w:jc w:val="both"/>
        <w:rPr>
          <w:rFonts w:ascii="Times New Roman" w:hAnsi="Times New Roman" w:cs="Times New Roman"/>
          <w:sz w:val="24"/>
          <w:szCs w:val="24"/>
          <w:lang w:val="en-US"/>
        </w:rPr>
      </w:pPr>
    </w:p>
    <w:p w:rsidR="00884509" w:rsidRDefault="00884509" w:rsidP="00884509">
      <w:pPr>
        <w:spacing w:line="360" w:lineRule="auto"/>
        <w:ind w:left="1134" w:hanging="1134"/>
        <w:jc w:val="both"/>
        <w:rPr>
          <w:rFonts w:ascii="Times New Roman" w:hAnsi="Times New Roman" w:cs="Times New Roman"/>
          <w:sz w:val="24"/>
          <w:szCs w:val="24"/>
          <w:lang w:val="en-US"/>
        </w:rPr>
      </w:pPr>
    </w:p>
    <w:p w:rsidR="00884509" w:rsidRPr="005D5197" w:rsidRDefault="00884509" w:rsidP="00884509">
      <w:pPr>
        <w:spacing w:line="360" w:lineRule="auto"/>
        <w:ind w:left="1134" w:hanging="1134"/>
        <w:jc w:val="both"/>
        <w:rPr>
          <w:rFonts w:ascii="Times New Roman" w:hAnsi="Times New Roman"/>
          <w:sz w:val="24"/>
          <w:szCs w:val="24"/>
          <w:lang w:val="en-US"/>
        </w:rPr>
      </w:pPr>
    </w:p>
    <w:p w:rsidR="00884509" w:rsidRPr="005D5197" w:rsidRDefault="00884509" w:rsidP="00884509">
      <w:pPr>
        <w:spacing w:line="360" w:lineRule="auto"/>
        <w:jc w:val="center"/>
        <w:rPr>
          <w:rFonts w:ascii="Times New Roman" w:hAnsi="Times New Roman"/>
          <w:sz w:val="24"/>
          <w:szCs w:val="24"/>
        </w:rPr>
      </w:pPr>
      <w:r w:rsidRPr="005D5197">
        <w:rPr>
          <w:rFonts w:ascii="Times New Roman" w:hAnsi="Times New Roman"/>
          <w:sz w:val="24"/>
          <w:szCs w:val="24"/>
        </w:rPr>
        <w:lastRenderedPageBreak/>
        <w:t>INDICE DE JURISPRUDENCIA</w:t>
      </w:r>
    </w:p>
    <w:p w:rsidR="00884509" w:rsidRPr="005D5197" w:rsidRDefault="00884509" w:rsidP="00884509">
      <w:pPr>
        <w:spacing w:line="360" w:lineRule="auto"/>
        <w:jc w:val="both"/>
        <w:rPr>
          <w:rFonts w:ascii="Times New Roman" w:hAnsi="Times New Roman"/>
          <w:sz w:val="24"/>
          <w:szCs w:val="24"/>
        </w:rPr>
      </w:pPr>
    </w:p>
    <w:p w:rsidR="00884509" w:rsidRPr="005D5197" w:rsidRDefault="00884509" w:rsidP="00884509">
      <w:pPr>
        <w:spacing w:line="360" w:lineRule="auto"/>
        <w:jc w:val="both"/>
        <w:rPr>
          <w:rFonts w:ascii="Times New Roman" w:hAnsi="Times New Roman"/>
          <w:sz w:val="24"/>
          <w:szCs w:val="24"/>
          <w:u w:val="single"/>
        </w:rPr>
      </w:pPr>
      <w:r w:rsidRPr="005D5197">
        <w:rPr>
          <w:rFonts w:ascii="Times New Roman" w:hAnsi="Times New Roman"/>
          <w:sz w:val="24"/>
          <w:szCs w:val="24"/>
          <w:u w:val="single"/>
        </w:rPr>
        <w:t>TRIBUNAL INTERNACIONAL DE JUSTICIA</w:t>
      </w:r>
    </w:p>
    <w:p w:rsidR="00884509" w:rsidRPr="005D5197" w:rsidRDefault="00884509" w:rsidP="00884509">
      <w:pPr>
        <w:spacing w:line="360" w:lineRule="auto"/>
        <w:jc w:val="both"/>
        <w:rPr>
          <w:rFonts w:ascii="Times New Roman" w:hAnsi="Times New Roman" w:cs="Times New Roman"/>
          <w:sz w:val="24"/>
          <w:szCs w:val="24"/>
        </w:rPr>
      </w:pPr>
      <w:r w:rsidRPr="005D5197">
        <w:rPr>
          <w:rFonts w:ascii="Times New Roman" w:hAnsi="Times New Roman" w:cs="Times New Roman"/>
          <w:sz w:val="24"/>
          <w:szCs w:val="24"/>
        </w:rPr>
        <w:t>Sentencia de 13 de junio de 1951 (</w:t>
      </w:r>
      <w:r w:rsidRPr="005D5197">
        <w:rPr>
          <w:rFonts w:ascii="Times New Roman" w:hAnsi="Times New Roman" w:cs="Times New Roman"/>
          <w:i/>
          <w:sz w:val="24"/>
          <w:szCs w:val="24"/>
        </w:rPr>
        <w:t>Haya de la Torre, Colombia v. Perú</w:t>
      </w:r>
      <w:r w:rsidRPr="005D5197">
        <w:rPr>
          <w:rFonts w:ascii="Times New Roman" w:hAnsi="Times New Roman" w:cs="Times New Roman"/>
          <w:sz w:val="24"/>
          <w:szCs w:val="24"/>
        </w:rPr>
        <w:t>)</w:t>
      </w:r>
    </w:p>
    <w:p w:rsidR="00884509" w:rsidRPr="005D5197" w:rsidRDefault="00884509" w:rsidP="00884509">
      <w:pPr>
        <w:spacing w:line="360" w:lineRule="auto"/>
        <w:jc w:val="both"/>
        <w:rPr>
          <w:rFonts w:ascii="Times New Roman" w:hAnsi="Times New Roman" w:cs="Times New Roman"/>
          <w:sz w:val="24"/>
          <w:szCs w:val="24"/>
        </w:rPr>
      </w:pPr>
      <w:r w:rsidRPr="005D5197">
        <w:rPr>
          <w:rFonts w:ascii="Times New Roman" w:hAnsi="Times New Roman" w:cs="Times New Roman"/>
          <w:sz w:val="24"/>
          <w:szCs w:val="24"/>
        </w:rPr>
        <w:t>Sentencia de 18 de diciembre de 1951 (</w:t>
      </w:r>
      <w:r w:rsidRPr="005D5197">
        <w:rPr>
          <w:rFonts w:ascii="Times New Roman" w:hAnsi="Times New Roman" w:cs="Times New Roman"/>
          <w:i/>
        </w:rPr>
        <w:t>Fisheries, United Kingdom v. Norway</w:t>
      </w:r>
      <w:r w:rsidRPr="005D5197">
        <w:rPr>
          <w:rFonts w:ascii="Times New Roman" w:hAnsi="Times New Roman" w:cs="Times New Roman"/>
        </w:rPr>
        <w:t>)</w:t>
      </w:r>
    </w:p>
    <w:p w:rsidR="00884509" w:rsidRPr="005D5197" w:rsidRDefault="00884509" w:rsidP="00884509">
      <w:pPr>
        <w:spacing w:line="360" w:lineRule="auto"/>
        <w:jc w:val="both"/>
        <w:rPr>
          <w:rFonts w:ascii="Times New Roman" w:hAnsi="Times New Roman" w:cs="Times New Roman"/>
          <w:sz w:val="24"/>
          <w:szCs w:val="24"/>
        </w:rPr>
      </w:pPr>
      <w:r w:rsidRPr="005D5197">
        <w:rPr>
          <w:rFonts w:ascii="Times New Roman" w:hAnsi="Times New Roman" w:cs="Times New Roman"/>
          <w:sz w:val="24"/>
          <w:szCs w:val="24"/>
        </w:rPr>
        <w:t>Sentencia de 17 de noviembre de 1953 (</w:t>
      </w:r>
      <w:r w:rsidRPr="005D5197">
        <w:rPr>
          <w:rFonts w:ascii="Times New Roman" w:hAnsi="Times New Roman" w:cs="Times New Roman"/>
          <w:i/>
          <w:sz w:val="24"/>
          <w:szCs w:val="24"/>
        </w:rPr>
        <w:t>Minquiers and Ecrehos</w:t>
      </w:r>
      <w:r w:rsidRPr="005D5197">
        <w:rPr>
          <w:rFonts w:ascii="Times New Roman" w:hAnsi="Times New Roman" w:cs="Times New Roman"/>
          <w:sz w:val="24"/>
          <w:szCs w:val="24"/>
        </w:rPr>
        <w:t>)</w:t>
      </w:r>
    </w:p>
    <w:p w:rsidR="00884509" w:rsidRPr="006D58FB" w:rsidRDefault="00884509" w:rsidP="00884509">
      <w:pPr>
        <w:spacing w:line="360" w:lineRule="auto"/>
        <w:jc w:val="both"/>
        <w:rPr>
          <w:rFonts w:ascii="Times New Roman" w:hAnsi="Times New Roman" w:cs="Times New Roman"/>
          <w:sz w:val="24"/>
          <w:szCs w:val="24"/>
          <w:lang w:val="en-US"/>
        </w:rPr>
      </w:pPr>
      <w:r w:rsidRPr="006D58FB">
        <w:rPr>
          <w:rFonts w:ascii="Times New Roman" w:hAnsi="Times New Roman" w:cs="Times New Roman"/>
          <w:sz w:val="24"/>
          <w:szCs w:val="24"/>
          <w:lang w:val="en-US"/>
        </w:rPr>
        <w:t>Sentencia de 12 de abril de 1960 (</w:t>
      </w:r>
      <w:r w:rsidRPr="006D58FB">
        <w:rPr>
          <w:rFonts w:ascii="Times New Roman" w:hAnsi="Times New Roman" w:cs="Times New Roman"/>
          <w:i/>
          <w:sz w:val="24"/>
          <w:szCs w:val="24"/>
          <w:lang w:val="en-US"/>
        </w:rPr>
        <w:t>Right of Passage over Indian Territory Case</w:t>
      </w:r>
      <w:r w:rsidRPr="006D58FB">
        <w:rPr>
          <w:rFonts w:ascii="Times New Roman" w:hAnsi="Times New Roman" w:cs="Times New Roman"/>
          <w:sz w:val="24"/>
          <w:szCs w:val="24"/>
          <w:lang w:val="en-US"/>
        </w:rPr>
        <w:t>)</w:t>
      </w:r>
    </w:p>
    <w:p w:rsidR="00884509" w:rsidRDefault="00884509" w:rsidP="00884509">
      <w:pPr>
        <w:spacing w:line="360" w:lineRule="auto"/>
        <w:jc w:val="both"/>
        <w:rPr>
          <w:rFonts w:ascii="Times New Roman" w:hAnsi="Times New Roman" w:cs="Times New Roman"/>
          <w:sz w:val="24"/>
          <w:szCs w:val="24"/>
          <w:lang w:val="en-US"/>
        </w:rPr>
      </w:pPr>
      <w:r w:rsidRPr="005D5197">
        <w:rPr>
          <w:rFonts w:ascii="Times New Roman" w:hAnsi="Times New Roman" w:cs="Times New Roman"/>
          <w:sz w:val="24"/>
          <w:szCs w:val="24"/>
          <w:lang w:val="en-US"/>
        </w:rPr>
        <w:t>Sentencia de 12 de octubre de 1984 (</w:t>
      </w:r>
      <w:r w:rsidRPr="005D5197">
        <w:rPr>
          <w:rFonts w:ascii="Times New Roman" w:hAnsi="Times New Roman" w:cs="Times New Roman"/>
          <w:i/>
          <w:sz w:val="24"/>
          <w:szCs w:val="24"/>
          <w:lang w:val="en-US"/>
        </w:rPr>
        <w:t>Delimitation of the Maritime Boundary in the Gulf of Maine Area (Canada/United States of America</w:t>
      </w:r>
      <w:r w:rsidRPr="005D5197">
        <w:rPr>
          <w:rFonts w:ascii="Times New Roman" w:hAnsi="Times New Roman" w:cs="Times New Roman"/>
          <w:sz w:val="24"/>
          <w:szCs w:val="24"/>
          <w:lang w:val="en-US"/>
        </w:rPr>
        <w:t>)</w:t>
      </w:r>
    </w:p>
    <w:p w:rsidR="00CA5A6F" w:rsidRPr="005D5197" w:rsidRDefault="00CA5A6F" w:rsidP="00884509">
      <w:pPr>
        <w:spacing w:line="360" w:lineRule="auto"/>
        <w:jc w:val="both"/>
        <w:rPr>
          <w:rFonts w:ascii="Times New Roman" w:hAnsi="Times New Roman" w:cs="Times New Roman"/>
          <w:sz w:val="24"/>
          <w:szCs w:val="24"/>
          <w:lang w:val="en-US"/>
        </w:rPr>
      </w:pPr>
    </w:p>
    <w:p w:rsidR="00884509" w:rsidRPr="005D5197" w:rsidRDefault="00884509" w:rsidP="00884509">
      <w:pPr>
        <w:spacing w:line="360" w:lineRule="auto"/>
        <w:jc w:val="both"/>
        <w:rPr>
          <w:rFonts w:ascii="Times New Roman" w:hAnsi="Times New Roman"/>
          <w:sz w:val="24"/>
          <w:szCs w:val="24"/>
          <w:u w:val="single"/>
        </w:rPr>
      </w:pPr>
      <w:r w:rsidRPr="005D5197">
        <w:rPr>
          <w:rFonts w:ascii="Times New Roman" w:hAnsi="Times New Roman"/>
          <w:sz w:val="24"/>
          <w:szCs w:val="24"/>
          <w:u w:val="single"/>
        </w:rPr>
        <w:t>TRIBUNAL PERMANENTE DE JUSTICIA INTERNACIONAL</w:t>
      </w:r>
    </w:p>
    <w:p w:rsidR="00884509" w:rsidRDefault="00884509" w:rsidP="00884509">
      <w:pPr>
        <w:spacing w:line="360" w:lineRule="auto"/>
        <w:jc w:val="both"/>
        <w:rPr>
          <w:rFonts w:ascii="Times New Roman" w:hAnsi="Times New Roman" w:cs="Times New Roman"/>
          <w:sz w:val="24"/>
          <w:szCs w:val="24"/>
        </w:rPr>
      </w:pPr>
      <w:r w:rsidRPr="005D5197">
        <w:rPr>
          <w:rFonts w:ascii="Times New Roman" w:hAnsi="Times New Roman" w:cs="Times New Roman"/>
          <w:sz w:val="24"/>
          <w:szCs w:val="24"/>
        </w:rPr>
        <w:t>Sentencia de 25 de agosto de 1925 (</w:t>
      </w:r>
      <w:r w:rsidRPr="005D5197">
        <w:rPr>
          <w:rFonts w:ascii="Times New Roman" w:hAnsi="Times New Roman" w:cs="Times New Roman"/>
          <w:i/>
          <w:sz w:val="24"/>
          <w:szCs w:val="24"/>
        </w:rPr>
        <w:t>Certain German Interests in Polish Upper Silesia</w:t>
      </w:r>
      <w:r w:rsidRPr="005D5197">
        <w:rPr>
          <w:rFonts w:ascii="Times New Roman" w:hAnsi="Times New Roman" w:cs="Times New Roman"/>
          <w:sz w:val="24"/>
          <w:szCs w:val="24"/>
        </w:rPr>
        <w:t>)</w:t>
      </w:r>
    </w:p>
    <w:p w:rsidR="00CA5A6F" w:rsidRPr="005D5197" w:rsidRDefault="00CA5A6F" w:rsidP="00884509">
      <w:pPr>
        <w:spacing w:line="360" w:lineRule="auto"/>
        <w:jc w:val="both"/>
        <w:rPr>
          <w:rFonts w:ascii="Times New Roman" w:hAnsi="Times New Roman"/>
          <w:sz w:val="24"/>
          <w:szCs w:val="24"/>
        </w:rPr>
      </w:pPr>
    </w:p>
    <w:p w:rsidR="00884509" w:rsidRPr="005D5197" w:rsidRDefault="00884509" w:rsidP="00884509">
      <w:pPr>
        <w:spacing w:line="360" w:lineRule="auto"/>
        <w:jc w:val="both"/>
        <w:rPr>
          <w:rFonts w:ascii="Times New Roman" w:hAnsi="Times New Roman"/>
          <w:sz w:val="24"/>
          <w:szCs w:val="24"/>
          <w:u w:val="single"/>
        </w:rPr>
      </w:pPr>
      <w:r w:rsidRPr="005D5197">
        <w:rPr>
          <w:rFonts w:ascii="Times New Roman" w:hAnsi="Times New Roman"/>
          <w:sz w:val="24"/>
          <w:szCs w:val="24"/>
          <w:u w:val="single"/>
        </w:rPr>
        <w:t>TRIBUNAL INTERNACIONAL DE DERECHO DEL MAR</w:t>
      </w:r>
    </w:p>
    <w:p w:rsidR="00884509" w:rsidRDefault="00884509" w:rsidP="00884509">
      <w:pPr>
        <w:spacing w:line="360" w:lineRule="auto"/>
        <w:jc w:val="both"/>
        <w:rPr>
          <w:rFonts w:ascii="Times New Roman" w:hAnsi="Times New Roman" w:cs="Times New Roman"/>
          <w:sz w:val="24"/>
        </w:rPr>
      </w:pPr>
      <w:r w:rsidRPr="005D5197">
        <w:rPr>
          <w:rFonts w:ascii="Times New Roman" w:hAnsi="Times New Roman" w:cs="Times New Roman"/>
          <w:sz w:val="24"/>
        </w:rPr>
        <w:t xml:space="preserve">Sentencia de 28 de mayo de 2013 (Caso </w:t>
      </w:r>
      <w:r w:rsidRPr="005D5197">
        <w:rPr>
          <w:rFonts w:ascii="Times New Roman" w:hAnsi="Times New Roman" w:cs="Times New Roman"/>
          <w:i/>
          <w:sz w:val="24"/>
        </w:rPr>
        <w:t>M/V Louisa</w:t>
      </w:r>
      <w:r w:rsidRPr="005D5197">
        <w:rPr>
          <w:rFonts w:ascii="Times New Roman" w:hAnsi="Times New Roman" w:cs="Times New Roman"/>
          <w:sz w:val="24"/>
        </w:rPr>
        <w:t xml:space="preserve"> ,San Vicente y las Granadinas contra Reino de España)</w:t>
      </w:r>
    </w:p>
    <w:p w:rsidR="00CA5A6F" w:rsidRPr="005D5197" w:rsidRDefault="00CA5A6F" w:rsidP="00884509">
      <w:pPr>
        <w:spacing w:line="360" w:lineRule="auto"/>
        <w:jc w:val="both"/>
        <w:rPr>
          <w:rFonts w:ascii="Times New Roman" w:hAnsi="Times New Roman"/>
          <w:sz w:val="28"/>
          <w:szCs w:val="24"/>
        </w:rPr>
      </w:pPr>
    </w:p>
    <w:p w:rsidR="00884509" w:rsidRPr="005D5197" w:rsidRDefault="00884509" w:rsidP="00884509">
      <w:pPr>
        <w:spacing w:line="360" w:lineRule="auto"/>
        <w:jc w:val="both"/>
        <w:rPr>
          <w:rFonts w:ascii="Times New Roman" w:hAnsi="Times New Roman"/>
          <w:sz w:val="24"/>
          <w:szCs w:val="24"/>
          <w:u w:val="single"/>
        </w:rPr>
      </w:pPr>
      <w:r w:rsidRPr="005D5197">
        <w:rPr>
          <w:rFonts w:ascii="Times New Roman" w:hAnsi="Times New Roman"/>
          <w:sz w:val="24"/>
          <w:szCs w:val="24"/>
          <w:u w:val="single"/>
        </w:rPr>
        <w:t>TRIBUNAL DE JUSTICIA DE LAS COMUNIDADES EUROPEAS</w:t>
      </w:r>
    </w:p>
    <w:p w:rsidR="00884509" w:rsidRPr="005D5197" w:rsidRDefault="00884509" w:rsidP="00884509">
      <w:pPr>
        <w:spacing w:line="360" w:lineRule="auto"/>
        <w:jc w:val="both"/>
        <w:rPr>
          <w:rFonts w:ascii="Times New Roman" w:hAnsi="Times New Roman" w:cs="Times New Roman"/>
          <w:sz w:val="24"/>
        </w:rPr>
      </w:pPr>
      <w:r w:rsidRPr="005D5197">
        <w:rPr>
          <w:rFonts w:ascii="Times New Roman" w:hAnsi="Times New Roman" w:cs="Times New Roman"/>
          <w:sz w:val="24"/>
        </w:rPr>
        <w:t xml:space="preserve">Sentencia del Tribunal de Justicia de 12 de noviembre de 1969. </w:t>
      </w:r>
      <w:r w:rsidRPr="005D5197">
        <w:rPr>
          <w:rFonts w:ascii="Times New Roman" w:hAnsi="Times New Roman" w:cs="Times New Roman"/>
          <w:sz w:val="24"/>
          <w:lang w:val="en-US"/>
        </w:rPr>
        <w:t xml:space="preserve">Erich Stauder contra Stadt Ulm - Sozialamt. </w:t>
      </w:r>
      <w:r w:rsidRPr="005D5197">
        <w:rPr>
          <w:rFonts w:ascii="Times New Roman" w:hAnsi="Times New Roman" w:cs="Times New Roman"/>
          <w:sz w:val="24"/>
        </w:rPr>
        <w:t xml:space="preserve">(Asunto 29-69). </w:t>
      </w:r>
    </w:p>
    <w:p w:rsidR="00884509" w:rsidRPr="005D5197" w:rsidRDefault="00884509" w:rsidP="00884509">
      <w:pPr>
        <w:spacing w:line="360" w:lineRule="auto"/>
        <w:jc w:val="both"/>
        <w:rPr>
          <w:rFonts w:ascii="Times New Roman" w:hAnsi="Times New Roman" w:cs="Times New Roman"/>
          <w:sz w:val="28"/>
        </w:rPr>
      </w:pPr>
      <w:r w:rsidRPr="005D5197">
        <w:rPr>
          <w:rFonts w:ascii="Times New Roman" w:hAnsi="Times New Roman" w:cs="Times New Roman"/>
          <w:sz w:val="24"/>
        </w:rPr>
        <w:t>Sentencia del Tribunal de Justicia de 15 de marzo de 1994. Banco de Crédito Industrial SA, hoy Banco Exterior de España SA contra Ayuntamiento de Valencia (Asunto C</w:t>
      </w:r>
      <w:r w:rsidRPr="005D5197">
        <w:rPr>
          <w:rFonts w:ascii="Times New Roman" w:eastAsia="MS Gothic" w:hAnsi="Times New Roman" w:cs="Times New Roman"/>
          <w:sz w:val="24"/>
        </w:rPr>
        <w:t>-</w:t>
      </w:r>
      <w:r w:rsidRPr="005D5197">
        <w:rPr>
          <w:rFonts w:ascii="Times New Roman" w:hAnsi="Times New Roman" w:cs="Times New Roman"/>
          <w:sz w:val="24"/>
        </w:rPr>
        <w:t>387/92).</w:t>
      </w:r>
    </w:p>
    <w:p w:rsidR="00884509" w:rsidRPr="005D5197" w:rsidRDefault="00884509" w:rsidP="00884509">
      <w:pPr>
        <w:spacing w:line="360" w:lineRule="auto"/>
        <w:jc w:val="both"/>
        <w:rPr>
          <w:rFonts w:ascii="Times New Roman" w:hAnsi="Times New Roman" w:cs="Times New Roman"/>
          <w:sz w:val="24"/>
          <w:szCs w:val="24"/>
          <w:lang w:val="fr-FR"/>
        </w:rPr>
      </w:pPr>
      <w:r w:rsidRPr="005D5197">
        <w:rPr>
          <w:rFonts w:ascii="Times New Roman" w:hAnsi="Times New Roman" w:cs="Times New Roman"/>
          <w:sz w:val="24"/>
          <w:szCs w:val="24"/>
        </w:rPr>
        <w:t xml:space="preserve">Sentencia del Tribunal de Justicia de 9 de agosto de 1994 (en los asuntos acumulados C-363/93, C-407/93, C-408-93, C-409/93, C-410/93 y C-411/93). </w:t>
      </w:r>
      <w:r w:rsidRPr="005D5197">
        <w:rPr>
          <w:rFonts w:ascii="Times New Roman" w:hAnsi="Times New Roman" w:cs="Times New Roman"/>
          <w:sz w:val="24"/>
          <w:szCs w:val="24"/>
          <w:lang w:val="fr-FR"/>
        </w:rPr>
        <w:t>René Lancry SA contra Direction générale des douanes y Société Dindar Confort, Christian Ah-Son, Paul Chevassus-</w:t>
      </w:r>
      <w:r w:rsidRPr="005D5197">
        <w:rPr>
          <w:rFonts w:ascii="Times New Roman" w:hAnsi="Times New Roman" w:cs="Times New Roman"/>
          <w:sz w:val="24"/>
          <w:szCs w:val="24"/>
          <w:lang w:val="fr-FR"/>
        </w:rPr>
        <w:lastRenderedPageBreak/>
        <w:t xml:space="preserve">Marche, Société Conforéunion y Société Dindar Autos contra Conseil régional de la Réunion y Direction régionale des douanes de la Réunion. </w:t>
      </w:r>
    </w:p>
    <w:p w:rsidR="00884509" w:rsidRPr="005D5197" w:rsidRDefault="00884509" w:rsidP="00884509">
      <w:pPr>
        <w:spacing w:line="360" w:lineRule="auto"/>
        <w:jc w:val="both"/>
        <w:rPr>
          <w:rFonts w:ascii="Times New Roman" w:hAnsi="Times New Roman" w:cs="Times New Roman"/>
          <w:sz w:val="24"/>
          <w:szCs w:val="24"/>
        </w:rPr>
      </w:pPr>
      <w:r w:rsidRPr="005D5197">
        <w:rPr>
          <w:rFonts w:ascii="Times New Roman" w:hAnsi="Times New Roman" w:cs="Times New Roman"/>
          <w:sz w:val="24"/>
          <w:szCs w:val="24"/>
        </w:rPr>
        <w:t>Sentencia del Tribunal de Justicia de 19 de septiembre de 2000. República Federal de Alemania contra Comisión de las Comunidades Europeas (Asunto C-156/98).</w:t>
      </w:r>
    </w:p>
    <w:p w:rsidR="00884509" w:rsidRPr="005D5197" w:rsidRDefault="00884509" w:rsidP="00884509">
      <w:pPr>
        <w:spacing w:line="360" w:lineRule="auto"/>
        <w:jc w:val="both"/>
        <w:rPr>
          <w:rFonts w:ascii="Times New Roman" w:hAnsi="Times New Roman" w:cs="Times New Roman"/>
          <w:sz w:val="24"/>
          <w:szCs w:val="24"/>
        </w:rPr>
      </w:pPr>
      <w:r w:rsidRPr="005D5197">
        <w:rPr>
          <w:rFonts w:ascii="Times New Roman" w:hAnsi="Times New Roman" w:cs="Times New Roman"/>
          <w:sz w:val="24"/>
          <w:szCs w:val="24"/>
        </w:rPr>
        <w:t>Sentencia del Tribunal de Justicia 23 de septiembre de 2003 (asunto C-30/01), Comisión contra Reino Unido.</w:t>
      </w:r>
    </w:p>
    <w:p w:rsidR="00884509" w:rsidRPr="005D5197" w:rsidRDefault="00884509" w:rsidP="00884509">
      <w:pPr>
        <w:spacing w:line="360" w:lineRule="auto"/>
        <w:jc w:val="both"/>
        <w:rPr>
          <w:rFonts w:ascii="Times New Roman" w:hAnsi="Times New Roman" w:cs="Times New Roman"/>
          <w:sz w:val="24"/>
        </w:rPr>
      </w:pPr>
      <w:r w:rsidRPr="005D5197">
        <w:rPr>
          <w:rFonts w:ascii="Times New Roman" w:hAnsi="Times New Roman" w:cs="Times New Roman"/>
          <w:sz w:val="24"/>
          <w:szCs w:val="24"/>
        </w:rPr>
        <w:t>Sentencia del Tribunal de Justicia de 21 de julio de 2005, Comisión y España contra Reino Unido (Asunto C</w:t>
      </w:r>
      <w:r w:rsidRPr="005D5197">
        <w:rPr>
          <w:rFonts w:ascii="MS Mincho" w:eastAsia="MS Mincho" w:hAnsi="MS Mincho" w:cs="MS Mincho" w:hint="eastAsia"/>
          <w:sz w:val="24"/>
          <w:szCs w:val="24"/>
        </w:rPr>
        <w:t>‑</w:t>
      </w:r>
      <w:r w:rsidRPr="005D5197">
        <w:rPr>
          <w:rFonts w:ascii="Times New Roman" w:hAnsi="Times New Roman" w:cs="Times New Roman"/>
          <w:sz w:val="24"/>
          <w:szCs w:val="24"/>
        </w:rPr>
        <w:t>349/03).</w:t>
      </w:r>
    </w:p>
    <w:p w:rsidR="00884509" w:rsidRDefault="00884509" w:rsidP="00884509">
      <w:pPr>
        <w:spacing w:line="360" w:lineRule="auto"/>
        <w:jc w:val="both"/>
        <w:rPr>
          <w:rFonts w:ascii="Times New Roman" w:hAnsi="Times New Roman" w:cs="Times New Roman"/>
          <w:sz w:val="24"/>
          <w:szCs w:val="24"/>
        </w:rPr>
      </w:pPr>
      <w:r w:rsidRPr="005D5197">
        <w:rPr>
          <w:rFonts w:ascii="Times New Roman" w:hAnsi="Times New Roman" w:cs="Times New Roman"/>
          <w:sz w:val="24"/>
          <w:szCs w:val="24"/>
        </w:rPr>
        <w:t>Sentencia del Tribunal de Justicia de 12 de septiembre de 2006. Reino de España contra Reino Unido de Gran Bretaña y de Irlanda del Norte. (Asunto c-145/04).</w:t>
      </w:r>
    </w:p>
    <w:p w:rsidR="00CA5A6F" w:rsidRPr="005D5197" w:rsidRDefault="00CA5A6F" w:rsidP="00884509">
      <w:pPr>
        <w:spacing w:line="360" w:lineRule="auto"/>
        <w:jc w:val="both"/>
        <w:rPr>
          <w:rFonts w:ascii="Times New Roman" w:hAnsi="Times New Roman" w:cs="Times New Roman"/>
          <w:sz w:val="24"/>
          <w:szCs w:val="24"/>
        </w:rPr>
      </w:pPr>
    </w:p>
    <w:p w:rsidR="00884509" w:rsidRPr="005D5197" w:rsidRDefault="00884509" w:rsidP="00884509">
      <w:pPr>
        <w:spacing w:line="360" w:lineRule="auto"/>
        <w:jc w:val="both"/>
        <w:rPr>
          <w:sz w:val="24"/>
          <w:szCs w:val="24"/>
          <w:u w:val="single"/>
        </w:rPr>
      </w:pPr>
      <w:r w:rsidRPr="005D5197">
        <w:rPr>
          <w:rFonts w:ascii="Times New Roman" w:hAnsi="Times New Roman"/>
          <w:sz w:val="24"/>
          <w:szCs w:val="24"/>
          <w:u w:val="single"/>
        </w:rPr>
        <w:t>TRIBUNAL DE JUSTICIA DE LA UNIÓN EUROPEA</w:t>
      </w:r>
    </w:p>
    <w:p w:rsidR="00884509" w:rsidRDefault="00884509" w:rsidP="00884509">
      <w:pPr>
        <w:spacing w:line="360" w:lineRule="auto"/>
        <w:jc w:val="both"/>
        <w:rPr>
          <w:rFonts w:ascii="Times New Roman" w:hAnsi="Times New Roman" w:cs="Times New Roman"/>
          <w:sz w:val="24"/>
          <w:szCs w:val="24"/>
        </w:rPr>
      </w:pPr>
      <w:r w:rsidRPr="005D5197">
        <w:rPr>
          <w:rFonts w:ascii="Times New Roman" w:hAnsi="Times New Roman" w:cs="Times New Roman"/>
          <w:sz w:val="24"/>
          <w:szCs w:val="24"/>
        </w:rPr>
        <w:t>Sentencia del Tribunal de Justicia (Gran Sala) de 15 de noviembre de 2011. Comisión Europea (C-106/09 P) y Reino de España (C-107/09 P) contra Government of Gibraltar y Reino Unido de Gran Bretaña y de Irlanda del Norte.</w:t>
      </w:r>
    </w:p>
    <w:p w:rsidR="00CA5A6F" w:rsidRPr="005D5197" w:rsidRDefault="00CA5A6F" w:rsidP="00884509">
      <w:pPr>
        <w:spacing w:line="360" w:lineRule="auto"/>
        <w:jc w:val="both"/>
        <w:rPr>
          <w:rFonts w:ascii="Times New Roman" w:hAnsi="Times New Roman" w:cs="Times New Roman"/>
          <w:sz w:val="24"/>
          <w:szCs w:val="24"/>
        </w:rPr>
      </w:pPr>
    </w:p>
    <w:p w:rsidR="00884509" w:rsidRPr="005D5197" w:rsidRDefault="00884509" w:rsidP="00884509">
      <w:pPr>
        <w:spacing w:line="360" w:lineRule="auto"/>
        <w:jc w:val="both"/>
        <w:rPr>
          <w:sz w:val="24"/>
          <w:szCs w:val="24"/>
          <w:u w:val="single"/>
        </w:rPr>
      </w:pPr>
      <w:r w:rsidRPr="005D5197">
        <w:rPr>
          <w:rFonts w:ascii="Times New Roman" w:hAnsi="Times New Roman"/>
          <w:sz w:val="24"/>
          <w:szCs w:val="24"/>
          <w:u w:val="single"/>
        </w:rPr>
        <w:t>TRIBUNAL EUROPEO DE DERECHOS HUMANOS</w:t>
      </w:r>
    </w:p>
    <w:p w:rsidR="00884509" w:rsidRPr="005D5197" w:rsidRDefault="00884509" w:rsidP="00884509">
      <w:pPr>
        <w:spacing w:line="360" w:lineRule="auto"/>
        <w:jc w:val="both"/>
        <w:rPr>
          <w:sz w:val="24"/>
          <w:szCs w:val="24"/>
          <w:u w:val="single"/>
        </w:rPr>
      </w:pPr>
      <w:r w:rsidRPr="005D5197">
        <w:rPr>
          <w:rFonts w:ascii="Times New Roman" w:hAnsi="Times New Roman" w:cs="Times New Roman"/>
          <w:sz w:val="24"/>
          <w:szCs w:val="24"/>
        </w:rPr>
        <w:t>Sentencia de 19 de febrero de 1999 (Caso Matthews v. United Kingdom).</w:t>
      </w:r>
    </w:p>
    <w:p w:rsidR="00884509" w:rsidRPr="00D94550" w:rsidRDefault="00884509" w:rsidP="003B40A4">
      <w:pPr>
        <w:spacing w:line="360" w:lineRule="auto"/>
        <w:jc w:val="both"/>
        <w:rPr>
          <w:rFonts w:ascii="Times New Roman" w:hAnsi="Times New Roman" w:cs="Times New Roman"/>
          <w:sz w:val="24"/>
          <w:szCs w:val="24"/>
        </w:rPr>
      </w:pPr>
    </w:p>
    <w:sectPr w:rsidR="00884509" w:rsidRPr="00D94550" w:rsidSect="00FD01B8">
      <w:footerReference w:type="default" r:id="rId8"/>
      <w:pgSz w:w="11906" w:h="16838" w:code="9"/>
      <w:pgMar w:top="1418" w:right="1416"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6120" w:rsidRDefault="008E6120" w:rsidP="003B40A4">
      <w:pPr>
        <w:spacing w:after="0" w:line="240" w:lineRule="auto"/>
      </w:pPr>
      <w:r>
        <w:separator/>
      </w:r>
    </w:p>
  </w:endnote>
  <w:endnote w:type="continuationSeparator" w:id="0">
    <w:p w:rsidR="008E6120" w:rsidRDefault="008E6120" w:rsidP="003B40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46916116"/>
      <w:docPartObj>
        <w:docPartGallery w:val="Page Numbers (Bottom of Page)"/>
        <w:docPartUnique/>
      </w:docPartObj>
    </w:sdtPr>
    <w:sdtContent>
      <w:p w:rsidR="007B0B03" w:rsidRPr="00D2604F" w:rsidRDefault="004A44B6">
        <w:pPr>
          <w:pStyle w:val="Piedepgina"/>
          <w:jc w:val="right"/>
          <w:rPr>
            <w:rFonts w:ascii="Times New Roman" w:hAnsi="Times New Roman" w:cs="Times New Roman"/>
          </w:rPr>
        </w:pPr>
        <w:r w:rsidRPr="00D2604F">
          <w:rPr>
            <w:rFonts w:ascii="Times New Roman" w:hAnsi="Times New Roman" w:cs="Times New Roman"/>
          </w:rPr>
          <w:fldChar w:fldCharType="begin"/>
        </w:r>
        <w:r w:rsidR="007B0B03" w:rsidRPr="00D2604F">
          <w:rPr>
            <w:rFonts w:ascii="Times New Roman" w:hAnsi="Times New Roman" w:cs="Times New Roman"/>
          </w:rPr>
          <w:instrText xml:space="preserve"> PAGE   \* MERGEFORMAT </w:instrText>
        </w:r>
        <w:r w:rsidRPr="00D2604F">
          <w:rPr>
            <w:rFonts w:ascii="Times New Roman" w:hAnsi="Times New Roman" w:cs="Times New Roman"/>
          </w:rPr>
          <w:fldChar w:fldCharType="separate"/>
        </w:r>
        <w:r w:rsidR="00897D3F">
          <w:rPr>
            <w:rFonts w:ascii="Times New Roman" w:hAnsi="Times New Roman" w:cs="Times New Roman"/>
            <w:noProof/>
          </w:rPr>
          <w:t>26</w:t>
        </w:r>
        <w:r w:rsidRPr="00D2604F">
          <w:rPr>
            <w:rFonts w:ascii="Times New Roman" w:hAnsi="Times New Roman" w:cs="Times New Roman"/>
          </w:rPr>
          <w:fldChar w:fldCharType="end"/>
        </w:r>
      </w:p>
    </w:sdtContent>
  </w:sdt>
  <w:p w:rsidR="007B0B03" w:rsidRDefault="007B0B0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6120" w:rsidRDefault="008E6120" w:rsidP="003B40A4">
      <w:pPr>
        <w:spacing w:after="0" w:line="240" w:lineRule="auto"/>
      </w:pPr>
      <w:r>
        <w:separator/>
      </w:r>
    </w:p>
  </w:footnote>
  <w:footnote w:type="continuationSeparator" w:id="0">
    <w:p w:rsidR="008E6120" w:rsidRDefault="008E6120" w:rsidP="003B40A4">
      <w:pPr>
        <w:spacing w:after="0" w:line="240" w:lineRule="auto"/>
      </w:pPr>
      <w:r>
        <w:continuationSeparator/>
      </w:r>
    </w:p>
  </w:footnote>
  <w:footnote w:id="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Sobrino Heredia, J.M. “Procedimientos de Aplicación de las Normas Internacionales (II): La solución pacífica de las controversias internacionales (los medios de arreglo</w:t>
      </w:r>
      <w:r>
        <w:rPr>
          <w:rFonts w:ascii="Times New Roman" w:hAnsi="Times New Roman" w:cs="Times New Roman"/>
        </w:rPr>
        <w:t xml:space="preserve"> diplomático y el arbitraje)”.  Visto e</w:t>
      </w:r>
      <w:r w:rsidRPr="000D3505">
        <w:rPr>
          <w:rFonts w:ascii="Times New Roman" w:hAnsi="Times New Roman" w:cs="Times New Roman"/>
        </w:rPr>
        <w:t xml:space="preserve">n Diez de Velasco, M.(2011) </w:t>
      </w:r>
      <w:r w:rsidRPr="000D3505">
        <w:rPr>
          <w:rFonts w:ascii="Times New Roman" w:hAnsi="Times New Roman" w:cs="Times New Roman"/>
          <w:i/>
        </w:rPr>
        <w:t>Instituciones de derecho internacional público.</w:t>
      </w:r>
      <w:r w:rsidRPr="000D3505">
        <w:rPr>
          <w:rFonts w:ascii="Times New Roman" w:hAnsi="Times New Roman" w:cs="Times New Roman"/>
        </w:rPr>
        <w:t xml:space="preserve"> Madrid, Editorial Tecnos, p. 924.</w:t>
      </w:r>
    </w:p>
  </w:footnote>
  <w:footnote w:id="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Diez de Velasco, </w:t>
      </w:r>
      <w:r w:rsidRPr="000D3505">
        <w:rPr>
          <w:rFonts w:ascii="Times New Roman" w:hAnsi="Times New Roman" w:cs="Times New Roman"/>
          <w:i/>
        </w:rPr>
        <w:t>Instituciones</w:t>
      </w:r>
      <w:r w:rsidRPr="000D3505">
        <w:rPr>
          <w:rFonts w:ascii="Times New Roman" w:hAnsi="Times New Roman" w:cs="Times New Roman"/>
        </w:rPr>
        <w:t>, Op. Cit. nº 1,p. 925.</w:t>
      </w:r>
    </w:p>
  </w:footnote>
  <w:footnote w:id="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Cuyo tenor literal indica que “</w:t>
      </w:r>
      <w:r w:rsidRPr="000D3505">
        <w:rPr>
          <w:rFonts w:ascii="Times New Roman" w:hAnsi="Times New Roman" w:cs="Times New Roman"/>
          <w:i/>
        </w:rPr>
        <w:t>Las partes en una controversia cuya continuación sea susceptible de poner en peligro el mantenimiento de la paz y la seguridad internacionales tratarán de buscarle solución, ante todo, mediante la negociación, la investigación, la mediación, la conciliación, el arbitraje, el arreglo judicial, el recurso a organismos o acuerdos regionales u otros medios pacíficos de su elección</w:t>
      </w:r>
      <w:r w:rsidRPr="000D3505">
        <w:rPr>
          <w:rFonts w:ascii="Times New Roman" w:hAnsi="Times New Roman" w:cs="Times New Roman"/>
        </w:rPr>
        <w:t>”. Visto en: Declaración unilateral española en aceptación de la jurisdicción obligatoria del Tribunal Internacional de Justicia. Publicada en el BOE, núm. 275, de 16 de noviembre de 1990, pp. 33862 a 33885.</w:t>
      </w:r>
    </w:p>
  </w:footnote>
  <w:footnote w:id="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Diez de Velasco, </w:t>
      </w:r>
      <w:r w:rsidRPr="000D3505">
        <w:rPr>
          <w:rFonts w:ascii="Times New Roman" w:hAnsi="Times New Roman" w:cs="Times New Roman"/>
          <w:i/>
        </w:rPr>
        <w:t xml:space="preserve">Instituciones, </w:t>
      </w:r>
      <w:r w:rsidRPr="000D3505">
        <w:rPr>
          <w:rFonts w:ascii="Times New Roman" w:hAnsi="Times New Roman" w:cs="Times New Roman"/>
        </w:rPr>
        <w:t>Op. Cit. nº 1, p. 926.</w:t>
      </w:r>
    </w:p>
  </w:footnote>
  <w:footnote w:id="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Diez de Velasco, </w:t>
      </w:r>
      <w:r w:rsidRPr="000D3505">
        <w:rPr>
          <w:rFonts w:ascii="Times New Roman" w:hAnsi="Times New Roman" w:cs="Times New Roman"/>
          <w:i/>
        </w:rPr>
        <w:t xml:space="preserve">Instituciones, </w:t>
      </w:r>
      <w:r w:rsidRPr="000D3505">
        <w:rPr>
          <w:rFonts w:ascii="Times New Roman" w:hAnsi="Times New Roman" w:cs="Times New Roman"/>
        </w:rPr>
        <w:t>Op. Cit. nº 1, p. 927.</w:t>
      </w:r>
    </w:p>
  </w:footnote>
  <w:footnote w:id="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Diez de Velasco, </w:t>
      </w:r>
      <w:r w:rsidRPr="000D3505">
        <w:rPr>
          <w:rFonts w:ascii="Times New Roman" w:hAnsi="Times New Roman" w:cs="Times New Roman"/>
          <w:i/>
        </w:rPr>
        <w:t xml:space="preserve">Instituciones, </w:t>
      </w:r>
      <w:r w:rsidRPr="000D3505">
        <w:rPr>
          <w:rFonts w:ascii="Times New Roman" w:hAnsi="Times New Roman" w:cs="Times New Roman"/>
        </w:rPr>
        <w:t>Op. Cit. nº 1, p. 928.</w:t>
      </w:r>
    </w:p>
  </w:footnote>
  <w:footnote w:id="7">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rPr>
        <w:t xml:space="preserve"> Diez de Velasco, </w:t>
      </w:r>
      <w:r w:rsidRPr="000D3505">
        <w:rPr>
          <w:rFonts w:ascii="Times New Roman" w:hAnsi="Times New Roman" w:cs="Times New Roman"/>
          <w:i/>
        </w:rPr>
        <w:t xml:space="preserve">Instituciones, </w:t>
      </w:r>
      <w:r w:rsidRPr="000D3505">
        <w:rPr>
          <w:rFonts w:ascii="Times New Roman" w:hAnsi="Times New Roman" w:cs="Times New Roman"/>
        </w:rPr>
        <w:t xml:space="preserve">Op. </w:t>
      </w:r>
      <w:r w:rsidRPr="000D3505">
        <w:rPr>
          <w:rFonts w:ascii="Times New Roman" w:hAnsi="Times New Roman" w:cs="Times New Roman"/>
          <w:lang w:val="en-US"/>
        </w:rPr>
        <w:t>Cit. nº 1, p 930.</w:t>
      </w:r>
    </w:p>
  </w:footnote>
  <w:footnote w:id="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Merris, J.G. (2011) </w:t>
      </w:r>
      <w:r w:rsidRPr="000D3505">
        <w:rPr>
          <w:rFonts w:ascii="Times New Roman" w:hAnsi="Times New Roman" w:cs="Times New Roman"/>
          <w:i/>
          <w:lang w:val="en-US"/>
        </w:rPr>
        <w:t xml:space="preserve">International dispute settlement. </w:t>
      </w:r>
      <w:r w:rsidRPr="000D3505">
        <w:rPr>
          <w:rFonts w:ascii="Times New Roman" w:hAnsi="Times New Roman" w:cs="Times New Roman"/>
          <w:lang w:val="en-US"/>
        </w:rPr>
        <w:t>Nueva York, Cambridge University Press, p</w:t>
      </w:r>
      <w:r w:rsidRPr="00093C88">
        <w:rPr>
          <w:rFonts w:ascii="Times New Roman" w:hAnsi="Times New Roman" w:cs="Times New Roman"/>
          <w:lang w:val="en-US"/>
        </w:rPr>
        <w:t xml:space="preserve">. 257. </w:t>
      </w:r>
      <w:r w:rsidRPr="000D3505">
        <w:rPr>
          <w:rFonts w:ascii="Times New Roman" w:hAnsi="Times New Roman" w:cs="Times New Roman"/>
        </w:rPr>
        <w:t xml:space="preserve">Señala el autor como ejemplo el Acta Constitutiva de la Unión Africana, en cuyo artículo 4 e) establece como uno de sus objetivos la solución pacífica de conflictos entre sus Estados miembros. </w:t>
      </w:r>
    </w:p>
  </w:footnote>
  <w:footnote w:id="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Diez de Velasco, </w:t>
      </w:r>
      <w:r w:rsidRPr="000D3505">
        <w:rPr>
          <w:rFonts w:ascii="Times New Roman" w:hAnsi="Times New Roman" w:cs="Times New Roman"/>
          <w:i/>
        </w:rPr>
        <w:t xml:space="preserve">Instituciones, </w:t>
      </w:r>
      <w:r w:rsidRPr="000D3505">
        <w:rPr>
          <w:rFonts w:ascii="Times New Roman" w:hAnsi="Times New Roman" w:cs="Times New Roman"/>
        </w:rPr>
        <w:t>Op. Cit. nº 1, pp. 931-932.</w:t>
      </w:r>
    </w:p>
  </w:footnote>
  <w:footnote w:id="1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Diez de Velasco, </w:t>
      </w:r>
      <w:r w:rsidRPr="000D3505">
        <w:rPr>
          <w:rFonts w:ascii="Times New Roman" w:hAnsi="Times New Roman" w:cs="Times New Roman"/>
          <w:i/>
        </w:rPr>
        <w:t xml:space="preserve">Instituciones, </w:t>
      </w:r>
      <w:r w:rsidRPr="000D3505">
        <w:rPr>
          <w:rFonts w:ascii="Times New Roman" w:hAnsi="Times New Roman" w:cs="Times New Roman"/>
        </w:rPr>
        <w:t>Op. Cit. nº 1, p. 944.</w:t>
      </w:r>
    </w:p>
  </w:footnote>
  <w:footnote w:id="1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Oficina de Asuntos Jurídicos. División de Codificación (Organización de Naciones Unidas). </w:t>
      </w:r>
      <w:r w:rsidRPr="000D3505">
        <w:rPr>
          <w:rFonts w:ascii="Times New Roman" w:hAnsi="Times New Roman" w:cs="Times New Roman"/>
          <w:i/>
          <w:lang w:val="en-US"/>
        </w:rPr>
        <w:t>Handbook on the Peaceful Settlement of Disputes between States</w:t>
      </w:r>
      <w:r w:rsidRPr="000D3505">
        <w:rPr>
          <w:rFonts w:ascii="Times New Roman" w:hAnsi="Times New Roman" w:cs="Times New Roman"/>
          <w:lang w:val="en-US"/>
        </w:rPr>
        <w:t xml:space="preserve">. Nueva York (Estados Unidos), 1992. </w:t>
      </w:r>
      <w:r w:rsidR="009E1C76">
        <w:rPr>
          <w:rFonts w:ascii="Times New Roman" w:hAnsi="Times New Roman" w:cs="Times New Roman"/>
        </w:rPr>
        <w:t xml:space="preserve">Referencia OLA/COD/2394, p. </w:t>
      </w:r>
      <w:r w:rsidRPr="000D3505">
        <w:rPr>
          <w:rFonts w:ascii="Times New Roman" w:hAnsi="Times New Roman" w:cs="Times New Roman"/>
        </w:rPr>
        <w:t xml:space="preserve">40. </w:t>
      </w:r>
    </w:p>
  </w:footnote>
  <w:footnote w:id="1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Gaceta de Madrid. Diario Oficial de la República Española núm. 306, de 02/11/1935, pp. 964 a 965</w:t>
      </w:r>
    </w:p>
  </w:footnote>
  <w:footnote w:id="1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Diez de Velasco, Instituciones, Op. Cit. nº 1,</w:t>
      </w:r>
      <w:r w:rsidRPr="000D3505">
        <w:rPr>
          <w:rFonts w:ascii="Times New Roman" w:hAnsi="Times New Roman" w:cs="Times New Roman"/>
          <w:i/>
        </w:rPr>
        <w:t xml:space="preserve"> </w:t>
      </w:r>
      <w:r w:rsidRPr="000D3505">
        <w:rPr>
          <w:rFonts w:ascii="Times New Roman" w:hAnsi="Times New Roman" w:cs="Times New Roman"/>
        </w:rPr>
        <w:t>p. 928.</w:t>
      </w:r>
    </w:p>
  </w:footnote>
  <w:footnote w:id="1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Organización de Estados Americanos. </w:t>
      </w:r>
      <w:r w:rsidRPr="000D3505">
        <w:rPr>
          <w:rFonts w:ascii="Times New Roman" w:hAnsi="Times New Roman" w:cs="Times New Roman"/>
          <w:i/>
        </w:rPr>
        <w:t xml:space="preserve">Tratado de Soluciones Pacíficas "Pacto de Bogotá" Suscrito en Bogotá el 30 de abril de 1948 </w:t>
      </w:r>
      <w:r w:rsidRPr="000D3505">
        <w:rPr>
          <w:rFonts w:ascii="Times New Roman" w:hAnsi="Times New Roman" w:cs="Times New Roman"/>
        </w:rPr>
        <w:t>[en línea] Departamento de Derecho Internacional. Dirección URL: &lt;</w:t>
      </w:r>
      <w:hyperlink r:id="rId1" w:history="1">
        <w:r w:rsidRPr="000D3505">
          <w:rPr>
            <w:rStyle w:val="Hipervnculo"/>
            <w:rFonts w:ascii="Times New Roman" w:hAnsi="Times New Roman" w:cs="Times New Roman"/>
          </w:rPr>
          <w:t>http://www.oas.org/juridico/spanish/tratados/a-42.html</w:t>
        </w:r>
      </w:hyperlink>
      <w:r w:rsidRPr="000D3505">
        <w:rPr>
          <w:rFonts w:ascii="Times New Roman" w:hAnsi="Times New Roman" w:cs="Times New Roman"/>
        </w:rPr>
        <w:t>&gt;. [Consulta: 4 mayo 2014].</w:t>
      </w:r>
    </w:p>
  </w:footnote>
  <w:footnote w:id="1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Del que España forma parte en virtud del Instrumento de adhesión de 18 de marzo de 1982, del Tratado Antártico, hecho en Washington el 1 de diciembre de 1959, publicado en el BOE núm. 152, de 26 de junio de 1982, pp. 17615 a 17617</w:t>
      </w:r>
      <w:r w:rsidR="00B373EE">
        <w:rPr>
          <w:rFonts w:ascii="Times New Roman" w:hAnsi="Times New Roman" w:cs="Times New Roman"/>
        </w:rPr>
        <w:t>.</w:t>
      </w:r>
    </w:p>
  </w:footnote>
  <w:footnote w:id="1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Declaración unilateral española en aceptación de la jurisdicción obligatoria del Tribunal Internacional de Justicia. Publicada en el BOE, núm. 275, de 16 de noviembre de 1990, pp. 33862 a 33885. </w:t>
      </w:r>
    </w:p>
  </w:footnote>
  <w:footnote w:id="1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Organización de Naciones Unidas.</w:t>
      </w:r>
      <w:r w:rsidRPr="000D3505">
        <w:rPr>
          <w:rFonts w:ascii="Times New Roman" w:hAnsi="Times New Roman" w:cs="Times New Roman"/>
          <w:i/>
        </w:rPr>
        <w:t xml:space="preserve"> Resoluciones de la Asamblea General de Naciones Unidas </w:t>
      </w:r>
      <w:r w:rsidRPr="000D3505">
        <w:rPr>
          <w:rFonts w:ascii="Times New Roman" w:hAnsi="Times New Roman" w:cs="Times New Roman"/>
        </w:rPr>
        <w:t xml:space="preserve">[en línea]. Dirección URL: &lt; </w:t>
      </w:r>
      <w:hyperlink r:id="rId2" w:history="1">
        <w:r w:rsidRPr="000D3505">
          <w:rPr>
            <w:rStyle w:val="Hipervnculo"/>
            <w:rFonts w:ascii="Times New Roman" w:hAnsi="Times New Roman" w:cs="Times New Roman"/>
          </w:rPr>
          <w:t>http://daccess-dds-ny.un.org/doc/RESOLUTION/GEN/NR0/352/86/IMG/NR035286.pdf?OpenElement</w:t>
        </w:r>
      </w:hyperlink>
      <w:r w:rsidRPr="000D3505">
        <w:rPr>
          <w:rFonts w:ascii="Times New Roman" w:hAnsi="Times New Roman" w:cs="Times New Roman"/>
        </w:rPr>
        <w:t>&gt;. [Consulta: 9  junio 2014].</w:t>
      </w:r>
    </w:p>
  </w:footnote>
  <w:footnote w:id="1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Como establece en su tenor literal: “</w:t>
      </w:r>
      <w:r w:rsidRPr="000D3505">
        <w:rPr>
          <w:rFonts w:ascii="Times New Roman" w:hAnsi="Times New Roman" w:cs="Times New Roman"/>
          <w:i/>
        </w:rPr>
        <w:t>Alienta también a los Estados Miembros a que, cuando proceda, utilicen la capacidad de mediación de las Naciones Unidas, así como de las organizaciones regionales y subregionales, si corresponde, y promuevan la mediación en sus relaciones bilaterales y multilaterales”.</w:t>
      </w:r>
    </w:p>
  </w:footnote>
  <w:footnote w:id="1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En su punto 6 se recoge en su tenor literal que “</w:t>
      </w:r>
      <w:r w:rsidRPr="000D3505">
        <w:rPr>
          <w:rFonts w:ascii="Times New Roman" w:hAnsi="Times New Roman" w:cs="Times New Roman"/>
          <w:i/>
        </w:rPr>
        <w:t>Invita a todos los Estados Miembros a que consideren la posibilidad de aportar recursos suficientes y oportunos para la mediación, a fin de asegurar su éxito, así como para las actividades de las Naciones Unidas y las organizaciones regionales y subregionales de creación de capacidad de mediación</w:t>
      </w:r>
      <w:r w:rsidRPr="000D3505">
        <w:rPr>
          <w:rFonts w:ascii="Times New Roman" w:hAnsi="Times New Roman" w:cs="Times New Roman"/>
        </w:rPr>
        <w:t>”.</w:t>
      </w:r>
    </w:p>
  </w:footnote>
  <w:footnote w:id="2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Con el tenor literal siguiente: “</w:t>
      </w:r>
      <w:r w:rsidRPr="000D3505">
        <w:rPr>
          <w:rFonts w:ascii="Times New Roman" w:hAnsi="Times New Roman" w:cs="Times New Roman"/>
          <w:i/>
        </w:rPr>
        <w:t>que estén bien preparados y sean imparciales, experimentados y geográficamente diversos para asegurar la prestación de un apoyo de alta calidad y oportuno a las actividades de mediación</w:t>
      </w:r>
      <w:r w:rsidRPr="000D3505">
        <w:rPr>
          <w:rFonts w:ascii="Times New Roman" w:hAnsi="Times New Roman" w:cs="Times New Roman"/>
        </w:rPr>
        <w:t>”.</w:t>
      </w:r>
    </w:p>
  </w:footnote>
  <w:footnote w:id="2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Con el siguiente texto: “</w:t>
      </w:r>
      <w:r w:rsidRPr="000D3505">
        <w:rPr>
          <w:rFonts w:ascii="Times New Roman" w:hAnsi="Times New Roman" w:cs="Times New Roman"/>
          <w:i/>
        </w:rPr>
        <w:t>la importancia de las asociaciones y la cooperación de las organizaciones internacionales, regionales y subregionales con las Naciones Unidas, entre ellas y con la sociedad civil, y de elaborar mecanismos para mejorar el intercambio de información, la cooperación y la coordinación a fin de asegurar la coherencia y complementariedad de la labor que realizan los agentes que participan en un contexto de mediación determinado</w:t>
      </w:r>
      <w:r w:rsidRPr="000D3505">
        <w:rPr>
          <w:rFonts w:ascii="Times New Roman" w:hAnsi="Times New Roman" w:cs="Times New Roman"/>
        </w:rPr>
        <w:t>”.</w:t>
      </w:r>
    </w:p>
  </w:footnote>
  <w:footnote w:id="2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En su </w:t>
      </w:r>
      <w:r w:rsidR="009E1C76">
        <w:rPr>
          <w:rFonts w:ascii="Times New Roman" w:hAnsi="Times New Roman" w:cs="Times New Roman"/>
        </w:rPr>
        <w:t>página</w:t>
      </w:r>
      <w:r w:rsidRPr="000D3505">
        <w:rPr>
          <w:rFonts w:ascii="Times New Roman" w:hAnsi="Times New Roman" w:cs="Times New Roman"/>
        </w:rPr>
        <w:t xml:space="preserve"> 19 define el sistema de fuentes de la mediación internacional: “</w:t>
      </w:r>
      <w:r w:rsidRPr="000D3505">
        <w:rPr>
          <w:rFonts w:ascii="Times New Roman" w:hAnsi="Times New Roman" w:cs="Times New Roman"/>
          <w:i/>
        </w:rPr>
        <w:t>Los mediadores también desarrollan su trabajo dentro del marco que constituye el derecho internacional que rige la situación dada, fundamentalmente los convenios y convenciones regionales e internacionales, el derecho internacional humanitario, las normas internacionales de derechos humanos y las aplicables a los refugiados y el derecho penal internacional, incluido, en su caso, el Estatuto de Roma de la Corte Penal Internacional. Además de las obligaciones jurídicas vinculantes, las expectativas normativas también tienen un efecto sobre el proceso de mediación, por ejemplo, las relativas a la justicia, la verdad y la reconciliación; la inclusión de la sociedad civil; y el empoderamiento y la participación de las mujeres en el proceso</w:t>
      </w:r>
      <w:r w:rsidRPr="000D3505">
        <w:rPr>
          <w:rFonts w:ascii="Times New Roman" w:hAnsi="Times New Roman" w:cs="Times New Roman"/>
        </w:rPr>
        <w:t>”.</w:t>
      </w:r>
    </w:p>
  </w:footnote>
  <w:footnote w:id="2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Oficina de Asuntos Jurídicos. División de Codificación (Organización de Naciones Unidas). </w:t>
      </w:r>
      <w:r w:rsidRPr="000D3505">
        <w:rPr>
          <w:rFonts w:ascii="Times New Roman" w:hAnsi="Times New Roman" w:cs="Times New Roman"/>
          <w:i/>
          <w:lang w:val="en-US"/>
        </w:rPr>
        <w:t>Handbook on the Peaceful Settlement of Disputes between States.</w:t>
      </w:r>
      <w:r w:rsidRPr="000D3505">
        <w:rPr>
          <w:rFonts w:ascii="Times New Roman" w:hAnsi="Times New Roman" w:cs="Times New Roman"/>
          <w:lang w:val="en-US"/>
        </w:rPr>
        <w:t xml:space="preserve"> Nueva York (Estados Unidos), 1992. </w:t>
      </w:r>
      <w:r w:rsidR="009E1C76">
        <w:rPr>
          <w:rFonts w:ascii="Times New Roman" w:hAnsi="Times New Roman" w:cs="Times New Roman"/>
        </w:rPr>
        <w:t xml:space="preserve">Referencia OLA/COD/2394, p. </w:t>
      </w:r>
      <w:r w:rsidRPr="000D3505">
        <w:rPr>
          <w:rFonts w:ascii="Times New Roman" w:hAnsi="Times New Roman" w:cs="Times New Roman"/>
        </w:rPr>
        <w:t xml:space="preserve">41. </w:t>
      </w:r>
    </w:p>
  </w:footnote>
  <w:footnote w:id="24">
    <w:p w:rsidR="007B0B03" w:rsidRPr="00093C88"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Diez de Velasco, </w:t>
      </w:r>
      <w:r w:rsidRPr="000D3505">
        <w:rPr>
          <w:rFonts w:ascii="Times New Roman" w:hAnsi="Times New Roman" w:cs="Times New Roman"/>
          <w:i/>
        </w:rPr>
        <w:t>Instituciones</w:t>
      </w:r>
      <w:r w:rsidRPr="000D3505">
        <w:rPr>
          <w:rFonts w:ascii="Times New Roman" w:hAnsi="Times New Roman" w:cs="Times New Roman"/>
        </w:rPr>
        <w:t xml:space="preserve">, Op. </w:t>
      </w:r>
      <w:r w:rsidRPr="00093C88">
        <w:rPr>
          <w:rFonts w:ascii="Times New Roman" w:hAnsi="Times New Roman" w:cs="Times New Roman"/>
        </w:rPr>
        <w:t>Cit. nº 1, p. 927.</w:t>
      </w:r>
    </w:p>
  </w:footnote>
  <w:footnote w:id="25">
    <w:p w:rsidR="007B0B03" w:rsidRPr="00093C88"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Giessman, H. y Wills, O. (2011). “Seeking Compromise? Mediation Through the Eyes of Conflict Parties”, en Advancing Conflict Transformation, Leverkusen, The Berghof Handbook II. Opladen/Framington Hills: Barbara Budrich Publishers. Disponible on line en </w:t>
      </w:r>
      <w:hyperlink r:id="rId3" w:history="1">
        <w:r w:rsidRPr="000D3505">
          <w:rPr>
            <w:rStyle w:val="Hipervnculo"/>
            <w:rFonts w:ascii="Times New Roman" w:hAnsi="Times New Roman" w:cs="Times New Roman"/>
            <w:lang w:val="en-US"/>
          </w:rPr>
          <w:t>http://peacemaker.un.org/sites/peacemaker.un.org/files/Seeking%20Compromise_BerghofFoundation%202011_0.pdf</w:t>
        </w:r>
      </w:hyperlink>
      <w:r w:rsidR="00B373EE">
        <w:rPr>
          <w:rFonts w:ascii="Times New Roman" w:hAnsi="Times New Roman" w:cs="Times New Roman"/>
          <w:lang w:val="en-US"/>
        </w:rPr>
        <w:t xml:space="preserve"> [10 de junio de 2014</w:t>
      </w:r>
      <w:r w:rsidRPr="000D3505">
        <w:rPr>
          <w:rFonts w:ascii="Times New Roman" w:hAnsi="Times New Roman" w:cs="Times New Roman"/>
          <w:lang w:val="en-US"/>
        </w:rPr>
        <w:t xml:space="preserve">]. </w:t>
      </w:r>
      <w:r w:rsidRPr="00093C88">
        <w:rPr>
          <w:rFonts w:ascii="Times New Roman" w:hAnsi="Times New Roman" w:cs="Times New Roman"/>
        </w:rPr>
        <w:t>P. 187.</w:t>
      </w:r>
    </w:p>
  </w:footnote>
  <w:footnote w:id="2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93C88">
        <w:rPr>
          <w:rFonts w:ascii="Times New Roman" w:hAnsi="Times New Roman" w:cs="Times New Roman"/>
        </w:rPr>
        <w:t xml:space="preserve"> Remiro Brotons, A. y otros autores. </w:t>
      </w:r>
      <w:r w:rsidRPr="000D3505">
        <w:rPr>
          <w:rFonts w:ascii="Times New Roman" w:hAnsi="Times New Roman" w:cs="Times New Roman"/>
        </w:rPr>
        <w:t xml:space="preserve">(1997) </w:t>
      </w:r>
      <w:r w:rsidRPr="000D3505">
        <w:rPr>
          <w:rFonts w:ascii="Times New Roman" w:hAnsi="Times New Roman" w:cs="Times New Roman"/>
          <w:i/>
        </w:rPr>
        <w:t xml:space="preserve">Derecho Internacional. </w:t>
      </w:r>
      <w:r w:rsidRPr="000D3505">
        <w:rPr>
          <w:rFonts w:ascii="Times New Roman" w:hAnsi="Times New Roman" w:cs="Times New Roman"/>
        </w:rPr>
        <w:t>Madrid, McGraw Hill, p. 836.</w:t>
      </w:r>
    </w:p>
  </w:footnote>
  <w:footnote w:id="2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Punto 5 del Informe del Secretario General de Naciones Unidas de 8 de abril de 2009 (S/2009/189)</w:t>
      </w:r>
      <w:r w:rsidR="00DB3926">
        <w:rPr>
          <w:rFonts w:ascii="Times New Roman" w:hAnsi="Times New Roman" w:cs="Times New Roman"/>
        </w:rPr>
        <w:t>.</w:t>
      </w:r>
    </w:p>
  </w:footnote>
  <w:footnote w:id="2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La formación de los mediadores es un punto bien percibido por la doctrina. En este sentido Merris, (</w:t>
      </w:r>
      <w:r w:rsidRPr="000D3505">
        <w:rPr>
          <w:rFonts w:ascii="Times New Roman" w:hAnsi="Times New Roman" w:cs="Times New Roman"/>
          <w:i/>
        </w:rPr>
        <w:t xml:space="preserve">International dispute, </w:t>
      </w:r>
      <w:r w:rsidRPr="000D3505">
        <w:rPr>
          <w:rFonts w:ascii="Times New Roman" w:hAnsi="Times New Roman" w:cs="Times New Roman"/>
        </w:rPr>
        <w:t xml:space="preserve">Op. Cit. nº 8), coincide en que los mediadores deberían estar formados por las Organizaciones Internacionales. </w:t>
      </w:r>
    </w:p>
  </w:footnote>
  <w:footnote w:id="2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w:t>
      </w:r>
      <w:r w:rsidRPr="000D3505">
        <w:rPr>
          <w:rFonts w:ascii="Times New Roman" w:hAnsi="Times New Roman" w:cs="Times New Roman"/>
          <w:i/>
          <w:lang w:val="en-US"/>
        </w:rPr>
        <w:t>Handbook on the Peaceful Settlement of Disputes between States</w:t>
      </w:r>
      <w:r w:rsidRPr="000D3505">
        <w:rPr>
          <w:rFonts w:ascii="Times New Roman" w:hAnsi="Times New Roman" w:cs="Times New Roman"/>
          <w:lang w:val="en-US"/>
        </w:rPr>
        <w:t xml:space="preserve">. </w:t>
      </w:r>
      <w:r w:rsidRPr="000D3505">
        <w:rPr>
          <w:rFonts w:ascii="Times New Roman" w:hAnsi="Times New Roman" w:cs="Times New Roman"/>
        </w:rPr>
        <w:t xml:space="preserve">División de Codificación (Organización de Naciones Unidas). </w:t>
      </w:r>
      <w:r w:rsidRPr="000D3505">
        <w:rPr>
          <w:rFonts w:ascii="Times New Roman" w:hAnsi="Times New Roman" w:cs="Times New Roman"/>
          <w:i/>
        </w:rPr>
        <w:t>Handbook on the Peaceful Settlement of Disputes between States</w:t>
      </w:r>
      <w:r w:rsidRPr="000D3505">
        <w:rPr>
          <w:rFonts w:ascii="Times New Roman" w:hAnsi="Times New Roman" w:cs="Times New Roman"/>
        </w:rPr>
        <w:t>. Nueva York (Estados Unidos),</w:t>
      </w:r>
      <w:r w:rsidR="009E1C76">
        <w:rPr>
          <w:rFonts w:ascii="Times New Roman" w:hAnsi="Times New Roman" w:cs="Times New Roman"/>
        </w:rPr>
        <w:t xml:space="preserve"> 1992. Referencia OLA/COD/2394, p. </w:t>
      </w:r>
      <w:r w:rsidRPr="000D3505">
        <w:rPr>
          <w:rFonts w:ascii="Times New Roman" w:hAnsi="Times New Roman" w:cs="Times New Roman"/>
        </w:rPr>
        <w:t xml:space="preserve">43. </w:t>
      </w:r>
    </w:p>
  </w:footnote>
  <w:footnote w:id="3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Tal y como sucedió en el Acuerdo de Montevideo de 8 de junio de 1979, por el que Chile y Argentina aceptaron someter la controversia del “Canal Beagle” al Cardenal Antonio Samoré. </w:t>
      </w:r>
    </w:p>
  </w:footnote>
  <w:footnote w:id="3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Indica literalmente que “</w:t>
      </w:r>
      <w:r w:rsidRPr="000D3505">
        <w:rPr>
          <w:rFonts w:ascii="Times New Roman" w:hAnsi="Times New Roman" w:cs="Times New Roman"/>
          <w:i/>
        </w:rPr>
        <w:t>Las funciones del mediador cesan en cuanto una de las Partes en controversia o el mediador ha hecho constar que los medios de conciliación propuestos por éste, no son aceptados</w:t>
      </w:r>
      <w:r w:rsidRPr="000D3505">
        <w:rPr>
          <w:rFonts w:ascii="Times New Roman" w:hAnsi="Times New Roman" w:cs="Times New Roman"/>
        </w:rPr>
        <w:t>”.</w:t>
      </w:r>
    </w:p>
  </w:footnote>
  <w:footnote w:id="3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Cuyo tenor literal indica que la asistencia del mediador se ejercerá “</w:t>
      </w:r>
      <w:r w:rsidRPr="000D3505">
        <w:rPr>
          <w:rFonts w:ascii="Times New Roman" w:hAnsi="Times New Roman" w:cs="Times New Roman"/>
          <w:i/>
        </w:rPr>
        <w:t>de la manera más sencilla y directa, evitando formalidades y procurando hallar una solución aceptable</w:t>
      </w:r>
      <w:r w:rsidRPr="000D3505">
        <w:rPr>
          <w:rFonts w:ascii="Times New Roman" w:hAnsi="Times New Roman" w:cs="Times New Roman"/>
        </w:rPr>
        <w:t>”.</w:t>
      </w:r>
    </w:p>
  </w:footnote>
  <w:footnote w:id="3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i/>
          <w:lang w:val="en-US"/>
        </w:rPr>
        <w:t>Handbook on the Peaceful Settlement of Disputes between States</w:t>
      </w:r>
      <w:r w:rsidRPr="000D3505">
        <w:rPr>
          <w:rFonts w:ascii="Times New Roman" w:hAnsi="Times New Roman" w:cs="Times New Roman"/>
          <w:lang w:val="en-US"/>
        </w:rPr>
        <w:t xml:space="preserve">. </w:t>
      </w:r>
      <w:r w:rsidRPr="000D3505">
        <w:rPr>
          <w:rFonts w:ascii="Times New Roman" w:hAnsi="Times New Roman" w:cs="Times New Roman"/>
        </w:rPr>
        <w:t xml:space="preserve">Oficina de Asuntos Jurídicos. División de Codificación (Organización de Naciones Unidas). </w:t>
      </w:r>
      <w:r w:rsidRPr="000D3505">
        <w:rPr>
          <w:rFonts w:ascii="Times New Roman" w:hAnsi="Times New Roman" w:cs="Times New Roman"/>
          <w:i/>
          <w:lang w:val="en-US"/>
        </w:rPr>
        <w:t>Handbook on the Peaceful Settlement of Disputes between States</w:t>
      </w:r>
      <w:r w:rsidRPr="000D3505">
        <w:rPr>
          <w:rFonts w:ascii="Times New Roman" w:hAnsi="Times New Roman" w:cs="Times New Roman"/>
          <w:lang w:val="en-US"/>
        </w:rPr>
        <w:t xml:space="preserve">. Nueva York (Estados Unidos), 1992. </w:t>
      </w:r>
      <w:r w:rsidR="009E1C76">
        <w:rPr>
          <w:rFonts w:ascii="Times New Roman" w:hAnsi="Times New Roman" w:cs="Times New Roman"/>
        </w:rPr>
        <w:t xml:space="preserve">Referencia OLA/COD/2394, p. </w:t>
      </w:r>
      <w:r w:rsidRPr="000D3505">
        <w:rPr>
          <w:rFonts w:ascii="Times New Roman" w:hAnsi="Times New Roman" w:cs="Times New Roman"/>
        </w:rPr>
        <w:t xml:space="preserve">44. </w:t>
      </w:r>
    </w:p>
  </w:footnote>
  <w:footnote w:id="3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Tal es el caso de la Resolución 186 del Consejo de Seguridad de 4 de marzo de 1964 (S/5575) en la que, en el transcurso del conflicto turco-chipriota, recomendó al Secretario General que, de común acuerdo con los Gobiernos de Chipre, Grecia, Reino Unido y Turquía se nombrase a un mediador que hiciese cuanto pudiese ante los representantes de las comunidades y los gobiernos para tratar de lograr una solución pacífica y arreglo concertado de conformidad con la Carta de Naciones Unidas teniendo presentes el bienestar del pueblo chipriota y el mantenimiento de la paz internacional. Como requisitos la Resolución pide al mediador la elaboración de informes periódicos al Secretario General de Naciones Unidas sobre las actividades que desarrollase y pide al Secretario General que se pague con fondos de Naciones Unidas la remuneración del mediador. También la Resolución 123 del Consejo de Seguridad de 21 de febrero de 1957 (S/3793), en la cuestión India-Pakistán pidió al Presidente del Consejo de Seguridad y al representante de Suecia que examinase, junto con los Gobiernos de India y Pakistán cualquier propuesta que pudiera contribuir al arreglo de la controversia. </w:t>
      </w:r>
    </w:p>
  </w:footnote>
  <w:footnote w:id="3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En el marco de Naciones Unidas, el Consejo de Seguridad, en su Resolución 61 de 4 de noviembre de 1948 (S/1070) decidió que, en el marco de la segunda tregua del conflicto de la Primera Guerra árabe-israelí, nombró un Comité del Consejo, compuesto por cinco miembros permanentes de Bélgica y Colombia para proporcionar al Mediador Interino del Conflicto el asesoramiento que pudiera necesitar en el desempeño de sus responsabilidades. </w:t>
      </w:r>
    </w:p>
  </w:footnote>
  <w:footnote w:id="3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La Asamblea General ha llegado a recomendar al Consejo de Seguridad seguir la vía de la mediación. La Resolución 2077 (XX), aprobada el 18 de diciembre de 1965 en la 1402ª sesión plenaria recomendó al Consejo de Seguridad en su punto 3 que continuase con su labor de seguridad en la Cuestión de Chipre de conformidad con la Resolución 186 del Consejo de Seguridad. </w:t>
      </w:r>
    </w:p>
  </w:footnote>
  <w:footnote w:id="3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Tal puede ser el caso de la Resolución del Consejo de Seguridad 479 (1980) de 28 de septiembre de 1980, en la que el mismo, en la situación entre Irak e Irán, instó a esos países a que aceptasen cualquier ofrecimiento de conciliación o mediación, u otro medio pacífico que eligiesen. En este mismo asunto, y con posterioridad, la Resolución del Consejo de Seguridad 589 /1997) de 20 de julio de 1987  (S/18852) en su punto 4 exhortó a Irak e Irán a que cooperasen con el Secretario General y en las gestiones de mediación para lograr “</w:t>
      </w:r>
      <w:r w:rsidRPr="000D3505">
        <w:rPr>
          <w:rFonts w:ascii="Times New Roman" w:hAnsi="Times New Roman" w:cs="Times New Roman"/>
          <w:i/>
        </w:rPr>
        <w:t>un arreglo amplio, justo y honorable, aceptable para ambas partes</w:t>
      </w:r>
      <w:r w:rsidRPr="000D3505">
        <w:rPr>
          <w:rFonts w:ascii="Times New Roman" w:hAnsi="Times New Roman" w:cs="Times New Roman"/>
        </w:rPr>
        <w:t xml:space="preserve">”. </w:t>
      </w:r>
    </w:p>
  </w:footnote>
  <w:footnote w:id="3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Oficina de Asuntos Jurídicos. División de Codificación (Organización de Naciones Unidas). </w:t>
      </w:r>
      <w:r w:rsidRPr="000D3505">
        <w:rPr>
          <w:rFonts w:ascii="Times New Roman" w:hAnsi="Times New Roman" w:cs="Times New Roman"/>
          <w:i/>
          <w:lang w:val="en-US"/>
        </w:rPr>
        <w:t>Handbook on the Peaceful Settlement of Disputes between States</w:t>
      </w:r>
      <w:r w:rsidRPr="000D3505">
        <w:rPr>
          <w:rFonts w:ascii="Times New Roman" w:hAnsi="Times New Roman" w:cs="Times New Roman"/>
          <w:lang w:val="en-US"/>
        </w:rPr>
        <w:t xml:space="preserve">. Nueva York (Estados Unidos), 1992. </w:t>
      </w:r>
      <w:r w:rsidRPr="000D3505">
        <w:rPr>
          <w:rFonts w:ascii="Times New Roman" w:hAnsi="Times New Roman" w:cs="Times New Roman"/>
        </w:rPr>
        <w:t xml:space="preserve">Referencia OLA/COD/2394, p. 44. </w:t>
      </w:r>
    </w:p>
  </w:footnote>
  <w:footnote w:id="3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Oficina de Asuntos Jurídicos. División de Codificación (Organización de Naciones Unidas). </w:t>
      </w:r>
      <w:r w:rsidRPr="000D3505">
        <w:rPr>
          <w:rFonts w:ascii="Times New Roman" w:hAnsi="Times New Roman" w:cs="Times New Roman"/>
          <w:i/>
          <w:lang w:val="en-US"/>
        </w:rPr>
        <w:t xml:space="preserve">Handbook on the Peaceful Settlement of Disputes between States. </w:t>
      </w:r>
      <w:r w:rsidRPr="000D3505">
        <w:rPr>
          <w:rFonts w:ascii="Times New Roman" w:hAnsi="Times New Roman" w:cs="Times New Roman"/>
          <w:lang w:val="en-US"/>
        </w:rPr>
        <w:t xml:space="preserve">Nueva York (Estados Unidos), 1992. </w:t>
      </w:r>
      <w:r w:rsidRPr="000D3505">
        <w:rPr>
          <w:rFonts w:ascii="Times New Roman" w:hAnsi="Times New Roman" w:cs="Times New Roman"/>
        </w:rPr>
        <w:t xml:space="preserve">Referencia OLA/COD/2394, p. 44. </w:t>
      </w:r>
    </w:p>
  </w:footnote>
  <w:footnote w:id="4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De hecho, como señala la doctrina (Merris, </w:t>
      </w:r>
      <w:r w:rsidRPr="000D3505">
        <w:rPr>
          <w:rFonts w:ascii="Times New Roman" w:hAnsi="Times New Roman" w:cs="Times New Roman"/>
          <w:i/>
        </w:rPr>
        <w:t xml:space="preserve">International dispute, </w:t>
      </w:r>
      <w:r w:rsidRPr="000D3505">
        <w:rPr>
          <w:rFonts w:ascii="Times New Roman" w:hAnsi="Times New Roman" w:cs="Times New Roman"/>
        </w:rPr>
        <w:t>Op. Cit. nº 8,) el sometimiento a mediación internacional no genera efectos vinculantes ni al inicio del proceso ni a lo largo del mismo, pues es tan eficaz como las partes deseen que sea. Esto se condiciona por el contexto del conflicto: la situación inmediata de las partes, el escenario bélico o no, o la perspectiva económica.</w:t>
      </w:r>
    </w:p>
  </w:footnote>
  <w:footnote w:id="4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Servicio de publicaciones (Organización de Naciones Unidas). </w:t>
      </w:r>
      <w:r w:rsidRPr="000D3505">
        <w:rPr>
          <w:rFonts w:ascii="Times New Roman" w:hAnsi="Times New Roman" w:cs="Times New Roman"/>
          <w:i/>
        </w:rPr>
        <w:t xml:space="preserve">Directrices de las Naciones Unidas para una mediación eficaz. </w:t>
      </w:r>
      <w:r w:rsidRPr="000D3505">
        <w:rPr>
          <w:rFonts w:ascii="Times New Roman" w:hAnsi="Times New Roman" w:cs="Times New Roman"/>
        </w:rPr>
        <w:t>Nueva York, 2012, p. 3.</w:t>
      </w:r>
    </w:p>
  </w:footnote>
  <w:footnote w:id="4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Organización de Naciones Unidas.</w:t>
      </w:r>
      <w:r w:rsidRPr="000D3505">
        <w:rPr>
          <w:rFonts w:ascii="Times New Roman" w:hAnsi="Times New Roman" w:cs="Times New Roman"/>
          <w:i/>
        </w:rPr>
        <w:t xml:space="preserve"> Declaración y Plataforma de Acción de Beijing </w:t>
      </w:r>
      <w:r w:rsidRPr="000D3505">
        <w:rPr>
          <w:rFonts w:ascii="Times New Roman" w:hAnsi="Times New Roman" w:cs="Times New Roman"/>
        </w:rPr>
        <w:t xml:space="preserve">[en línea] Cuarta Conferencia Mundial sobre la Mujer. Dirección URL: &lt; </w:t>
      </w:r>
      <w:hyperlink r:id="rId4" w:history="1">
        <w:r w:rsidRPr="000D3505">
          <w:rPr>
            <w:rStyle w:val="Hipervnculo"/>
            <w:rFonts w:ascii="Times New Roman" w:hAnsi="Times New Roman" w:cs="Times New Roman"/>
          </w:rPr>
          <w:t>http://www.un.org/womenwatch/daw/beijing/pdf/BDPfA%20S.pdf</w:t>
        </w:r>
      </w:hyperlink>
      <w:r w:rsidRPr="000D3505">
        <w:rPr>
          <w:rFonts w:ascii="Times New Roman" w:hAnsi="Times New Roman" w:cs="Times New Roman"/>
        </w:rPr>
        <w:t>&gt;. [Consulta: 15  junio 2014].</w:t>
      </w:r>
    </w:p>
  </w:footnote>
  <w:footnote w:id="4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Servicio de publicaciones (Organización de Naciones Unidas). </w:t>
      </w:r>
      <w:r w:rsidRPr="000D3505">
        <w:rPr>
          <w:rFonts w:ascii="Times New Roman" w:hAnsi="Times New Roman" w:cs="Times New Roman"/>
          <w:i/>
        </w:rPr>
        <w:t xml:space="preserve">Directrices de las Naciones Unidas para una mediación eficaz. </w:t>
      </w:r>
      <w:r w:rsidRPr="000D3505">
        <w:rPr>
          <w:rFonts w:ascii="Times New Roman" w:hAnsi="Times New Roman" w:cs="Times New Roman"/>
        </w:rPr>
        <w:t>Nueva York, 2012, p. 9.</w:t>
      </w:r>
    </w:p>
  </w:footnote>
  <w:footnote w:id="4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Merris, </w:t>
      </w:r>
      <w:r w:rsidRPr="000D3505">
        <w:rPr>
          <w:rFonts w:ascii="Times New Roman" w:hAnsi="Times New Roman" w:cs="Times New Roman"/>
          <w:i/>
        </w:rPr>
        <w:t xml:space="preserve">International dispute, </w:t>
      </w:r>
      <w:r w:rsidRPr="000D3505">
        <w:rPr>
          <w:rFonts w:ascii="Times New Roman" w:hAnsi="Times New Roman" w:cs="Times New Roman"/>
        </w:rPr>
        <w:t>Op. Cit. nº 8, p. 31.</w:t>
      </w:r>
    </w:p>
  </w:footnote>
  <w:footnote w:id="4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Rød-Larsen, T. y otros. </w:t>
      </w:r>
      <w:r w:rsidRPr="000D3505">
        <w:rPr>
          <w:rFonts w:ascii="Times New Roman" w:hAnsi="Times New Roman" w:cs="Times New Roman"/>
          <w:lang w:val="en-US"/>
        </w:rPr>
        <w:t xml:space="preserve">(2009) </w:t>
      </w:r>
      <w:r w:rsidRPr="000D3505">
        <w:rPr>
          <w:rFonts w:ascii="Times New Roman" w:hAnsi="Times New Roman" w:cs="Times New Roman"/>
          <w:i/>
          <w:lang w:val="en-US"/>
        </w:rPr>
        <w:t>International Peace Institute Blue Papers.</w:t>
      </w:r>
      <w:r w:rsidRPr="000D3505">
        <w:rPr>
          <w:rFonts w:ascii="Times New Roman" w:hAnsi="Times New Roman" w:cs="Times New Roman"/>
          <w:lang w:val="en-US"/>
        </w:rPr>
        <w:t xml:space="preserve"> </w:t>
      </w:r>
      <w:r w:rsidRPr="000D3505">
        <w:rPr>
          <w:rFonts w:ascii="Times New Roman" w:hAnsi="Times New Roman" w:cs="Times New Roman"/>
          <w:i/>
          <w:lang w:val="en-US"/>
        </w:rPr>
        <w:t>Mediation and Peace Process. Task Forces on Strengthening Multilateral Security Capacity</w:t>
      </w:r>
      <w:r w:rsidRPr="000D3505">
        <w:rPr>
          <w:rFonts w:ascii="Times New Roman" w:hAnsi="Times New Roman" w:cs="Times New Roman"/>
          <w:lang w:val="en-US"/>
        </w:rPr>
        <w:t xml:space="preserve">. </w:t>
      </w:r>
      <w:r w:rsidRPr="00093C88">
        <w:rPr>
          <w:rFonts w:ascii="Times New Roman" w:hAnsi="Times New Roman" w:cs="Times New Roman"/>
        </w:rPr>
        <w:t xml:space="preserve">Nueva York, International Peace Institute, Nueva York 2009. </w:t>
      </w:r>
      <w:r w:rsidRPr="000D3505">
        <w:rPr>
          <w:rFonts w:ascii="Times New Roman" w:hAnsi="Times New Roman" w:cs="Times New Roman"/>
        </w:rPr>
        <w:t xml:space="preserve">Disponible on line en: </w:t>
      </w:r>
      <w:hyperlink r:id="rId5" w:history="1">
        <w:r w:rsidRPr="000D3505">
          <w:rPr>
            <w:rStyle w:val="Hipervnculo"/>
            <w:rFonts w:ascii="Times New Roman" w:hAnsi="Times New Roman" w:cs="Times New Roman"/>
          </w:rPr>
          <w:t>http://peacemaker.un.org/sites/peacemaker.un.org/files/MediationandPeaceProcesses_IPI2008.pdf</w:t>
        </w:r>
      </w:hyperlink>
      <w:r w:rsidR="00DB3926">
        <w:rPr>
          <w:rFonts w:ascii="Times New Roman" w:hAnsi="Times New Roman" w:cs="Times New Roman"/>
        </w:rPr>
        <w:t xml:space="preserve"> [Consulta: 14  junio 2014] , p</w:t>
      </w:r>
      <w:r w:rsidRPr="000D3505">
        <w:rPr>
          <w:rFonts w:ascii="Times New Roman" w:hAnsi="Times New Roman" w:cs="Times New Roman"/>
        </w:rPr>
        <w:t>.19.</w:t>
      </w:r>
    </w:p>
  </w:footnote>
  <w:footnote w:id="4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Es importante esta faceta, de cara a la valoración del planteamiento, en futuros capítulos, de una mediación de la Unión Europea aplicada al contencioso que se analizará en el presente Trabajo. </w:t>
      </w:r>
    </w:p>
  </w:footnote>
  <w:footnote w:id="4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Servicio de publicaciones (Organización de Naciones Unidas). </w:t>
      </w:r>
      <w:r w:rsidRPr="000D3505">
        <w:rPr>
          <w:rFonts w:ascii="Times New Roman" w:hAnsi="Times New Roman" w:cs="Times New Roman"/>
          <w:i/>
        </w:rPr>
        <w:t xml:space="preserve">Directrices de las Naciones Unidas para una mediación eficaz. </w:t>
      </w:r>
      <w:r w:rsidRPr="000D3505">
        <w:rPr>
          <w:rFonts w:ascii="Times New Roman" w:hAnsi="Times New Roman" w:cs="Times New Roman"/>
        </w:rPr>
        <w:t>Nueva York, 2012, p. 10.</w:t>
      </w:r>
    </w:p>
  </w:footnote>
  <w:footnote w:id="4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Oficina de Asuntos Jurídicos. División de Codificación (Organización de Naciones Unidas). </w:t>
      </w:r>
      <w:r w:rsidRPr="000D3505">
        <w:rPr>
          <w:rFonts w:ascii="Times New Roman" w:hAnsi="Times New Roman" w:cs="Times New Roman"/>
          <w:i/>
          <w:lang w:val="en-US"/>
        </w:rPr>
        <w:t>Handbook on the Peaceful Settlement of Disputes between States</w:t>
      </w:r>
      <w:r w:rsidRPr="000D3505">
        <w:rPr>
          <w:rFonts w:ascii="Times New Roman" w:hAnsi="Times New Roman" w:cs="Times New Roman"/>
          <w:lang w:val="en-US"/>
        </w:rPr>
        <w:t xml:space="preserve">. Nueva York (Estados Unidos), 1992. </w:t>
      </w:r>
      <w:r w:rsidRPr="000D3505">
        <w:rPr>
          <w:rFonts w:ascii="Times New Roman" w:hAnsi="Times New Roman" w:cs="Times New Roman"/>
        </w:rPr>
        <w:t xml:space="preserve">Referencia OLA/COD/2394, p. 42. </w:t>
      </w:r>
    </w:p>
  </w:footnote>
  <w:footnote w:id="4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Merris, </w:t>
      </w:r>
      <w:r w:rsidRPr="000D3505">
        <w:rPr>
          <w:rFonts w:ascii="Times New Roman" w:hAnsi="Times New Roman" w:cs="Times New Roman"/>
          <w:i/>
        </w:rPr>
        <w:t xml:space="preserve">International dispute, </w:t>
      </w:r>
      <w:r w:rsidRPr="000D3505">
        <w:rPr>
          <w:rFonts w:ascii="Times New Roman" w:hAnsi="Times New Roman" w:cs="Times New Roman"/>
        </w:rPr>
        <w:t>Op. Cit. nº 8, p. 38</w:t>
      </w:r>
    </w:p>
  </w:footnote>
  <w:footnote w:id="5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Carballo Lleyda, A. “Mecanismos de resolución pacífica de disputas fronterizas (2009-2011)”. En Vazquez Gómez, E. (2013) y otros autores, </w:t>
      </w:r>
      <w:r w:rsidRPr="000D3505">
        <w:rPr>
          <w:rFonts w:ascii="Times New Roman" w:hAnsi="Times New Roman" w:cs="Times New Roman"/>
          <w:i/>
        </w:rPr>
        <w:t xml:space="preserve">El arreglo pacífico de controversias internacionales. XXIV Jornadas de la Asociación Española de Derecho Internacional y relaciones internacionales, Córdoba 20-22 de octubre de 2011. </w:t>
      </w:r>
      <w:r w:rsidRPr="000D3505">
        <w:rPr>
          <w:rFonts w:ascii="Times New Roman" w:hAnsi="Times New Roman" w:cs="Times New Roman"/>
        </w:rPr>
        <w:t xml:space="preserve">Valencia, Editorial Tirant lo Blanch, p. 155. </w:t>
      </w:r>
    </w:p>
  </w:footnote>
  <w:footnote w:id="5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Servicio de publicaciones (Organización de Naciones Unidas). </w:t>
      </w:r>
      <w:r w:rsidRPr="000D3505">
        <w:rPr>
          <w:rFonts w:ascii="Times New Roman" w:hAnsi="Times New Roman" w:cs="Times New Roman"/>
          <w:i/>
        </w:rPr>
        <w:t xml:space="preserve">Directrices de las Naciones Unidas para una mediación eficaz. </w:t>
      </w:r>
      <w:r w:rsidRPr="000D3505">
        <w:rPr>
          <w:rFonts w:ascii="Times New Roman" w:hAnsi="Times New Roman" w:cs="Times New Roman"/>
        </w:rPr>
        <w:t>Nueva York, 2012, p. 13.</w:t>
      </w:r>
    </w:p>
  </w:footnote>
  <w:footnote w:id="5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 puede encontrar un precedente de las relaciones entre la religión y la mediación en la Biblia (Primera Carta de San Pablo a los Corintios, 6-5): </w:t>
      </w:r>
      <w:r w:rsidR="00DB3926">
        <w:rPr>
          <w:rFonts w:ascii="Times New Roman" w:hAnsi="Times New Roman" w:cs="Times New Roman"/>
          <w:i/>
        </w:rPr>
        <w:t>¿No hay entre vosotros a</w:t>
      </w:r>
      <w:r w:rsidRPr="000D3505">
        <w:rPr>
          <w:rFonts w:ascii="Times New Roman" w:hAnsi="Times New Roman" w:cs="Times New Roman"/>
          <w:i/>
        </w:rPr>
        <w:t>ún hombre prudente, capaz de servir de árbitro entre sus hermanos?</w:t>
      </w:r>
    </w:p>
  </w:footnote>
  <w:footnote w:id="5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w:t>
      </w:r>
      <w:r w:rsidRPr="000D3505">
        <w:rPr>
          <w:rFonts w:ascii="Times New Roman" w:hAnsi="Times New Roman" w:cs="Times New Roman"/>
          <w:i/>
        </w:rPr>
        <w:t xml:space="preserve">“La construcción de la paz exige sobre todo el respeto a la libertad y a la dignidad de la persona humana (…). A partir de este punto de referencia que tenemos en común, es posible proseguir en el empeño por una solución pacífica de las controversias y los conflictos. A este respecto, renuevo el deseo de que se eviten, por parte de todos, las iniciativas y los actos que contradicen la declarada voluntad de alcanzar un verdadero acuerdo y de que no nos cansemos de perseguir la paz con determinación y coherencia”. </w:t>
      </w:r>
      <w:r w:rsidRPr="000D3505">
        <w:rPr>
          <w:rFonts w:ascii="Times New Roman" w:hAnsi="Times New Roman" w:cs="Times New Roman"/>
        </w:rPr>
        <w:t xml:space="preserve">Discurso del Santo Padre Francisco en la visita de cortesía al Presidente del Estado de Israel (Palacio Presidencial, Jerusalén, 26 de mayo de 2014. Disponible on line en: </w:t>
      </w:r>
      <w:hyperlink r:id="rId6" w:history="1">
        <w:r w:rsidRPr="000D3505">
          <w:rPr>
            <w:rStyle w:val="Hipervnculo"/>
            <w:rFonts w:ascii="Times New Roman" w:hAnsi="Times New Roman" w:cs="Times New Roman"/>
          </w:rPr>
          <w:t>http://w2.vatican.va/content/francesco/es/speeches/2014/may/documents/papa-francesco_20140526_terra-santa-visita-presidente-israele.html</w:t>
        </w:r>
      </w:hyperlink>
      <w:r w:rsidRPr="000D3505">
        <w:rPr>
          <w:rFonts w:ascii="Times New Roman" w:hAnsi="Times New Roman" w:cs="Times New Roman"/>
        </w:rPr>
        <w:t>) [Consulta: 13 junio 2014].</w:t>
      </w:r>
    </w:p>
  </w:footnote>
  <w:footnote w:id="5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Insertado en nuestro Ordenamiento mediante el Instrumento de Ratificación del Estatuto de Roma de la Corte Penal Internacional, hecho en Roma el 17 de julio de 1998, publicado en el BOE núm. 126, de 27 de mayo de 2002, pp. 18824 a 18860.</w:t>
      </w:r>
    </w:p>
  </w:footnote>
  <w:footnote w:id="5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Hernández Pradas, S. “La mediación en conflictos internacionales”, en Carabate Muntada, J., </w:t>
      </w:r>
      <w:r w:rsidRPr="000D3505">
        <w:rPr>
          <w:rFonts w:ascii="Times New Roman" w:hAnsi="Times New Roman" w:cs="Times New Roman"/>
          <w:i/>
        </w:rPr>
        <w:t xml:space="preserve">La mediación. Presente y futuro de una institución jurídica. </w:t>
      </w:r>
      <w:r w:rsidRPr="000D3505">
        <w:rPr>
          <w:rFonts w:ascii="Times New Roman" w:hAnsi="Times New Roman" w:cs="Times New Roman"/>
        </w:rPr>
        <w:t>(2010) Madrid, Centro Universitario Villanueva de la Universidad Complutense de Madrid, p. 264.</w:t>
      </w:r>
    </w:p>
  </w:footnote>
  <w:footnote w:id="5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Instrumento de Ratificación de España del Pacto Internacional de Derechos Civiles y Políticos, hecho en Nueva York el 19 de diciembre de 1966. Publicado en el Boletín Oficial del Estado núm. 103, de 30 de abril de 1977, pp. 9337 a 9343</w:t>
      </w:r>
    </w:p>
  </w:footnote>
  <w:footnote w:id="5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Servicio de publicaciones (Organización de Naciones Unidas). </w:t>
      </w:r>
      <w:r w:rsidRPr="000D3505">
        <w:rPr>
          <w:rFonts w:ascii="Times New Roman" w:hAnsi="Times New Roman" w:cs="Times New Roman"/>
          <w:i/>
        </w:rPr>
        <w:t xml:space="preserve">Directrices de las Naciones Unidas para una mediación eficaz. </w:t>
      </w:r>
      <w:r w:rsidRPr="000D3505">
        <w:rPr>
          <w:rFonts w:ascii="Times New Roman" w:hAnsi="Times New Roman" w:cs="Times New Roman"/>
        </w:rPr>
        <w:t xml:space="preserve">Nueva York, 2012, </w:t>
      </w:r>
      <w:r w:rsidR="009E1C76">
        <w:rPr>
          <w:rFonts w:ascii="Times New Roman" w:hAnsi="Times New Roman" w:cs="Times New Roman"/>
        </w:rPr>
        <w:t>p.</w:t>
      </w:r>
      <w:r w:rsidRPr="000D3505">
        <w:rPr>
          <w:rFonts w:ascii="Times New Roman" w:hAnsi="Times New Roman" w:cs="Times New Roman"/>
        </w:rPr>
        <w:t xml:space="preserve"> 15</w:t>
      </w:r>
      <w:r w:rsidR="009E1C76">
        <w:rPr>
          <w:rFonts w:ascii="Times New Roman" w:hAnsi="Times New Roman" w:cs="Times New Roman"/>
        </w:rPr>
        <w:t>.</w:t>
      </w:r>
    </w:p>
  </w:footnote>
  <w:footnote w:id="58">
    <w:p w:rsidR="007B0B03" w:rsidRPr="00093C88"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Pueden ser ejemplos los casos de las insurgencias de Aceh en Indonesia, o Pattani en el sur de Tailandia; en los cuales una de las partes, formada por grupos rebeldes, aspiró a que el conflicto se internacionalizase y la otra, conformada por los gobiernos de Indonesia y Tailandia respectivamente, lo consideró como un conflicto de naturaleza interna. </w:t>
      </w:r>
      <w:r w:rsidRPr="00093C88">
        <w:rPr>
          <w:rFonts w:ascii="Times New Roman" w:hAnsi="Times New Roman" w:cs="Times New Roman"/>
          <w:lang w:val="en-US"/>
        </w:rPr>
        <w:t xml:space="preserve">Visto en </w:t>
      </w:r>
      <w:r w:rsidRPr="000D3505">
        <w:rPr>
          <w:rFonts w:ascii="Times New Roman" w:hAnsi="Times New Roman" w:cs="Times New Roman"/>
          <w:lang w:val="en-US"/>
        </w:rPr>
        <w:t xml:space="preserve">Withfield, T. (2010) </w:t>
      </w:r>
      <w:r w:rsidRPr="000D3505">
        <w:rPr>
          <w:rFonts w:ascii="Times New Roman" w:hAnsi="Times New Roman" w:cs="Times New Roman"/>
          <w:i/>
          <w:lang w:val="en-US"/>
        </w:rPr>
        <w:t xml:space="preserve">External actors in mediation. Dilemmas &amp; options for mediators. </w:t>
      </w:r>
      <w:r w:rsidRPr="00093C88">
        <w:rPr>
          <w:rFonts w:ascii="Times New Roman" w:hAnsi="Times New Roman" w:cs="Times New Roman"/>
          <w:lang w:val="en-US"/>
        </w:rPr>
        <w:t xml:space="preserve">Ginebra, Center for humanitarian dialogue. Disponible on line en: </w:t>
      </w:r>
      <w:hyperlink r:id="rId7" w:history="1">
        <w:r w:rsidRPr="00093C88">
          <w:rPr>
            <w:rStyle w:val="Hipervnculo"/>
            <w:rFonts w:ascii="Times New Roman" w:hAnsi="Times New Roman" w:cs="Times New Roman"/>
            <w:lang w:val="en-US"/>
          </w:rPr>
          <w:t>http://peacemaker.un.org/sites/peacemaker.un.org/files/ExternalActorsinMediation_HDCenter2010.pdf</w:t>
        </w:r>
      </w:hyperlink>
      <w:r w:rsidRPr="00093C88">
        <w:rPr>
          <w:rFonts w:ascii="Times New Roman" w:hAnsi="Times New Roman" w:cs="Times New Roman"/>
          <w:lang w:val="en-US"/>
        </w:rPr>
        <w:t xml:space="preserve"> [Consulta: 10 mayo 2014]. </w:t>
      </w:r>
      <w:r w:rsidRPr="00093C88">
        <w:rPr>
          <w:rFonts w:ascii="Times New Roman" w:hAnsi="Times New Roman" w:cs="Times New Roman"/>
        </w:rPr>
        <w:t>P. 11.</w:t>
      </w:r>
    </w:p>
  </w:footnote>
  <w:footnote w:id="59">
    <w:p w:rsidR="007B0B03" w:rsidRPr="00093C88"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93C88">
        <w:rPr>
          <w:rFonts w:ascii="Times New Roman" w:hAnsi="Times New Roman" w:cs="Times New Roman"/>
        </w:rPr>
        <w:t xml:space="preserve"> Withfield, T. </w:t>
      </w:r>
      <w:r w:rsidRPr="00093C88">
        <w:rPr>
          <w:rFonts w:ascii="Times New Roman" w:hAnsi="Times New Roman" w:cs="Times New Roman"/>
          <w:i/>
        </w:rPr>
        <w:t xml:space="preserve">External actors, </w:t>
      </w:r>
      <w:r w:rsidRPr="00093C88">
        <w:rPr>
          <w:rFonts w:ascii="Times New Roman" w:hAnsi="Times New Roman" w:cs="Times New Roman"/>
        </w:rPr>
        <w:t>Op. Cit. nº 58, p. 12.</w:t>
      </w:r>
    </w:p>
  </w:footnote>
  <w:footnote w:id="6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93C88">
        <w:rPr>
          <w:rFonts w:ascii="Times New Roman" w:hAnsi="Times New Roman" w:cs="Times New Roman"/>
        </w:rPr>
        <w:t xml:space="preserve"> Salgado, J. (2002) </w:t>
      </w:r>
      <w:r w:rsidRPr="000D3505">
        <w:rPr>
          <w:rFonts w:ascii="Times New Roman" w:hAnsi="Times New Roman" w:cs="Times New Roman"/>
          <w:i/>
        </w:rPr>
        <w:t xml:space="preserve">Justicia Indígena. Apuntes para un debate. </w:t>
      </w:r>
      <w:r w:rsidRPr="000D3505">
        <w:rPr>
          <w:rFonts w:ascii="Times New Roman" w:hAnsi="Times New Roman" w:cs="Times New Roman"/>
        </w:rPr>
        <w:t>Quito, Editorial Abya Yala,  p. 9.</w:t>
      </w:r>
    </w:p>
  </w:footnote>
  <w:footnote w:id="61">
    <w:p w:rsidR="007B0B03" w:rsidRPr="00093C88"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Brahimi, L y Ahmed, S. (2009) </w:t>
      </w:r>
      <w:r w:rsidRPr="000D3505">
        <w:rPr>
          <w:rFonts w:ascii="Times New Roman" w:hAnsi="Times New Roman" w:cs="Times New Roman"/>
          <w:i/>
          <w:lang w:val="en-US"/>
        </w:rPr>
        <w:t xml:space="preserve">In pursuit of sustainable peace. The Seven Deadly Sins of Mediation. </w:t>
      </w:r>
      <w:r w:rsidRPr="000D3505">
        <w:rPr>
          <w:rFonts w:ascii="Times New Roman" w:hAnsi="Times New Roman" w:cs="Times New Roman"/>
          <w:lang w:val="en-US"/>
        </w:rPr>
        <w:t xml:space="preserve">Center on International Cooperation. </w:t>
      </w:r>
      <w:r w:rsidRPr="00093C88">
        <w:rPr>
          <w:rFonts w:ascii="Times New Roman" w:hAnsi="Times New Roman" w:cs="Times New Roman"/>
          <w:lang w:val="en-US"/>
        </w:rPr>
        <w:t xml:space="preserve">Nueva York, New York University. Disponible on line en </w:t>
      </w:r>
      <w:hyperlink r:id="rId8" w:history="1">
        <w:r w:rsidRPr="00093C88">
          <w:rPr>
            <w:rStyle w:val="Hipervnculo"/>
            <w:rFonts w:ascii="Times New Roman" w:hAnsi="Times New Roman" w:cs="Times New Roman"/>
            <w:lang w:val="en-US"/>
          </w:rPr>
          <w:t>http://peacemaker.un.org/sites/peacemaker.un.org/files/SevenDeadlySinsofMediation_BrahimiAhmed2008.pdf</w:t>
        </w:r>
      </w:hyperlink>
      <w:r w:rsidRPr="00093C88">
        <w:rPr>
          <w:rFonts w:ascii="Times New Roman" w:hAnsi="Times New Roman" w:cs="Times New Roman"/>
          <w:lang w:val="en-US"/>
        </w:rPr>
        <w:t xml:space="preserve"> [Consulta: 5  junio 2014], p. 19. </w:t>
      </w:r>
    </w:p>
  </w:footnote>
  <w:footnote w:id="62">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rPr>
        <w:t xml:space="preserve">Merris, </w:t>
      </w:r>
      <w:r w:rsidRPr="000D3505">
        <w:rPr>
          <w:rFonts w:ascii="Times New Roman" w:hAnsi="Times New Roman" w:cs="Times New Roman"/>
          <w:i/>
        </w:rPr>
        <w:t xml:space="preserve">International dispute, </w:t>
      </w:r>
      <w:r w:rsidRPr="000D3505">
        <w:rPr>
          <w:rFonts w:ascii="Times New Roman" w:hAnsi="Times New Roman" w:cs="Times New Roman"/>
        </w:rPr>
        <w:t xml:space="preserve">Op. </w:t>
      </w:r>
      <w:r w:rsidRPr="000D3505">
        <w:rPr>
          <w:rFonts w:ascii="Times New Roman" w:hAnsi="Times New Roman" w:cs="Times New Roman"/>
          <w:lang w:val="en-US"/>
        </w:rPr>
        <w:t>Cit. nº 8,</w:t>
      </w:r>
      <w:r w:rsidR="00A05654">
        <w:rPr>
          <w:rFonts w:ascii="Times New Roman" w:hAnsi="Times New Roman" w:cs="Times New Roman"/>
          <w:lang w:val="en-US"/>
        </w:rPr>
        <w:t xml:space="preserve"> </w:t>
      </w:r>
      <w:r w:rsidRPr="000D3505">
        <w:rPr>
          <w:rFonts w:ascii="Times New Roman" w:hAnsi="Times New Roman" w:cs="Times New Roman"/>
          <w:lang w:val="en-US"/>
        </w:rPr>
        <w:t>pp. 37-40.</w:t>
      </w:r>
    </w:p>
  </w:footnote>
  <w:footnote w:id="6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Giessman, H. y Wills, O. Seeking Compromise?, Op. </w:t>
      </w:r>
      <w:r w:rsidRPr="000D3505">
        <w:rPr>
          <w:rFonts w:ascii="Times New Roman" w:hAnsi="Times New Roman" w:cs="Times New Roman"/>
        </w:rPr>
        <w:t xml:space="preserve">Cit. nº 24, p. 188. </w:t>
      </w:r>
    </w:p>
  </w:footnote>
  <w:footnote w:id="6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Servicio de publicaciones (Organización de Naciones Unidas). </w:t>
      </w:r>
      <w:r w:rsidRPr="000D3505">
        <w:rPr>
          <w:rFonts w:ascii="Times New Roman" w:hAnsi="Times New Roman" w:cs="Times New Roman"/>
          <w:i/>
        </w:rPr>
        <w:t xml:space="preserve">Directrices de las Naciones Unidas para una mediación eficaz. </w:t>
      </w:r>
      <w:r w:rsidRPr="000D3505">
        <w:rPr>
          <w:rFonts w:ascii="Times New Roman" w:hAnsi="Times New Roman" w:cs="Times New Roman"/>
        </w:rPr>
        <w:t>Nueva York, 2012, p. 17.</w:t>
      </w:r>
    </w:p>
  </w:footnote>
  <w:footnote w:id="6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Ollé Sesé, M. (2008)  </w:t>
      </w:r>
      <w:r w:rsidRPr="000D3505">
        <w:rPr>
          <w:rFonts w:ascii="Times New Roman" w:hAnsi="Times New Roman" w:cs="Times New Roman"/>
          <w:i/>
        </w:rPr>
        <w:t xml:space="preserve">Justicia universal para crímenes internacionales. </w:t>
      </w:r>
      <w:r w:rsidRPr="000D3505">
        <w:rPr>
          <w:rFonts w:ascii="Times New Roman" w:hAnsi="Times New Roman" w:cs="Times New Roman"/>
        </w:rPr>
        <w:t>Madrid, Editorial La Ley, p. 259.</w:t>
      </w:r>
    </w:p>
  </w:footnote>
  <w:footnote w:id="6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Quintero Olivares, G., Morales Prats, F y otros. (2008) </w:t>
      </w:r>
      <w:r w:rsidRPr="000D3505">
        <w:rPr>
          <w:rFonts w:ascii="Times New Roman" w:hAnsi="Times New Roman" w:cs="Times New Roman"/>
          <w:i/>
        </w:rPr>
        <w:t xml:space="preserve">Comentarios al Código penal, parte especial. </w:t>
      </w:r>
      <w:r w:rsidRPr="000D3505">
        <w:rPr>
          <w:rFonts w:ascii="Times New Roman" w:hAnsi="Times New Roman" w:cs="Times New Roman"/>
        </w:rPr>
        <w:t>Tomo III. Cizur Menor, Navarra, Edi</w:t>
      </w:r>
      <w:r w:rsidR="00897D3F">
        <w:rPr>
          <w:rFonts w:ascii="Times New Roman" w:hAnsi="Times New Roman" w:cs="Times New Roman"/>
        </w:rPr>
        <w:t>torial Aranzadi-Thomson Reuters, p. 1158.</w:t>
      </w:r>
    </w:p>
  </w:footnote>
  <w:footnote w:id="67">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rPr>
        <w:t xml:space="preserve"> Servicio de publicaciones (Organización de Naciones Unidas). </w:t>
      </w:r>
      <w:r w:rsidRPr="000D3505">
        <w:rPr>
          <w:rFonts w:ascii="Times New Roman" w:hAnsi="Times New Roman" w:cs="Times New Roman"/>
          <w:i/>
        </w:rPr>
        <w:t xml:space="preserve">Directrices de las Naciones Unidas para una mediación eficaz. </w:t>
      </w:r>
      <w:r w:rsidRPr="000D3505">
        <w:rPr>
          <w:rFonts w:ascii="Times New Roman" w:hAnsi="Times New Roman" w:cs="Times New Roman"/>
          <w:lang w:val="en-US"/>
        </w:rPr>
        <w:t>Nueva York, 2012, pp. 21 y 22</w:t>
      </w:r>
      <w:r w:rsidR="00A42814">
        <w:rPr>
          <w:rFonts w:ascii="Times New Roman" w:hAnsi="Times New Roman" w:cs="Times New Roman"/>
          <w:lang w:val="en-US"/>
        </w:rPr>
        <w:t>.</w:t>
      </w:r>
    </w:p>
  </w:footnote>
  <w:footnote w:id="68">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Beardsley, K. (2011) </w:t>
      </w:r>
      <w:r w:rsidRPr="000D3505">
        <w:rPr>
          <w:rFonts w:ascii="Times New Roman" w:hAnsi="Times New Roman" w:cs="Times New Roman"/>
          <w:i/>
          <w:lang w:val="en-US"/>
        </w:rPr>
        <w:t>The Mediation Dilemma</w:t>
      </w:r>
      <w:r w:rsidRPr="000D3505">
        <w:rPr>
          <w:rFonts w:ascii="Times New Roman" w:hAnsi="Times New Roman" w:cs="Times New Roman"/>
          <w:lang w:val="en-US"/>
        </w:rPr>
        <w:t xml:space="preserve">. Ithaca (Nueva York), Editorial Cornell University Press, p. 72. </w:t>
      </w:r>
    </w:p>
  </w:footnote>
  <w:footnote w:id="6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Podría instituirse un Tribunal de naturaleza Internacional para resolver las diferentes cuestiones que resulten de la aplicación del acuerdo en cada caso concreto, dando lugar a una jurisdicción específica y la obligación de los estados parte de aceptar las decisiones del mismo como obligaciones contraídas en virtud del acuerdo de paz. Por igual la presencia de Organizaciones Internacionales y estructuras comunes también puede ser una fórmula para ejecutar y aplicar el Derecho internacional resultante, bien sea mediante la constitución de una Organización entre los estados parte de la controversia o mediante el control de alguna Organización regional.</w:t>
      </w:r>
    </w:p>
  </w:footnote>
  <w:footnote w:id="70">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Merris, </w:t>
      </w:r>
      <w:r w:rsidRPr="000D3505">
        <w:rPr>
          <w:rFonts w:ascii="Times New Roman" w:hAnsi="Times New Roman" w:cs="Times New Roman"/>
          <w:i/>
          <w:lang w:val="en-US"/>
        </w:rPr>
        <w:t xml:space="preserve">International dispute, </w:t>
      </w:r>
      <w:r w:rsidRPr="000D3505">
        <w:rPr>
          <w:rFonts w:ascii="Times New Roman" w:hAnsi="Times New Roman" w:cs="Times New Roman"/>
          <w:lang w:val="en-US"/>
        </w:rPr>
        <w:t>Op. Cit. nº 8,p. 38.</w:t>
      </w:r>
    </w:p>
  </w:footnote>
  <w:footnote w:id="71">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Beardsley, </w:t>
      </w:r>
      <w:r w:rsidRPr="000D3505">
        <w:rPr>
          <w:rFonts w:ascii="Times New Roman" w:hAnsi="Times New Roman" w:cs="Times New Roman"/>
          <w:i/>
          <w:lang w:val="en-US"/>
        </w:rPr>
        <w:t xml:space="preserve">The Mediation, </w:t>
      </w:r>
      <w:r w:rsidRPr="000D3505">
        <w:rPr>
          <w:rFonts w:ascii="Times New Roman" w:hAnsi="Times New Roman" w:cs="Times New Roman"/>
          <w:lang w:val="en-US"/>
        </w:rPr>
        <w:t xml:space="preserve">Op. Cit. nº 68,.p.72. </w:t>
      </w:r>
    </w:p>
  </w:footnote>
  <w:footnote w:id="7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Cheng, TH. “Reflections on Culture in Med-Arb”. En Rovine, A. (2009) </w:t>
      </w:r>
      <w:r w:rsidRPr="000D3505">
        <w:rPr>
          <w:rFonts w:ascii="Times New Roman" w:hAnsi="Times New Roman" w:cs="Times New Roman"/>
          <w:i/>
          <w:lang w:val="en-US"/>
        </w:rPr>
        <w:t>Contemporary issues in international arbitration and mediation</w:t>
      </w:r>
      <w:r w:rsidRPr="000D3505">
        <w:rPr>
          <w:rFonts w:ascii="Times New Roman" w:hAnsi="Times New Roman" w:cs="Times New Roman"/>
          <w:lang w:val="en-US"/>
        </w:rPr>
        <w:t xml:space="preserve">. </w:t>
      </w:r>
      <w:r w:rsidRPr="000D3505">
        <w:rPr>
          <w:rFonts w:ascii="Times New Roman" w:hAnsi="Times New Roman" w:cs="Times New Roman"/>
        </w:rPr>
        <w:t>Nueva York, Fordham Papers, Volumen 3, pp. 421-422.</w:t>
      </w:r>
    </w:p>
  </w:footnote>
  <w:footnote w:id="7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Versión de la publicación del Ministerio de Asuntos Exteriores y Cooperación </w:t>
      </w:r>
      <w:r w:rsidRPr="000D3505">
        <w:rPr>
          <w:rFonts w:ascii="Times New Roman" w:hAnsi="Times New Roman" w:cs="Times New Roman"/>
          <w:i/>
        </w:rPr>
        <w:t xml:space="preserve">La cuestión de Gibraltar, </w:t>
      </w:r>
      <w:r w:rsidRPr="000D3505">
        <w:rPr>
          <w:rFonts w:ascii="Times New Roman" w:hAnsi="Times New Roman" w:cs="Times New Roman"/>
        </w:rPr>
        <w:t xml:space="preserve">publicado en Madrid, 2009, p. 85. </w:t>
      </w:r>
    </w:p>
  </w:footnote>
  <w:footnote w:id="7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Del Valle Gálvez, A. (2013) “¿De verdad cedimos el peñón? Opciones estratégicas de España sobre Gibraltar a los 300 años del Tratado de Utrecht”. Publicado en la Revista Española de Derecho Internacional, vol. LXV de 2013, p. 122.</w:t>
      </w:r>
    </w:p>
  </w:footnote>
  <w:footnote w:id="7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Izquierdo Sans, C. (1996) </w:t>
      </w:r>
      <w:r w:rsidRPr="000D3505">
        <w:rPr>
          <w:rFonts w:ascii="Times New Roman" w:hAnsi="Times New Roman" w:cs="Times New Roman"/>
          <w:i/>
        </w:rPr>
        <w:t xml:space="preserve">Gibraltar en la Unión Europea. Consecuencias sobre el contencioso hispánico-británico y el proceso de construcción europea. </w:t>
      </w:r>
      <w:r w:rsidRPr="000D3505">
        <w:rPr>
          <w:rFonts w:ascii="Times New Roman" w:hAnsi="Times New Roman" w:cs="Times New Roman"/>
        </w:rPr>
        <w:t xml:space="preserve">Madrid, Editorial Tecnos (Ediciones de la Universidad Autónoma de Madrid),  p.25. </w:t>
      </w:r>
    </w:p>
  </w:footnote>
  <w:footnote w:id="7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Verdú Baeza, J. (2014) “La controversia sobre las aguas de Gibraltar: el mito de la costa seca”. Revista Española de derecho Internacional, vol. LXVI de 2014, p. 85.</w:t>
      </w:r>
    </w:p>
  </w:footnote>
  <w:footnote w:id="7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En la contestación del General Gobernador Militar del Campo de Gibraltar a la protesta del Gobernador de Gibraltar por la construcción de una puerta en la verja inglesa que separa Gibraltar del resto de España, dada en Algeciras a 30 de noviembre de 1954, el Gobernador expone que según el Tratado de Utrecht, la frontera inglesa es el límite Norte de la Roca. Versión de la publicación del Ministerio de Asuntos Exteriores y Cooperación </w:t>
      </w:r>
      <w:r w:rsidRPr="000D3505">
        <w:rPr>
          <w:rFonts w:ascii="Times New Roman" w:hAnsi="Times New Roman" w:cs="Times New Roman"/>
          <w:i/>
        </w:rPr>
        <w:t xml:space="preserve">La cuestión de Gibraltar, </w:t>
      </w:r>
      <w:r w:rsidRPr="000D3505">
        <w:rPr>
          <w:rFonts w:ascii="Times New Roman" w:hAnsi="Times New Roman" w:cs="Times New Roman"/>
        </w:rPr>
        <w:t>publicado en Madrid, 2009, p. 88.</w:t>
      </w:r>
    </w:p>
  </w:footnote>
  <w:footnote w:id="7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Del Valle Gálvez, ¿De verdad…, Op. Cit. nº 74,pp. 124-125.</w:t>
      </w:r>
    </w:p>
  </w:footnote>
  <w:footnote w:id="7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Defendido por Azcárraga Bustamante, J. en su obra “Las aguas españolas de Gibraltar”, </w:t>
      </w:r>
      <w:r w:rsidRPr="000D3505">
        <w:rPr>
          <w:rFonts w:ascii="Times New Roman" w:hAnsi="Times New Roman" w:cs="Times New Roman"/>
          <w:i/>
        </w:rPr>
        <w:t xml:space="preserve">Estudios de Derecho internacional público y privado. Homenaje al profesor Luis Sela Stampil. </w:t>
      </w:r>
      <w:r w:rsidRPr="000D3505">
        <w:rPr>
          <w:rFonts w:ascii="Times New Roman" w:hAnsi="Times New Roman" w:cs="Times New Roman"/>
        </w:rPr>
        <w:t xml:space="preserve">Publicado por la Universidad de Oviedo, 1970, p. 70; y citado por Verdú Baeza, la controversia, Op. Cit. nº76, p. 89. </w:t>
      </w:r>
    </w:p>
  </w:footnote>
  <w:footnote w:id="80">
    <w:p w:rsidR="007B0B03" w:rsidRPr="00093C88"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Verdú Baeza, la controversia, Op. </w:t>
      </w:r>
      <w:r w:rsidRPr="00093C88">
        <w:rPr>
          <w:rFonts w:ascii="Times New Roman" w:hAnsi="Times New Roman" w:cs="Times New Roman"/>
        </w:rPr>
        <w:t>Cit. nº76, p. 90.</w:t>
      </w:r>
    </w:p>
  </w:footnote>
  <w:footnote w:id="8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International Court of Justice. </w:t>
      </w:r>
      <w:r w:rsidRPr="000D3505">
        <w:rPr>
          <w:rFonts w:ascii="Times New Roman" w:hAnsi="Times New Roman" w:cs="Times New Roman"/>
          <w:i/>
          <w:lang w:val="en-US"/>
        </w:rPr>
        <w:t xml:space="preserve">Case concerning right of passage over indian territory. </w:t>
      </w:r>
      <w:r w:rsidRPr="000D3505">
        <w:rPr>
          <w:rFonts w:ascii="Times New Roman" w:hAnsi="Times New Roman" w:cs="Times New Roman"/>
          <w:lang w:val="en-US"/>
        </w:rPr>
        <w:t xml:space="preserve"> </w:t>
      </w:r>
      <w:r w:rsidRPr="000D3505">
        <w:rPr>
          <w:rFonts w:ascii="Times New Roman" w:hAnsi="Times New Roman" w:cs="Times New Roman"/>
        </w:rPr>
        <w:t xml:space="preserve">Disponible on line en </w:t>
      </w:r>
      <w:hyperlink r:id="rId9" w:history="1">
        <w:r w:rsidRPr="000D3505">
          <w:rPr>
            <w:rStyle w:val="Hipervnculo"/>
            <w:rFonts w:ascii="Times New Roman" w:hAnsi="Times New Roman" w:cs="Times New Roman"/>
          </w:rPr>
          <w:t>http://www.icj-cij.org/docket/files/32/4521.pdf</w:t>
        </w:r>
      </w:hyperlink>
      <w:r w:rsidRPr="000D3505">
        <w:rPr>
          <w:rFonts w:ascii="Times New Roman" w:hAnsi="Times New Roman" w:cs="Times New Roman"/>
        </w:rPr>
        <w:t xml:space="preserve">  [3de junio de 2014].</w:t>
      </w:r>
    </w:p>
  </w:footnote>
  <w:footnote w:id="8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Izquierdo Sans, </w:t>
      </w:r>
      <w:r w:rsidRPr="000D3505">
        <w:rPr>
          <w:rFonts w:ascii="Times New Roman" w:hAnsi="Times New Roman" w:cs="Times New Roman"/>
          <w:i/>
        </w:rPr>
        <w:t xml:space="preserve">Gibraltar en la Unión, </w:t>
      </w:r>
      <w:r w:rsidRPr="000D3505">
        <w:rPr>
          <w:rFonts w:ascii="Times New Roman" w:hAnsi="Times New Roman" w:cs="Times New Roman"/>
        </w:rPr>
        <w:t>Op. Cit. nº 75, p. 35.</w:t>
      </w:r>
    </w:p>
  </w:footnote>
  <w:footnote w:id="8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Del Valle Gálvez, ¿De verdad…, Op. Cit. nº 74, p. 127.</w:t>
      </w:r>
    </w:p>
  </w:footnote>
  <w:footnote w:id="84">
    <w:p w:rsidR="007B0B03" w:rsidRPr="000D3505" w:rsidRDefault="007B0B03" w:rsidP="000D3505">
      <w:pPr>
        <w:pStyle w:val="Textonotapie"/>
        <w:jc w:val="both"/>
        <w:rPr>
          <w:rFonts w:ascii="Times New Roman" w:hAnsi="Times New Roman" w:cs="Times New Roman"/>
          <w:i/>
        </w:rPr>
      </w:pPr>
      <w:r w:rsidRPr="000D3505">
        <w:rPr>
          <w:rStyle w:val="Refdenotaalpie"/>
          <w:rFonts w:ascii="Times New Roman" w:hAnsi="Times New Roman" w:cs="Times New Roman"/>
        </w:rPr>
        <w:footnoteRef/>
      </w:r>
      <w:r w:rsidRPr="000D3505">
        <w:rPr>
          <w:rFonts w:ascii="Times New Roman" w:hAnsi="Times New Roman" w:cs="Times New Roman"/>
        </w:rPr>
        <w:t xml:space="preserve"> Así, en la Declaración del Presidente de la delegación británica (Sr. Hohler) de 12 de julio de 1966 se indicó en su punto II que “</w:t>
      </w:r>
      <w:r w:rsidRPr="000D3505">
        <w:rPr>
          <w:rFonts w:ascii="Times New Roman" w:hAnsi="Times New Roman" w:cs="Times New Roman"/>
          <w:i/>
        </w:rPr>
        <w:t xml:space="preserve">el territorio entre la verja fronteriza de Gibraltar y el pie de la Roca es también territorio bajo soberanía británica. Cualquier acción que violase dicha soberanía sería de la mayor seriedad”. </w:t>
      </w:r>
      <w:r w:rsidRPr="000D3505">
        <w:rPr>
          <w:rFonts w:ascii="Times New Roman" w:hAnsi="Times New Roman" w:cs="Times New Roman"/>
        </w:rPr>
        <w:t xml:space="preserve">Vid. publicación del Ministerio de Asuntos Exteriores y Cooperación </w:t>
      </w:r>
      <w:r w:rsidRPr="000D3505">
        <w:rPr>
          <w:rFonts w:ascii="Times New Roman" w:hAnsi="Times New Roman" w:cs="Times New Roman"/>
          <w:i/>
        </w:rPr>
        <w:t xml:space="preserve">La cuestión de Gibraltar, </w:t>
      </w:r>
      <w:r w:rsidRPr="000D3505">
        <w:rPr>
          <w:rFonts w:ascii="Times New Roman" w:hAnsi="Times New Roman" w:cs="Times New Roman"/>
        </w:rPr>
        <w:t xml:space="preserve">publicado en Madrid, 2009, p. 92. </w:t>
      </w:r>
    </w:p>
  </w:footnote>
  <w:footnote w:id="8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En las notas verbales de 21 de julio y 6 de agosto de 1966 la posición británica argumentó que “</w:t>
      </w:r>
      <w:r w:rsidRPr="000D3505">
        <w:rPr>
          <w:rFonts w:ascii="Times New Roman" w:hAnsi="Times New Roman" w:cs="Times New Roman"/>
          <w:i/>
        </w:rPr>
        <w:t>cualesquiera que sean las limitaciones territoriales de la cesión de Gibraltar dispuestas por España en el Tratado de Utrecht, el Gobierno de su Majestad, confía en que en cualquier caso ha adquirido un título prescriptivo sobre Gibraltar entre el pie norte de la Roca y la actual verja fronteriza</w:t>
      </w:r>
      <w:r w:rsidRPr="000D3505">
        <w:rPr>
          <w:rFonts w:ascii="Times New Roman" w:hAnsi="Times New Roman" w:cs="Times New Roman"/>
        </w:rPr>
        <w:t xml:space="preserve">”. Citado por Izquierdo Sans, </w:t>
      </w:r>
      <w:r w:rsidRPr="000D3505">
        <w:rPr>
          <w:rFonts w:ascii="Times New Roman" w:hAnsi="Times New Roman" w:cs="Times New Roman"/>
          <w:i/>
        </w:rPr>
        <w:t xml:space="preserve">Gibraltar en la Unión, </w:t>
      </w:r>
      <w:r w:rsidRPr="000D3505">
        <w:rPr>
          <w:rFonts w:ascii="Times New Roman" w:hAnsi="Times New Roman" w:cs="Times New Roman"/>
        </w:rPr>
        <w:t>Op. Cit. nº 75, p. 36.</w:t>
      </w:r>
    </w:p>
  </w:footnote>
  <w:footnote w:id="8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Izquierdo Sans, </w:t>
      </w:r>
      <w:r w:rsidRPr="000D3505">
        <w:rPr>
          <w:rFonts w:ascii="Times New Roman" w:hAnsi="Times New Roman" w:cs="Times New Roman"/>
          <w:i/>
        </w:rPr>
        <w:t xml:space="preserve">Gibraltar en la Unión, </w:t>
      </w:r>
      <w:r w:rsidRPr="000D3505">
        <w:rPr>
          <w:rFonts w:ascii="Times New Roman" w:hAnsi="Times New Roman" w:cs="Times New Roman"/>
        </w:rPr>
        <w:t xml:space="preserve">Op. Cit. nº 75, pp.37-41. </w:t>
      </w:r>
    </w:p>
  </w:footnote>
  <w:footnote w:id="8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En fechas de 21 de abril de 1845, de 13 de noviembre de 1863, de 8 de julio de 1881 y mayo de 1882. Ministerio de Asuntos Exteriores, </w:t>
      </w:r>
      <w:r w:rsidRPr="000D3505">
        <w:rPr>
          <w:rFonts w:ascii="Times New Roman" w:hAnsi="Times New Roman" w:cs="Times New Roman"/>
          <w:i/>
        </w:rPr>
        <w:t xml:space="preserve">Documentos sobre Gibraltar. </w:t>
      </w:r>
      <w:r w:rsidRPr="000D3505">
        <w:rPr>
          <w:rFonts w:ascii="Times New Roman" w:hAnsi="Times New Roman" w:cs="Times New Roman"/>
        </w:rPr>
        <w:t xml:space="preserve">Citado por Izquierdo Sans, </w:t>
      </w:r>
      <w:r w:rsidRPr="000D3505">
        <w:rPr>
          <w:rFonts w:ascii="Times New Roman" w:hAnsi="Times New Roman" w:cs="Times New Roman"/>
          <w:i/>
        </w:rPr>
        <w:t xml:space="preserve">Gibraltar en la Unión, </w:t>
      </w:r>
      <w:r w:rsidRPr="000D3505">
        <w:rPr>
          <w:rFonts w:ascii="Times New Roman" w:hAnsi="Times New Roman" w:cs="Times New Roman"/>
        </w:rPr>
        <w:t xml:space="preserve">Op. Cit. nº 75, p. 41. </w:t>
      </w:r>
    </w:p>
  </w:footnote>
  <w:footnote w:id="8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El problema se acució cuando el 12 de julio de 1996 en la declaración del Presidente de la Delegación británica (Sr. Hohler) se explicitó que “el territorio entre la verja fronteriza de Gibraltar y el pie de la Roca es también territorio bajo soberanía británica”. A consecuencia de ello el Ministerio Español de Asuntos exteriores informó al a Embajada británica el 21 de julio de 1996 que “la soberanía española se extiende al territorio comprendido entre la verja cosntruída por las autoridades inglesas y las muralllas de Gibraltar”. </w:t>
      </w:r>
    </w:p>
  </w:footnote>
  <w:footnote w:id="8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Con la llegada de la democracia y el Gobierno socialista a España, se reestableció el tráfico peatonal por Acuerdo del Consejo de Ministros de 7 de diciembre de 1982. Publicado en BOE núm. 297, de 11 de diciembre de 1982, pp. 34018 a 34018.</w:t>
      </w:r>
    </w:p>
  </w:footnote>
  <w:footnote w:id="9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International Court of Justice. </w:t>
      </w:r>
      <w:r w:rsidRPr="000D3505">
        <w:rPr>
          <w:rFonts w:ascii="Times New Roman" w:hAnsi="Times New Roman" w:cs="Times New Roman"/>
          <w:i/>
        </w:rPr>
        <w:t xml:space="preserve">Haya de la Torre (Colombia v. Perú). </w:t>
      </w:r>
      <w:r w:rsidRPr="000D3505">
        <w:rPr>
          <w:rFonts w:ascii="Times New Roman" w:hAnsi="Times New Roman" w:cs="Times New Roman"/>
        </w:rPr>
        <w:t xml:space="preserve"> Disponible on line en </w:t>
      </w:r>
      <w:hyperlink r:id="rId10" w:history="1">
        <w:r w:rsidRPr="000D3505">
          <w:rPr>
            <w:rStyle w:val="Hipervnculo"/>
            <w:rFonts w:ascii="Times New Roman" w:hAnsi="Times New Roman" w:cs="Times New Roman"/>
          </w:rPr>
          <w:t>http://www.icj-cij.org/docket/files/14/1937.pdf</w:t>
        </w:r>
      </w:hyperlink>
      <w:r w:rsidRPr="000D3505">
        <w:rPr>
          <w:rFonts w:ascii="Times New Roman" w:hAnsi="Times New Roman" w:cs="Times New Roman"/>
        </w:rPr>
        <w:t xml:space="preserve"> [3de junio de 2014].</w:t>
      </w:r>
    </w:p>
  </w:footnote>
  <w:footnote w:id="91">
    <w:p w:rsidR="007B0B03" w:rsidRPr="00093C88"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rPr>
        <w:t xml:space="preserve"> Antón Guardiola, C. (2011), </w:t>
      </w:r>
      <w:r w:rsidRPr="000D3505">
        <w:rPr>
          <w:rFonts w:ascii="Times New Roman" w:hAnsi="Times New Roman" w:cs="Times New Roman"/>
          <w:i/>
        </w:rPr>
        <w:t xml:space="preserve">Gibraltar: un desafío en la Unión Europea. </w:t>
      </w:r>
      <w:r w:rsidRPr="00093C88">
        <w:rPr>
          <w:rFonts w:ascii="Times New Roman" w:hAnsi="Times New Roman" w:cs="Times New Roman"/>
          <w:lang w:val="en-US"/>
        </w:rPr>
        <w:t>Valencia, Tirant lo Blanch , pp. 72-73.</w:t>
      </w:r>
    </w:p>
  </w:footnote>
  <w:footnote w:id="9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93C88">
        <w:rPr>
          <w:rFonts w:ascii="Times New Roman" w:hAnsi="Times New Roman" w:cs="Times New Roman"/>
          <w:lang w:val="en-US"/>
        </w:rPr>
        <w:t xml:space="preserve"> International Court of Justice. </w:t>
      </w:r>
      <w:r w:rsidRPr="00093C88">
        <w:rPr>
          <w:rFonts w:ascii="Times New Roman" w:hAnsi="Times New Roman" w:cs="Times New Roman"/>
          <w:i/>
          <w:lang w:val="en-US"/>
        </w:rPr>
        <w:t xml:space="preserve">Minquiers and Ecrehos case. </w:t>
      </w:r>
      <w:r w:rsidRPr="00093C88">
        <w:rPr>
          <w:rFonts w:ascii="Times New Roman" w:hAnsi="Times New Roman" w:cs="Times New Roman"/>
          <w:lang w:val="en-US"/>
        </w:rPr>
        <w:t xml:space="preserve"> </w:t>
      </w:r>
      <w:r w:rsidRPr="000D3505">
        <w:rPr>
          <w:rFonts w:ascii="Times New Roman" w:hAnsi="Times New Roman" w:cs="Times New Roman"/>
        </w:rPr>
        <w:t xml:space="preserve">Disponible on line en </w:t>
      </w:r>
      <w:hyperlink r:id="rId11" w:history="1">
        <w:r w:rsidRPr="000D3505">
          <w:rPr>
            <w:rStyle w:val="Hipervnculo"/>
            <w:rFonts w:ascii="Times New Roman" w:hAnsi="Times New Roman" w:cs="Times New Roman"/>
          </w:rPr>
          <w:t>http://www.icj-cij.org/docket/files/14/1937.pdf</w:t>
        </w:r>
      </w:hyperlink>
      <w:r w:rsidRPr="000D3505">
        <w:rPr>
          <w:rFonts w:ascii="Times New Roman" w:hAnsi="Times New Roman" w:cs="Times New Roman"/>
        </w:rPr>
        <w:t xml:space="preserve"> [3de junio de 2014]</w:t>
      </w:r>
    </w:p>
  </w:footnote>
  <w:footnote w:id="9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Sin perjuicio de propuestas unilaterales de solución amistosa del contencioso. Se destaca así las propuestas del Ministro español de Asuntos Exteriores Fernando Morán, que en su comparecencia ante la Comisión de Asuntos Exteriores del Congreso de los Diputados para informar de las negociaciones con Reino Unido el 7 de marzo de 1985 propuso entre otras soluciones al istmo un condominio a través de un órgano común de gestión, o un arriendo a Reino Unido que fuese precedido de una cesión total a España por un Convenio que novase le artículo X del Tratado de Utrecht. Citado por Remiro Brotons, A. (2004), “Regreso a Gibraltar: acuerdos y desacuerdos hispano-británicos”. Universidad Autónoma de Madrid, Revista Jurídica, p. 155.</w:t>
      </w:r>
    </w:p>
  </w:footnote>
  <w:footnote w:id="9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Remiro Brotons, Regreso a Gibraltar, Op. Cit. nº 93, pp. 139-141.</w:t>
      </w:r>
    </w:p>
  </w:footnote>
  <w:footnote w:id="9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Organización de Naciones Unidas.</w:t>
      </w:r>
      <w:r w:rsidRPr="000D3505">
        <w:rPr>
          <w:rFonts w:ascii="Times New Roman" w:hAnsi="Times New Roman" w:cs="Times New Roman"/>
          <w:i/>
        </w:rPr>
        <w:t xml:space="preserve"> Resoluciones de la Asamblea General de Naciones Unidas </w:t>
      </w:r>
      <w:r w:rsidRPr="000D3505">
        <w:rPr>
          <w:rFonts w:ascii="Times New Roman" w:hAnsi="Times New Roman" w:cs="Times New Roman"/>
        </w:rPr>
        <w:t xml:space="preserve">[en línea]. Dirección URL: &lt; </w:t>
      </w:r>
      <w:hyperlink r:id="rId12" w:history="1">
        <w:r w:rsidRPr="000D3505">
          <w:rPr>
            <w:rStyle w:val="Hipervnculo"/>
            <w:rFonts w:ascii="Times New Roman" w:hAnsi="Times New Roman" w:cs="Times New Roman"/>
          </w:rPr>
          <w:t>http://www.un.org/es/documents/ag/resga.shtml</w:t>
        </w:r>
      </w:hyperlink>
      <w:r w:rsidR="00B373EE">
        <w:rPr>
          <w:rFonts w:ascii="Times New Roman" w:hAnsi="Times New Roman" w:cs="Times New Roman"/>
        </w:rPr>
        <w:t xml:space="preserve"> &gt;. [Consulta: 5 junio 2014</w:t>
      </w:r>
      <w:r w:rsidRPr="000D3505">
        <w:rPr>
          <w:rFonts w:ascii="Times New Roman" w:hAnsi="Times New Roman" w:cs="Times New Roman"/>
        </w:rPr>
        <w:t>]</w:t>
      </w:r>
    </w:p>
  </w:footnote>
  <w:footnote w:id="9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Verdú Baeza, la controversia, Op. Cit. nº76, p.100.</w:t>
      </w:r>
    </w:p>
  </w:footnote>
  <w:footnote w:id="9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Verdú Baeza, la controversia, Op. Cit. nº76, pp. 98-99.</w:t>
      </w:r>
    </w:p>
  </w:footnote>
  <w:footnote w:id="9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Publicado en BOE núm. 20, de 23 de enero de 1993, pp. 1872 a 1877.</w:t>
      </w:r>
    </w:p>
  </w:footnote>
  <w:footnote w:id="9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Publicado en el BOE núm. 7, de 8 de enero de 1977, pp. 373 a 374.</w:t>
      </w:r>
    </w:p>
  </w:footnote>
  <w:footnote w:id="10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Publicado en el BOE núm. 39, de 14 de febrero de 1997, pp. 4966 a 5055. El texto tiene el tenor literal siguiente: “</w:t>
      </w:r>
      <w:r w:rsidRPr="000D3505">
        <w:rPr>
          <w:rFonts w:ascii="Times New Roman" w:hAnsi="Times New Roman" w:cs="Times New Roman"/>
          <w:i/>
        </w:rPr>
        <w:t>España, en el momento de proceder a la ratificación, declara que este acto no puede ser interpretado como reconocimiento de cualesquiera derechos o situaciones relativas a los espacios marítimos de Gibraltar que no estén comprendidos en el artículo 10 del Tratado de Utrecht, de 13 de julio de 1713, suscrito entre las Coronas de España y Gran Bretaña. España considera, asimismo, que la Resolución Ill de la Tercera Conferencia de las Naciones Unidas sobre el Derecho del Mar no es aplicable al caso de la Colonia de Gibraltar, la cual está sometida a un proceso de descolonización en el que son aplicables exclusivamente las resoluciones pertinentes adoptadas por la Asamblea General de la Organización de las Naciones Unidas</w:t>
      </w:r>
      <w:r w:rsidRPr="000D3505">
        <w:rPr>
          <w:rFonts w:ascii="Times New Roman" w:hAnsi="Times New Roman" w:cs="Times New Roman"/>
        </w:rPr>
        <w:t>”.</w:t>
      </w:r>
    </w:p>
  </w:footnote>
  <w:footnote w:id="101">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rPr>
        <w:t xml:space="preserve"> Verdú Baeza, la controversia, Op. </w:t>
      </w:r>
      <w:r w:rsidRPr="000D3505">
        <w:rPr>
          <w:rFonts w:ascii="Times New Roman" w:hAnsi="Times New Roman" w:cs="Times New Roman"/>
          <w:lang w:val="en-US"/>
        </w:rPr>
        <w:t>Cit. nº76, p. 108.</w:t>
      </w:r>
    </w:p>
  </w:footnote>
  <w:footnote w:id="10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International Court of Justice. </w:t>
      </w:r>
      <w:r w:rsidRPr="000D3505">
        <w:rPr>
          <w:rFonts w:ascii="Times New Roman" w:hAnsi="Times New Roman" w:cs="Times New Roman"/>
          <w:i/>
          <w:lang w:val="en-US"/>
        </w:rPr>
        <w:t xml:space="preserve">Delimitation of the Maritime Boundary in the Gulf of Maine Area (Canada/United States of America). </w:t>
      </w:r>
      <w:r w:rsidRPr="000D3505">
        <w:rPr>
          <w:rFonts w:ascii="Times New Roman" w:hAnsi="Times New Roman" w:cs="Times New Roman"/>
        </w:rPr>
        <w:t xml:space="preserve">Disponible on line en </w:t>
      </w:r>
      <w:hyperlink r:id="rId13" w:history="1">
        <w:r w:rsidRPr="000D3505">
          <w:rPr>
            <w:rStyle w:val="Hipervnculo"/>
            <w:rFonts w:ascii="Times New Roman" w:hAnsi="Times New Roman" w:cs="Times New Roman"/>
          </w:rPr>
          <w:t>http://www.icj-cij.org/docket/files/67/6369.pdf</w:t>
        </w:r>
      </w:hyperlink>
      <w:r w:rsidRPr="000D3505">
        <w:rPr>
          <w:rFonts w:ascii="Times New Roman" w:hAnsi="Times New Roman" w:cs="Times New Roman"/>
        </w:rPr>
        <w:t xml:space="preserve">  [3de junio de 2014].</w:t>
      </w:r>
    </w:p>
  </w:footnote>
  <w:footnote w:id="103">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International Court of Justice. </w:t>
      </w:r>
      <w:r w:rsidRPr="000D3505">
        <w:rPr>
          <w:rFonts w:ascii="Times New Roman" w:hAnsi="Times New Roman" w:cs="Times New Roman"/>
          <w:i/>
          <w:lang w:val="en-US"/>
        </w:rPr>
        <w:t xml:space="preserve">Fisheries (United Kingdom v. Norway). </w:t>
      </w:r>
      <w:r w:rsidRPr="000D3505">
        <w:rPr>
          <w:rFonts w:ascii="Times New Roman" w:hAnsi="Times New Roman" w:cs="Times New Roman"/>
          <w:lang w:val="en-US"/>
        </w:rPr>
        <w:t xml:space="preserve">Disponible on line en </w:t>
      </w:r>
      <w:hyperlink r:id="rId14" w:history="1">
        <w:r w:rsidRPr="000D3505">
          <w:rPr>
            <w:rStyle w:val="Hipervnculo"/>
            <w:rFonts w:ascii="Times New Roman" w:hAnsi="Times New Roman" w:cs="Times New Roman"/>
            <w:lang w:val="en-US"/>
          </w:rPr>
          <w:t>http://www.icj-cij.org/docket/files/5/1809.pdf</w:t>
        </w:r>
      </w:hyperlink>
      <w:r w:rsidRPr="000D3505">
        <w:rPr>
          <w:rFonts w:ascii="Times New Roman" w:hAnsi="Times New Roman" w:cs="Times New Roman"/>
          <w:lang w:val="en-US"/>
        </w:rPr>
        <w:t xml:space="preserve">   [3de junio de 2014].</w:t>
      </w:r>
    </w:p>
  </w:footnote>
  <w:footnote w:id="104">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Naldi, G. (2013), “The Status of the Disputed Waters Surrounding Gibraltar”. The international Journal of Marine and Coastal law, 28, p. 717. </w:t>
      </w:r>
    </w:p>
  </w:footnote>
  <w:footnote w:id="10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93C88">
        <w:rPr>
          <w:rFonts w:ascii="Times New Roman" w:hAnsi="Times New Roman" w:cs="Times New Roman"/>
          <w:lang w:val="en-US"/>
        </w:rPr>
        <w:t xml:space="preserve"> Verdú Baeza, la controversia, Op. </w:t>
      </w:r>
      <w:r w:rsidRPr="000D3505">
        <w:rPr>
          <w:rFonts w:ascii="Times New Roman" w:hAnsi="Times New Roman" w:cs="Times New Roman"/>
        </w:rPr>
        <w:t>Cit. nº76, p. 111.</w:t>
      </w:r>
    </w:p>
  </w:footnote>
  <w:footnote w:id="10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Disponible on line en el Diario “El País”: </w:t>
      </w:r>
      <w:hyperlink r:id="rId15" w:history="1">
        <w:r w:rsidRPr="000D3505">
          <w:rPr>
            <w:rStyle w:val="Hipervnculo"/>
            <w:rFonts w:ascii="Times New Roman" w:hAnsi="Times New Roman" w:cs="Times New Roman"/>
          </w:rPr>
          <w:t>http://politica.elpais.com/politica/2013/08/03/actualidad/1375553436_641520.html</w:t>
        </w:r>
      </w:hyperlink>
      <w:r w:rsidRPr="000D3505">
        <w:rPr>
          <w:rFonts w:ascii="Times New Roman" w:hAnsi="Times New Roman" w:cs="Times New Roman"/>
        </w:rPr>
        <w:t xml:space="preserve"> [3de junio de 2014].</w:t>
      </w:r>
    </w:p>
  </w:footnote>
  <w:footnote w:id="10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El abuso de derecho internacional se encuentra codificado, expresamente, en el artículo 300 del Convenio de Naciones Unidas sobre el Derecho del Mar para las obligaciones contraídas expresamente en el marco de la Convención (</w:t>
      </w:r>
      <w:r w:rsidRPr="000D3505">
        <w:rPr>
          <w:rFonts w:ascii="Times New Roman" w:hAnsi="Times New Roman" w:cs="Times New Roman"/>
          <w:i/>
        </w:rPr>
        <w:t>Los Estados Partes cumplirán de buena fe las obligaciones contraídas de conformidad con esta Convención y ejercerán los derechos, competencias y libertades reconocidos en ella de manera que no constituya un abuso de derecho</w:t>
      </w:r>
      <w:r w:rsidRPr="000D3505">
        <w:rPr>
          <w:rFonts w:ascii="Times New Roman" w:hAnsi="Times New Roman" w:cs="Times New Roman"/>
        </w:rPr>
        <w:t xml:space="preserve">), y en el artículo 38.1 c del Estatuto de la Corte Internacional de Justicia en la obligación del Tribunal de aplicar los principios generales del derecho. En todo caso el abuso no se presume, sino que su prueba recae sobre la parte que lo alegue. La jurisprudencia también ha reflejado la posibilidad de abuso del ejercicio del derecho contraído en el Derecho internacional. La Corte Permanente de Justicia Internacional ya introduce un antecedente en el Asunto </w:t>
      </w:r>
      <w:r w:rsidRPr="000D3505">
        <w:rPr>
          <w:rFonts w:ascii="Times New Roman" w:hAnsi="Times New Roman" w:cs="Times New Roman"/>
          <w:i/>
        </w:rPr>
        <w:t xml:space="preserve">Certain German Interests in Polish Upper Silesia </w:t>
      </w:r>
      <w:r w:rsidRPr="000D3505">
        <w:rPr>
          <w:rFonts w:ascii="Times New Roman" w:hAnsi="Times New Roman" w:cs="Times New Roman"/>
        </w:rPr>
        <w:t xml:space="preserve">(Sentencia de 25 de agosto de 1925, Disponible on line en: </w:t>
      </w:r>
      <w:hyperlink r:id="rId16" w:history="1">
        <w:r w:rsidRPr="000D3505">
          <w:rPr>
            <w:rStyle w:val="Hipervnculo"/>
            <w:rFonts w:ascii="Times New Roman" w:hAnsi="Times New Roman" w:cs="Times New Roman"/>
          </w:rPr>
          <w:t>http://www.icj-cij.org/pcij/serie_A/A_06/16_Interets_allemands_en_Haute_Silesie_polonaise_Competence_Arret.pdf</w:t>
        </w:r>
      </w:hyperlink>
      <w:r w:rsidRPr="000D3505">
        <w:rPr>
          <w:rFonts w:ascii="Times New Roman" w:hAnsi="Times New Roman" w:cs="Times New Roman"/>
        </w:rPr>
        <w:t xml:space="preserve">). También en la Sentencia de 18 de diciembre de 1951 (asunto </w:t>
      </w:r>
      <w:r w:rsidRPr="000D3505">
        <w:rPr>
          <w:rFonts w:ascii="Times New Roman" w:hAnsi="Times New Roman" w:cs="Times New Roman"/>
          <w:i/>
        </w:rPr>
        <w:t>Fisheries, United Kingdom v. Norway</w:t>
      </w:r>
      <w:r w:rsidRPr="000D3505">
        <w:rPr>
          <w:rFonts w:ascii="Times New Roman" w:hAnsi="Times New Roman" w:cs="Times New Roman"/>
        </w:rPr>
        <w:t xml:space="preserve">, Disponible on line en </w:t>
      </w:r>
      <w:hyperlink r:id="rId17" w:history="1">
        <w:r w:rsidRPr="000D3505">
          <w:rPr>
            <w:rStyle w:val="Hipervnculo"/>
            <w:rFonts w:ascii="Times New Roman" w:hAnsi="Times New Roman" w:cs="Times New Roman"/>
          </w:rPr>
          <w:t>http://www.icj-cij.org/docket/files/5/1809.pdf</w:t>
        </w:r>
      </w:hyperlink>
      <w:r w:rsidRPr="000D3505">
        <w:rPr>
          <w:rFonts w:ascii="Times New Roman" w:hAnsi="Times New Roman" w:cs="Times New Roman"/>
        </w:rPr>
        <w:t xml:space="preserve">) donde también se menciona el abuso manifiesto. En materia específica de Derecho del mar, el Tribunal Internacional de Derecho del Mar, en su sentencia de 28 de mayo de 2013 (Caso </w:t>
      </w:r>
      <w:r w:rsidRPr="000D3505">
        <w:rPr>
          <w:rFonts w:ascii="Times New Roman" w:hAnsi="Times New Roman" w:cs="Times New Roman"/>
          <w:i/>
        </w:rPr>
        <w:t>M/V Louisa</w:t>
      </w:r>
      <w:r w:rsidRPr="000D3505">
        <w:rPr>
          <w:rFonts w:ascii="Times New Roman" w:hAnsi="Times New Roman" w:cs="Times New Roman"/>
        </w:rPr>
        <w:t xml:space="preserve"> ,San Vicente y las Granadinas contra Reino de España. Disponible on line en </w:t>
      </w:r>
      <w:hyperlink r:id="rId18" w:history="1">
        <w:r w:rsidRPr="000D3505">
          <w:rPr>
            <w:rStyle w:val="Hipervnculo"/>
            <w:rFonts w:ascii="Times New Roman" w:hAnsi="Times New Roman" w:cs="Times New Roman"/>
          </w:rPr>
          <w:t>https://www.itlos.org/fileadmin/itlos/documents/cases/case_no_18_merits/judgment/C18_Judgment_28_05_13-orig.pdf</w:t>
        </w:r>
      </w:hyperlink>
      <w:r w:rsidRPr="000D3505">
        <w:rPr>
          <w:rFonts w:ascii="Times New Roman" w:hAnsi="Times New Roman" w:cs="Times New Roman"/>
        </w:rPr>
        <w:t xml:space="preserve"> ) especifica que el abuso de derecho internacional contenido en el artículo 300 de la Convención de Derecho del Mar sólo resultan pertinentes cuando sólo resulta pertinente cuando los derechos, competencias y libertades reconocidos en la Convención son ejercido de forma abusiva.</w:t>
      </w:r>
    </w:p>
  </w:footnote>
  <w:footnote w:id="10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Sentencia del Tribunal de Justicia de las Comunidades Europeas de 12 de noviembre de 1969 (Caso </w:t>
      </w:r>
      <w:r w:rsidRPr="000D3505">
        <w:rPr>
          <w:rFonts w:ascii="Times New Roman" w:hAnsi="Times New Roman" w:cs="Times New Roman"/>
          <w:i/>
        </w:rPr>
        <w:t>Stauder</w:t>
      </w:r>
      <w:r w:rsidRPr="000D3505">
        <w:rPr>
          <w:rFonts w:ascii="Times New Roman" w:hAnsi="Times New Roman" w:cs="Times New Roman"/>
        </w:rPr>
        <w:t>), en cuyo Fundamento Jurídico 7º ya apuntaba un reconocimiento expreso de los derechos fundamentales de la persona susceptibles de su protección a manos del Tribunal: “</w:t>
      </w:r>
      <w:r w:rsidRPr="000D3505">
        <w:rPr>
          <w:rFonts w:ascii="Times New Roman" w:hAnsi="Times New Roman" w:cs="Times New Roman"/>
          <w:i/>
        </w:rPr>
        <w:t>interpretada de este modo, la disposición controvertida no ha revelado ningún elemento que permita cuestionar los derechos fundamentales de la persona subyacentes en los principios generales del Derecho comunitario, cuyo respeto garantiza el Tribunal de Justicia</w:t>
      </w:r>
      <w:r w:rsidRPr="000D3505">
        <w:rPr>
          <w:rFonts w:ascii="Times New Roman" w:hAnsi="Times New Roman" w:cs="Times New Roman"/>
        </w:rPr>
        <w:t>”.</w:t>
      </w:r>
    </w:p>
  </w:footnote>
  <w:footnote w:id="10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Diario Oficial de las Comunidades Europeas. Fecha de 18.12.2000, C 364/1</w:t>
      </w:r>
    </w:p>
  </w:footnote>
  <w:footnote w:id="11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García Roca, J. y Fernández Sánchez, A. (2009) </w:t>
      </w:r>
      <w:r w:rsidRPr="000D3505">
        <w:rPr>
          <w:rFonts w:ascii="Times New Roman" w:hAnsi="Times New Roman" w:cs="Times New Roman"/>
          <w:i/>
        </w:rPr>
        <w:t xml:space="preserve">Integración europea a través de derechos fundamentales: de un sistema binario a otro integrado. </w:t>
      </w:r>
      <w:r w:rsidRPr="000D3505">
        <w:rPr>
          <w:rFonts w:ascii="Times New Roman" w:hAnsi="Times New Roman" w:cs="Times New Roman"/>
        </w:rPr>
        <w:t>Madrid, Centro de Estudios Políticos y Constitucionales, p. 11.</w:t>
      </w:r>
    </w:p>
  </w:footnote>
  <w:footnote w:id="11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Diario Oficial de la Unión Europea. Fecha de 17.12.2007, C 306/157</w:t>
      </w:r>
    </w:p>
  </w:footnote>
  <w:footnote w:id="11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Según el tenor literal del precepto, “</w:t>
      </w:r>
      <w:r w:rsidRPr="000D3505">
        <w:rPr>
          <w:rFonts w:ascii="Times New Roman" w:hAnsi="Times New Roman" w:cs="Times New Roman"/>
          <w:i/>
        </w:rPr>
        <w:t>para apreciar que las disposiciones legales o reglamentarias o las disposiciones, prácticas o acciones administrativas de Polonia o del Reino Unido sean incompatibles con los derechos, libertades y principios fundamentales</w:t>
      </w:r>
      <w:r w:rsidRPr="000D3505">
        <w:rPr>
          <w:rFonts w:ascii="Times New Roman" w:hAnsi="Times New Roman" w:cs="Times New Roman"/>
        </w:rPr>
        <w:t>”.</w:t>
      </w:r>
    </w:p>
  </w:footnote>
  <w:footnote w:id="11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García Roca, </w:t>
      </w:r>
      <w:r w:rsidRPr="000D3505">
        <w:rPr>
          <w:rFonts w:ascii="Times New Roman" w:hAnsi="Times New Roman" w:cs="Times New Roman"/>
          <w:i/>
        </w:rPr>
        <w:t xml:space="preserve">Integración europea, </w:t>
      </w:r>
      <w:r w:rsidRPr="000D3505">
        <w:rPr>
          <w:rFonts w:ascii="Times New Roman" w:hAnsi="Times New Roman" w:cs="Times New Roman"/>
        </w:rPr>
        <w:t xml:space="preserve">Op. Cit nº110, p. 12. Justifica de este modo la doctrina citada que las autoridades de Reino Unido no estaban dispuestas a aceptar las disposiciones de derecho comunitario en referencia a los derechos económicos, sociales y culturales. </w:t>
      </w:r>
    </w:p>
  </w:footnote>
  <w:footnote w:id="11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Este precepto de la Carta de Derechos Fundamentales viene a recoger la normativa ya instituida con la Directiva 93/109/CE del Consejo, de 6 de diciembre de 1993, por la que se fijan las modalidades de ejercicio del derecho de sufragio activo y pasivo en las elecciones al Parlamento Europeo por parte de los ciudadanos de la Unión residentes en un Estado miembro del que no sean nacionales. Diario Oficial de la Unión Europea. Fecha de 30.12.1993, p. 34/38, C/329. La Directiva establece las condiciones para ejercer el derecho de sufragio, como la obligatoriedad de ser ciudadano de la Unión, nacional y residir en un estado miembro, así como cumplir las disposiciones internas de cada estado reguladoras de los derechos de sufragio aplicables a los nacionales.</w:t>
      </w:r>
    </w:p>
  </w:footnote>
  <w:footnote w:id="11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Tribunal Europeo de Derechos Humanos. </w:t>
      </w:r>
      <w:r w:rsidRPr="000D3505">
        <w:rPr>
          <w:rFonts w:ascii="Times New Roman" w:hAnsi="Times New Roman" w:cs="Times New Roman"/>
          <w:i/>
          <w:lang w:val="en-US"/>
        </w:rPr>
        <w:t>CASE OF MATTHEWS v. THE UNITED KINGDOM (Application no. 24833/94)</w:t>
      </w:r>
      <w:r w:rsidRPr="000D3505">
        <w:rPr>
          <w:rFonts w:ascii="Times New Roman" w:hAnsi="Times New Roman" w:cs="Times New Roman"/>
          <w:lang w:val="en-US"/>
        </w:rPr>
        <w:t xml:space="preserve">. </w:t>
      </w:r>
      <w:r w:rsidRPr="000D3505">
        <w:rPr>
          <w:rFonts w:ascii="Times New Roman" w:hAnsi="Times New Roman" w:cs="Times New Roman"/>
        </w:rPr>
        <w:t xml:space="preserve">Disponible on line en: </w:t>
      </w:r>
      <w:hyperlink r:id="rId19" w:anchor="{&quot;itemid&quot;:[&quot;001-58910&quot;]}" w:history="1">
        <w:r w:rsidRPr="000D3505">
          <w:rPr>
            <w:rStyle w:val="Hipervnculo"/>
            <w:rFonts w:ascii="Times New Roman" w:hAnsi="Times New Roman" w:cs="Times New Roman"/>
          </w:rPr>
          <w:t>http://hudoc.echr.coe.int/sites/eng/pages/search.aspx?i=001-58910#{"itemid":["001-58910"]}</w:t>
        </w:r>
      </w:hyperlink>
      <w:r w:rsidRPr="000D3505">
        <w:rPr>
          <w:rFonts w:ascii="Times New Roman" w:hAnsi="Times New Roman" w:cs="Times New Roman"/>
        </w:rPr>
        <w:t xml:space="preserve"> [3de junio de 2014]. </w:t>
      </w:r>
    </w:p>
  </w:footnote>
  <w:footnote w:id="11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Instrumento de Ratificación del Convenio para la Protección de los Derechos Humanos y de las Libertades Fundamentales, hecho en Roma el 4 de noviembre de 1950, y enmendado por los Protocolos adicionales números 3 y 5, de 6 de mayo de 1963 y 20 de enero de 1966, respectivamente. Publicado en BOE núm. 243, de 10 de octubre de 1979, pp. 23564 a 23570.</w:t>
      </w:r>
    </w:p>
  </w:footnote>
  <w:footnote w:id="11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Publicado en el Diario Oficial de la Unión Europea núm. 83, de 30 de marzo de 2010, pp. 47 a 199</w:t>
      </w:r>
    </w:p>
  </w:footnote>
  <w:footnote w:id="118">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rPr>
        <w:t xml:space="preserve"> Antón Guardiola, </w:t>
      </w:r>
      <w:r w:rsidRPr="000D3505">
        <w:rPr>
          <w:rFonts w:ascii="Times New Roman" w:hAnsi="Times New Roman" w:cs="Times New Roman"/>
          <w:i/>
        </w:rPr>
        <w:t>Gibraltar: un desafío</w:t>
      </w:r>
      <w:r w:rsidRPr="000D3505">
        <w:rPr>
          <w:rFonts w:ascii="Times New Roman" w:hAnsi="Times New Roman" w:cs="Times New Roman"/>
        </w:rPr>
        <w:t xml:space="preserve">, Op. Cit. nº91, pp. </w:t>
      </w:r>
      <w:r w:rsidRPr="000D3505">
        <w:rPr>
          <w:rFonts w:ascii="Times New Roman" w:hAnsi="Times New Roman" w:cs="Times New Roman"/>
          <w:lang w:val="en-US"/>
        </w:rPr>
        <w:t>134-183.</w:t>
      </w:r>
    </w:p>
  </w:footnote>
  <w:footnote w:id="119">
    <w:p w:rsidR="007B0B03" w:rsidRPr="00093C88"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Official Journal of the European Communities. </w:t>
      </w:r>
      <w:r w:rsidRPr="00093C88">
        <w:rPr>
          <w:rFonts w:ascii="Times New Roman" w:hAnsi="Times New Roman" w:cs="Times New Roman"/>
          <w:lang w:val="en-US"/>
        </w:rPr>
        <w:t xml:space="preserve">Ref. 27. 3. 72. Disponible on line en </w:t>
      </w:r>
      <w:hyperlink r:id="rId20" w:history="1">
        <w:r w:rsidRPr="00093C88">
          <w:rPr>
            <w:rStyle w:val="Hipervnculo"/>
            <w:rFonts w:ascii="Times New Roman" w:hAnsi="Times New Roman" w:cs="Times New Roman"/>
            <w:lang w:val="en-US"/>
          </w:rPr>
          <w:t>http://eur-lex.europa.eu/LexUriServ/LexUriServ.do?uri=OJ:L:1972:073:FULL:EN:PDF</w:t>
        </w:r>
      </w:hyperlink>
      <w:r w:rsidRPr="00093C88">
        <w:rPr>
          <w:rFonts w:ascii="Times New Roman" w:hAnsi="Times New Roman" w:cs="Times New Roman"/>
          <w:lang w:val="en-US"/>
        </w:rPr>
        <w:t xml:space="preserve"> [28 de mayo de 2014]. </w:t>
      </w:r>
    </w:p>
  </w:footnote>
  <w:footnote w:id="12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Antón Guardiola, </w:t>
      </w:r>
      <w:r w:rsidRPr="000D3505">
        <w:rPr>
          <w:rFonts w:ascii="Times New Roman" w:hAnsi="Times New Roman" w:cs="Times New Roman"/>
          <w:i/>
        </w:rPr>
        <w:t>Gibraltar: un desafío</w:t>
      </w:r>
      <w:r w:rsidRPr="000D3505">
        <w:rPr>
          <w:rFonts w:ascii="Times New Roman" w:hAnsi="Times New Roman" w:cs="Times New Roman"/>
        </w:rPr>
        <w:t>, Op. Cit. nº91,p.137.</w:t>
      </w:r>
    </w:p>
  </w:footnote>
  <w:footnote w:id="12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Citado por Antón Guardiola, </w:t>
      </w:r>
      <w:r w:rsidRPr="000D3505">
        <w:rPr>
          <w:rFonts w:ascii="Times New Roman" w:hAnsi="Times New Roman" w:cs="Times New Roman"/>
          <w:i/>
        </w:rPr>
        <w:t>Gibraltar: un desafío</w:t>
      </w:r>
      <w:r w:rsidRPr="000D3505">
        <w:rPr>
          <w:rFonts w:ascii="Times New Roman" w:hAnsi="Times New Roman" w:cs="Times New Roman"/>
        </w:rPr>
        <w:t xml:space="preserve">, Op. Cit. nº91, pp. 141-142. El contenido se encuentra en el JOCE nº C-341 de 31 de diciembre de 1985, en contestación a las preguntas 1823/84, 1824/84 y 1825/84. </w:t>
      </w:r>
    </w:p>
  </w:footnote>
  <w:footnote w:id="122">
    <w:p w:rsidR="007B0B03" w:rsidRPr="00884509"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rPr>
        <w:t xml:space="preserve"> Antón Guardiola, </w:t>
      </w:r>
      <w:r w:rsidRPr="000D3505">
        <w:rPr>
          <w:rFonts w:ascii="Times New Roman" w:hAnsi="Times New Roman" w:cs="Times New Roman"/>
          <w:i/>
        </w:rPr>
        <w:t>Gibraltar: un desafío</w:t>
      </w:r>
      <w:r w:rsidRPr="000D3505">
        <w:rPr>
          <w:rFonts w:ascii="Times New Roman" w:hAnsi="Times New Roman" w:cs="Times New Roman"/>
        </w:rPr>
        <w:t xml:space="preserve">, Op. </w:t>
      </w:r>
      <w:r w:rsidRPr="00884509">
        <w:rPr>
          <w:rFonts w:ascii="Times New Roman" w:hAnsi="Times New Roman" w:cs="Times New Roman"/>
          <w:lang w:val="en-US"/>
        </w:rPr>
        <w:t>Cit. nº91, p. 144.</w:t>
      </w:r>
    </w:p>
  </w:footnote>
  <w:footnote w:id="12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884509">
        <w:rPr>
          <w:rFonts w:ascii="Times New Roman" w:hAnsi="Times New Roman" w:cs="Times New Roman"/>
          <w:lang w:val="en-US"/>
        </w:rPr>
        <w:t xml:space="preserve"> Laws of Gibraltar. </w:t>
      </w:r>
      <w:r w:rsidRPr="000D3505">
        <w:rPr>
          <w:rFonts w:ascii="Times New Roman" w:hAnsi="Times New Roman" w:cs="Times New Roman"/>
        </w:rPr>
        <w:t xml:space="preserve">Disponible on line en </w:t>
      </w:r>
      <w:hyperlink r:id="rId21" w:history="1">
        <w:r w:rsidRPr="000D3505">
          <w:rPr>
            <w:rStyle w:val="Hipervnculo"/>
            <w:rFonts w:ascii="Times New Roman" w:hAnsi="Times New Roman" w:cs="Times New Roman"/>
          </w:rPr>
          <w:t>http://www.gibraltarlaws.gov.gi/articles/1987s006.pdf</w:t>
        </w:r>
      </w:hyperlink>
      <w:r w:rsidRPr="000D3505">
        <w:rPr>
          <w:rFonts w:ascii="Times New Roman" w:hAnsi="Times New Roman" w:cs="Times New Roman"/>
        </w:rPr>
        <w:t xml:space="preserve"> y </w:t>
      </w:r>
      <w:hyperlink r:id="rId22" w:history="1">
        <w:r w:rsidRPr="000D3505">
          <w:rPr>
            <w:rStyle w:val="Hipervnculo"/>
            <w:rFonts w:ascii="Times New Roman" w:hAnsi="Times New Roman" w:cs="Times New Roman"/>
          </w:rPr>
          <w:t>http://www.gibraltarlaws.gov.gi/articles/1993s017R.pdf</w:t>
        </w:r>
      </w:hyperlink>
      <w:r w:rsidRPr="000D3505">
        <w:rPr>
          <w:rFonts w:ascii="Times New Roman" w:hAnsi="Times New Roman" w:cs="Times New Roman"/>
        </w:rPr>
        <w:t xml:space="preserve"> [28 de mayo de 2014]</w:t>
      </w:r>
    </w:p>
  </w:footnote>
  <w:footnote w:id="12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Martín Jiménez, A. y Hernández Guerrero, V. “El Derecho tributario de Gibraltar desde la óptica española y de la Unión Europea”. Visto en Del Valle Gálvez, A. y González García, I. (2004) </w:t>
      </w:r>
      <w:r w:rsidRPr="000D3505">
        <w:rPr>
          <w:rFonts w:ascii="Times New Roman" w:hAnsi="Times New Roman" w:cs="Times New Roman"/>
          <w:i/>
        </w:rPr>
        <w:t xml:space="preserve">Gibraltar, 300 años. </w:t>
      </w:r>
      <w:r w:rsidRPr="000D3505">
        <w:rPr>
          <w:rFonts w:ascii="Times New Roman" w:hAnsi="Times New Roman" w:cs="Times New Roman"/>
        </w:rPr>
        <w:t>Cádiz, Servicio de publicaciones de la Universidad de Cádiz, pp 237-311.</w:t>
      </w:r>
    </w:p>
  </w:footnote>
  <w:footnote w:id="12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La primera norma tendente a configurar esta medida se introdujo con la Primera Directiva 67/227/CEE del Consejo, de 11 de abril de 1967, en materia de armonización de las legislaciones de los Estados miembros relativas a los impuestos sobre el volumen de negocios, modificada por las Directivas 69/463/CEE del Consejo, de 9 de diciembre de 1969 y la Directiva 77/388/CEE del Consejo, de 17 de mayo de 1977; quedando en la actualidad configurada por medio de la Directiva 2006/112/CE del Consejo, de 28 de noviembre de 2006, relativa al sistema común del impuesto sobre el valor añadido</w:t>
      </w:r>
    </w:p>
  </w:footnote>
  <w:footnote w:id="12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Desde un punto de vista general los impuestos especiales encuentran su marco general en la Directiva 2008/118/CE del Consejo, de 16 de diciembre de 2008, relativa al régimen general de los impuestos especiales, y por la que se deroga la Directiva 92/12/CEE. Respecto a cada uno de los temas en particular, la armonización de los productos del tabaco viene dada por la Directiva 95/59/CE del Consejo, de 27 de noviembre de 1995, relativa a los impuestos distintos de los impuestos sobre el volumen de negocios que gravan el consumo de labores del tabaco y sus actos modificativos; la armonización de los productos energéticos por la Directiva 2003/96/CE del Consejo, de 27 de octubre de 2003, por la que se reestructura el régimen comunitario de imposición de los productos energéticos y de la electricidad y sus actos modificativos; y el alcohol por la Directiva 92/83/CEE del Consejo, de 19 de octubre de 1992, relativa a la armonización de las estructuras de los impuestos especiales sobre el alcohol y las bebidas alcohólicas y sus actos modificativos. </w:t>
      </w:r>
    </w:p>
  </w:footnote>
  <w:footnote w:id="12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Antón Guardiola, </w:t>
      </w:r>
      <w:r w:rsidRPr="000D3505">
        <w:rPr>
          <w:rFonts w:ascii="Times New Roman" w:hAnsi="Times New Roman" w:cs="Times New Roman"/>
          <w:i/>
        </w:rPr>
        <w:t>Gibraltar: un desafío</w:t>
      </w:r>
      <w:r w:rsidRPr="000D3505">
        <w:rPr>
          <w:rFonts w:ascii="Times New Roman" w:hAnsi="Times New Roman" w:cs="Times New Roman"/>
        </w:rPr>
        <w:t>, Op. Cit. nº91, p. 159.</w:t>
      </w:r>
    </w:p>
  </w:footnote>
  <w:footnote w:id="12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Cuyo tenor literal dice lo siguiente: “</w:t>
      </w:r>
      <w:r w:rsidRPr="000D3505">
        <w:rPr>
          <w:rFonts w:ascii="Times New Roman" w:hAnsi="Times New Roman" w:cs="Times New Roman"/>
          <w:i/>
        </w:rPr>
        <w:t>Ningún Estado miembro gravará directa o indirectamente los productos de los demás Estados miembros con tributos internos, cualquiera que sea su naturaleza, superiores a los que graven directa o indirectamente los productos nacionales similares. Asimismo, ningún Estado miembro gravará los productos de los demás Estados miembros con tributos internos que puedan proteger indirectamente otras producciones</w:t>
      </w:r>
      <w:r w:rsidRPr="000D3505">
        <w:rPr>
          <w:rFonts w:ascii="Times New Roman" w:hAnsi="Times New Roman" w:cs="Times New Roman"/>
        </w:rPr>
        <w:t>”.</w:t>
      </w:r>
    </w:p>
  </w:footnote>
  <w:footnote w:id="12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Publicada en el DOUE, nº L 336, de 27 de diciembre de 1977. </w:t>
      </w:r>
    </w:p>
  </w:footnote>
  <w:footnote w:id="13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Tales como el Código de conducta sobre fiscalidad de las empresas, incluido en el anexo 1 de las conclusiones del Consejo ECOFIN, de 1 de diciembre de 1997, relativo a la política fiscal; la Directiva 2009/133/CE del Consejo, de 19 de octubre de 2009, relativa al régimen fiscal común aplicable a las fusiones, escisiones, escisiones parciales, aportaciones de activos y canjes de acciones realizados entre sociedades de diferentes Estados miembros y al traslado del domicilio social de una SE o una SCE de un Estado miembro a otro; o la Directiva 90/435/CEE del Consejo, de 23 de julio de 1990, relativa al régimen fiscal común aplicable a las sociedades matrices y filiales de Estados Miembros diferentes. </w:t>
      </w:r>
    </w:p>
  </w:footnote>
  <w:footnote w:id="13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Y como establece la sentencia de la Gran Sala de de 15 de noviembre de 2011 (p. 97), también la libertad de determinación de las bases imponibles y el reparto de la carga fiscal entre los diferentes factores de producción y los diferentes sectores económicos.</w:t>
      </w:r>
    </w:p>
  </w:footnote>
  <w:footnote w:id="13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Antón Guardiola, </w:t>
      </w:r>
      <w:r w:rsidRPr="000D3505">
        <w:rPr>
          <w:rFonts w:ascii="Times New Roman" w:hAnsi="Times New Roman" w:cs="Times New Roman"/>
          <w:i/>
        </w:rPr>
        <w:t>Gibraltar: un desafío</w:t>
      </w:r>
      <w:r w:rsidRPr="000D3505">
        <w:rPr>
          <w:rFonts w:ascii="Times New Roman" w:hAnsi="Times New Roman" w:cs="Times New Roman"/>
        </w:rPr>
        <w:t>, Op. Cit. nº91, p. 170.</w:t>
      </w:r>
    </w:p>
  </w:footnote>
  <w:footnote w:id="13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Citado por Antón Guardiola, </w:t>
      </w:r>
      <w:r w:rsidRPr="000D3505">
        <w:rPr>
          <w:rFonts w:ascii="Times New Roman" w:hAnsi="Times New Roman" w:cs="Times New Roman"/>
          <w:i/>
        </w:rPr>
        <w:t>Gibraltar: un desafío</w:t>
      </w:r>
      <w:r w:rsidRPr="000D3505">
        <w:rPr>
          <w:rFonts w:ascii="Times New Roman" w:hAnsi="Times New Roman" w:cs="Times New Roman"/>
        </w:rPr>
        <w:t>, Op. Cit. nº91,p. 171</w:t>
      </w:r>
    </w:p>
  </w:footnote>
  <w:footnote w:id="13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Publicado en el DOUE núm. 338, de 12 de diciembre de 2012, pp. 37 a 40</w:t>
      </w:r>
    </w:p>
  </w:footnote>
  <w:footnote w:id="13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El mismo punto tercero de la Recomendación establece criterios de evaluación, tales como si las ventajas se otorgan solo a no residentes o solo con respecto a las operaciones realizadas con no residentes; si las ventajas están totalmente aisladas del mercado nacional, no afectando a la base imponible nacional; si las ventajas se otorgan incluso si no exista ninguna actividad económica real ni presencia económica sustancial dentro del tercer país que ofrece las ventajas fiscales; si las normas para determinar los beneficios derivados de las actividades internas de los grupos de empresas multinacionales no se ajustan a los principios internacionalmente reconocidos, como las normas acordadas por la OCDE; o si las medidas fiscales carecen de transparencia.</w:t>
      </w:r>
    </w:p>
  </w:footnote>
  <w:footnote w:id="13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Laws of Gibraltar. Disponible on line en </w:t>
      </w:r>
      <w:hyperlink r:id="rId23" w:history="1">
        <w:r w:rsidRPr="000D3505">
          <w:rPr>
            <w:rStyle w:val="Hipervnculo"/>
            <w:rFonts w:ascii="Times New Roman" w:hAnsi="Times New Roman" w:cs="Times New Roman"/>
          </w:rPr>
          <w:t>http://www.gibraltarlaws.gov.gi/articles/1983-13o.pdf</w:t>
        </w:r>
      </w:hyperlink>
      <w:r w:rsidRPr="000D3505">
        <w:rPr>
          <w:rFonts w:ascii="Times New Roman" w:hAnsi="Times New Roman" w:cs="Times New Roman"/>
        </w:rPr>
        <w:t xml:space="preserve"> [30 de mayo de 2014]</w:t>
      </w:r>
    </w:p>
  </w:footnote>
  <w:footnote w:id="137">
    <w:p w:rsidR="007B0B03" w:rsidRPr="00093C88"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rPr>
        <w:t xml:space="preserve"> Antón Guardiola, </w:t>
      </w:r>
      <w:r w:rsidRPr="000D3505">
        <w:rPr>
          <w:rFonts w:ascii="Times New Roman" w:hAnsi="Times New Roman" w:cs="Times New Roman"/>
          <w:i/>
        </w:rPr>
        <w:t>Gibraltar: un desafío</w:t>
      </w:r>
      <w:r w:rsidRPr="000D3505">
        <w:rPr>
          <w:rFonts w:ascii="Times New Roman" w:hAnsi="Times New Roman" w:cs="Times New Roman"/>
        </w:rPr>
        <w:t xml:space="preserve">, Op. </w:t>
      </w:r>
      <w:r w:rsidRPr="00093C88">
        <w:rPr>
          <w:rFonts w:ascii="Times New Roman" w:hAnsi="Times New Roman" w:cs="Times New Roman"/>
          <w:lang w:val="en-US"/>
        </w:rPr>
        <w:t>Cit. nº91, p.172.</w:t>
      </w:r>
    </w:p>
  </w:footnote>
  <w:footnote w:id="13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93C88">
        <w:rPr>
          <w:rFonts w:ascii="Times New Roman" w:hAnsi="Times New Roman" w:cs="Times New Roman"/>
          <w:lang w:val="en-US"/>
        </w:rPr>
        <w:t xml:space="preserve"> Laws of Gibraltar. </w:t>
      </w:r>
      <w:r w:rsidRPr="000D3505">
        <w:rPr>
          <w:rFonts w:ascii="Times New Roman" w:hAnsi="Times New Roman" w:cs="Times New Roman"/>
        </w:rPr>
        <w:t xml:space="preserve">Disponible on line en </w:t>
      </w:r>
      <w:hyperlink r:id="rId24" w:history="1">
        <w:r w:rsidRPr="000D3505">
          <w:rPr>
            <w:rStyle w:val="Hipervnculo"/>
            <w:rFonts w:ascii="Times New Roman" w:hAnsi="Times New Roman" w:cs="Times New Roman"/>
          </w:rPr>
          <w:t>http://www.gibraltarlaws.gov.gi/articles/2010-21o.pdf</w:t>
        </w:r>
      </w:hyperlink>
      <w:r w:rsidRPr="000D3505">
        <w:rPr>
          <w:rFonts w:ascii="Times New Roman" w:hAnsi="Times New Roman" w:cs="Times New Roman"/>
        </w:rPr>
        <w:t xml:space="preserve"> [30 de mayo de 2014]</w:t>
      </w:r>
    </w:p>
  </w:footnote>
  <w:footnote w:id="13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El procedimiento de infracción contra el Gobierno Británico fue iniciado por la Comisión Europea en febrero de 1999, cuando se solicitó información sobre los regímenes fiscales cuya opacidad fue revelada por el mencionado “Informe Primarolo”. El 11 de julio de 2001 la Comisión Europea incoó un procedimiento de investigación formal en relación con las sociedades exentas y beneficiarias de tipos impositivos reducidos de Gibraltar. El Tribunal General en Sentencia de 30 de abril de 2002, en los asuntos acumulados T-195/01 y T-207/01 anuló la decisión de incoación del procedimiento de investigación. El Gobierno de Gibraltar, por su parte, anunció el 27 de abril de 2002 su intención de crear un régimen fiscal nuevo para Gibraltar, el cual se examinó por la Comisión en la Decisión 2005/261/CE de 30 de marzo de 2004 y que fue anulado por la Sentencia del Tribunal General el 18 de diciembre de 2008. Previamente la Comisión propuso la adopción de medidas al respectivo, dando lugar a la Decisión 2005/77/CE, de 30 de marzo de 2005, que declaró incompatible el régimen impositivo societario de Gibraltar con el mercado común. La sentencia de 2008 fue anulada ante la estimación del recurso de casación interpuesto por la Comisión y España mediante la sentencia del tribunal de justicia de 15 de noviembre de 2011. Visto en Diaz Abad, N. (2012) “La fiscalidad de Gibraltar a examen”. </w:t>
      </w:r>
      <w:r w:rsidRPr="000D3505">
        <w:rPr>
          <w:rFonts w:ascii="Times New Roman" w:hAnsi="Times New Roman" w:cs="Times New Roman"/>
          <w:i/>
        </w:rPr>
        <w:t>Revista Española de Derecho Europeo</w:t>
      </w:r>
      <w:r w:rsidRPr="000D3505">
        <w:rPr>
          <w:rFonts w:ascii="Times New Roman" w:hAnsi="Times New Roman" w:cs="Times New Roman"/>
        </w:rPr>
        <w:t>, enero-marzo de 2012, pp 7-8.</w:t>
      </w:r>
    </w:p>
  </w:footnote>
  <w:footnote w:id="14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El impuesto sobre el número de empleados se pretendía aplicar a todas las sociedades de Gibraltar sobre el número de empleados de 3.000 libras por empleado y año; el impuesto por superficie ocupada “BPOT” (Business Property Occupation Tax) se pretendió aplicar a todas las sociedades que ocupasen propiedades en Gibraltar con fines empresariales al tipo equivalente general al que estén sujetas con arreglo al impuesto de bienes inmuebles en Gibraltar; y la tasa de registro anual de 150 libras para las sociedades sin ánimo de lucro y de 300 libras para las sociedades con tal ánimo (FJ. 12 de la sentencia). Además el límite máximo del impuesto sobre el número de empleados y de superficie ocupada sería igual al 15 % de los beneficios. Respecto al límite máximo las empresas solamente pagarían el impuesto sobre el número de empleados y el impuesto de superficie ocupada si logran beneficios y si el importe los mismos no sobrepasaba el 15 % de dichos beneficios</w:t>
      </w:r>
    </w:p>
  </w:footnote>
  <w:footnote w:id="14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El razonamiento del Tribunal en la Sentencia 5 de noviembre de 2011 partió de la premisa de que una medida por la cual las autoridades públicas conceden a determinadas empresas un trato fiscal ventajoso que, aunque no implique una transferencia de fondos estatales coloque a los beneficiarios en una situación financiera más favorable que a los restantes contribuyentes, constituye una ayuda de Estado al amparo de la jurisprudencia, y en concreto de la sentencia de 15 de marzo 1994, C</w:t>
      </w:r>
      <w:r w:rsidR="00093C88">
        <w:rPr>
          <w:rFonts w:ascii="Times New Roman" w:eastAsia="MS Gothic" w:hAnsi="Times New Roman" w:cs="Times New Roman"/>
        </w:rPr>
        <w:t>-</w:t>
      </w:r>
      <w:r w:rsidRPr="000D3505">
        <w:rPr>
          <w:rFonts w:ascii="Times New Roman" w:hAnsi="Times New Roman" w:cs="Times New Roman"/>
        </w:rPr>
        <w:t>387/92 (FJ.72 de la Sentencia comentada). No obstante, las ventajas dadas por una medida general aplicable sin distinción a todos los operadores económicos no constituyen ayudas de Estado, citando como ejemplo la sentencia de 19 de septiembre de 2000, C</w:t>
      </w:r>
      <w:r w:rsidR="003B7CD1">
        <w:rPr>
          <w:rFonts w:ascii="Times New Roman" w:eastAsia="MS Gothic" w:hAnsi="Times New Roman" w:cs="Times New Roman"/>
        </w:rPr>
        <w:t>-</w:t>
      </w:r>
      <w:r w:rsidRPr="000D3505">
        <w:rPr>
          <w:rFonts w:ascii="Times New Roman" w:hAnsi="Times New Roman" w:cs="Times New Roman"/>
        </w:rPr>
        <w:t>156/98 (FJ. 73). Si bien el requisito de obtener beneficios y la delimitación de un límite máximo a la imposición de los beneficios son, medidas generales, aplicables sin distinción a todos los operadores económicos y no pueden otorgar ventajas selectivas (FJ.80) no pudiendo entenderse que los requisitos de obtener beneficios y el establecimiento del límite máximo de la imposición en el 15 % de los beneficios no confieren ventajas selectivas (FJ.82); el Tribunal sí que determina que existen ventajas selectivas en favor de las sociedades extraterritoriales. Calificando a un sistema como selectivo por la diferencia entre la carga fiscal normal y la soportada por otras empresas beneficiadas (FJ.91), se constata la existencia de las ventajas selectivas en favor de las sociedades extraterritoriales del régimen fiscal gibraltareño, en el que las sociedades extraterritoriales se verían favorecidas (FJ.95). La combinación de las bases imponibles de la reforma propuesta (el beneficio como única base imponible, el requisito de obtención de beneficios cuyo límite máximo es el 15 % y la inexistencia de una base imponible de aplicación general) llevan al Tribunal a determinar que la reforma que se propuso no tuvo únicamente como consecuencia conducir a una imposición dependiente del número de empleados y de los locales ocupados, sino que excluía totalmente de cualquier imposición, debido a la inexistencia de otras bases imponibles, a las sociedades extraterritoriales, pues éstas no tienen empleados ni tampoco ocupan local alguno. Por lo tanto implicaba una discriminación entre sociedades que se encuentran en una situación comparable (FJ.102). Se calificó por tanto como ventaja selectiva el hecho de que las bases imponibles estén precisamente concebidas de forma que las sociedades extraterritoriales, que por su naturaleza no tienen empleados ni ocupan locales, no dispongan de tal base imponible (FJ. 106).</w:t>
      </w:r>
    </w:p>
  </w:footnote>
  <w:footnote w:id="14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Diaz Abad, La fiscalidad, Op. Cit. nº 139, p. 13.</w:t>
      </w:r>
    </w:p>
  </w:footnote>
  <w:footnote w:id="14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Como afirma Juan Velarde Fuentes, “</w:t>
      </w:r>
      <w:r w:rsidRPr="000D3505">
        <w:rPr>
          <w:rFonts w:ascii="Times New Roman" w:hAnsi="Times New Roman" w:cs="Times New Roman"/>
          <w:i/>
        </w:rPr>
        <w:t>Gibraltar pasa así, de ser plaza fuerte en el aspecto bélico, a buscar refugio en su conversión en una plaza de fiscalidad reducida y de aflujo de capitales. La polémica de Gibraltar altera (…) la economía de la Costa del Sol y de la bahía de Algeciras con todo el denominado Campo de Gibraltar. La dinámica ligada a la globalización actual no parece favorecer el statu quo, que como reacción contra las medidas de Castiella, había surgido en el Peñón, con empleo incluso de tablas input-output para basar un modelo econométrico destinado a frenar a España</w:t>
      </w:r>
      <w:r w:rsidRPr="000D3505">
        <w:rPr>
          <w:rFonts w:ascii="Times New Roman" w:hAnsi="Times New Roman" w:cs="Times New Roman"/>
        </w:rPr>
        <w:t xml:space="preserve">”. Velarde Fuentes, J. (2014) “Gibraltar, nuevos tiempos económicos”. Revista </w:t>
      </w:r>
      <w:r w:rsidRPr="000D3505">
        <w:rPr>
          <w:rFonts w:ascii="Times New Roman" w:hAnsi="Times New Roman" w:cs="Times New Roman"/>
          <w:i/>
        </w:rPr>
        <w:t xml:space="preserve">Crónica de Economía y sociedad, </w:t>
      </w:r>
      <w:r w:rsidRPr="000D3505">
        <w:rPr>
          <w:rFonts w:ascii="Times New Roman" w:hAnsi="Times New Roman" w:cs="Times New Roman"/>
        </w:rPr>
        <w:t>Nº 117</w:t>
      </w:r>
      <w:r w:rsidRPr="000D3505">
        <w:rPr>
          <w:rFonts w:ascii="Times New Roman" w:hAnsi="Times New Roman" w:cs="Times New Roman"/>
          <w:i/>
        </w:rPr>
        <w:t xml:space="preserve">, </w:t>
      </w:r>
      <w:r w:rsidRPr="000D3505">
        <w:rPr>
          <w:rFonts w:ascii="Times New Roman" w:hAnsi="Times New Roman" w:cs="Times New Roman"/>
        </w:rPr>
        <w:t>28/05/2014</w:t>
      </w:r>
      <w:r w:rsidRPr="000D3505">
        <w:rPr>
          <w:rFonts w:ascii="Times New Roman" w:hAnsi="Times New Roman" w:cs="Times New Roman"/>
          <w:i/>
        </w:rPr>
        <w:t>.</w:t>
      </w:r>
      <w:r w:rsidRPr="000D3505">
        <w:rPr>
          <w:rFonts w:ascii="Times New Roman" w:hAnsi="Times New Roman" w:cs="Times New Roman"/>
        </w:rPr>
        <w:t xml:space="preserve"> Disponible on line en</w:t>
      </w:r>
      <w:r w:rsidRPr="000D3505">
        <w:rPr>
          <w:rFonts w:ascii="Times New Roman" w:hAnsi="Times New Roman" w:cs="Times New Roman"/>
          <w:i/>
        </w:rPr>
        <w:t xml:space="preserve">: </w:t>
      </w:r>
      <w:hyperlink r:id="rId25" w:history="1">
        <w:r w:rsidRPr="000D3505">
          <w:rPr>
            <w:rStyle w:val="Hipervnculo"/>
            <w:rFonts w:ascii="Times New Roman" w:hAnsi="Times New Roman" w:cs="Times New Roman"/>
          </w:rPr>
          <w:t>http://crones.es/recuadrista.php?id=57&amp;id_recuadrista=1</w:t>
        </w:r>
      </w:hyperlink>
      <w:r w:rsidRPr="000D3505">
        <w:rPr>
          <w:rFonts w:ascii="Times New Roman" w:hAnsi="Times New Roman" w:cs="Times New Roman"/>
        </w:rPr>
        <w:t xml:space="preserve"> [3 de junio de 2014]. Este autor mantiene esta misma tesis de los efectos del modelo económico ya afirmada en su obra, Velarde Fuentes, J. </w:t>
      </w:r>
      <w:r w:rsidRPr="000D3505">
        <w:rPr>
          <w:rFonts w:ascii="Times New Roman" w:hAnsi="Times New Roman" w:cs="Times New Roman"/>
          <w:i/>
        </w:rPr>
        <w:t>Gibraltar y su Campo: Una economía deprimida</w:t>
      </w:r>
      <w:r w:rsidRPr="000D3505">
        <w:rPr>
          <w:rFonts w:ascii="Times New Roman" w:hAnsi="Times New Roman" w:cs="Times New Roman"/>
        </w:rPr>
        <w:t>. (1970) Barcelona, Editorial Ariel,.</w:t>
      </w:r>
    </w:p>
  </w:footnote>
  <w:footnote w:id="14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Según John Fletcher, en su informe “El Impacto Económico de la Economía de Gibraltar sobre el Campo de Gibraltar”, solicitado por la Cámara de Comercio de Gibraltar en Septiembre de 2009, la economía de Gibraltar ejerce un impacto económico y positivo en la región de campo de Gibraltar por la importación de mercancías o el empleo de trabajadores fronterizos (entre otros). Disponible on line en: </w:t>
      </w:r>
      <w:hyperlink r:id="rId26" w:history="1">
        <w:r w:rsidRPr="000D3505">
          <w:rPr>
            <w:rStyle w:val="Hipervnculo"/>
            <w:rFonts w:ascii="Times New Roman" w:hAnsi="Times New Roman" w:cs="Times New Roman"/>
          </w:rPr>
          <w:t>http://www.gibraltarchamberofcommerce.com/the-impact-of-the-economy-of-gibraltar-on-the-campo-de-gibraltar/</w:t>
        </w:r>
      </w:hyperlink>
      <w:r w:rsidRPr="000D3505">
        <w:rPr>
          <w:rFonts w:ascii="Times New Roman" w:hAnsi="Times New Roman" w:cs="Times New Roman"/>
        </w:rPr>
        <w:t xml:space="preserve"> [3 de junio de 2014].</w:t>
      </w:r>
    </w:p>
  </w:footnote>
  <w:footnote w:id="14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Versión de la publicación del Ministerio de Asuntos Exteriores y Cooperación </w:t>
      </w:r>
      <w:r w:rsidRPr="000D3505">
        <w:rPr>
          <w:rFonts w:ascii="Times New Roman" w:hAnsi="Times New Roman" w:cs="Times New Roman"/>
          <w:i/>
        </w:rPr>
        <w:t xml:space="preserve">La cuestión de Gibraltar, </w:t>
      </w:r>
      <w:r w:rsidRPr="000D3505">
        <w:rPr>
          <w:rFonts w:ascii="Times New Roman" w:hAnsi="Times New Roman" w:cs="Times New Roman"/>
        </w:rPr>
        <w:t>publicado en Madrid, 2009. Pp 104-105.</w:t>
      </w:r>
    </w:p>
  </w:footnote>
  <w:footnote w:id="14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Remiro Brotons, Regreso a Gibraltar, Op. Cit. nº 93,pp. 145-146.</w:t>
      </w:r>
    </w:p>
  </w:footnote>
  <w:footnote w:id="14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Versión de la publicación del Ministerio de Asuntos Exteriores y Cooperación </w:t>
      </w:r>
      <w:r w:rsidRPr="000D3505">
        <w:rPr>
          <w:rFonts w:ascii="Times New Roman" w:hAnsi="Times New Roman" w:cs="Times New Roman"/>
          <w:i/>
        </w:rPr>
        <w:t xml:space="preserve">La cuestión de Gibraltar, </w:t>
      </w:r>
      <w:r w:rsidRPr="000D3505">
        <w:rPr>
          <w:rFonts w:ascii="Times New Roman" w:hAnsi="Times New Roman" w:cs="Times New Roman"/>
        </w:rPr>
        <w:t>publicado en Madrid, 2009. Pp 106-107.</w:t>
      </w:r>
    </w:p>
  </w:footnote>
  <w:footnote w:id="14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Remiro Brotons, Regreso a Gibraltar, Op. Cit. nº 93,pp. 152-153.</w:t>
      </w:r>
    </w:p>
  </w:footnote>
  <w:footnote w:id="14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Remiro Brotons, Regreso a Gibraltar, Op. Cit. nº 93, pp. 157.</w:t>
      </w:r>
    </w:p>
  </w:footnote>
  <w:footnote w:id="15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Versión de la publicación del Ministerio de Asuntos Exteriores y Cooperación </w:t>
      </w:r>
      <w:r w:rsidRPr="000D3505">
        <w:rPr>
          <w:rFonts w:ascii="Times New Roman" w:hAnsi="Times New Roman" w:cs="Times New Roman"/>
          <w:i/>
        </w:rPr>
        <w:t xml:space="preserve">La cuestión de Gibraltar, </w:t>
      </w:r>
      <w:r w:rsidRPr="000D3505">
        <w:rPr>
          <w:rFonts w:ascii="Times New Roman" w:hAnsi="Times New Roman" w:cs="Times New Roman"/>
        </w:rPr>
        <w:t>publicado en Madrid, 2009. Pp 132-133.</w:t>
      </w:r>
    </w:p>
  </w:footnote>
  <w:footnote w:id="15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Versión de la publicación del Ministerio de Asuntos Exteriores y Cooperación </w:t>
      </w:r>
      <w:r w:rsidRPr="000D3505">
        <w:rPr>
          <w:rFonts w:ascii="Times New Roman" w:hAnsi="Times New Roman" w:cs="Times New Roman"/>
          <w:i/>
        </w:rPr>
        <w:t xml:space="preserve">La cuestión de Gibraltar, </w:t>
      </w:r>
      <w:r w:rsidRPr="000D3505">
        <w:rPr>
          <w:rFonts w:ascii="Times New Roman" w:hAnsi="Times New Roman" w:cs="Times New Roman"/>
        </w:rPr>
        <w:t>publicado en Madrid, 2009. Pp 134-135.</w:t>
      </w:r>
    </w:p>
  </w:footnote>
  <w:footnote w:id="15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Versión de la publicación del Ministerio de Asuntos Exteriores y Cooperación </w:t>
      </w:r>
      <w:r w:rsidRPr="000D3505">
        <w:rPr>
          <w:rFonts w:ascii="Times New Roman" w:hAnsi="Times New Roman" w:cs="Times New Roman"/>
          <w:i/>
        </w:rPr>
        <w:t xml:space="preserve">La cuestión de Gibraltar, </w:t>
      </w:r>
      <w:r w:rsidRPr="000D3505">
        <w:rPr>
          <w:rFonts w:ascii="Times New Roman" w:hAnsi="Times New Roman" w:cs="Times New Roman"/>
        </w:rPr>
        <w:t>publicado en Madrid, 2009. Pp 147-163.</w:t>
      </w:r>
    </w:p>
  </w:footnote>
  <w:footnote w:id="15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Ecosistemas protegidos por la Directiva 92/43/CEE del Consejo, de 21 de mayo de 1992, relativa a la conservación de los hábitats naturales y de la fauna y flora silvestres. DOCE n° L 206 de 22/07/1992 p. 0007 – 0050.</w:t>
      </w:r>
    </w:p>
  </w:footnote>
  <w:footnote w:id="15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Del Valle Galvez, A. “Gibraltar: del foro tripartito a cuatripartito: entre la cooperación transfronteriza y la soberanía. Revista ARI, Real Instituto Elcano, 21/2012, fecha 23/03/2012. Disponible on line en </w:t>
      </w:r>
      <w:hyperlink r:id="rId27" w:history="1">
        <w:r w:rsidRPr="000D3505">
          <w:rPr>
            <w:rStyle w:val="Hipervnculo"/>
            <w:rFonts w:ascii="Times New Roman" w:hAnsi="Times New Roman" w:cs="Times New Roman"/>
          </w:rPr>
          <w:t>http://www.realinstitutoelcano.org/wps/wcm/connect/ec30ec804a9e28eabc61bdf3b87a73b6/ARI21-2012_del_Valle_Gibraltar_foro_cuatripartito_cooperacioon_soberania.pdf?MOD=AJPERES&amp;CACHEID=ec30ec804a9e28eabc61bdf3b87a73b6</w:t>
        </w:r>
      </w:hyperlink>
      <w:r w:rsidRPr="000D3505">
        <w:rPr>
          <w:rFonts w:ascii="Times New Roman" w:hAnsi="Times New Roman" w:cs="Times New Roman"/>
        </w:rPr>
        <w:t xml:space="preserve"> [13de junio de 2014]</w:t>
      </w:r>
    </w:p>
  </w:footnote>
  <w:footnote w:id="15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Así es necesario traer a colación las declaraciones de Daniel Feetham, líder de la oposición gibraltareña, en su Conferencia pronunciada en la Real Sociedad Económica de Amigos del País de Jaén, el reciente día 3 de junio de 2014, en la que afirmó el “</w:t>
      </w:r>
      <w:r w:rsidRPr="000D3505">
        <w:rPr>
          <w:rFonts w:ascii="Times New Roman" w:hAnsi="Times New Roman" w:cs="Times New Roman"/>
          <w:i/>
        </w:rPr>
        <w:t>valor del deseo de trabajar hacia la normalidad de las relaciones de Gibraltar con España</w:t>
      </w:r>
      <w:r w:rsidRPr="000D3505">
        <w:rPr>
          <w:rFonts w:ascii="Times New Roman" w:hAnsi="Times New Roman" w:cs="Times New Roman"/>
        </w:rPr>
        <w:t xml:space="preserve">”. El líder socialdemócrata afirmó que las partes del contencioso tenían “líneas rojas” (en el caso de Gibraltar aseguró que la jurisdicción, la soberanía y las aguas) y que en su configuración permitía un espacio político en el que se podían debatir acuerdos, trayendo a colación la igualdad de derechos de voz, voto y veto entre las partes intervinientes en el foro. </w:t>
      </w:r>
    </w:p>
  </w:footnote>
  <w:footnote w:id="156">
    <w:p w:rsidR="007B0B03" w:rsidRPr="000D3505" w:rsidRDefault="007B0B03" w:rsidP="000D3505">
      <w:pPr>
        <w:pStyle w:val="Textonotapie"/>
        <w:jc w:val="both"/>
        <w:rPr>
          <w:rFonts w:ascii="Times New Roman" w:hAnsi="Times New Roman" w:cs="Times New Roman"/>
          <w:lang w:val="en-US"/>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Muller, K. (2004), “Being “european” in Gibraltar”. </w:t>
      </w:r>
      <w:r w:rsidRPr="000D3505">
        <w:rPr>
          <w:rFonts w:ascii="Times New Roman" w:hAnsi="Times New Roman" w:cs="Times New Roman"/>
          <w:i/>
          <w:lang w:val="en-US"/>
        </w:rPr>
        <w:t>European Integration Journal</w:t>
      </w:r>
      <w:r w:rsidRPr="000D3505">
        <w:rPr>
          <w:rFonts w:ascii="Times New Roman" w:hAnsi="Times New Roman" w:cs="Times New Roman"/>
          <w:lang w:val="en-US"/>
        </w:rPr>
        <w:t>, vol. 26, Nº 1, March. Carfax Publishing, Londres, pp. 42-43.</w:t>
      </w:r>
    </w:p>
  </w:footnote>
  <w:footnote w:id="15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lang w:val="en-US"/>
        </w:rPr>
        <w:t xml:space="preserve"> Lincoln, S. (1994) “The Legal Status of Gibraltar: Whose Rock is it Anyway?” </w:t>
      </w:r>
      <w:r w:rsidRPr="000D3505">
        <w:rPr>
          <w:rFonts w:ascii="Times New Roman" w:hAnsi="Times New Roman" w:cs="Times New Roman"/>
        </w:rPr>
        <w:t xml:space="preserve">Nueva York, </w:t>
      </w:r>
      <w:r w:rsidRPr="000D3505">
        <w:rPr>
          <w:rFonts w:ascii="Times New Roman" w:hAnsi="Times New Roman" w:cs="Times New Roman"/>
          <w:i/>
        </w:rPr>
        <w:t>Fordham International Law Journal</w:t>
      </w:r>
      <w:r w:rsidRPr="000D3505">
        <w:rPr>
          <w:rFonts w:ascii="Times New Roman" w:hAnsi="Times New Roman" w:cs="Times New Roman"/>
        </w:rPr>
        <w:t>, Volume 18, Issue 1, p. 331.</w:t>
      </w:r>
    </w:p>
  </w:footnote>
  <w:footnote w:id="158">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Baeza Betancort, F. (2001) </w:t>
      </w:r>
      <w:r w:rsidRPr="000D3505">
        <w:rPr>
          <w:rFonts w:ascii="Times New Roman" w:hAnsi="Times New Roman" w:cs="Times New Roman"/>
          <w:i/>
        </w:rPr>
        <w:t xml:space="preserve">Una aproximación jurídica al contencioso de Gibraltar. La clausula rebus sic standibus y el derecho de libre determinación de los pueblos. </w:t>
      </w:r>
      <w:r w:rsidRPr="000D3505">
        <w:rPr>
          <w:rFonts w:ascii="Times New Roman" w:hAnsi="Times New Roman" w:cs="Times New Roman"/>
        </w:rPr>
        <w:t>Las Palmas de Gran Canaria, Real Sociedad Económica de Amigos del País, pp 168-169.</w:t>
      </w:r>
    </w:p>
  </w:footnote>
  <w:footnote w:id="159">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Oda Ángel, F. “Gibraltar y las relaciones de vecindad: una tímida cooperación transfronteriza”. Visto en Del Valle Gálvez, </w:t>
      </w:r>
      <w:r w:rsidRPr="000D3505">
        <w:rPr>
          <w:rFonts w:ascii="Times New Roman" w:hAnsi="Times New Roman" w:cs="Times New Roman"/>
          <w:i/>
        </w:rPr>
        <w:t xml:space="preserve">Gibraltar, 300 años,  </w:t>
      </w:r>
      <w:r w:rsidRPr="000D3505">
        <w:rPr>
          <w:rFonts w:ascii="Times New Roman" w:hAnsi="Times New Roman" w:cs="Times New Roman"/>
        </w:rPr>
        <w:t>Op. Cit. nº 124, pp. 397-412.</w:t>
      </w:r>
    </w:p>
  </w:footnote>
  <w:footnote w:id="160">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Del Valle Gálvez, ¿De verdad…, Op. Cit. nº 74,p. 144.</w:t>
      </w:r>
    </w:p>
  </w:footnote>
  <w:footnote w:id="161">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Versión de la publicación del Ministerio de Asuntos Exteriores y Cooperación </w:t>
      </w:r>
      <w:r w:rsidRPr="000D3505">
        <w:rPr>
          <w:rFonts w:ascii="Times New Roman" w:hAnsi="Times New Roman" w:cs="Times New Roman"/>
          <w:i/>
        </w:rPr>
        <w:t xml:space="preserve">La cuestión de Gibraltar, </w:t>
      </w:r>
      <w:r w:rsidRPr="000D3505">
        <w:rPr>
          <w:rFonts w:ascii="Times New Roman" w:hAnsi="Times New Roman" w:cs="Times New Roman"/>
        </w:rPr>
        <w:t>publicado en Madrid, 2009, pp 108-110.</w:t>
      </w:r>
    </w:p>
  </w:footnote>
  <w:footnote w:id="162">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Unión Europea. Disponible on line en </w:t>
      </w:r>
      <w:hyperlink r:id="rId28" w:history="1">
        <w:r w:rsidRPr="000D3505">
          <w:rPr>
            <w:rStyle w:val="Hipervnculo"/>
            <w:rFonts w:ascii="Times New Roman" w:hAnsi="Times New Roman" w:cs="Times New Roman"/>
          </w:rPr>
          <w:t>http://www.consilium.europa.eu/ueDocs/cms_Data/docs/pressData/es/ec/70829.pdf</w:t>
        </w:r>
      </w:hyperlink>
      <w:r w:rsidRPr="000D3505">
        <w:rPr>
          <w:rFonts w:ascii="Times New Roman" w:hAnsi="Times New Roman" w:cs="Times New Roman"/>
        </w:rPr>
        <w:t xml:space="preserve">  [13de junio de 2014]</w:t>
      </w:r>
    </w:p>
  </w:footnote>
  <w:footnote w:id="163">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Publicado en el DOUE C 357/5 de 6.12.2013.</w:t>
      </w:r>
    </w:p>
  </w:footnote>
  <w:footnote w:id="164">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A modo ejemplificativo, a las autoridades españolas recomendó medidas encaminadas a optimizar el espacio físico en el espacio fronterizo, mejora del sistema de análisis de riesgo para la mejor definición de los casos en los que conviene realizar un control en profundidad del equipaje y del vehículo, y mejora de intercambio de información de contrabando de tabaco entablando mayor diálogo con las autoridades gibraltareñas. A Reino Unido recomienda en cambio la garantía de controles no sistemáticos y basados en un análisis del riesgo sobre los viajeros y sus pertenencias a la salida de Gibraltar, la armonización de la legislación gibraltareña a la europea sobre el tabaco y a desarrollar el intercambio de información sobre el contrabando de tabaco. </w:t>
      </w:r>
    </w:p>
  </w:footnote>
  <w:footnote w:id="165">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Un autor gibraltareño acepta la existencia de varias esferas de negociación, desde la supranacional reflejada por la Unión Europea hasta la sub-estatal, determinando la primacía del nivel sub-estatal aplicado al supuesto de Gibraltar por el estatuto jurídico de la Constitución de Gibraltar de 2006 y la diversidad de los puntos de vista políticos y diferenciando el punto de vista gibraltareño del británico. </w:t>
      </w:r>
      <w:r w:rsidRPr="000D3505">
        <w:rPr>
          <w:rFonts w:ascii="Times New Roman" w:hAnsi="Times New Roman" w:cs="Times New Roman"/>
          <w:lang w:val="en-US"/>
        </w:rPr>
        <w:t xml:space="preserve">Vid. Azopardi, K. (2009) </w:t>
      </w:r>
      <w:r w:rsidRPr="000D3505">
        <w:rPr>
          <w:rFonts w:ascii="Times New Roman" w:hAnsi="Times New Roman" w:cs="Times New Roman"/>
          <w:i/>
          <w:lang w:val="en-US"/>
        </w:rPr>
        <w:t>Sovereignty and the Stateless Nation. Gibraltar in the Modern Legal Context.</w:t>
      </w:r>
      <w:r w:rsidRPr="000D3505">
        <w:rPr>
          <w:rFonts w:ascii="Times New Roman" w:hAnsi="Times New Roman" w:cs="Times New Roman"/>
          <w:lang w:val="en-US"/>
        </w:rPr>
        <w:t xml:space="preserve"> </w:t>
      </w:r>
      <w:r w:rsidRPr="00093C88">
        <w:rPr>
          <w:rFonts w:ascii="Times New Roman" w:hAnsi="Times New Roman" w:cs="Times New Roman"/>
        </w:rPr>
        <w:t xml:space="preserve">Portland (Oregon) </w:t>
      </w:r>
      <w:r w:rsidRPr="000D3505">
        <w:rPr>
          <w:rFonts w:ascii="Times New Roman" w:hAnsi="Times New Roman" w:cs="Times New Roman"/>
        </w:rPr>
        <w:t xml:space="preserve">Hart Publishing, pp. 338-339. </w:t>
      </w:r>
    </w:p>
  </w:footnote>
  <w:footnote w:id="166">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Como defiende Yerga Cobos, la cooperación con la Junta de Andalucía se justificaría además por la cooperación de trabajadores andaluces en el territorio de Gibraltar, y el hecho de compartir un espacio geográfico común. Vid. Yerga Cobos, A. “La Junta de Andalucía y la cooperación entre Gibraltar y el Campo de Gibraltar”. Visto en Del Valle Gálvez, </w:t>
      </w:r>
      <w:r w:rsidRPr="000D3505">
        <w:rPr>
          <w:rFonts w:ascii="Times New Roman" w:hAnsi="Times New Roman" w:cs="Times New Roman"/>
          <w:i/>
        </w:rPr>
        <w:t xml:space="preserve">Gibraltar, 300 años,  </w:t>
      </w:r>
      <w:r w:rsidRPr="000D3505">
        <w:rPr>
          <w:rFonts w:ascii="Times New Roman" w:hAnsi="Times New Roman" w:cs="Times New Roman"/>
        </w:rPr>
        <w:t xml:space="preserve">Op. Cit. nº 124, pp 368-370.  </w:t>
      </w:r>
    </w:p>
  </w:footnote>
  <w:footnote w:id="167">
    <w:p w:rsidR="007B0B03" w:rsidRPr="000D3505" w:rsidRDefault="007B0B03" w:rsidP="000D3505">
      <w:pPr>
        <w:pStyle w:val="Textonotapie"/>
        <w:jc w:val="both"/>
        <w:rPr>
          <w:rFonts w:ascii="Times New Roman" w:hAnsi="Times New Roman" w:cs="Times New Roman"/>
        </w:rPr>
      </w:pPr>
      <w:r w:rsidRPr="000D3505">
        <w:rPr>
          <w:rStyle w:val="Refdenotaalpie"/>
          <w:rFonts w:ascii="Times New Roman" w:hAnsi="Times New Roman" w:cs="Times New Roman"/>
        </w:rPr>
        <w:footnoteRef/>
      </w:r>
      <w:r w:rsidRPr="000D3505">
        <w:rPr>
          <w:rFonts w:ascii="Times New Roman" w:hAnsi="Times New Roman" w:cs="Times New Roman"/>
        </w:rPr>
        <w:t xml:space="preserve"> Destacan las opiniones de Del Valle Galvez, que en sus valoraciones sobre los Acuerdos de Córdoba determinó que España había articulado tres niveles el tratamiento del tema de Gibraltar. El nivel superior sería el Proceso de Bruselas para la negociación bilateral de las cuestiones de soberanía; el nivel intermedio sería el Foro Trilateral para la cooperación transfronteriza; y un último nivel de cooperación subestatal Gobierno de Gibraltar-Mancomunidad de Municipios. Visto en Del Valle Galvez, A (2006) “Los acuerdos del Foro de Diálogo sobre Gibraltar: la apuesta por la normalización”.  </w:t>
      </w:r>
      <w:r w:rsidRPr="000D3505">
        <w:rPr>
          <w:rFonts w:ascii="Times New Roman" w:hAnsi="Times New Roman" w:cs="Times New Roman"/>
          <w:i/>
        </w:rPr>
        <w:t xml:space="preserve">Revista ARI 107/2006, Real Instituto Elcano, </w:t>
      </w:r>
      <w:r w:rsidRPr="000D3505">
        <w:rPr>
          <w:rFonts w:ascii="Times New Roman" w:hAnsi="Times New Roman" w:cs="Times New Roman"/>
        </w:rPr>
        <w:t xml:space="preserve">fecha 19/10/2006. Disponible on line en </w:t>
      </w:r>
      <w:hyperlink r:id="rId29" w:history="1">
        <w:r w:rsidRPr="000D3505">
          <w:rPr>
            <w:rStyle w:val="Hipervnculo"/>
            <w:rFonts w:ascii="Times New Roman" w:hAnsi="Times New Roman" w:cs="Times New Roman"/>
          </w:rPr>
          <w:t>http://www.realinstitutoelcano.org/wps/portal/rielcano/contenido?WCM_GLOBAL_CONTEXT=/elcano/elcano_es/zonas_es/ari+107-2006</w:t>
        </w:r>
      </w:hyperlink>
      <w:r w:rsidRPr="000D3505">
        <w:rPr>
          <w:rFonts w:ascii="Times New Roman" w:hAnsi="Times New Roman" w:cs="Times New Roman"/>
        </w:rPr>
        <w:t xml:space="preserve"> [13de junio de 2014]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34C57"/>
    <w:multiLevelType w:val="hybridMultilevel"/>
    <w:tmpl w:val="2F30BE4E"/>
    <w:lvl w:ilvl="0" w:tplc="DA0CA3C4">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24C70D03"/>
    <w:multiLevelType w:val="hybridMultilevel"/>
    <w:tmpl w:val="85D82726"/>
    <w:lvl w:ilvl="0" w:tplc="38B62700">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4F4263C9"/>
    <w:multiLevelType w:val="hybridMultilevel"/>
    <w:tmpl w:val="1844573C"/>
    <w:lvl w:ilvl="0" w:tplc="697292D2">
      <w:numFmt w:val="bullet"/>
      <w:lvlText w:val="-"/>
      <w:lvlJc w:val="left"/>
      <w:pPr>
        <w:ind w:left="1440" w:hanging="360"/>
      </w:pPr>
      <w:rPr>
        <w:rFonts w:ascii="Times New Roman" w:eastAsiaTheme="minorEastAsia" w:hAnsi="Times New Roman" w:cs="Times New Roman" w:hint="default"/>
        <w:i/>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
    <w:nsid w:val="54C96733"/>
    <w:multiLevelType w:val="hybridMultilevel"/>
    <w:tmpl w:val="871CC986"/>
    <w:lvl w:ilvl="0" w:tplc="1A94FBEE">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FELayout/>
  </w:compat>
  <w:rsids>
    <w:rsidRoot w:val="003B40A4"/>
    <w:rsid w:val="000604EF"/>
    <w:rsid w:val="00082C23"/>
    <w:rsid w:val="00093C88"/>
    <w:rsid w:val="000B1977"/>
    <w:rsid w:val="000D0605"/>
    <w:rsid w:val="000D3505"/>
    <w:rsid w:val="000D63EE"/>
    <w:rsid w:val="000E63D3"/>
    <w:rsid w:val="00113B0C"/>
    <w:rsid w:val="00116CA1"/>
    <w:rsid w:val="001241A0"/>
    <w:rsid w:val="00125CB4"/>
    <w:rsid w:val="0013321D"/>
    <w:rsid w:val="00184EA6"/>
    <w:rsid w:val="001E6AA9"/>
    <w:rsid w:val="00201BF6"/>
    <w:rsid w:val="002326AB"/>
    <w:rsid w:val="00246FFD"/>
    <w:rsid w:val="00281C3C"/>
    <w:rsid w:val="00291C90"/>
    <w:rsid w:val="00297C7C"/>
    <w:rsid w:val="002A717D"/>
    <w:rsid w:val="002D06E4"/>
    <w:rsid w:val="002E031E"/>
    <w:rsid w:val="002F3BE2"/>
    <w:rsid w:val="003144A2"/>
    <w:rsid w:val="0033056A"/>
    <w:rsid w:val="00363D3F"/>
    <w:rsid w:val="003B1092"/>
    <w:rsid w:val="003B3A1E"/>
    <w:rsid w:val="003B40A4"/>
    <w:rsid w:val="003B7CD1"/>
    <w:rsid w:val="003C233F"/>
    <w:rsid w:val="003C50A6"/>
    <w:rsid w:val="003D00A6"/>
    <w:rsid w:val="003D3B35"/>
    <w:rsid w:val="003D78B4"/>
    <w:rsid w:val="003E5A04"/>
    <w:rsid w:val="003F6719"/>
    <w:rsid w:val="00401C9D"/>
    <w:rsid w:val="004042FE"/>
    <w:rsid w:val="004136B1"/>
    <w:rsid w:val="00425C57"/>
    <w:rsid w:val="00431EE9"/>
    <w:rsid w:val="00445FF2"/>
    <w:rsid w:val="004A44B6"/>
    <w:rsid w:val="004D1658"/>
    <w:rsid w:val="004D2A16"/>
    <w:rsid w:val="00506EED"/>
    <w:rsid w:val="00533CCD"/>
    <w:rsid w:val="005435EB"/>
    <w:rsid w:val="005512CC"/>
    <w:rsid w:val="00585469"/>
    <w:rsid w:val="005A5279"/>
    <w:rsid w:val="005B21B8"/>
    <w:rsid w:val="005E4680"/>
    <w:rsid w:val="005E6E2D"/>
    <w:rsid w:val="005F4064"/>
    <w:rsid w:val="006104B0"/>
    <w:rsid w:val="0061151B"/>
    <w:rsid w:val="006212C3"/>
    <w:rsid w:val="00635CF5"/>
    <w:rsid w:val="006478EF"/>
    <w:rsid w:val="00654E19"/>
    <w:rsid w:val="00694389"/>
    <w:rsid w:val="006969CC"/>
    <w:rsid w:val="006A4264"/>
    <w:rsid w:val="006B0D45"/>
    <w:rsid w:val="006B431D"/>
    <w:rsid w:val="006D58FB"/>
    <w:rsid w:val="00726C69"/>
    <w:rsid w:val="007416BF"/>
    <w:rsid w:val="007439BC"/>
    <w:rsid w:val="007614CA"/>
    <w:rsid w:val="007B04F6"/>
    <w:rsid w:val="007B0B03"/>
    <w:rsid w:val="007B5F12"/>
    <w:rsid w:val="007C0412"/>
    <w:rsid w:val="007D214B"/>
    <w:rsid w:val="007D3FD9"/>
    <w:rsid w:val="007D762A"/>
    <w:rsid w:val="007E10AC"/>
    <w:rsid w:val="007F5B79"/>
    <w:rsid w:val="00811BFD"/>
    <w:rsid w:val="008241AA"/>
    <w:rsid w:val="00853CA5"/>
    <w:rsid w:val="008761DE"/>
    <w:rsid w:val="00884509"/>
    <w:rsid w:val="00897D3F"/>
    <w:rsid w:val="008B2113"/>
    <w:rsid w:val="008B79BA"/>
    <w:rsid w:val="008D57EC"/>
    <w:rsid w:val="008E6120"/>
    <w:rsid w:val="00902730"/>
    <w:rsid w:val="009040E0"/>
    <w:rsid w:val="009361A1"/>
    <w:rsid w:val="00956133"/>
    <w:rsid w:val="00966359"/>
    <w:rsid w:val="009D0087"/>
    <w:rsid w:val="009E1C76"/>
    <w:rsid w:val="009F0EAB"/>
    <w:rsid w:val="00A05654"/>
    <w:rsid w:val="00A33F35"/>
    <w:rsid w:val="00A3585C"/>
    <w:rsid w:val="00A42814"/>
    <w:rsid w:val="00A47633"/>
    <w:rsid w:val="00A55CF2"/>
    <w:rsid w:val="00A645F4"/>
    <w:rsid w:val="00A93094"/>
    <w:rsid w:val="00A97EBC"/>
    <w:rsid w:val="00B26AC6"/>
    <w:rsid w:val="00B373EE"/>
    <w:rsid w:val="00B42E4A"/>
    <w:rsid w:val="00B57491"/>
    <w:rsid w:val="00B6007C"/>
    <w:rsid w:val="00B60D3F"/>
    <w:rsid w:val="00B8108B"/>
    <w:rsid w:val="00B82A9F"/>
    <w:rsid w:val="00B837FA"/>
    <w:rsid w:val="00B9644D"/>
    <w:rsid w:val="00B973ED"/>
    <w:rsid w:val="00BB71D3"/>
    <w:rsid w:val="00C0507C"/>
    <w:rsid w:val="00C30BE8"/>
    <w:rsid w:val="00C368D0"/>
    <w:rsid w:val="00C50186"/>
    <w:rsid w:val="00CA5A6F"/>
    <w:rsid w:val="00CC4FF4"/>
    <w:rsid w:val="00CE3A72"/>
    <w:rsid w:val="00D22170"/>
    <w:rsid w:val="00D2604F"/>
    <w:rsid w:val="00D82458"/>
    <w:rsid w:val="00D94550"/>
    <w:rsid w:val="00D96E60"/>
    <w:rsid w:val="00DB3926"/>
    <w:rsid w:val="00DC31BD"/>
    <w:rsid w:val="00DC3FBD"/>
    <w:rsid w:val="00DC6EEC"/>
    <w:rsid w:val="00DE01E0"/>
    <w:rsid w:val="00DE23F4"/>
    <w:rsid w:val="00DF35E3"/>
    <w:rsid w:val="00E17295"/>
    <w:rsid w:val="00E516C7"/>
    <w:rsid w:val="00E6689C"/>
    <w:rsid w:val="00E92767"/>
    <w:rsid w:val="00EB4EB6"/>
    <w:rsid w:val="00EC3959"/>
    <w:rsid w:val="00ED31DB"/>
    <w:rsid w:val="00EF43FC"/>
    <w:rsid w:val="00F015A8"/>
    <w:rsid w:val="00F25AC8"/>
    <w:rsid w:val="00F278C9"/>
    <w:rsid w:val="00F3202C"/>
    <w:rsid w:val="00F56972"/>
    <w:rsid w:val="00F600E4"/>
    <w:rsid w:val="00F70DE5"/>
    <w:rsid w:val="00F77630"/>
    <w:rsid w:val="00F935DE"/>
    <w:rsid w:val="00FA1C99"/>
    <w:rsid w:val="00FD01B8"/>
    <w:rsid w:val="00FD463F"/>
    <w:rsid w:val="00FD51B0"/>
    <w:rsid w:val="00FE42C4"/>
    <w:rsid w:val="00FE4639"/>
  </w:rsids>
  <m:mathPr>
    <m:mathFont m:val="Cambria Math"/>
    <m:brkBin m:val="before"/>
    <m:brkBinSub m:val="--"/>
    <m:smallFrac m:val="off"/>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FBD"/>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3B40A4"/>
    <w:pPr>
      <w:spacing w:after="0" w:line="240" w:lineRule="auto"/>
    </w:pPr>
    <w:rPr>
      <w:rFonts w:eastAsiaTheme="minorHAnsi"/>
      <w:sz w:val="20"/>
      <w:szCs w:val="20"/>
      <w:lang w:eastAsia="en-US"/>
    </w:rPr>
  </w:style>
  <w:style w:type="character" w:customStyle="1" w:styleId="TextonotapieCar">
    <w:name w:val="Texto nota pie Car"/>
    <w:basedOn w:val="Fuentedeprrafopredeter"/>
    <w:link w:val="Textonotapie"/>
    <w:uiPriority w:val="99"/>
    <w:semiHidden/>
    <w:rsid w:val="003B40A4"/>
    <w:rPr>
      <w:rFonts w:eastAsiaTheme="minorHAnsi"/>
      <w:sz w:val="20"/>
      <w:szCs w:val="20"/>
      <w:lang w:eastAsia="en-US"/>
    </w:rPr>
  </w:style>
  <w:style w:type="character" w:styleId="Refdenotaalpie">
    <w:name w:val="footnote reference"/>
    <w:basedOn w:val="Fuentedeprrafopredeter"/>
    <w:uiPriority w:val="99"/>
    <w:semiHidden/>
    <w:unhideWhenUsed/>
    <w:rsid w:val="003B40A4"/>
    <w:rPr>
      <w:vertAlign w:val="superscript"/>
    </w:rPr>
  </w:style>
  <w:style w:type="character" w:styleId="Hipervnculo">
    <w:name w:val="Hyperlink"/>
    <w:basedOn w:val="Fuentedeprrafopredeter"/>
    <w:uiPriority w:val="99"/>
    <w:unhideWhenUsed/>
    <w:rsid w:val="003B40A4"/>
    <w:rPr>
      <w:color w:val="0000FF"/>
      <w:u w:val="single"/>
    </w:rPr>
  </w:style>
  <w:style w:type="paragraph" w:styleId="Prrafodelista">
    <w:name w:val="List Paragraph"/>
    <w:basedOn w:val="Normal"/>
    <w:uiPriority w:val="34"/>
    <w:qFormat/>
    <w:rsid w:val="003B40A4"/>
    <w:pPr>
      <w:ind w:left="720"/>
      <w:contextualSpacing/>
    </w:pPr>
  </w:style>
  <w:style w:type="paragraph" w:styleId="Encabezado">
    <w:name w:val="header"/>
    <w:basedOn w:val="Normal"/>
    <w:link w:val="EncabezadoCar"/>
    <w:uiPriority w:val="99"/>
    <w:semiHidden/>
    <w:unhideWhenUsed/>
    <w:rsid w:val="003B40A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3B40A4"/>
  </w:style>
  <w:style w:type="paragraph" w:styleId="Piedepgina">
    <w:name w:val="footer"/>
    <w:basedOn w:val="Normal"/>
    <w:link w:val="PiedepginaCar"/>
    <w:uiPriority w:val="99"/>
    <w:unhideWhenUsed/>
    <w:rsid w:val="003B40A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B40A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peacemaker.un.org/sites/peacemaker.un.org/files/SevenDeadlySinsofMediation_BrahimiAhmed2008.pdf" TargetMode="External"/><Relationship Id="rId13" Type="http://schemas.openxmlformats.org/officeDocument/2006/relationships/hyperlink" Target="http://www.icj-cij.org/docket/files/67/6369.pdf" TargetMode="External"/><Relationship Id="rId18" Type="http://schemas.openxmlformats.org/officeDocument/2006/relationships/hyperlink" Target="https://www.itlos.org/fileadmin/itlos/documents/cases/case_no_18_merits/judgment/C18_Judgment_28_05_13-orig.pdf" TargetMode="External"/><Relationship Id="rId26" Type="http://schemas.openxmlformats.org/officeDocument/2006/relationships/hyperlink" Target="http://www.gibraltarchamberofcommerce.com/the-impact-of-the-economy-of-gibraltar-on-the-campo-de-gibraltar/" TargetMode="External"/><Relationship Id="rId3" Type="http://schemas.openxmlformats.org/officeDocument/2006/relationships/hyperlink" Target="http://peacemaker.un.org/sites/peacemaker.un.org/files/Seeking%20Compromise_BerghofFoundation%202011_0.pdf" TargetMode="External"/><Relationship Id="rId21" Type="http://schemas.openxmlformats.org/officeDocument/2006/relationships/hyperlink" Target="http://www.gibraltarlaws.gov.gi/articles/1987s006.pdf" TargetMode="External"/><Relationship Id="rId7" Type="http://schemas.openxmlformats.org/officeDocument/2006/relationships/hyperlink" Target="http://peacemaker.un.org/sites/peacemaker.un.org/files/ExternalActorsinMediation_HDCenter2010.pdf" TargetMode="External"/><Relationship Id="rId12" Type="http://schemas.openxmlformats.org/officeDocument/2006/relationships/hyperlink" Target="http://www.un.org/es/documents/ag/resga.shtml" TargetMode="External"/><Relationship Id="rId17" Type="http://schemas.openxmlformats.org/officeDocument/2006/relationships/hyperlink" Target="http://www.icj-cij.org/docket/files/5/1809.pdf" TargetMode="External"/><Relationship Id="rId25" Type="http://schemas.openxmlformats.org/officeDocument/2006/relationships/hyperlink" Target="http://crones.es/recuadrista.php?id=57&amp;id_recuadrista=1" TargetMode="External"/><Relationship Id="rId2" Type="http://schemas.openxmlformats.org/officeDocument/2006/relationships/hyperlink" Target="http://daccess-dds-ny.un.org/doc/RESOLUTION/GEN/NR0/352/86/IMG/NR035286.pdf?OpenElement" TargetMode="External"/><Relationship Id="rId16" Type="http://schemas.openxmlformats.org/officeDocument/2006/relationships/hyperlink" Target="http://www.icj-cij.org/pcij/serie_A/A_06/16_Interets_allemands_en_Haute_Silesie_polonaise_Competence_Arret.pdf" TargetMode="External"/><Relationship Id="rId20" Type="http://schemas.openxmlformats.org/officeDocument/2006/relationships/hyperlink" Target="http://eur-lex.europa.eu/LexUriServ/LexUriServ.do?uri=OJ:L:1972:073:FULL:EN:PDF" TargetMode="External"/><Relationship Id="rId29" Type="http://schemas.openxmlformats.org/officeDocument/2006/relationships/hyperlink" Target="http://www.realinstitutoelcano.org/wps/portal/rielcano/contenido?WCM_GLOBAL_CONTEXT=/elcano/elcano_es/zonas_es/ari+107-2006" TargetMode="External"/><Relationship Id="rId1" Type="http://schemas.openxmlformats.org/officeDocument/2006/relationships/hyperlink" Target="http://www.oas.org/juridico/spanish/tratados/a-42.html" TargetMode="External"/><Relationship Id="rId6" Type="http://schemas.openxmlformats.org/officeDocument/2006/relationships/hyperlink" Target="http://w2.vatican.va/content/francesco/es/speeches/2014/may/documents/papa-francesco_20140526_terra-santa-visita-presidente-israele.html" TargetMode="External"/><Relationship Id="rId11" Type="http://schemas.openxmlformats.org/officeDocument/2006/relationships/hyperlink" Target="http://www.icj-cij.org/docket/files/14/1937.pdf" TargetMode="External"/><Relationship Id="rId24" Type="http://schemas.openxmlformats.org/officeDocument/2006/relationships/hyperlink" Target="http://www.gibraltarlaws.gov.gi/articles/2010-21o.pdf" TargetMode="External"/><Relationship Id="rId5" Type="http://schemas.openxmlformats.org/officeDocument/2006/relationships/hyperlink" Target="http://peacemaker.un.org/sites/peacemaker.un.org/files/MediationandPeaceProcesses_IPI2008.pdf" TargetMode="External"/><Relationship Id="rId15" Type="http://schemas.openxmlformats.org/officeDocument/2006/relationships/hyperlink" Target="http://politica.elpais.com/politica/2013/08/03/actualidad/1375553436_641520.html" TargetMode="External"/><Relationship Id="rId23" Type="http://schemas.openxmlformats.org/officeDocument/2006/relationships/hyperlink" Target="http://www.gibraltarlaws.gov.gi/articles/1983-13o.pdf" TargetMode="External"/><Relationship Id="rId28" Type="http://schemas.openxmlformats.org/officeDocument/2006/relationships/hyperlink" Target="http://www.consilium.europa.eu/ueDocs/cms_Data/docs/pressData/es/ec/70829.pdf" TargetMode="External"/><Relationship Id="rId10" Type="http://schemas.openxmlformats.org/officeDocument/2006/relationships/hyperlink" Target="http://www.icj-cij.org/docket/files/14/1937.pdf" TargetMode="External"/><Relationship Id="rId19" Type="http://schemas.openxmlformats.org/officeDocument/2006/relationships/hyperlink" Target="http://hudoc.echr.coe.int/sites/eng/pages/search.aspx?i=001-58910" TargetMode="External"/><Relationship Id="rId4" Type="http://schemas.openxmlformats.org/officeDocument/2006/relationships/hyperlink" Target="http://www.un.org/womenwatch/daw/beijing/pdf/BDPfA%20S.pdf" TargetMode="External"/><Relationship Id="rId9" Type="http://schemas.openxmlformats.org/officeDocument/2006/relationships/hyperlink" Target="http://www.icj-cij.org/docket/files/32/4521.pdf" TargetMode="External"/><Relationship Id="rId14" Type="http://schemas.openxmlformats.org/officeDocument/2006/relationships/hyperlink" Target="http://www.icj-cij.org/docket/files/5/1809.pdf" TargetMode="External"/><Relationship Id="rId22" Type="http://schemas.openxmlformats.org/officeDocument/2006/relationships/hyperlink" Target="http://www.gibraltarlaws.gov.gi/articles/1993s017R.pdf" TargetMode="External"/><Relationship Id="rId27" Type="http://schemas.openxmlformats.org/officeDocument/2006/relationships/hyperlink" Target="http://www.realinstitutoelcano.org/wps/wcm/connect/ec30ec804a9e28eabc61bdf3b87a73b6/ARI21-2012_del_Valle_Gibraltar_foro_cuatripartito_cooperacioon_soberania.pdf?MOD=AJPERES&amp;CACHEID=ec30ec804a9e28eabc61bdf3b87a73b6"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9185DD-A4FE-4E2E-AF74-87A3166338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TotalTime>
  <Pages>65</Pages>
  <Words>21142</Words>
  <Characters>116285</Characters>
  <Application>Microsoft Office Word</Application>
  <DocSecurity>0</DocSecurity>
  <Lines>969</Lines>
  <Paragraphs>274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137153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dc:creator>
  <cp:keywords/>
  <dc:description/>
  <cp:lastModifiedBy>Pedro</cp:lastModifiedBy>
  <cp:revision>121</cp:revision>
  <dcterms:created xsi:type="dcterms:W3CDTF">2014-06-13T22:53:00Z</dcterms:created>
  <dcterms:modified xsi:type="dcterms:W3CDTF">2014-06-19T07:42:00Z</dcterms:modified>
</cp:coreProperties>
</file>