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2B2" w:rsidRPr="002912B2" w:rsidRDefault="002912B2" w:rsidP="002912B2">
      <w:pPr>
        <w:spacing w:after="0" w:line="240" w:lineRule="auto"/>
        <w:jc w:val="right"/>
        <w:rPr>
          <w:rFonts w:eastAsia="Times New Roman" w:cs="Times New Roman"/>
          <w:sz w:val="20"/>
          <w:szCs w:val="20"/>
          <w:lang w:eastAsia="es-ES"/>
        </w:rPr>
      </w:pPr>
      <w:r>
        <w:rPr>
          <w:rFonts w:eastAsia="Times New Roman" w:cs="Times New Roman"/>
          <w:noProof/>
          <w:sz w:val="20"/>
          <w:szCs w:val="20"/>
          <w:lang w:eastAsia="es-ES"/>
        </w:rPr>
        <w:drawing>
          <wp:anchor distT="0" distB="0" distL="114300" distR="114300" simplePos="0" relativeHeight="251661312" behindDoc="0" locked="0" layoutInCell="1" allowOverlap="1">
            <wp:simplePos x="0" y="0"/>
            <wp:positionH relativeFrom="column">
              <wp:posOffset>2741930</wp:posOffset>
            </wp:positionH>
            <wp:positionV relativeFrom="paragraph">
              <wp:posOffset>-21590</wp:posOffset>
            </wp:positionV>
            <wp:extent cx="2237105" cy="2185035"/>
            <wp:effectExtent l="19050" t="0" r="0" b="0"/>
            <wp:wrapNone/>
            <wp:docPr id="16" name="Imagen 9"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237105" cy="2185035"/>
                    </a:xfrm>
                    <a:prstGeom prst="rect">
                      <a:avLst/>
                    </a:prstGeom>
                    <a:noFill/>
                    <a:ln>
                      <a:noFill/>
                    </a:ln>
                  </pic:spPr>
                </pic:pic>
              </a:graphicData>
            </a:graphic>
          </wp:anchor>
        </w:drawing>
      </w:r>
      <w:r w:rsidR="001C3F31">
        <w:rPr>
          <w:rFonts w:eastAsia="Times New Roman" w:cs="Times New Roman"/>
          <w:noProof/>
          <w:sz w:val="20"/>
          <w:szCs w:val="20"/>
          <w:lang w:eastAsia="es-ES"/>
        </w:rPr>
        <w:pict>
          <v:shapetype id="_x0000_t202" coordsize="21600,21600" o:spt="202" path="m,l,21600r21600,l21600,xe">
            <v:stroke joinstyle="miter"/>
            <v:path gradientshapeok="t" o:connecttype="rect"/>
          </v:shapetype>
          <v:shape id="_x0000_s1056" type="#_x0000_t202" style="position:absolute;left:0;text-align:left;margin-left:-85.45pt;margin-top:-76.45pt;width:180.75pt;height:849.85pt;z-index:251664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2912B2" w:rsidRPr="002912B2" w:rsidRDefault="002912B2" w:rsidP="002912B2">
                  <w:pPr>
                    <w:pStyle w:val="Ttulo2"/>
                    <w:jc w:val="center"/>
                    <w:rPr>
                      <w:color w:val="F79646"/>
                      <w:sz w:val="72"/>
                    </w:rPr>
                  </w:pPr>
                  <w:r w:rsidRPr="002912B2">
                    <w:rPr>
                      <w:color w:val="F79646"/>
                      <w:sz w:val="72"/>
                    </w:rPr>
                    <w:t>Facultad de Ciencias Sociales y Jurídicas</w:t>
                  </w:r>
                </w:p>
                <w:p w:rsidR="002912B2" w:rsidRPr="002912B2" w:rsidRDefault="002912B2" w:rsidP="002912B2">
                  <w:pPr>
                    <w:keepNext/>
                    <w:spacing w:after="0" w:line="240" w:lineRule="auto"/>
                    <w:jc w:val="center"/>
                    <w:outlineLvl w:val="0"/>
                    <w:rPr>
                      <w:rFonts w:ascii="Arial Narrow" w:eastAsia="Times New Roman" w:hAnsi="Arial Narrow" w:cs="Times New Roman"/>
                      <w:outline/>
                      <w:color w:val="000000"/>
                      <w:sz w:val="96"/>
                      <w:szCs w:val="20"/>
                      <w:lang w:eastAsia="es-ES"/>
                    </w:rPr>
                  </w:pPr>
                  <w:r w:rsidRPr="002912B2">
                    <w:rPr>
                      <w:rFonts w:ascii="Arial Narrow" w:eastAsia="Times New Roman" w:hAnsi="Arial Narrow" w:cs="Times New Roman"/>
                      <w:outline/>
                      <w:color w:val="000000"/>
                      <w:sz w:val="96"/>
                      <w:szCs w:val="20"/>
                      <w:lang w:eastAsia="es-ES"/>
                    </w:rPr>
                    <w:t>Grado en Derecho</w:t>
                  </w:r>
                </w:p>
              </w:txbxContent>
            </v:textbox>
          </v:shape>
        </w:pict>
      </w: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r w:rsidRPr="002912B2">
        <w:rPr>
          <w:rFonts w:eastAsia="Times New Roman" w:cs="Times New Roman"/>
          <w:noProof/>
          <w:sz w:val="20"/>
          <w:szCs w:val="20"/>
          <w:lang w:eastAsia="es-ES"/>
        </w:rPr>
        <w:drawing>
          <wp:anchor distT="0" distB="0" distL="114300" distR="114300" simplePos="0" relativeHeight="251660288" behindDoc="0" locked="0" layoutInCell="0" allowOverlap="1">
            <wp:simplePos x="0" y="0"/>
            <wp:positionH relativeFrom="column">
              <wp:posOffset>3324225</wp:posOffset>
            </wp:positionH>
            <wp:positionV relativeFrom="paragraph">
              <wp:posOffset>186055</wp:posOffset>
            </wp:positionV>
            <wp:extent cx="942975" cy="1028700"/>
            <wp:effectExtent l="0" t="0" r="9525" b="0"/>
            <wp:wrapTopAndBottom/>
            <wp:docPr id="17"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942975" cy="1028700"/>
                    </a:xfrm>
                    <a:prstGeom prst="rect">
                      <a:avLst/>
                    </a:prstGeom>
                    <a:noFill/>
                  </pic:spPr>
                </pic:pic>
              </a:graphicData>
            </a:graphic>
          </wp:anchor>
        </w:drawing>
      </w: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1C3F31" w:rsidP="002912B2">
      <w:pPr>
        <w:spacing w:after="0" w:line="240" w:lineRule="auto"/>
        <w:rPr>
          <w:rFonts w:eastAsia="Times New Roman" w:cs="Times New Roman"/>
          <w:sz w:val="20"/>
          <w:szCs w:val="20"/>
          <w:lang w:eastAsia="es-ES"/>
        </w:rPr>
      </w:pPr>
      <w:r>
        <w:rPr>
          <w:rFonts w:eastAsia="Times New Roman" w:cs="Times New Roman"/>
          <w:noProof/>
          <w:sz w:val="20"/>
          <w:szCs w:val="20"/>
          <w:lang w:eastAsia="es-ES"/>
        </w:rPr>
        <w:pict>
          <v:shape id="_x0000_s1054" type="#_x0000_t202" style="position:absolute;margin-left:95.3pt;margin-top:.5pt;width:402.6pt;height:129.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ZmChAIAABgFAAAOAAAAZHJzL2Uyb0RvYy54bWysVNuO2yAQfa/Uf0C8Z32pk42tdVa7SVNV&#10;2l6k3X4AMThGxUCBxN6u+u8dIEmzvUhVVT9gYIbDzJwzXF2PvUB7ZixXssbZRYoRk42iXG5r/Olh&#10;PZljZB2RlAglWY0fmcXXi5cvrgZdsVx1SlBmEIBIWw26xp1zukoS23SsJ/ZCaSbB2CrTEwdLs02o&#10;IQOg9yLJ03SWDMpQbVTDrIXdVTTiRcBvW9a4D21rmUOixhCbC6MJ48aPyeKKVFtDdMebQxjkH6Lo&#10;CZdw6QlqRRxBO8N/gep5Y5RVrbtoVJ+otuUNCzlANln6Uzb3HdEs5ALFsfpUJvv/YJv3+48GcQrc&#10;5RhJ0gNHD2x06FaNaObLM2hbgde9Bj83wja4hlStvlPNZ4ukWnZEbtmNMWroGKEQXuZPJmdHI471&#10;IJvhnaJwDdk5FYDG1vS+dlANBOhA0+OJGh9KA5vTLHuV5mBqwJbNimkJC38HqY7HtbHuDVM98pMa&#10;G+A+wJP9nXXR9ejib7NKcLrmQoSF2W6WwqA9AZ2sw3dAf+YmpHeWyh+LiHEHooQ7vM3HG3h/KrO8&#10;SG/zcrKezS8nxbqYTsrLdD5Js/K2nKVFWazW33yAWVF1nFIm77hkRw1mxd9xfOiGqJ6gQjTUuJzm&#10;08jRH5NMw/e7JHvuoCUF72s8PzmRyjP7WlJIm1SOcBHnyfPwAyFQg+M/VCXowFMfReDGzRgUd5LX&#10;RtFHEIZRQBtQDM8JTDplvmI0QGvW2H7ZEcMwEm8liKvMisL3clgU00svC3Nu2ZxbiGwAqsYOozhd&#10;utj/O234toObopylugFBtjxIxSs3RnWQMbRfyOnwVPj+Pl8Hrx8P2uI7AAAA//8DAFBLAwQUAAYA&#10;CAAAACEABBxhodsAAAAJAQAADwAAAGRycy9kb3ducmV2LnhtbEyPzU6EMBSF9ya+Q3NN3BinDEHG&#10;ImWiJhq38/MAhd4BIr0ltDMwb+91pcsv5+T8lNvFDeKCU+g9aVivEhBIjbc9tRqOh4/HZxAhGrJm&#10;8IQarhhgW93elKawfqYdXvaxFRxCoTAauhjHQsrQdOhMWPkRibWTn5yJjFMr7WRmDneDTJMkl870&#10;xA2dGfG9w+Z7f3YaTl/zw5Oa68943Oyy/M30m9pftb6/W15fQERc4p8ZfufzdKh4U+3PZIMYmFWW&#10;sVVDypdYV0rlIGrmfJ2CrEr5/0H1AwAA//8DAFBLAQItABQABgAIAAAAIQC2gziS/gAAAOEBAAAT&#10;AAAAAAAAAAAAAAAAAAAAAABbQ29udGVudF9UeXBlc10ueG1sUEsBAi0AFAAGAAgAAAAhADj9If/W&#10;AAAAlAEAAAsAAAAAAAAAAAAAAAAALwEAAF9yZWxzLy5yZWxzUEsBAi0AFAAGAAgAAAAhACt9mYKE&#10;AgAAGAUAAA4AAAAAAAAAAAAAAAAALgIAAGRycy9lMm9Eb2MueG1sUEsBAi0AFAAGAAgAAAAhAAQc&#10;YaHbAAAACQEAAA8AAAAAAAAAAAAAAAAA3gQAAGRycy9kb3ducmV2LnhtbFBLBQYAAAAABAAEAPMA&#10;AADmBQAAAAA=&#10;" o:allowincell="f" stroked="f">
            <v:textbox>
              <w:txbxContent>
                <w:p w:rsidR="002912B2" w:rsidRDefault="002912B2" w:rsidP="002912B2"/>
                <w:p w:rsidR="002912B2" w:rsidRDefault="002912B2" w:rsidP="002912B2">
                  <w:pPr>
                    <w:pStyle w:val="Textoindependiente"/>
                    <w:jc w:val="center"/>
                    <w:rPr>
                      <w:rFonts w:ascii="Arial" w:hAnsi="Arial"/>
                      <w:sz w:val="44"/>
                      <w:u w:val="single"/>
                    </w:rPr>
                  </w:pPr>
                  <w:r>
                    <w:rPr>
                      <w:rFonts w:ascii="Arial" w:hAnsi="Arial"/>
                      <w:sz w:val="44"/>
                      <w:u w:val="single"/>
                    </w:rPr>
                    <w:t>Trabajo Fin de Grado</w:t>
                  </w:r>
                </w:p>
              </w:txbxContent>
            </v:textbox>
          </v:shape>
        </w:pict>
      </w: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spacing w:after="0" w:line="240" w:lineRule="auto"/>
        <w:rPr>
          <w:rFonts w:eastAsia="Times New Roman" w:cs="Times New Roman"/>
          <w:sz w:val="20"/>
          <w:szCs w:val="20"/>
          <w:lang w:eastAsia="es-ES"/>
        </w:rPr>
      </w:pPr>
    </w:p>
    <w:p w:rsidR="002912B2" w:rsidRPr="002912B2" w:rsidRDefault="002912B2" w:rsidP="002912B2">
      <w:pPr>
        <w:tabs>
          <w:tab w:val="left" w:pos="7215"/>
        </w:tabs>
        <w:spacing w:after="0" w:line="240" w:lineRule="auto"/>
        <w:rPr>
          <w:rFonts w:eastAsia="Times New Roman" w:cs="Times New Roman"/>
          <w:sz w:val="20"/>
          <w:szCs w:val="20"/>
          <w:lang w:eastAsia="es-ES"/>
        </w:rPr>
      </w:pPr>
      <w:r w:rsidRPr="002912B2">
        <w:rPr>
          <w:rFonts w:eastAsia="Times New Roman" w:cs="Times New Roman"/>
          <w:sz w:val="20"/>
          <w:szCs w:val="20"/>
          <w:lang w:eastAsia="es-ES"/>
        </w:rPr>
        <w:tab/>
      </w:r>
    </w:p>
    <w:p w:rsidR="002912B2" w:rsidRPr="002912B2" w:rsidRDefault="001C3F31" w:rsidP="002912B2">
      <w:pPr>
        <w:spacing w:after="0" w:line="240" w:lineRule="auto"/>
        <w:jc w:val="right"/>
        <w:rPr>
          <w:rFonts w:eastAsia="Times New Roman" w:cs="Times New Roman"/>
          <w:sz w:val="20"/>
          <w:szCs w:val="20"/>
          <w:lang w:eastAsia="es-ES"/>
        </w:rPr>
      </w:pPr>
      <w:r>
        <w:rPr>
          <w:rFonts w:eastAsia="Times New Roman" w:cs="Times New Roman"/>
          <w:noProof/>
          <w:sz w:val="20"/>
          <w:szCs w:val="20"/>
          <w:lang w:eastAsia="es-ES"/>
        </w:rPr>
        <w:pict>
          <v:shape id="_x0000_s1055" type="#_x0000_t202" style="position:absolute;left:0;text-align:left;margin-left:125.45pt;margin-top:6.85pt;width:372.45pt;height:2in;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5k0iAIAABg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YC7&#10;c4wU6YCjez54tNQDmoXy9MZV4HVnwM8PsA2uMVVnbjX94pDSq5aoLb+2VvctJwzCy8LJ5OToiOMC&#10;yKZ/rxlcQ3ZeR6ChsV2oHVQDATrQ9PBETQiFwmYxO0+zbIoRBVs2z+fzNJKXkOp43Fjn33LdoTCp&#10;sQXuIzzZ3zofwiHV0SXc5rQUbC2kjAu73aykRXsCOlnHL2bwwk2q4Kx0ODYijjsQJdwRbCHeyPtj&#10;meVFuszLyfpiPpsU62I6KWfpfJJm5bK8SIuyuFl/DwFmRdUKxri6FYofNZgVf8fxoRtG9UQVor7G&#10;5TSfjhz9Mck0fr9LshMeWlKKrsZQZPiCE6kCs28Ui3NPhBznyc/hxypDDY7/WJWog0D9KAI/bIao&#10;uGkADhrZaPYAwrAaaAP24TmBSavtN4x6aM0au687YjlG8p0CcZVZUYRejotiOsthYU8tm1MLURSg&#10;auwxGqcrP/b/zlixbeGmUc5KX4MgGxGl8hzVQcbQfjGnw1MR+vt0Hb2eH7TFDwAAAP//AwBQSwME&#10;FAAGAAgAAAAhADyEJgXgAAAACwEAAA8AAABkcnMvZG93bnJldi54bWxMj8tOwzAQRfdI/IM1SGwQ&#10;dQhN8yCTCpBAbFv6AZPYTSJiO4rdJv17hhXdzWiO7pxbbhcziLOefO8swtMqAqFt41RvW4TD98dj&#10;BsIHsooGZzXCRXvYVrc3JRXKzXanz/vQCg6xviCELoSxkNI3nTbkV27Ulm9HNxkKvE6tVBPNHG4G&#10;GUfRRhrqLX/oaNTvnW5+9ieDcPyaH5J8rj/DId2tN2/Up7W7IN7fLa8vIIJewj8Mf/qsDhU71e5k&#10;lRcDQhylOaMIyTrlDkzkScxDjZA9JxnIqpTXHapfAAAA//8DAFBLAQItABQABgAIAAAAIQC2gziS&#10;/gAAAOEBAAATAAAAAAAAAAAAAAAAAAAAAABbQ29udGVudF9UeXBlc10ueG1sUEsBAi0AFAAGAAgA&#10;AAAhADj9If/WAAAAlAEAAAsAAAAAAAAAAAAAAAAALwEAAF9yZWxzLy5yZWxzUEsBAi0AFAAGAAgA&#10;AAAhAHIfmTSIAgAAGAUAAA4AAAAAAAAAAAAAAAAALgIAAGRycy9lMm9Eb2MueG1sUEsBAi0AFAAG&#10;AAgAAAAhADyEJgXgAAAACwEAAA8AAAAAAAAAAAAAAAAA4gQAAGRycy9kb3ducmV2LnhtbFBLBQYA&#10;AAAABAAEAPMAAADvBQAAAAA=&#10;" o:allowincell="f" stroked="f">
            <v:textbox>
              <w:txbxContent>
                <w:p w:rsidR="002912B2" w:rsidRPr="002912B2" w:rsidRDefault="002912B2" w:rsidP="002912B2">
                  <w:pPr>
                    <w:pStyle w:val="Textoindependiente2"/>
                    <w:spacing w:line="240" w:lineRule="auto"/>
                    <w:jc w:val="center"/>
                    <w:rPr>
                      <w:rFonts w:ascii="Arial" w:hAnsi="Arial" w:cs="Arial"/>
                      <w:b/>
                      <w:sz w:val="64"/>
                      <w:lang w:val="es-ES_tradnl"/>
                    </w:rPr>
                  </w:pPr>
                  <w:r w:rsidRPr="002912B2">
                    <w:rPr>
                      <w:rFonts w:ascii="Arial" w:hAnsi="Arial" w:cs="Arial"/>
                      <w:b/>
                      <w:sz w:val="64"/>
                      <w:lang w:val="es-ES_tradnl"/>
                    </w:rPr>
                    <w:t>LA CONSULTA DEL 1 DE OCTUBRE DE 2017 EN CATALUÑA</w:t>
                  </w:r>
                </w:p>
              </w:txbxContent>
            </v:textbox>
          </v:shape>
        </w:pict>
      </w: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1C3F31" w:rsidP="002912B2">
      <w:pPr>
        <w:pStyle w:val="Ttulo1"/>
        <w:jc w:val="center"/>
        <w:rPr>
          <w:rFonts w:ascii="Arial Narrow" w:hAnsi="Arial Narrow"/>
          <w:sz w:val="96"/>
          <w:szCs w:val="96"/>
        </w:rPr>
      </w:pPr>
      <w:r w:rsidRPr="001C3F31">
        <w:rPr>
          <w:rFonts w:eastAsia="Times New Roman" w:cs="Times New Roman"/>
          <w:noProof/>
          <w:sz w:val="20"/>
          <w:szCs w:val="20"/>
          <w:lang w:eastAsia="es-ES"/>
        </w:rPr>
        <w:pict>
          <v:shape id="_x0000_s1057" type="#_x0000_t202" style="position:absolute;left:0;text-align:left;margin-left:125.45pt;margin-top:42.95pt;width:356.55pt;height:223.2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2912B2" w:rsidRPr="002912B2" w:rsidRDefault="002912B2" w:rsidP="002912B2">
                  <w:pPr>
                    <w:keepNext/>
                    <w:spacing w:after="0" w:line="240" w:lineRule="auto"/>
                    <w:jc w:val="center"/>
                    <w:outlineLvl w:val="4"/>
                    <w:rPr>
                      <w:rFonts w:ascii="Arial" w:eastAsia="Times New Roman" w:hAnsi="Arial" w:cs="Times New Roman"/>
                      <w:b/>
                      <w:sz w:val="32"/>
                      <w:szCs w:val="20"/>
                      <w:lang w:eastAsia="es-ES"/>
                    </w:rPr>
                  </w:pPr>
                  <w:r w:rsidRPr="002912B2">
                    <w:rPr>
                      <w:rFonts w:ascii="Arial" w:eastAsia="Times New Roman" w:hAnsi="Arial" w:cs="Times New Roman"/>
                      <w:b/>
                      <w:sz w:val="32"/>
                      <w:szCs w:val="20"/>
                      <w:lang w:eastAsia="es-ES"/>
                    </w:rPr>
                    <w:t>Alumno:</w:t>
                  </w:r>
                  <w:r w:rsidRPr="002912B2">
                    <w:rPr>
                      <w:rFonts w:ascii="Arial" w:eastAsia="Times New Roman" w:hAnsi="Arial" w:cs="Times New Roman"/>
                      <w:b/>
                      <w:sz w:val="32"/>
                      <w:szCs w:val="20"/>
                      <w:lang w:eastAsia="es-ES"/>
                    </w:rPr>
                    <w:tab/>
                    <w:t>Pedro Martínez García</w:t>
                  </w:r>
                </w:p>
                <w:p w:rsidR="002912B2" w:rsidRDefault="002912B2" w:rsidP="002912B2">
                  <w:pPr>
                    <w:jc w:val="center"/>
                    <w:rPr>
                      <w:rFonts w:ascii="Arial" w:hAnsi="Arial"/>
                      <w:sz w:val="32"/>
                    </w:rPr>
                  </w:pPr>
                </w:p>
                <w:p w:rsidR="002912B2" w:rsidRDefault="002912B2" w:rsidP="002912B2">
                  <w:pPr>
                    <w:jc w:val="center"/>
                    <w:rPr>
                      <w:rFonts w:ascii="Arial" w:hAnsi="Arial"/>
                      <w:sz w:val="32"/>
                    </w:rPr>
                  </w:pPr>
                </w:p>
                <w:p w:rsidR="002912B2" w:rsidRPr="002912B2" w:rsidRDefault="002912B2" w:rsidP="002912B2">
                  <w:pPr>
                    <w:keepNext/>
                    <w:spacing w:after="0" w:line="240" w:lineRule="auto"/>
                    <w:jc w:val="center"/>
                    <w:outlineLvl w:val="3"/>
                    <w:rPr>
                      <w:rFonts w:ascii="Arial" w:eastAsia="Times New Roman" w:hAnsi="Arial" w:cs="Times New Roman"/>
                      <w:b/>
                      <w:sz w:val="36"/>
                      <w:szCs w:val="20"/>
                      <w:lang w:eastAsia="es-ES"/>
                    </w:rPr>
                  </w:pPr>
                  <w:r w:rsidRPr="002912B2">
                    <w:rPr>
                      <w:rFonts w:ascii="Arial" w:eastAsia="Times New Roman" w:hAnsi="Arial" w:cs="Times New Roman"/>
                      <w:b/>
                      <w:sz w:val="36"/>
                      <w:szCs w:val="20"/>
                      <w:lang w:eastAsia="es-ES"/>
                    </w:rPr>
                    <w:t>Mayo, 2018</w:t>
                  </w:r>
                </w:p>
                <w:p w:rsidR="002912B2" w:rsidRDefault="002912B2" w:rsidP="002912B2">
                  <w:pPr>
                    <w:jc w:val="center"/>
                    <w:rPr>
                      <w:rFonts w:ascii="Arial" w:hAnsi="Arial"/>
                      <w:sz w:val="32"/>
                    </w:rPr>
                  </w:pPr>
                </w:p>
                <w:p w:rsidR="002912B2" w:rsidRDefault="002912B2" w:rsidP="002912B2">
                  <w:pPr>
                    <w:jc w:val="center"/>
                    <w:rPr>
                      <w:rFonts w:ascii="Arial" w:hAnsi="Arial"/>
                      <w:sz w:val="32"/>
                    </w:rPr>
                  </w:pPr>
                </w:p>
                <w:p w:rsidR="002912B2" w:rsidRDefault="002912B2" w:rsidP="002912B2">
                  <w:pPr>
                    <w:jc w:val="center"/>
                    <w:rPr>
                      <w:rFonts w:ascii="Arial" w:hAnsi="Arial"/>
                      <w:sz w:val="32"/>
                    </w:rPr>
                  </w:pPr>
                </w:p>
                <w:p w:rsidR="002912B2" w:rsidRDefault="002912B2" w:rsidP="002912B2">
                  <w:pPr>
                    <w:jc w:val="center"/>
                    <w:rPr>
                      <w:rFonts w:ascii="Arial" w:hAnsi="Arial"/>
                      <w:sz w:val="32"/>
                    </w:rPr>
                  </w:pPr>
                </w:p>
                <w:p w:rsidR="002912B2" w:rsidRDefault="002912B2" w:rsidP="002912B2">
                  <w:pPr>
                    <w:pStyle w:val="Ttulo4"/>
                    <w:rPr>
                      <w:b w:val="0"/>
                      <w:sz w:val="36"/>
                    </w:rPr>
                  </w:pPr>
                  <w:r>
                    <w:rPr>
                      <w:sz w:val="36"/>
                    </w:rPr>
                    <w:t>Mayo, 2018</w:t>
                  </w:r>
                </w:p>
              </w:txbxContent>
            </v:textbox>
          </v:shape>
        </w:pict>
      </w: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2912B2" w:rsidRPr="002912B2" w:rsidRDefault="002912B2" w:rsidP="002912B2">
      <w:pPr>
        <w:spacing w:after="0" w:line="240" w:lineRule="auto"/>
        <w:jc w:val="right"/>
        <w:rPr>
          <w:rFonts w:eastAsia="Times New Roman" w:cs="Times New Roman"/>
          <w:sz w:val="20"/>
          <w:szCs w:val="20"/>
          <w:lang w:eastAsia="es-ES"/>
        </w:rPr>
      </w:pPr>
    </w:p>
    <w:p w:rsidR="009E5724" w:rsidRDefault="009E5724" w:rsidP="009E5724">
      <w:pPr>
        <w:pStyle w:val="Ttulo1"/>
      </w:pPr>
      <w:r>
        <w:lastRenderedPageBreak/>
        <w:t>RESUMEN / ABSTRACT</w:t>
      </w:r>
    </w:p>
    <w:p w:rsidR="009E5724" w:rsidRDefault="009E5724" w:rsidP="009E5724">
      <w:pPr>
        <w:rPr>
          <w:rFonts w:eastAsiaTheme="majorEastAsia" w:cstheme="majorBidi"/>
          <w:b/>
          <w:bCs/>
          <w:color w:val="943634" w:themeColor="accent2" w:themeShade="BF"/>
          <w:sz w:val="28"/>
          <w:szCs w:val="28"/>
        </w:rPr>
      </w:pPr>
    </w:p>
    <w:p w:rsidR="009E5724" w:rsidRDefault="009E5724" w:rsidP="001E0844">
      <w:pPr>
        <w:jc w:val="both"/>
        <w:rPr>
          <w:b/>
        </w:rPr>
      </w:pPr>
      <w:r w:rsidRPr="009E5724">
        <w:rPr>
          <w:b/>
        </w:rPr>
        <w:t>Español</w:t>
      </w:r>
      <w:r>
        <w:rPr>
          <w:b/>
        </w:rPr>
        <w:t>:</w:t>
      </w:r>
    </w:p>
    <w:p w:rsidR="001E0844" w:rsidRPr="008552EA" w:rsidRDefault="001E0844" w:rsidP="001E0844">
      <w:pPr>
        <w:jc w:val="both"/>
        <w:rPr>
          <w:rFonts w:cs="Times New Roman"/>
          <w:szCs w:val="24"/>
        </w:rPr>
      </w:pPr>
      <w:r>
        <w:rPr>
          <w:rFonts w:cs="Times New Roman"/>
          <w:szCs w:val="24"/>
        </w:rPr>
        <w:t>El 6 de S</w:t>
      </w:r>
      <w:r w:rsidRPr="008552EA">
        <w:rPr>
          <w:rFonts w:cs="Times New Roman"/>
          <w:szCs w:val="24"/>
        </w:rPr>
        <w:t>ep</w:t>
      </w:r>
      <w:r>
        <w:rPr>
          <w:rFonts w:cs="Times New Roman"/>
          <w:szCs w:val="24"/>
        </w:rPr>
        <w:t>t</w:t>
      </w:r>
      <w:r w:rsidRPr="008552EA">
        <w:rPr>
          <w:rFonts w:cs="Times New Roman"/>
          <w:szCs w:val="24"/>
        </w:rPr>
        <w:t xml:space="preserve">iembre de 2017 se aprobó en el Parlament de Catalunya la Ley 19/2017 de Referéndum de Autodeterminación y se materializó uno de los hechos más controvertidos del Derecho Constitucional de los últimos tiempos, que culminó con la celebración de una consulta el 1 de octubre de 2017. </w:t>
      </w:r>
    </w:p>
    <w:p w:rsidR="001E0844" w:rsidRDefault="001E0844" w:rsidP="001E0844">
      <w:pPr>
        <w:jc w:val="both"/>
        <w:rPr>
          <w:rFonts w:cs="Times New Roman"/>
          <w:szCs w:val="24"/>
        </w:rPr>
      </w:pPr>
      <w:r>
        <w:rPr>
          <w:rFonts w:cs="Times New Roman"/>
          <w:szCs w:val="24"/>
        </w:rPr>
        <w:t>El tema desarrollado en</w:t>
      </w:r>
      <w:r w:rsidRPr="008552EA">
        <w:rPr>
          <w:rFonts w:cs="Times New Roman"/>
          <w:szCs w:val="24"/>
        </w:rPr>
        <w:t xml:space="preserve"> este trabajo es si esta consulta se adapta a la legalidad vigente, si cuentan con la legitimidad necesaria para llevarla a cabo, en el caso de contravenir dicha legalidad, y las consecuencias posteriores de este acto.</w:t>
      </w:r>
    </w:p>
    <w:p w:rsidR="009E5724" w:rsidRPr="001E0844" w:rsidRDefault="009E5724" w:rsidP="001E0844">
      <w:pPr>
        <w:jc w:val="both"/>
        <w:rPr>
          <w:rFonts w:cs="Times New Roman"/>
          <w:b/>
          <w:szCs w:val="24"/>
          <w:lang w:val="en-US"/>
        </w:rPr>
      </w:pPr>
      <w:r w:rsidRPr="001E0844">
        <w:rPr>
          <w:rFonts w:cs="Times New Roman"/>
          <w:b/>
          <w:szCs w:val="24"/>
          <w:lang w:val="en-US"/>
        </w:rPr>
        <w:t>English:</w:t>
      </w:r>
    </w:p>
    <w:p w:rsidR="002D738C" w:rsidRPr="00BE1054" w:rsidRDefault="002D738C" w:rsidP="002D738C">
      <w:pPr>
        <w:jc w:val="both"/>
        <w:rPr>
          <w:rFonts w:cs="Times New Roman"/>
          <w:szCs w:val="24"/>
          <w:lang w:val="en-GB"/>
        </w:rPr>
      </w:pPr>
      <w:r w:rsidRPr="00BE1054">
        <w:rPr>
          <w:rFonts w:cs="Times New Roman"/>
          <w:szCs w:val="24"/>
          <w:lang w:val="en-GB"/>
        </w:rPr>
        <w:t>On 6</w:t>
      </w:r>
      <w:r w:rsidRPr="00BE1054">
        <w:rPr>
          <w:rFonts w:cs="Times New Roman"/>
          <w:szCs w:val="24"/>
          <w:vertAlign w:val="superscript"/>
          <w:lang w:val="en-GB"/>
        </w:rPr>
        <w:t>th</w:t>
      </w:r>
      <w:r w:rsidRPr="00BE1054">
        <w:rPr>
          <w:rFonts w:cs="Times New Roman"/>
          <w:szCs w:val="24"/>
          <w:lang w:val="en-GB"/>
        </w:rPr>
        <w:t xml:space="preserve"> of  September of 2017, Law 19/2017 of the Self-Determination Referendum was approved in the Parliament of Catalonia and one of the most controversial events of Constitutional Law of recent times materialize</w:t>
      </w:r>
      <w:r>
        <w:rPr>
          <w:rFonts w:cs="Times New Roman"/>
          <w:szCs w:val="24"/>
          <w:lang w:val="en-GB"/>
        </w:rPr>
        <w:t>d, culminating in a  popular vote</w:t>
      </w:r>
      <w:r w:rsidRPr="00BE1054">
        <w:rPr>
          <w:rFonts w:cs="Times New Roman"/>
          <w:szCs w:val="24"/>
          <w:lang w:val="en-GB"/>
        </w:rPr>
        <w:t xml:space="preserve"> on 1 October 2017</w:t>
      </w:r>
      <w:r>
        <w:rPr>
          <w:rFonts w:cs="Times New Roman"/>
          <w:szCs w:val="24"/>
          <w:lang w:val="en-GB"/>
        </w:rPr>
        <w:t>.</w:t>
      </w:r>
    </w:p>
    <w:p w:rsidR="002D738C" w:rsidRPr="00822DA3" w:rsidRDefault="002D738C" w:rsidP="002D738C">
      <w:pPr>
        <w:jc w:val="both"/>
        <w:rPr>
          <w:rFonts w:cs="Times New Roman"/>
          <w:szCs w:val="24"/>
          <w:lang w:val="en-GB"/>
        </w:rPr>
      </w:pPr>
      <w:r>
        <w:rPr>
          <w:rFonts w:cs="Times New Roman"/>
          <w:szCs w:val="24"/>
          <w:lang w:val="en-GB"/>
        </w:rPr>
        <w:t>The subject developed</w:t>
      </w:r>
      <w:r w:rsidRPr="00BE1054">
        <w:rPr>
          <w:rFonts w:cs="Times New Roman"/>
          <w:szCs w:val="24"/>
          <w:lang w:val="en-GB"/>
        </w:rPr>
        <w:t xml:space="preserve"> in this proj</w:t>
      </w:r>
      <w:r>
        <w:rPr>
          <w:rFonts w:cs="Times New Roman"/>
          <w:szCs w:val="24"/>
          <w:lang w:val="en-GB"/>
        </w:rPr>
        <w:t>ect is whether this popular vote</w:t>
      </w:r>
      <w:r w:rsidRPr="00BE1054">
        <w:rPr>
          <w:rFonts w:cs="Times New Roman"/>
          <w:szCs w:val="24"/>
          <w:lang w:val="en-GB"/>
        </w:rPr>
        <w:t xml:space="preserve"> is adapted to the current legality, if they have the necessary legitimacy to carry it out, in the case of contravening that legality, and the subsequent consequences of this act.</w:t>
      </w:r>
    </w:p>
    <w:p w:rsidR="009E5724" w:rsidRPr="009E5724" w:rsidRDefault="009E5724" w:rsidP="009E5724">
      <w:pPr>
        <w:rPr>
          <w:rFonts w:cs="Times New Roman"/>
          <w:b/>
          <w:szCs w:val="24"/>
          <w:lang w:val="en-GB"/>
        </w:rPr>
      </w:pPr>
    </w:p>
    <w:p w:rsidR="009E5724" w:rsidRPr="009E5724" w:rsidRDefault="009E5724" w:rsidP="009E5724">
      <w:pPr>
        <w:rPr>
          <w:b/>
          <w:lang w:val="en-US"/>
        </w:rPr>
      </w:pPr>
      <w:r w:rsidRPr="009E5724">
        <w:rPr>
          <w:b/>
          <w:lang w:val="en-US"/>
        </w:rPr>
        <w:br w:type="page"/>
      </w:r>
    </w:p>
    <w:p w:rsidR="00DE20AB" w:rsidRPr="00B826F1" w:rsidRDefault="00C44137" w:rsidP="00B826F1">
      <w:pPr>
        <w:pStyle w:val="Ttulo1"/>
        <w:rPr>
          <w:color w:val="FF0000"/>
        </w:rPr>
      </w:pPr>
      <w:r>
        <w:lastRenderedPageBreak/>
        <w:t>Í</w:t>
      </w:r>
      <w:r w:rsidR="00DE20AB">
        <w:t>NDICE</w:t>
      </w:r>
    </w:p>
    <w:p w:rsidR="00DE20AB" w:rsidRPr="0052535C" w:rsidRDefault="00DE20AB" w:rsidP="00DE20AB"/>
    <w:p w:rsidR="00DE20AB" w:rsidRPr="00A93DC4" w:rsidRDefault="00DE20AB" w:rsidP="009941FE">
      <w:pPr>
        <w:pStyle w:val="Prrafodelista"/>
        <w:numPr>
          <w:ilvl w:val="0"/>
          <w:numId w:val="1"/>
        </w:numPr>
        <w:spacing w:line="480" w:lineRule="auto"/>
        <w:rPr>
          <w:szCs w:val="24"/>
        </w:rPr>
      </w:pPr>
      <w:r w:rsidRPr="00A93DC4">
        <w:rPr>
          <w:szCs w:val="24"/>
        </w:rPr>
        <w:t>INTRODUCCIÓN</w:t>
      </w:r>
      <w:r w:rsidR="009941FE">
        <w:rPr>
          <w:szCs w:val="24"/>
        </w:rPr>
        <w:t>......................................................................</w:t>
      </w:r>
      <w:r w:rsidR="00B9121F">
        <w:rPr>
          <w:szCs w:val="24"/>
        </w:rPr>
        <w:t>...............................</w:t>
      </w:r>
      <w:r w:rsidR="009941FE">
        <w:rPr>
          <w:szCs w:val="24"/>
        </w:rPr>
        <w:t>3</w:t>
      </w:r>
    </w:p>
    <w:p w:rsidR="00DE20AB" w:rsidRPr="00A93DC4" w:rsidRDefault="00D2557B" w:rsidP="009941FE">
      <w:pPr>
        <w:pStyle w:val="Prrafodelista"/>
        <w:numPr>
          <w:ilvl w:val="2"/>
          <w:numId w:val="1"/>
        </w:numPr>
        <w:spacing w:line="480" w:lineRule="auto"/>
        <w:rPr>
          <w:szCs w:val="24"/>
        </w:rPr>
      </w:pPr>
      <w:r>
        <w:rPr>
          <w:szCs w:val="24"/>
        </w:rPr>
        <w:t>L</w:t>
      </w:r>
      <w:r w:rsidRPr="00A93DC4">
        <w:rPr>
          <w:szCs w:val="24"/>
        </w:rPr>
        <w:t>a diferencia entre referéndum y consulta</w:t>
      </w:r>
      <w:r w:rsidR="009941FE">
        <w:rPr>
          <w:szCs w:val="24"/>
        </w:rPr>
        <w:t>............................................................5</w:t>
      </w:r>
    </w:p>
    <w:p w:rsidR="00DE20AB" w:rsidRPr="00A93DC4" w:rsidRDefault="00D2557B" w:rsidP="009941FE">
      <w:pPr>
        <w:pStyle w:val="Prrafodelista"/>
        <w:numPr>
          <w:ilvl w:val="1"/>
          <w:numId w:val="1"/>
        </w:numPr>
        <w:spacing w:line="480" w:lineRule="auto"/>
        <w:rPr>
          <w:rStyle w:val="Ttulo3Car"/>
          <w:rFonts w:ascii="Times New Roman" w:eastAsiaTheme="minorHAnsi" w:hAnsi="Times New Roman" w:cstheme="minorBidi"/>
          <w:b w:val="0"/>
          <w:bCs w:val="0"/>
          <w:color w:val="auto"/>
          <w:szCs w:val="24"/>
        </w:rPr>
      </w:pPr>
      <w:r>
        <w:rPr>
          <w:szCs w:val="24"/>
        </w:rPr>
        <w:t>T</w:t>
      </w:r>
      <w:r w:rsidRPr="00A93DC4">
        <w:rPr>
          <w:szCs w:val="24"/>
        </w:rPr>
        <w:t>ipos de referéndum</w:t>
      </w:r>
      <w:r w:rsidR="009941FE">
        <w:rPr>
          <w:szCs w:val="24"/>
        </w:rPr>
        <w:t>.............................................................................................7</w:t>
      </w:r>
    </w:p>
    <w:p w:rsidR="00DE20AB" w:rsidRPr="00A93DC4" w:rsidRDefault="00DE20AB" w:rsidP="009941FE">
      <w:pPr>
        <w:pStyle w:val="Prrafodelista"/>
        <w:numPr>
          <w:ilvl w:val="0"/>
          <w:numId w:val="1"/>
        </w:numPr>
        <w:spacing w:line="480" w:lineRule="auto"/>
        <w:rPr>
          <w:szCs w:val="24"/>
        </w:rPr>
      </w:pPr>
      <w:r w:rsidRPr="00A93DC4">
        <w:rPr>
          <w:szCs w:val="24"/>
        </w:rPr>
        <w:t>ANÁLISIS DE LA LEGALIDAD DE LA CONSULTA</w:t>
      </w:r>
      <w:r w:rsidR="009941FE">
        <w:rPr>
          <w:szCs w:val="24"/>
        </w:rPr>
        <w:t>..........</w:t>
      </w:r>
      <w:r w:rsidR="00B9121F">
        <w:rPr>
          <w:szCs w:val="24"/>
        </w:rPr>
        <w:t>...............................</w:t>
      </w:r>
      <w:r w:rsidR="009941FE">
        <w:rPr>
          <w:szCs w:val="24"/>
        </w:rPr>
        <w:t>9</w:t>
      </w:r>
    </w:p>
    <w:p w:rsidR="00DE20AB" w:rsidRPr="00A93DC4" w:rsidRDefault="00D2557B" w:rsidP="009941FE">
      <w:pPr>
        <w:pStyle w:val="Prrafodelista"/>
        <w:numPr>
          <w:ilvl w:val="1"/>
          <w:numId w:val="1"/>
        </w:numPr>
        <w:spacing w:line="480" w:lineRule="auto"/>
        <w:rPr>
          <w:szCs w:val="24"/>
        </w:rPr>
      </w:pPr>
      <w:r>
        <w:rPr>
          <w:szCs w:val="24"/>
        </w:rPr>
        <w:t>L</w:t>
      </w:r>
      <w:r w:rsidRPr="00A93DC4">
        <w:rPr>
          <w:szCs w:val="24"/>
        </w:rPr>
        <w:t>egalidad vigente en materia de convocatorias de referéndums</w:t>
      </w:r>
      <w:r w:rsidR="009941FE">
        <w:rPr>
          <w:szCs w:val="24"/>
        </w:rPr>
        <w:t>..........................9</w:t>
      </w:r>
    </w:p>
    <w:p w:rsidR="00DE20AB" w:rsidRPr="00A93DC4" w:rsidRDefault="00D2557B" w:rsidP="009941FE">
      <w:pPr>
        <w:pStyle w:val="Prrafodelista"/>
        <w:numPr>
          <w:ilvl w:val="1"/>
          <w:numId w:val="1"/>
        </w:numPr>
        <w:spacing w:line="480" w:lineRule="auto"/>
        <w:rPr>
          <w:szCs w:val="24"/>
        </w:rPr>
      </w:pPr>
      <w:r>
        <w:rPr>
          <w:szCs w:val="24"/>
        </w:rPr>
        <w:t>El referé</w:t>
      </w:r>
      <w:r w:rsidRPr="00A93DC4">
        <w:rPr>
          <w:szCs w:val="24"/>
        </w:rPr>
        <w:t>ndum del 1 de octubre</w:t>
      </w:r>
      <w:r w:rsidR="0030229F">
        <w:rPr>
          <w:szCs w:val="24"/>
        </w:rPr>
        <w:t xml:space="preserve">, </w:t>
      </w:r>
      <w:r w:rsidR="00F01E53">
        <w:rPr>
          <w:szCs w:val="24"/>
        </w:rPr>
        <w:t>¿</w:t>
      </w:r>
      <w:r w:rsidR="0030229F">
        <w:rPr>
          <w:szCs w:val="24"/>
        </w:rPr>
        <w:t>fue</w:t>
      </w:r>
      <w:r w:rsidRPr="00A93DC4">
        <w:rPr>
          <w:szCs w:val="24"/>
        </w:rPr>
        <w:t xml:space="preserve"> legal?</w:t>
      </w:r>
      <w:r w:rsidR="009941FE">
        <w:rPr>
          <w:szCs w:val="24"/>
        </w:rPr>
        <w:t>........................................................15</w:t>
      </w:r>
    </w:p>
    <w:p w:rsidR="00DE20AB" w:rsidRPr="00A93DC4" w:rsidRDefault="00DE20AB" w:rsidP="009941FE">
      <w:pPr>
        <w:pStyle w:val="Prrafodelista"/>
        <w:numPr>
          <w:ilvl w:val="0"/>
          <w:numId w:val="1"/>
        </w:numPr>
        <w:spacing w:line="480" w:lineRule="auto"/>
        <w:rPr>
          <w:szCs w:val="24"/>
        </w:rPr>
      </w:pPr>
      <w:r w:rsidRPr="00A93DC4">
        <w:rPr>
          <w:szCs w:val="24"/>
        </w:rPr>
        <w:t>ANALISIS DE LA LEGITIMIDAD DEL GOBIERNO CATALÁN PARA CONVOCAR UN REFERENDUM</w:t>
      </w:r>
      <w:r w:rsidR="009941FE">
        <w:rPr>
          <w:szCs w:val="24"/>
        </w:rPr>
        <w:t>.........................................................................17</w:t>
      </w:r>
    </w:p>
    <w:p w:rsidR="00DE20AB" w:rsidRPr="00A93DC4" w:rsidRDefault="00D2557B" w:rsidP="009941FE">
      <w:pPr>
        <w:pStyle w:val="Prrafodelista"/>
        <w:numPr>
          <w:ilvl w:val="1"/>
          <w:numId w:val="1"/>
        </w:numPr>
        <w:spacing w:line="480" w:lineRule="auto"/>
        <w:rPr>
          <w:szCs w:val="24"/>
        </w:rPr>
      </w:pPr>
      <w:r>
        <w:rPr>
          <w:szCs w:val="24"/>
        </w:rPr>
        <w:t>E</w:t>
      </w:r>
      <w:r w:rsidRPr="00A93DC4">
        <w:rPr>
          <w:szCs w:val="24"/>
        </w:rPr>
        <w:t>l derecho de autodeterminación de los pueblos</w:t>
      </w:r>
      <w:r w:rsidR="009941FE">
        <w:rPr>
          <w:szCs w:val="24"/>
        </w:rPr>
        <w:t>.................................................17</w:t>
      </w:r>
    </w:p>
    <w:p w:rsidR="00DE20AB" w:rsidRPr="00A93DC4" w:rsidRDefault="00D2557B" w:rsidP="009941FE">
      <w:pPr>
        <w:pStyle w:val="Prrafodelista"/>
        <w:numPr>
          <w:ilvl w:val="2"/>
          <w:numId w:val="1"/>
        </w:numPr>
        <w:spacing w:line="480" w:lineRule="auto"/>
        <w:rPr>
          <w:szCs w:val="24"/>
        </w:rPr>
      </w:pPr>
      <w:r>
        <w:rPr>
          <w:szCs w:val="24"/>
        </w:rPr>
        <w:t>¿S</w:t>
      </w:r>
      <w:r w:rsidRPr="00A93DC4">
        <w:rPr>
          <w:szCs w:val="24"/>
        </w:rPr>
        <w:t>e puede acoger Cataluña a este derecho?</w:t>
      </w:r>
      <w:r w:rsidR="009941FE">
        <w:rPr>
          <w:szCs w:val="24"/>
        </w:rPr>
        <w:t>.........................................................20</w:t>
      </w:r>
    </w:p>
    <w:p w:rsidR="00DE20AB" w:rsidRPr="00A93DC4" w:rsidRDefault="00D2557B" w:rsidP="00DE20AB">
      <w:pPr>
        <w:pStyle w:val="Prrafodelista"/>
        <w:numPr>
          <w:ilvl w:val="1"/>
          <w:numId w:val="1"/>
        </w:numPr>
        <w:spacing w:line="480" w:lineRule="auto"/>
        <w:rPr>
          <w:szCs w:val="24"/>
        </w:rPr>
      </w:pPr>
      <w:r>
        <w:rPr>
          <w:szCs w:val="24"/>
        </w:rPr>
        <w:t>La comparación con los casos de Escocia y Q</w:t>
      </w:r>
      <w:r w:rsidRPr="00A93DC4">
        <w:rPr>
          <w:szCs w:val="24"/>
        </w:rPr>
        <w:t>uebec</w:t>
      </w:r>
      <w:r w:rsidR="009941FE">
        <w:rPr>
          <w:szCs w:val="24"/>
        </w:rPr>
        <w:t>.............</w:t>
      </w:r>
      <w:r w:rsidR="00155EC8">
        <w:rPr>
          <w:szCs w:val="24"/>
        </w:rPr>
        <w:t>...........................</w:t>
      </w:r>
      <w:r w:rsidR="009941FE">
        <w:rPr>
          <w:szCs w:val="24"/>
        </w:rPr>
        <w:t>...23</w:t>
      </w:r>
    </w:p>
    <w:p w:rsidR="00DE20AB" w:rsidRPr="00A93DC4" w:rsidRDefault="00D2557B" w:rsidP="00DE20AB">
      <w:pPr>
        <w:pStyle w:val="Prrafodelista"/>
        <w:numPr>
          <w:ilvl w:val="2"/>
          <w:numId w:val="1"/>
        </w:numPr>
        <w:spacing w:line="480" w:lineRule="auto"/>
        <w:rPr>
          <w:szCs w:val="24"/>
        </w:rPr>
      </w:pPr>
      <w:r>
        <w:rPr>
          <w:szCs w:val="24"/>
        </w:rPr>
        <w:t>E</w:t>
      </w:r>
      <w:r w:rsidR="0030229F">
        <w:rPr>
          <w:szCs w:val="24"/>
        </w:rPr>
        <w:t>l referéndum</w:t>
      </w:r>
      <w:r>
        <w:rPr>
          <w:szCs w:val="24"/>
        </w:rPr>
        <w:t xml:space="preserve"> de E</w:t>
      </w:r>
      <w:r w:rsidRPr="00A93DC4">
        <w:rPr>
          <w:szCs w:val="24"/>
        </w:rPr>
        <w:t>scocia</w:t>
      </w:r>
      <w:r w:rsidR="0030229F">
        <w:rPr>
          <w:szCs w:val="24"/>
        </w:rPr>
        <w:t xml:space="preserve"> de 2014</w:t>
      </w:r>
      <w:r w:rsidR="009941FE">
        <w:rPr>
          <w:szCs w:val="24"/>
        </w:rPr>
        <w:t>......................................................................23</w:t>
      </w:r>
    </w:p>
    <w:p w:rsidR="00DE20AB" w:rsidRPr="00A93DC4" w:rsidRDefault="00D2557B" w:rsidP="00DE20AB">
      <w:pPr>
        <w:pStyle w:val="Prrafodelista"/>
        <w:numPr>
          <w:ilvl w:val="2"/>
          <w:numId w:val="1"/>
        </w:numPr>
        <w:spacing w:line="480" w:lineRule="auto"/>
        <w:rPr>
          <w:szCs w:val="24"/>
        </w:rPr>
      </w:pPr>
      <w:r>
        <w:rPr>
          <w:szCs w:val="24"/>
        </w:rPr>
        <w:t>E</w:t>
      </w:r>
      <w:r w:rsidR="0030229F">
        <w:rPr>
          <w:szCs w:val="24"/>
        </w:rPr>
        <w:t>l referéndum</w:t>
      </w:r>
      <w:r>
        <w:rPr>
          <w:szCs w:val="24"/>
        </w:rPr>
        <w:t xml:space="preserve"> de Q</w:t>
      </w:r>
      <w:r w:rsidRPr="00A93DC4">
        <w:rPr>
          <w:szCs w:val="24"/>
        </w:rPr>
        <w:t>uebec</w:t>
      </w:r>
      <w:r w:rsidR="0030229F">
        <w:rPr>
          <w:szCs w:val="24"/>
        </w:rPr>
        <w:t xml:space="preserve"> de 1995</w:t>
      </w:r>
      <w:r w:rsidR="009941FE">
        <w:rPr>
          <w:szCs w:val="24"/>
        </w:rPr>
        <w:t>......................................................................25</w:t>
      </w:r>
    </w:p>
    <w:p w:rsidR="00DE20AB" w:rsidRPr="00A93DC4" w:rsidRDefault="00D2557B" w:rsidP="00DE20AB">
      <w:pPr>
        <w:pStyle w:val="Prrafodelista"/>
        <w:numPr>
          <w:ilvl w:val="2"/>
          <w:numId w:val="1"/>
        </w:numPr>
        <w:spacing w:line="480" w:lineRule="auto"/>
        <w:rPr>
          <w:szCs w:val="24"/>
        </w:rPr>
      </w:pPr>
      <w:r>
        <w:rPr>
          <w:szCs w:val="24"/>
        </w:rPr>
        <w:t>¿E</w:t>
      </w:r>
      <w:r w:rsidRPr="00A93DC4">
        <w:rPr>
          <w:szCs w:val="24"/>
        </w:rPr>
        <w:t>s el caso catalán comparable?</w:t>
      </w:r>
      <w:r w:rsidR="009941FE">
        <w:rPr>
          <w:szCs w:val="24"/>
        </w:rPr>
        <w:t>.......................................................................</w:t>
      </w:r>
      <w:r w:rsidR="00B9121F">
        <w:rPr>
          <w:szCs w:val="24"/>
        </w:rPr>
        <w:t>.</w:t>
      </w:r>
      <w:r w:rsidR="009941FE">
        <w:rPr>
          <w:szCs w:val="24"/>
        </w:rPr>
        <w:t>..29</w:t>
      </w:r>
    </w:p>
    <w:p w:rsidR="00382F24" w:rsidRPr="00A93DC4" w:rsidRDefault="00DE20AB" w:rsidP="00382F24">
      <w:pPr>
        <w:pStyle w:val="Prrafodelista"/>
        <w:numPr>
          <w:ilvl w:val="0"/>
          <w:numId w:val="1"/>
        </w:numPr>
        <w:spacing w:line="480" w:lineRule="auto"/>
        <w:rPr>
          <w:szCs w:val="24"/>
        </w:rPr>
      </w:pPr>
      <w:r w:rsidRPr="00A93DC4">
        <w:rPr>
          <w:szCs w:val="24"/>
        </w:rPr>
        <w:t xml:space="preserve">LA </w:t>
      </w:r>
      <w:r w:rsidR="00DF2196" w:rsidRPr="00A93DC4">
        <w:rPr>
          <w:szCs w:val="24"/>
        </w:rPr>
        <w:t>VALIDEZ DEL RESULTADO DEL REFERENDUM</w:t>
      </w:r>
      <w:r w:rsidR="009941FE">
        <w:rPr>
          <w:szCs w:val="24"/>
        </w:rPr>
        <w:t>...</w:t>
      </w:r>
      <w:r w:rsidR="00B9121F">
        <w:rPr>
          <w:szCs w:val="24"/>
        </w:rPr>
        <w:t>..............................</w:t>
      </w:r>
      <w:r w:rsidR="00155EC8">
        <w:rPr>
          <w:szCs w:val="24"/>
        </w:rPr>
        <w:t>.</w:t>
      </w:r>
      <w:r w:rsidR="00B9121F">
        <w:rPr>
          <w:szCs w:val="24"/>
        </w:rPr>
        <w:t>.</w:t>
      </w:r>
      <w:r w:rsidR="009941FE">
        <w:rPr>
          <w:szCs w:val="24"/>
        </w:rPr>
        <w:t>.31</w:t>
      </w:r>
    </w:p>
    <w:p w:rsidR="00382F24" w:rsidRPr="00A93DC4" w:rsidRDefault="00D2557B" w:rsidP="00382F24">
      <w:pPr>
        <w:pStyle w:val="Prrafodelista"/>
        <w:numPr>
          <w:ilvl w:val="1"/>
          <w:numId w:val="1"/>
        </w:numPr>
        <w:spacing w:line="480" w:lineRule="auto"/>
        <w:rPr>
          <w:szCs w:val="24"/>
        </w:rPr>
      </w:pPr>
      <w:r>
        <w:rPr>
          <w:szCs w:val="24"/>
        </w:rPr>
        <w:t>L</w:t>
      </w:r>
      <w:r w:rsidRPr="00A93DC4">
        <w:rPr>
          <w:szCs w:val="24"/>
        </w:rPr>
        <w:t xml:space="preserve">egalidad sobre procedimientos de votación en referéndums en </w:t>
      </w:r>
      <w:r w:rsidR="0030229F" w:rsidRPr="00A93DC4">
        <w:rPr>
          <w:szCs w:val="24"/>
        </w:rPr>
        <w:t>España</w:t>
      </w:r>
      <w:r w:rsidR="009941FE">
        <w:rPr>
          <w:szCs w:val="24"/>
        </w:rPr>
        <w:t>……</w:t>
      </w:r>
      <w:r w:rsidR="00B9121F">
        <w:rPr>
          <w:szCs w:val="24"/>
        </w:rPr>
        <w:t>...</w:t>
      </w:r>
      <w:r w:rsidR="009941FE">
        <w:rPr>
          <w:szCs w:val="24"/>
        </w:rPr>
        <w:t>32</w:t>
      </w:r>
    </w:p>
    <w:p w:rsidR="003949B3" w:rsidRPr="00A93DC4" w:rsidRDefault="00D2557B" w:rsidP="003949B3">
      <w:pPr>
        <w:pStyle w:val="Prrafodelista"/>
        <w:numPr>
          <w:ilvl w:val="1"/>
          <w:numId w:val="1"/>
        </w:numPr>
        <w:spacing w:line="480" w:lineRule="auto"/>
        <w:rPr>
          <w:szCs w:val="24"/>
        </w:rPr>
      </w:pPr>
      <w:r>
        <w:rPr>
          <w:szCs w:val="24"/>
        </w:rPr>
        <w:t>¿E</w:t>
      </w:r>
      <w:r w:rsidR="0012074A">
        <w:rPr>
          <w:szCs w:val="24"/>
        </w:rPr>
        <w:t>s, entonces, legí</w:t>
      </w:r>
      <w:r w:rsidRPr="00A93DC4">
        <w:rPr>
          <w:szCs w:val="24"/>
        </w:rPr>
        <w:t>timamente válido</w:t>
      </w:r>
      <w:r w:rsidR="0012074A">
        <w:rPr>
          <w:szCs w:val="24"/>
        </w:rPr>
        <w:t>?</w:t>
      </w:r>
      <w:r w:rsidR="009941FE">
        <w:rPr>
          <w:szCs w:val="24"/>
        </w:rPr>
        <w:t>...............................................................</w:t>
      </w:r>
      <w:r w:rsidR="00155EC8">
        <w:rPr>
          <w:szCs w:val="24"/>
        </w:rPr>
        <w:t>.</w:t>
      </w:r>
      <w:r w:rsidR="009941FE">
        <w:rPr>
          <w:szCs w:val="24"/>
        </w:rPr>
        <w:t>..36</w:t>
      </w:r>
    </w:p>
    <w:p w:rsidR="00DE20AB" w:rsidRPr="00A93DC4" w:rsidRDefault="003949B3" w:rsidP="00DE20AB">
      <w:pPr>
        <w:pStyle w:val="Prrafodelista"/>
        <w:numPr>
          <w:ilvl w:val="0"/>
          <w:numId w:val="1"/>
        </w:numPr>
        <w:spacing w:line="480" w:lineRule="auto"/>
        <w:rPr>
          <w:szCs w:val="24"/>
        </w:rPr>
      </w:pPr>
      <w:r w:rsidRPr="00A93DC4">
        <w:rPr>
          <w:szCs w:val="24"/>
        </w:rPr>
        <w:t>CONSECUENCIAS POSTERIORES</w:t>
      </w:r>
      <w:r w:rsidR="009941FE">
        <w:rPr>
          <w:szCs w:val="24"/>
        </w:rPr>
        <w:t>....................................</w:t>
      </w:r>
      <w:r w:rsidR="00B9121F">
        <w:rPr>
          <w:szCs w:val="24"/>
        </w:rPr>
        <w:t>..............................</w:t>
      </w:r>
      <w:r w:rsidR="00155EC8">
        <w:rPr>
          <w:szCs w:val="24"/>
        </w:rPr>
        <w:t>.</w:t>
      </w:r>
      <w:r w:rsidR="00B9121F">
        <w:rPr>
          <w:szCs w:val="24"/>
        </w:rPr>
        <w:t>.</w:t>
      </w:r>
      <w:r w:rsidR="009941FE">
        <w:rPr>
          <w:szCs w:val="24"/>
        </w:rPr>
        <w:t>.39</w:t>
      </w:r>
    </w:p>
    <w:p w:rsidR="003949B3" w:rsidRDefault="003949B3" w:rsidP="00DE20AB">
      <w:pPr>
        <w:pStyle w:val="Prrafodelista"/>
        <w:numPr>
          <w:ilvl w:val="0"/>
          <w:numId w:val="1"/>
        </w:numPr>
        <w:spacing w:line="480" w:lineRule="auto"/>
        <w:rPr>
          <w:szCs w:val="24"/>
        </w:rPr>
      </w:pPr>
      <w:r w:rsidRPr="00A93DC4">
        <w:rPr>
          <w:szCs w:val="24"/>
        </w:rPr>
        <w:t>CONCLUSIONE</w:t>
      </w:r>
      <w:r w:rsidR="009941FE">
        <w:rPr>
          <w:szCs w:val="24"/>
        </w:rPr>
        <w:t>S..................................................................</w:t>
      </w:r>
      <w:r w:rsidR="00B9121F">
        <w:rPr>
          <w:szCs w:val="24"/>
        </w:rPr>
        <w:t>..............................</w:t>
      </w:r>
      <w:r w:rsidR="00155EC8">
        <w:rPr>
          <w:szCs w:val="24"/>
        </w:rPr>
        <w:t>.</w:t>
      </w:r>
      <w:r w:rsidR="00B9121F">
        <w:rPr>
          <w:szCs w:val="24"/>
        </w:rPr>
        <w:t>.</w:t>
      </w:r>
      <w:r w:rsidR="009941FE">
        <w:rPr>
          <w:szCs w:val="24"/>
        </w:rPr>
        <w:t>.44</w:t>
      </w:r>
    </w:p>
    <w:p w:rsidR="009941FE" w:rsidRDefault="0019733B" w:rsidP="009941FE">
      <w:pPr>
        <w:pStyle w:val="Prrafodelista"/>
        <w:numPr>
          <w:ilvl w:val="0"/>
          <w:numId w:val="1"/>
        </w:numPr>
        <w:spacing w:line="480" w:lineRule="auto"/>
        <w:rPr>
          <w:szCs w:val="24"/>
        </w:rPr>
      </w:pPr>
      <w:r>
        <w:rPr>
          <w:szCs w:val="24"/>
        </w:rPr>
        <w:t>BIBILIOGRAFÍA</w:t>
      </w:r>
      <w:r w:rsidR="009941FE">
        <w:rPr>
          <w:szCs w:val="24"/>
        </w:rPr>
        <w:t>..................................................................</w:t>
      </w:r>
      <w:r w:rsidR="00B9121F">
        <w:rPr>
          <w:szCs w:val="24"/>
        </w:rPr>
        <w:t>...............................</w:t>
      </w:r>
      <w:r w:rsidR="00155EC8">
        <w:rPr>
          <w:szCs w:val="24"/>
        </w:rPr>
        <w:t>.</w:t>
      </w:r>
      <w:r w:rsidR="005D1BCC">
        <w:rPr>
          <w:szCs w:val="24"/>
        </w:rPr>
        <w:t>..46</w:t>
      </w:r>
    </w:p>
    <w:p w:rsidR="009941FE" w:rsidRDefault="009941FE" w:rsidP="009941FE">
      <w:pPr>
        <w:pStyle w:val="Prrafodelista"/>
        <w:spacing w:line="480" w:lineRule="auto"/>
        <w:ind w:left="405"/>
        <w:rPr>
          <w:szCs w:val="24"/>
        </w:rPr>
      </w:pPr>
    </w:p>
    <w:p w:rsidR="009941FE" w:rsidRPr="009941FE" w:rsidRDefault="009941FE" w:rsidP="009941FE">
      <w:pPr>
        <w:pStyle w:val="Prrafodelista"/>
        <w:spacing w:line="480" w:lineRule="auto"/>
        <w:ind w:left="405"/>
        <w:rPr>
          <w:szCs w:val="24"/>
        </w:rPr>
      </w:pPr>
    </w:p>
    <w:p w:rsidR="00DE20AB" w:rsidRDefault="0030229F" w:rsidP="00B330D5">
      <w:pPr>
        <w:pStyle w:val="Ttulo1"/>
        <w:jc w:val="both"/>
      </w:pPr>
      <w:r w:rsidRPr="00B330D5">
        <w:rPr>
          <w:bCs w:val="0"/>
        </w:rPr>
        <w:lastRenderedPageBreak/>
        <w:t>1.</w:t>
      </w:r>
      <w:r>
        <w:t xml:space="preserve"> INTRODUCCIÓN</w:t>
      </w:r>
    </w:p>
    <w:p w:rsidR="00A93DC4" w:rsidRDefault="00A93DC4" w:rsidP="00B330D5">
      <w:pPr>
        <w:spacing w:line="360" w:lineRule="auto"/>
        <w:jc w:val="both"/>
      </w:pPr>
    </w:p>
    <w:p w:rsidR="005A7705" w:rsidRPr="001518BD" w:rsidRDefault="005A1DE1" w:rsidP="00B330D5">
      <w:pPr>
        <w:spacing w:line="360" w:lineRule="auto"/>
        <w:jc w:val="both"/>
      </w:pPr>
      <w:r w:rsidRPr="00B330D5">
        <w:t>El Diccionario de la Real Academia Española de la Lengu</w:t>
      </w:r>
      <w:r>
        <w:t>a, define el término referéndum como el “Procedimiento por el que se someten al voto popular leyes o  decisiones políticas con carácter decisorio o consultivo”</w:t>
      </w:r>
      <w:r w:rsidR="00170433">
        <w:rPr>
          <w:rStyle w:val="Refdenotaalpie"/>
        </w:rPr>
        <w:footnoteReference w:id="2"/>
      </w:r>
    </w:p>
    <w:p w:rsidR="00DE20AB" w:rsidRPr="00B330D5" w:rsidRDefault="005A1DE1" w:rsidP="005A1DE1">
      <w:pPr>
        <w:spacing w:line="360" w:lineRule="auto"/>
        <w:jc w:val="both"/>
      </w:pPr>
      <w:r>
        <w:t xml:space="preserve">Se trata, pues, de </w:t>
      </w:r>
      <w:r w:rsidR="00DE20AB" w:rsidRPr="00B330D5">
        <w:t>una institución política mediante la cual el pueblo, el cuerpo electoral opina sobre, aprueba o rechaza una decisión de sus representantes elegidos para asamblea</w:t>
      </w:r>
      <w:r>
        <w:t>s constituyentes o legislativas</w:t>
      </w:r>
      <w:r w:rsidR="00DE20AB" w:rsidRPr="00B330D5">
        <w:t>.</w:t>
      </w:r>
    </w:p>
    <w:p w:rsidR="00DE20AB" w:rsidRPr="00B330D5" w:rsidRDefault="00DE20AB" w:rsidP="00B330D5">
      <w:pPr>
        <w:spacing w:line="360" w:lineRule="auto"/>
        <w:jc w:val="both"/>
        <w:rPr>
          <w:color w:val="FF0000"/>
        </w:rPr>
      </w:pPr>
      <w:r w:rsidRPr="00B330D5">
        <w:t>Desde la Revolución Francesa, se ha utilizado</w:t>
      </w:r>
      <w:r w:rsidR="009E5724">
        <w:t xml:space="preserve"> </w:t>
      </w:r>
      <w:r w:rsidRPr="00B330D5">
        <w:t>este mecanismo de participación directa,</w:t>
      </w:r>
      <w:r w:rsidR="009E5724">
        <w:t xml:space="preserve"> </w:t>
      </w:r>
      <w:r w:rsidRPr="00B330D5">
        <w:t>para</w:t>
      </w:r>
      <w:r w:rsidR="009E5724">
        <w:t xml:space="preserve"> </w:t>
      </w:r>
      <w:r w:rsidRPr="00B330D5">
        <w:t>consultar a los ciudadanos de un territorio sobre ciertos temas de especial relevancia para el futuro de su nación. Los más importantes, fueron el medio para consultar a la población de las colonias históricas de las metrópolis europeas y norteamericanas sobre su independencia y, en los países en donde la línea histórica ha obligado a que tuvieran una transición de forma de gobierno</w:t>
      </w:r>
      <w:r w:rsidR="00B372D1">
        <w:rPr>
          <w:rStyle w:val="Refdenotaalpie"/>
        </w:rPr>
        <w:footnoteReference w:id="3"/>
      </w:r>
      <w:r w:rsidR="00170433">
        <w:t>.</w:t>
      </w:r>
    </w:p>
    <w:p w:rsidR="00DE20AB" w:rsidRDefault="00DE20AB" w:rsidP="00B330D5">
      <w:pPr>
        <w:spacing w:line="360" w:lineRule="auto"/>
        <w:jc w:val="both"/>
        <w:rPr>
          <w:color w:val="FF0000"/>
        </w:rPr>
      </w:pPr>
      <w:r w:rsidRPr="00866FF8">
        <w:t xml:space="preserve">En la actualidad, </w:t>
      </w:r>
      <w:r w:rsidR="006D2E54" w:rsidRPr="00866FF8">
        <w:t xml:space="preserve">fuerzas políticas de signo nacionalista o independentista de </w:t>
      </w:r>
      <w:r w:rsidRPr="00866FF8">
        <w:t>territorios de varios paísesestán usando este mecanismo</w:t>
      </w:r>
      <w:r w:rsidR="006D2E54" w:rsidRPr="00866FF8">
        <w:t xml:space="preserve"> de consulta</w:t>
      </w:r>
      <w:r w:rsidRPr="00866FF8">
        <w:t xml:space="preserve"> para conocer de la opinión de sus ciudadanos en relación a una posible secesión del país al que pertenecen, como es el caso de Quebec en 1980 y 1995, Escocia en 2014, Kosovo en 1991, Montenegro en 2018</w:t>
      </w:r>
      <w:r w:rsidR="006D2E54" w:rsidRPr="00866FF8">
        <w:t>, etc. E</w:t>
      </w:r>
      <w:r w:rsidRPr="00866FF8">
        <w:t>n 2017 ha sido la intención de Cataluña, como lo es y será de otros países, sobre todo en territorio europeo.</w:t>
      </w:r>
    </w:p>
    <w:p w:rsidR="006D2E54" w:rsidRPr="00794368" w:rsidRDefault="006D2E54" w:rsidP="00B330D5">
      <w:pPr>
        <w:spacing w:line="360" w:lineRule="auto"/>
        <w:jc w:val="both"/>
      </w:pPr>
      <w:r w:rsidRPr="00794368">
        <w:t>En España, el marco constitucional impide</w:t>
      </w:r>
      <w:r w:rsidR="00E94E70" w:rsidRPr="00794368">
        <w:t xml:space="preserve">, mediante el artículo 92, </w:t>
      </w:r>
      <w:r w:rsidRPr="00794368">
        <w:t>la convocatoria de referéndums por otro órgano que no sea el Jefe del Estado, a propuesta del</w:t>
      </w:r>
      <w:r w:rsidR="00866FF8" w:rsidRPr="00794368">
        <w:t xml:space="preserve"> Presidente del Gobierno, previa aprobación en las cortes estatales, además, se reserva la competencia en el 149.1.32, por lo que ningún órgano diferente a estos pueden tener iniciativa consultiva en materia de referéndum.</w:t>
      </w:r>
    </w:p>
    <w:p w:rsidR="00976ACD" w:rsidRPr="00794368" w:rsidRDefault="00DE20AB" w:rsidP="00DE20AB">
      <w:pPr>
        <w:spacing w:line="360" w:lineRule="auto"/>
        <w:jc w:val="both"/>
      </w:pPr>
      <w:r w:rsidRPr="00B330D5">
        <w:t xml:space="preserve">El 6 de septiembre, el parlamento catalán </w:t>
      </w:r>
      <w:r w:rsidR="0090349C">
        <w:t>aprobó</w:t>
      </w:r>
      <w:r w:rsidRPr="00B330D5">
        <w:t xml:space="preserve"> la Ley 19/2017 de Referéndum de Autodeterminación</w:t>
      </w:r>
      <w:r w:rsidRPr="00553A9F">
        <w:rPr>
          <w:color w:val="FF0000"/>
        </w:rPr>
        <w:t xml:space="preserve">, </w:t>
      </w:r>
      <w:r w:rsidRPr="00B330D5">
        <w:t>y el 8 de septiembre, el mismo parlamento</w:t>
      </w:r>
      <w:r w:rsidR="0090349C">
        <w:t xml:space="preserve"> sancionó</w:t>
      </w:r>
      <w:r w:rsidRPr="00B330D5">
        <w:t xml:space="preserve"> la Ley 20/2017 de Transitoriedad jurídica y fundacional de la República</w:t>
      </w:r>
      <w:r w:rsidR="00794368">
        <w:t xml:space="preserve">. </w:t>
      </w:r>
      <w:r w:rsidR="00866FF8" w:rsidRPr="00794368">
        <w:t xml:space="preserve">Estas leyes son la </w:t>
      </w:r>
      <w:r w:rsidR="00866FF8" w:rsidRPr="00794368">
        <w:lastRenderedPageBreak/>
        <w:t xml:space="preserve">materialización de la tensión entre los ejecutivos catalán y español. </w:t>
      </w:r>
      <w:r w:rsidR="00976ACD" w:rsidRPr="00794368">
        <w:t xml:space="preserve">En el preámbulo de la primera ley, expone los motivos de esta y de su salto a la legalidad constitucional, diciendo que representan la voluntad del pueblo catalán expresado mediante el voto y </w:t>
      </w:r>
      <w:r w:rsidR="00976ACD" w:rsidRPr="00794368">
        <w:rPr>
          <w:rFonts w:cs="Times New Roman"/>
          <w:szCs w:val="24"/>
        </w:rPr>
        <w:t xml:space="preserve">que </w:t>
      </w:r>
      <w:r w:rsidR="00976ACD" w:rsidRPr="00794368">
        <w:rPr>
          <w:rFonts w:cs="Times New Roman"/>
          <w:i/>
          <w:szCs w:val="24"/>
        </w:rPr>
        <w:t>“</w:t>
      </w:r>
      <w:r w:rsidR="00976ACD" w:rsidRPr="00794368">
        <w:rPr>
          <w:rFonts w:cs="Times New Roman"/>
          <w:szCs w:val="24"/>
          <w:shd w:val="clear" w:color="auto" w:fill="FFFFFF"/>
        </w:rPr>
        <w:t>en el proceso previo, se han hecho todos los esfuerzos para encontrar una vía acordada”.</w:t>
      </w:r>
      <w:r w:rsidR="00976ACD" w:rsidRPr="00794368">
        <w:t xml:space="preserve">La segunda se trata de una ley regidora provisional mientras se elaborara la nueva </w:t>
      </w:r>
      <w:r w:rsidR="00E30505" w:rsidRPr="00794368">
        <w:t>constitución</w:t>
      </w:r>
      <w:r w:rsidR="00976ACD" w:rsidRPr="00794368">
        <w:t xml:space="preserve"> republicana catalana</w:t>
      </w:r>
      <w:r w:rsidR="00B372D1" w:rsidRPr="00794368">
        <w:rPr>
          <w:rStyle w:val="Refdenotaalpie"/>
        </w:rPr>
        <w:footnoteReference w:id="4"/>
      </w:r>
      <w:r w:rsidR="00426A1D" w:rsidRPr="00794368">
        <w:rPr>
          <w:rStyle w:val="Refdenotaalpie"/>
        </w:rPr>
        <w:footnoteReference w:id="5"/>
      </w:r>
      <w:r w:rsidR="00976ACD" w:rsidRPr="00794368">
        <w:t xml:space="preserve">. </w:t>
      </w:r>
    </w:p>
    <w:p w:rsidR="00DE20AB" w:rsidRDefault="00976ACD" w:rsidP="00DE20AB">
      <w:pPr>
        <w:spacing w:line="360" w:lineRule="auto"/>
        <w:jc w:val="both"/>
      </w:pPr>
      <w:r w:rsidRPr="00794368">
        <w:t>Ambas leyes fueron suspendidas por el Tribunal Constitucional español al ser recurridas</w:t>
      </w:r>
      <w:r w:rsidR="00426A1D" w:rsidRPr="00794368">
        <w:rPr>
          <w:rStyle w:val="Refdenotaalpie"/>
        </w:rPr>
        <w:footnoteReference w:id="6"/>
      </w:r>
      <w:r w:rsidRPr="00794368">
        <w:t xml:space="preserve"> por la Abogacía del Estado</w:t>
      </w:r>
      <w:r w:rsidR="00B431EB" w:rsidRPr="00794368">
        <w:t xml:space="preserve"> y provocando, por tanto, la suspensión invocada por el artículo 161.2 de la Constitución Española</w:t>
      </w:r>
      <w:r w:rsidR="00794368">
        <w:t xml:space="preserve"> </w:t>
      </w:r>
      <w:r w:rsidRPr="00794368">
        <w:t>por, según el Presidente del Gobierno español, Mariano Rajoy</w:t>
      </w:r>
      <w:r w:rsidR="00B431EB" w:rsidRPr="00794368">
        <w:t>, pretender</w:t>
      </w:r>
      <w:r w:rsidRPr="00794368">
        <w:rPr>
          <w:rFonts w:ascii="Arial" w:hAnsi="Arial" w:cs="Arial"/>
          <w:sz w:val="26"/>
          <w:szCs w:val="26"/>
          <w:shd w:val="clear" w:color="auto" w:fill="FFFFFF"/>
        </w:rPr>
        <w:t> </w:t>
      </w:r>
      <w:r w:rsidRPr="00794368">
        <w:rPr>
          <w:rFonts w:cs="Times New Roman"/>
          <w:szCs w:val="24"/>
          <w:shd w:val="clear" w:color="auto" w:fill="FFFFFF"/>
        </w:rPr>
        <w:t>“destruir y aniquilar la Constitución”</w:t>
      </w:r>
      <w:r w:rsidR="00426A1D" w:rsidRPr="00794368">
        <w:rPr>
          <w:rStyle w:val="Refdenotaalpie"/>
          <w:rFonts w:cs="Times New Roman"/>
          <w:szCs w:val="24"/>
          <w:shd w:val="clear" w:color="auto" w:fill="FFFFFF"/>
        </w:rPr>
        <w:footnoteReference w:id="7"/>
      </w:r>
      <w:r w:rsidR="00794368" w:rsidRPr="00794368">
        <w:rPr>
          <w:rFonts w:cs="Times New Roman"/>
          <w:szCs w:val="24"/>
          <w:shd w:val="clear" w:color="auto" w:fill="FFFFFF"/>
        </w:rPr>
        <w:t>.</w:t>
      </w:r>
      <w:r w:rsidR="00794368">
        <w:rPr>
          <w:rFonts w:cs="Times New Roman"/>
          <w:color w:val="FF0000"/>
          <w:szCs w:val="24"/>
          <w:shd w:val="clear" w:color="auto" w:fill="FFFFFF"/>
        </w:rPr>
        <w:t xml:space="preserve"> </w:t>
      </w:r>
      <w:r w:rsidR="00B431EB">
        <w:t>E</w:t>
      </w:r>
      <w:r w:rsidR="00DE20AB" w:rsidRPr="00B330D5">
        <w:t xml:space="preserve">l 1 de octubre de 2017, desobedeciendo el mandato de este tribunal, </w:t>
      </w:r>
      <w:r w:rsidR="0090349C">
        <w:t>se celebró</w:t>
      </w:r>
      <w:r w:rsidR="00DE20AB" w:rsidRPr="00B330D5">
        <w:t xml:space="preserve"> una consulta que es la que es el objeto de este trabajo, en el que se examina la legalidad y la legitimidad de esta consulta, de cara a un reconocimiento</w:t>
      </w:r>
      <w:r w:rsidR="0090349C">
        <w:t xml:space="preserve"> externo de la comunidad internacional</w:t>
      </w:r>
      <w:r w:rsidR="00843119">
        <w:rPr>
          <w:rStyle w:val="Refdenotaalpie"/>
        </w:rPr>
        <w:footnoteReference w:id="8"/>
      </w:r>
      <w:r w:rsidR="0090349C">
        <w:t>.</w:t>
      </w:r>
    </w:p>
    <w:p w:rsidR="00DE20AB" w:rsidRPr="00794368" w:rsidRDefault="009D6E73" w:rsidP="009D6E73">
      <w:pPr>
        <w:spacing w:line="360" w:lineRule="auto"/>
        <w:jc w:val="both"/>
      </w:pPr>
      <w:r>
        <w:t xml:space="preserve">Tras la celebración de esa consulta, y la publicación de los resultados, las </w:t>
      </w:r>
      <w:r w:rsidR="002D3C68">
        <w:t>críticas</w:t>
      </w:r>
      <w:r>
        <w:t xml:space="preserve"> sobre las </w:t>
      </w:r>
      <w:r w:rsidRPr="00794368">
        <w:t xml:space="preserve">irregularidades </w:t>
      </w:r>
      <w:r w:rsidR="00B431EB" w:rsidRPr="00794368">
        <w:t>sucedidas fueron muy numerosas</w:t>
      </w:r>
      <w:r w:rsidRPr="00794368">
        <w:t>,</w:t>
      </w:r>
      <w:r w:rsidR="009E5724">
        <w:t xml:space="preserve"> </w:t>
      </w:r>
      <w:r w:rsidRPr="00794368">
        <w:t xml:space="preserve">y </w:t>
      </w:r>
      <w:r w:rsidR="00DE20AB" w:rsidRPr="00794368">
        <w:t>varios diputados del parlamento autonómico, han defendido  q</w:t>
      </w:r>
      <w:r w:rsidR="00DE20AB">
        <w:t>ue la consulta es legal y legítima, amparándose en que, a su juicio, es acorde a la ley, y que tiene validez int</w:t>
      </w:r>
      <w:r w:rsidR="00E94E70">
        <w:t>ernacional según el derecho de l</w:t>
      </w:r>
      <w:r w:rsidR="00DE20AB">
        <w:t xml:space="preserve">ibre determinación de los pueblos, y en que en otros territorios se han celebrado referéndums </w:t>
      </w:r>
      <w:r w:rsidR="00DE20AB" w:rsidRPr="00794368">
        <w:t xml:space="preserve">de similares características, como es el caso de Escocia y Quebec. </w:t>
      </w:r>
    </w:p>
    <w:p w:rsidR="00B431EB" w:rsidRPr="00794368" w:rsidRDefault="00B431EB" w:rsidP="00DE20AB">
      <w:pPr>
        <w:spacing w:line="360" w:lineRule="auto"/>
        <w:jc w:val="both"/>
      </w:pPr>
      <w:r w:rsidRPr="00794368">
        <w:t xml:space="preserve">El motivo de la elección de este tema es por la importancia que tiene dentro de la legalidad española, ya que, ciertamente constituye un desafío a la continuidad del Estado de Derecho promulgado en la Constitución que ejerce como norma fundamental </w:t>
      </w:r>
      <w:r w:rsidRPr="00794368">
        <w:lastRenderedPageBreak/>
        <w:t>del país y será un suceso histórico</w:t>
      </w:r>
      <w:r w:rsidR="005A7705" w:rsidRPr="00794368">
        <w:t>, aún no resuelto, que las futuras generaciones conocerán en los libros de historia.</w:t>
      </w:r>
    </w:p>
    <w:p w:rsidR="00DE20AB" w:rsidRDefault="00DE20AB" w:rsidP="00DE20AB">
      <w:pPr>
        <w:spacing w:line="360" w:lineRule="auto"/>
        <w:jc w:val="both"/>
      </w:pPr>
      <w:r>
        <w:t>En las próximas páginas se explica la veracidad de esas afirmaciones de la manera más objetiva posible, observando las resoluciones de Naciones Unidas y la legislación vigente y comparándolas con la realidad de los hechos, debidamente documentados, y observando las diferencias y similitudes con otros casos que se han dado en el mundo.</w:t>
      </w:r>
    </w:p>
    <w:p w:rsidR="00DE20AB" w:rsidRDefault="00DE20AB" w:rsidP="00DE20AB">
      <w:pPr>
        <w:spacing w:line="360" w:lineRule="auto"/>
        <w:jc w:val="both"/>
      </w:pPr>
      <w:r>
        <w:t>Antes, sin embargo, procede explicar dos puntos, como son la diferencia entre el referéndum y la consulta, y hacer un elenco de los distintos tipos de referéndum que se pueden dar.</w:t>
      </w:r>
    </w:p>
    <w:p w:rsidR="00DE20AB" w:rsidRDefault="00DE20AB" w:rsidP="00DE20AB">
      <w:pPr>
        <w:jc w:val="both"/>
      </w:pPr>
    </w:p>
    <w:p w:rsidR="00DE20AB" w:rsidRPr="00560945" w:rsidRDefault="00DE20AB" w:rsidP="00560945">
      <w:pPr>
        <w:pStyle w:val="Prrafodelista"/>
        <w:numPr>
          <w:ilvl w:val="1"/>
          <w:numId w:val="13"/>
        </w:numPr>
        <w:jc w:val="both"/>
        <w:rPr>
          <w:b/>
          <w:color w:val="FF0000"/>
          <w:u w:val="single"/>
        </w:rPr>
      </w:pPr>
      <w:r w:rsidRPr="00560945">
        <w:rPr>
          <w:b/>
          <w:u w:val="single"/>
        </w:rPr>
        <w:t>LA DIFERENCIA ENTRE REFERENDUM Y CONSULTA</w:t>
      </w:r>
    </w:p>
    <w:p w:rsidR="00560945" w:rsidRDefault="00560945" w:rsidP="00560945">
      <w:pPr>
        <w:pStyle w:val="Prrafodelista"/>
        <w:ind w:left="360"/>
        <w:jc w:val="both"/>
        <w:rPr>
          <w:b/>
          <w:color w:val="FF0000"/>
          <w:u w:val="single"/>
        </w:rPr>
      </w:pPr>
    </w:p>
    <w:p w:rsidR="00400DFF" w:rsidRPr="00794368" w:rsidRDefault="00400DFF" w:rsidP="00D24720">
      <w:pPr>
        <w:spacing w:line="360" w:lineRule="auto"/>
        <w:jc w:val="both"/>
      </w:pPr>
      <w:r w:rsidRPr="00794368">
        <w:t xml:space="preserve">La Constitución Española regula la fórmula del referéndum en los artículos </w:t>
      </w:r>
      <w:r w:rsidRPr="00794368">
        <w:rPr>
          <w:rFonts w:cs="Times New Roman"/>
          <w:szCs w:val="24"/>
        </w:rPr>
        <w:t>167.3 y 168.3 para los obligatorios relacionados con la ratificación y modificación de la misma,</w:t>
      </w:r>
      <w:r w:rsidR="00D24720" w:rsidRPr="00794368">
        <w:rPr>
          <w:rFonts w:cs="Times New Roman"/>
          <w:szCs w:val="24"/>
        </w:rPr>
        <w:t xml:space="preserve"> en el 151.2 para aprobación de estatutos de autonomía bajo ciertas condiciones,</w:t>
      </w:r>
      <w:r w:rsidRPr="00794368">
        <w:rPr>
          <w:rFonts w:cs="Times New Roman"/>
          <w:szCs w:val="24"/>
        </w:rPr>
        <w:t xml:space="preserve"> y en el</w:t>
      </w:r>
      <w:r w:rsidRPr="00794368">
        <w:t xml:space="preserve"> 92 y en el 149.1.32 para las decisiones políticas de especial </w:t>
      </w:r>
      <w:r w:rsidR="00D24720" w:rsidRPr="00794368">
        <w:t>trascendencia</w:t>
      </w:r>
      <w:r w:rsidRPr="00794368">
        <w:t xml:space="preserve">, es decir, facultativos. </w:t>
      </w:r>
      <w:r w:rsidR="00D24720" w:rsidRPr="00794368">
        <w:t>No se hace mención a las consultas populares no refrendarias en esta norma, pero el artículo 92 ordena</w:t>
      </w:r>
      <w:r w:rsidR="00794368" w:rsidRPr="00794368">
        <w:t xml:space="preserve"> </w:t>
      </w:r>
      <w:r w:rsidR="00231C7D" w:rsidRPr="00794368">
        <w:t xml:space="preserve"> </w:t>
      </w:r>
      <w:r w:rsidR="00D24720" w:rsidRPr="00794368">
        <w:t xml:space="preserve">la creación de una ley de regulación, </w:t>
      </w:r>
      <w:r w:rsidR="00231C7D" w:rsidRPr="00794368">
        <w:t xml:space="preserve">La Ley </w:t>
      </w:r>
      <w:r w:rsidR="00D24720" w:rsidRPr="00794368">
        <w:t>2/1980 sobre las regulación de las distintas modalidades de referéndum,</w:t>
      </w:r>
      <w:r w:rsidR="00231C7D" w:rsidRPr="00794368">
        <w:t xml:space="preserve"> </w:t>
      </w:r>
      <w:r w:rsidR="00D24720" w:rsidRPr="00794368">
        <w:t xml:space="preserve">donde se autoriza a autonomías y entidades locales a celebrar consultas no refrendarias en el ámbito de sus competencias. Sin embargo, </w:t>
      </w:r>
      <w:r w:rsidR="00231C7D" w:rsidRPr="00794368">
        <w:t>en su desarrollo y contenido no se dedica ningún apartado a explic</w:t>
      </w:r>
      <w:r w:rsidR="00794368" w:rsidRPr="00794368">
        <w:t xml:space="preserve">ar </w:t>
      </w:r>
      <w:r w:rsidR="00D24720" w:rsidRPr="00794368">
        <w:t xml:space="preserve"> la diferencia entre uno y otro término</w:t>
      </w:r>
      <w:r w:rsidR="00843119" w:rsidRPr="00794368">
        <w:rPr>
          <w:rStyle w:val="Refdenotaalpie"/>
        </w:rPr>
        <w:footnoteReference w:id="9"/>
      </w:r>
      <w:r w:rsidR="00D24720" w:rsidRPr="00794368">
        <w:t>.</w:t>
      </w:r>
    </w:p>
    <w:p w:rsidR="005301A2" w:rsidRDefault="00DE20AB" w:rsidP="00DE20AB">
      <w:pPr>
        <w:spacing w:line="360" w:lineRule="auto"/>
        <w:jc w:val="both"/>
        <w:rPr>
          <w:rFonts w:cs="Times New Roman"/>
          <w:bCs/>
          <w:color w:val="000000"/>
          <w:szCs w:val="24"/>
        </w:rPr>
      </w:pPr>
      <w:r w:rsidRPr="00A72903">
        <w:rPr>
          <w:rFonts w:cs="Times New Roman"/>
          <w:szCs w:val="24"/>
        </w:rPr>
        <w:t>Una forma de diferenciar estos dos términos, nos la da la Sentencia del Tribunal Constitucional</w:t>
      </w:r>
      <w:r w:rsidR="00794368">
        <w:rPr>
          <w:rFonts w:cs="Times New Roman"/>
          <w:szCs w:val="24"/>
        </w:rPr>
        <w:t xml:space="preserve"> (a partir de ahora, STC)</w:t>
      </w:r>
      <w:r w:rsidRPr="00A72903">
        <w:rPr>
          <w:rFonts w:cs="Times New Roman"/>
          <w:szCs w:val="24"/>
        </w:rPr>
        <w:t xml:space="preserve"> sobre el Estatuto Catalán</w:t>
      </w:r>
      <w:r w:rsidRPr="00A72903">
        <w:rPr>
          <w:rFonts w:cs="Times New Roman"/>
          <w:bCs/>
          <w:color w:val="000000"/>
          <w:szCs w:val="24"/>
        </w:rPr>
        <w:t xml:space="preserve"> 31/2010</w:t>
      </w:r>
      <w:r w:rsidR="00843119">
        <w:rPr>
          <w:rStyle w:val="Refdenotaalpie"/>
          <w:rFonts w:cs="Times New Roman"/>
          <w:bCs/>
          <w:color w:val="000000"/>
          <w:szCs w:val="24"/>
        </w:rPr>
        <w:footnoteReference w:id="10"/>
      </w:r>
      <w:r w:rsidRPr="00A72903">
        <w:rPr>
          <w:rFonts w:cs="Times New Roman"/>
          <w:bCs/>
          <w:color w:val="000000"/>
          <w:szCs w:val="24"/>
        </w:rPr>
        <w:t>de 28 de junio de 2010</w:t>
      </w:r>
      <w:r w:rsidR="00794368">
        <w:rPr>
          <w:rFonts w:cs="Times New Roman"/>
          <w:bCs/>
          <w:color w:val="000000"/>
          <w:szCs w:val="24"/>
        </w:rPr>
        <w:t xml:space="preserve"> </w:t>
      </w:r>
      <w:r w:rsidR="002D3C68" w:rsidRPr="00A72903">
        <w:rPr>
          <w:rFonts w:cs="Times New Roman"/>
          <w:bCs/>
          <w:color w:val="000000"/>
          <w:szCs w:val="24"/>
        </w:rPr>
        <w:t>y, en</w:t>
      </w:r>
      <w:r w:rsidRPr="00A72903">
        <w:rPr>
          <w:rFonts w:cs="Times New Roman"/>
          <w:bCs/>
          <w:color w:val="000000"/>
          <w:szCs w:val="24"/>
        </w:rPr>
        <w:t xml:space="preserve"> la </w:t>
      </w:r>
      <w:r w:rsidR="00231C7D" w:rsidRPr="00794368">
        <w:rPr>
          <w:rFonts w:cs="Times New Roman"/>
          <w:bCs/>
          <w:color w:val="000000"/>
          <w:szCs w:val="24"/>
        </w:rPr>
        <w:t>STC</w:t>
      </w:r>
      <w:r w:rsidRPr="00A72903">
        <w:rPr>
          <w:rFonts w:cs="Times New Roman"/>
          <w:bCs/>
          <w:color w:val="000000"/>
          <w:szCs w:val="24"/>
        </w:rPr>
        <w:t xml:space="preserve"> 103/2008</w:t>
      </w:r>
      <w:r w:rsidR="00843119">
        <w:rPr>
          <w:rStyle w:val="Refdenotaalpie"/>
          <w:rFonts w:cs="Times New Roman"/>
          <w:bCs/>
          <w:color w:val="000000"/>
          <w:szCs w:val="24"/>
        </w:rPr>
        <w:footnoteReference w:id="11"/>
      </w:r>
      <w:r w:rsidRPr="00A72903">
        <w:rPr>
          <w:rFonts w:cs="Times New Roman"/>
          <w:bCs/>
          <w:color w:val="000000"/>
          <w:szCs w:val="24"/>
        </w:rPr>
        <w:t>de 11 de septiembre de 2008</w:t>
      </w:r>
      <w:r w:rsidR="00794368">
        <w:rPr>
          <w:rFonts w:cs="Times New Roman"/>
          <w:bCs/>
          <w:color w:val="000000"/>
          <w:szCs w:val="24"/>
        </w:rPr>
        <w:t xml:space="preserve"> </w:t>
      </w:r>
      <w:r w:rsidR="009D6E73">
        <w:rPr>
          <w:rFonts w:cs="Times New Roman"/>
          <w:bCs/>
          <w:color w:val="000000"/>
          <w:szCs w:val="24"/>
        </w:rPr>
        <w:t>que resuelve el</w:t>
      </w:r>
      <w:r w:rsidR="00794368">
        <w:rPr>
          <w:rFonts w:cs="Times New Roman"/>
          <w:bCs/>
          <w:color w:val="000000"/>
          <w:szCs w:val="24"/>
        </w:rPr>
        <w:t xml:space="preserve"> </w:t>
      </w:r>
      <w:r w:rsidRPr="00A72903">
        <w:rPr>
          <w:rFonts w:cs="Times New Roman"/>
          <w:bCs/>
          <w:color w:val="000000"/>
          <w:szCs w:val="24"/>
        </w:rPr>
        <w:t>Recurso de i</w:t>
      </w:r>
      <w:r>
        <w:rPr>
          <w:rFonts w:cs="Times New Roman"/>
          <w:bCs/>
          <w:color w:val="000000"/>
          <w:szCs w:val="24"/>
        </w:rPr>
        <w:t>nconstitucionalidad 5707-2008, i</w:t>
      </w:r>
      <w:r w:rsidRPr="00A72903">
        <w:rPr>
          <w:rFonts w:cs="Times New Roman"/>
          <w:bCs/>
          <w:color w:val="000000"/>
          <w:szCs w:val="24"/>
        </w:rPr>
        <w:t>nterpuesto por el Presidente del Gobierno contra la Ley del Parlamento Vasco 9/2008</w:t>
      </w:r>
      <w:r w:rsidR="008871E6">
        <w:rPr>
          <w:rStyle w:val="Refdenotaalpie"/>
          <w:rFonts w:cs="Times New Roman"/>
          <w:bCs/>
          <w:color w:val="000000"/>
          <w:szCs w:val="24"/>
        </w:rPr>
        <w:footnoteReference w:id="12"/>
      </w:r>
      <w:r w:rsidR="008871E6">
        <w:rPr>
          <w:rFonts w:cs="Times New Roman"/>
          <w:bCs/>
          <w:color w:val="000000"/>
          <w:szCs w:val="24"/>
        </w:rPr>
        <w:t>.</w:t>
      </w:r>
    </w:p>
    <w:p w:rsidR="00DE20AB" w:rsidRPr="00A72903" w:rsidRDefault="00DE20AB" w:rsidP="00DE20AB">
      <w:pPr>
        <w:spacing w:line="360" w:lineRule="auto"/>
        <w:jc w:val="both"/>
        <w:rPr>
          <w:rFonts w:cs="Times New Roman"/>
          <w:bCs/>
          <w:color w:val="000000"/>
          <w:szCs w:val="24"/>
        </w:rPr>
      </w:pPr>
      <w:r w:rsidRPr="00A72903">
        <w:rPr>
          <w:rFonts w:cs="Times New Roman"/>
          <w:bCs/>
          <w:color w:val="000000"/>
          <w:szCs w:val="24"/>
        </w:rPr>
        <w:t>Este órgano establece que, el referéndum es una modalidad de consulta cuya autorización y regulación responde solo al Estado, mientras que los tipos, procedimientos, realización y convocatoria d</w:t>
      </w:r>
      <w:r>
        <w:rPr>
          <w:rFonts w:cs="Times New Roman"/>
          <w:bCs/>
          <w:color w:val="000000"/>
          <w:szCs w:val="24"/>
        </w:rPr>
        <w:t xml:space="preserve">e las consultas, en las que se </w:t>
      </w:r>
      <w:r w:rsidRPr="00A72903">
        <w:rPr>
          <w:rFonts w:cs="Times New Roman"/>
          <w:bCs/>
          <w:color w:val="000000"/>
          <w:szCs w:val="24"/>
        </w:rPr>
        <w:t>pide opinión de cualquier grupo sobre asuntos de interés público, son competencia de los demás entes, por ejemplo, comunidades autónomas o provincias.</w:t>
      </w:r>
    </w:p>
    <w:p w:rsidR="00DE20AB" w:rsidRDefault="00DE20AB" w:rsidP="00DE20AB">
      <w:pPr>
        <w:spacing w:line="360" w:lineRule="auto"/>
        <w:jc w:val="both"/>
        <w:rPr>
          <w:rFonts w:cs="Times New Roman"/>
          <w:bCs/>
          <w:color w:val="000000"/>
          <w:szCs w:val="24"/>
        </w:rPr>
      </w:pPr>
      <w:r w:rsidRPr="0057687C">
        <w:rPr>
          <w:rFonts w:cs="Times New Roman"/>
          <w:bCs/>
          <w:color w:val="000000"/>
          <w:szCs w:val="24"/>
        </w:rPr>
        <w:t>En concret</w:t>
      </w:r>
      <w:r w:rsidR="00D76B4F">
        <w:rPr>
          <w:rFonts w:cs="Times New Roman"/>
          <w:bCs/>
          <w:color w:val="000000"/>
          <w:szCs w:val="24"/>
        </w:rPr>
        <w:t>o, la STC</w:t>
      </w:r>
      <w:r w:rsidRPr="0057687C">
        <w:rPr>
          <w:rFonts w:cs="Times New Roman"/>
          <w:bCs/>
          <w:color w:val="000000"/>
          <w:szCs w:val="24"/>
        </w:rPr>
        <w:t xml:space="preserve"> 103/2008, promulga que, la diferencia entre referéndum y consulta popular no refrendaría, afirmando que el referéndum es aquella consulta que se realiza al cuerpo electoral, y que se conforma y exterioriza a través de un procedimiento electoral basado en un censo, gestionada por la administración electoral y asegurada con garantías jurisdiccionales especificas</w:t>
      </w:r>
      <w:r w:rsidR="00077E69">
        <w:rPr>
          <w:rStyle w:val="Refdenotaalpie"/>
          <w:rFonts w:cs="Times New Roman"/>
          <w:bCs/>
          <w:color w:val="000000"/>
          <w:szCs w:val="24"/>
        </w:rPr>
        <w:footnoteReference w:id="13"/>
      </w:r>
      <w:r w:rsidRPr="0057687C">
        <w:rPr>
          <w:rFonts w:cs="Times New Roman"/>
          <w:bCs/>
          <w:color w:val="000000"/>
          <w:szCs w:val="24"/>
        </w:rPr>
        <w:t>.</w:t>
      </w:r>
    </w:p>
    <w:p w:rsidR="00020658" w:rsidRDefault="00DE20AB" w:rsidP="0090349C">
      <w:pPr>
        <w:shd w:val="clear" w:color="auto" w:fill="FFFFFF" w:themeFill="background1"/>
        <w:spacing w:line="360" w:lineRule="auto"/>
        <w:jc w:val="both"/>
        <w:rPr>
          <w:rFonts w:cs="Times New Roman"/>
          <w:bCs/>
          <w:color w:val="000000"/>
          <w:szCs w:val="24"/>
        </w:rPr>
      </w:pPr>
      <w:r>
        <w:rPr>
          <w:rFonts w:cs="Times New Roman"/>
          <w:bCs/>
          <w:color w:val="000000"/>
          <w:szCs w:val="24"/>
        </w:rPr>
        <w:t xml:space="preserve">Por lo tanto, cualquier otro tipo de modalidad de consulta, que no cuente con estas especificaciones, resulta, en un principio, legal aunque no se cuente con autorización del Estado.  </w:t>
      </w:r>
      <w:r w:rsidR="00E94E70">
        <w:rPr>
          <w:rFonts w:cs="Times New Roman"/>
          <w:bCs/>
          <w:color w:val="000000"/>
          <w:szCs w:val="24"/>
        </w:rPr>
        <w:t xml:space="preserve">El ejecutivo </w:t>
      </w:r>
      <w:r w:rsidR="00E94E70" w:rsidRPr="00D76B4F">
        <w:rPr>
          <w:rFonts w:cs="Times New Roman"/>
          <w:bCs/>
          <w:szCs w:val="24"/>
        </w:rPr>
        <w:t>catalán</w:t>
      </w:r>
      <w:r w:rsidR="00D76B4F" w:rsidRPr="00D76B4F">
        <w:rPr>
          <w:rFonts w:cs="Times New Roman"/>
          <w:bCs/>
          <w:szCs w:val="24"/>
        </w:rPr>
        <w:t xml:space="preserve"> </w:t>
      </w:r>
      <w:r w:rsidR="00533845" w:rsidRPr="00D76B4F">
        <w:rPr>
          <w:rFonts w:cs="Times New Roman"/>
          <w:bCs/>
          <w:szCs w:val="24"/>
        </w:rPr>
        <w:t xml:space="preserve">denomina </w:t>
      </w:r>
      <w:r w:rsidR="009D6E73" w:rsidRPr="00D76B4F">
        <w:rPr>
          <w:rFonts w:cs="Times New Roman"/>
          <w:bCs/>
          <w:szCs w:val="24"/>
        </w:rPr>
        <w:t>a esta</w:t>
      </w:r>
      <w:r w:rsidR="009D6E73" w:rsidRPr="00533845">
        <w:rPr>
          <w:rFonts w:cs="Times New Roman"/>
          <w:bCs/>
          <w:color w:val="000000"/>
          <w:szCs w:val="24"/>
        </w:rPr>
        <w:t xml:space="preserve"> consulta</w:t>
      </w:r>
      <w:r w:rsidR="00D76B4F">
        <w:rPr>
          <w:rFonts w:cs="Times New Roman"/>
          <w:bCs/>
          <w:color w:val="000000"/>
          <w:szCs w:val="24"/>
        </w:rPr>
        <w:t xml:space="preserve"> </w:t>
      </w:r>
      <w:r w:rsidR="002D3C68">
        <w:rPr>
          <w:rFonts w:cs="Times New Roman"/>
          <w:bCs/>
          <w:color w:val="000000"/>
          <w:szCs w:val="24"/>
        </w:rPr>
        <w:t>Referéndum</w:t>
      </w:r>
      <w:r w:rsidR="009D6E73">
        <w:rPr>
          <w:rFonts w:cs="Times New Roman"/>
          <w:bCs/>
          <w:color w:val="000000"/>
          <w:szCs w:val="24"/>
        </w:rPr>
        <w:t>, sin embargo, se discute la validez de esta afirma</w:t>
      </w:r>
      <w:r w:rsidR="00020658">
        <w:rPr>
          <w:rFonts w:cs="Times New Roman"/>
          <w:bCs/>
          <w:color w:val="000000"/>
          <w:szCs w:val="24"/>
        </w:rPr>
        <w:t>ción y m</w:t>
      </w:r>
      <w:r w:rsidR="009D6E73">
        <w:rPr>
          <w:rFonts w:cs="Times New Roman"/>
          <w:bCs/>
          <w:color w:val="000000"/>
          <w:szCs w:val="24"/>
        </w:rPr>
        <w:t>ás adelante, se desarrolla este conflicto.</w:t>
      </w:r>
    </w:p>
    <w:p w:rsidR="00DE20AB" w:rsidRPr="005301A2" w:rsidRDefault="009426A3" w:rsidP="0090349C">
      <w:pPr>
        <w:shd w:val="clear" w:color="auto" w:fill="FFFFFF" w:themeFill="background1"/>
        <w:spacing w:line="360" w:lineRule="auto"/>
        <w:jc w:val="both"/>
        <w:rPr>
          <w:bCs/>
          <w:color w:val="FF0000"/>
        </w:rPr>
      </w:pPr>
      <w:r>
        <w:rPr>
          <w:rFonts w:cs="Times New Roman"/>
          <w:szCs w:val="24"/>
        </w:rPr>
        <w:t xml:space="preserve">Tras </w:t>
      </w:r>
      <w:r w:rsidR="006F0782">
        <w:rPr>
          <w:rFonts w:cs="Times New Roman"/>
          <w:szCs w:val="24"/>
        </w:rPr>
        <w:t>la lectura de</w:t>
      </w:r>
      <w:r>
        <w:rPr>
          <w:rFonts w:cs="Times New Roman"/>
          <w:szCs w:val="24"/>
        </w:rPr>
        <w:t xml:space="preserve"> esas sen</w:t>
      </w:r>
      <w:r w:rsidR="006F0782">
        <w:rPr>
          <w:rFonts w:cs="Times New Roman"/>
          <w:szCs w:val="24"/>
        </w:rPr>
        <w:t>tencias, se promulga la Ley 10/2014 de 26 de septiembre de consultas populares no refrendarias y otras formas de participación ciudadana de la Generalitat de Cataluña, para contar con una ley reguladora de consultas, que se ajustara a la doctrina del Tribunal Constitucional, y es un buen ejemplo para ver ciertas diferencias prácticas entre referéndum y consulta</w:t>
      </w:r>
      <w:r w:rsidR="00077E69">
        <w:rPr>
          <w:rStyle w:val="Refdenotaalpie"/>
          <w:rFonts w:cs="Times New Roman"/>
          <w:szCs w:val="24"/>
        </w:rPr>
        <w:footnoteReference w:id="14"/>
      </w:r>
      <w:r w:rsidR="00077E69">
        <w:rPr>
          <w:rFonts w:cs="Times New Roman"/>
          <w:szCs w:val="24"/>
        </w:rPr>
        <w:t>.</w:t>
      </w:r>
    </w:p>
    <w:p w:rsidR="004C4697" w:rsidRPr="00D76B4F" w:rsidRDefault="006F0782" w:rsidP="00DE20AB">
      <w:pPr>
        <w:spacing w:line="360" w:lineRule="auto"/>
        <w:jc w:val="both"/>
        <w:rPr>
          <w:rFonts w:cs="Times New Roman"/>
          <w:szCs w:val="24"/>
        </w:rPr>
      </w:pPr>
      <w:r>
        <w:rPr>
          <w:rFonts w:cs="Times New Roman"/>
          <w:szCs w:val="24"/>
        </w:rPr>
        <w:t xml:space="preserve">Esta ley, no llama al cuerpo electoral a votar, sino que </w:t>
      </w:r>
      <w:r w:rsidR="002D3C68">
        <w:rPr>
          <w:rFonts w:cs="Times New Roman"/>
          <w:szCs w:val="24"/>
        </w:rPr>
        <w:t>amplía</w:t>
      </w:r>
      <w:r>
        <w:rPr>
          <w:rFonts w:cs="Times New Roman"/>
          <w:szCs w:val="24"/>
        </w:rPr>
        <w:t xml:space="preserve"> el voto a los mayores de 16 años, y no se organiza dependiendo del censo electoral, sino que utiliza la lista de votantes proporcionada por el Registro de Población de Cataluña, que se nutre de los datos de población ofrecidos por los municipios</w:t>
      </w:r>
      <w:r w:rsidR="004C4697">
        <w:rPr>
          <w:rFonts w:cs="Times New Roman"/>
          <w:szCs w:val="24"/>
        </w:rPr>
        <w:t xml:space="preserve"> de</w:t>
      </w:r>
      <w:r w:rsidR="00E94E70">
        <w:rPr>
          <w:rFonts w:cs="Times New Roman"/>
          <w:szCs w:val="24"/>
        </w:rPr>
        <w:t xml:space="preserve"> acuerdo con la Ley 23/1998 de E</w:t>
      </w:r>
      <w:r w:rsidR="004C4697">
        <w:rPr>
          <w:rFonts w:cs="Times New Roman"/>
          <w:szCs w:val="24"/>
        </w:rPr>
        <w:t>stadística de Cataluña</w:t>
      </w:r>
      <w:r w:rsidR="00077E69">
        <w:rPr>
          <w:rStyle w:val="Refdenotaalpie"/>
          <w:rFonts w:cs="Times New Roman"/>
          <w:szCs w:val="24"/>
        </w:rPr>
        <w:footnoteReference w:id="15"/>
      </w:r>
      <w:r w:rsidR="000D503A">
        <w:rPr>
          <w:rFonts w:cs="Times New Roman"/>
          <w:szCs w:val="24"/>
        </w:rPr>
        <w:t xml:space="preserve">. </w:t>
      </w:r>
      <w:r>
        <w:rPr>
          <w:rFonts w:cs="Times New Roman"/>
          <w:szCs w:val="24"/>
        </w:rPr>
        <w:t>Además, los instrumentos de garantía se buscan fuera de la administració</w:t>
      </w:r>
      <w:r w:rsidRPr="00D76B4F">
        <w:rPr>
          <w:rFonts w:cs="Times New Roman"/>
          <w:szCs w:val="24"/>
        </w:rPr>
        <w:t>n electoral, a través de comisiones de control y seguimiento.</w:t>
      </w:r>
    </w:p>
    <w:p w:rsidR="006F0782" w:rsidRDefault="004C4697" w:rsidP="00DE20AB">
      <w:pPr>
        <w:spacing w:line="360" w:lineRule="auto"/>
        <w:jc w:val="both"/>
        <w:rPr>
          <w:rFonts w:cs="Times New Roman"/>
          <w:szCs w:val="24"/>
        </w:rPr>
      </w:pPr>
      <w:r w:rsidRPr="00D76B4F">
        <w:rPr>
          <w:rFonts w:cs="Times New Roman"/>
          <w:szCs w:val="24"/>
        </w:rPr>
        <w:t>Estas consultas no necesitan de aprobación del Gobierno de España al no ser refrendarias. Sin embargo, estos requisitos formales no son suficientes para celebrar una consulta sobre el tema que se desee. En la sentencia</w:t>
      </w:r>
      <w:r w:rsidR="00465059" w:rsidRPr="00D76B4F">
        <w:rPr>
          <w:rFonts w:cs="Times New Roman"/>
          <w:szCs w:val="24"/>
        </w:rPr>
        <w:t xml:space="preserve"> 138/2015</w:t>
      </w:r>
      <w:r w:rsidR="00D76B4F" w:rsidRPr="00D76B4F">
        <w:rPr>
          <w:rStyle w:val="Refdenotaalpie"/>
          <w:rFonts w:cs="Times New Roman"/>
          <w:szCs w:val="24"/>
        </w:rPr>
        <w:footnoteReference w:id="16"/>
      </w:r>
      <w:r w:rsidR="00465059" w:rsidRPr="00D76B4F">
        <w:rPr>
          <w:rFonts w:cs="Times New Roman"/>
          <w:szCs w:val="24"/>
        </w:rPr>
        <w:t xml:space="preserve"> del Tribunal </w:t>
      </w:r>
      <w:r w:rsidR="002D3C68" w:rsidRPr="00D76B4F">
        <w:rPr>
          <w:rFonts w:cs="Times New Roman"/>
          <w:szCs w:val="24"/>
        </w:rPr>
        <w:t>Constitucional</w:t>
      </w:r>
      <w:r w:rsidR="00465059" w:rsidRPr="00D76B4F">
        <w:rPr>
          <w:rFonts w:cs="Times New Roman"/>
          <w:szCs w:val="24"/>
        </w:rPr>
        <w:t>,</w:t>
      </w:r>
      <w:r w:rsidRPr="00D76B4F">
        <w:rPr>
          <w:rFonts w:cs="Times New Roman"/>
          <w:szCs w:val="24"/>
        </w:rPr>
        <w:t xml:space="preserve"> anuladora de la Consulta del 9 de Noviembre de 2014 en Cataluña,</w:t>
      </w:r>
      <w:r w:rsidR="009E5724">
        <w:rPr>
          <w:rFonts w:cs="Times New Roman"/>
          <w:szCs w:val="24"/>
        </w:rPr>
        <w:t xml:space="preserve"> A</w:t>
      </w:r>
      <w:r w:rsidR="00D24720" w:rsidRPr="00D76B4F">
        <w:rPr>
          <w:rFonts w:cs="Times New Roman"/>
          <w:szCs w:val="24"/>
        </w:rPr>
        <w:t xml:space="preserve">nte el recurso interpuesto por el Gobierno de la Nación por el motivo de </w:t>
      </w:r>
      <w:r w:rsidR="00C43E28" w:rsidRPr="00D76B4F">
        <w:rPr>
          <w:rFonts w:cs="Times New Roman"/>
          <w:szCs w:val="24"/>
        </w:rPr>
        <w:t xml:space="preserve">“atentar contra la Constitución y los derechos de todos” </w:t>
      </w:r>
      <w:r w:rsidR="00465059" w:rsidRPr="00D76B4F">
        <w:rPr>
          <w:rFonts w:cs="Times New Roman"/>
          <w:szCs w:val="24"/>
        </w:rPr>
        <w:t>dice que,</w:t>
      </w:r>
      <w:r w:rsidR="009E5724">
        <w:rPr>
          <w:rFonts w:cs="Times New Roman"/>
          <w:szCs w:val="24"/>
        </w:rPr>
        <w:t xml:space="preserve"> </w:t>
      </w:r>
      <w:r w:rsidR="00020658" w:rsidRPr="00D76B4F">
        <w:rPr>
          <w:rFonts w:cs="Times New Roman"/>
          <w:szCs w:val="24"/>
        </w:rPr>
        <w:t>aun</w:t>
      </w:r>
      <w:r w:rsidRPr="00D76B4F">
        <w:rPr>
          <w:rFonts w:cs="Times New Roman"/>
          <w:szCs w:val="24"/>
        </w:rPr>
        <w:t xml:space="preserve"> contando </w:t>
      </w:r>
      <w:r w:rsidR="00465059" w:rsidRPr="00D76B4F">
        <w:rPr>
          <w:rFonts w:cs="Times New Roman"/>
          <w:szCs w:val="24"/>
        </w:rPr>
        <w:t>con estos req</w:t>
      </w:r>
      <w:r w:rsidR="008B76FA" w:rsidRPr="00D76B4F">
        <w:rPr>
          <w:rFonts w:cs="Times New Roman"/>
          <w:szCs w:val="24"/>
        </w:rPr>
        <w:t>uisitos no es suficiente</w:t>
      </w:r>
      <w:r w:rsidR="008B76FA" w:rsidRPr="00D76B4F">
        <w:rPr>
          <w:rStyle w:val="Refdenotaalpie"/>
          <w:rFonts w:cs="Times New Roman"/>
          <w:szCs w:val="24"/>
        </w:rPr>
        <w:footnoteReference w:id="17"/>
      </w:r>
      <w:r w:rsidR="000D503A" w:rsidRPr="00D76B4F">
        <w:rPr>
          <w:rFonts w:cs="Times New Roman"/>
          <w:szCs w:val="24"/>
        </w:rPr>
        <w:t>.</w:t>
      </w:r>
    </w:p>
    <w:p w:rsidR="0090349C" w:rsidRDefault="0090349C" w:rsidP="0090349C">
      <w:pPr>
        <w:spacing w:line="360" w:lineRule="auto"/>
        <w:rPr>
          <w:rFonts w:cs="Times New Roman"/>
          <w:szCs w:val="24"/>
        </w:rPr>
      </w:pPr>
    </w:p>
    <w:p w:rsidR="00DE20AB" w:rsidRPr="0030229F" w:rsidRDefault="00DE20AB" w:rsidP="0030229F">
      <w:pPr>
        <w:pStyle w:val="Prrafodelista"/>
        <w:numPr>
          <w:ilvl w:val="1"/>
          <w:numId w:val="13"/>
        </w:numPr>
        <w:jc w:val="both"/>
        <w:rPr>
          <w:b/>
          <w:u w:val="single"/>
        </w:rPr>
      </w:pPr>
      <w:r w:rsidRPr="0030229F">
        <w:rPr>
          <w:b/>
          <w:u w:val="single"/>
        </w:rPr>
        <w:t>TIPOS DE REFERENDUM</w:t>
      </w:r>
    </w:p>
    <w:p w:rsidR="0030229F" w:rsidRPr="0030229F" w:rsidRDefault="0030229F" w:rsidP="0030229F">
      <w:pPr>
        <w:jc w:val="both"/>
        <w:rPr>
          <w:b/>
          <w:u w:val="single"/>
        </w:rPr>
      </w:pPr>
    </w:p>
    <w:p w:rsidR="00DE20AB" w:rsidRDefault="00DE20AB" w:rsidP="00B330D5">
      <w:pPr>
        <w:spacing w:line="360" w:lineRule="auto"/>
        <w:jc w:val="both"/>
      </w:pPr>
      <w:r>
        <w:t>En atención a su ámbito territorial, existen referéndums nacionales y territoriales. En nuestro país, el referéndum consultivo del artículo 92 de la Constitución, y los refrendos de reforma de la misma, son de ámbito nacional. Territoriales son, en cambio, los</w:t>
      </w:r>
      <w:r w:rsidR="00E94E70">
        <w:t xml:space="preserve"> referéndums de reforma de los estatutos de a</w:t>
      </w:r>
      <w:r>
        <w:t>utonomía, previstos en el artículo 152.2.</w:t>
      </w:r>
    </w:p>
    <w:p w:rsidR="00DE20AB" w:rsidRPr="00560945" w:rsidRDefault="00DE20AB" w:rsidP="00B330D5">
      <w:pPr>
        <w:spacing w:line="360" w:lineRule="auto"/>
        <w:jc w:val="both"/>
        <w:rPr>
          <w:color w:val="FF0000"/>
        </w:rPr>
      </w:pPr>
      <w:r>
        <w:t xml:space="preserve">Por su obligatoriedad, se clasifican en facultativos u  obligatorios, según el Estado deba llamar al pueblo soberano a referéndum o no. Será obligatorio si está mandado por la Constitución, y será </w:t>
      </w:r>
      <w:r w:rsidRPr="00D76B4F">
        <w:t>facultativo si se convoca por  instancia del órga</w:t>
      </w:r>
      <w:r w:rsidR="00E94E70" w:rsidRPr="00D76B4F">
        <w:t>no que esté</w:t>
      </w:r>
      <w:r w:rsidR="005A7705" w:rsidRPr="00D76B4F">
        <w:t xml:space="preserve"> facultado para ello, en el caso de nuestro país, el Rey, a instancia del Presidente del Gobierno, previa aprobación de las Cortes.</w:t>
      </w:r>
    </w:p>
    <w:p w:rsidR="00DE20AB" w:rsidRDefault="00DE20AB" w:rsidP="00B330D5">
      <w:pPr>
        <w:spacing w:line="360" w:lineRule="auto"/>
        <w:jc w:val="both"/>
      </w:pPr>
      <w:r>
        <w:t>En España, son facultativos los referéndums bajo el amparo del artículo 92 de la CE, y sobre la reforma parcial no esencial de ésta.</w:t>
      </w:r>
    </w:p>
    <w:p w:rsidR="00DE20AB" w:rsidRPr="00B330D5" w:rsidRDefault="00DE20AB" w:rsidP="00B330D5">
      <w:pPr>
        <w:spacing w:line="360" w:lineRule="auto"/>
        <w:jc w:val="both"/>
        <w:rPr>
          <w:highlight w:val="yellow"/>
        </w:rPr>
      </w:pPr>
      <w:r>
        <w:t xml:space="preserve">En atención a sus efectos jurídicos, </w:t>
      </w:r>
      <w:r w:rsidRPr="00D76B4F">
        <w:t xml:space="preserve">el referéndum es vinculante si, después de ser expresada la voluntad </w:t>
      </w:r>
      <w:r w:rsidR="002D3C68" w:rsidRPr="00D76B4F">
        <w:t>popular,</w:t>
      </w:r>
      <w:r w:rsidR="00D76B4F" w:rsidRPr="00D76B4F">
        <w:t xml:space="preserve"> el </w:t>
      </w:r>
      <w:r w:rsidRPr="00D76B4F">
        <w:t>Estado</w:t>
      </w:r>
      <w:r w:rsidR="00D76B4F" w:rsidRPr="00D76B4F">
        <w:t xml:space="preserve"> </w:t>
      </w:r>
      <w:r w:rsidR="00533845" w:rsidRPr="00D76B4F">
        <w:t>está obligado</w:t>
      </w:r>
      <w:r w:rsidR="00D76B4F" w:rsidRPr="00D76B4F">
        <w:t xml:space="preserve"> </w:t>
      </w:r>
      <w:r w:rsidRPr="00D76B4F">
        <w:t>al</w:t>
      </w:r>
      <w:r w:rsidRPr="0064138F">
        <w:t xml:space="preserve"> cumplimient</w:t>
      </w:r>
      <w:r w:rsidR="0064138F" w:rsidRPr="0064138F">
        <w:t xml:space="preserve">o del mandato soberano. Esto se justifica en que la ciudadanía, comunica su voluntad en el ejercicio de la democracia directa. Es decir, los representantes de la soberanía, </w:t>
      </w:r>
      <w:r w:rsidR="00E83C2D" w:rsidRPr="0064138F">
        <w:t>les</w:t>
      </w:r>
      <w:r w:rsidR="0064138F" w:rsidRPr="0064138F">
        <w:t xml:space="preserve"> devuelven la titularidad a los ciudadanos para que decidan sobre un tema que tendrá consecuencias para todos ellos.</w:t>
      </w:r>
    </w:p>
    <w:p w:rsidR="00DE20AB" w:rsidRDefault="00DE20AB" w:rsidP="00B330D5">
      <w:pPr>
        <w:spacing w:line="360" w:lineRule="auto"/>
        <w:jc w:val="both"/>
      </w:pPr>
      <w:r>
        <w:t>Tomando en consideración el momento en el que se convoca el referéndum, puede ser decisorio o consultivo, siendo el primero al final del proceso decisorio, y el segundo, antes de tomar la decisión.</w:t>
      </w:r>
    </w:p>
    <w:p w:rsidR="00DE20AB" w:rsidRDefault="00DE20AB" w:rsidP="00B330D5">
      <w:pPr>
        <w:spacing w:line="360" w:lineRule="auto"/>
        <w:jc w:val="both"/>
      </w:pPr>
      <w:r>
        <w:t>Por último, puede ser normativo, si tiene por objeto normas jurídicas, o no normativo, si se refiere a actos o decisiones que no den lugar a la aprobación de normas. Los normativos se pueden dividir a su vez en constituyentes, si son para aprobar una constitución, constitucionales, si son para reformar la misma,  o legislativos o administrativos, según se refieran a leyes o  actos administrativos</w:t>
      </w:r>
      <w:r w:rsidR="00C00626">
        <w:rPr>
          <w:rStyle w:val="Refdenotaalpie"/>
        </w:rPr>
        <w:footnoteReference w:id="18"/>
      </w:r>
      <w:r>
        <w:t>.</w:t>
      </w:r>
    </w:p>
    <w:p w:rsidR="0090349C" w:rsidRPr="00170827" w:rsidRDefault="00DE20AB" w:rsidP="00170827">
      <w:pPr>
        <w:spacing w:line="360" w:lineRule="auto"/>
        <w:jc w:val="both"/>
      </w:pPr>
      <w:r>
        <w:t>De acuerdo con esta clasificación, la consulta catalana de 2017,</w:t>
      </w:r>
      <w:r w:rsidR="00D76B4F">
        <w:t xml:space="preserve"> </w:t>
      </w:r>
      <w:r w:rsidR="00533845" w:rsidRPr="00D76B4F">
        <w:t>en el caso de considerarla como un referéndum, sería de tipo</w:t>
      </w:r>
      <w:r w:rsidR="00D76B4F">
        <w:rPr>
          <w:color w:val="FF0000"/>
        </w:rPr>
        <w:t xml:space="preserve">, </w:t>
      </w:r>
      <w:r>
        <w:t>territorial, facultativo, no vinculante, consultivo y no normativo.</w:t>
      </w:r>
      <w:r w:rsidR="0090349C">
        <w:br w:type="page"/>
      </w:r>
    </w:p>
    <w:p w:rsidR="00DE20AB" w:rsidRPr="00DE20AB" w:rsidRDefault="00B330D5" w:rsidP="00DE20AB">
      <w:pPr>
        <w:pStyle w:val="Ttulo1"/>
      </w:pPr>
      <w:r w:rsidRPr="00B330D5">
        <w:t>2.</w:t>
      </w:r>
      <w:r w:rsidR="00DE20AB" w:rsidRPr="00DE20AB">
        <w:t>ANÁLISIS DE LA LEGALIDAD DE LA CONSULTA</w:t>
      </w:r>
    </w:p>
    <w:p w:rsidR="00DE20AB" w:rsidRPr="004544E9" w:rsidRDefault="00DE20AB" w:rsidP="00DE20AB">
      <w:pPr>
        <w:spacing w:line="360" w:lineRule="auto"/>
        <w:jc w:val="both"/>
        <w:rPr>
          <w:b/>
          <w:u w:val="single"/>
        </w:rPr>
      </w:pPr>
    </w:p>
    <w:p w:rsidR="00B330D5" w:rsidRPr="004544E9" w:rsidRDefault="00B330D5" w:rsidP="00DE20AB">
      <w:pPr>
        <w:spacing w:line="360" w:lineRule="auto"/>
        <w:jc w:val="both"/>
      </w:pPr>
      <w:r w:rsidRPr="004544E9">
        <w:t>En este apartado, se analizarán los diferentes preceptos que se refieren a la convocatoria de un referéndum en España.</w:t>
      </w:r>
    </w:p>
    <w:p w:rsidR="00B330D5" w:rsidRPr="004544E9" w:rsidRDefault="00B330D5" w:rsidP="00B330D5">
      <w:pPr>
        <w:spacing w:line="360" w:lineRule="auto"/>
        <w:jc w:val="both"/>
        <w:rPr>
          <w:rFonts w:cs="Times New Roman"/>
          <w:szCs w:val="24"/>
        </w:rPr>
      </w:pPr>
      <w:r w:rsidRPr="004544E9">
        <w:rPr>
          <w:rFonts w:cs="Times New Roman"/>
          <w:szCs w:val="24"/>
        </w:rPr>
        <w:t xml:space="preserve">El ordenamiento jurídico del estado dispone de varias disposiciones respecto a la convocatoria de referéndum </w:t>
      </w:r>
      <w:r w:rsidR="00533845" w:rsidRPr="004544E9">
        <w:rPr>
          <w:rFonts w:cs="Times New Roman"/>
          <w:szCs w:val="24"/>
        </w:rPr>
        <w:t>contenidos en tres normas diferentes</w:t>
      </w:r>
      <w:r w:rsidR="004544E9" w:rsidRPr="004544E9">
        <w:rPr>
          <w:rFonts w:cs="Times New Roman"/>
          <w:szCs w:val="24"/>
        </w:rPr>
        <w:t>:</w:t>
      </w:r>
    </w:p>
    <w:p w:rsidR="00B330D5" w:rsidRPr="004544E9" w:rsidRDefault="00B330D5" w:rsidP="00B330D5">
      <w:pPr>
        <w:pStyle w:val="Prrafodelista"/>
        <w:numPr>
          <w:ilvl w:val="0"/>
          <w:numId w:val="3"/>
        </w:numPr>
        <w:spacing w:line="360" w:lineRule="auto"/>
        <w:jc w:val="both"/>
        <w:rPr>
          <w:rFonts w:cs="Times New Roman"/>
          <w:szCs w:val="24"/>
        </w:rPr>
      </w:pPr>
      <w:r w:rsidRPr="004544E9">
        <w:rPr>
          <w:rFonts w:cs="Times New Roman"/>
          <w:szCs w:val="24"/>
        </w:rPr>
        <w:t>En la Constitución Española</w:t>
      </w:r>
    </w:p>
    <w:p w:rsidR="00B330D5" w:rsidRPr="004544E9" w:rsidRDefault="00B330D5" w:rsidP="00B330D5">
      <w:pPr>
        <w:pStyle w:val="Prrafodelista"/>
        <w:numPr>
          <w:ilvl w:val="0"/>
          <w:numId w:val="3"/>
        </w:numPr>
        <w:spacing w:line="360" w:lineRule="auto"/>
        <w:jc w:val="both"/>
        <w:rPr>
          <w:rFonts w:cs="Times New Roman"/>
          <w:szCs w:val="24"/>
        </w:rPr>
      </w:pPr>
      <w:r w:rsidRPr="004544E9">
        <w:rPr>
          <w:rFonts w:cs="Times New Roman"/>
          <w:szCs w:val="24"/>
        </w:rPr>
        <w:t>En los Estatutos de Autonomía</w:t>
      </w:r>
    </w:p>
    <w:p w:rsidR="00B330D5" w:rsidRPr="004544E9" w:rsidRDefault="00B330D5" w:rsidP="00B330D5">
      <w:pPr>
        <w:pStyle w:val="Prrafodelista"/>
        <w:numPr>
          <w:ilvl w:val="0"/>
          <w:numId w:val="3"/>
        </w:numPr>
        <w:spacing w:line="360" w:lineRule="auto"/>
        <w:jc w:val="both"/>
        <w:rPr>
          <w:rFonts w:cs="Times New Roman"/>
          <w:szCs w:val="24"/>
        </w:rPr>
      </w:pPr>
      <w:r w:rsidRPr="004544E9">
        <w:rPr>
          <w:rFonts w:cs="Times New Roman"/>
          <w:szCs w:val="24"/>
        </w:rPr>
        <w:t xml:space="preserve">Ley </w:t>
      </w:r>
      <w:r w:rsidR="00D221B3" w:rsidRPr="004544E9">
        <w:rPr>
          <w:rFonts w:cs="Times New Roman"/>
          <w:szCs w:val="24"/>
        </w:rPr>
        <w:t>Orgánica 2/1980 del 18 de enero de las distintas modalidades de referéndum.</w:t>
      </w:r>
    </w:p>
    <w:p w:rsidR="00B330D5" w:rsidRPr="004544E9" w:rsidRDefault="00B330D5" w:rsidP="00B330D5">
      <w:pPr>
        <w:spacing w:line="360" w:lineRule="auto"/>
        <w:jc w:val="both"/>
        <w:rPr>
          <w:rFonts w:cs="Times New Roman"/>
          <w:szCs w:val="24"/>
        </w:rPr>
      </w:pPr>
      <w:r w:rsidRPr="004544E9">
        <w:rPr>
          <w:rFonts w:cs="Times New Roman"/>
          <w:szCs w:val="24"/>
        </w:rPr>
        <w:t>Acto seguido, se trata de responder a la siguiente pregunta: ¿Es el referéndum del 1 de octubre de 2017 en Cataluña legal?</w:t>
      </w:r>
    </w:p>
    <w:p w:rsidR="00B330D5" w:rsidRPr="00B330D5" w:rsidRDefault="00B330D5" w:rsidP="00DE20AB">
      <w:pPr>
        <w:spacing w:line="360" w:lineRule="auto"/>
        <w:jc w:val="both"/>
      </w:pPr>
    </w:p>
    <w:p w:rsidR="00DE20AB" w:rsidRDefault="00B330D5" w:rsidP="00DE20AB">
      <w:pPr>
        <w:spacing w:line="360" w:lineRule="auto"/>
        <w:jc w:val="both"/>
        <w:rPr>
          <w:b/>
          <w:u w:val="single"/>
        </w:rPr>
      </w:pPr>
      <w:r>
        <w:rPr>
          <w:b/>
          <w:u w:val="single"/>
        </w:rPr>
        <w:t xml:space="preserve">2.1 </w:t>
      </w:r>
      <w:r w:rsidR="00DE20AB">
        <w:rPr>
          <w:b/>
          <w:u w:val="single"/>
        </w:rPr>
        <w:t>LEGALIDAD VIGENTE EN MATERIA DE CONVOCATORIAS DE REFERÉNDUMS</w:t>
      </w:r>
    </w:p>
    <w:p w:rsidR="00B330D5" w:rsidRDefault="00B330D5" w:rsidP="00DE20AB">
      <w:pPr>
        <w:pStyle w:val="Ttulo2"/>
        <w:spacing w:line="360" w:lineRule="auto"/>
        <w:jc w:val="both"/>
        <w:rPr>
          <w:rFonts w:ascii="Times New Roman" w:eastAsiaTheme="minorHAnsi" w:hAnsi="Times New Roman" w:cs="Times New Roman"/>
          <w:b w:val="0"/>
          <w:bCs w:val="0"/>
          <w:color w:val="auto"/>
          <w:sz w:val="24"/>
          <w:szCs w:val="24"/>
        </w:rPr>
      </w:pPr>
    </w:p>
    <w:p w:rsidR="00DE20AB" w:rsidRDefault="00DE20AB" w:rsidP="00DE20AB">
      <w:pPr>
        <w:pStyle w:val="Ttulo2"/>
        <w:spacing w:line="360" w:lineRule="auto"/>
        <w:jc w:val="both"/>
        <w:rPr>
          <w:rFonts w:ascii="Times New Roman" w:hAnsi="Times New Roman" w:cs="Times New Roman"/>
          <w:sz w:val="24"/>
          <w:szCs w:val="24"/>
        </w:rPr>
      </w:pPr>
      <w:r w:rsidRPr="00D806D0">
        <w:rPr>
          <w:rFonts w:ascii="Times New Roman" w:hAnsi="Times New Roman" w:cs="Times New Roman"/>
          <w:sz w:val="24"/>
          <w:szCs w:val="24"/>
        </w:rPr>
        <w:t>El referéndum en la Constitución Española de 1978</w:t>
      </w:r>
    </w:p>
    <w:p w:rsidR="00170827" w:rsidRPr="004544E9" w:rsidRDefault="00170827" w:rsidP="00170827"/>
    <w:p w:rsidR="00DE20AB" w:rsidRPr="004544E9" w:rsidRDefault="00DE20AB" w:rsidP="00DE20AB">
      <w:pPr>
        <w:spacing w:line="360" w:lineRule="auto"/>
        <w:jc w:val="both"/>
        <w:rPr>
          <w:rFonts w:cs="Times New Roman"/>
          <w:szCs w:val="24"/>
        </w:rPr>
      </w:pPr>
      <w:r w:rsidRPr="004544E9">
        <w:rPr>
          <w:rFonts w:cs="Times New Roman"/>
          <w:szCs w:val="24"/>
        </w:rPr>
        <w:t>Los refrendos españoles son todos obligatorios con excepción del previsto en el artículo 92 de la Constitución Española, es decir, se prevé en la norma los casos en los que procede celebrar un referéndum consultivo</w:t>
      </w:r>
      <w:r w:rsidR="00C87CFE" w:rsidRPr="004544E9">
        <w:rPr>
          <w:rFonts w:cs="Times New Roman"/>
          <w:szCs w:val="24"/>
        </w:rPr>
        <w:t>, esto es</w:t>
      </w:r>
      <w:r w:rsidR="00D221B3" w:rsidRPr="004544E9">
        <w:rPr>
          <w:rFonts w:cs="Times New Roman"/>
          <w:szCs w:val="24"/>
        </w:rPr>
        <w:t xml:space="preserve">, para las decisiones políticas de especial trascendencia. </w:t>
      </w:r>
      <w:r w:rsidR="00C87CFE" w:rsidRPr="004544E9">
        <w:rPr>
          <w:rFonts w:cs="Times New Roman"/>
          <w:szCs w:val="24"/>
        </w:rPr>
        <w:t>Entonces hay,</w:t>
      </w:r>
      <w:r w:rsidRPr="004544E9">
        <w:rPr>
          <w:rFonts w:cs="Times New Roman"/>
          <w:szCs w:val="24"/>
        </w:rPr>
        <w:t xml:space="preserve"> dos referéndums constituyentes, los previstos en los artículos 167.3 y 168.3 y los demás son estatuyentes, pensados para las Comunidades Autónomas.</w:t>
      </w:r>
    </w:p>
    <w:p w:rsidR="00D221B3" w:rsidRPr="00883EAC" w:rsidRDefault="00DE20AB" w:rsidP="00DE20AB">
      <w:pPr>
        <w:spacing w:line="360" w:lineRule="auto"/>
        <w:jc w:val="both"/>
        <w:rPr>
          <w:rFonts w:cs="Times New Roman"/>
          <w:szCs w:val="24"/>
        </w:rPr>
      </w:pPr>
      <w:r w:rsidRPr="004544E9">
        <w:rPr>
          <w:rFonts w:cs="Times New Roman"/>
          <w:szCs w:val="24"/>
        </w:rPr>
        <w:t>En principio,</w:t>
      </w:r>
      <w:r w:rsidR="00D221B3" w:rsidRPr="004544E9">
        <w:rPr>
          <w:rFonts w:cs="Times New Roman"/>
          <w:szCs w:val="24"/>
        </w:rPr>
        <w:t xml:space="preserve"> como se ha dicho,</w:t>
      </w:r>
      <w:r w:rsidRPr="004544E9">
        <w:rPr>
          <w:rFonts w:cs="Times New Roman"/>
          <w:szCs w:val="24"/>
        </w:rPr>
        <w:t xml:space="preserve"> todo</w:t>
      </w:r>
      <w:r w:rsidR="00C87CFE" w:rsidRPr="004544E9">
        <w:rPr>
          <w:rFonts w:cs="Times New Roman"/>
          <w:szCs w:val="24"/>
        </w:rPr>
        <w:t>s son obligatorios, facultativo</w:t>
      </w:r>
      <w:r w:rsidRPr="004544E9">
        <w:rPr>
          <w:rFonts w:cs="Times New Roman"/>
          <w:szCs w:val="24"/>
        </w:rPr>
        <w:t xml:space="preserve"> solo existen el de referéndum de reforma constitucional ordinaria y el de decisiones políticas de especial transcendencia (art. 92 CE). Teniendo en cuenta que el referéndum para la secesión de un territorio no viene recogido en ninguna norma, su realización debe, en principio,</w:t>
      </w:r>
      <w:r w:rsidRPr="008301E7">
        <w:rPr>
          <w:rFonts w:cs="Times New Roman"/>
          <w:szCs w:val="24"/>
        </w:rPr>
        <w:t xml:space="preserve"> enmarcarse dentro de las posibi</w:t>
      </w:r>
      <w:r w:rsidR="00D221B3" w:rsidRPr="008301E7">
        <w:rPr>
          <w:rFonts w:cs="Times New Roman"/>
          <w:szCs w:val="24"/>
        </w:rPr>
        <w:t xml:space="preserve">lidades de este último artículo, como decisión política de </w:t>
      </w:r>
      <w:r w:rsidR="00D221B3" w:rsidRPr="00883EAC">
        <w:rPr>
          <w:rFonts w:cs="Times New Roman"/>
          <w:szCs w:val="24"/>
        </w:rPr>
        <w:t xml:space="preserve">especial trascendencia, </w:t>
      </w:r>
      <w:r w:rsidR="00C87CFE" w:rsidRPr="00883EAC">
        <w:rPr>
          <w:rFonts w:cs="Times New Roman"/>
          <w:szCs w:val="24"/>
        </w:rPr>
        <w:t>y</w:t>
      </w:r>
      <w:r w:rsidR="00D221B3" w:rsidRPr="00883EAC">
        <w:rPr>
          <w:rFonts w:cs="Times New Roman"/>
          <w:szCs w:val="24"/>
        </w:rPr>
        <w:t xml:space="preserve">, como se verá, </w:t>
      </w:r>
      <w:r w:rsidR="00883EAC" w:rsidRPr="00883EAC">
        <w:rPr>
          <w:rFonts w:cs="Times New Roman"/>
          <w:szCs w:val="24"/>
        </w:rPr>
        <w:t>será requisito que el</w:t>
      </w:r>
      <w:r w:rsidR="00D221B3" w:rsidRPr="00883EAC">
        <w:rPr>
          <w:rFonts w:cs="Times New Roman"/>
          <w:szCs w:val="24"/>
        </w:rPr>
        <w:t xml:space="preserve"> Rey lo proclame a posteriori de una aprobación en las cámaras representativas españolas.</w:t>
      </w:r>
    </w:p>
    <w:p w:rsidR="00DE20AB" w:rsidRPr="00883EAC" w:rsidRDefault="00D221B3" w:rsidP="00DE20AB">
      <w:pPr>
        <w:spacing w:line="360" w:lineRule="auto"/>
        <w:jc w:val="both"/>
        <w:rPr>
          <w:rFonts w:cs="Times New Roman"/>
          <w:szCs w:val="24"/>
        </w:rPr>
      </w:pPr>
      <w:r w:rsidRPr="00883EAC">
        <w:rPr>
          <w:rFonts w:cs="Times New Roman"/>
          <w:szCs w:val="24"/>
        </w:rPr>
        <w:t>El objeto principal de este trabajo radica principalment</w:t>
      </w:r>
      <w:r w:rsidR="008516B7" w:rsidRPr="00883EAC">
        <w:rPr>
          <w:rFonts w:cs="Times New Roman"/>
          <w:szCs w:val="24"/>
        </w:rPr>
        <w:t>e en esta norma, ya que la ley</w:t>
      </w:r>
      <w:r w:rsidR="00883EAC" w:rsidRPr="00883EAC">
        <w:rPr>
          <w:rFonts w:cs="Times New Roman"/>
          <w:szCs w:val="24"/>
        </w:rPr>
        <w:t xml:space="preserve"> </w:t>
      </w:r>
      <w:r w:rsidR="007F2745" w:rsidRPr="00883EAC">
        <w:rPr>
          <w:rFonts w:cs="Times New Roman"/>
          <w:szCs w:val="24"/>
        </w:rPr>
        <w:t>aprobada</w:t>
      </w:r>
      <w:r w:rsidR="00883EAC" w:rsidRPr="00883EAC">
        <w:rPr>
          <w:rFonts w:cs="Times New Roman"/>
          <w:szCs w:val="24"/>
        </w:rPr>
        <w:t xml:space="preserve"> </w:t>
      </w:r>
      <w:r w:rsidRPr="00883EAC">
        <w:rPr>
          <w:rFonts w:cs="Times New Roman"/>
          <w:szCs w:val="24"/>
        </w:rPr>
        <w:t xml:space="preserve">por el parlamento catalán, </w:t>
      </w:r>
      <w:r w:rsidR="008301E7" w:rsidRPr="00883EAC">
        <w:rPr>
          <w:rFonts w:cs="Times New Roman"/>
          <w:szCs w:val="24"/>
        </w:rPr>
        <w:t>la Ley 19/2017</w:t>
      </w:r>
      <w:r w:rsidR="00EF6E3B" w:rsidRPr="00883EAC">
        <w:rPr>
          <w:rStyle w:val="Refdenotaalpie"/>
          <w:rFonts w:cs="Times New Roman"/>
          <w:szCs w:val="24"/>
        </w:rPr>
        <w:footnoteReference w:id="19"/>
      </w:r>
      <w:r w:rsidR="008301E7" w:rsidRPr="00883EAC">
        <w:rPr>
          <w:rFonts w:cs="Times New Roman"/>
          <w:szCs w:val="24"/>
        </w:rPr>
        <w:t xml:space="preserve"> de referéndum de autodeterminación, contraviene este artículo, </w:t>
      </w:r>
      <w:r w:rsidR="00883EAC" w:rsidRPr="00883EAC">
        <w:rPr>
          <w:rFonts w:cs="Times New Roman"/>
          <w:szCs w:val="24"/>
        </w:rPr>
        <w:t>en la medida en la que tanto</w:t>
      </w:r>
      <w:r w:rsidR="008301E7" w:rsidRPr="00883EAC">
        <w:rPr>
          <w:rFonts w:cs="Times New Roman"/>
          <w:szCs w:val="24"/>
        </w:rPr>
        <w:t xml:space="preserve"> el ejecutivo </w:t>
      </w:r>
      <w:r w:rsidR="007F2745" w:rsidRPr="00883EAC">
        <w:rPr>
          <w:rFonts w:cs="Times New Roman"/>
          <w:szCs w:val="24"/>
        </w:rPr>
        <w:t xml:space="preserve">como </w:t>
      </w:r>
      <w:r w:rsidR="008301E7" w:rsidRPr="00883EAC">
        <w:rPr>
          <w:rFonts w:cs="Times New Roman"/>
          <w:szCs w:val="24"/>
        </w:rPr>
        <w:t>el parlamento catalanes se autoatribuyen un exceso de competencias</w:t>
      </w:r>
      <w:r w:rsidR="009E5724">
        <w:rPr>
          <w:rFonts w:cs="Times New Roman"/>
          <w:szCs w:val="24"/>
        </w:rPr>
        <w:t xml:space="preserve"> </w:t>
      </w:r>
      <w:r w:rsidR="007F2745" w:rsidRPr="00883EAC">
        <w:rPr>
          <w:rFonts w:cs="Times New Roman"/>
          <w:szCs w:val="24"/>
        </w:rPr>
        <w:t>que contravienen el reparto competencial mencionado en la Constitución</w:t>
      </w:r>
      <w:r w:rsidR="008301E7" w:rsidRPr="00883EAC">
        <w:rPr>
          <w:rFonts w:cs="Times New Roman"/>
          <w:szCs w:val="24"/>
        </w:rPr>
        <w:t>.</w:t>
      </w:r>
    </w:p>
    <w:p w:rsidR="00DE20AB" w:rsidRPr="00D806D0" w:rsidRDefault="00EF6E3B" w:rsidP="00DE20AB">
      <w:pPr>
        <w:spacing w:line="360" w:lineRule="auto"/>
        <w:jc w:val="both"/>
        <w:rPr>
          <w:rFonts w:cs="Times New Roman"/>
          <w:szCs w:val="24"/>
        </w:rPr>
      </w:pPr>
      <w:r>
        <w:rPr>
          <w:rFonts w:cs="Times New Roman"/>
          <w:szCs w:val="24"/>
        </w:rPr>
        <w:t>La C</w:t>
      </w:r>
      <w:r w:rsidR="00DE20AB" w:rsidRPr="00D806D0">
        <w:rPr>
          <w:rFonts w:cs="Times New Roman"/>
          <w:szCs w:val="24"/>
        </w:rPr>
        <w:t xml:space="preserve">onstitución determina en su </w:t>
      </w:r>
      <w:r w:rsidR="00DE20AB" w:rsidRPr="00D806D0">
        <w:rPr>
          <w:rFonts w:cs="Times New Roman"/>
          <w:b/>
          <w:szCs w:val="24"/>
        </w:rPr>
        <w:t>artículo 92</w:t>
      </w:r>
      <w:r w:rsidR="00DE20AB" w:rsidRPr="00D806D0">
        <w:rPr>
          <w:rFonts w:cs="Times New Roman"/>
          <w:szCs w:val="24"/>
        </w:rPr>
        <w:t xml:space="preserve"> que</w:t>
      </w:r>
      <w:r>
        <w:rPr>
          <w:rStyle w:val="Refdenotaalpie"/>
          <w:rFonts w:cs="Times New Roman"/>
          <w:szCs w:val="24"/>
        </w:rPr>
        <w:footnoteReference w:id="20"/>
      </w:r>
      <w:r w:rsidR="00DE20AB" w:rsidRPr="00D806D0">
        <w:rPr>
          <w:rFonts w:cs="Times New Roman"/>
          <w:szCs w:val="24"/>
        </w:rPr>
        <w:t>:</w:t>
      </w:r>
    </w:p>
    <w:p w:rsidR="00DE20AB" w:rsidRPr="008301E7" w:rsidRDefault="00DE20AB" w:rsidP="00DE20AB">
      <w:pPr>
        <w:spacing w:line="360" w:lineRule="auto"/>
        <w:jc w:val="both"/>
        <w:rPr>
          <w:rFonts w:cs="Times New Roman"/>
          <w:i/>
          <w:szCs w:val="24"/>
        </w:rPr>
      </w:pPr>
      <w:r w:rsidRPr="008301E7">
        <w:rPr>
          <w:rFonts w:cs="Times New Roman"/>
          <w:i/>
          <w:szCs w:val="24"/>
        </w:rPr>
        <w:t xml:space="preserve">1.  Las decisiones políticas de especial trascendencia podrán ser sometidas a referéndum consultivo de todos los ciudadanos. </w:t>
      </w:r>
    </w:p>
    <w:p w:rsidR="00DE20AB" w:rsidRPr="008301E7" w:rsidRDefault="00DE20AB" w:rsidP="00DE20AB">
      <w:pPr>
        <w:spacing w:line="360" w:lineRule="auto"/>
        <w:jc w:val="both"/>
        <w:rPr>
          <w:rFonts w:cs="Times New Roman"/>
          <w:i/>
          <w:szCs w:val="24"/>
        </w:rPr>
      </w:pPr>
      <w:r w:rsidRPr="008301E7">
        <w:rPr>
          <w:rFonts w:cs="Times New Roman"/>
          <w:i/>
          <w:szCs w:val="24"/>
        </w:rPr>
        <w:t xml:space="preserve">2.  El referéndum será convocado por el Rey, mediante propuesta del Presidente del Gobierno, previamente autorizada por el Congreso de los Diputados. </w:t>
      </w:r>
    </w:p>
    <w:p w:rsidR="00DE20AB" w:rsidRDefault="00DE20AB" w:rsidP="00DE20AB">
      <w:pPr>
        <w:spacing w:line="360" w:lineRule="auto"/>
        <w:jc w:val="both"/>
        <w:rPr>
          <w:rFonts w:cs="Times New Roman"/>
          <w:i/>
          <w:szCs w:val="24"/>
        </w:rPr>
      </w:pPr>
      <w:r w:rsidRPr="008301E7">
        <w:rPr>
          <w:rFonts w:cs="Times New Roman"/>
          <w:i/>
          <w:szCs w:val="24"/>
        </w:rPr>
        <w:t>3.  Una ley orgánica regulará las condiciones y el procedimiento de las distintas modalidades de referéndum previstas en esta Constitución</w:t>
      </w:r>
      <w:r w:rsidR="008301E7">
        <w:rPr>
          <w:rFonts w:cs="Times New Roman"/>
          <w:i/>
          <w:szCs w:val="24"/>
        </w:rPr>
        <w:t>.</w:t>
      </w:r>
    </w:p>
    <w:p w:rsidR="00DE20AB" w:rsidRPr="00D806D0" w:rsidRDefault="00DE20AB" w:rsidP="00DE20AB">
      <w:pPr>
        <w:spacing w:line="360" w:lineRule="auto"/>
        <w:jc w:val="both"/>
        <w:rPr>
          <w:rFonts w:cs="Times New Roman"/>
          <w:szCs w:val="24"/>
        </w:rPr>
      </w:pPr>
      <w:r w:rsidRPr="00D806D0">
        <w:rPr>
          <w:rFonts w:cs="Times New Roman"/>
          <w:szCs w:val="24"/>
        </w:rPr>
        <w:t xml:space="preserve">Esta artículo deja claras algunas cosas, el referéndum, entendido como procedimiento de democracia directa por el cual los ciudadanos ejercen el derecho de sufragio para expresar su </w:t>
      </w:r>
      <w:r>
        <w:rPr>
          <w:rFonts w:cs="Times New Roman"/>
          <w:szCs w:val="24"/>
        </w:rPr>
        <w:t xml:space="preserve">conformidad o no sobre una ley, </w:t>
      </w:r>
      <w:r w:rsidRPr="00D806D0">
        <w:rPr>
          <w:rFonts w:cs="Times New Roman"/>
          <w:szCs w:val="24"/>
        </w:rPr>
        <w:t xml:space="preserve"> acto administrativo</w:t>
      </w:r>
      <w:r>
        <w:rPr>
          <w:rFonts w:cs="Times New Roman"/>
          <w:szCs w:val="24"/>
        </w:rPr>
        <w:t xml:space="preserve"> o acto político</w:t>
      </w:r>
      <w:r w:rsidRPr="00D806D0">
        <w:rPr>
          <w:rFonts w:cs="Times New Roman"/>
          <w:szCs w:val="24"/>
        </w:rPr>
        <w:t xml:space="preserve">, ha </w:t>
      </w:r>
      <w:r w:rsidRPr="00883EAC">
        <w:rPr>
          <w:rFonts w:cs="Times New Roman"/>
          <w:szCs w:val="24"/>
        </w:rPr>
        <w:t>de</w:t>
      </w:r>
      <w:r w:rsidR="00883EAC" w:rsidRPr="00883EAC">
        <w:rPr>
          <w:rFonts w:cs="Times New Roman"/>
          <w:szCs w:val="24"/>
        </w:rPr>
        <w:t>s</w:t>
      </w:r>
      <w:r w:rsidRPr="00883EAC">
        <w:rPr>
          <w:rFonts w:cs="Times New Roman"/>
          <w:szCs w:val="24"/>
        </w:rPr>
        <w:t>hacerse</w:t>
      </w:r>
      <w:r w:rsidRPr="00D806D0">
        <w:rPr>
          <w:rFonts w:cs="Times New Roman"/>
          <w:szCs w:val="24"/>
        </w:rPr>
        <w:t xml:space="preserve"> bajo el consentimiento del Congreso de los Diputados</w:t>
      </w:r>
      <w:r>
        <w:rPr>
          <w:rFonts w:cs="Times New Roman"/>
          <w:szCs w:val="24"/>
        </w:rPr>
        <w:t xml:space="preserve"> (mayoría absoluta fijada por la Ley 2/1980))</w:t>
      </w:r>
      <w:r w:rsidRPr="00D806D0">
        <w:rPr>
          <w:rFonts w:cs="Times New Roman"/>
          <w:szCs w:val="24"/>
        </w:rPr>
        <w:t xml:space="preserve"> y propuesto al Rey para su  convocatoria</w:t>
      </w:r>
      <w:r>
        <w:rPr>
          <w:rFonts w:cs="Times New Roman"/>
          <w:szCs w:val="24"/>
        </w:rPr>
        <w:t xml:space="preserve"> con un Real Decreto, </w:t>
      </w:r>
      <w:r w:rsidR="008301E7">
        <w:rPr>
          <w:rFonts w:cs="Times New Roman"/>
          <w:szCs w:val="24"/>
        </w:rPr>
        <w:t>a instancias del</w:t>
      </w:r>
      <w:r>
        <w:rPr>
          <w:rFonts w:cs="Times New Roman"/>
          <w:szCs w:val="24"/>
        </w:rPr>
        <w:t xml:space="preserve"> Consejo de Ministros </w:t>
      </w:r>
      <w:r w:rsidR="008516B7">
        <w:rPr>
          <w:rFonts w:cs="Times New Roman"/>
          <w:szCs w:val="24"/>
        </w:rPr>
        <w:t xml:space="preserve">y a mediante </w:t>
      </w:r>
      <w:r w:rsidR="008301E7">
        <w:rPr>
          <w:rFonts w:cs="Times New Roman"/>
          <w:szCs w:val="24"/>
        </w:rPr>
        <w:t>el</w:t>
      </w:r>
      <w:r>
        <w:rPr>
          <w:rFonts w:cs="Times New Roman"/>
          <w:szCs w:val="24"/>
        </w:rPr>
        <w:t xml:space="preserve"> Presidente del Gobierno</w:t>
      </w:r>
      <w:r w:rsidRPr="00D806D0">
        <w:rPr>
          <w:rFonts w:cs="Times New Roman"/>
          <w:szCs w:val="24"/>
        </w:rPr>
        <w:t>.</w:t>
      </w:r>
    </w:p>
    <w:p w:rsidR="00DE20AB" w:rsidRPr="00D806D0" w:rsidRDefault="00DE20AB" w:rsidP="00DE20AB">
      <w:pPr>
        <w:spacing w:line="360" w:lineRule="auto"/>
        <w:jc w:val="both"/>
        <w:rPr>
          <w:rFonts w:cs="Times New Roman"/>
          <w:szCs w:val="24"/>
        </w:rPr>
      </w:pPr>
      <w:r w:rsidRPr="00D806D0">
        <w:rPr>
          <w:rFonts w:cs="Times New Roman"/>
          <w:szCs w:val="24"/>
        </w:rPr>
        <w:t>Además, una Ley Orgánica, como procedimiento de desarrollo para normas constitucionales, regulará su funcionamiento.</w:t>
      </w:r>
    </w:p>
    <w:p w:rsidR="00DE20AB" w:rsidRDefault="00DE20AB" w:rsidP="00DE20AB">
      <w:pPr>
        <w:spacing w:line="360" w:lineRule="auto"/>
        <w:jc w:val="both"/>
        <w:rPr>
          <w:rFonts w:cs="Times New Roman"/>
          <w:szCs w:val="24"/>
        </w:rPr>
      </w:pPr>
      <w:r>
        <w:rPr>
          <w:rFonts w:cs="Times New Roman"/>
          <w:szCs w:val="24"/>
        </w:rPr>
        <w:t>La expresión “decisiones políticas de especial trascendencia”, es notablemente ambigua. Esta imprecisión podría llevar a admitir, en principio, que el sometimiento a la consulta popular pudiese comprender tanto la aprobación de un proyecto de ley de especial trascendencia como la celebración de un tratado de relevancia constitucional. En cualquier caso, combinando los dos rasgos más significativos de este referéndum consultivo para decisiones de especial trascendencia “parece que el objeto de la consulta ha de ser una decisión gubernamental, de especial trascendencia y de carácter básico (…) para que el órgano gubernamental, atendiendo y ponderando los resultados de la consulta popular (…) impulse y adopte las medidas procedentes para la formalización del veredicto popular</w:t>
      </w:r>
      <w:r w:rsidR="00EF6E3B">
        <w:rPr>
          <w:rStyle w:val="Refdenotaalpie"/>
          <w:rFonts w:cs="Times New Roman"/>
          <w:szCs w:val="24"/>
        </w:rPr>
        <w:footnoteReference w:id="21"/>
      </w:r>
      <w:r w:rsidR="00EF6E3B">
        <w:rPr>
          <w:rFonts w:cs="Times New Roman"/>
          <w:szCs w:val="24"/>
        </w:rPr>
        <w:t>.</w:t>
      </w:r>
    </w:p>
    <w:p w:rsidR="00DE20AB" w:rsidRDefault="00DE20AB" w:rsidP="00DE20AB">
      <w:pPr>
        <w:spacing w:line="360" w:lineRule="auto"/>
        <w:jc w:val="both"/>
        <w:rPr>
          <w:rFonts w:cs="Times New Roman"/>
          <w:szCs w:val="24"/>
        </w:rPr>
      </w:pPr>
      <w:r>
        <w:rPr>
          <w:rFonts w:cs="Times New Roman"/>
          <w:szCs w:val="24"/>
        </w:rPr>
        <w:t>Bien es cierto, que el objeto sobre el que recae la pregunta formulada es e</w:t>
      </w:r>
      <w:r w:rsidR="00E103FF">
        <w:rPr>
          <w:rFonts w:cs="Times New Roman"/>
          <w:szCs w:val="24"/>
        </w:rPr>
        <w:t>l de</w:t>
      </w:r>
      <w:r>
        <w:rPr>
          <w:rFonts w:cs="Times New Roman"/>
          <w:szCs w:val="24"/>
        </w:rPr>
        <w:t xml:space="preserve"> “adopción de decisiones políticas al margen del proceso legislativo” en principio no se trata de cualquier tipo de decisión sino solo de decisiones políticas, sin embargo, (…) todo parece indicar que cualquier decisión adoptada por el ejecutivo, inevitablemente producirá consecuencias políticas en la sociedad</w:t>
      </w:r>
      <w:r w:rsidR="00EF6E3B">
        <w:rPr>
          <w:rStyle w:val="Refdenotaalpie"/>
          <w:rFonts w:cs="Times New Roman"/>
          <w:szCs w:val="24"/>
        </w:rPr>
        <w:footnoteReference w:id="22"/>
      </w:r>
      <w:r w:rsidRPr="00E103FF">
        <w:rPr>
          <w:rFonts w:cs="Times New Roman"/>
          <w:color w:val="FF0000"/>
          <w:szCs w:val="24"/>
        </w:rPr>
        <w:t>.</w:t>
      </w:r>
    </w:p>
    <w:p w:rsidR="00DE20AB" w:rsidRPr="00D806D0" w:rsidRDefault="00DE20AB" w:rsidP="00DE20AB">
      <w:pPr>
        <w:spacing w:line="360" w:lineRule="auto"/>
        <w:jc w:val="both"/>
        <w:rPr>
          <w:rFonts w:cs="Times New Roman"/>
          <w:szCs w:val="24"/>
        </w:rPr>
      </w:pPr>
      <w:r w:rsidRPr="00D806D0">
        <w:rPr>
          <w:rFonts w:cs="Times New Roman"/>
          <w:szCs w:val="24"/>
        </w:rPr>
        <w:t xml:space="preserve">Otro artículo constitucional a tener en cuenta es </w:t>
      </w:r>
      <w:r w:rsidRPr="00D806D0">
        <w:rPr>
          <w:rFonts w:cs="Times New Roman"/>
          <w:b/>
          <w:szCs w:val="24"/>
        </w:rPr>
        <w:t>el 149</w:t>
      </w:r>
      <w:r w:rsidRPr="00D806D0">
        <w:rPr>
          <w:rFonts w:cs="Times New Roman"/>
          <w:szCs w:val="24"/>
        </w:rPr>
        <w:t>, que se ocupa de las competencias del estado, que le serán propias, y no se podrán ceder a las autonomías. En su apartado 1, punto 32 dice que:</w:t>
      </w:r>
    </w:p>
    <w:p w:rsidR="00DE20AB" w:rsidRPr="008301E7" w:rsidRDefault="00DE20AB" w:rsidP="00DE20AB">
      <w:pPr>
        <w:spacing w:line="360" w:lineRule="auto"/>
        <w:jc w:val="both"/>
        <w:rPr>
          <w:rFonts w:cs="Times New Roman"/>
          <w:i/>
          <w:szCs w:val="24"/>
        </w:rPr>
      </w:pPr>
      <w:r w:rsidRPr="008301E7">
        <w:rPr>
          <w:rFonts w:cs="Times New Roman"/>
          <w:i/>
          <w:szCs w:val="24"/>
        </w:rPr>
        <w:t>1.  El Estado tiene competencia exclusiva sobre las siguientes materias:</w:t>
      </w:r>
    </w:p>
    <w:p w:rsidR="00DE20AB" w:rsidRDefault="00DE20AB" w:rsidP="00DE20AB">
      <w:pPr>
        <w:spacing w:line="360" w:lineRule="auto"/>
        <w:jc w:val="both"/>
        <w:rPr>
          <w:rFonts w:cs="Times New Roman"/>
          <w:i/>
          <w:szCs w:val="24"/>
        </w:rPr>
      </w:pPr>
      <w:r w:rsidRPr="008301E7">
        <w:rPr>
          <w:rFonts w:cs="Times New Roman"/>
          <w:i/>
          <w:szCs w:val="24"/>
        </w:rPr>
        <w:t xml:space="preserve">.32. Autorización para la convocatoria de consultas populares por vía de </w:t>
      </w:r>
      <w:r w:rsidR="002D3C68" w:rsidRPr="008301E7">
        <w:rPr>
          <w:rFonts w:cs="Times New Roman"/>
          <w:i/>
          <w:szCs w:val="24"/>
        </w:rPr>
        <w:t>referéndum. Por</w:t>
      </w:r>
      <w:r w:rsidRPr="008301E7">
        <w:rPr>
          <w:rFonts w:cs="Times New Roman"/>
          <w:i/>
          <w:szCs w:val="24"/>
        </w:rPr>
        <w:t xml:space="preserve"> lo tanto, vuelve a reservar al Estado la competencia para la autorización de referéndums, no dejando más vía a otras entidades que la de pactar su celebración en el Congreso de los Diputados por medio del Gobierno.</w:t>
      </w:r>
    </w:p>
    <w:p w:rsidR="008301E7" w:rsidRPr="005769F9" w:rsidRDefault="008301E7" w:rsidP="00DE20AB">
      <w:pPr>
        <w:spacing w:line="360" w:lineRule="auto"/>
        <w:jc w:val="both"/>
        <w:rPr>
          <w:rFonts w:cs="Times New Roman"/>
          <w:szCs w:val="24"/>
        </w:rPr>
      </w:pPr>
      <w:r w:rsidRPr="005769F9">
        <w:rPr>
          <w:rFonts w:cs="Times New Roman"/>
          <w:szCs w:val="24"/>
        </w:rPr>
        <w:t>Por lo que el Estado se reserva otra vez la competencia de la convocatoria y regulación de referéndums, esta vez, resaltando que es competencia de los poderes de la nación y que no pueden las autonomías ejercer esta competencia.</w:t>
      </w:r>
    </w:p>
    <w:p w:rsidR="008516B7" w:rsidRDefault="008516B7" w:rsidP="00DE20AB">
      <w:pPr>
        <w:pStyle w:val="Ttulo1"/>
        <w:spacing w:line="360" w:lineRule="auto"/>
        <w:jc w:val="both"/>
        <w:rPr>
          <w:rFonts w:eastAsiaTheme="minorHAnsi" w:cs="Times New Roman"/>
          <w:b w:val="0"/>
          <w:bCs w:val="0"/>
          <w:color w:val="FF0000"/>
          <w:sz w:val="24"/>
          <w:szCs w:val="24"/>
        </w:rPr>
      </w:pPr>
    </w:p>
    <w:p w:rsidR="00641416" w:rsidRDefault="00641416">
      <w:r>
        <w:rPr>
          <w:b/>
          <w:bCs/>
        </w:rPr>
        <w:br w:type="page"/>
      </w:r>
    </w:p>
    <w:p w:rsidR="00DE20AB" w:rsidRDefault="00DE20AB" w:rsidP="00DE20AB">
      <w:pPr>
        <w:pStyle w:val="Ttulo1"/>
        <w:spacing w:line="360" w:lineRule="auto"/>
        <w:jc w:val="both"/>
        <w:rPr>
          <w:rFonts w:cs="Times New Roman"/>
          <w:sz w:val="24"/>
          <w:szCs w:val="24"/>
        </w:rPr>
      </w:pPr>
      <w:r w:rsidRPr="00D806D0">
        <w:rPr>
          <w:rFonts w:cs="Times New Roman"/>
          <w:sz w:val="24"/>
          <w:szCs w:val="24"/>
        </w:rPr>
        <w:t>La Ley Orgánica 2/1980</w:t>
      </w:r>
      <w:r w:rsidR="005769F9">
        <w:rPr>
          <w:rFonts w:cs="Times New Roman"/>
          <w:sz w:val="24"/>
          <w:szCs w:val="24"/>
        </w:rPr>
        <w:t xml:space="preserve"> </w:t>
      </w:r>
      <w:r w:rsidRPr="00D806D0">
        <w:rPr>
          <w:rFonts w:cs="Times New Roman"/>
          <w:sz w:val="24"/>
          <w:szCs w:val="24"/>
        </w:rPr>
        <w:t>de 18 de enero sobre la regulación de las distintas modalidades de referéndum</w:t>
      </w:r>
      <w:r w:rsidR="005769F9">
        <w:rPr>
          <w:rStyle w:val="Refdenotaalpie"/>
          <w:rFonts w:cs="Times New Roman"/>
          <w:sz w:val="24"/>
          <w:szCs w:val="24"/>
        </w:rPr>
        <w:footnoteReference w:id="23"/>
      </w:r>
      <w:r w:rsidRPr="00D806D0">
        <w:rPr>
          <w:rFonts w:cs="Times New Roman"/>
          <w:sz w:val="24"/>
          <w:szCs w:val="24"/>
        </w:rPr>
        <w:t>.</w:t>
      </w:r>
    </w:p>
    <w:p w:rsidR="00DE20AB" w:rsidRDefault="00DE20AB" w:rsidP="00DE20AB">
      <w:pPr>
        <w:spacing w:line="360" w:lineRule="auto"/>
        <w:jc w:val="both"/>
      </w:pPr>
    </w:p>
    <w:p w:rsidR="00DE20AB" w:rsidRPr="00667B26" w:rsidRDefault="00DE20AB" w:rsidP="00DE20AB">
      <w:pPr>
        <w:spacing w:line="360" w:lineRule="auto"/>
        <w:jc w:val="both"/>
        <w:rPr>
          <w:b/>
        </w:rPr>
      </w:pPr>
      <w:r>
        <w:rPr>
          <w:b/>
        </w:rPr>
        <w:t>Del referéndum y sus modalidades. Disposiciones generales</w:t>
      </w:r>
    </w:p>
    <w:p w:rsidR="00DE20AB" w:rsidRPr="005769F9" w:rsidRDefault="00DE20AB" w:rsidP="00DE20AB">
      <w:pPr>
        <w:spacing w:line="360" w:lineRule="auto"/>
        <w:jc w:val="both"/>
      </w:pPr>
      <w:r w:rsidRPr="005769F9">
        <w:t xml:space="preserve">El </w:t>
      </w:r>
      <w:r w:rsidRPr="005769F9">
        <w:rPr>
          <w:b/>
        </w:rPr>
        <w:t>artículo segundo</w:t>
      </w:r>
      <w:r w:rsidRPr="005769F9">
        <w:t xml:space="preserve"> repite casi en su totalidad el 92 de la Constitució</w:t>
      </w:r>
      <w:r w:rsidR="008516B7" w:rsidRPr="005769F9">
        <w:t>n diciendo que es potestad del G</w:t>
      </w:r>
      <w:r w:rsidRPr="005769F9">
        <w:t>obierno la proposición de un referéndum vinculante, salvo que, la convocatoria</w:t>
      </w:r>
      <w:r w:rsidR="008301E7" w:rsidRPr="005769F9">
        <w:t xml:space="preserve">, por su razón de </w:t>
      </w:r>
      <w:r w:rsidRPr="005769F9">
        <w:t xml:space="preserve"> ser, esté reservada al Congreso de los Diputados, </w:t>
      </w:r>
      <w:r w:rsidR="005769F9" w:rsidRPr="005769F9">
        <w:t>y</w:t>
      </w:r>
      <w:r w:rsidRPr="005769F9">
        <w:t>,</w:t>
      </w:r>
      <w:r w:rsidR="00F77117" w:rsidRPr="005769F9">
        <w:t xml:space="preserve"> en ambos casos </w:t>
      </w:r>
      <w:r w:rsidRPr="005769F9">
        <w:t xml:space="preserve"> la convocatoria será firmada por el Rey, </w:t>
      </w:r>
      <w:r w:rsidR="00F77117" w:rsidRPr="005769F9">
        <w:t xml:space="preserve">en forma de un </w:t>
      </w:r>
      <w:r w:rsidRPr="005769F9">
        <w:t xml:space="preserve"> Real Decreto </w:t>
      </w:r>
      <w:r w:rsidR="00F77117" w:rsidRPr="005769F9">
        <w:t xml:space="preserve">que tendrá que ser </w:t>
      </w:r>
      <w:r w:rsidRPr="005769F9">
        <w:t xml:space="preserve">validado en Consejo de Ministros y refrendado por el Presidente del Gobierno. Además, el </w:t>
      </w:r>
      <w:r w:rsidRPr="005769F9">
        <w:rPr>
          <w:b/>
        </w:rPr>
        <w:t>artículo cuarto</w:t>
      </w:r>
      <w:r w:rsidRPr="005769F9">
        <w:t xml:space="preserve">, </w:t>
      </w:r>
      <w:r w:rsidR="00F77117" w:rsidRPr="005769F9">
        <w:t xml:space="preserve">establece además un límite temporal </w:t>
      </w:r>
      <w:r w:rsidRPr="005769F9">
        <w:t>nos dice que no podrá celebrarse 90 días antes o después de otro referéndum o de elecciones legislativas en cualquiera de sus modalidades territoriales.</w:t>
      </w:r>
    </w:p>
    <w:p w:rsidR="00DE20AB" w:rsidRPr="005769F9" w:rsidRDefault="00DE20AB" w:rsidP="00DE20AB">
      <w:pPr>
        <w:spacing w:line="360" w:lineRule="auto"/>
        <w:jc w:val="both"/>
      </w:pPr>
      <w:r w:rsidRPr="005769F9">
        <w:t xml:space="preserve">Especial atención merece el </w:t>
      </w:r>
      <w:r w:rsidRPr="005769F9">
        <w:rPr>
          <w:b/>
        </w:rPr>
        <w:t>artículo quinto</w:t>
      </w:r>
      <w:r w:rsidR="005769F9" w:rsidRPr="005769F9">
        <w:rPr>
          <w:b/>
        </w:rPr>
        <w:t xml:space="preserve"> </w:t>
      </w:r>
      <w:r w:rsidR="00F77117" w:rsidRPr="005769F9">
        <w:t>que establece que</w:t>
      </w:r>
      <w:r w:rsidRPr="005769F9">
        <w:t>: El referéndum se decidirá por sufragio universal, libre, igual, directo y secreto en el ámbito que corresponda a la consulta. Este artículo podría ser ambiguo ya que condiciona el referéndum al sufragio universal, pero deja la puerta abierta a que el ámbito sea territorial. En todo caso, siempre debe ser validado por el Estado.</w:t>
      </w:r>
    </w:p>
    <w:p w:rsidR="00DE20AB" w:rsidRDefault="00DE20AB" w:rsidP="00DE20AB">
      <w:pPr>
        <w:spacing w:line="360" w:lineRule="auto"/>
        <w:jc w:val="both"/>
        <w:rPr>
          <w:color w:val="FF0000"/>
        </w:rPr>
      </w:pPr>
      <w:r>
        <w:rPr>
          <w:b/>
        </w:rPr>
        <w:t xml:space="preserve">Artículo sexto. </w:t>
      </w:r>
      <w:r>
        <w:t>La convocatoria de referéndum requiere de la mayoría absoluta de la Cámara Alta. Esto supone una garan</w:t>
      </w:r>
      <w:r w:rsidRPr="00406025">
        <w:rPr>
          <w:color w:val="000000" w:themeColor="text1"/>
        </w:rPr>
        <w:t>tía para la oposición que puede condicionar la opinión de lo que es una dec</w:t>
      </w:r>
      <w:r w:rsidR="00D1166A" w:rsidRPr="00406025">
        <w:rPr>
          <w:color w:val="000000" w:themeColor="text1"/>
        </w:rPr>
        <w:t>isión de especial trascendencia ya que un segundo órgano conoce de esta proposición de referéndum y opina sobre si el motivo de llevarlo a cabo debe entrar en esta categoría o, por el contrario, no.</w:t>
      </w:r>
      <w:r w:rsidR="005769F9" w:rsidRPr="00406025">
        <w:rPr>
          <w:color w:val="000000" w:themeColor="text1"/>
        </w:rPr>
        <w:t xml:space="preserve"> </w:t>
      </w:r>
      <w:r w:rsidR="00D1166A" w:rsidRPr="00406025">
        <w:rPr>
          <w:color w:val="000000" w:themeColor="text1"/>
        </w:rPr>
        <w:t>Así pues, la proposición pasa por un doble filtro, uno por cada cámara.</w:t>
      </w:r>
    </w:p>
    <w:p w:rsidR="009941FE" w:rsidRPr="00F77117" w:rsidRDefault="009941FE" w:rsidP="00DE20AB">
      <w:pPr>
        <w:spacing w:line="360" w:lineRule="auto"/>
        <w:jc w:val="both"/>
        <w:rPr>
          <w:color w:val="FF0000"/>
        </w:rPr>
      </w:pPr>
    </w:p>
    <w:p w:rsidR="00DE20AB" w:rsidRPr="009941FE" w:rsidRDefault="00DE20AB" w:rsidP="009941FE">
      <w:pPr>
        <w:pStyle w:val="Ttulo2"/>
        <w:rPr>
          <w:rFonts w:ascii="Times New Roman" w:hAnsi="Times New Roman" w:cs="Times New Roman"/>
          <w:sz w:val="24"/>
          <w:szCs w:val="24"/>
        </w:rPr>
      </w:pPr>
      <w:r w:rsidRPr="009941FE">
        <w:rPr>
          <w:rFonts w:ascii="Times New Roman" w:hAnsi="Times New Roman" w:cs="Times New Roman"/>
          <w:sz w:val="24"/>
          <w:szCs w:val="24"/>
        </w:rPr>
        <w:t>La convocatoria de referéndums  y consultas en los estatutos de autonomía</w:t>
      </w:r>
    </w:p>
    <w:p w:rsidR="000C295C" w:rsidRPr="000C295C" w:rsidRDefault="000C295C" w:rsidP="000C295C"/>
    <w:p w:rsidR="00DE20AB" w:rsidRPr="005769F9" w:rsidRDefault="00DE20AB" w:rsidP="00DE20AB">
      <w:pPr>
        <w:spacing w:line="360" w:lineRule="auto"/>
        <w:jc w:val="both"/>
      </w:pPr>
      <w:r w:rsidRPr="005769F9">
        <w:t>En España, un total de 6 estatutos de autonomía hablan sobre la convocatoria de referéndums o consultas de los cuales tres, se refieren al artículo 92 de la constitución.</w:t>
      </w:r>
    </w:p>
    <w:p w:rsidR="00DE20AB" w:rsidRPr="005769F9" w:rsidRDefault="00DE20AB" w:rsidP="00DE20AB">
      <w:pPr>
        <w:spacing w:line="360" w:lineRule="auto"/>
        <w:jc w:val="both"/>
      </w:pPr>
      <w:r w:rsidRPr="005769F9">
        <w:t>Los estatutos de Asturias</w:t>
      </w:r>
      <w:r w:rsidR="005769F9" w:rsidRPr="005769F9">
        <w:rPr>
          <w:rStyle w:val="Refdenotaalpie"/>
        </w:rPr>
        <w:footnoteReference w:id="24"/>
      </w:r>
      <w:r w:rsidRPr="005769F9">
        <w:t>, Canarias</w:t>
      </w:r>
      <w:r w:rsidR="005769F9" w:rsidRPr="005769F9">
        <w:rPr>
          <w:rStyle w:val="Refdenotaalpie"/>
        </w:rPr>
        <w:footnoteReference w:id="25"/>
      </w:r>
      <w:r w:rsidRPr="005769F9">
        <w:t xml:space="preserve"> y La Rioja</w:t>
      </w:r>
      <w:r w:rsidR="0026211A" w:rsidRPr="005769F9">
        <w:rPr>
          <w:rStyle w:val="Refdenotaalpie"/>
        </w:rPr>
        <w:footnoteReference w:id="26"/>
      </w:r>
      <w:r w:rsidRPr="005769F9">
        <w:t>,</w:t>
      </w:r>
      <w:r w:rsidR="005769F9" w:rsidRPr="005769F9">
        <w:t xml:space="preserve"> </w:t>
      </w:r>
      <w:r w:rsidRPr="005769F9">
        <w:t>utilizan de forma calcada</w:t>
      </w:r>
      <w:r w:rsidR="005769F9">
        <w:t xml:space="preserve"> </w:t>
      </w:r>
      <w:r w:rsidR="00F77117" w:rsidRPr="005769F9">
        <w:t xml:space="preserve">la misma formulación </w:t>
      </w:r>
      <w:r w:rsidRPr="005769F9">
        <w:t>que dice así:</w:t>
      </w:r>
    </w:p>
    <w:p w:rsidR="00DE20AB" w:rsidRDefault="00DE20AB" w:rsidP="00DE20AB">
      <w:pPr>
        <w:spacing w:line="360" w:lineRule="auto"/>
        <w:jc w:val="both"/>
        <w:rPr>
          <w:i/>
        </w:rPr>
      </w:pPr>
      <w:r w:rsidRPr="00B845C3">
        <w:rPr>
          <w:i/>
        </w:rPr>
        <w:t xml:space="preserve">“Sistema de consultas populares en el ámbito de </w:t>
      </w:r>
      <w:r w:rsidRPr="008516B7">
        <w:t>(comunidad autónoma),</w:t>
      </w:r>
      <w:r w:rsidRPr="00B845C3">
        <w:rPr>
          <w:i/>
        </w:rPr>
        <w:t xml:space="preserve"> de conformidad con lo que se disponga la Ley a la que se refiere el apartado 3 del artículo 92 de la constitución y demás Leyes del Estado, correspondiendo a éste la autorización de su convocatoria”</w:t>
      </w:r>
    </w:p>
    <w:p w:rsidR="00CF57FD" w:rsidRPr="009F4E73" w:rsidRDefault="00DE20AB" w:rsidP="00DE20AB">
      <w:pPr>
        <w:spacing w:line="360" w:lineRule="auto"/>
        <w:jc w:val="both"/>
        <w:rPr>
          <w:rFonts w:cs="Times New Roman"/>
          <w:szCs w:val="24"/>
        </w:rPr>
      </w:pPr>
      <w:r>
        <w:t xml:space="preserve">Por lo que estas tres comunidades acatan la restricción constitucional de convocatoria única por el Estado del tipo de consultas y se reservan la potestad de convocar una consulta, siempre de acuerdo con la Ley </w:t>
      </w:r>
      <w:r w:rsidRPr="00D806D0">
        <w:rPr>
          <w:rFonts w:cs="Times New Roman"/>
          <w:szCs w:val="24"/>
        </w:rPr>
        <w:t>Orgánica 2/1980</w:t>
      </w:r>
      <w:r>
        <w:rPr>
          <w:rFonts w:cs="Times New Roman"/>
          <w:szCs w:val="24"/>
        </w:rPr>
        <w:t>. Cosa que también hace Extremadura en el artículo 50 de su estatuto, atribuyéndose la convocatoria de consultas populares no vincul</w:t>
      </w:r>
      <w:r w:rsidR="009F4E73">
        <w:rPr>
          <w:rFonts w:cs="Times New Roman"/>
          <w:szCs w:val="24"/>
        </w:rPr>
        <w:t>antes diferentes al referéndum</w:t>
      </w:r>
      <w:r w:rsidR="0026211A">
        <w:rPr>
          <w:rStyle w:val="Refdenotaalpie"/>
          <w:rFonts w:cs="Times New Roman"/>
          <w:szCs w:val="24"/>
        </w:rPr>
        <w:footnoteReference w:id="27"/>
      </w:r>
      <w:r w:rsidR="009F4E73">
        <w:rPr>
          <w:rFonts w:cs="Times New Roman"/>
          <w:szCs w:val="24"/>
        </w:rPr>
        <w:t xml:space="preserve">. </w:t>
      </w:r>
    </w:p>
    <w:p w:rsidR="00DE20AB" w:rsidRDefault="00DE20AB" w:rsidP="00DE20AB">
      <w:pPr>
        <w:spacing w:line="360" w:lineRule="auto"/>
        <w:jc w:val="both"/>
        <w:rPr>
          <w:rFonts w:cs="Times New Roman"/>
          <w:szCs w:val="24"/>
        </w:rPr>
      </w:pPr>
      <w:r>
        <w:rPr>
          <w:rFonts w:cs="Times New Roman"/>
          <w:szCs w:val="24"/>
        </w:rPr>
        <w:t>El Estatuto de Autonomía de Andalucía desarrolla un poco más en su estatuto la legislación sobre consultas populares, pero sometiéndose siempre a la Constitución de la siguiente forma:</w:t>
      </w:r>
    </w:p>
    <w:p w:rsidR="00DE20AB" w:rsidRDefault="00DE20AB" w:rsidP="00DE20AB">
      <w:pPr>
        <w:spacing w:line="360" w:lineRule="auto"/>
        <w:jc w:val="both"/>
        <w:rPr>
          <w:rFonts w:cs="Times New Roman"/>
          <w:szCs w:val="24"/>
        </w:rPr>
      </w:pPr>
      <w:r>
        <w:rPr>
          <w:rFonts w:cs="Times New Roman"/>
          <w:szCs w:val="24"/>
        </w:rPr>
        <w:t xml:space="preserve">Artículo 30. </w:t>
      </w:r>
      <w:r w:rsidRPr="00583193">
        <w:rPr>
          <w:rFonts w:cs="Times New Roman"/>
          <w:szCs w:val="24"/>
        </w:rPr>
        <w:t>c) El derecho a promover la convocatoria de consultas populares por la Junta de Andalucía o por los Ayuntamientos, en los términos que establezcan las leyes</w:t>
      </w:r>
    </w:p>
    <w:p w:rsidR="00DE20AB" w:rsidRDefault="00DE20AB" w:rsidP="00DE20AB">
      <w:pPr>
        <w:spacing w:line="360" w:lineRule="auto"/>
        <w:jc w:val="both"/>
        <w:rPr>
          <w:rFonts w:cs="Times New Roman"/>
          <w:szCs w:val="24"/>
        </w:rPr>
      </w:pPr>
      <w:r w:rsidRPr="00583193">
        <w:rPr>
          <w:rFonts w:cs="Times New Roman"/>
          <w:szCs w:val="24"/>
        </w:rPr>
        <w:t>Artículo 78. Consultas populares. Corresponde a la Junta de Andalucía la competencia exclusiva para el establecimiento del régimen jurídico, las modalidades, el procedimiento, la realización y la convocatoria por ella misma o por los entes locales en el ámbito de sus competencias de encuestas, audiencias públicas, foros de participación y cualquier otro instrumento de consulta popular, con la excepción del referéndum.</w:t>
      </w:r>
    </w:p>
    <w:p w:rsidR="00CF57FD" w:rsidRPr="009F4E73" w:rsidRDefault="00DE20AB" w:rsidP="00DE20AB">
      <w:pPr>
        <w:spacing w:line="360" w:lineRule="auto"/>
        <w:jc w:val="both"/>
        <w:rPr>
          <w:rFonts w:cs="Times New Roman"/>
          <w:szCs w:val="24"/>
        </w:rPr>
      </w:pPr>
      <w:r w:rsidRPr="00BE2C55">
        <w:rPr>
          <w:rFonts w:cs="Times New Roman"/>
          <w:szCs w:val="24"/>
        </w:rPr>
        <w:t>Artículo 117. Funciones y responsabilidad ante el Parlamento.4. El Presidente podrá proponer por iniciativa propia o a solicitud de los ciudadanos, de conformidad con lo establecido en el artículo 78 y en la legislación del Estado, la celebración de consultas populares en el ámbito de la Comunidad Autónoma, sobre cuestiones de interés general en materias autonómicas o locales</w:t>
      </w:r>
      <w:r w:rsidR="008229A3">
        <w:rPr>
          <w:rStyle w:val="Refdenotaalpie"/>
          <w:rFonts w:cs="Times New Roman"/>
          <w:szCs w:val="24"/>
        </w:rPr>
        <w:footnoteReference w:id="28"/>
      </w:r>
      <w:r w:rsidRPr="00BE2C55">
        <w:rPr>
          <w:rFonts w:cs="Times New Roman"/>
          <w:szCs w:val="24"/>
        </w:rPr>
        <w:t>.</w:t>
      </w:r>
    </w:p>
    <w:p w:rsidR="00D66A57" w:rsidRPr="005769F9" w:rsidRDefault="00DE20AB" w:rsidP="00DE20AB">
      <w:pPr>
        <w:spacing w:line="360" w:lineRule="auto"/>
        <w:jc w:val="both"/>
        <w:rPr>
          <w:rFonts w:cs="Times New Roman"/>
          <w:szCs w:val="24"/>
        </w:rPr>
      </w:pPr>
      <w:r w:rsidRPr="00096D0B">
        <w:rPr>
          <w:rFonts w:cs="Times New Roman"/>
          <w:szCs w:val="24"/>
        </w:rPr>
        <w:t xml:space="preserve">El estatuto de Cataluña suscribe lo sancionado por el parlamento de Andalucía en su </w:t>
      </w:r>
      <w:r w:rsidRPr="000C295C">
        <w:rPr>
          <w:rFonts w:cs="Times New Roman"/>
          <w:szCs w:val="24"/>
        </w:rPr>
        <w:t>artículo6</w:t>
      </w:r>
      <w:r w:rsidRPr="00096D0B">
        <w:rPr>
          <w:rFonts w:cs="Times New Roman"/>
          <w:szCs w:val="24"/>
        </w:rPr>
        <w:t xml:space="preserve"> diciendo que los ciudadanos catalanes tienen el derecho de promover convocatorias de consultas populares por  parte del gobierno catalán y los consistorios municipales en la forma y condiciones que marca la legalidad vigente, y asimismo se reserva la competencia en su artículo 122 de crear el régimen jurídico, la realización y la convocatoria de encuestas y audiencias públicas, foros de participación y cualquier otro instrumento de consulta popular, p</w:t>
      </w:r>
      <w:r>
        <w:rPr>
          <w:rFonts w:cs="Times New Roman"/>
          <w:szCs w:val="24"/>
        </w:rPr>
        <w:t>ero respetando la C</w:t>
      </w:r>
      <w:r w:rsidRPr="00096D0B">
        <w:rPr>
          <w:rFonts w:cs="Times New Roman"/>
          <w:szCs w:val="24"/>
        </w:rPr>
        <w:t xml:space="preserve">onstitución declarando: “con </w:t>
      </w:r>
      <w:r w:rsidRPr="005769F9">
        <w:rPr>
          <w:rFonts w:cs="Times New Roman"/>
          <w:szCs w:val="24"/>
        </w:rPr>
        <w:t xml:space="preserve">excepción de lo previsto en el </w:t>
      </w:r>
      <w:r w:rsidR="00F77117" w:rsidRPr="005769F9">
        <w:rPr>
          <w:rFonts w:cs="Times New Roman"/>
          <w:szCs w:val="24"/>
        </w:rPr>
        <w:t>artículo</w:t>
      </w:r>
      <w:r w:rsidRPr="005769F9">
        <w:rPr>
          <w:rFonts w:cs="Times New Roman"/>
          <w:szCs w:val="24"/>
        </w:rPr>
        <w:t xml:space="preserve"> 149.1.32 de la Constitución Española</w:t>
      </w:r>
      <w:r w:rsidR="008229A3" w:rsidRPr="005769F9">
        <w:rPr>
          <w:rStyle w:val="Refdenotaalpie"/>
          <w:rFonts w:cs="Times New Roman"/>
          <w:szCs w:val="24"/>
        </w:rPr>
        <w:footnoteReference w:id="29"/>
      </w:r>
      <w:r w:rsidRPr="005769F9">
        <w:rPr>
          <w:rFonts w:cs="Times New Roman"/>
          <w:szCs w:val="24"/>
        </w:rPr>
        <w:t>.</w:t>
      </w:r>
    </w:p>
    <w:p w:rsidR="00DE20AB" w:rsidRPr="005769F9" w:rsidRDefault="00DE20AB" w:rsidP="00DE20AB">
      <w:pPr>
        <w:spacing w:line="360" w:lineRule="auto"/>
        <w:jc w:val="both"/>
      </w:pPr>
      <w:r w:rsidRPr="005769F9">
        <w:t xml:space="preserve">Este artículo fue incluido en el recurso que el grupo parlamentario del partido popular </w:t>
      </w:r>
      <w:r w:rsidR="000C295C" w:rsidRPr="005769F9">
        <w:t>presentó</w:t>
      </w:r>
      <w:r w:rsidRPr="005769F9">
        <w:t xml:space="preserve"> en la sede del Tribunal Constitucional</w:t>
      </w:r>
      <w:r w:rsidR="000C295C" w:rsidRPr="005769F9">
        <w:t xml:space="preserve"> sobre la inconstitucionalidad parcial del nuevo Estatuto de Autonomía de Cataluña</w:t>
      </w:r>
      <w:r w:rsidR="00406025">
        <w:t xml:space="preserve"> </w:t>
      </w:r>
      <w:r w:rsidRPr="005769F9">
        <w:t>junto con muchos otros</w:t>
      </w:r>
      <w:r w:rsidR="008229A3" w:rsidRPr="005769F9">
        <w:rPr>
          <w:rStyle w:val="Refdenotaalpie"/>
        </w:rPr>
        <w:footnoteReference w:id="30"/>
      </w:r>
      <w:r w:rsidR="008229A3" w:rsidRPr="005769F9">
        <w:t>,</w:t>
      </w:r>
      <w:r w:rsidRPr="005769F9">
        <w:t xml:space="preserve">pero la Sentencia 31/2010 </w:t>
      </w:r>
      <w:r w:rsidR="000C295C" w:rsidRPr="005769F9">
        <w:t>que se pronunció en relación con diversos preceptos de la Ley Orgánica 6/2006 de reforma del Estatuto de Autonomía de Cataluña,</w:t>
      </w:r>
      <w:r w:rsidR="005769F9" w:rsidRPr="005769F9">
        <w:t xml:space="preserve"> </w:t>
      </w:r>
      <w:r w:rsidRPr="005769F9">
        <w:t xml:space="preserve">ratificó su constitucionalidad diciendo que el </w:t>
      </w:r>
      <w:r w:rsidR="00F77117" w:rsidRPr="005769F9">
        <w:t>artículo</w:t>
      </w:r>
      <w:r w:rsidRPr="005769F9">
        <w:t xml:space="preserve"> “es perfectamente conforme con la Constitución, en el bien entendido de que en la expresión cualquier otro instrumento de consulta popular no se comprende el referéndum. Tal entendimiento parece implícito en el propio art. 122 </w:t>
      </w:r>
      <w:r w:rsidR="008516B7" w:rsidRPr="005769F9">
        <w:t xml:space="preserve">del </w:t>
      </w:r>
      <w:r w:rsidRPr="005769F9">
        <w:t>E</w:t>
      </w:r>
      <w:r w:rsidR="008516B7" w:rsidRPr="005769F9">
        <w:t xml:space="preserve">statuto de </w:t>
      </w:r>
      <w:r w:rsidRPr="005769F9">
        <w:t>A</w:t>
      </w:r>
      <w:r w:rsidR="008516B7" w:rsidRPr="005769F9">
        <w:t xml:space="preserve">utonomía de </w:t>
      </w:r>
      <w:r w:rsidRPr="005769F9">
        <w:t>C</w:t>
      </w:r>
      <w:r w:rsidR="008516B7" w:rsidRPr="005769F9">
        <w:t>ataluña</w:t>
      </w:r>
      <w:r w:rsidRPr="005769F9">
        <w:t>, que hace excepción expresa “de lo previsto en el artículo 149.1.32 de la Constitución”. Sin embargo, esa excepción no puede limitarse a la autorización estatal para la convocatoria de consultas populares por vía de referéndum, sino que ha de extenderse a la entera disciplina de esa institución, esto es, a su establecimiento y regulación."</w:t>
      </w:r>
      <w:r w:rsidR="008229A3" w:rsidRPr="005769F9">
        <w:rPr>
          <w:rStyle w:val="Refdenotaalpie"/>
        </w:rPr>
        <w:footnoteReference w:id="31"/>
      </w:r>
      <w:r w:rsidR="008229A3" w:rsidRPr="005769F9">
        <w:t>.</w:t>
      </w:r>
    </w:p>
    <w:p w:rsidR="00637F8D" w:rsidRPr="009941FE" w:rsidRDefault="00DE20AB" w:rsidP="009941FE">
      <w:pPr>
        <w:spacing w:line="360" w:lineRule="auto"/>
      </w:pPr>
      <w:r w:rsidRPr="005769F9">
        <w:t>No corrieron la misma suerte la ley 4/2010 de consultas populares por vía referéndum, anulada en su totalidad por la Sentencia 51/2017 y la Ley 19/2017 del Referéndum de Autodeterminación.</w:t>
      </w:r>
    </w:p>
    <w:p w:rsidR="00DE20AB" w:rsidRDefault="000C295C" w:rsidP="00DE20AB">
      <w:pPr>
        <w:rPr>
          <w:b/>
          <w:u w:val="single"/>
        </w:rPr>
      </w:pPr>
      <w:r>
        <w:rPr>
          <w:b/>
          <w:u w:val="single"/>
        </w:rPr>
        <w:t xml:space="preserve">2.2 </w:t>
      </w:r>
      <w:r w:rsidR="00DE20AB">
        <w:rPr>
          <w:b/>
          <w:u w:val="single"/>
        </w:rPr>
        <w:t>EL R</w:t>
      </w:r>
      <w:r w:rsidR="00F01E53">
        <w:rPr>
          <w:b/>
          <w:u w:val="single"/>
        </w:rPr>
        <w:t>EFERÉNDUM DEL 1 DE OCTUBRE, ¿FUE</w:t>
      </w:r>
      <w:r w:rsidR="00DE20AB">
        <w:rPr>
          <w:b/>
          <w:u w:val="single"/>
        </w:rPr>
        <w:t xml:space="preserve"> LEGAL?</w:t>
      </w:r>
    </w:p>
    <w:p w:rsidR="00DE20AB" w:rsidRPr="00DE20AB" w:rsidRDefault="00DE20AB" w:rsidP="00DE20AB">
      <w:pPr>
        <w:rPr>
          <w:b/>
          <w:u w:val="single"/>
        </w:rPr>
      </w:pPr>
    </w:p>
    <w:p w:rsidR="00DE20AB" w:rsidRDefault="00DE20AB" w:rsidP="0090349C">
      <w:pPr>
        <w:spacing w:line="360" w:lineRule="auto"/>
        <w:jc w:val="both"/>
      </w:pPr>
      <w:r w:rsidRPr="004906CE">
        <w:t xml:space="preserve">Analizando las normas expuestas anteriormente, </w:t>
      </w:r>
      <w:r w:rsidR="00F77117" w:rsidRPr="004906CE">
        <w:t xml:space="preserve">puede afirmarse categóricamente que </w:t>
      </w:r>
      <w:r w:rsidRPr="004906CE">
        <w:t>no. La intención del gobierno catalán era la de hacer un referéndum con todos sus</w:t>
      </w:r>
      <w:r>
        <w:t xml:space="preserve"> requisitos y sus consecuencias de cara a un reconocimiento de la comunidad internacional.</w:t>
      </w:r>
    </w:p>
    <w:p w:rsidR="0090349C" w:rsidRDefault="00DE20AB" w:rsidP="0090349C">
      <w:pPr>
        <w:spacing w:line="360" w:lineRule="auto"/>
        <w:jc w:val="both"/>
      </w:pPr>
      <w:r>
        <w:t>La primera norma que lo impide es el artículo 92 de la Constitución Española, en su apartado 2:</w:t>
      </w:r>
    </w:p>
    <w:p w:rsidR="00DE20AB" w:rsidRPr="0090349C" w:rsidRDefault="00DE20AB" w:rsidP="0090349C">
      <w:pPr>
        <w:spacing w:line="360" w:lineRule="auto"/>
        <w:jc w:val="both"/>
      </w:pPr>
      <w:r w:rsidRPr="003C11AA">
        <w:rPr>
          <w:rFonts w:cs="Times New Roman"/>
          <w:i/>
          <w:szCs w:val="24"/>
        </w:rPr>
        <w:t xml:space="preserve">El referéndum será convocado por el Rey, mediante propuesta del Presidente del Gobierno, previamente autorizada por el Congreso de los Diputados. </w:t>
      </w:r>
    </w:p>
    <w:p w:rsidR="00DE20AB" w:rsidRDefault="00DE20AB" w:rsidP="0090349C">
      <w:pPr>
        <w:spacing w:line="360" w:lineRule="auto"/>
        <w:jc w:val="both"/>
        <w:rPr>
          <w:rFonts w:cs="Times New Roman"/>
          <w:szCs w:val="24"/>
        </w:rPr>
      </w:pPr>
      <w:r>
        <w:rPr>
          <w:rFonts w:cs="Times New Roman"/>
          <w:szCs w:val="24"/>
        </w:rPr>
        <w:t>Incumple la norma de convocatoria de referéndums, que exi</w:t>
      </w:r>
      <w:r w:rsidR="008516B7">
        <w:rPr>
          <w:rFonts w:cs="Times New Roman"/>
          <w:szCs w:val="24"/>
        </w:rPr>
        <w:t>ge que sean convocados por la Jefatura del E</w:t>
      </w:r>
      <w:r>
        <w:rPr>
          <w:rFonts w:cs="Times New Roman"/>
          <w:szCs w:val="24"/>
        </w:rPr>
        <w:t>stado, a proposición del gobierno central, y aprobada en la cámara baja.</w:t>
      </w:r>
    </w:p>
    <w:p w:rsidR="002F42FD" w:rsidRDefault="00DE20AB" w:rsidP="00DE20AB">
      <w:pPr>
        <w:spacing w:line="360" w:lineRule="auto"/>
        <w:jc w:val="both"/>
        <w:rPr>
          <w:rFonts w:cs="Times New Roman"/>
          <w:szCs w:val="24"/>
        </w:rPr>
      </w:pPr>
      <w:r>
        <w:rPr>
          <w:rFonts w:cs="Times New Roman"/>
          <w:szCs w:val="24"/>
        </w:rPr>
        <w:t>Este referéndum fue convocado de manera unilateral por Carles Puigdemont, el presidente en ese momento del ejecutivo autonómico,</w:t>
      </w:r>
      <w:r w:rsidR="008516B7">
        <w:rPr>
          <w:rFonts w:cs="Times New Roman"/>
          <w:szCs w:val="24"/>
        </w:rPr>
        <w:t xml:space="preserve"> sin mediar negociación con el G</w:t>
      </w:r>
      <w:r>
        <w:rPr>
          <w:rFonts w:cs="Times New Roman"/>
          <w:szCs w:val="24"/>
        </w:rPr>
        <w:t xml:space="preserve">obierno del Estado, y sin su sometimiento a votación </w:t>
      </w:r>
      <w:r w:rsidR="002F42FD">
        <w:rPr>
          <w:rFonts w:cs="Times New Roman"/>
          <w:szCs w:val="24"/>
        </w:rPr>
        <w:t>en el Congreso de los Diputados</w:t>
      </w:r>
      <w:r w:rsidR="008229A3">
        <w:rPr>
          <w:rStyle w:val="Refdenotaalpie"/>
          <w:rFonts w:cs="Times New Roman"/>
          <w:szCs w:val="24"/>
        </w:rPr>
        <w:footnoteReference w:id="32"/>
      </w:r>
      <w:r w:rsidR="008229A3">
        <w:rPr>
          <w:rFonts w:cs="Times New Roman"/>
          <w:szCs w:val="24"/>
        </w:rPr>
        <w:t>.</w:t>
      </w:r>
    </w:p>
    <w:p w:rsidR="00DE20AB" w:rsidRPr="00EA2617" w:rsidRDefault="00DE20AB" w:rsidP="0090349C">
      <w:pPr>
        <w:spacing w:line="360" w:lineRule="auto"/>
        <w:jc w:val="both"/>
        <w:rPr>
          <w:i/>
        </w:rPr>
      </w:pPr>
      <w:r>
        <w:rPr>
          <w:rFonts w:cs="Times New Roman"/>
          <w:szCs w:val="24"/>
        </w:rPr>
        <w:t>Además, se autoatribuye una competencia que no le es dada constitucionalmente, ni delegada con posterioridad, que es la convocatoria</w:t>
      </w:r>
      <w:r w:rsidR="008516B7">
        <w:rPr>
          <w:rFonts w:cs="Times New Roman"/>
          <w:szCs w:val="24"/>
        </w:rPr>
        <w:t xml:space="preserve"> de este tipo de consultas. La c</w:t>
      </w:r>
      <w:r>
        <w:rPr>
          <w:rFonts w:cs="Times New Roman"/>
          <w:szCs w:val="24"/>
        </w:rPr>
        <w:t>onstitución actual</w:t>
      </w:r>
      <w:r w:rsidR="008516B7">
        <w:rPr>
          <w:rFonts w:cs="Times New Roman"/>
          <w:szCs w:val="24"/>
        </w:rPr>
        <w:t>,</w:t>
      </w:r>
      <w:r>
        <w:rPr>
          <w:rFonts w:cs="Times New Roman"/>
          <w:szCs w:val="24"/>
        </w:rPr>
        <w:t xml:space="preserve"> ya se reserva esta competencia en el artículo 149.1.32, y el Estatuto de Autonomía de Cataluña lo reconoce en su artículo </w:t>
      </w:r>
      <w:r w:rsidRPr="00096D0B">
        <w:t>12</w:t>
      </w:r>
      <w:r>
        <w:t xml:space="preserve">2, diciendo que </w:t>
      </w:r>
      <w:r w:rsidRPr="00A22965">
        <w:rPr>
          <w:i/>
        </w:rPr>
        <w:t>“Corresponde a la Generalitat la competencia exclusiva para el establecimiento del régimen jurídico, las modalidades, el procedimiento, la realización y la convocatoria por la propia Generalitat o por los entes locales, en el ámbito de sus competencias, de encuestas, audiencias públicas, foros de participación y cualquier otro instrumento de consulta popular, con excepción de lo previsto en el artículo 149.1.32 de la Constitución”</w:t>
      </w:r>
    </w:p>
    <w:p w:rsidR="009F4E73" w:rsidRDefault="00DE20AB" w:rsidP="0090349C">
      <w:pPr>
        <w:spacing w:line="360" w:lineRule="auto"/>
        <w:jc w:val="both"/>
      </w:pPr>
      <w:r w:rsidRPr="004906CE">
        <w:t xml:space="preserve">La Ley 19/2017 de Referéndum de </w:t>
      </w:r>
      <w:r w:rsidR="002D3C68" w:rsidRPr="004906CE">
        <w:t>Autodeterminación</w:t>
      </w:r>
      <w:r w:rsidRPr="004906CE">
        <w:t>, es la norma convocante, emanada del Parlamento de Cataluña, que convoca y regula el pretendido referéndum</w:t>
      </w:r>
      <w:r w:rsidR="008229A3" w:rsidRPr="004906CE">
        <w:rPr>
          <w:rStyle w:val="Refdenotaalpie"/>
        </w:rPr>
        <w:footnoteReference w:id="33"/>
      </w:r>
      <w:r w:rsidRPr="004906CE">
        <w:t xml:space="preserve">.Esta no atiende a la legalidad española, y ha sido recurrida en el </w:t>
      </w:r>
      <w:r w:rsidR="004906CE" w:rsidRPr="004906CE">
        <w:t>Tribunal C</w:t>
      </w:r>
      <w:r w:rsidRPr="004906CE">
        <w:t xml:space="preserve">onstitucional, que en </w:t>
      </w:r>
      <w:r w:rsidR="002D3C68" w:rsidRPr="004906CE">
        <w:t>Providencia</w:t>
      </w:r>
      <w:r w:rsidRPr="004906CE">
        <w:t xml:space="preserve"> de 7 de septiembre de 2017</w:t>
      </w:r>
      <w:r w:rsidR="004261F5" w:rsidRPr="004906CE">
        <w:rPr>
          <w:rStyle w:val="Refdenotaalpie"/>
          <w:color w:val="FF0000"/>
        </w:rPr>
        <w:footnoteReference w:id="34"/>
      </w:r>
      <w:r w:rsidR="004261F5" w:rsidRPr="004906CE">
        <w:rPr>
          <w:color w:val="FF0000"/>
        </w:rPr>
        <w:t>.</w:t>
      </w:r>
      <w:r w:rsidRPr="004906CE">
        <w:t xml:space="preserve"> </w:t>
      </w:r>
      <w:r w:rsidR="00406025" w:rsidRPr="004906CE">
        <w:t>Acuerda</w:t>
      </w:r>
      <w:r w:rsidRPr="004906CE">
        <w:t xml:space="preserve"> su suspensión, invocando</w:t>
      </w:r>
      <w:r>
        <w:t xml:space="preserve"> el artículo 161.2 de la </w:t>
      </w:r>
      <w:r w:rsidRPr="004906CE">
        <w:t>Constitución</w:t>
      </w:r>
      <w:r w:rsidR="008516B7" w:rsidRPr="004906CE">
        <w:t>, que dice que el Recurso de inconstitucionalidad efectuado por el Gobierno de España, ante cualquier norma autonómica, conlleva inmediatamente la sus pensión cautelar de la norma,</w:t>
      </w:r>
      <w:r w:rsidRPr="004906CE">
        <w:t xml:space="preserve"> hasta que se resuelva el recurso de inconstitucionalidad interpuesto contra  </w:t>
      </w:r>
      <w:r w:rsidR="008516B7" w:rsidRPr="004906CE">
        <w:t>ella.</w:t>
      </w:r>
    </w:p>
    <w:p w:rsidR="00DE20AB" w:rsidRDefault="00DE20AB" w:rsidP="0090349C">
      <w:pPr>
        <w:spacing w:line="360" w:lineRule="auto"/>
        <w:jc w:val="both"/>
      </w:pPr>
      <w:r>
        <w:t xml:space="preserve">Sin embargo, el Gobierno de Cataluña, por medio de su portavoz, Jordi Turull, advirtió que el </w:t>
      </w:r>
      <w:r w:rsidRPr="00406025">
        <w:t>Govern</w:t>
      </w:r>
      <w:r>
        <w:t xml:space="preserve"> desobedecería al Tribunal Constitucional </w:t>
      </w:r>
      <w:r w:rsidRPr="000C295C">
        <w:t>si anula</w:t>
      </w:r>
      <w:r w:rsidR="000C295C" w:rsidRPr="000C295C">
        <w:t>ba</w:t>
      </w:r>
      <w:r>
        <w:t xml:space="preserve"> la Ley de </w:t>
      </w:r>
      <w:r w:rsidR="002D3C68">
        <w:t>Referéndum</w:t>
      </w:r>
      <w:r>
        <w:t xml:space="preserve"> y solo “obedecerá el mandato” del  parlamento catalán “con todas las consecuencias”</w:t>
      </w:r>
      <w:r w:rsidR="00E36760">
        <w:rPr>
          <w:rStyle w:val="Refdenotaalpie"/>
        </w:rPr>
        <w:footnoteReference w:id="35"/>
      </w:r>
      <w:r w:rsidR="00E36760">
        <w:t>.</w:t>
      </w:r>
    </w:p>
    <w:p w:rsidR="00DE20AB" w:rsidRDefault="00DE20AB">
      <w:r>
        <w:br w:type="page"/>
      </w:r>
    </w:p>
    <w:p w:rsidR="00DE20AB" w:rsidRDefault="00F94249" w:rsidP="00F94249">
      <w:pPr>
        <w:pStyle w:val="Ttulo1"/>
      </w:pPr>
      <w:r w:rsidRPr="00F94249">
        <w:rPr>
          <w:bCs w:val="0"/>
        </w:rPr>
        <w:t>3.</w:t>
      </w:r>
      <w:r w:rsidR="00DE20AB">
        <w:t>ANALISIS DE LA LEGITIMIDAD DEL GOBIERNO CATALÁN PARA CONVOCAR UN REFERENDUM</w:t>
      </w:r>
    </w:p>
    <w:p w:rsidR="00F94249" w:rsidRDefault="00F94249" w:rsidP="00F94249"/>
    <w:p w:rsidR="00F94249" w:rsidRDefault="00F94249" w:rsidP="0090349C">
      <w:pPr>
        <w:spacing w:line="360" w:lineRule="auto"/>
        <w:jc w:val="both"/>
      </w:pPr>
      <w:r>
        <w:t>A lo largo de todo el proceso, el ejecutivo autonómico catalán, se ha amparado en una serie de argumentos para justificar la legitimidad de la consulta, aunque fuera en contra del cuerpo normativo español.</w:t>
      </w:r>
    </w:p>
    <w:p w:rsidR="00F94249" w:rsidRDefault="00F94249" w:rsidP="0090349C">
      <w:pPr>
        <w:spacing w:line="360" w:lineRule="auto"/>
        <w:jc w:val="both"/>
      </w:pPr>
      <w:r>
        <w:t>Estas se basan en el Derecho de Autodeterminación de los Pueblos, promulgado en los Pactos de Nueva York, y que en otros territorios se ha permitido la celebración de un referéndum de autodeterminación.</w:t>
      </w:r>
    </w:p>
    <w:p w:rsidR="00F94249" w:rsidRPr="00F94249" w:rsidRDefault="00F94249" w:rsidP="0090349C">
      <w:pPr>
        <w:spacing w:line="360" w:lineRule="auto"/>
        <w:jc w:val="both"/>
      </w:pPr>
      <w:r>
        <w:t xml:space="preserve">Se procede en los siguientes puntos a exponer este derecho y los casos precedentes de Escocia y Quebec y a analizar si, tal como dicen estas personas, se puede acoger Cataluña a este derecho, o es comparable con los casos que se van a exponer, que son los principalmente aludidos a la hora de justificar la </w:t>
      </w:r>
      <w:r w:rsidR="00267E6F">
        <w:t>celebración del acto consultivo.</w:t>
      </w:r>
    </w:p>
    <w:p w:rsidR="00DE20AB" w:rsidRDefault="00DE20AB" w:rsidP="00DE20AB">
      <w:pPr>
        <w:spacing w:line="360" w:lineRule="auto"/>
      </w:pPr>
    </w:p>
    <w:p w:rsidR="00DE20AB" w:rsidRPr="00DE20AB" w:rsidRDefault="00F94249" w:rsidP="00DE20AB">
      <w:pPr>
        <w:rPr>
          <w:b/>
          <w:u w:val="single"/>
        </w:rPr>
      </w:pPr>
      <w:r>
        <w:rPr>
          <w:b/>
          <w:u w:val="single"/>
        </w:rPr>
        <w:t xml:space="preserve">3.1 </w:t>
      </w:r>
      <w:r w:rsidR="00DE20AB" w:rsidRPr="00DE20AB">
        <w:rPr>
          <w:b/>
          <w:u w:val="single"/>
        </w:rPr>
        <w:t>EL DERECHO DE AUTODETERMINACIÓN DE LOS PUEBLOS</w:t>
      </w:r>
    </w:p>
    <w:p w:rsidR="00A7412B" w:rsidRDefault="00A7412B" w:rsidP="00DE20AB">
      <w:pPr>
        <w:spacing w:line="360" w:lineRule="auto"/>
        <w:jc w:val="both"/>
      </w:pPr>
    </w:p>
    <w:p w:rsidR="00DE20AB" w:rsidRDefault="00DE20AB" w:rsidP="00DE20AB">
      <w:pPr>
        <w:spacing w:line="360" w:lineRule="auto"/>
        <w:jc w:val="both"/>
      </w:pPr>
      <w:r>
        <w:t>El derecho de libre determinación de los pueblos o derecho de autodeterminación es el derecho de un pueblo a decidir  de qué manera va a organizarse y buscar el desarrollo económico, social y cultural y de escoger su estructura, sin injerencias externas y de acuerdo con el principio de igualdad</w:t>
      </w:r>
      <w:r w:rsidR="00DB6031">
        <w:rPr>
          <w:rStyle w:val="Refdenotaalpie"/>
        </w:rPr>
        <w:footnoteReference w:id="36"/>
      </w:r>
      <w:r>
        <w:t>.</w:t>
      </w:r>
    </w:p>
    <w:p w:rsidR="00DE20AB" w:rsidRDefault="00DE20AB" w:rsidP="00DE20AB">
      <w:pPr>
        <w:spacing w:line="360" w:lineRule="auto"/>
        <w:jc w:val="both"/>
      </w:pPr>
      <w:r>
        <w:t>Este derecho no está recogido en la Declaración Universal de los Derechos Humanos, sin embargo, si están recogidos en los Pactos Internacionales de Derechos Humanos o Pactos de Nueva York. Dos cartas que, junto a la primera Declaración, conforman la Carta Internacional de los Derechos Humanos.</w:t>
      </w:r>
    </w:p>
    <w:p w:rsidR="00DE20AB" w:rsidRDefault="00DE20AB" w:rsidP="00DE20AB">
      <w:pPr>
        <w:spacing w:line="360" w:lineRule="auto"/>
        <w:jc w:val="both"/>
      </w:pPr>
      <w:r>
        <w:t>Estos pactos constan de dos resoluciones, que son el Pacto Internacional de Derechos Sociales y Políticos y el Pacto Internacional de Derechos Económicos, Sociales y Culturales</w:t>
      </w:r>
      <w:r w:rsidR="00DB6031">
        <w:rPr>
          <w:rStyle w:val="Refdenotaalpie"/>
        </w:rPr>
        <w:footnoteReference w:id="37"/>
      </w:r>
      <w:r>
        <w:t xml:space="preserve"> (y sus protocolos), los cuales están abiertos de la misma forma en su artículo 1, de acuerdo con la intención de que contaran con el mayor número de artículos comunes. Este precepto dice así:</w:t>
      </w:r>
    </w:p>
    <w:p w:rsidR="00DE20AB" w:rsidRPr="00400D75" w:rsidRDefault="00DE20AB" w:rsidP="00DE20AB">
      <w:pPr>
        <w:spacing w:line="360" w:lineRule="auto"/>
        <w:jc w:val="both"/>
        <w:rPr>
          <w:szCs w:val="24"/>
        </w:rPr>
      </w:pPr>
      <w:r w:rsidRPr="00400D75">
        <w:rPr>
          <w:szCs w:val="24"/>
        </w:rPr>
        <w:t>Artículo 1</w:t>
      </w:r>
    </w:p>
    <w:p w:rsidR="00DE20AB" w:rsidRPr="00A7412B" w:rsidRDefault="00DE20AB" w:rsidP="00DE20AB">
      <w:pPr>
        <w:spacing w:line="360" w:lineRule="auto"/>
        <w:jc w:val="both"/>
        <w:rPr>
          <w:i/>
          <w:color w:val="000000"/>
          <w:szCs w:val="24"/>
        </w:rPr>
      </w:pPr>
      <w:r w:rsidRPr="00A7412B">
        <w:rPr>
          <w:i/>
          <w:color w:val="000000"/>
          <w:szCs w:val="24"/>
        </w:rPr>
        <w:t>1. Todos los pueblos tienen el derecho de libre determinación. En virtud de este derecho establecen libremente su condición política y proveen asimismo a su desarrollo económico, social y cultural.</w:t>
      </w:r>
    </w:p>
    <w:p w:rsidR="00DE20AB" w:rsidRPr="00A7412B" w:rsidRDefault="00DE20AB" w:rsidP="00DE20AB">
      <w:pPr>
        <w:spacing w:line="360" w:lineRule="auto"/>
        <w:jc w:val="both"/>
        <w:rPr>
          <w:i/>
          <w:color w:val="000000"/>
          <w:szCs w:val="24"/>
        </w:rPr>
      </w:pPr>
      <w:r w:rsidRPr="00A7412B">
        <w:rPr>
          <w:i/>
          <w:color w:val="000000"/>
          <w:szCs w:val="24"/>
        </w:rPr>
        <w:t>2. Para el logro de sus fines, todos los pueblos pueden disponer libremente de sus riquezas y recursos naturales, sin perjuicio de las obligaciones que derivan de la cooperación económica internacional basada en el principio de beneficio recíproco, así como del derecho internacional. En ningún caso podrá privarse a un pueblo de sus propios medios de subsistencia.</w:t>
      </w:r>
    </w:p>
    <w:p w:rsidR="00DE20AB" w:rsidRDefault="00DE20AB" w:rsidP="00DE20AB">
      <w:pPr>
        <w:spacing w:line="360" w:lineRule="auto"/>
        <w:jc w:val="both"/>
        <w:rPr>
          <w:i/>
          <w:color w:val="000000"/>
          <w:szCs w:val="24"/>
        </w:rPr>
      </w:pPr>
      <w:r w:rsidRPr="00A7412B">
        <w:rPr>
          <w:i/>
          <w:color w:val="000000"/>
          <w:szCs w:val="24"/>
        </w:rPr>
        <w:t>3. Los Estados Partes en el presente Pacto, incluso los que tienen la responsabilidad de administrar territorios no autónomos y territorios en fideicomiso, promoverán el ejercicio del derecho de libre determinación, y respetarán este derecho de conformidad con las disposiciones de la Carta de las Naciones Unidas. </w:t>
      </w:r>
    </w:p>
    <w:p w:rsidR="00DB6031" w:rsidRDefault="00DE20AB" w:rsidP="00DE20AB">
      <w:pPr>
        <w:spacing w:line="360" w:lineRule="auto"/>
        <w:jc w:val="both"/>
        <w:rPr>
          <w:color w:val="000000"/>
          <w:szCs w:val="24"/>
        </w:rPr>
      </w:pPr>
      <w:r>
        <w:rPr>
          <w:color w:val="000000"/>
          <w:szCs w:val="24"/>
        </w:rPr>
        <w:t>En la Carta de las Naciones Unidas</w:t>
      </w:r>
      <w:r w:rsidR="00DB6031">
        <w:rPr>
          <w:rStyle w:val="Refdenotaalpie"/>
          <w:color w:val="000000"/>
          <w:szCs w:val="24"/>
        </w:rPr>
        <w:footnoteReference w:id="38"/>
      </w:r>
      <w:r>
        <w:rPr>
          <w:color w:val="000000"/>
          <w:szCs w:val="24"/>
        </w:rPr>
        <w:t xml:space="preserve">, documento fundacional de esta institución, recoge en su artículo 73 un compromiso de los estados con territorios que </w:t>
      </w:r>
      <w:r w:rsidR="00117717">
        <w:rPr>
          <w:color w:val="000000"/>
          <w:szCs w:val="24"/>
        </w:rPr>
        <w:t>aún</w:t>
      </w:r>
      <w:r>
        <w:rPr>
          <w:color w:val="000000"/>
          <w:szCs w:val="24"/>
        </w:rPr>
        <w:t xml:space="preserve"> no han alcanzado una independencia real, a “desarrollar el gobierno propio, a tener en cuenta las aspiraciones políticas de los pueblos y a ayudarlos en el desenvolvimiento progresivo de sus libres instituciones políticas, de acuerdo con las circunstancias especiales de cada territorio, de sus pueblos y de sus distintos grados de adelanto” en su apartado b</w:t>
      </w:r>
      <w:r w:rsidR="00DB6031">
        <w:rPr>
          <w:color w:val="000000"/>
          <w:szCs w:val="24"/>
        </w:rPr>
        <w:t>)</w:t>
      </w:r>
      <w:r>
        <w:rPr>
          <w:color w:val="000000"/>
          <w:szCs w:val="24"/>
        </w:rPr>
        <w:t xml:space="preserve">. </w:t>
      </w:r>
    </w:p>
    <w:p w:rsidR="00DE20AB" w:rsidRDefault="00DE20AB" w:rsidP="00DE20AB">
      <w:pPr>
        <w:spacing w:line="360" w:lineRule="auto"/>
        <w:jc w:val="both"/>
        <w:rPr>
          <w:color w:val="000000"/>
          <w:szCs w:val="24"/>
        </w:rPr>
      </w:pPr>
      <w:r>
        <w:rPr>
          <w:color w:val="000000"/>
          <w:szCs w:val="24"/>
        </w:rPr>
        <w:t>La resolución de las Naciones Unidas, 1541 (XV)</w:t>
      </w:r>
      <w:r w:rsidR="00E75614">
        <w:rPr>
          <w:rStyle w:val="Refdenotaalpie"/>
          <w:color w:val="000000"/>
          <w:szCs w:val="24"/>
        </w:rPr>
        <w:footnoteReference w:id="39"/>
      </w:r>
      <w:r>
        <w:rPr>
          <w:color w:val="000000"/>
          <w:szCs w:val="24"/>
        </w:rPr>
        <w:t>, da una serie de principios para saber qué estados están obl</w:t>
      </w:r>
      <w:r w:rsidR="00DB6031">
        <w:rPr>
          <w:color w:val="000000"/>
          <w:szCs w:val="24"/>
        </w:rPr>
        <w:t>igados a respetar este precepto:</w:t>
      </w:r>
    </w:p>
    <w:p w:rsidR="00DE20AB" w:rsidRDefault="00DE20AB" w:rsidP="00DE20AB">
      <w:pPr>
        <w:spacing w:line="360" w:lineRule="auto"/>
        <w:jc w:val="both"/>
        <w:rPr>
          <w:color w:val="000000"/>
          <w:szCs w:val="24"/>
        </w:rPr>
      </w:pPr>
      <w:r>
        <w:rPr>
          <w:color w:val="000000"/>
          <w:szCs w:val="24"/>
        </w:rPr>
        <w:t xml:space="preserve">En su </w:t>
      </w:r>
      <w:r>
        <w:rPr>
          <w:b/>
          <w:color w:val="000000"/>
          <w:szCs w:val="24"/>
        </w:rPr>
        <w:t>principio I</w:t>
      </w:r>
      <w:r>
        <w:rPr>
          <w:color w:val="000000"/>
          <w:szCs w:val="24"/>
        </w:rPr>
        <w:t xml:space="preserve"> declara la intención de los autores diciendo que “se aplicara a los territorios considerados entonces de tipo colonial”, que está separado geográficamente del país que lo administra y es diferente a este en cuestiones culturales o de etnia (</w:t>
      </w:r>
      <w:r>
        <w:rPr>
          <w:b/>
          <w:color w:val="000000"/>
          <w:szCs w:val="24"/>
        </w:rPr>
        <w:t>principio IV</w:t>
      </w:r>
      <w:r>
        <w:rPr>
          <w:color w:val="000000"/>
          <w:szCs w:val="24"/>
        </w:rPr>
        <w:t>),y solo a partir de aquí, se pueden tener en cuenta otros aspectos, como contexto político, jurídico, económico o histórico, y si el Estado colonial se encuentra en una situación de subordinación con respecto al Estado metropolitano (</w:t>
      </w:r>
      <w:r>
        <w:rPr>
          <w:b/>
          <w:color w:val="000000"/>
          <w:szCs w:val="24"/>
        </w:rPr>
        <w:t>principio V</w:t>
      </w:r>
      <w:r>
        <w:rPr>
          <w:color w:val="000000"/>
          <w:szCs w:val="24"/>
        </w:rPr>
        <w:t>).</w:t>
      </w:r>
    </w:p>
    <w:p w:rsidR="00DE20AB" w:rsidRPr="004906CE" w:rsidRDefault="00DE20AB" w:rsidP="00DE20AB">
      <w:pPr>
        <w:spacing w:line="360" w:lineRule="auto"/>
        <w:jc w:val="both"/>
        <w:rPr>
          <w:color w:val="000000"/>
          <w:szCs w:val="24"/>
        </w:rPr>
      </w:pPr>
      <w:r>
        <w:rPr>
          <w:color w:val="000000"/>
          <w:szCs w:val="24"/>
        </w:rPr>
        <w:t xml:space="preserve">La libre elección de asociación, dice el </w:t>
      </w:r>
      <w:r>
        <w:rPr>
          <w:b/>
          <w:color w:val="000000"/>
          <w:szCs w:val="24"/>
        </w:rPr>
        <w:t>principio VII,</w:t>
      </w:r>
      <w:r>
        <w:rPr>
          <w:color w:val="000000"/>
          <w:szCs w:val="24"/>
        </w:rPr>
        <w:t xml:space="preserve"> tiene que ser un proceso voluntario y respetando las características culturales y dejando a elección de sus habitantes la forma de gobierno que desean con arreglo a principios constitucionales. Este derecho </w:t>
      </w:r>
      <w:r w:rsidRPr="004906CE">
        <w:rPr>
          <w:color w:val="000000"/>
          <w:szCs w:val="24"/>
        </w:rPr>
        <w:t>permite la celebración de las consultas necesarias.</w:t>
      </w:r>
    </w:p>
    <w:p w:rsidR="00DE20AB" w:rsidRDefault="00DE20AB" w:rsidP="00DE20AB">
      <w:pPr>
        <w:spacing w:line="360" w:lineRule="auto"/>
        <w:jc w:val="both"/>
        <w:rPr>
          <w:color w:val="000000"/>
          <w:szCs w:val="24"/>
        </w:rPr>
      </w:pPr>
      <w:r w:rsidRPr="004906CE">
        <w:rPr>
          <w:color w:val="000000"/>
          <w:szCs w:val="24"/>
        </w:rPr>
        <w:t>Otra resolución muy importante de las Naciones Unidas en esta materia es la Declaración sobre la concesión de la independencia a los países y pueblos coloniales, aprobada en resolución 1514 (XV)</w:t>
      </w:r>
      <w:r w:rsidR="00263CAF" w:rsidRPr="004906CE">
        <w:rPr>
          <w:rStyle w:val="Refdenotaalpie"/>
          <w:color w:val="000000"/>
          <w:szCs w:val="24"/>
        </w:rPr>
        <w:footnoteReference w:id="40"/>
      </w:r>
      <w:r w:rsidRPr="004906CE">
        <w:rPr>
          <w:color w:val="000000"/>
          <w:szCs w:val="24"/>
        </w:rPr>
        <w:t xml:space="preserve"> de la Asamblea General. “Consciente” de la necesidad de crear condiciones de estabilidad y bienestar , y buenas relaciones entre los pueblos, de una manera igualitaria, y respetando las libertades fundamentales sin distinción por motivos de raza, sexo, idioma o religión, “reconociendo” el deseo de libertad de los pueblos dependientes, “considerando” la importancia de la ONU en el papel favorecedor de la independencia de territorios en fideicomiso o no autónomos, y “convencida” de que el colonialismo entorpece el desarrollo cultural, social</w:t>
      </w:r>
      <w:r>
        <w:rPr>
          <w:color w:val="000000"/>
          <w:szCs w:val="24"/>
        </w:rPr>
        <w:t xml:space="preserve"> y económico de esos pueblos, y que todos los pueblos tienen un derecho inalienable a la libertad absoluta, al ejercicio de la soberanía y a la integridad de su territorio, declara que:</w:t>
      </w:r>
    </w:p>
    <w:p w:rsidR="00DE20AB" w:rsidRPr="00A7412B" w:rsidRDefault="00DE20AB" w:rsidP="00DE20AB">
      <w:pPr>
        <w:spacing w:line="360" w:lineRule="auto"/>
        <w:jc w:val="both"/>
        <w:rPr>
          <w:i/>
        </w:rPr>
      </w:pPr>
      <w:r w:rsidRPr="00A7412B">
        <w:rPr>
          <w:i/>
        </w:rPr>
        <w:t>1. La sujeción de pueblos a una subyugación, dominación y explotación extranjeras constituye una denegación de los derechos humanos fundamentales, es contraria a la Carta de las Naciones Unidas y compromete la causa de la paz y de la cooperación mundial.</w:t>
      </w:r>
    </w:p>
    <w:p w:rsidR="00DE20AB" w:rsidRPr="00A7412B" w:rsidRDefault="00DE20AB" w:rsidP="00DE20AB">
      <w:pPr>
        <w:spacing w:line="360" w:lineRule="auto"/>
        <w:jc w:val="both"/>
        <w:rPr>
          <w:i/>
        </w:rPr>
      </w:pPr>
      <w:r w:rsidRPr="00A7412B">
        <w:rPr>
          <w:i/>
        </w:rPr>
        <w:t>2. Todos los pueblos tienen el derecho de libre determinación; en virtud de este derecho, determinan libremente su condición política y persiguen libremente su desarrollo económico, social y cultural.</w:t>
      </w:r>
    </w:p>
    <w:p w:rsidR="00DE20AB" w:rsidRPr="00A7412B" w:rsidRDefault="00DE20AB" w:rsidP="00DE20AB">
      <w:pPr>
        <w:spacing w:line="360" w:lineRule="auto"/>
        <w:jc w:val="both"/>
        <w:rPr>
          <w:i/>
        </w:rPr>
      </w:pPr>
      <w:r w:rsidRPr="00A7412B">
        <w:rPr>
          <w:i/>
        </w:rPr>
        <w:t>3. La falta de preparación en el orden político, económico, social o educativo no deberá servir nunca de pretexto para retrasar la independencia.</w:t>
      </w:r>
    </w:p>
    <w:p w:rsidR="00DE20AB" w:rsidRDefault="00DE20AB" w:rsidP="00DE20AB">
      <w:pPr>
        <w:spacing w:line="360" w:lineRule="auto"/>
        <w:jc w:val="both"/>
      </w:pPr>
      <w:r>
        <w:t>[…]</w:t>
      </w:r>
    </w:p>
    <w:p w:rsidR="00DE20AB" w:rsidRPr="00A7412B" w:rsidRDefault="002D3C68" w:rsidP="00DE20AB">
      <w:pPr>
        <w:spacing w:line="360" w:lineRule="auto"/>
        <w:jc w:val="both"/>
        <w:rPr>
          <w:i/>
          <w:shd w:val="clear" w:color="auto" w:fill="FFFFFF"/>
        </w:rPr>
      </w:pPr>
      <w:r w:rsidRPr="00A7412B">
        <w:rPr>
          <w:i/>
          <w:shd w:val="clear" w:color="auto" w:fill="FFFFFF"/>
        </w:rPr>
        <w:t>5. En</w:t>
      </w:r>
      <w:r w:rsidR="00DE20AB" w:rsidRPr="00A7412B">
        <w:rPr>
          <w:i/>
          <w:shd w:val="clear" w:color="auto" w:fill="FFFFFF"/>
        </w:rPr>
        <w:t xml:space="preserve"> los territorios en fideicomiso y no autónomos y en todos los demás territorios que no han logrado aún su independencia deberán tomarse inmediatamente medidas para traspasar todos los poderes a los pueblos de esos territorios, sin condiciones ni reservas, en conformidad con su voluntad y sus deseos libremente expresados, y sin distinción de raza, credo, ni color, para permitirles gozar de una libertad y una independencia absolutas.</w:t>
      </w:r>
    </w:p>
    <w:p w:rsidR="00DE20AB" w:rsidRPr="004906CE" w:rsidRDefault="007256F5" w:rsidP="00DE20AB">
      <w:pPr>
        <w:spacing w:line="360" w:lineRule="auto"/>
        <w:jc w:val="both"/>
      </w:pPr>
      <w:r w:rsidRPr="004906CE">
        <w:t>[…]</w:t>
      </w:r>
    </w:p>
    <w:p w:rsidR="00D35577" w:rsidRPr="004906CE" w:rsidRDefault="00DE20AB" w:rsidP="00A7412B">
      <w:pPr>
        <w:spacing w:line="360" w:lineRule="auto"/>
        <w:jc w:val="both"/>
      </w:pPr>
      <w:r w:rsidRPr="004906CE">
        <w:t xml:space="preserve">Toda esta legislación se conduce hacia las colonias históricas </w:t>
      </w:r>
      <w:r w:rsidR="00A7412B" w:rsidRPr="004906CE">
        <w:t>del planeta, entre las cuales, no está Cataluña</w:t>
      </w:r>
      <w:r w:rsidR="00263CAF" w:rsidRPr="004906CE">
        <w:rPr>
          <w:rStyle w:val="Refdenotaalpie"/>
        </w:rPr>
        <w:footnoteReference w:id="41"/>
      </w:r>
      <w:r w:rsidR="00A7412B" w:rsidRPr="004906CE">
        <w:t>.</w:t>
      </w:r>
    </w:p>
    <w:p w:rsidR="000716CD" w:rsidRDefault="000716CD" w:rsidP="00DE20AB">
      <w:pPr>
        <w:rPr>
          <w:b/>
          <w:u w:val="single"/>
        </w:rPr>
      </w:pPr>
    </w:p>
    <w:p w:rsidR="00DE20AB" w:rsidRDefault="00267E6F" w:rsidP="00DE20AB">
      <w:pPr>
        <w:rPr>
          <w:b/>
          <w:u w:val="single"/>
        </w:rPr>
      </w:pPr>
      <w:r>
        <w:rPr>
          <w:b/>
          <w:u w:val="single"/>
        </w:rPr>
        <w:t xml:space="preserve">3.1.1 </w:t>
      </w:r>
      <w:r w:rsidR="00DE20AB">
        <w:rPr>
          <w:b/>
          <w:u w:val="single"/>
        </w:rPr>
        <w:t>¿S</w:t>
      </w:r>
      <w:r w:rsidR="00DE20AB" w:rsidRPr="00DE20AB">
        <w:rPr>
          <w:b/>
          <w:u w:val="single"/>
        </w:rPr>
        <w:t xml:space="preserve">e puede acoger </w:t>
      </w:r>
      <w:r w:rsidR="002D3C68" w:rsidRPr="00DE20AB">
        <w:rPr>
          <w:b/>
          <w:u w:val="single"/>
        </w:rPr>
        <w:t>Cataluña</w:t>
      </w:r>
      <w:r w:rsidR="00DE20AB" w:rsidRPr="00DE20AB">
        <w:rPr>
          <w:b/>
          <w:u w:val="single"/>
        </w:rPr>
        <w:t xml:space="preserve"> a este derecho?</w:t>
      </w:r>
    </w:p>
    <w:p w:rsidR="00D35577" w:rsidRPr="004906CE" w:rsidRDefault="00D35577" w:rsidP="00DE20AB"/>
    <w:p w:rsidR="00DE20AB" w:rsidRPr="004906CE" w:rsidRDefault="00DE20AB" w:rsidP="0090349C">
      <w:pPr>
        <w:spacing w:line="360" w:lineRule="auto"/>
        <w:jc w:val="both"/>
      </w:pPr>
      <w:r w:rsidRPr="004906CE">
        <w:t>La Ley 19/2017</w:t>
      </w:r>
      <w:r w:rsidR="00B16FCD" w:rsidRPr="004906CE">
        <w:t>, ya en su preámbulo,</w:t>
      </w:r>
      <w:r w:rsidR="00CB0943" w:rsidRPr="004906CE">
        <w:t xml:space="preserve"> invoca la resolución 2200A como motivo</w:t>
      </w:r>
      <w:r w:rsidRPr="004906CE">
        <w:t xml:space="preserve"> para justificar la consulta y deslegitimar la suspensión impuesta por el Tribunal Constitucional.</w:t>
      </w:r>
    </w:p>
    <w:p w:rsidR="00DE20AB" w:rsidRPr="004906CE" w:rsidRDefault="00CB0943" w:rsidP="0090349C">
      <w:pPr>
        <w:spacing w:line="360" w:lineRule="auto"/>
        <w:jc w:val="both"/>
      </w:pPr>
      <w:r w:rsidRPr="004906CE">
        <w:t>Dice así la introducción de la mencionada ley:”</w:t>
      </w:r>
      <w:r w:rsidR="00DE20AB" w:rsidRPr="004906CE">
        <w:t>Los pactos sobre Derechos Civiles y Políticos y sobre Derechos Económicos, Sociales y Culturales, aprobados por la Asamblea General de las Naciones Unidas el 19 de diciembre de 1966, ratificados y en vigor en el Reino de España desde 1977 –publicados en el BOE de 30 de Abril de 1977– reconocen el derecho de los pueblos a la autodeterminación</w:t>
      </w:r>
      <w:r w:rsidR="00DE20AB" w:rsidRPr="001E54A1">
        <w:t xml:space="preserve"> como el primero de los derechos humanos. Asimismo, el artículo 1.2 de la Carta de las Naciones Unidas y el </w:t>
      </w:r>
      <w:r w:rsidR="00DE20AB" w:rsidRPr="004906CE">
        <w:t>Estatuto de la Corte Internacional de Justicia establece entre sus propósitos fomentar entre las naciones relaciones de amistad basadas en el respeto al principio de la igualdad de derechos y al de la a</w:t>
      </w:r>
      <w:r w:rsidR="003F7793" w:rsidRPr="004906CE">
        <w:t>utodeterminación de los pueblos</w:t>
      </w:r>
      <w:r w:rsidR="00DE20AB" w:rsidRPr="004906CE">
        <w:t>”</w:t>
      </w:r>
      <w:r w:rsidR="003F7793" w:rsidRPr="004906CE">
        <w:rPr>
          <w:rStyle w:val="Refdenotaalpie"/>
        </w:rPr>
        <w:footnoteReference w:id="42"/>
      </w:r>
      <w:r w:rsidRPr="004906CE">
        <w:t>, argumentando</w:t>
      </w:r>
      <w:r w:rsidR="00DE20AB" w:rsidRPr="004906CE">
        <w:t xml:space="preserve"> que el ordenamiento jurídico español los asumió con su firma y se incluyeron en el ordenamiento interno de acuerdo con el artículo 96 de la Constitución Española</w:t>
      </w:r>
      <w:r w:rsidRPr="004906CE">
        <w:t xml:space="preserve"> y este es un caso en el que lo deben cumplir</w:t>
      </w:r>
      <w:r w:rsidR="00DE20AB" w:rsidRPr="004906CE">
        <w:t>.</w:t>
      </w:r>
    </w:p>
    <w:p w:rsidR="00491C72" w:rsidRPr="004906CE" w:rsidRDefault="00491C72" w:rsidP="0090349C">
      <w:pPr>
        <w:spacing w:line="360" w:lineRule="auto"/>
        <w:jc w:val="both"/>
      </w:pPr>
      <w:r w:rsidRPr="004906CE">
        <w:t>No solo en esta ley se plasma la que es opinión de los políticos independentistas, ya que ha habido declaraciones públicas sobre la invocación al Derecho de libre autodeterminación.</w:t>
      </w:r>
    </w:p>
    <w:p w:rsidR="00491C72" w:rsidRPr="004906CE" w:rsidRDefault="00491C72" w:rsidP="0090349C">
      <w:pPr>
        <w:spacing w:line="360" w:lineRule="auto"/>
        <w:jc w:val="both"/>
      </w:pPr>
      <w:r w:rsidRPr="004906CE">
        <w:t xml:space="preserve">Carme Forcadell, </w:t>
      </w:r>
      <w:r w:rsidR="00DE25E5" w:rsidRPr="004906CE">
        <w:t>presidenta en esa fecha del Parlamento de Cataluña, como</w:t>
      </w:r>
      <w:r w:rsidRPr="004906CE">
        <w:t xml:space="preserve"> ejemplo, dijo estas palabras al recibir un premio a la defensa de la autodeterminación:</w:t>
      </w:r>
      <w:r w:rsidR="00DE25E5" w:rsidRPr="004906CE">
        <w:t>“El derecho a decidir o de autodeterminación es un derecho universal que tienen todos los pueblos, absolutamente todos los pueblos”, y en respuesta a la pregunta de que si la población que se sintiera española, dentro de Cataluña, podría también ejercer ese derecho, respondió: “El pueblo español, por supuesto que tiene el derecho, si es un pueblo. Nosotros entendemos que en Cataluña somos solo un pueblo”</w:t>
      </w:r>
      <w:r w:rsidR="00CB0943" w:rsidRPr="004906CE">
        <w:rPr>
          <w:rStyle w:val="Refdenotaalpie"/>
        </w:rPr>
        <w:footnoteReference w:id="43"/>
      </w:r>
      <w:r w:rsidR="00DE25E5" w:rsidRPr="004906CE">
        <w:t>.</w:t>
      </w:r>
    </w:p>
    <w:p w:rsidR="00DE25E5" w:rsidRPr="004906CE" w:rsidRDefault="00DE25E5" w:rsidP="0090349C">
      <w:pPr>
        <w:spacing w:line="360" w:lineRule="auto"/>
        <w:jc w:val="both"/>
      </w:pPr>
      <w:r w:rsidRPr="004906CE">
        <w:t>Otro ej</w:t>
      </w:r>
      <w:r w:rsidR="00CB0943" w:rsidRPr="004906CE">
        <w:t>emplo son las declaraciones del consejero de salud de la Gener</w:t>
      </w:r>
      <w:r w:rsidRPr="004906CE">
        <w:t>alitat, Toni Comín, en un acto de su partido, Esquerra Republicana de Cataluña. “El derecho de autodeterminación está por encima de los ordenamientos constitucionales”, “Ya no va de independencia, sino de libertad y democracia”</w:t>
      </w:r>
      <w:r w:rsidR="00CB0943" w:rsidRPr="004906CE">
        <w:rPr>
          <w:rStyle w:val="Refdenotaalpie"/>
        </w:rPr>
        <w:footnoteReference w:id="44"/>
      </w:r>
      <w:r w:rsidR="00AB787D" w:rsidRPr="004906CE">
        <w:t xml:space="preserve">. </w:t>
      </w:r>
    </w:p>
    <w:p w:rsidR="00DE20AB" w:rsidRDefault="00DE20AB" w:rsidP="0090349C">
      <w:pPr>
        <w:spacing w:line="360" w:lineRule="auto"/>
        <w:jc w:val="both"/>
      </w:pPr>
      <w:r w:rsidRPr="004906CE">
        <w:t>Sin embargo, de acuerdo con lo expuesto en el apartado referido a este tema, se precisan una serie de requisitos para acogerse a este derecho de acuerdo</w:t>
      </w:r>
      <w:r>
        <w:t xml:space="preserve"> con su principio I, IV y V. </w:t>
      </w:r>
    </w:p>
    <w:p w:rsidR="00DE25E5" w:rsidRDefault="00DE20AB" w:rsidP="0090349C">
      <w:pPr>
        <w:spacing w:line="360" w:lineRule="auto"/>
        <w:jc w:val="both"/>
      </w:pPr>
      <w:r>
        <w:t xml:space="preserve">Los territorios para los que se pensó este derecho son las antiguas colonias europeas y norteamericanas en África y Asia. Deben ser territorios que sean así considerados y tienen que estar separados geográficamente del país administrador, además, ser diferente en cuestiones culturales o de etnia. </w:t>
      </w:r>
    </w:p>
    <w:p w:rsidR="00DE20AB" w:rsidRPr="004906CE" w:rsidRDefault="002D3C68" w:rsidP="0090349C">
      <w:pPr>
        <w:spacing w:line="360" w:lineRule="auto"/>
        <w:jc w:val="both"/>
      </w:pPr>
      <w:r>
        <w:t>Recordando que</w:t>
      </w:r>
      <w:r w:rsidR="00DE25E5">
        <w:t>,</w:t>
      </w:r>
      <w:r>
        <w:t xml:space="preserve"> solo si se cumplen estos requisitos, y que no se cumple el geográfico y el cultural no se puede equiparar a las diferencias que se refieren en esos pactos, debido </w:t>
      </w:r>
      <w:r w:rsidRPr="004906CE">
        <w:t>al contexto histórico, entonces se consideran aspectos jurídicos, políticos, económicos o históricos, no resulta procedente alegar este derecho, pero igualmente, no existen diferencias políticas, jurídicas o económicas y es controvertida la diferencia histórica</w:t>
      </w:r>
      <w:r w:rsidR="00CB0943" w:rsidRPr="004906CE">
        <w:rPr>
          <w:rStyle w:val="Refdenotaalpie"/>
        </w:rPr>
        <w:footnoteReference w:id="45"/>
      </w:r>
      <w:r w:rsidRPr="004906CE">
        <w:t>.</w:t>
      </w:r>
    </w:p>
    <w:p w:rsidR="00DA25BE" w:rsidRPr="004906CE" w:rsidRDefault="00491C72" w:rsidP="0090349C">
      <w:pPr>
        <w:spacing w:line="360" w:lineRule="auto"/>
        <w:jc w:val="both"/>
      </w:pPr>
      <w:r w:rsidRPr="004906CE">
        <w:t xml:space="preserve">Debido a </w:t>
      </w:r>
      <w:r w:rsidR="00DE25E5" w:rsidRPr="004906CE">
        <w:t>los argumentos esgrimidos por los políticos de corte independentista</w:t>
      </w:r>
      <w:r w:rsidRPr="004906CE">
        <w:t>, una serie de profesores universitarios de Derecho Internacional de España, realizaron un manifiesto que fue firmado y ap</w:t>
      </w:r>
      <w:r w:rsidR="006A3331" w:rsidRPr="004906CE">
        <w:t>oyado por más de 400 profesores, un gran número si tenemos en cuenta que en toda España hay 550. En este se declara que Cataluña no es una entidad que pueda disfrutar de este derecho internacional alegando que “nada en los Pactos Internacionales de 1966, en ningún otro tratado sobre derechos humanos ni en la jurisprudencia internacional “apunta a la consagración de un derecho de las comunidades territoriales infraestatales a pronunciarse sobre la independencia y separación del Estado”</w:t>
      </w:r>
      <w:r w:rsidR="00D2167B" w:rsidRPr="004906CE">
        <w:rPr>
          <w:rStyle w:val="Refdenotaalpie"/>
        </w:rPr>
        <w:footnoteReference w:id="46"/>
      </w:r>
      <w:r w:rsidR="00AB787D" w:rsidRPr="004906CE">
        <w:t xml:space="preserve">. </w:t>
      </w:r>
    </w:p>
    <w:p w:rsidR="00491C72" w:rsidRPr="004906CE" w:rsidRDefault="00D2167B" w:rsidP="0090349C">
      <w:pPr>
        <w:spacing w:line="360" w:lineRule="auto"/>
        <w:jc w:val="both"/>
      </w:pPr>
      <w:r w:rsidRPr="004906CE">
        <w:t>Por último, e</w:t>
      </w:r>
      <w:r w:rsidR="00491C72" w:rsidRPr="004906CE">
        <w:t>l órgano de donde surgió el Derecho de autodeterminación de los pueblos,</w:t>
      </w:r>
      <w:r w:rsidR="006A3331" w:rsidRPr="004906CE">
        <w:t xml:space="preserve"> y, por tanto, el que conoce de sus posibles interpretaciones, y el que puede arbitrar en un posible conflicto,</w:t>
      </w:r>
      <w:r w:rsidR="00491C72" w:rsidRPr="004906CE">
        <w:t xml:space="preserve"> la Organización de Naciones Unidas, tambi</w:t>
      </w:r>
      <w:r w:rsidR="006A3331" w:rsidRPr="004906CE">
        <w:t>én se pronunció sobre el asunto.</w:t>
      </w:r>
    </w:p>
    <w:p w:rsidR="006A3331" w:rsidRPr="004906CE" w:rsidRDefault="006A3331" w:rsidP="0090349C">
      <w:pPr>
        <w:spacing w:line="360" w:lineRule="auto"/>
        <w:jc w:val="both"/>
      </w:pPr>
      <w:r w:rsidRPr="004906CE">
        <w:t>Su secretario general, Ban Ki Mun, en una entrevista ofrecida a medios de comunicación en Madrid</w:t>
      </w:r>
      <w:r w:rsidR="00D2167B" w:rsidRPr="004906CE">
        <w:rPr>
          <w:rStyle w:val="Refdenotaalpie"/>
        </w:rPr>
        <w:footnoteReference w:id="47"/>
      </w:r>
      <w:r w:rsidRPr="004906CE">
        <w:t>, aclaro que, si bien, este derecho se ha aplicado en algunas ocasiones, pero en territorios sin autogobierno. “No creo que Cataluña esté en esa categoría”, declara el máximo mandatario de la Organización.</w:t>
      </w:r>
    </w:p>
    <w:p w:rsidR="00382F24" w:rsidRDefault="00D35577" w:rsidP="00382F24">
      <w:pPr>
        <w:spacing w:line="480" w:lineRule="auto"/>
        <w:rPr>
          <w:b/>
          <w:u w:val="single"/>
        </w:rPr>
      </w:pPr>
      <w:r>
        <w:rPr>
          <w:b/>
          <w:u w:val="single"/>
        </w:rPr>
        <w:t xml:space="preserve">3.2 </w:t>
      </w:r>
      <w:r w:rsidR="00382F24" w:rsidRPr="00382F24">
        <w:rPr>
          <w:b/>
          <w:u w:val="single"/>
        </w:rPr>
        <w:t>LA COMPARACION CON LOS CASOS DE ESCOCIA Y QUEBEC</w:t>
      </w:r>
    </w:p>
    <w:p w:rsidR="00D35577" w:rsidRDefault="00D35577" w:rsidP="00382F24">
      <w:pPr>
        <w:jc w:val="both"/>
        <w:rPr>
          <w:b/>
          <w:u w:val="single"/>
          <w:lang w:eastAsia="es-ES"/>
        </w:rPr>
      </w:pPr>
    </w:p>
    <w:p w:rsidR="00382F24" w:rsidRPr="00D35577" w:rsidRDefault="00D35577" w:rsidP="00D35577">
      <w:pPr>
        <w:jc w:val="both"/>
        <w:rPr>
          <w:b/>
          <w:u w:val="single"/>
          <w:lang w:eastAsia="es-ES"/>
        </w:rPr>
      </w:pPr>
      <w:r w:rsidRPr="00D35577">
        <w:rPr>
          <w:b/>
          <w:u w:val="single"/>
          <w:lang w:eastAsia="es-ES"/>
        </w:rPr>
        <w:t>3.</w:t>
      </w:r>
      <w:r>
        <w:rPr>
          <w:b/>
          <w:u w:val="single"/>
          <w:lang w:eastAsia="es-ES"/>
        </w:rPr>
        <w:t xml:space="preserve">2.1 </w:t>
      </w:r>
      <w:r w:rsidR="00382F24" w:rsidRPr="00D35577">
        <w:rPr>
          <w:b/>
          <w:u w:val="single"/>
          <w:lang w:eastAsia="es-ES"/>
        </w:rPr>
        <w:t xml:space="preserve">El </w:t>
      </w:r>
      <w:r w:rsidR="002D3C68" w:rsidRPr="00D35577">
        <w:rPr>
          <w:b/>
          <w:u w:val="single"/>
          <w:lang w:eastAsia="es-ES"/>
        </w:rPr>
        <w:t>referéndum</w:t>
      </w:r>
      <w:r w:rsidR="00382F24" w:rsidRPr="00D35577">
        <w:rPr>
          <w:b/>
          <w:u w:val="single"/>
          <w:lang w:eastAsia="es-ES"/>
        </w:rPr>
        <w:t xml:space="preserve"> de independencia de </w:t>
      </w:r>
      <w:r w:rsidR="002D3C68" w:rsidRPr="00D35577">
        <w:rPr>
          <w:b/>
          <w:u w:val="single"/>
          <w:lang w:eastAsia="es-ES"/>
        </w:rPr>
        <w:t>Escocia</w:t>
      </w:r>
      <w:r w:rsidR="00382F24" w:rsidRPr="00D35577">
        <w:rPr>
          <w:b/>
          <w:u w:val="single"/>
          <w:lang w:eastAsia="es-ES"/>
        </w:rPr>
        <w:t xml:space="preserve"> de 2014</w:t>
      </w:r>
    </w:p>
    <w:p w:rsidR="00D35577" w:rsidRPr="00D35577" w:rsidRDefault="00D35577" w:rsidP="00D35577">
      <w:pPr>
        <w:rPr>
          <w:lang w:eastAsia="es-ES"/>
        </w:rPr>
      </w:pPr>
    </w:p>
    <w:p w:rsidR="00382F24" w:rsidRDefault="00382F24" w:rsidP="00382F24">
      <w:pPr>
        <w:spacing w:line="360" w:lineRule="auto"/>
        <w:jc w:val="both"/>
        <w:rPr>
          <w:lang w:eastAsia="es-ES"/>
        </w:rPr>
      </w:pPr>
      <w:r>
        <w:rPr>
          <w:lang w:eastAsia="es-ES"/>
        </w:rPr>
        <w:t>El sistema constitucional británico es muy diferente al español. No existe un</w:t>
      </w:r>
      <w:r w:rsidR="009D6E73">
        <w:rPr>
          <w:lang w:eastAsia="es-ES"/>
        </w:rPr>
        <w:t xml:space="preserve"> código constitucional</w:t>
      </w:r>
      <w:r>
        <w:rPr>
          <w:lang w:eastAsia="es-ES"/>
        </w:rPr>
        <w:t xml:space="preserve"> como tal, sino un conjunto de leyes que hace las veces como constitución, que engloban los “</w:t>
      </w:r>
      <w:r w:rsidR="00406025">
        <w:rPr>
          <w:lang w:eastAsia="es-ES"/>
        </w:rPr>
        <w:t>S</w:t>
      </w:r>
      <w:r>
        <w:rPr>
          <w:lang w:eastAsia="es-ES"/>
        </w:rPr>
        <w:t>tatutes”, que son las leyes aprobadas por Westminster, el Derecho Comunitario, el “Case law”, las “Prerrogative</w:t>
      </w:r>
      <w:r w:rsidR="004906CE">
        <w:rPr>
          <w:lang w:eastAsia="es-ES"/>
        </w:rPr>
        <w:t xml:space="preserve"> </w:t>
      </w:r>
      <w:r>
        <w:rPr>
          <w:lang w:eastAsia="es-ES"/>
        </w:rPr>
        <w:t xml:space="preserve">Power”, el Derecho Internacional, las leyes y costumbres del parlamento y las fuentes no legales, como las “Convenciones Constitucionales” o la doctrina académica. </w:t>
      </w:r>
    </w:p>
    <w:p w:rsidR="00382F24" w:rsidRDefault="00382F24" w:rsidP="00382F24">
      <w:pPr>
        <w:spacing w:line="360" w:lineRule="auto"/>
        <w:jc w:val="both"/>
        <w:rPr>
          <w:lang w:eastAsia="es-ES"/>
        </w:rPr>
      </w:pPr>
      <w:r>
        <w:rPr>
          <w:lang w:eastAsia="es-ES"/>
        </w:rPr>
        <w:t xml:space="preserve">Todas las normas del Reino Unido, constitucionales o no, se rigen por un procedimiento de aprobación por las cámaras de “House of Commons” y “House of Lores” y precisan de la aprobación de la Corona. Las normas constitucionales no </w:t>
      </w:r>
      <w:r w:rsidR="002D3C68">
        <w:rPr>
          <w:lang w:eastAsia="es-ES"/>
        </w:rPr>
        <w:t>ostentan</w:t>
      </w:r>
      <w:r>
        <w:rPr>
          <w:lang w:eastAsia="es-ES"/>
        </w:rPr>
        <w:t xml:space="preserve"> una posición de privilegio en el sistema legal británico. El parlamento es una asamblea legislativa y constituyente.</w:t>
      </w:r>
    </w:p>
    <w:p w:rsidR="00382F24" w:rsidRDefault="00382F24" w:rsidP="00382F24">
      <w:pPr>
        <w:spacing w:line="360" w:lineRule="auto"/>
        <w:jc w:val="both"/>
        <w:rPr>
          <w:lang w:eastAsia="es-ES"/>
        </w:rPr>
      </w:pPr>
      <w:r>
        <w:rPr>
          <w:lang w:eastAsia="es-ES"/>
        </w:rPr>
        <w:t>El parlamento de Westminster puede realizar una reforma constitucional solamente con aprobar una nueva ley, la cual no tiene un procedimiento diferente a una ley normal, la diferencia es la materia de la que se trata.</w:t>
      </w:r>
    </w:p>
    <w:p w:rsidR="00382F24" w:rsidRDefault="00382F24" w:rsidP="00382F24">
      <w:pPr>
        <w:spacing w:line="360" w:lineRule="auto"/>
        <w:jc w:val="both"/>
        <w:rPr>
          <w:lang w:eastAsia="es-ES"/>
        </w:rPr>
      </w:pPr>
      <w:r>
        <w:rPr>
          <w:lang w:eastAsia="es-ES"/>
        </w:rPr>
        <w:t xml:space="preserve">Este poder </w:t>
      </w:r>
      <w:r w:rsidRPr="0057687C">
        <w:rPr>
          <w:lang w:eastAsia="es-ES"/>
        </w:rPr>
        <w:t>solo</w:t>
      </w:r>
      <w:r w:rsidR="009D6E73">
        <w:rPr>
          <w:lang w:eastAsia="es-ES"/>
        </w:rPr>
        <w:t xml:space="preserve"> está</w:t>
      </w:r>
      <w:r w:rsidR="00406025">
        <w:rPr>
          <w:lang w:eastAsia="es-ES"/>
        </w:rPr>
        <w:t xml:space="preserve"> </w:t>
      </w:r>
      <w:r>
        <w:rPr>
          <w:lang w:eastAsia="es-ES"/>
        </w:rPr>
        <w:t>limitado por el principio de que no se pueden crear leyes que no se puedan modificar en el futuro. Son muchas las reformas constitucionales que se han llevado a cabo en Reino Unido en los últimos años</w:t>
      </w:r>
      <w:r w:rsidR="005000F5">
        <w:rPr>
          <w:rStyle w:val="Refdenotaalpie"/>
          <w:lang w:eastAsia="es-ES"/>
        </w:rPr>
        <w:footnoteReference w:id="48"/>
      </w:r>
      <w:r>
        <w:rPr>
          <w:lang w:eastAsia="es-ES"/>
        </w:rPr>
        <w:t>.</w:t>
      </w:r>
    </w:p>
    <w:p w:rsidR="00382F24" w:rsidRDefault="00382F24" w:rsidP="00382F24">
      <w:pPr>
        <w:spacing w:line="360" w:lineRule="auto"/>
        <w:jc w:val="both"/>
        <w:rPr>
          <w:lang w:eastAsia="es-ES"/>
        </w:rPr>
      </w:pPr>
      <w:r>
        <w:rPr>
          <w:lang w:eastAsia="es-ES"/>
        </w:rPr>
        <w:t>La historia de Escocia e Inglaterra siempre ha estado ligada por guerras, conquistas, deudas, uniones y desuniones, hasta que en 1707 se firma el “Acta de Unión”, por la que desaparecen los reinos de Inglaterra y Escocia y se funda el Reino de Gran Bretaña.</w:t>
      </w:r>
    </w:p>
    <w:p w:rsidR="00382F24" w:rsidRPr="004906CE" w:rsidRDefault="00382F24" w:rsidP="00382F24">
      <w:pPr>
        <w:spacing w:line="360" w:lineRule="auto"/>
        <w:jc w:val="both"/>
        <w:rPr>
          <w:lang w:eastAsia="es-ES"/>
        </w:rPr>
      </w:pPr>
      <w:r>
        <w:rPr>
          <w:lang w:eastAsia="es-ES"/>
        </w:rPr>
        <w:t xml:space="preserve">Sin embargo, esta unión política no significa una unión cultural y social, e incluso conservaron un sistema legal propio, por lo que un gran sector de la población se ha mostrado partidaria de la separación, por medio de levantamientos, al inicio, y con un </w:t>
      </w:r>
      <w:r w:rsidRPr="004906CE">
        <w:rPr>
          <w:lang w:eastAsia="es-ES"/>
        </w:rPr>
        <w:t>creciente apoyo a los partidos independentistas con el paso del tiempo</w:t>
      </w:r>
      <w:r w:rsidR="00507EB9" w:rsidRPr="004906CE">
        <w:rPr>
          <w:rStyle w:val="Refdenotaalpie"/>
          <w:lang w:eastAsia="es-ES"/>
        </w:rPr>
        <w:footnoteReference w:id="49"/>
      </w:r>
      <w:r w:rsidRPr="004906CE">
        <w:rPr>
          <w:lang w:eastAsia="es-ES"/>
        </w:rPr>
        <w:t>, que fue ganando adeptos hasta que en 2011 el Scottish National</w:t>
      </w:r>
      <w:r w:rsidR="004906CE">
        <w:rPr>
          <w:lang w:eastAsia="es-ES"/>
        </w:rPr>
        <w:t xml:space="preserve"> </w:t>
      </w:r>
      <w:r w:rsidRPr="004906CE">
        <w:rPr>
          <w:lang w:eastAsia="es-ES"/>
        </w:rPr>
        <w:t xml:space="preserve">Party consiguió la mayoría </w:t>
      </w:r>
      <w:r w:rsidR="002D3C68" w:rsidRPr="004906CE">
        <w:rPr>
          <w:lang w:eastAsia="es-ES"/>
        </w:rPr>
        <w:t>absoluta</w:t>
      </w:r>
      <w:r w:rsidR="00507EB9" w:rsidRPr="004906CE">
        <w:rPr>
          <w:rStyle w:val="Refdenotaalpie"/>
          <w:lang w:eastAsia="es-ES"/>
        </w:rPr>
        <w:footnoteReference w:id="50"/>
      </w:r>
      <w:r w:rsidR="002D3C68" w:rsidRPr="004906CE">
        <w:rPr>
          <w:lang w:eastAsia="es-ES"/>
        </w:rPr>
        <w:t>.</w:t>
      </w:r>
    </w:p>
    <w:p w:rsidR="00382F24" w:rsidRPr="004906CE" w:rsidRDefault="00382F24" w:rsidP="00382F24">
      <w:pPr>
        <w:spacing w:line="360" w:lineRule="auto"/>
        <w:jc w:val="both"/>
      </w:pPr>
      <w:r w:rsidRPr="004906CE">
        <w:rPr>
          <w:lang w:eastAsia="es-ES"/>
        </w:rPr>
        <w:t xml:space="preserve">Este partido llevaba en su programa la convocatoria de un referéndum, y así se </w:t>
      </w:r>
      <w:r w:rsidR="004906CE" w:rsidRPr="004906CE">
        <w:rPr>
          <w:lang w:eastAsia="es-ES"/>
        </w:rPr>
        <w:t>pactó</w:t>
      </w:r>
      <w:r w:rsidRPr="004906CE">
        <w:rPr>
          <w:lang w:eastAsia="es-ES"/>
        </w:rPr>
        <w:t xml:space="preserve"> con el gobierno británico, teniendo en cuenta que los sondeos daban clara victoria al no a la independencia</w:t>
      </w:r>
      <w:r w:rsidR="004A2C21" w:rsidRPr="004906CE">
        <w:rPr>
          <w:rStyle w:val="Refdenotaalpie"/>
          <w:lang w:eastAsia="es-ES"/>
        </w:rPr>
        <w:footnoteReference w:id="51"/>
      </w:r>
      <w:r w:rsidRPr="004906CE">
        <w:rPr>
          <w:lang w:eastAsia="es-ES"/>
        </w:rPr>
        <w:t xml:space="preserve">. Las palabras de David Cameron, el primer ministro de Reino Unido, fueron: </w:t>
      </w:r>
      <w:r w:rsidRPr="004906CE">
        <w:t>"Siempre quise demostrar mi respeto a los escoceses. Votaron a un partido que quiere un referéndum y yo lo he hecho posible garantizando que sea decisivo, legal y justo"</w:t>
      </w:r>
      <w:r w:rsidR="00507EB9" w:rsidRPr="004906CE">
        <w:rPr>
          <w:rStyle w:val="Refdenotaalpie"/>
        </w:rPr>
        <w:footnoteReference w:id="52"/>
      </w:r>
      <w:r w:rsidRPr="004906CE">
        <w:t xml:space="preserve">. </w:t>
      </w:r>
    </w:p>
    <w:p w:rsidR="004906CE" w:rsidRDefault="00382F24" w:rsidP="00382F24">
      <w:pPr>
        <w:spacing w:line="360" w:lineRule="auto"/>
        <w:jc w:val="both"/>
        <w:rPr>
          <w:lang w:eastAsia="es-ES"/>
        </w:rPr>
      </w:pPr>
      <w:r w:rsidRPr="004906CE">
        <w:rPr>
          <w:lang w:eastAsia="es-ES"/>
        </w:rPr>
        <w:t>El 15 de octubre de 2012 se firmó un documento por el que se transfería la competencia para la celebración del referéndum, ya que esta pertenecía al Gobierno de Gran Bretaña según la Ley de 1998 por la que se aprobaba la autonomía de Escocia en su tabla de</w:t>
      </w:r>
      <w:r>
        <w:rPr>
          <w:lang w:eastAsia="es-ES"/>
        </w:rPr>
        <w:t xml:space="preserve"> “materias reservadas”</w:t>
      </w:r>
      <w:r w:rsidR="004A2C21">
        <w:rPr>
          <w:rStyle w:val="Refdenotaalpie"/>
          <w:lang w:eastAsia="es-ES"/>
        </w:rPr>
        <w:footnoteReference w:id="53"/>
      </w:r>
      <w:r>
        <w:rPr>
          <w:lang w:eastAsia="es-ES"/>
        </w:rPr>
        <w:t xml:space="preserve">. Esta dice que cualquier cambio constitucional tiene que contar con la votación en el parlamento de Westminster, en este caso, la “Unión con Inglaterra, Gales e Irlanda del </w:t>
      </w:r>
      <w:r w:rsidR="002D3C68">
        <w:rPr>
          <w:lang w:eastAsia="es-ES"/>
        </w:rPr>
        <w:t>norte. Por</w:t>
      </w:r>
      <w:r>
        <w:rPr>
          <w:lang w:eastAsia="es-ES"/>
        </w:rPr>
        <w:t xml:space="preserve"> consiguiente, se materializó</w:t>
      </w:r>
      <w:r w:rsidRPr="00B7237D">
        <w:rPr>
          <w:lang w:eastAsia="es-ES"/>
        </w:rPr>
        <w:t xml:space="preserve"> el “Acuerdo entre el Gobierno del Reino Unido y</w:t>
      </w:r>
      <w:r>
        <w:rPr>
          <w:lang w:eastAsia="es-ES"/>
        </w:rPr>
        <w:t xml:space="preserve"> el Gobierno de Escocia en el referéndum de independencia para Escocia”</w:t>
      </w:r>
      <w:r w:rsidR="005F38D7">
        <w:rPr>
          <w:rStyle w:val="Refdenotaalpie"/>
          <w:lang w:eastAsia="es-ES"/>
        </w:rPr>
        <w:footnoteReference w:id="54"/>
      </w:r>
      <w:r>
        <w:rPr>
          <w:lang w:eastAsia="es-ES"/>
        </w:rPr>
        <w:t>, que se derivó en el “Acta de referéndum de Escocia de 2013”</w:t>
      </w:r>
      <w:r w:rsidR="001F718B">
        <w:rPr>
          <w:rStyle w:val="Refdenotaalpie"/>
          <w:lang w:eastAsia="es-ES"/>
        </w:rPr>
        <w:footnoteReference w:id="55"/>
      </w:r>
      <w:r>
        <w:rPr>
          <w:lang w:eastAsia="es-ES"/>
        </w:rPr>
        <w:t>, que se basaría en el “Acta 2000 de partidos políticos, elecciones y referéndums” de Reino Unido, PPERA</w:t>
      </w:r>
      <w:r w:rsidR="004906CE">
        <w:rPr>
          <w:lang w:eastAsia="es-ES"/>
        </w:rPr>
        <w:t xml:space="preserve">, </w:t>
      </w:r>
      <w:r w:rsidR="004906CE" w:rsidRPr="004906CE">
        <w:rPr>
          <w:i/>
          <w:lang w:eastAsia="es-ES"/>
        </w:rPr>
        <w:t>Political Parties, Elections and Referendums Act</w:t>
      </w:r>
      <w:r w:rsidR="004906CE">
        <w:rPr>
          <w:i/>
          <w:lang w:eastAsia="es-ES"/>
        </w:rPr>
        <w:t xml:space="preserve"> 2000</w:t>
      </w:r>
      <w:r w:rsidR="004906CE">
        <w:rPr>
          <w:lang w:eastAsia="es-ES"/>
        </w:rPr>
        <w:t>.</w:t>
      </w:r>
    </w:p>
    <w:p w:rsidR="00382F24" w:rsidRDefault="00382F24" w:rsidP="00382F24">
      <w:pPr>
        <w:spacing w:line="360" w:lineRule="auto"/>
        <w:jc w:val="both"/>
        <w:rPr>
          <w:lang w:eastAsia="es-ES"/>
        </w:rPr>
      </w:pPr>
      <w:r>
        <w:rPr>
          <w:lang w:eastAsia="es-ES"/>
        </w:rPr>
        <w:t>Una vez acordado y permitido, el 18 de septiembre de 2014 se celebró el referéndum, con un resultado de 44,7% a favor y un 55,3% en contra de la independencia, por lo que Escocia continuó formando parte de Reino Unido hasta la actualidad</w:t>
      </w:r>
      <w:r w:rsidR="005F38D7">
        <w:rPr>
          <w:rStyle w:val="Refdenotaalpie"/>
          <w:lang w:eastAsia="es-ES"/>
        </w:rPr>
        <w:footnoteReference w:id="56"/>
      </w:r>
      <w:r>
        <w:rPr>
          <w:lang w:eastAsia="es-ES"/>
        </w:rPr>
        <w:t>.</w:t>
      </w:r>
    </w:p>
    <w:p w:rsidR="00382F24" w:rsidRDefault="00382F24" w:rsidP="00382F24">
      <w:pPr>
        <w:spacing w:line="480" w:lineRule="auto"/>
        <w:rPr>
          <w:b/>
          <w:u w:val="single"/>
        </w:rPr>
      </w:pPr>
    </w:p>
    <w:p w:rsidR="00382F24" w:rsidRDefault="00382F24" w:rsidP="00382F24">
      <w:pPr>
        <w:spacing w:line="360" w:lineRule="auto"/>
        <w:jc w:val="both"/>
        <w:rPr>
          <w:b/>
          <w:u w:val="single"/>
          <w:lang w:eastAsia="es-ES"/>
        </w:rPr>
      </w:pPr>
      <w:r>
        <w:rPr>
          <w:b/>
          <w:u w:val="single"/>
          <w:lang w:eastAsia="es-ES"/>
        </w:rPr>
        <w:t xml:space="preserve">El </w:t>
      </w:r>
      <w:r w:rsidR="002D3C68">
        <w:rPr>
          <w:b/>
          <w:u w:val="single"/>
          <w:lang w:eastAsia="es-ES"/>
        </w:rPr>
        <w:t>referéndum</w:t>
      </w:r>
      <w:r w:rsidR="00D35577">
        <w:rPr>
          <w:b/>
          <w:u w:val="single"/>
          <w:lang w:eastAsia="es-ES"/>
        </w:rPr>
        <w:t xml:space="preserve"> de independencia de Q</w:t>
      </w:r>
      <w:r>
        <w:rPr>
          <w:b/>
          <w:u w:val="single"/>
          <w:lang w:eastAsia="es-ES"/>
        </w:rPr>
        <w:t>uebec de 1995</w:t>
      </w:r>
    </w:p>
    <w:p w:rsidR="00F01E53" w:rsidRDefault="00F01E53" w:rsidP="00382F24">
      <w:pPr>
        <w:spacing w:line="360" w:lineRule="auto"/>
        <w:jc w:val="both"/>
        <w:rPr>
          <w:b/>
          <w:u w:val="single"/>
          <w:lang w:eastAsia="es-ES"/>
        </w:rPr>
      </w:pPr>
    </w:p>
    <w:p w:rsidR="00382F24" w:rsidRDefault="00382F24" w:rsidP="00382F24">
      <w:pPr>
        <w:spacing w:line="360" w:lineRule="auto"/>
        <w:jc w:val="both"/>
        <w:rPr>
          <w:lang w:eastAsia="es-ES"/>
        </w:rPr>
      </w:pPr>
      <w:r>
        <w:rPr>
          <w:lang w:eastAsia="es-ES"/>
        </w:rPr>
        <w:t>Quebec tiene desde la “Nation</w:t>
      </w:r>
      <w:r w:rsidR="00D1166A">
        <w:rPr>
          <w:lang w:eastAsia="es-ES"/>
        </w:rPr>
        <w:t xml:space="preserve"> </w:t>
      </w:r>
      <w:r>
        <w:rPr>
          <w:lang w:eastAsia="es-ES"/>
        </w:rPr>
        <w:t>Motion</w:t>
      </w:r>
      <w:r w:rsidR="00AE0EDE">
        <w:rPr>
          <w:lang w:eastAsia="es-ES"/>
        </w:rPr>
        <w:t>”</w:t>
      </w:r>
      <w:r w:rsidR="00E86352">
        <w:rPr>
          <w:rStyle w:val="Refdenotaalpie"/>
          <w:lang w:eastAsia="es-ES"/>
        </w:rPr>
        <w:footnoteReference w:id="57"/>
      </w:r>
      <w:r>
        <w:rPr>
          <w:lang w:eastAsia="es-ES"/>
        </w:rPr>
        <w:t xml:space="preserve"> de 2006, la consideración de nación dentro de Canadá. Esta es una enmienda a la Constitución Canadiense que dice que “esta cámara reconozca que los quebequenses forman una nación dentro de un Canadá unido”</w:t>
      </w:r>
    </w:p>
    <w:p w:rsidR="00382F24" w:rsidRDefault="00382F24" w:rsidP="00382F24">
      <w:pPr>
        <w:spacing w:line="360" w:lineRule="auto"/>
        <w:jc w:val="both"/>
        <w:rPr>
          <w:lang w:eastAsia="es-ES"/>
        </w:rPr>
      </w:pPr>
      <w:r>
        <w:rPr>
          <w:lang w:eastAsia="es-ES"/>
        </w:rPr>
        <w:t>Quebec tiene una senda histórica diferente del resto de Canadá desde sus inicios. Esta formaba parte de Nueva Francia, una colonia francesa en el nuevo mundo, y estuvo en permanentes guerras con las colonias británicas del lugar en la Guerra de los siete años” hasta que Francia tuvo que abandonar dichas colonias por el Tratado de París.</w:t>
      </w:r>
    </w:p>
    <w:p w:rsidR="00382F24" w:rsidRDefault="00382F24" w:rsidP="00382F24">
      <w:pPr>
        <w:spacing w:line="360" w:lineRule="auto"/>
        <w:jc w:val="both"/>
        <w:rPr>
          <w:lang w:eastAsia="es-ES"/>
        </w:rPr>
      </w:pPr>
      <w:r>
        <w:rPr>
          <w:lang w:eastAsia="es-ES"/>
        </w:rPr>
        <w:t>Sin embargo, Quebec conservó la lengua, la identidad y el derecho privado francés, incluso en la formación de la Confederación canadiense, que supuso el inicio de un Canadá independiente</w:t>
      </w:r>
      <w:r w:rsidR="00E86352">
        <w:rPr>
          <w:rStyle w:val="Refdenotaalpie"/>
          <w:lang w:eastAsia="es-ES"/>
        </w:rPr>
        <w:footnoteReference w:id="58"/>
      </w:r>
      <w:r>
        <w:rPr>
          <w:lang w:eastAsia="es-ES"/>
        </w:rPr>
        <w:t>.</w:t>
      </w:r>
    </w:p>
    <w:p w:rsidR="00382F24" w:rsidRDefault="00382F24" w:rsidP="00382F24">
      <w:pPr>
        <w:spacing w:line="360" w:lineRule="auto"/>
        <w:jc w:val="both"/>
        <w:rPr>
          <w:lang w:eastAsia="es-ES"/>
        </w:rPr>
      </w:pPr>
      <w:r>
        <w:rPr>
          <w:lang w:eastAsia="es-ES"/>
        </w:rPr>
        <w:t xml:space="preserve">Dos veces, se ha intentado reconocer a Quebec como diferente dentro de la constitución de Canadá, antes de la </w:t>
      </w:r>
      <w:r w:rsidR="002D3C68">
        <w:rPr>
          <w:lang w:eastAsia="es-ES"/>
        </w:rPr>
        <w:t>Nation</w:t>
      </w:r>
      <w:r w:rsidR="00406025">
        <w:rPr>
          <w:lang w:eastAsia="es-ES"/>
        </w:rPr>
        <w:t xml:space="preserve"> </w:t>
      </w:r>
      <w:r w:rsidR="002D3C68">
        <w:rPr>
          <w:lang w:eastAsia="es-ES"/>
        </w:rPr>
        <w:t>Motion</w:t>
      </w:r>
      <w:r>
        <w:rPr>
          <w:lang w:eastAsia="es-ES"/>
        </w:rPr>
        <w:t xml:space="preserve"> y las dos veces se ha desestimado la moción. Estas son llamadas políticamente “La sociedad distinta” y engloba los dos intentos, el  “Acuerdo del lago Meech”</w:t>
      </w:r>
      <w:r w:rsidR="00CD3B77">
        <w:rPr>
          <w:rStyle w:val="Refdenotaalpie"/>
          <w:lang w:eastAsia="es-ES"/>
        </w:rPr>
        <w:footnoteReference w:id="59"/>
      </w:r>
      <w:r>
        <w:rPr>
          <w:lang w:eastAsia="es-ES"/>
        </w:rPr>
        <w:t>, no ratificado por negociaciones no fructíferas</w:t>
      </w:r>
      <w:r w:rsidR="00CD3B77">
        <w:rPr>
          <w:rStyle w:val="Refdenotaalpie"/>
          <w:lang w:eastAsia="es-ES"/>
        </w:rPr>
        <w:footnoteReference w:id="60"/>
      </w:r>
      <w:r>
        <w:rPr>
          <w:lang w:eastAsia="es-ES"/>
        </w:rPr>
        <w:t xml:space="preserve"> y el “Acuerdo de Charlottetown”, derrotado en referéndum</w:t>
      </w:r>
      <w:r w:rsidR="00CD3B77">
        <w:rPr>
          <w:rStyle w:val="Refdenotaalpie"/>
          <w:lang w:eastAsia="es-ES"/>
        </w:rPr>
        <w:footnoteReference w:id="61"/>
      </w:r>
      <w:r>
        <w:rPr>
          <w:lang w:eastAsia="es-ES"/>
        </w:rPr>
        <w:t>. Esto no sentó bien a la clase política del Quebec, ni a gran parte de su población, por lo que se promovió un referéndum de autodeterminación para 1995</w:t>
      </w:r>
      <w:r w:rsidR="00097A5E">
        <w:rPr>
          <w:rStyle w:val="Refdenotaalpie"/>
          <w:lang w:eastAsia="es-ES"/>
        </w:rPr>
        <w:footnoteReference w:id="62"/>
      </w:r>
      <w:r>
        <w:rPr>
          <w:lang w:eastAsia="es-ES"/>
        </w:rPr>
        <w:t>.</w:t>
      </w:r>
    </w:p>
    <w:p w:rsidR="00382F24" w:rsidRDefault="002F5AD3" w:rsidP="00382F24">
      <w:pPr>
        <w:spacing w:line="360" w:lineRule="auto"/>
        <w:jc w:val="both"/>
        <w:rPr>
          <w:lang w:eastAsia="es-ES"/>
        </w:rPr>
      </w:pPr>
      <w:r>
        <w:rPr>
          <w:lang w:eastAsia="es-ES"/>
        </w:rPr>
        <w:t>La C</w:t>
      </w:r>
      <w:r w:rsidR="00382F24">
        <w:rPr>
          <w:lang w:eastAsia="es-ES"/>
        </w:rPr>
        <w:t>onstitución de Canadá, es muy similar a la anglosajona por la</w:t>
      </w:r>
      <w:r w:rsidR="009D6E73">
        <w:rPr>
          <w:lang w:eastAsia="es-ES"/>
        </w:rPr>
        <w:t xml:space="preserve"> situación</w:t>
      </w:r>
      <w:r w:rsidR="00382F24">
        <w:rPr>
          <w:lang w:eastAsia="es-ES"/>
        </w:rPr>
        <w:t xml:space="preserve"> histórica de que Canadá fuese una colonia de Reino Unido. Además, Canadá es una confederación de provincias y territorios, con asambleas legislativas diferentes con un gran poder. Las leyes comunes no valen ni más ni menos que las leyes constitucionales, solo</w:t>
      </w:r>
      <w:r w:rsidR="009D6E73">
        <w:rPr>
          <w:lang w:eastAsia="es-ES"/>
        </w:rPr>
        <w:t xml:space="preserve"> varía</w:t>
      </w:r>
      <w:r w:rsidR="00382F24">
        <w:rPr>
          <w:lang w:eastAsia="es-ES"/>
        </w:rPr>
        <w:t xml:space="preserve"> su objeto, y estas pueden ser incluidas en la constitución solo con votarse en las cámaras canadienses. Incluso la decisión de un juez tiene fuerza de ley, ya que “sienta precedente”</w:t>
      </w:r>
      <w:r w:rsidR="00A97ED7">
        <w:rPr>
          <w:rStyle w:val="Refdenotaalpie"/>
          <w:lang w:eastAsia="es-ES"/>
        </w:rPr>
        <w:footnoteReference w:id="63"/>
      </w:r>
      <w:r w:rsidR="00382F24">
        <w:rPr>
          <w:lang w:eastAsia="es-ES"/>
        </w:rPr>
        <w:t>.</w:t>
      </w:r>
    </w:p>
    <w:p w:rsidR="00382F24" w:rsidRDefault="00382F24" w:rsidP="00382F24">
      <w:pPr>
        <w:spacing w:line="360" w:lineRule="auto"/>
        <w:jc w:val="both"/>
        <w:rPr>
          <w:lang w:eastAsia="es-ES"/>
        </w:rPr>
      </w:pPr>
      <w:r>
        <w:rPr>
          <w:lang w:eastAsia="es-ES"/>
        </w:rPr>
        <w:t>La constitución canadiense</w:t>
      </w:r>
      <w:r w:rsidR="006051C9">
        <w:rPr>
          <w:rStyle w:val="Refdenotaalpie"/>
          <w:lang w:eastAsia="es-ES"/>
        </w:rPr>
        <w:footnoteReference w:id="64"/>
      </w:r>
      <w:r>
        <w:rPr>
          <w:lang w:eastAsia="es-ES"/>
        </w:rPr>
        <w:t>, dice en su artículo 52 que todas las leyes que la contravengan, tornan inoperativas y establece una serie de competencias que se reservan al gobierno federal y otras que se atribuyen a las provincias en el 91. Dentro de este artículo, no se autoatribuye el parlamento canadiense la facultad de convocar referéndums, por lo que las provincias, pueden celebrar cuantos deseen. El único requisito es que tenga la autorización del Consejo de Referéndums de Quebec, compuesto por tres jueces, designados para interpretar y hacer cumplir la Ley de Referéndums de Quebec, y que no se celebre más de un referéndum sobre el mism</w:t>
      </w:r>
      <w:r w:rsidR="006051C9">
        <w:rPr>
          <w:lang w:eastAsia="es-ES"/>
        </w:rPr>
        <w:t>o tema en la misma legislatura</w:t>
      </w:r>
      <w:r w:rsidR="00102781">
        <w:rPr>
          <w:rStyle w:val="Refdenotaalpie"/>
          <w:lang w:eastAsia="es-ES"/>
        </w:rPr>
        <w:footnoteReference w:id="65"/>
      </w:r>
      <w:r w:rsidR="006051C9">
        <w:rPr>
          <w:lang w:eastAsia="es-ES"/>
        </w:rPr>
        <w:t>.</w:t>
      </w:r>
    </w:p>
    <w:p w:rsidR="00382F24" w:rsidRDefault="00382F24" w:rsidP="00382F24">
      <w:pPr>
        <w:spacing w:line="360" w:lineRule="auto"/>
        <w:jc w:val="both"/>
      </w:pPr>
      <w:r>
        <w:rPr>
          <w:lang w:eastAsia="es-ES"/>
        </w:rPr>
        <w:t>Debido al descontento antes comentado, Quebec decidió hacer un referéndum,</w:t>
      </w:r>
      <w:r w:rsidR="00E77CDB">
        <w:rPr>
          <w:lang w:eastAsia="es-ES"/>
        </w:rPr>
        <w:t xml:space="preserve"> asistido</w:t>
      </w:r>
      <w:r>
        <w:rPr>
          <w:lang w:eastAsia="es-ES"/>
        </w:rPr>
        <w:t xml:space="preserve"> mediante el</w:t>
      </w:r>
      <w:r w:rsidR="00406025">
        <w:rPr>
          <w:lang w:eastAsia="es-ES"/>
        </w:rPr>
        <w:t xml:space="preserve"> </w:t>
      </w:r>
      <w:r w:rsidR="00957398" w:rsidRPr="00AE0EDE">
        <w:rPr>
          <w:i/>
          <w:lang w:eastAsia="es-ES"/>
        </w:rPr>
        <w:t>Referéndum ACT</w:t>
      </w:r>
      <w:r>
        <w:rPr>
          <w:lang w:eastAsia="es-ES"/>
        </w:rPr>
        <w:t xml:space="preserve">, para consultar sobre la siguiente pregunta: </w:t>
      </w:r>
      <w:r w:rsidRPr="009C7374">
        <w:t>“¿Acepta que Quebec alcance su soberanía tras ofrecer formalmente a Canadá una nueva asociación económica y política que se enmarque dentro del proyecto de ley sobre el futuro de Quebec y el acuerdo firmado el 12 de junio de 1995?</w:t>
      </w:r>
      <w:r w:rsidR="00E77CDB">
        <w:rPr>
          <w:rStyle w:val="Refdenotaalpie"/>
        </w:rPr>
        <w:footnoteReference w:id="66"/>
      </w:r>
      <w:r w:rsidRPr="009C7374">
        <w:t>”</w:t>
      </w:r>
      <w:r>
        <w:t>. Esto se llevó a cabo el 30 de octubre de 1995 con la victoria del No, por un 50,58%</w:t>
      </w:r>
      <w:r w:rsidR="00E77CDB">
        <w:rPr>
          <w:rStyle w:val="Refdenotaalpie"/>
        </w:rPr>
        <w:footnoteReference w:id="67"/>
      </w:r>
      <w:r>
        <w:t>.</w:t>
      </w:r>
    </w:p>
    <w:p w:rsidR="00382F24" w:rsidRPr="003047E2" w:rsidRDefault="00382F24" w:rsidP="00382F24">
      <w:pPr>
        <w:spacing w:line="360" w:lineRule="auto"/>
        <w:jc w:val="both"/>
      </w:pPr>
      <w:r w:rsidRPr="003047E2">
        <w:t>En</w:t>
      </w:r>
      <w:r w:rsidR="00AE0EDE" w:rsidRPr="003047E2">
        <w:t xml:space="preserve"> el</w:t>
      </w:r>
      <w:r w:rsidRPr="003047E2">
        <w:t xml:space="preserve"> caso de</w:t>
      </w:r>
      <w:r w:rsidR="003047E2" w:rsidRPr="003047E2">
        <w:t xml:space="preserve"> </w:t>
      </w:r>
      <w:r w:rsidR="00AE0EDE" w:rsidRPr="003047E2">
        <w:t>que hubiera</w:t>
      </w:r>
      <w:r w:rsidRPr="003047E2">
        <w:t xml:space="preserve"> victoria del sí, el primer ministro Parizeau, planeaba una serie de negociaciones con el “vecino” Canadá, que en el caso de ser infructuosas, llevaría a una votación en la Asamblea Nacional de Quebec para declarar unilateralmente la independencia  de acuerdo con la  Ley para el devenir del Quebec</w:t>
      </w:r>
      <w:r w:rsidR="001648C4" w:rsidRPr="003047E2">
        <w:rPr>
          <w:rStyle w:val="Refdenotaalpie"/>
        </w:rPr>
        <w:footnoteReference w:id="68"/>
      </w:r>
      <w:r w:rsidRPr="003047E2">
        <w:t xml:space="preserve">. </w:t>
      </w:r>
    </w:p>
    <w:p w:rsidR="00382F24" w:rsidRPr="003047E2" w:rsidRDefault="002D3C68" w:rsidP="00382F24">
      <w:pPr>
        <w:spacing w:line="360" w:lineRule="auto"/>
        <w:jc w:val="both"/>
      </w:pPr>
      <w:r w:rsidRPr="003047E2">
        <w:t>En 1996, el primer ministro de Canadá, Chrétien, eligió como Ministro de Asuntos Intergubernamentales al politólogo Stephane</w:t>
      </w:r>
      <w:r w:rsidR="00406025">
        <w:t xml:space="preserve"> </w:t>
      </w:r>
      <w:r w:rsidRPr="003047E2">
        <w:t>Dion, quien fue bastante duro con el referéndum de 1995, y sobre todo, con la poca claridad de la pregunta efectuada (de ahí el nombre de la ley  resultante), y le dedico dos cartas abiertas al primer ministro de Quebec, Lucien</w:t>
      </w:r>
      <w:r w:rsidR="00406025">
        <w:t xml:space="preserve"> </w:t>
      </w:r>
      <w:r w:rsidRPr="003047E2">
        <w:t>Bouchard, con una serie de reflexiones que posteriormente presentaría en la Corte Suprema de Canadá</w:t>
      </w:r>
      <w:r w:rsidR="00FF5A55" w:rsidRPr="003047E2">
        <w:rPr>
          <w:rStyle w:val="Refdenotaalpie"/>
        </w:rPr>
        <w:footnoteReference w:id="69"/>
      </w:r>
      <w:r w:rsidRPr="003047E2">
        <w:t xml:space="preserve"> en forma de tres preguntas:</w:t>
      </w:r>
    </w:p>
    <w:p w:rsidR="00382F24" w:rsidRPr="00FB728B" w:rsidRDefault="00382F24" w:rsidP="00382F24">
      <w:pPr>
        <w:pStyle w:val="Prrafodelista"/>
        <w:numPr>
          <w:ilvl w:val="0"/>
          <w:numId w:val="5"/>
        </w:numPr>
        <w:spacing w:line="360" w:lineRule="auto"/>
        <w:jc w:val="both"/>
        <w:rPr>
          <w:rFonts w:cs="Times New Roman"/>
          <w:szCs w:val="24"/>
        </w:rPr>
      </w:pPr>
      <w:r w:rsidRPr="003047E2">
        <w:rPr>
          <w:rFonts w:cs="Times New Roman"/>
          <w:szCs w:val="24"/>
        </w:rPr>
        <w:t>Bajo la Constitución de Canadá, ¿puede la Asamblea Nacional, el poder legislativo, o el gobierno de Quebec llevar</w:t>
      </w:r>
      <w:r w:rsidRPr="00FB728B">
        <w:rPr>
          <w:rFonts w:cs="Times New Roman"/>
          <w:szCs w:val="24"/>
        </w:rPr>
        <w:t xml:space="preserve"> a efecto la secesión de Quebec de Canadá unilateralmente?</w:t>
      </w:r>
    </w:p>
    <w:p w:rsidR="00382F24" w:rsidRPr="00FB728B" w:rsidRDefault="00382F24" w:rsidP="00382F24">
      <w:pPr>
        <w:pStyle w:val="Prrafodelista"/>
        <w:numPr>
          <w:ilvl w:val="0"/>
          <w:numId w:val="5"/>
        </w:numPr>
        <w:spacing w:line="360" w:lineRule="auto"/>
        <w:jc w:val="both"/>
        <w:rPr>
          <w:rFonts w:cs="Times New Roman"/>
          <w:szCs w:val="24"/>
        </w:rPr>
      </w:pPr>
      <w:r w:rsidRPr="00FB728B">
        <w:rPr>
          <w:rFonts w:cs="Times New Roman"/>
          <w:szCs w:val="24"/>
        </w:rPr>
        <w:t>¿Le otorga el derecho internacional a la Asamblea Nacional, al poder legislativo, o al gobierno de Quebec el derecho a efectuar la secesión de Quebec de Canadá unilateralmente? En este sentido, ¿existe un </w:t>
      </w:r>
      <w:r w:rsidRPr="00D35577">
        <w:rPr>
          <w:rFonts w:cs="Times New Roman"/>
          <w:szCs w:val="24"/>
        </w:rPr>
        <w:t>derecho a la autodeterminación</w:t>
      </w:r>
      <w:r w:rsidRPr="00FB728B">
        <w:rPr>
          <w:rFonts w:cs="Times New Roman"/>
          <w:szCs w:val="24"/>
        </w:rPr>
        <w:t> bajo el </w:t>
      </w:r>
      <w:r w:rsidRPr="00D35577">
        <w:rPr>
          <w:rFonts w:cs="Times New Roman"/>
          <w:szCs w:val="24"/>
        </w:rPr>
        <w:t>derecho internacional</w:t>
      </w:r>
      <w:r w:rsidRPr="00FB728B">
        <w:rPr>
          <w:rFonts w:cs="Times New Roman"/>
          <w:szCs w:val="24"/>
        </w:rPr>
        <w:t> que le otorgue a la Asamblea Nacional, al poder legislativo o al gobierno de Quebec el derecho a efectuar la secesión de Quebec de Canadá unilateralmente?</w:t>
      </w:r>
    </w:p>
    <w:p w:rsidR="00382F24" w:rsidRDefault="00382F24" w:rsidP="00382F24">
      <w:pPr>
        <w:pStyle w:val="Prrafodelista"/>
        <w:numPr>
          <w:ilvl w:val="0"/>
          <w:numId w:val="5"/>
        </w:numPr>
        <w:spacing w:line="360" w:lineRule="auto"/>
        <w:jc w:val="both"/>
        <w:rPr>
          <w:rFonts w:cs="Times New Roman"/>
          <w:szCs w:val="24"/>
        </w:rPr>
      </w:pPr>
      <w:r w:rsidRPr="00FB728B">
        <w:rPr>
          <w:rFonts w:cs="Times New Roman"/>
          <w:szCs w:val="24"/>
        </w:rPr>
        <w:t>En caso de conflicto entre la legislación nacional y la internacional sobre el derecho de la Asamblea Nacional, el poder legislativo, o el gobierno de Quebec a efectuar la secesión de Quebec de Canadá de manera unilateral, ¿cuál de las legislaciones tendría preferencia en Canadá?</w:t>
      </w:r>
    </w:p>
    <w:p w:rsidR="00382F24" w:rsidRDefault="00382F24" w:rsidP="00382F24">
      <w:pPr>
        <w:spacing w:line="360" w:lineRule="auto"/>
        <w:jc w:val="both"/>
        <w:rPr>
          <w:rFonts w:cs="Times New Roman"/>
          <w:szCs w:val="24"/>
        </w:rPr>
      </w:pPr>
      <w:r>
        <w:rPr>
          <w:rFonts w:cs="Times New Roman"/>
          <w:szCs w:val="24"/>
        </w:rPr>
        <w:t>De la sentencia, publicada el 20 de agosto de 1998, se pueden destacar los siguientes puntos</w:t>
      </w:r>
      <w:r w:rsidR="00FF5A55">
        <w:rPr>
          <w:rStyle w:val="Refdenotaalpie"/>
          <w:rFonts w:cs="Times New Roman"/>
          <w:szCs w:val="24"/>
        </w:rPr>
        <w:footnoteReference w:id="70"/>
      </w:r>
      <w:r>
        <w:rPr>
          <w:rFonts w:cs="Times New Roman"/>
          <w:szCs w:val="24"/>
        </w:rPr>
        <w:t>:</w:t>
      </w:r>
    </w:p>
    <w:p w:rsidR="00382F24" w:rsidRDefault="00382F24" w:rsidP="00382F24">
      <w:pPr>
        <w:pStyle w:val="Prrafodelista"/>
        <w:numPr>
          <w:ilvl w:val="0"/>
          <w:numId w:val="4"/>
        </w:numPr>
        <w:spacing w:line="360" w:lineRule="auto"/>
        <w:jc w:val="both"/>
        <w:rPr>
          <w:rFonts w:cs="Times New Roman"/>
          <w:szCs w:val="24"/>
        </w:rPr>
      </w:pPr>
      <w:r>
        <w:rPr>
          <w:rFonts w:cs="Times New Roman"/>
          <w:szCs w:val="24"/>
        </w:rPr>
        <w:t>No se puede convocar un referéndum de forma unilateral. La ruptura afecta a los ciudadanos de Quebec, pero también a los de las demás provincias. Por lo tanto, no se trata, de ninguna manera, de un referéndum de autodeterminación.</w:t>
      </w:r>
    </w:p>
    <w:p w:rsidR="00382F24" w:rsidRDefault="00382F24" w:rsidP="00382F24">
      <w:pPr>
        <w:pStyle w:val="Prrafodelista"/>
        <w:numPr>
          <w:ilvl w:val="0"/>
          <w:numId w:val="4"/>
        </w:numPr>
        <w:spacing w:line="360" w:lineRule="auto"/>
        <w:jc w:val="both"/>
        <w:rPr>
          <w:rFonts w:cs="Times New Roman"/>
          <w:szCs w:val="24"/>
        </w:rPr>
      </w:pPr>
      <w:r>
        <w:rPr>
          <w:rFonts w:cs="Times New Roman"/>
          <w:szCs w:val="24"/>
        </w:rPr>
        <w:t>Si hay un voto claro y mayoritario a favor de la independencia, se inicia el proceso de negociación, pero sería el principio del proceso y no la conclusión.</w:t>
      </w:r>
    </w:p>
    <w:p w:rsidR="00382F24" w:rsidRDefault="00382F24" w:rsidP="0090349C">
      <w:pPr>
        <w:pStyle w:val="Prrafodelista"/>
        <w:numPr>
          <w:ilvl w:val="0"/>
          <w:numId w:val="4"/>
        </w:numPr>
        <w:spacing w:line="360" w:lineRule="auto"/>
        <w:jc w:val="both"/>
        <w:rPr>
          <w:rFonts w:cs="Times New Roman"/>
          <w:szCs w:val="24"/>
        </w:rPr>
      </w:pPr>
      <w:r>
        <w:rPr>
          <w:rFonts w:cs="Times New Roman"/>
          <w:szCs w:val="24"/>
        </w:rPr>
        <w:t>La pregunta ha de ser clara y la convocatoria ha de tener un mínimo de participación. Además, sirve una mayoría cualificada para legitimar la ruptura con el resto del país. El tribunal argumentó que esta decisión no podría depender de una minoría ni de una pregunta ambigua. El parlamento de Canadá tiene la facultad de determinar si la pregunta es suficientemente clara.</w:t>
      </w:r>
    </w:p>
    <w:p w:rsidR="00382F24" w:rsidRDefault="00382F24" w:rsidP="0090349C">
      <w:pPr>
        <w:pStyle w:val="Prrafodelista"/>
        <w:numPr>
          <w:ilvl w:val="0"/>
          <w:numId w:val="4"/>
        </w:numPr>
        <w:spacing w:line="360" w:lineRule="auto"/>
        <w:jc w:val="both"/>
        <w:rPr>
          <w:rFonts w:cs="Times New Roman"/>
          <w:szCs w:val="24"/>
        </w:rPr>
      </w:pPr>
      <w:r>
        <w:rPr>
          <w:rFonts w:cs="Times New Roman"/>
          <w:szCs w:val="24"/>
        </w:rPr>
        <w:t>Solo estarán legitimadas para salir las partes del territorio que aboguen por la independencia. La secesión no tiene que ocurrir en todo el territorio de la provincia si en algunas zonas gana el No. Se exige al gobierno de Quebec que se practique la misma apertura y respeto popular que ejerce al aceptar una consulta de estas características. Si Canadá es divisible, Quebec debe serlo también.</w:t>
      </w:r>
    </w:p>
    <w:p w:rsidR="00382F24" w:rsidRPr="004C3A36" w:rsidRDefault="00382F24" w:rsidP="0090349C">
      <w:pPr>
        <w:pStyle w:val="Prrafodelista"/>
        <w:numPr>
          <w:ilvl w:val="0"/>
          <w:numId w:val="4"/>
        </w:numPr>
        <w:spacing w:line="360" w:lineRule="auto"/>
        <w:jc w:val="both"/>
        <w:rPr>
          <w:rFonts w:cs="Times New Roman"/>
          <w:szCs w:val="24"/>
        </w:rPr>
      </w:pPr>
      <w:r>
        <w:rPr>
          <w:rFonts w:cs="Times New Roman"/>
          <w:szCs w:val="24"/>
        </w:rPr>
        <w:t>La constitución de Canadá permanecería en vigor hasta que la secesión sea pactada y estos términos deberán respetar los principios de democracia, los derechos de las minorías y los individuos, tal como está escrito en la constitución canadiense.</w:t>
      </w:r>
    </w:p>
    <w:p w:rsidR="00382F24" w:rsidRDefault="00382F24" w:rsidP="0090349C">
      <w:pPr>
        <w:spacing w:line="360" w:lineRule="auto"/>
        <w:jc w:val="both"/>
        <w:rPr>
          <w:lang w:eastAsia="es-ES"/>
        </w:rPr>
      </w:pPr>
      <w:r>
        <w:rPr>
          <w:lang w:eastAsia="es-ES"/>
        </w:rPr>
        <w:t>Estas consideraciones se plasmaron en una ley llamada Ley de Claridad</w:t>
      </w:r>
      <w:r w:rsidR="005B7801">
        <w:rPr>
          <w:rStyle w:val="Refdenotaalpie"/>
          <w:lang w:eastAsia="es-ES"/>
        </w:rPr>
        <w:footnoteReference w:id="71"/>
      </w:r>
      <w:r>
        <w:rPr>
          <w:lang w:eastAsia="es-ES"/>
        </w:rPr>
        <w:t>, que acababa con muchas de las pretensiones de los partidos secesionistas de Quebec, puesto que las condiciones de esta ley, no les resultaban favorables. Algunos puntos a tener en cuenta son:</w:t>
      </w:r>
    </w:p>
    <w:p w:rsidR="00382F24" w:rsidRDefault="00382F24" w:rsidP="0090349C">
      <w:pPr>
        <w:pStyle w:val="Prrafodelista"/>
        <w:numPr>
          <w:ilvl w:val="0"/>
          <w:numId w:val="6"/>
        </w:numPr>
        <w:spacing w:line="360" w:lineRule="auto"/>
        <w:jc w:val="both"/>
        <w:rPr>
          <w:lang w:eastAsia="es-ES"/>
        </w:rPr>
      </w:pPr>
      <w:r>
        <w:rPr>
          <w:lang w:eastAsia="es-ES"/>
        </w:rPr>
        <w:t>La Cámara de los Comunes tiene la facultad de decidir si la pregunta de un referéndum de secesión es lo suficientemente clara antes de ser sometida a votación. También, de considerar si existe esa clara mayoría necesaria.</w:t>
      </w:r>
    </w:p>
    <w:p w:rsidR="00382F24" w:rsidRDefault="00382F24" w:rsidP="0090349C">
      <w:pPr>
        <w:pStyle w:val="Prrafodelista"/>
        <w:numPr>
          <w:ilvl w:val="0"/>
          <w:numId w:val="6"/>
        </w:numPr>
        <w:spacing w:line="360" w:lineRule="auto"/>
        <w:jc w:val="both"/>
        <w:rPr>
          <w:lang w:eastAsia="es-ES"/>
        </w:rPr>
      </w:pPr>
      <w:r>
        <w:rPr>
          <w:lang w:eastAsia="es-ES"/>
        </w:rPr>
        <w:t>Todas las provincias y primeras naciones aborígenes, tienen que formar parte en las negociaciones de salida.</w:t>
      </w:r>
    </w:p>
    <w:p w:rsidR="00382F24" w:rsidRDefault="00382F24" w:rsidP="0090349C">
      <w:pPr>
        <w:pStyle w:val="Prrafodelista"/>
        <w:numPr>
          <w:ilvl w:val="0"/>
          <w:numId w:val="6"/>
        </w:numPr>
        <w:spacing w:line="360" w:lineRule="auto"/>
        <w:jc w:val="both"/>
        <w:rPr>
          <w:lang w:eastAsia="es-ES"/>
        </w:rPr>
      </w:pPr>
      <w:r>
        <w:rPr>
          <w:lang w:eastAsia="es-ES"/>
        </w:rPr>
        <w:t>La secesión se hará mediante una enmienda a la Constitución de Canadá.</w:t>
      </w:r>
    </w:p>
    <w:p w:rsidR="00382F24" w:rsidRDefault="00382F24" w:rsidP="00382F24">
      <w:pPr>
        <w:spacing w:line="480" w:lineRule="auto"/>
        <w:rPr>
          <w:b/>
          <w:u w:val="single"/>
        </w:rPr>
      </w:pPr>
    </w:p>
    <w:p w:rsidR="005B7801" w:rsidRDefault="005B7801" w:rsidP="005B7801">
      <w:pPr>
        <w:pStyle w:val="Prrafodelista"/>
        <w:spacing w:line="480" w:lineRule="auto"/>
        <w:ind w:left="1080"/>
        <w:rPr>
          <w:b/>
          <w:u w:val="single"/>
        </w:rPr>
      </w:pPr>
    </w:p>
    <w:p w:rsidR="005B7801" w:rsidRDefault="005B7801" w:rsidP="005B7801">
      <w:pPr>
        <w:pStyle w:val="Prrafodelista"/>
        <w:spacing w:line="480" w:lineRule="auto"/>
        <w:ind w:left="1080"/>
        <w:rPr>
          <w:b/>
          <w:u w:val="single"/>
        </w:rPr>
      </w:pPr>
    </w:p>
    <w:p w:rsidR="00F01E53" w:rsidRDefault="00382F24" w:rsidP="00417703">
      <w:pPr>
        <w:pStyle w:val="Prrafodelista"/>
        <w:numPr>
          <w:ilvl w:val="2"/>
          <w:numId w:val="5"/>
        </w:numPr>
        <w:spacing w:line="480" w:lineRule="auto"/>
        <w:rPr>
          <w:b/>
          <w:u w:val="single"/>
        </w:rPr>
      </w:pPr>
      <w:r w:rsidRPr="00F36EE4">
        <w:rPr>
          <w:b/>
          <w:u w:val="single"/>
        </w:rPr>
        <w:t xml:space="preserve">La </w:t>
      </w:r>
      <w:r w:rsidR="002D3C68" w:rsidRPr="00F36EE4">
        <w:rPr>
          <w:b/>
          <w:u w:val="single"/>
        </w:rPr>
        <w:t>comparación</w:t>
      </w:r>
      <w:r w:rsidRPr="00F36EE4">
        <w:rPr>
          <w:b/>
          <w:u w:val="single"/>
        </w:rPr>
        <w:t xml:space="preserve"> con los casos de </w:t>
      </w:r>
      <w:r w:rsidR="002D3C68" w:rsidRPr="00F36EE4">
        <w:rPr>
          <w:b/>
          <w:u w:val="single"/>
        </w:rPr>
        <w:t>Escocia</w:t>
      </w:r>
      <w:r w:rsidRPr="00F36EE4">
        <w:rPr>
          <w:b/>
          <w:u w:val="single"/>
        </w:rPr>
        <w:t xml:space="preserve"> y Quebec</w:t>
      </w:r>
    </w:p>
    <w:p w:rsidR="00417703" w:rsidRPr="00417703" w:rsidRDefault="00417703" w:rsidP="00417703">
      <w:pPr>
        <w:pStyle w:val="Prrafodelista"/>
        <w:spacing w:line="480" w:lineRule="auto"/>
        <w:ind w:left="1080"/>
        <w:rPr>
          <w:b/>
          <w:u w:val="single"/>
        </w:rPr>
      </w:pPr>
    </w:p>
    <w:p w:rsidR="00382F24" w:rsidRDefault="00382F24" w:rsidP="0090349C">
      <w:pPr>
        <w:spacing w:line="360" w:lineRule="auto"/>
        <w:jc w:val="both"/>
      </w:pPr>
      <w:r w:rsidRPr="00382F24">
        <w:t xml:space="preserve">En principio, la comparación a estos casos no es pertinente, ya que en el referéndum </w:t>
      </w:r>
      <w:r w:rsidR="002D3C68" w:rsidRPr="00382F24">
        <w:t>escocés</w:t>
      </w:r>
      <w:r w:rsidRPr="00382F24">
        <w:t xml:space="preserve">, la potestad de convocatoria se la reserva el Estado de Reino Unido, y, tras llegar a un entendimiento por medio de negociaciones, este lo dio y la Reina convocó la consulta. En el hecho acaecido en España, el gobierno </w:t>
      </w:r>
      <w:r w:rsidR="002D3C68" w:rsidRPr="00382F24">
        <w:t>autonómico</w:t>
      </w:r>
      <w:r w:rsidRPr="00382F24">
        <w:t xml:space="preserve"> catalán, y el central español, no llegaron a una postura común, y el gobierno central no autorizó la consulta e incluso la recurrió al tribunal garante de la aplicación de la </w:t>
      </w:r>
      <w:r w:rsidR="002D3C68" w:rsidRPr="00382F24">
        <w:t>Constitución</w:t>
      </w:r>
      <w:r w:rsidRPr="00382F24">
        <w:t xml:space="preserve"> Española, el Tribunal Constitucional.</w:t>
      </w:r>
    </w:p>
    <w:p w:rsidR="005C7774" w:rsidRPr="003047E2" w:rsidRDefault="005C7774" w:rsidP="0090349C">
      <w:pPr>
        <w:spacing w:line="360" w:lineRule="auto"/>
        <w:jc w:val="both"/>
      </w:pPr>
      <w:r w:rsidRPr="003047E2">
        <w:t>No se planteó siquiera la posibilidad de un entendimiento al gobierno central, no hubo un proceso de negociación. Al contrario, la postura del gobierno autonómico ha sido la de retar continuamente al ejecutivo español, el cual está obligado a cumplir y garantizar el cumplimiento de la constitución, y la de “obligar” a aceptar las pretensiones catalanas de un “pacto fiscal” para no enfrentarse a un conflicto independentista</w:t>
      </w:r>
      <w:r w:rsidR="004861DE" w:rsidRPr="003047E2">
        <w:rPr>
          <w:rStyle w:val="Refdenotaalpie"/>
        </w:rPr>
        <w:footnoteReference w:id="72"/>
      </w:r>
      <w:r w:rsidRPr="003047E2">
        <w:t xml:space="preserve">. </w:t>
      </w:r>
    </w:p>
    <w:p w:rsidR="00EC0045" w:rsidRPr="003047E2" w:rsidRDefault="00EC0045" w:rsidP="0090349C">
      <w:pPr>
        <w:spacing w:line="360" w:lineRule="auto"/>
        <w:jc w:val="both"/>
      </w:pPr>
      <w:r w:rsidRPr="003047E2">
        <w:t xml:space="preserve">Otra diferencia muy importante es el sistema constitucional de ambos países. Mientras que en Reino Unido no existe una constitución unificada como tal, sino una serie de leyes que han sido consideradas como constitucionales por su importancia o  su procedencia, y sin rango superior, en España, sí que la Constitución de 1978 cuenta con un status superior respecto al resto de las leyes y con un Tribunal interpretador y resolutor de conflictos para que las leyes inferiores no puedan contravenir los preceptos que contiene y aprobados en referéndum por la totalidad de la población española, y dentro de ella, la catalana. Por lo tanto, en Inglaterra es posible cambiar las reglas constitucionales con aprobar una nueva ley, y en España precisa de una reforma de </w:t>
      </w:r>
      <w:r w:rsidR="00F9252A" w:rsidRPr="003047E2">
        <w:t>su norma suprema</w:t>
      </w:r>
      <w:r w:rsidR="00F9252A" w:rsidRPr="003047E2">
        <w:rPr>
          <w:rStyle w:val="Refdenotaalpie"/>
        </w:rPr>
        <w:footnoteReference w:id="73"/>
      </w:r>
      <w:r w:rsidR="00F9252A" w:rsidRPr="003047E2">
        <w:t>. Por ello, se da la paradoja de que el “principio democrático” y el “derecho a decidir” en el que se justifican, es profundamente antidemocrático</w:t>
      </w:r>
      <w:r w:rsidR="00F9252A" w:rsidRPr="003047E2">
        <w:rPr>
          <w:rStyle w:val="Refdenotaalpie"/>
        </w:rPr>
        <w:footnoteReference w:id="74"/>
      </w:r>
      <w:r w:rsidR="00F9252A" w:rsidRPr="003047E2">
        <w:t>.</w:t>
      </w:r>
    </w:p>
    <w:p w:rsidR="00382F24" w:rsidRPr="003047E2" w:rsidRDefault="00382F24" w:rsidP="0090349C">
      <w:pPr>
        <w:spacing w:line="360" w:lineRule="auto"/>
        <w:jc w:val="both"/>
      </w:pPr>
      <w:r w:rsidRPr="003047E2">
        <w:t xml:space="preserve"> Diferente es el referéndum de Quebec de 1995, que no contó con el apoyo de Canadá, pero esta no </w:t>
      </w:r>
      <w:r w:rsidR="002D3C68" w:rsidRPr="003047E2">
        <w:t>tenía</w:t>
      </w:r>
      <w:r w:rsidRPr="003047E2">
        <w:t xml:space="preserve"> reservada la competencia para impedirlo, quedando automáticamente</w:t>
      </w:r>
      <w:r w:rsidRPr="00382F24">
        <w:t xml:space="preserve"> atribuida la facultad de convocatoria a la provincia de Quebec a causa del sistema legal canadiense. En España, las competencias de las comunidades se tienen que atribuir explícitamente mediante ley </w:t>
      </w:r>
      <w:r w:rsidR="002D3C68" w:rsidRPr="00382F24">
        <w:t>orgánica</w:t>
      </w:r>
      <w:r w:rsidRPr="00382F24">
        <w:t xml:space="preserve">, y en caso de conflicto por la no atribución a ninguna de las partes, prevalece el ordenamiento común de todo el territorio. Además, el Estado se atribuye la competencia en los artículos 92 y 149 de la </w:t>
      </w:r>
      <w:r w:rsidR="002D3C68" w:rsidRPr="00382F24">
        <w:t>Constitución</w:t>
      </w:r>
      <w:r w:rsidRPr="00382F24">
        <w:t xml:space="preserve">, y el Estatuto de </w:t>
      </w:r>
      <w:r w:rsidR="002D3C68" w:rsidRPr="00382F24">
        <w:t>Autonomía</w:t>
      </w:r>
      <w:r w:rsidRPr="00382F24">
        <w:t xml:space="preserve"> de Cataluña se lo reconoce en el </w:t>
      </w:r>
      <w:r w:rsidR="002D3C68" w:rsidRPr="00382F24">
        <w:t>artículo</w:t>
      </w:r>
      <w:r w:rsidRPr="00382F24">
        <w:t xml:space="preserve"> 122 de la norma. Siendo este un </w:t>
      </w:r>
      <w:r w:rsidR="00C11825" w:rsidRPr="00382F24">
        <w:t>artículo</w:t>
      </w:r>
      <w:r w:rsidRPr="00382F24">
        <w:t xml:space="preserve"> fuera de controversia política puesto que no fue modificado por </w:t>
      </w:r>
      <w:r w:rsidRPr="003047E2">
        <w:t>el Tribunal Constitucional en la Sentencia 31/2010.</w:t>
      </w:r>
    </w:p>
    <w:p w:rsidR="00046EAB" w:rsidRPr="003047E2" w:rsidRDefault="00046EAB" w:rsidP="0090349C">
      <w:pPr>
        <w:spacing w:line="360" w:lineRule="auto"/>
        <w:jc w:val="both"/>
      </w:pPr>
      <w:r w:rsidRPr="003047E2">
        <w:t xml:space="preserve">La Corte Suprema de Canadá incluso adoptó una postura después de los referéndums de 1980 y 1995 contraria a las futuras pretensiones catalanas, cuando el Ministro de Asuntos Intergubernamentales hizo las tres preguntas que dieron lugar a la </w:t>
      </w:r>
      <w:r w:rsidRPr="003047E2">
        <w:rPr>
          <w:i/>
        </w:rPr>
        <w:t>Clarity</w:t>
      </w:r>
      <w:r w:rsidR="00D1166A">
        <w:rPr>
          <w:i/>
        </w:rPr>
        <w:t xml:space="preserve"> </w:t>
      </w:r>
      <w:r w:rsidRPr="003047E2">
        <w:rPr>
          <w:i/>
        </w:rPr>
        <w:t>Act</w:t>
      </w:r>
      <w:r w:rsidRPr="003047E2">
        <w:t>: si la Constitución permite la secesión unilateral, si la ampara el Derecho Internacional y, de ser incompatibles ambas respuestas, cuál debe aplicarse preferentemente, a lo que respondió negativamente a las dos primeras y, consecuentemente, a la tercera, por lo que, de aplicarse esta doctrina en Cataluña, sus pretensiones quedarían invalidadas, ya que les obliga a negociar la consulta obligatoriamente con el estado</w:t>
      </w:r>
      <w:r w:rsidRPr="003047E2">
        <w:rPr>
          <w:rStyle w:val="Refdenotaalpie"/>
        </w:rPr>
        <w:footnoteReference w:id="75"/>
      </w:r>
      <w:r w:rsidRPr="003047E2">
        <w:t>.</w:t>
      </w:r>
    </w:p>
    <w:p w:rsidR="00382F24" w:rsidRPr="00D72EF7" w:rsidRDefault="00046EAB" w:rsidP="00D72EF7">
      <w:pPr>
        <w:spacing w:line="360" w:lineRule="auto"/>
        <w:jc w:val="both"/>
        <w:rPr>
          <w:color w:val="FF0000"/>
        </w:rPr>
      </w:pPr>
      <w:r w:rsidRPr="003047E2">
        <w:t xml:space="preserve">La prensa canadiense ha publicado una serie de artículos </w:t>
      </w:r>
      <w:r w:rsidR="0097337D" w:rsidRPr="003047E2">
        <w:t xml:space="preserve">resaltando las diferencias entre los dos casos. Uno de ellos fue el realizado por Joseph Facal para </w:t>
      </w:r>
      <w:r w:rsidR="003047E2" w:rsidRPr="003047E2">
        <w:t xml:space="preserve"> </w:t>
      </w:r>
      <w:r w:rsidR="003047E2" w:rsidRPr="00D1166A">
        <w:rPr>
          <w:i/>
        </w:rPr>
        <w:t xml:space="preserve">Le </w:t>
      </w:r>
      <w:r w:rsidR="0097337D" w:rsidRPr="00D1166A">
        <w:rPr>
          <w:i/>
        </w:rPr>
        <w:t>Journal de Montreal,</w:t>
      </w:r>
      <w:r w:rsidR="0097337D" w:rsidRPr="003047E2">
        <w:rPr>
          <w:i/>
        </w:rPr>
        <w:t xml:space="preserve"> </w:t>
      </w:r>
      <w:r w:rsidR="0097337D" w:rsidRPr="003047E2">
        <w:t xml:space="preserve">en él comenta que la legalidad canadiense permite la entrada y salida de la confederación, pero la </w:t>
      </w:r>
      <w:r w:rsidR="00D1166A" w:rsidRPr="00D1166A">
        <w:t>e</w:t>
      </w:r>
      <w:r w:rsidR="0097337D" w:rsidRPr="00D1166A">
        <w:t>spañola</w:t>
      </w:r>
      <w:r w:rsidR="0097337D" w:rsidRPr="003047E2">
        <w:t xml:space="preserve"> no la permite por la unidad e indivisibilidad de la Nación, proclamada en la Constitución. El Tribunal Constitucional hizo valer desde el principio esta ley suprema, mientras que la Corte Suprema de Canadá sentó preceden</w:t>
      </w:r>
      <w:r w:rsidR="003047E2" w:rsidRPr="003047E2">
        <w:t>te y se fue legislando desde el</w:t>
      </w:r>
      <w:r w:rsidR="0097337D" w:rsidRPr="003047E2">
        <w:t xml:space="preserve"> momento</w:t>
      </w:r>
      <w:r w:rsidR="003047E2" w:rsidRPr="003047E2">
        <w:t xml:space="preserve"> de la entrada en vigor de la</w:t>
      </w:r>
      <w:r w:rsidR="0097337D" w:rsidRPr="003047E2">
        <w:t xml:space="preserve"> </w:t>
      </w:r>
      <w:r w:rsidR="0097337D" w:rsidRPr="00D1166A">
        <w:rPr>
          <w:i/>
        </w:rPr>
        <w:t>Clarity</w:t>
      </w:r>
      <w:r w:rsidR="003047E2" w:rsidRPr="00D1166A">
        <w:rPr>
          <w:i/>
        </w:rPr>
        <w:t xml:space="preserve"> </w:t>
      </w:r>
      <w:r w:rsidR="0097337D" w:rsidRPr="00D1166A">
        <w:rPr>
          <w:i/>
        </w:rPr>
        <w:t>Act</w:t>
      </w:r>
      <w:r w:rsidR="0097337D" w:rsidRPr="003047E2">
        <w:rPr>
          <w:rStyle w:val="Refdenotaalpie"/>
        </w:rPr>
        <w:footnoteReference w:id="76"/>
      </w:r>
      <w:r w:rsidR="0097337D" w:rsidRPr="003047E2">
        <w:t>.</w:t>
      </w:r>
      <w:r w:rsidR="00382F24" w:rsidRPr="00D72EF7">
        <w:rPr>
          <w:color w:val="FF0000"/>
        </w:rPr>
        <w:br w:type="page"/>
      </w:r>
    </w:p>
    <w:p w:rsidR="00382F24" w:rsidRDefault="000C0BE7" w:rsidP="000C0BE7">
      <w:pPr>
        <w:pStyle w:val="Ttulo1"/>
      </w:pPr>
      <w:r w:rsidRPr="000C0BE7">
        <w:t>4</w:t>
      </w:r>
      <w:r w:rsidRPr="000C0BE7">
        <w:rPr>
          <w:b w:val="0"/>
        </w:rPr>
        <w:t>.</w:t>
      </w:r>
      <w:r w:rsidR="00382F24">
        <w:t>LA</w:t>
      </w:r>
      <w:r w:rsidR="00D35577">
        <w:t xml:space="preserve"> VALIDEZ DEL RESULTADO DEL REFERÉNDUM</w:t>
      </w:r>
    </w:p>
    <w:p w:rsidR="00D35577" w:rsidRDefault="00D35577" w:rsidP="00D35577"/>
    <w:p w:rsidR="00D35577" w:rsidRDefault="00D35577" w:rsidP="0090349C">
      <w:pPr>
        <w:spacing w:line="360" w:lineRule="auto"/>
        <w:jc w:val="both"/>
      </w:pPr>
      <w:r>
        <w:t xml:space="preserve">En este punto vamos a analizar </w:t>
      </w:r>
      <w:r w:rsidR="00DF2196">
        <w:t>la l</w:t>
      </w:r>
      <w:r w:rsidR="00A66281">
        <w:t>egislación estatal</w:t>
      </w:r>
      <w:r w:rsidR="00DF2196">
        <w:t xml:space="preserve"> que concierne al desarrollo de todo tipo de procedimientos de votación en el país, y en este caso concreto, es decir, en materia de referéndums, prestando especial atención </w:t>
      </w:r>
      <w:r w:rsidR="00A66281">
        <w:t>a los puntos</w:t>
      </w:r>
      <w:r w:rsidR="00DF2196">
        <w:t xml:space="preserve"> en l</w:t>
      </w:r>
      <w:r w:rsidR="00A66281">
        <w:t>os que se ha podido vulnerar estas leyes.</w:t>
      </w:r>
    </w:p>
    <w:p w:rsidR="00DF2196" w:rsidRDefault="00DF2196" w:rsidP="0090349C">
      <w:pPr>
        <w:spacing w:line="360" w:lineRule="auto"/>
        <w:jc w:val="both"/>
      </w:pPr>
      <w:r>
        <w:t>Se puede dividir la legislación vigente para</w:t>
      </w:r>
      <w:r w:rsidR="00CA3145">
        <w:t xml:space="preserve"> funcionamiento de</w:t>
      </w:r>
      <w:r>
        <w:t xml:space="preserve"> votaciones en referéndum en dos partes:</w:t>
      </w:r>
    </w:p>
    <w:p w:rsidR="00DF2196" w:rsidRDefault="00DF2196" w:rsidP="0090349C">
      <w:pPr>
        <w:pStyle w:val="Prrafodelista"/>
        <w:numPr>
          <w:ilvl w:val="0"/>
          <w:numId w:val="8"/>
        </w:numPr>
        <w:spacing w:line="360" w:lineRule="auto"/>
        <w:jc w:val="both"/>
      </w:pPr>
      <w:r>
        <w:t>Ley Orgánica 2/1980 sobre la regulación de las distintas modalidades de referéndum</w:t>
      </w:r>
    </w:p>
    <w:p w:rsidR="00DF2196" w:rsidRPr="003047E2" w:rsidRDefault="00DF2196" w:rsidP="0090349C">
      <w:pPr>
        <w:pStyle w:val="Prrafodelista"/>
        <w:numPr>
          <w:ilvl w:val="0"/>
          <w:numId w:val="8"/>
        </w:numPr>
        <w:spacing w:line="360" w:lineRule="auto"/>
        <w:jc w:val="both"/>
      </w:pPr>
      <w:r w:rsidRPr="003047E2">
        <w:t>Ley Orgánica de Régimen Electoral General (subsidiaria)</w:t>
      </w:r>
    </w:p>
    <w:p w:rsidR="00F3054C" w:rsidRPr="003047E2" w:rsidRDefault="00F3054C" w:rsidP="00F3054C">
      <w:pPr>
        <w:spacing w:line="360" w:lineRule="auto"/>
        <w:jc w:val="both"/>
      </w:pPr>
      <w:r w:rsidRPr="003047E2">
        <w:t>Esta legislación sirve de base para comprender si el referéndum del 1 de octubre fue desarrollado con normalidad y de acuerdo a la normativa existente para este tipo de consultas. En un primer punto, se desarrolla la ley reguladora y la ley subsidiaria para los vacíos que ésta deje, componiendo un “código” que nos permitirá analizar si esto es así.</w:t>
      </w:r>
    </w:p>
    <w:p w:rsidR="00F3054C" w:rsidRPr="003047E2" w:rsidRDefault="00F3054C" w:rsidP="00F3054C">
      <w:pPr>
        <w:spacing w:line="360" w:lineRule="auto"/>
        <w:jc w:val="both"/>
      </w:pPr>
      <w:r w:rsidRPr="003047E2">
        <w:t>Carles Puigdemont, presidente de la Generalitat de Cataluña aseguró que después de los resultados del referéndum (</w:t>
      </w:r>
      <w:r w:rsidR="00413B0C" w:rsidRPr="003047E2">
        <w:t>con un resultado a favor de la independencia de un 90.09%), los ciudadanos de Cataluña se habían “ganado el derecho a tener un Estado independiente” constituido en forma de república”</w:t>
      </w:r>
      <w:r w:rsidR="00B97912" w:rsidRPr="003047E2">
        <w:rPr>
          <w:rStyle w:val="Refdenotaalpie"/>
        </w:rPr>
        <w:footnoteReference w:id="77"/>
      </w:r>
      <w:r w:rsidR="00B97912" w:rsidRPr="003047E2">
        <w:t>.</w:t>
      </w:r>
      <w:r w:rsidR="00413B0C" w:rsidRPr="003047E2">
        <w:t xml:space="preserve"> ¿Podemos afirmar que esto es así?</w:t>
      </w:r>
    </w:p>
    <w:p w:rsidR="0030229F" w:rsidRDefault="0030229F" w:rsidP="00382F24">
      <w:pPr>
        <w:spacing w:line="480" w:lineRule="auto"/>
      </w:pPr>
    </w:p>
    <w:p w:rsidR="0030229F" w:rsidRDefault="0030229F" w:rsidP="00382F24">
      <w:pPr>
        <w:spacing w:line="480" w:lineRule="auto"/>
      </w:pPr>
    </w:p>
    <w:p w:rsidR="0030229F" w:rsidRDefault="0030229F" w:rsidP="00382F24">
      <w:pPr>
        <w:spacing w:line="480" w:lineRule="auto"/>
      </w:pPr>
    </w:p>
    <w:p w:rsidR="0030229F" w:rsidRDefault="0030229F" w:rsidP="00382F24">
      <w:pPr>
        <w:spacing w:line="480" w:lineRule="auto"/>
      </w:pPr>
    </w:p>
    <w:p w:rsidR="00382F24" w:rsidRDefault="00DF2196" w:rsidP="00382F24">
      <w:pPr>
        <w:spacing w:line="480" w:lineRule="auto"/>
        <w:rPr>
          <w:b/>
          <w:u w:val="single"/>
        </w:rPr>
      </w:pPr>
      <w:r>
        <w:rPr>
          <w:b/>
          <w:u w:val="single"/>
        </w:rPr>
        <w:t xml:space="preserve">4.1 </w:t>
      </w:r>
      <w:r w:rsidR="00382F24">
        <w:rPr>
          <w:b/>
          <w:u w:val="single"/>
        </w:rPr>
        <w:t xml:space="preserve">REGULACIÓN DE PROCEDIMIENTOS DE VOTACIÓN EN REFERÉNDUM EN </w:t>
      </w:r>
      <w:r w:rsidR="00382F24" w:rsidRPr="00413B0C">
        <w:rPr>
          <w:b/>
          <w:u w:val="single"/>
        </w:rPr>
        <w:t>ESPAÑA</w:t>
      </w:r>
    </w:p>
    <w:p w:rsidR="00382F24" w:rsidRDefault="00382F24" w:rsidP="00382F24">
      <w:pPr>
        <w:pStyle w:val="Ttulo1"/>
        <w:spacing w:line="360" w:lineRule="auto"/>
        <w:jc w:val="both"/>
        <w:rPr>
          <w:rFonts w:cs="Times New Roman"/>
          <w:sz w:val="24"/>
          <w:szCs w:val="24"/>
        </w:rPr>
      </w:pPr>
      <w:r w:rsidRPr="00D806D0">
        <w:rPr>
          <w:rFonts w:cs="Times New Roman"/>
          <w:sz w:val="24"/>
          <w:szCs w:val="24"/>
        </w:rPr>
        <w:t>La Ley Orgánica 2/1980 de 18 de enero sobre la regulación de las distintas modalidades de referéndum</w:t>
      </w:r>
      <w:r w:rsidR="00B97912">
        <w:rPr>
          <w:rStyle w:val="Refdenotaalpie"/>
          <w:rFonts w:cs="Times New Roman"/>
          <w:sz w:val="24"/>
          <w:szCs w:val="24"/>
        </w:rPr>
        <w:footnoteReference w:id="78"/>
      </w:r>
      <w:r w:rsidRPr="00D806D0">
        <w:rPr>
          <w:rFonts w:cs="Times New Roman"/>
          <w:sz w:val="24"/>
          <w:szCs w:val="24"/>
        </w:rPr>
        <w:t>.</w:t>
      </w:r>
    </w:p>
    <w:p w:rsidR="00B80E68" w:rsidRPr="00B80E68" w:rsidRDefault="00B80E68" w:rsidP="00B80E68"/>
    <w:p w:rsidR="00382F24" w:rsidRPr="006E210B" w:rsidRDefault="00382F24" w:rsidP="00382F24">
      <w:pPr>
        <w:spacing w:line="360" w:lineRule="auto"/>
        <w:jc w:val="both"/>
        <w:rPr>
          <w:b/>
        </w:rPr>
      </w:pPr>
      <w:r w:rsidRPr="006E210B">
        <w:rPr>
          <w:b/>
        </w:rPr>
        <w:t>Del procedimiento para la celebración del referéndum</w:t>
      </w:r>
      <w:r>
        <w:rPr>
          <w:b/>
        </w:rPr>
        <w:t>. Disposiciones comunes</w:t>
      </w:r>
    </w:p>
    <w:p w:rsidR="00382F24" w:rsidRPr="0090349C" w:rsidRDefault="00382F24" w:rsidP="00382F24">
      <w:pPr>
        <w:spacing w:line="360" w:lineRule="auto"/>
        <w:jc w:val="both"/>
      </w:pPr>
      <w:r w:rsidRPr="0090349C">
        <w:rPr>
          <w:rFonts w:cs="Times New Roman"/>
          <w:szCs w:val="24"/>
        </w:rPr>
        <w:t xml:space="preserve">El </w:t>
      </w:r>
      <w:r w:rsidRPr="0090349C">
        <w:rPr>
          <w:rFonts w:cs="Times New Roman"/>
          <w:b/>
          <w:szCs w:val="24"/>
        </w:rPr>
        <w:t>articulo once</w:t>
      </w:r>
      <w:r w:rsidRPr="0090349C">
        <w:rPr>
          <w:rFonts w:cs="Times New Roman"/>
          <w:szCs w:val="24"/>
        </w:rPr>
        <w:t xml:space="preserve"> en su párrafo 1 proclama que el referéndum se ajustará al marco del régimen electoral general, en este caso, la Ley Orgánica 5/1985, de 19 de Junio, del Régimen Electoral General, </w:t>
      </w:r>
      <w:r w:rsidRPr="0090349C">
        <w:t>y no podrá contravenir esta ley (LO 2/1980).</w:t>
      </w:r>
    </w:p>
    <w:p w:rsidR="00382F24" w:rsidRPr="0090349C" w:rsidRDefault="00382F24" w:rsidP="00382F24">
      <w:pPr>
        <w:spacing w:line="360" w:lineRule="auto"/>
        <w:jc w:val="both"/>
      </w:pPr>
      <w:r w:rsidRPr="0090349C">
        <w:t>Las juntas electorales serán const</w:t>
      </w:r>
      <w:r w:rsidR="00CA3145">
        <w:t>ituidas mediante Real Decreto quince</w:t>
      </w:r>
      <w:r w:rsidRPr="0090349C">
        <w:t xml:space="preserve"> días después de la publicación de la convocatoria, comunicando los</w:t>
      </w:r>
      <w:r w:rsidR="00CA3145">
        <w:t xml:space="preserve"> vocales participantes en los diez</w:t>
      </w:r>
      <w:r w:rsidRPr="0090349C">
        <w:t xml:space="preserve"> primeros días del anterior plazo. Una vez constituidos la junta y los vocales, se procederá a su publicación en el Boletín Oficial del Estado o en el de la provincia, según proceda (</w:t>
      </w:r>
      <w:r w:rsidRPr="0090349C">
        <w:rPr>
          <w:b/>
        </w:rPr>
        <w:t xml:space="preserve">artículo 12). </w:t>
      </w:r>
      <w:r w:rsidRPr="0090349C">
        <w:t xml:space="preserve">Las Juntas Electorales Provinciales, procederán a demarcar los </w:t>
      </w:r>
      <w:r w:rsidR="00C11825" w:rsidRPr="0090349C">
        <w:t>límites</w:t>
      </w:r>
      <w:r w:rsidRPr="0090349C">
        <w:t xml:space="preserve"> de las secciones y los miembros de las mesas electorales, en 10 días para la primera obligación, y 5 días después para la segunda (</w:t>
      </w:r>
      <w:r w:rsidRPr="0090349C">
        <w:rPr>
          <w:b/>
        </w:rPr>
        <w:t>artículo 13</w:t>
      </w:r>
      <w:r w:rsidRPr="0090349C">
        <w:t>).</w:t>
      </w:r>
    </w:p>
    <w:p w:rsidR="00382F24" w:rsidRPr="00571891" w:rsidRDefault="00382F24" w:rsidP="00382F24">
      <w:pPr>
        <w:spacing w:line="360" w:lineRule="auto"/>
        <w:jc w:val="both"/>
        <w:rPr>
          <w:b/>
        </w:rPr>
      </w:pPr>
      <w:r>
        <w:rPr>
          <w:b/>
        </w:rPr>
        <w:t>Votación, escrutinio y proclamación de los resultados</w:t>
      </w:r>
    </w:p>
    <w:p w:rsidR="00382F24" w:rsidRDefault="00382F24" w:rsidP="00382F24">
      <w:pPr>
        <w:spacing w:line="360" w:lineRule="auto"/>
        <w:jc w:val="both"/>
      </w:pPr>
      <w:r>
        <w:t xml:space="preserve">El </w:t>
      </w:r>
      <w:r>
        <w:rPr>
          <w:b/>
        </w:rPr>
        <w:t xml:space="preserve">articulo 16 y 17 </w:t>
      </w:r>
      <w:r>
        <w:t>regulan la forma de la papeleta y el procedimiento de votación y escrutinio. Las papeletas y sobres deberán ajustarse al modelo oficial. Esta se deberá entregar al presidente de la mesa, el que lo meterá en la urna. La papeleta no debe entrar en los casos en los que se considere nula. Esta estará compuesta de una pregunta y dos opciones, únicamente la del “Sí” y la del “No”</w:t>
      </w:r>
    </w:p>
    <w:p w:rsidR="00382F24" w:rsidRDefault="00382F24" w:rsidP="00382F24">
      <w:pPr>
        <w:spacing w:line="360" w:lineRule="auto"/>
        <w:jc w:val="both"/>
      </w:pPr>
      <w:r>
        <w:t>En el escrutinio se deberá establecer número de electores, de votantes y de votos a favor y en contra de la propuesta.</w:t>
      </w:r>
      <w:r w:rsidR="00CA3145">
        <w:t xml:space="preserve"> Este debe ser validado en los cinco</w:t>
      </w:r>
      <w:r>
        <w:t xml:space="preserve"> días siguientes a la votación por la Junta Electoral Provincial, la cual, si no se interpone ningún recurso, debe comunicarlo a la Junta Electoral Central, quien procederá a resumir los datos, en el momento que obtenga los de cada provincia, y se dispondrá a comunicarle los resultados al Presidente del Gobierno, al del Congreso y al del Senado (</w:t>
      </w:r>
      <w:r>
        <w:rPr>
          <w:b/>
        </w:rPr>
        <w:t>artículo 18</w:t>
      </w:r>
      <w:r>
        <w:t>).</w:t>
      </w:r>
      <w:r w:rsidR="00CA3145">
        <w:t xml:space="preserve"> Acto seguido, se publicará</w:t>
      </w:r>
      <w:r>
        <w:t xml:space="preserve"> en el B</w:t>
      </w:r>
      <w:r w:rsidR="00CA3145">
        <w:t xml:space="preserve">oletín Oficial del </w:t>
      </w:r>
      <w:r>
        <w:t>E</w:t>
      </w:r>
      <w:r w:rsidR="00CA3145">
        <w:t>stado</w:t>
      </w:r>
      <w:r>
        <w:t xml:space="preserve"> y en los b</w:t>
      </w:r>
      <w:r w:rsidR="00CA3145">
        <w:t>oletines provinciales, o en el boletín o diario o</w:t>
      </w:r>
      <w:r>
        <w:t>ficial, si el referéndum se realiza en el ámbito de una Comunidad Autónoma.</w:t>
      </w:r>
    </w:p>
    <w:p w:rsidR="00A66281" w:rsidRDefault="00A66281" w:rsidP="00382F24">
      <w:pPr>
        <w:spacing w:line="360" w:lineRule="auto"/>
        <w:jc w:val="both"/>
      </w:pPr>
    </w:p>
    <w:p w:rsidR="00382F24" w:rsidRPr="009941FE" w:rsidRDefault="00382F24" w:rsidP="00382F24">
      <w:pPr>
        <w:pStyle w:val="Ttulo2"/>
        <w:jc w:val="both"/>
        <w:rPr>
          <w:rFonts w:ascii="Times New Roman" w:hAnsi="Times New Roman" w:cs="Times New Roman"/>
          <w:sz w:val="24"/>
          <w:szCs w:val="24"/>
        </w:rPr>
      </w:pPr>
      <w:r w:rsidRPr="009941FE">
        <w:rPr>
          <w:rFonts w:ascii="Times New Roman" w:hAnsi="Times New Roman" w:cs="Times New Roman"/>
          <w:sz w:val="24"/>
          <w:szCs w:val="24"/>
        </w:rPr>
        <w:t>Ley Orgánica 5/1985, de 19 de Junio, del Régimen Electoral General</w:t>
      </w:r>
      <w:r w:rsidR="00B97912" w:rsidRPr="009941FE">
        <w:rPr>
          <w:rStyle w:val="Refdenotaalpie"/>
          <w:rFonts w:ascii="Times New Roman" w:hAnsi="Times New Roman" w:cs="Times New Roman"/>
          <w:sz w:val="24"/>
          <w:szCs w:val="24"/>
        </w:rPr>
        <w:footnoteReference w:id="79"/>
      </w:r>
      <w:r w:rsidRPr="009941FE">
        <w:rPr>
          <w:rFonts w:ascii="Times New Roman" w:hAnsi="Times New Roman" w:cs="Times New Roman"/>
          <w:sz w:val="24"/>
          <w:szCs w:val="24"/>
        </w:rPr>
        <w:t>. LOREG</w:t>
      </w:r>
    </w:p>
    <w:p w:rsidR="00382F24" w:rsidRDefault="00382F24" w:rsidP="00382F24">
      <w:pPr>
        <w:spacing w:line="360" w:lineRule="auto"/>
        <w:jc w:val="both"/>
      </w:pPr>
    </w:p>
    <w:p w:rsidR="00B80E68" w:rsidRPr="003047E2" w:rsidRDefault="00B80E68" w:rsidP="00382F24">
      <w:pPr>
        <w:spacing w:line="360" w:lineRule="auto"/>
        <w:jc w:val="both"/>
      </w:pPr>
      <w:r w:rsidRPr="003047E2">
        <w:t>Esta es la ley</w:t>
      </w:r>
      <w:r w:rsidR="00B81C7D" w:rsidRPr="003047E2">
        <w:t xml:space="preserve"> es la reguladora de los procedimientos electorales en España.Es subsidiaria para aquellos casos en que las comunidades autónomas no aprueben sus propias leyes electorales, o estas sean incompletas, y es también </w:t>
      </w:r>
      <w:r w:rsidRPr="003047E2">
        <w:t xml:space="preserve">subsidiaria de la Ley 2/1980 sobre las distintas modalidades de referéndum, para </w:t>
      </w:r>
      <w:r w:rsidR="00B81C7D" w:rsidRPr="003047E2">
        <w:t>los casos en que dicha norma deje vacío legal, y por lo tanto aplicable en el caso del referéndum que se trata en este trabajo.</w:t>
      </w:r>
    </w:p>
    <w:p w:rsidR="00382F24" w:rsidRDefault="00382F24" w:rsidP="00382F24">
      <w:pPr>
        <w:pStyle w:val="Prrafodelista"/>
        <w:numPr>
          <w:ilvl w:val="0"/>
          <w:numId w:val="4"/>
        </w:numPr>
        <w:spacing w:line="360" w:lineRule="auto"/>
        <w:jc w:val="both"/>
      </w:pPr>
      <w:r>
        <w:t>Sobre la Administración Electoral</w:t>
      </w:r>
    </w:p>
    <w:p w:rsidR="00382F24" w:rsidRPr="007B0922" w:rsidRDefault="00382F24" w:rsidP="00382F24">
      <w:pPr>
        <w:spacing w:line="360" w:lineRule="auto"/>
        <w:jc w:val="both"/>
      </w:pPr>
      <w:r w:rsidRPr="007B0922">
        <w:t>Subsidiariamente se acude a esta ley para la organización de las condiciones del referéndum en los preceptos que no recoja la Ley Orgánica 2/1980. Se acude a esta ley para regular el procedimiento de voto y dar legitimidad al comicio.</w:t>
      </w:r>
    </w:p>
    <w:p w:rsidR="00382F24" w:rsidRPr="007B0922" w:rsidRDefault="00CA3145" w:rsidP="00382F24">
      <w:pPr>
        <w:spacing w:line="360" w:lineRule="auto"/>
        <w:jc w:val="both"/>
      </w:pPr>
      <w:r>
        <w:t>El</w:t>
      </w:r>
      <w:r w:rsidR="00382F24" w:rsidRPr="007B0922">
        <w:t xml:space="preserve"> derecho de sufragio corresponde a todos los españoles mayores de edad según el </w:t>
      </w:r>
      <w:r w:rsidR="00382F24" w:rsidRPr="007B0922">
        <w:rPr>
          <w:b/>
        </w:rPr>
        <w:t>artículo 2</w:t>
      </w:r>
      <w:r w:rsidR="00382F24" w:rsidRPr="007B0922">
        <w:t xml:space="preserve">, y además deberán votar en su sección y mesa electoral, sin perjuicio del voto por correo y de los interventores. El titular de la soberanía puede ejercer su derecho solo una vez. </w:t>
      </w:r>
    </w:p>
    <w:p w:rsidR="00382F24" w:rsidRPr="007B0922" w:rsidRDefault="00382F24" w:rsidP="00382F24">
      <w:pPr>
        <w:spacing w:line="360" w:lineRule="auto"/>
        <w:jc w:val="both"/>
      </w:pPr>
      <w:r w:rsidRPr="007B0922">
        <w:t>La administración electoral tiene el orden de garantizar que así sea, y que la votación se celebre objetiva, transparente e igualitariamente (</w:t>
      </w:r>
      <w:r w:rsidRPr="007B0922">
        <w:rPr>
          <w:b/>
        </w:rPr>
        <w:t>artículo 8</w:t>
      </w:r>
      <w:r w:rsidRPr="007B0922">
        <w:t>). La administración electoral está formada por la Junta Electoral central y las juntas provinciales y las mesas.</w:t>
      </w:r>
    </w:p>
    <w:p w:rsidR="00382F24" w:rsidRPr="007B0922" w:rsidRDefault="00382F24" w:rsidP="00382F24">
      <w:pPr>
        <w:pStyle w:val="Prrafodelista"/>
        <w:numPr>
          <w:ilvl w:val="0"/>
          <w:numId w:val="7"/>
        </w:numPr>
        <w:spacing w:line="360" w:lineRule="auto"/>
        <w:jc w:val="both"/>
      </w:pPr>
      <w:r w:rsidRPr="007B0922">
        <w:t>La Junta Electoral Central es un órgano permanente compuesto por ocho magistrados del Tribunal Supremo y cinco catedráticos de Derecho, Ciencias Políticas o Sociología, a propuesta de los partidos (</w:t>
      </w:r>
      <w:r w:rsidRPr="007B0922">
        <w:rPr>
          <w:b/>
        </w:rPr>
        <w:t>artículo 9</w:t>
      </w:r>
      <w:r w:rsidRPr="007B0922">
        <w:t>)</w:t>
      </w:r>
    </w:p>
    <w:p w:rsidR="00382F24" w:rsidRPr="007B0922" w:rsidRDefault="00382F24" w:rsidP="00382F24">
      <w:pPr>
        <w:pStyle w:val="Prrafodelista"/>
        <w:numPr>
          <w:ilvl w:val="0"/>
          <w:numId w:val="7"/>
        </w:numPr>
        <w:spacing w:line="360" w:lineRule="auto"/>
        <w:jc w:val="both"/>
      </w:pPr>
      <w:r w:rsidRPr="007B0922">
        <w:t>La Junta Electoral Provincial está compuesta por tres vocales de la Audiencia Provincial y dos vocales nombrados por la Junta Electoral Central entre catedráticos y profesores titulares de Derecho, Sociología o Ciencias Políticas (</w:t>
      </w:r>
      <w:r w:rsidRPr="007B0922">
        <w:rPr>
          <w:b/>
        </w:rPr>
        <w:t>Articulo 10</w:t>
      </w:r>
      <w:r w:rsidRPr="007B0922">
        <w:t>).</w:t>
      </w:r>
    </w:p>
    <w:p w:rsidR="00382F24" w:rsidRPr="007B0922" w:rsidRDefault="00382F24" w:rsidP="00382F24">
      <w:pPr>
        <w:pStyle w:val="Prrafodelista"/>
        <w:numPr>
          <w:ilvl w:val="0"/>
          <w:numId w:val="7"/>
        </w:numPr>
        <w:spacing w:line="360" w:lineRule="auto"/>
        <w:jc w:val="both"/>
      </w:pPr>
      <w:r w:rsidRPr="007B0922">
        <w:t xml:space="preserve">La Junta Electoral de Zona está compuesta, según el </w:t>
      </w:r>
      <w:r w:rsidR="00A66281" w:rsidRPr="007B0922">
        <w:rPr>
          <w:b/>
        </w:rPr>
        <w:t>artículo</w:t>
      </w:r>
      <w:r w:rsidRPr="007B0922">
        <w:rPr>
          <w:b/>
        </w:rPr>
        <w:t xml:space="preserve"> 11</w:t>
      </w:r>
      <w:r w:rsidRPr="007B0922">
        <w:t xml:space="preserve"> por tres vocales jueces de primera instancia y dos vocales designados por la Junta Electoral Provincial entre titulados en Derecho, Sociología o Ciencias Políticas.</w:t>
      </w:r>
    </w:p>
    <w:p w:rsidR="00382F24" w:rsidRPr="007B0922" w:rsidRDefault="00382F24" w:rsidP="00382F24">
      <w:pPr>
        <w:pStyle w:val="Prrafodelista"/>
        <w:spacing w:line="360" w:lineRule="auto"/>
        <w:jc w:val="both"/>
      </w:pPr>
    </w:p>
    <w:p w:rsidR="00382F24" w:rsidRPr="007B0922" w:rsidRDefault="00382F24" w:rsidP="00382F24">
      <w:pPr>
        <w:pStyle w:val="Prrafodelista"/>
        <w:numPr>
          <w:ilvl w:val="0"/>
          <w:numId w:val="4"/>
        </w:numPr>
        <w:spacing w:line="360" w:lineRule="auto"/>
        <w:jc w:val="both"/>
      </w:pPr>
      <w:r w:rsidRPr="007B0922">
        <w:t>Sobre las circunscripciones.</w:t>
      </w:r>
    </w:p>
    <w:p w:rsidR="00382F24" w:rsidRPr="007B0922" w:rsidRDefault="00382F24" w:rsidP="00382F24">
      <w:pPr>
        <w:spacing w:line="360" w:lineRule="auto"/>
        <w:jc w:val="both"/>
      </w:pPr>
      <w:r w:rsidRPr="007B0922">
        <w:t>Las circunscripciones están divididas en secciones, en las cuales no habrá más de dos mil electores por cada una de ellas, ni menos de quinientos. Las delegaciones provinciales de la Oficina del Censo Electoral serán las que determinen los límites, las secciones, sus locales y las mesas de cada una de ellas, después de recibir la opinión de los ayuntamientos. Estos últimos, formarán las mesas por sorteo público, que no serán pertenecientes a más de un termino municipal (</w:t>
      </w:r>
      <w:r w:rsidRPr="007B0922">
        <w:rPr>
          <w:b/>
        </w:rPr>
        <w:t>artículo 23, 24 y 26</w:t>
      </w:r>
      <w:r w:rsidRPr="007B0922">
        <w:t>). Los cargos de Presidente y Vocal son obligatorios y no pueden ser desempeñados por quienes se presenten como candidatos (</w:t>
      </w:r>
      <w:r w:rsidRPr="007B0922">
        <w:rPr>
          <w:b/>
        </w:rPr>
        <w:t>artículo 27</w:t>
      </w:r>
      <w:r w:rsidRPr="007B0922">
        <w:t>).</w:t>
      </w:r>
    </w:p>
    <w:p w:rsidR="00382F24" w:rsidRPr="007B0922" w:rsidRDefault="00382F24" w:rsidP="00382F24">
      <w:pPr>
        <w:pStyle w:val="Prrafodelista"/>
        <w:numPr>
          <w:ilvl w:val="0"/>
          <w:numId w:val="4"/>
        </w:numPr>
        <w:spacing w:line="360" w:lineRule="auto"/>
        <w:jc w:val="both"/>
      </w:pPr>
      <w:r w:rsidRPr="007B0922">
        <w:t>Sobre el censo electoral</w:t>
      </w:r>
    </w:p>
    <w:p w:rsidR="00382F24" w:rsidRPr="007B0922" w:rsidRDefault="00382F24" w:rsidP="00382F24">
      <w:pPr>
        <w:spacing w:line="360" w:lineRule="auto"/>
        <w:jc w:val="both"/>
      </w:pPr>
      <w:r w:rsidRPr="007B0922">
        <w:t>La formación del Censo Electoral será competencia del Instituto Nacional de Estadística bajo la supervisión de la Junta Electoral Central (</w:t>
      </w:r>
      <w:r w:rsidRPr="007B0922">
        <w:rPr>
          <w:b/>
        </w:rPr>
        <w:t>artículo 29</w:t>
      </w:r>
      <w:r w:rsidRPr="007B0922">
        <w:t>), que será único para toda clase de elecciones (</w:t>
      </w:r>
      <w:r w:rsidRPr="007B0922">
        <w:rPr>
          <w:b/>
        </w:rPr>
        <w:t>artículo 31</w:t>
      </w:r>
      <w:r w:rsidRPr="007B0922">
        <w:t>).</w:t>
      </w:r>
    </w:p>
    <w:p w:rsidR="00382F24" w:rsidRPr="007B0922" w:rsidRDefault="00382F24" w:rsidP="00382F24">
      <w:pPr>
        <w:spacing w:line="360" w:lineRule="auto"/>
        <w:jc w:val="both"/>
      </w:pPr>
      <w:r w:rsidRPr="007B0922">
        <w:t xml:space="preserve">Según el </w:t>
      </w:r>
      <w:r w:rsidRPr="007B0922">
        <w:rPr>
          <w:b/>
        </w:rPr>
        <w:t xml:space="preserve">artículo 39, </w:t>
      </w:r>
      <w:r w:rsidRPr="007B0922">
        <w:t>para cada votación, el censo, será cerrado el día primero del segundo mes anterior a la convocatoria y los ayuntamientos estarán obligados a publicarlo del sexto día al catorceavo después de la convocatoria. Cada elector recibirá en su domicilio una tarjeta censal con los datos actualizados de su inscripción, sección y mesa (</w:t>
      </w:r>
      <w:r w:rsidRPr="007B0922">
        <w:rPr>
          <w:b/>
        </w:rPr>
        <w:t>artículo 39.7</w:t>
      </w:r>
      <w:r w:rsidRPr="007B0922">
        <w:t>)</w:t>
      </w:r>
    </w:p>
    <w:p w:rsidR="00CA3145" w:rsidRDefault="00CA3145" w:rsidP="00CA3145">
      <w:pPr>
        <w:pStyle w:val="Prrafodelista"/>
        <w:spacing w:line="360" w:lineRule="auto"/>
        <w:jc w:val="both"/>
      </w:pPr>
    </w:p>
    <w:p w:rsidR="00CA3145" w:rsidRDefault="00CA3145" w:rsidP="00CA3145">
      <w:pPr>
        <w:pStyle w:val="Prrafodelista"/>
        <w:spacing w:line="360" w:lineRule="auto"/>
        <w:jc w:val="both"/>
      </w:pPr>
    </w:p>
    <w:p w:rsidR="00382F24" w:rsidRDefault="00382F24" w:rsidP="00382F24">
      <w:pPr>
        <w:pStyle w:val="Prrafodelista"/>
        <w:numPr>
          <w:ilvl w:val="0"/>
          <w:numId w:val="4"/>
        </w:numPr>
        <w:spacing w:line="360" w:lineRule="auto"/>
        <w:jc w:val="both"/>
      </w:pPr>
      <w:r>
        <w:t>Sobre los sobres y papeletas.</w:t>
      </w:r>
    </w:p>
    <w:p w:rsidR="00382F24" w:rsidRDefault="00382F24" w:rsidP="00382F24">
      <w:pPr>
        <w:spacing w:line="360" w:lineRule="auto"/>
        <w:jc w:val="both"/>
      </w:pPr>
      <w:r>
        <w:t>Las juntas electorales competentes aprueban el modelo de papeleta y la Administración del Estado asegura su disponibilidad y los sobres de votación. Si los partidos políticos confeccionan estos instrumentos, será bajo la supervisión de las juntas electorales (</w:t>
      </w:r>
      <w:r>
        <w:rPr>
          <w:b/>
        </w:rPr>
        <w:t>artículo 71</w:t>
      </w:r>
      <w:r>
        <w:t xml:space="preserve">). </w:t>
      </w:r>
    </w:p>
    <w:p w:rsidR="00382F24" w:rsidRPr="0045349F" w:rsidRDefault="00382F24" w:rsidP="00382F24">
      <w:pPr>
        <w:pStyle w:val="Prrafodelista"/>
        <w:numPr>
          <w:ilvl w:val="0"/>
          <w:numId w:val="4"/>
        </w:numPr>
        <w:spacing w:line="360" w:lineRule="auto"/>
        <w:jc w:val="both"/>
      </w:pPr>
      <w:r>
        <w:t>Sobre la votación</w:t>
      </w:r>
    </w:p>
    <w:p w:rsidR="00382F24" w:rsidRDefault="00382F24" w:rsidP="00382F24">
      <w:pPr>
        <w:spacing w:after="0" w:line="360" w:lineRule="auto"/>
        <w:jc w:val="both"/>
        <w:rPr>
          <w:rFonts w:eastAsia="Times New Roman" w:cs="Times New Roman"/>
          <w:szCs w:val="24"/>
          <w:lang w:eastAsia="es-ES"/>
        </w:rPr>
      </w:pPr>
      <w:r>
        <w:rPr>
          <w:rFonts w:eastAsia="Times New Roman" w:cs="Times New Roman"/>
          <w:szCs w:val="24"/>
          <w:lang w:eastAsia="es-ES"/>
        </w:rPr>
        <w:t xml:space="preserve">El </w:t>
      </w:r>
      <w:r>
        <w:rPr>
          <w:rFonts w:eastAsia="Times New Roman" w:cs="Times New Roman"/>
          <w:b/>
          <w:szCs w:val="24"/>
          <w:lang w:eastAsia="es-ES"/>
        </w:rPr>
        <w:t xml:space="preserve">artículo 72 </w:t>
      </w:r>
      <w:r>
        <w:rPr>
          <w:rFonts w:eastAsia="Times New Roman" w:cs="Times New Roman"/>
          <w:szCs w:val="24"/>
          <w:lang w:eastAsia="es-ES"/>
        </w:rPr>
        <w:t xml:space="preserve">permite que los electores que prevean que no van a estar en su localidad o no pueden personarse, </w:t>
      </w:r>
      <w:r w:rsidR="002D3C68">
        <w:rPr>
          <w:rFonts w:eastAsia="Times New Roman" w:cs="Times New Roman"/>
          <w:szCs w:val="24"/>
          <w:lang w:eastAsia="es-ES"/>
        </w:rPr>
        <w:t>puedan</w:t>
      </w:r>
      <w:r>
        <w:rPr>
          <w:rFonts w:eastAsia="Times New Roman" w:cs="Times New Roman"/>
          <w:szCs w:val="24"/>
          <w:lang w:eastAsia="es-ES"/>
        </w:rPr>
        <w:t xml:space="preserve"> ejercer el voto por correo previa solicitud a la Delegación Provincial del Censo Electoral </w:t>
      </w:r>
    </w:p>
    <w:p w:rsidR="00382F24" w:rsidRDefault="00382F24" w:rsidP="00382F24">
      <w:pPr>
        <w:spacing w:after="0" w:line="360" w:lineRule="auto"/>
        <w:jc w:val="both"/>
        <w:rPr>
          <w:rFonts w:eastAsia="Times New Roman" w:cs="Times New Roman"/>
          <w:szCs w:val="24"/>
          <w:lang w:eastAsia="es-ES"/>
        </w:rPr>
      </w:pPr>
    </w:p>
    <w:p w:rsidR="00382F24" w:rsidRDefault="00382F24" w:rsidP="00382F24">
      <w:pPr>
        <w:spacing w:after="0" w:line="360" w:lineRule="auto"/>
        <w:jc w:val="both"/>
        <w:rPr>
          <w:rFonts w:eastAsia="Times New Roman" w:cs="Times New Roman"/>
          <w:b/>
          <w:szCs w:val="24"/>
          <w:lang w:eastAsia="es-ES"/>
        </w:rPr>
      </w:pPr>
      <w:r>
        <w:rPr>
          <w:rFonts w:eastAsia="Times New Roman" w:cs="Times New Roman"/>
          <w:szCs w:val="24"/>
          <w:lang w:eastAsia="es-ES"/>
        </w:rPr>
        <w:t xml:space="preserve">Cada mesa tendrá una urna y una cabina de votación que deben ajustarse al modelo oficial. Estas tendrán el número suficiente de sobres y papeletas que garantice la </w:t>
      </w:r>
      <w:r w:rsidR="002D3C68">
        <w:rPr>
          <w:rFonts w:eastAsia="Times New Roman" w:cs="Times New Roman"/>
          <w:szCs w:val="24"/>
          <w:lang w:eastAsia="es-ES"/>
        </w:rPr>
        <w:t>votación (</w:t>
      </w:r>
      <w:r>
        <w:rPr>
          <w:rFonts w:eastAsia="Times New Roman" w:cs="Times New Roman"/>
          <w:b/>
          <w:szCs w:val="24"/>
          <w:lang w:eastAsia="es-ES"/>
        </w:rPr>
        <w:t>artículo 81).</w:t>
      </w:r>
    </w:p>
    <w:p w:rsidR="00382F24" w:rsidRDefault="00382F24" w:rsidP="00382F24">
      <w:pPr>
        <w:spacing w:after="0" w:line="360" w:lineRule="auto"/>
        <w:jc w:val="both"/>
        <w:rPr>
          <w:rFonts w:eastAsia="Times New Roman" w:cs="Times New Roman"/>
          <w:b/>
          <w:szCs w:val="24"/>
          <w:lang w:eastAsia="es-ES"/>
        </w:rPr>
      </w:pPr>
    </w:p>
    <w:p w:rsidR="00382F24" w:rsidRDefault="00382F24" w:rsidP="00382F24">
      <w:pPr>
        <w:spacing w:after="0" w:line="360" w:lineRule="auto"/>
        <w:jc w:val="both"/>
        <w:rPr>
          <w:rFonts w:eastAsia="Times New Roman" w:cs="Times New Roman"/>
          <w:szCs w:val="24"/>
          <w:lang w:eastAsia="es-ES"/>
        </w:rPr>
      </w:pPr>
      <w:r>
        <w:rPr>
          <w:rFonts w:eastAsia="Times New Roman" w:cs="Times New Roman"/>
          <w:szCs w:val="24"/>
          <w:lang w:eastAsia="es-ES"/>
        </w:rPr>
        <w:t xml:space="preserve">El </w:t>
      </w:r>
      <w:r>
        <w:rPr>
          <w:rFonts w:eastAsia="Times New Roman" w:cs="Times New Roman"/>
          <w:b/>
          <w:szCs w:val="24"/>
          <w:lang w:eastAsia="es-ES"/>
        </w:rPr>
        <w:t xml:space="preserve">artículo 84 </w:t>
      </w:r>
      <w:r>
        <w:rPr>
          <w:rFonts w:eastAsia="Times New Roman" w:cs="Times New Roman"/>
          <w:szCs w:val="24"/>
          <w:lang w:eastAsia="es-ES"/>
        </w:rPr>
        <w:t xml:space="preserve">promulga que la votación se iniciará a las nueve horas y no se interrumpirá. En caso de suspensión de la votación no se tienen en cuenta los votos emitidos en la mesa ni se procede a su escrutinio. </w:t>
      </w:r>
    </w:p>
    <w:p w:rsidR="00382F24" w:rsidRDefault="00382F24" w:rsidP="00382F24">
      <w:pPr>
        <w:spacing w:after="0" w:line="360" w:lineRule="auto"/>
        <w:jc w:val="both"/>
        <w:rPr>
          <w:rFonts w:eastAsia="Times New Roman" w:cs="Times New Roman"/>
          <w:szCs w:val="24"/>
          <w:lang w:eastAsia="es-ES"/>
        </w:rPr>
      </w:pPr>
    </w:p>
    <w:p w:rsidR="00382F24" w:rsidRDefault="00382F24" w:rsidP="00382F24">
      <w:pPr>
        <w:spacing w:after="0" w:line="360" w:lineRule="auto"/>
        <w:jc w:val="both"/>
        <w:rPr>
          <w:rFonts w:eastAsia="Times New Roman" w:cs="Times New Roman"/>
          <w:szCs w:val="24"/>
          <w:lang w:eastAsia="es-ES"/>
        </w:rPr>
      </w:pPr>
      <w:r>
        <w:rPr>
          <w:rFonts w:eastAsia="Times New Roman" w:cs="Times New Roman"/>
          <w:szCs w:val="24"/>
          <w:lang w:eastAsia="es-ES"/>
        </w:rPr>
        <w:t>El derecho a votar se acredita por la inscripción en el censo o por certificación censal. (</w:t>
      </w:r>
      <w:r w:rsidR="002D3C68">
        <w:rPr>
          <w:rFonts w:eastAsia="Times New Roman" w:cs="Times New Roman"/>
          <w:b/>
          <w:szCs w:val="24"/>
          <w:lang w:eastAsia="es-ES"/>
        </w:rPr>
        <w:t>Artículo</w:t>
      </w:r>
      <w:r>
        <w:rPr>
          <w:rFonts w:eastAsia="Times New Roman" w:cs="Times New Roman"/>
          <w:b/>
          <w:szCs w:val="24"/>
          <w:lang w:eastAsia="es-ES"/>
        </w:rPr>
        <w:t xml:space="preserve"> 85</w:t>
      </w:r>
      <w:r>
        <w:rPr>
          <w:rFonts w:eastAsia="Times New Roman" w:cs="Times New Roman"/>
          <w:szCs w:val="24"/>
          <w:lang w:eastAsia="es-ES"/>
        </w:rPr>
        <w:t xml:space="preserve">). En ambos casos, tiene que presentar su Documento Nacional de Identidad o pasaporte. </w:t>
      </w:r>
    </w:p>
    <w:p w:rsidR="00382F24" w:rsidRDefault="00382F24" w:rsidP="00382F24">
      <w:pPr>
        <w:spacing w:after="0" w:line="360" w:lineRule="auto"/>
        <w:jc w:val="both"/>
        <w:rPr>
          <w:rFonts w:eastAsia="Times New Roman" w:cs="Times New Roman"/>
          <w:szCs w:val="24"/>
          <w:lang w:eastAsia="es-ES"/>
        </w:rPr>
      </w:pPr>
    </w:p>
    <w:p w:rsidR="00382F24" w:rsidRDefault="00382F24" w:rsidP="00382F24">
      <w:pPr>
        <w:spacing w:after="0" w:line="360" w:lineRule="auto"/>
        <w:jc w:val="both"/>
        <w:rPr>
          <w:rFonts w:eastAsia="Times New Roman" w:cs="Times New Roman"/>
          <w:szCs w:val="24"/>
          <w:lang w:eastAsia="es-ES"/>
        </w:rPr>
      </w:pPr>
      <w:r>
        <w:rPr>
          <w:rFonts w:eastAsia="Times New Roman" w:cs="Times New Roman"/>
          <w:szCs w:val="24"/>
          <w:lang w:eastAsia="es-ES"/>
        </w:rPr>
        <w:t>El voto es secreto y solo se puede votar en la sección que corresponde según la tarjeta censal. Cada votante manifestara su nombre y apellidos y estos serán comprobados en las listas del censo electoral (</w:t>
      </w:r>
      <w:r>
        <w:rPr>
          <w:rFonts w:eastAsia="Times New Roman" w:cs="Times New Roman"/>
          <w:b/>
          <w:szCs w:val="24"/>
          <w:lang w:eastAsia="es-ES"/>
        </w:rPr>
        <w:t>artículo 86</w:t>
      </w:r>
      <w:r>
        <w:rPr>
          <w:rFonts w:eastAsia="Times New Roman" w:cs="Times New Roman"/>
          <w:szCs w:val="24"/>
          <w:lang w:eastAsia="es-ES"/>
        </w:rPr>
        <w:t>)</w:t>
      </w:r>
    </w:p>
    <w:p w:rsidR="00382F24" w:rsidRPr="00895E21" w:rsidRDefault="00382F24" w:rsidP="00382F24">
      <w:pPr>
        <w:spacing w:after="0" w:line="360" w:lineRule="auto"/>
        <w:jc w:val="both"/>
        <w:rPr>
          <w:rFonts w:eastAsia="Times New Roman" w:cs="Times New Roman"/>
          <w:szCs w:val="24"/>
          <w:lang w:eastAsia="es-ES"/>
        </w:rPr>
      </w:pPr>
    </w:p>
    <w:p w:rsidR="00382F24" w:rsidRDefault="00382F24" w:rsidP="00382F24">
      <w:pPr>
        <w:spacing w:line="360" w:lineRule="auto"/>
        <w:jc w:val="both"/>
        <w:rPr>
          <w:lang w:eastAsia="es-ES"/>
        </w:rPr>
      </w:pPr>
      <w:r>
        <w:rPr>
          <w:lang w:eastAsia="es-ES"/>
        </w:rPr>
        <w:t xml:space="preserve">Al acabar la votación, comienza el escrutinio, que será público, que, según el </w:t>
      </w:r>
      <w:r>
        <w:rPr>
          <w:b/>
          <w:lang w:eastAsia="es-ES"/>
        </w:rPr>
        <w:t>artículo 95,</w:t>
      </w:r>
      <w:r>
        <w:rPr>
          <w:lang w:eastAsia="es-ES"/>
        </w:rPr>
        <w:t xml:space="preserve"> no se suspenderá salvo causa de fuerza mayor. </w:t>
      </w:r>
    </w:p>
    <w:p w:rsidR="00B81C7D" w:rsidRDefault="00382F24" w:rsidP="00B97912">
      <w:pPr>
        <w:spacing w:line="360" w:lineRule="auto"/>
        <w:jc w:val="both"/>
        <w:rPr>
          <w:lang w:eastAsia="es-ES"/>
        </w:rPr>
      </w:pPr>
      <w:r>
        <w:rPr>
          <w:lang w:eastAsia="es-ES"/>
        </w:rPr>
        <w:t>La mesa publicara inmediatamente después los resultados en un acta de escrutinio, y la fijara en la entrada del local, dando copia a la persona encargada por la Administración para recibirla, y acto seguido, preparara tres sobres, uno con el expediente electoral, y otros dos con copia del Acta de constitución y el Acta de sesión, debiendo ser firmado por presidente, vocales e interventores (</w:t>
      </w:r>
      <w:r>
        <w:rPr>
          <w:b/>
          <w:lang w:eastAsia="es-ES"/>
        </w:rPr>
        <w:t>artículos 98 y 100</w:t>
      </w:r>
      <w:r>
        <w:rPr>
          <w:lang w:eastAsia="es-ES"/>
        </w:rPr>
        <w:t xml:space="preserve">). Mínimo presidente y vocales se </w:t>
      </w:r>
      <w:r w:rsidR="00C11825">
        <w:rPr>
          <w:lang w:eastAsia="es-ES"/>
        </w:rPr>
        <w:t>desplazarán</w:t>
      </w:r>
      <w:r>
        <w:rPr>
          <w:lang w:eastAsia="es-ES"/>
        </w:rPr>
        <w:t xml:space="preserve"> a la sede del Juzgado de Primera Instancia o de Paz para la entrega del primer y segundo sobre (</w:t>
      </w:r>
      <w:r>
        <w:rPr>
          <w:b/>
          <w:lang w:eastAsia="es-ES"/>
        </w:rPr>
        <w:t>artículo 101</w:t>
      </w:r>
      <w:r>
        <w:rPr>
          <w:lang w:eastAsia="es-ES"/>
        </w:rPr>
        <w:t>).</w:t>
      </w:r>
    </w:p>
    <w:p w:rsidR="00B97912" w:rsidRPr="00B97912" w:rsidRDefault="00B97912" w:rsidP="00B97912">
      <w:pPr>
        <w:spacing w:line="360" w:lineRule="auto"/>
        <w:jc w:val="both"/>
        <w:rPr>
          <w:lang w:eastAsia="es-ES"/>
        </w:rPr>
      </w:pPr>
    </w:p>
    <w:p w:rsidR="00F01E53" w:rsidRDefault="00A66281" w:rsidP="00382F24">
      <w:pPr>
        <w:spacing w:line="480" w:lineRule="auto"/>
        <w:rPr>
          <w:b/>
          <w:u w:val="single"/>
        </w:rPr>
      </w:pPr>
      <w:r>
        <w:rPr>
          <w:b/>
          <w:u w:val="single"/>
        </w:rPr>
        <w:t xml:space="preserve">4.2 </w:t>
      </w:r>
      <w:r w:rsidR="00382F24" w:rsidRPr="00382F24">
        <w:rPr>
          <w:b/>
          <w:u w:val="single"/>
        </w:rPr>
        <w:t>¿ES</w:t>
      </w:r>
      <w:r w:rsidR="00382F24">
        <w:rPr>
          <w:b/>
          <w:u w:val="single"/>
        </w:rPr>
        <w:t>, ENTONCES,</w:t>
      </w:r>
      <w:r w:rsidR="0030229F">
        <w:rPr>
          <w:b/>
          <w:u w:val="single"/>
        </w:rPr>
        <w:t xml:space="preserve"> LEGÍTIMAMENTE VÁLIDO</w:t>
      </w:r>
      <w:r w:rsidR="00382F24" w:rsidRPr="00382F24">
        <w:rPr>
          <w:b/>
          <w:u w:val="single"/>
        </w:rPr>
        <w:t>?</w:t>
      </w:r>
    </w:p>
    <w:p w:rsidR="00F01E53" w:rsidRDefault="00F01E53" w:rsidP="0090349C">
      <w:pPr>
        <w:spacing w:line="360" w:lineRule="auto"/>
        <w:jc w:val="both"/>
        <w:rPr>
          <w:b/>
          <w:u w:val="single"/>
        </w:rPr>
      </w:pPr>
    </w:p>
    <w:p w:rsidR="00382F24" w:rsidRPr="007B0922" w:rsidRDefault="00382F24" w:rsidP="0090349C">
      <w:pPr>
        <w:spacing w:line="360" w:lineRule="auto"/>
        <w:jc w:val="both"/>
      </w:pPr>
      <w:r w:rsidRPr="007B0922">
        <w:t>El procedimiento fue marcado por numerosos casos de irregularidades y sin garantía de objetividad y regularidad.</w:t>
      </w:r>
    </w:p>
    <w:p w:rsidR="00980C99" w:rsidRPr="003047E2" w:rsidRDefault="00382F24" w:rsidP="00B97912">
      <w:pPr>
        <w:spacing w:line="360" w:lineRule="auto"/>
        <w:jc w:val="both"/>
        <w:rPr>
          <w:rFonts w:cs="Times New Roman"/>
          <w:szCs w:val="24"/>
          <w:shd w:val="clear" w:color="auto" w:fill="FFFFFF"/>
        </w:rPr>
      </w:pPr>
      <w:r w:rsidRPr="007B0922">
        <w:t xml:space="preserve">El </w:t>
      </w:r>
      <w:r w:rsidRPr="003047E2">
        <w:t>Gobierno de Cataluña formó la Sindicatura Electoral General como órgano superior encargado de la formación de las restantes juntas, el mismo día de la proclamación del referéndum</w:t>
      </w:r>
      <w:r w:rsidR="003047E2" w:rsidRPr="003047E2">
        <w:t xml:space="preserve"> </w:t>
      </w:r>
      <w:r w:rsidRPr="003047E2">
        <w:t>pero los titulares y suplentes de esta dimitieron en el Tribunal Constitucional el 22 de septiembre</w:t>
      </w:r>
      <w:r w:rsidR="00B81C7D" w:rsidRPr="003047E2">
        <w:t xml:space="preserve"> a causa del aviso del Tribunal Constitucional de multas diarias si persistían en desobedecer al Tribunal después de que suspendiera cautelarmente la Ley 19/2017 de referéndum de autodeterminación</w:t>
      </w:r>
      <w:r w:rsidR="00AB60BF" w:rsidRPr="003047E2">
        <w:rPr>
          <w:rStyle w:val="Refdenotaalpie"/>
        </w:rPr>
        <w:footnoteReference w:id="80"/>
      </w:r>
      <w:r w:rsidR="00B97912" w:rsidRPr="003047E2">
        <w:t>.</w:t>
      </w:r>
    </w:p>
    <w:p w:rsidR="00B63CF2" w:rsidRPr="003047E2" w:rsidRDefault="002D3C68" w:rsidP="00B63CF2">
      <w:pPr>
        <w:spacing w:line="360" w:lineRule="auto"/>
        <w:jc w:val="both"/>
        <w:rPr>
          <w:rFonts w:cs="Times New Roman"/>
          <w:szCs w:val="24"/>
          <w:shd w:val="clear" w:color="auto" w:fill="FFFFFF"/>
        </w:rPr>
      </w:pPr>
      <w:r w:rsidRPr="003047E2">
        <w:t>Después</w:t>
      </w:r>
      <w:r w:rsidR="00382F24" w:rsidRPr="003047E2">
        <w:t xml:space="preserve"> de ese hecho, no se formó ninguna sindicatura nueva y la consulta se </w:t>
      </w:r>
      <w:r w:rsidR="003047E2" w:rsidRPr="003047E2">
        <w:t>desarrolló</w:t>
      </w:r>
      <w:r w:rsidR="00382F24" w:rsidRPr="003047E2">
        <w:t xml:space="preserve"> sin ningún órgano imparcial que lo supervisase. Además, la ley marca que debe ser formada 15 </w:t>
      </w:r>
      <w:r w:rsidRPr="003047E2">
        <w:t>días</w:t>
      </w:r>
      <w:r w:rsidR="00406025">
        <w:t xml:space="preserve"> </w:t>
      </w:r>
      <w:r w:rsidRPr="003047E2">
        <w:t>después</w:t>
      </w:r>
      <w:r w:rsidR="00382F24" w:rsidRPr="003047E2">
        <w:t xml:space="preserve"> de la </w:t>
      </w:r>
      <w:r w:rsidRPr="003047E2">
        <w:t>convocatoria</w:t>
      </w:r>
      <w:r w:rsidR="00382F24" w:rsidRPr="003047E2">
        <w:t xml:space="preserve"> de la consulta y se anunció el mismo día, el 6 de septiembre</w:t>
      </w:r>
      <w:r w:rsidR="00AB60BF" w:rsidRPr="003047E2">
        <w:rPr>
          <w:rStyle w:val="Refdenotaalpie"/>
        </w:rPr>
        <w:footnoteReference w:id="81"/>
      </w:r>
      <w:r w:rsidR="00382F24" w:rsidRPr="003047E2">
        <w:t>.</w:t>
      </w:r>
    </w:p>
    <w:p w:rsidR="00382F24" w:rsidRPr="007B0922" w:rsidRDefault="00382F24" w:rsidP="0090349C">
      <w:pPr>
        <w:spacing w:line="360" w:lineRule="auto"/>
        <w:jc w:val="both"/>
      </w:pPr>
      <w:r w:rsidRPr="007B0922">
        <w:t xml:space="preserve">A partir de ahí, el escrutinio no tiene ninguna validez, </w:t>
      </w:r>
      <w:r w:rsidR="00115483">
        <w:t>porque n</w:t>
      </w:r>
      <w:r w:rsidRPr="007B0922">
        <w:t>o se puede comprobar la regularidad del acto.</w:t>
      </w:r>
    </w:p>
    <w:p w:rsidR="00382F24" w:rsidRPr="007B0922" w:rsidRDefault="00382F24" w:rsidP="0090349C">
      <w:pPr>
        <w:spacing w:line="360" w:lineRule="auto"/>
        <w:jc w:val="both"/>
      </w:pPr>
      <w:r w:rsidRPr="007B0922">
        <w:t>Dice el artículo 2 de la LOREG que el derecho de sufragio corresponde a todos los españoles mayores de edad, y además deberán votar en su sección y mesa electoral, sin perjuicio del voto por correo y de los interventores. El titular de la soberanía puede ejercer su derecho solo una vez.</w:t>
      </w:r>
    </w:p>
    <w:p w:rsidR="0090349C" w:rsidRDefault="00382F24" w:rsidP="0090349C">
      <w:pPr>
        <w:spacing w:line="360" w:lineRule="auto"/>
        <w:jc w:val="both"/>
      </w:pPr>
      <w:r w:rsidRPr="007B0922">
        <w:t xml:space="preserve">Dice también la LOREG que la formación del Censo Electoral será competencia del Instituto Nacional de Estadística bajo la supervisión de la Junta Electoral Central. </w:t>
      </w:r>
    </w:p>
    <w:p w:rsidR="00382F24" w:rsidRPr="00B63CF2" w:rsidRDefault="00382F24" w:rsidP="0090349C">
      <w:pPr>
        <w:spacing w:line="360" w:lineRule="auto"/>
        <w:jc w:val="both"/>
        <w:rPr>
          <w:rFonts w:cs="Times New Roman"/>
          <w:color w:val="FF0000"/>
          <w:szCs w:val="24"/>
          <w:shd w:val="clear" w:color="auto" w:fill="FFFFFF"/>
        </w:rPr>
      </w:pPr>
      <w:r w:rsidRPr="007B0922">
        <w:t>El acontecimiento de que la votación se celebrara sin censo, llevo a que no se garantizara el derecho de sufragio a la totalidad del mismo. Por otra parte, la Oficina del Censo Electoral no participó, por lo que la división de las circunscripciones, el</w:t>
      </w:r>
      <w:r w:rsidR="00406025">
        <w:t xml:space="preserve"> </w:t>
      </w:r>
      <w:r w:rsidR="002D3C68" w:rsidRPr="007B0922">
        <w:t>e</w:t>
      </w:r>
      <w:r w:rsidR="00406025">
        <w:t>nvío</w:t>
      </w:r>
      <w:r w:rsidRPr="007B0922">
        <w:t xml:space="preserve"> de la tarjeta censal, y las demarcaciones de las mesas, las efectuaron </w:t>
      </w:r>
      <w:r w:rsidR="00290F35">
        <w:t xml:space="preserve">parcialmente </w:t>
      </w:r>
      <w:r w:rsidRPr="007B0922">
        <w:t>el ejecutivo catalán. Posteriormente, con el cierre de la web del censo conformado por ellos por la Guardia Civil, y por el cierre de algunos colegios por los Cuerpos y Fuerzas de Seguridad del Estado, se</w:t>
      </w:r>
      <w:r w:rsidR="00B63CF2">
        <w:t xml:space="preserve"> proclamó el “Censo</w:t>
      </w:r>
      <w:r w:rsidRPr="007B0922">
        <w:t xml:space="preserve"> Universal”, incumpliendo que no puede haber menos de quinientas personas ni más de dos mil en cada sección y cada individuo pudo votar en la mesa que eligiera</w:t>
      </w:r>
      <w:r w:rsidR="00AB60BF">
        <w:rPr>
          <w:rStyle w:val="Refdenotaalpie"/>
        </w:rPr>
        <w:footnoteReference w:id="82"/>
      </w:r>
      <w:r w:rsidR="00AB60BF">
        <w:t>.</w:t>
      </w:r>
      <w:r w:rsidRPr="007B0922">
        <w:t xml:space="preserve">Todo esto llevó a que una misma persona pudiera votar hasta cuatro veces, que votara gente sin empadronamiento en Cataluña, o que </w:t>
      </w:r>
      <w:r w:rsidR="00115483" w:rsidRPr="00115483">
        <w:t>votaran</w:t>
      </w:r>
      <w:r w:rsidR="00115483">
        <w:t xml:space="preserve"> individuos</w:t>
      </w:r>
      <w:r w:rsidRPr="007B0922">
        <w:t xml:space="preserve"> que ni siquiera </w:t>
      </w:r>
      <w:r w:rsidR="00115483">
        <w:t>existen o han fallecido</w:t>
      </w:r>
      <w:r w:rsidRPr="007B0922">
        <w:t xml:space="preserve"> y el voto por correo no fue</w:t>
      </w:r>
      <w:r w:rsidR="00115483">
        <w:t>ra</w:t>
      </w:r>
      <w:r w:rsidRPr="007B0922">
        <w:t xml:space="preserve"> contabilizado</w:t>
      </w:r>
      <w:r w:rsidR="00AB60BF">
        <w:rPr>
          <w:rStyle w:val="Refdenotaalpie"/>
        </w:rPr>
        <w:footnoteReference w:id="83"/>
      </w:r>
      <w:r w:rsidR="00AB60BF">
        <w:t>.</w:t>
      </w:r>
    </w:p>
    <w:p w:rsidR="00382F24" w:rsidRPr="007B0922" w:rsidRDefault="00382F24" w:rsidP="0090349C">
      <w:pPr>
        <w:spacing w:line="360" w:lineRule="auto"/>
        <w:jc w:val="both"/>
      </w:pPr>
      <w:r w:rsidRPr="007B0922">
        <w:t xml:space="preserve">En cuanto a la formación de las mesas, el gobierno </w:t>
      </w:r>
      <w:r w:rsidR="002D3C68" w:rsidRPr="007B0922">
        <w:t>autonómico</w:t>
      </w:r>
      <w:r w:rsidRPr="007B0922">
        <w:t xml:space="preserve">, a falta de la organización que </w:t>
      </w:r>
      <w:r w:rsidR="002D3C68" w:rsidRPr="007B0922">
        <w:t>efectúa</w:t>
      </w:r>
      <w:r w:rsidRPr="007B0922">
        <w:t xml:space="preserve"> en cada comicio la Oficina del Censo Electoral, formo las mesas y nombró presidentes y vocales conforme a su criterio. Después de la multa anunciada de seiscientos mil euros por formar parte de la composición de las mesas, muchos ciudadanos no acudieron, por lo que las formar</w:t>
      </w:r>
      <w:r w:rsidR="008E5CEA">
        <w:t>on otras personas voluntariamente</w:t>
      </w:r>
      <w:r w:rsidR="00AB60BF">
        <w:rPr>
          <w:rStyle w:val="Refdenotaalpie"/>
        </w:rPr>
        <w:footnoteReference w:id="84"/>
      </w:r>
      <w:r w:rsidR="00AB60BF">
        <w:t>.</w:t>
      </w:r>
    </w:p>
    <w:p w:rsidR="00382F24" w:rsidRPr="003047E2" w:rsidRDefault="00382F24" w:rsidP="0090349C">
      <w:pPr>
        <w:spacing w:line="360" w:lineRule="auto"/>
        <w:jc w:val="both"/>
      </w:pPr>
      <w:r w:rsidRPr="00115483">
        <w:t xml:space="preserve">El hecho de que no hubiese sindicatura electoral, </w:t>
      </w:r>
      <w:r w:rsidR="00115483" w:rsidRPr="00115483">
        <w:t>supuso</w:t>
      </w:r>
      <w:r w:rsidRPr="00115483">
        <w:t xml:space="preserve"> que no hubiese un sistema de mesas establecidas, y que se tratara de impedir la votación, llev</w:t>
      </w:r>
      <w:r w:rsidR="00115483" w:rsidRPr="00115483">
        <w:t>a</w:t>
      </w:r>
      <w:r w:rsidRPr="00115483">
        <w:t xml:space="preserve"> a que no haya garantía alguna sobre los resultados de la votación, y a que haya decenas de casos documentados</w:t>
      </w:r>
      <w:r>
        <w:t xml:space="preserve"> de irregularidad de la misma, como efectuar un recuento en una misa católica ante multitud de a</w:t>
      </w:r>
      <w:r w:rsidRPr="003047E2">
        <w:t>sistentes</w:t>
      </w:r>
      <w:r w:rsidR="0013711B" w:rsidRPr="003047E2">
        <w:t>. También el escrutinio estuvo marcado, también, por faltas a la ley, que marca que el recuento empieza al terminar la votación, como ocurrió en algunas mesas, pero no fue así en muchas otras</w:t>
      </w:r>
      <w:r w:rsidR="00AB60BF" w:rsidRPr="003047E2">
        <w:rPr>
          <w:rStyle w:val="Refdenotaalpie"/>
        </w:rPr>
        <w:footnoteReference w:id="85"/>
      </w:r>
      <w:r w:rsidR="0013711B" w:rsidRPr="003047E2">
        <w:t xml:space="preserve">. </w:t>
      </w:r>
      <w:r w:rsidR="002D3C68" w:rsidRPr="003047E2">
        <w:t>Además</w:t>
      </w:r>
      <w:r w:rsidR="0068611A" w:rsidRPr="003047E2">
        <w:t>, ningún juez validó</w:t>
      </w:r>
      <w:r w:rsidRPr="003047E2">
        <w:t xml:space="preserve"> el escrutinio, por lo que no se puede decir que sea trasparente y con garantías. </w:t>
      </w:r>
    </w:p>
    <w:p w:rsidR="00115483" w:rsidRPr="003047E2" w:rsidRDefault="00115483" w:rsidP="0090349C">
      <w:pPr>
        <w:spacing w:line="360" w:lineRule="auto"/>
        <w:jc w:val="both"/>
      </w:pPr>
      <w:r w:rsidRPr="003047E2">
        <w:t>En el acto de la votación ocurrieron una serie de condiciones que impidieron el libre ejercicio de voto y la transparencia del resultado, como que no existiera el voto por correo</w:t>
      </w:r>
      <w:r w:rsidR="00406025">
        <w:t xml:space="preserve"> </w:t>
      </w:r>
      <w:r w:rsidR="00290F35" w:rsidRPr="003047E2">
        <w:t>para los catalanes en otras partes de España</w:t>
      </w:r>
      <w:r w:rsidRPr="003047E2">
        <w:t>, por lo que el sufragio universal se vio mermado</w:t>
      </w:r>
      <w:r w:rsidR="00290F35" w:rsidRPr="003047E2">
        <w:rPr>
          <w:rStyle w:val="Refdenotaalpie"/>
        </w:rPr>
        <w:footnoteReference w:id="86"/>
      </w:r>
      <w:r w:rsidRPr="003047E2">
        <w:t>. También hubo falta de requisitos formales y de libertades como que no facilitaran cabinas para asegurar el voto secreto, insuficientes sobres y papeletas</w:t>
      </w:r>
      <w:r w:rsidR="00175670" w:rsidRPr="003047E2">
        <w:t>, urnas opacas</w:t>
      </w:r>
      <w:r w:rsidR="00AB60BF" w:rsidRPr="003047E2">
        <w:rPr>
          <w:rStyle w:val="Refdenotaalpie"/>
        </w:rPr>
        <w:footnoteReference w:id="87"/>
      </w:r>
      <w:r w:rsidR="00AB60BF" w:rsidRPr="003047E2">
        <w:t>,</w:t>
      </w:r>
      <w:r w:rsidR="00406025">
        <w:t xml:space="preserve"> </w:t>
      </w:r>
      <w:r w:rsidRPr="003047E2">
        <w:t>el no cumplimiento de horarios de apertura y clausura (algunos colegios abrieron o cerraron antes o después del horario establecido)</w:t>
      </w:r>
      <w:r w:rsidR="004301E5" w:rsidRPr="003047E2">
        <w:rPr>
          <w:rStyle w:val="Refdenotaalpie"/>
        </w:rPr>
        <w:footnoteReference w:id="88"/>
      </w:r>
      <w:r w:rsidR="004301E5" w:rsidRPr="003047E2">
        <w:t xml:space="preserve">, </w:t>
      </w:r>
      <w:r w:rsidRPr="003047E2">
        <w:t>que no llegaran tarjetas censales a los domicilios y que los ciudadanos no supiesen la mesa en donde votar, ni pudiesen acreditar su derecho a voto, etc</w:t>
      </w:r>
      <w:r w:rsidR="004301E5" w:rsidRPr="003047E2">
        <w:t>.</w:t>
      </w:r>
      <w:r w:rsidR="004301E5" w:rsidRPr="003047E2">
        <w:rPr>
          <w:rStyle w:val="Refdenotaalpie"/>
        </w:rPr>
        <w:footnoteReference w:id="89"/>
      </w:r>
    </w:p>
    <w:p w:rsidR="000C3C48" w:rsidRPr="003047E2" w:rsidRDefault="000C3C48" w:rsidP="0090349C">
      <w:pPr>
        <w:spacing w:line="360" w:lineRule="auto"/>
        <w:jc w:val="both"/>
      </w:pPr>
      <w:r w:rsidRPr="003047E2">
        <w:t>Por otro lado, en caso de interrupción de la votación, la ley marca que no se cuentan los votos de la mesa, y se dio que, después del cierre de algunos colegios por los Cuerpos y Fuerzas de Seguridad del Estado, al marcharse estos, se reabrieron los centros.</w:t>
      </w:r>
    </w:p>
    <w:p w:rsidR="000C3C48" w:rsidRPr="003047E2" w:rsidRDefault="000C3C48" w:rsidP="00C136F2">
      <w:pPr>
        <w:spacing w:line="360" w:lineRule="auto"/>
        <w:jc w:val="both"/>
      </w:pPr>
      <w:r w:rsidRPr="003047E2">
        <w:t>Aunque estos hechos no hubiesen sucedido, hemos partido con la base de que ni fue público,</w:t>
      </w:r>
      <w:r w:rsidR="00335A52" w:rsidRPr="003047E2">
        <w:t xml:space="preserve"> ni se efectuó con censo,</w:t>
      </w:r>
      <w:r w:rsidRPr="003047E2">
        <w:t xml:space="preserve"> ni tuvo órganos controladores como sindicaturas electorales, ni ningún juez recogió las actas de votación, por lo que no </w:t>
      </w:r>
      <w:r w:rsidR="003047E2" w:rsidRPr="003047E2">
        <w:t xml:space="preserve">hubo </w:t>
      </w:r>
      <w:r w:rsidRPr="003047E2">
        <w:t>ninguna garant</w:t>
      </w:r>
      <w:r w:rsidR="003047E2" w:rsidRPr="003047E2">
        <w:t>ía de que el resultado se</w:t>
      </w:r>
      <w:r w:rsidRPr="003047E2">
        <w:t xml:space="preserve"> </w:t>
      </w:r>
      <w:r w:rsidR="00C11825" w:rsidRPr="003047E2">
        <w:t xml:space="preserve">ajustara </w:t>
      </w:r>
      <w:r w:rsidRPr="003047E2">
        <w:t>a la realidad.</w:t>
      </w:r>
    </w:p>
    <w:p w:rsidR="00290F35" w:rsidRDefault="00290F35">
      <w:pPr>
        <w:rPr>
          <w:rFonts w:asciiTheme="majorHAnsi" w:eastAsia="Times New Roman" w:hAnsiTheme="majorHAnsi" w:cstheme="majorBidi"/>
          <w:b/>
          <w:color w:val="365F91" w:themeColor="accent1" w:themeShade="BF"/>
          <w:sz w:val="28"/>
          <w:szCs w:val="28"/>
          <w:lang w:eastAsia="es-ES"/>
        </w:rPr>
      </w:pPr>
      <w:r>
        <w:rPr>
          <w:rFonts w:eastAsia="Times New Roman"/>
          <w:bCs/>
          <w:lang w:eastAsia="es-ES"/>
        </w:rPr>
        <w:br w:type="page"/>
      </w:r>
    </w:p>
    <w:p w:rsidR="003949B3" w:rsidRDefault="003949B3" w:rsidP="003949B3">
      <w:pPr>
        <w:pStyle w:val="Ttulo1"/>
        <w:rPr>
          <w:rFonts w:eastAsia="Times New Roman"/>
          <w:lang w:eastAsia="es-ES"/>
        </w:rPr>
      </w:pPr>
      <w:r w:rsidRPr="003949B3">
        <w:rPr>
          <w:rFonts w:eastAsia="Times New Roman"/>
          <w:bCs w:val="0"/>
          <w:lang w:eastAsia="es-ES"/>
        </w:rPr>
        <w:t>5.</w:t>
      </w:r>
      <w:r>
        <w:rPr>
          <w:rFonts w:eastAsia="Times New Roman"/>
          <w:lang w:eastAsia="es-ES"/>
        </w:rPr>
        <w:t xml:space="preserve"> CONSECUENCIAS POSTERIORES</w:t>
      </w:r>
    </w:p>
    <w:p w:rsidR="003949B3" w:rsidRDefault="003949B3" w:rsidP="003949B3">
      <w:pPr>
        <w:rPr>
          <w:lang w:eastAsia="es-ES"/>
        </w:rPr>
      </w:pPr>
    </w:p>
    <w:p w:rsidR="003949B3" w:rsidRPr="001D6474" w:rsidRDefault="00475BA4" w:rsidP="00E83C2D">
      <w:pPr>
        <w:spacing w:line="360" w:lineRule="auto"/>
        <w:jc w:val="both"/>
        <w:rPr>
          <w:rFonts w:cs="Times New Roman"/>
          <w:color w:val="FF0000"/>
          <w:szCs w:val="24"/>
          <w:shd w:val="clear" w:color="auto" w:fill="FFFFFF"/>
        </w:rPr>
      </w:pPr>
      <w:r>
        <w:rPr>
          <w:lang w:eastAsia="es-ES"/>
        </w:rPr>
        <w:t xml:space="preserve">El gobierno catalán de JuntsxSì, una coalición formada por los mayores partidos independentistas, Convergencia y Esquerra Republicana de Catalunya, centró su campaña de las elecciones </w:t>
      </w:r>
      <w:r w:rsidR="00E83C2D">
        <w:rPr>
          <w:lang w:eastAsia="es-ES"/>
        </w:rPr>
        <w:t>autonómicas</w:t>
      </w:r>
      <w:r>
        <w:rPr>
          <w:lang w:eastAsia="es-ES"/>
        </w:rPr>
        <w:t>, llamadas</w:t>
      </w:r>
      <w:r w:rsidR="00E67EC5">
        <w:rPr>
          <w:lang w:eastAsia="es-ES"/>
        </w:rPr>
        <w:t>,</w:t>
      </w:r>
      <w:r>
        <w:rPr>
          <w:lang w:eastAsia="es-ES"/>
        </w:rPr>
        <w:t xml:space="preserve"> por ellos, plebiscitarias, en que se declararía la independencia de la </w:t>
      </w:r>
      <w:r w:rsidR="00E83C2D">
        <w:rPr>
          <w:lang w:eastAsia="es-ES"/>
        </w:rPr>
        <w:t>República</w:t>
      </w:r>
      <w:r w:rsidR="001D6474">
        <w:rPr>
          <w:lang w:eastAsia="es-ES"/>
        </w:rPr>
        <w:t xml:space="preserve"> de Cataluña, </w:t>
      </w:r>
      <w:r>
        <w:rPr>
          <w:lang w:eastAsia="es-ES"/>
        </w:rPr>
        <w:t xml:space="preserve"> requisito también para lograr mayoría para la investidura con el apoyo de las CUP</w:t>
      </w:r>
      <w:r w:rsidR="00EB2A07">
        <w:rPr>
          <w:rStyle w:val="Refdenotaalpie"/>
          <w:lang w:eastAsia="es-ES"/>
        </w:rPr>
        <w:footnoteReference w:id="90"/>
      </w:r>
      <w:r w:rsidR="00EB2A07">
        <w:rPr>
          <w:lang w:eastAsia="es-ES"/>
        </w:rPr>
        <w:t xml:space="preserve">. </w:t>
      </w:r>
      <w:r w:rsidR="001D6474">
        <w:rPr>
          <w:lang w:eastAsia="es-ES"/>
        </w:rPr>
        <w:t>Por ello, el 5 de octubre de 2016 sellan un acuerdo de voluntades para convocar un referéndum vinculante, que en el caso de resultar a favor, obligaría al inicio de la desconexión</w:t>
      </w:r>
      <w:r w:rsidR="00EB2A07">
        <w:rPr>
          <w:lang w:eastAsia="es-ES"/>
        </w:rPr>
        <w:t xml:space="preserve"> con el Estado</w:t>
      </w:r>
      <w:r w:rsidR="00EB2A07">
        <w:rPr>
          <w:rStyle w:val="Refdenotaalpie"/>
          <w:lang w:eastAsia="es-ES"/>
        </w:rPr>
        <w:footnoteReference w:id="91"/>
      </w:r>
      <w:r w:rsidR="00EB2A07">
        <w:rPr>
          <w:lang w:eastAsia="es-ES"/>
        </w:rPr>
        <w:t>.</w:t>
      </w:r>
    </w:p>
    <w:p w:rsidR="00475BA4" w:rsidRDefault="00475BA4" w:rsidP="00E83C2D">
      <w:pPr>
        <w:spacing w:line="360" w:lineRule="auto"/>
        <w:jc w:val="both"/>
        <w:rPr>
          <w:lang w:eastAsia="es-ES"/>
        </w:rPr>
      </w:pPr>
      <w:r>
        <w:rPr>
          <w:lang w:eastAsia="es-ES"/>
        </w:rPr>
        <w:t>No cumplieron su promesa el día dos de octubre, ya que el Gobierno de España amenazó con aplicar el artículo 155.1 de la Constitución Española</w:t>
      </w:r>
      <w:r w:rsidR="00EB2A07">
        <w:rPr>
          <w:rStyle w:val="Refdenotaalpie"/>
          <w:lang w:eastAsia="es-ES"/>
        </w:rPr>
        <w:footnoteReference w:id="92"/>
      </w:r>
      <w:r>
        <w:rPr>
          <w:lang w:eastAsia="es-ES"/>
        </w:rPr>
        <w:t>que dice así:</w:t>
      </w:r>
    </w:p>
    <w:p w:rsidR="00475BA4" w:rsidRDefault="00475BA4" w:rsidP="00E83C2D">
      <w:pPr>
        <w:spacing w:line="360" w:lineRule="auto"/>
        <w:jc w:val="both"/>
        <w:rPr>
          <w:shd w:val="clear" w:color="auto" w:fill="FFFFFF"/>
        </w:rPr>
      </w:pPr>
      <w:r>
        <w:rPr>
          <w:shd w:val="clear" w:color="auto" w:fill="FFFFFF"/>
        </w:rPr>
        <w:t>“Si una Comunidad Autónoma no cumpliere las obligaciones que la Constitución u otras leyes le impongan, o actuare de forma que atente gravemente al interés general de España, el Gobierno, previo requerimiento al Presidente de la Comunidad Autónoma y, en el caso de no ser atendido, con la aprobación por mayoría absoluta del Senado, podrá adoptar las medidas necesarias para obligar a aquélla al cumplimiento forzoso de dichas obligaciones o para la protección del mencionado interés general.”</w:t>
      </w:r>
      <w:r w:rsidR="00EB2A07">
        <w:rPr>
          <w:shd w:val="clear" w:color="auto" w:fill="FFFFFF"/>
        </w:rPr>
        <w:t>.</w:t>
      </w:r>
    </w:p>
    <w:p w:rsidR="00475BA4" w:rsidRDefault="00475BA4" w:rsidP="00E83C2D">
      <w:pPr>
        <w:spacing w:line="360" w:lineRule="auto"/>
        <w:jc w:val="both"/>
        <w:rPr>
          <w:shd w:val="clear" w:color="auto" w:fill="FFFFFF"/>
        </w:rPr>
      </w:pPr>
      <w:r>
        <w:rPr>
          <w:shd w:val="clear" w:color="auto" w:fill="FFFFFF"/>
        </w:rPr>
        <w:t xml:space="preserve">No se cumplió el dos de octubre, pero no hizo esperar mucho tiempo más. El presidente autonómico, Carles Puigdemont, recibía presiones por dos lados. Por uno, la CUP le insta a cumplir con lo prometido y declarar la República de Cataluña, y por otro, </w:t>
      </w:r>
      <w:r w:rsidR="00557077">
        <w:rPr>
          <w:shd w:val="clear" w:color="auto" w:fill="FFFFFF"/>
        </w:rPr>
        <w:t>el Gobierno del Estado, le advertía que una hipotética declaración de independencia, implicaría la intervención en la comunidad, por medio del artículo antes expuesto</w:t>
      </w:r>
      <w:r w:rsidR="00EB2A07">
        <w:rPr>
          <w:rStyle w:val="Refdenotaalpie"/>
          <w:shd w:val="clear" w:color="auto" w:fill="FFFFFF"/>
        </w:rPr>
        <w:footnoteReference w:id="93"/>
      </w:r>
      <w:r w:rsidR="00EB2A07">
        <w:rPr>
          <w:shd w:val="clear" w:color="auto" w:fill="FFFFFF"/>
        </w:rPr>
        <w:t>.</w:t>
      </w:r>
    </w:p>
    <w:p w:rsidR="00557077" w:rsidRDefault="00557077" w:rsidP="00E83C2D">
      <w:pPr>
        <w:spacing w:line="360" w:lineRule="auto"/>
        <w:jc w:val="both"/>
        <w:rPr>
          <w:shd w:val="clear" w:color="auto" w:fill="FFFFFF"/>
        </w:rPr>
      </w:pPr>
      <w:r>
        <w:rPr>
          <w:shd w:val="clear" w:color="auto" w:fill="FFFFFF"/>
        </w:rPr>
        <w:t>Por lo tanto, se buscó una declaración descafeinada, declarada el 10 de octubre, que no contentó a ninguna parte. Se declaró la independencia de forma unilateral, sí, pero el máximo mandatario la suspendía acto seguido y pedía negociar con el Estado</w:t>
      </w:r>
      <w:r w:rsidR="00EB2A07">
        <w:rPr>
          <w:rStyle w:val="Refdenotaalpie"/>
          <w:shd w:val="clear" w:color="auto" w:fill="FFFFFF"/>
        </w:rPr>
        <w:footnoteReference w:id="94"/>
      </w:r>
      <w:r w:rsidR="00EB2A07">
        <w:rPr>
          <w:shd w:val="clear" w:color="auto" w:fill="FFFFFF"/>
        </w:rPr>
        <w:t>.</w:t>
      </w:r>
    </w:p>
    <w:p w:rsidR="00557077" w:rsidRDefault="001045C4" w:rsidP="001E188B">
      <w:pPr>
        <w:spacing w:line="360" w:lineRule="auto"/>
        <w:jc w:val="both"/>
        <w:rPr>
          <w:shd w:val="clear" w:color="auto" w:fill="FFFFFF"/>
        </w:rPr>
      </w:pPr>
      <w:r w:rsidRPr="001045C4">
        <w:t>Artur Mas, uno de lo</w:t>
      </w:r>
      <w:r w:rsidR="007B38AE" w:rsidRPr="001045C4">
        <w:t>s principales</w:t>
      </w:r>
      <w:r w:rsidRPr="001045C4">
        <w:t xml:space="preserve"> líderes</w:t>
      </w:r>
      <w:r w:rsidR="007B38AE" w:rsidRPr="001045C4">
        <w:t xml:space="preserve"> del partido independentista “Convergència” y expresidente de la Generalitat de Cataluña, apoyaba la mesura porque, aseguraba que Cataluña se “había ganado el derecho para ser independiente”, pero reconocía que</w:t>
      </w:r>
      <w:r w:rsidR="007B38AE" w:rsidRPr="001045C4">
        <w:rPr>
          <w:shd w:val="clear" w:color="auto" w:fill="FFFFFF"/>
        </w:rPr>
        <w:t xml:space="preserve"> había</w:t>
      </w:r>
      <w:r w:rsidR="007B38AE">
        <w:rPr>
          <w:shd w:val="clear" w:color="auto" w:fill="FFFFFF"/>
        </w:rPr>
        <w:t xml:space="preserve"> cosas que  aún faltaban</w:t>
      </w:r>
      <w:r w:rsidR="004F452C">
        <w:rPr>
          <w:rStyle w:val="Refdenotaalpie"/>
          <w:shd w:val="clear" w:color="auto" w:fill="FFFFFF"/>
        </w:rPr>
        <w:footnoteReference w:id="95"/>
      </w:r>
      <w:r w:rsidR="004F452C">
        <w:rPr>
          <w:shd w:val="clear" w:color="auto" w:fill="FFFFFF"/>
        </w:rPr>
        <w:t>.</w:t>
      </w:r>
      <w:r w:rsidR="007B38AE">
        <w:rPr>
          <w:shd w:val="clear" w:color="auto" w:fill="FFFFFF"/>
        </w:rPr>
        <w:t>Sin embargo, l</w:t>
      </w:r>
      <w:r w:rsidR="00BF4902">
        <w:rPr>
          <w:shd w:val="clear" w:color="auto" w:fill="FFFFFF"/>
        </w:rPr>
        <w:t>a CUP abandonó el parlamento</w:t>
      </w:r>
      <w:r w:rsidR="004F452C">
        <w:rPr>
          <w:rStyle w:val="Refdenotaalpie"/>
          <w:shd w:val="clear" w:color="auto" w:fill="FFFFFF"/>
        </w:rPr>
        <w:footnoteReference w:id="96"/>
      </w:r>
      <w:r w:rsidR="00557077">
        <w:rPr>
          <w:shd w:val="clear" w:color="auto" w:fill="FFFFFF"/>
        </w:rPr>
        <w:t>y rechazó la suspensión de la declaración y el Partido Popular, grupo en el Gobierno de España, preparó la maquinaria para activar la suspensión de la autonomía, que se materializaría el 27 de octubre de 2017, tras la aprobación en el Senado, por 214 votos a favor y 47 en contra</w:t>
      </w:r>
      <w:r w:rsidR="004F452C">
        <w:rPr>
          <w:rStyle w:val="Refdenotaalpie"/>
          <w:shd w:val="clear" w:color="auto" w:fill="FFFFFF"/>
        </w:rPr>
        <w:footnoteReference w:id="97"/>
      </w:r>
      <w:r w:rsidR="004F452C">
        <w:rPr>
          <w:shd w:val="clear" w:color="auto" w:fill="FFFFFF"/>
        </w:rPr>
        <w:t>,</w:t>
      </w:r>
      <w:r w:rsidR="00BF4902">
        <w:rPr>
          <w:shd w:val="clear" w:color="auto" w:fill="FFFFFF"/>
        </w:rPr>
        <w:t xml:space="preserve"> a la misma hora que se aprobó en el Parlamento de Cataluña la Declaración Unilateral de Independencia con 70 votos a favor, esta vez firme,</w:t>
      </w:r>
      <w:r w:rsidR="001E188B">
        <w:rPr>
          <w:shd w:val="clear" w:color="auto" w:fill="FFFFFF"/>
        </w:rPr>
        <w:t xml:space="preserve"> en respuesta a la activación del artículo 155.1 de la Constitución Española,</w:t>
      </w:r>
      <w:r w:rsidR="00BF4902">
        <w:rPr>
          <w:shd w:val="clear" w:color="auto" w:fill="FFFFFF"/>
        </w:rPr>
        <w:t xml:space="preserve"> pero sin más valor que el meramente simbólico</w:t>
      </w:r>
      <w:r w:rsidR="004F452C">
        <w:rPr>
          <w:rStyle w:val="Refdenotaalpie"/>
          <w:shd w:val="clear" w:color="auto" w:fill="FFFFFF"/>
        </w:rPr>
        <w:footnoteReference w:id="98"/>
      </w:r>
      <w:r w:rsidR="004F452C">
        <w:rPr>
          <w:shd w:val="clear" w:color="auto" w:fill="FFFFFF"/>
        </w:rPr>
        <w:t>.</w:t>
      </w:r>
    </w:p>
    <w:p w:rsidR="00557077" w:rsidRDefault="00557077" w:rsidP="00E83C2D">
      <w:pPr>
        <w:spacing w:line="360" w:lineRule="auto"/>
        <w:jc w:val="both"/>
        <w:rPr>
          <w:shd w:val="clear" w:color="auto" w:fill="FFFFFF"/>
        </w:rPr>
      </w:pPr>
      <w:r>
        <w:rPr>
          <w:shd w:val="clear" w:color="auto" w:fill="FFFFFF"/>
        </w:rPr>
        <w:t>Además de consecuencias institucionales</w:t>
      </w:r>
      <w:r w:rsidR="001045C4">
        <w:rPr>
          <w:shd w:val="clear" w:color="auto" w:fill="FFFFFF"/>
        </w:rPr>
        <w:t>, como la suspensión de la autonomía,</w:t>
      </w:r>
      <w:r>
        <w:rPr>
          <w:shd w:val="clear" w:color="auto" w:fill="FFFFFF"/>
        </w:rPr>
        <w:t xml:space="preserve"> también han existido consecuencias legales. </w:t>
      </w:r>
      <w:r w:rsidR="007B38AE">
        <w:rPr>
          <w:shd w:val="clear" w:color="auto" w:fill="FFFFFF"/>
        </w:rPr>
        <w:t xml:space="preserve">Todo el gobierno, políticos importantes independentistas, y líderes de plataformas sociales pro-independencia, </w:t>
      </w:r>
      <w:r w:rsidR="001045C4">
        <w:rPr>
          <w:shd w:val="clear" w:color="auto" w:fill="FFFFFF"/>
        </w:rPr>
        <w:t>fueron querellados</w:t>
      </w:r>
      <w:r w:rsidR="003F5B66">
        <w:rPr>
          <w:rStyle w:val="Refdenotaalpie"/>
          <w:shd w:val="clear" w:color="auto" w:fill="FFFFFF"/>
        </w:rPr>
        <w:footnoteReference w:id="99"/>
      </w:r>
      <w:r w:rsidR="003F5B66">
        <w:rPr>
          <w:shd w:val="clear" w:color="auto" w:fill="FFFFFF"/>
        </w:rPr>
        <w:t>:</w:t>
      </w:r>
      <w:r w:rsidR="007B38AE">
        <w:rPr>
          <w:shd w:val="clear" w:color="auto" w:fill="FFFFFF"/>
        </w:rPr>
        <w:t>por el Fiscal General del Estado ante el Juzgado Central de Instrucción nº3 de Madrid por los siguientes delitos</w:t>
      </w:r>
      <w:r w:rsidR="003F5B66">
        <w:rPr>
          <w:shd w:val="clear" w:color="auto" w:fill="FFFFFF"/>
        </w:rPr>
        <w:t xml:space="preserve"> recogidos en el código penal vigente</w:t>
      </w:r>
      <w:r w:rsidR="003F5B66">
        <w:rPr>
          <w:rStyle w:val="Refdenotaalpie"/>
          <w:shd w:val="clear" w:color="auto" w:fill="FFFFFF"/>
        </w:rPr>
        <w:footnoteReference w:id="100"/>
      </w:r>
      <w:r w:rsidR="003F5B66">
        <w:rPr>
          <w:shd w:val="clear" w:color="auto" w:fill="FFFFFF"/>
        </w:rPr>
        <w:t>:</w:t>
      </w:r>
    </w:p>
    <w:p w:rsidR="009A6C08" w:rsidRDefault="009A6C08" w:rsidP="00E83C2D">
      <w:pPr>
        <w:spacing w:line="360" w:lineRule="auto"/>
        <w:jc w:val="both"/>
        <w:rPr>
          <w:shd w:val="clear" w:color="auto" w:fill="FFFFFF"/>
        </w:rPr>
      </w:pPr>
      <w:r>
        <w:rPr>
          <w:shd w:val="clear" w:color="auto" w:fill="FFFFFF"/>
        </w:rPr>
        <w:t>Rebelión,</w:t>
      </w:r>
      <w:r w:rsidR="00406025">
        <w:rPr>
          <w:shd w:val="clear" w:color="auto" w:fill="FFFFFF"/>
        </w:rPr>
        <w:t xml:space="preserve"> </w:t>
      </w:r>
      <w:r>
        <w:rPr>
          <w:shd w:val="clear" w:color="auto" w:fill="FFFFFF"/>
        </w:rPr>
        <w:t xml:space="preserve">Artículo 472 del Código Penal: </w:t>
      </w:r>
    </w:p>
    <w:p w:rsidR="007B38AE" w:rsidRPr="001045C4" w:rsidRDefault="007B38AE" w:rsidP="00E83C2D">
      <w:pPr>
        <w:spacing w:line="360" w:lineRule="auto"/>
        <w:jc w:val="both"/>
        <w:rPr>
          <w:i/>
        </w:rPr>
      </w:pPr>
      <w:r w:rsidRPr="001045C4">
        <w:rPr>
          <w:i/>
        </w:rPr>
        <w:t>Son reos del delito de rebelión los que se alzaren violenta y públicamente para cualquiera de los fines siguientes:</w:t>
      </w:r>
    </w:p>
    <w:p w:rsidR="009A6C08" w:rsidRPr="001045C4" w:rsidRDefault="00E83C2D" w:rsidP="00E83C2D">
      <w:pPr>
        <w:spacing w:line="360" w:lineRule="auto"/>
        <w:jc w:val="both"/>
        <w:rPr>
          <w:i/>
        </w:rPr>
      </w:pPr>
      <w:r w:rsidRPr="001045C4">
        <w:rPr>
          <w:i/>
        </w:rPr>
        <w:t>5. º</w:t>
      </w:r>
      <w:r w:rsidR="009A6C08" w:rsidRPr="001045C4">
        <w:rPr>
          <w:i/>
        </w:rPr>
        <w:t xml:space="preserve"> Declarar la independencia de una parte del territorio nacional.</w:t>
      </w:r>
    </w:p>
    <w:p w:rsidR="009A6C08" w:rsidRDefault="009A6C08" w:rsidP="00E83C2D">
      <w:pPr>
        <w:spacing w:line="360" w:lineRule="auto"/>
        <w:jc w:val="both"/>
      </w:pPr>
      <w:r>
        <w:t>Sedición, Artículo 544 del Código Penal:</w:t>
      </w:r>
    </w:p>
    <w:p w:rsidR="009A6C08" w:rsidRPr="001045C4" w:rsidRDefault="009A6C08" w:rsidP="00E83C2D">
      <w:pPr>
        <w:spacing w:line="360" w:lineRule="auto"/>
        <w:jc w:val="both"/>
        <w:rPr>
          <w:i/>
          <w:shd w:val="clear" w:color="auto" w:fill="FFFFFF"/>
        </w:rPr>
      </w:pPr>
      <w:r w:rsidRPr="001045C4">
        <w:rPr>
          <w:i/>
          <w:shd w:val="clear" w:color="auto" w:fill="FFFFFF"/>
        </w:rPr>
        <w:t>Son reos de sedición los que, sin estar comprendidos en el delito de rebelión, se alcen pública y tumultuariamente para impedir, por la fuerza o fuera de las vías legales, la aplicación de las Leyes o a cualquier autoridad, corporación oficial o funcionario público, el legítimo ejercicio de sus funciones o el cumplimiento de sus acuerdos, o de las resoluciones administrativas o judiciales.</w:t>
      </w:r>
    </w:p>
    <w:p w:rsidR="009A6C08" w:rsidRDefault="009A6C08" w:rsidP="00E83C2D">
      <w:pPr>
        <w:spacing w:line="360" w:lineRule="auto"/>
        <w:jc w:val="both"/>
        <w:rPr>
          <w:shd w:val="clear" w:color="auto" w:fill="FFFFFF"/>
        </w:rPr>
      </w:pPr>
      <w:r>
        <w:rPr>
          <w:shd w:val="clear" w:color="auto" w:fill="FFFFFF"/>
        </w:rPr>
        <w:t>Malversación de fondos públicos, Artículo 432 del Código Penal</w:t>
      </w:r>
    </w:p>
    <w:p w:rsidR="009A6C08" w:rsidRPr="001045C4" w:rsidRDefault="009A6C08" w:rsidP="00E83C2D">
      <w:pPr>
        <w:spacing w:line="360" w:lineRule="auto"/>
        <w:jc w:val="both"/>
        <w:rPr>
          <w:i/>
          <w:shd w:val="clear" w:color="auto" w:fill="FFFFFF"/>
        </w:rPr>
      </w:pPr>
      <w:r w:rsidRPr="001045C4">
        <w:rPr>
          <w:b/>
          <w:bCs/>
          <w:i/>
          <w:shd w:val="clear" w:color="auto" w:fill="FFFFFF"/>
        </w:rPr>
        <w:t>1. </w:t>
      </w:r>
      <w:r w:rsidRPr="001045C4">
        <w:rPr>
          <w:i/>
          <w:shd w:val="clear" w:color="auto" w:fill="FFFFFF"/>
        </w:rPr>
        <w:t>La autoridad o funcionario público que cometiere el delito del artículo 252*sobre el patrimonio público, será castigado con una pena de prisión de dos a seis años, inhabilitación especial para cargo o empleo público y para el ejercicio del derecho de sufragio pasivo por tiempo de seis a diez años.</w:t>
      </w:r>
    </w:p>
    <w:p w:rsidR="009A6C08" w:rsidRPr="001045C4" w:rsidRDefault="009A6C08" w:rsidP="00E83C2D">
      <w:pPr>
        <w:spacing w:line="360" w:lineRule="auto"/>
        <w:jc w:val="both"/>
        <w:rPr>
          <w:i/>
          <w:shd w:val="clear" w:color="auto" w:fill="FFFFFF"/>
        </w:rPr>
      </w:pPr>
      <w:r w:rsidRPr="001045C4">
        <w:rPr>
          <w:i/>
          <w:shd w:val="clear" w:color="auto" w:fill="FFFFFF"/>
        </w:rPr>
        <w:t>*</w:t>
      </w:r>
      <w:r w:rsidRPr="001045C4">
        <w:rPr>
          <w:b/>
          <w:i/>
        </w:rPr>
        <w:t>1.</w:t>
      </w:r>
      <w:r w:rsidRPr="001045C4">
        <w:rPr>
          <w:i/>
        </w:rPr>
        <w:t> Serán punibles con las penas del artículo 249 o, en su caso, con las del artículo 250, los que teniendo facultades para administrar un patrimonio ajeno, emanadas de la ley, encomendadas por la autoridad o asumidas mediante un negocio jurídico, las infrinjan excediéndose en el ejercicio de las mismas y, de esa manera, causen un perjuicio al patrimonio administrado.</w:t>
      </w:r>
    </w:p>
    <w:p w:rsidR="009A6C08" w:rsidRDefault="009A6C08" w:rsidP="00E83C2D">
      <w:pPr>
        <w:spacing w:line="360" w:lineRule="auto"/>
        <w:jc w:val="both"/>
        <w:rPr>
          <w:shd w:val="clear" w:color="auto" w:fill="FFFFFF"/>
        </w:rPr>
      </w:pPr>
      <w:r>
        <w:rPr>
          <w:shd w:val="clear" w:color="auto" w:fill="FFFFFF"/>
        </w:rPr>
        <w:t>Desobediencia, Artículo 410 del Código Penal:</w:t>
      </w:r>
    </w:p>
    <w:p w:rsidR="009814B2" w:rsidRPr="00B21B26" w:rsidRDefault="00B21B26" w:rsidP="00B21B26">
      <w:pPr>
        <w:spacing w:line="360" w:lineRule="auto"/>
        <w:jc w:val="both"/>
        <w:rPr>
          <w:i/>
          <w:shd w:val="clear" w:color="auto" w:fill="FFFFFF"/>
        </w:rPr>
      </w:pPr>
      <w:r w:rsidRPr="00B21B26">
        <w:rPr>
          <w:b/>
          <w:i/>
          <w:shd w:val="clear" w:color="auto" w:fill="FFFFFF"/>
        </w:rPr>
        <w:t>1.</w:t>
      </w:r>
      <w:r w:rsidR="009A6C08" w:rsidRPr="00B21B26">
        <w:rPr>
          <w:i/>
          <w:shd w:val="clear" w:color="auto" w:fill="FFFFFF"/>
        </w:rPr>
        <w:t>Las autoridades o funcionarios públicos que se negaren abiertamente a dar el debido cumplimiento a resoluciones judiciales, decisiones u órdenes de la autoridad superior dictadas dentro del ámbito de su respectiva competencia y revestidas de las formalidades legales, incurrirán en la pena de multa de tres a doce meses e inhabilitación especial para empleo o cargo público por tiempo de seis meses a dos años.</w:t>
      </w:r>
    </w:p>
    <w:p w:rsidR="00557077" w:rsidRDefault="0033665B" w:rsidP="00E83C2D">
      <w:pPr>
        <w:spacing w:line="360" w:lineRule="auto"/>
        <w:jc w:val="both"/>
        <w:rPr>
          <w:shd w:val="clear" w:color="auto" w:fill="FFFFFF"/>
        </w:rPr>
      </w:pPr>
      <w:r>
        <w:rPr>
          <w:shd w:val="clear" w:color="auto" w:fill="FFFFFF"/>
        </w:rPr>
        <w:t>En otro orden, para que una declaración de independencia surja efecto real, debe contar con el reconocimiento de la comunidad internacional, es decir, de los estados ya existentes y de los órganos supranacionales.</w:t>
      </w:r>
    </w:p>
    <w:p w:rsidR="0033665B" w:rsidRDefault="0033665B" w:rsidP="00E83C2D">
      <w:pPr>
        <w:spacing w:line="360" w:lineRule="auto"/>
        <w:jc w:val="both"/>
        <w:rPr>
          <w:shd w:val="clear" w:color="auto" w:fill="FFFFFF"/>
        </w:rPr>
      </w:pPr>
      <w:r>
        <w:rPr>
          <w:shd w:val="clear" w:color="auto" w:fill="FFFFFF"/>
        </w:rPr>
        <w:t xml:space="preserve">Desde la Declaración Unilateral de Independencia, ha habido una cascada de </w:t>
      </w:r>
      <w:r w:rsidR="001045C4">
        <w:rPr>
          <w:shd w:val="clear" w:color="auto" w:fill="FFFFFF"/>
        </w:rPr>
        <w:t>pronunciamientos</w:t>
      </w:r>
      <w:r w:rsidR="00406025">
        <w:rPr>
          <w:shd w:val="clear" w:color="auto" w:fill="FFFFFF"/>
        </w:rPr>
        <w:t xml:space="preserve"> </w:t>
      </w:r>
      <w:r>
        <w:rPr>
          <w:shd w:val="clear" w:color="auto" w:fill="FFFFFF"/>
        </w:rPr>
        <w:t xml:space="preserve">de multitud de entes internacionales. Ha recibido un rechazo de la práctica totalidad de los que se </w:t>
      </w:r>
      <w:r w:rsidR="001045C4">
        <w:rPr>
          <w:shd w:val="clear" w:color="auto" w:fill="FFFFFF"/>
        </w:rPr>
        <w:t>pronunciaron</w:t>
      </w:r>
      <w:r>
        <w:rPr>
          <w:shd w:val="clear" w:color="auto" w:fill="FFFFFF"/>
        </w:rPr>
        <w:t>, entre ellos, Estados Unidos</w:t>
      </w:r>
      <w:r w:rsidR="001045C4">
        <w:rPr>
          <w:rStyle w:val="Refdenotaalpie"/>
          <w:shd w:val="clear" w:color="auto" w:fill="FFFFFF"/>
        </w:rPr>
        <w:footnoteReference w:id="101"/>
      </w:r>
      <w:r w:rsidR="001045C4">
        <w:rPr>
          <w:shd w:val="clear" w:color="auto" w:fill="FFFFFF"/>
        </w:rPr>
        <w:t>.</w:t>
      </w:r>
    </w:p>
    <w:p w:rsidR="0033665B" w:rsidRDefault="0033665B" w:rsidP="00E83C2D">
      <w:pPr>
        <w:spacing w:line="360" w:lineRule="auto"/>
        <w:jc w:val="both"/>
        <w:rPr>
          <w:shd w:val="clear" w:color="auto" w:fill="FFFFFF"/>
        </w:rPr>
      </w:pPr>
      <w:r>
        <w:rPr>
          <w:shd w:val="clear" w:color="auto" w:fill="FFFFFF"/>
        </w:rPr>
        <w:t>Multitud de países de la Unión Europea han seguido ese paso, como Italia, que dijo que “ni reconoce, ni reconocerá”, y que ha sido un atentado contra la ley y el Estado de Derecho, Francia, que reconoce a España como su único interlocutor, Reino Unido, que comunica mediante su primera ministra, Theresa</w:t>
      </w:r>
      <w:r w:rsidR="003047E2">
        <w:rPr>
          <w:shd w:val="clear" w:color="auto" w:fill="FFFFFF"/>
        </w:rPr>
        <w:t xml:space="preserve"> </w:t>
      </w:r>
      <w:r>
        <w:rPr>
          <w:shd w:val="clear" w:color="auto" w:fill="FFFFFF"/>
        </w:rPr>
        <w:t>May que siguen</w:t>
      </w:r>
      <w:r w:rsidRPr="0033665B">
        <w:rPr>
          <w:shd w:val="clear" w:color="auto" w:fill="FFFFFF"/>
        </w:rPr>
        <w:t xml:space="preserve"> queriendo ver cómo se preserva el imperio de la ley, se respeta la Constitución española y se mantiene la unidad de España</w:t>
      </w:r>
      <w:r>
        <w:rPr>
          <w:shd w:val="clear" w:color="auto" w:fill="FFFFFF"/>
        </w:rPr>
        <w:t>, y Alemania, que “apoya la clara postura del gobierno español”.</w:t>
      </w:r>
    </w:p>
    <w:p w:rsidR="0033665B" w:rsidRDefault="0033665B" w:rsidP="00E83C2D">
      <w:pPr>
        <w:spacing w:line="360" w:lineRule="auto"/>
        <w:jc w:val="both"/>
        <w:rPr>
          <w:shd w:val="clear" w:color="auto" w:fill="FFFFFF"/>
        </w:rPr>
      </w:pPr>
      <w:r>
        <w:rPr>
          <w:shd w:val="clear" w:color="auto" w:fill="FFFFFF"/>
        </w:rPr>
        <w:t xml:space="preserve">Organismos internacionales también se han postulado del lado del Gobierno de España, como la </w:t>
      </w:r>
      <w:r w:rsidR="00E83C2D">
        <w:rPr>
          <w:shd w:val="clear" w:color="auto" w:fill="FFFFFF"/>
        </w:rPr>
        <w:t>Comisión</w:t>
      </w:r>
      <w:r>
        <w:rPr>
          <w:shd w:val="clear" w:color="auto" w:fill="FFFFFF"/>
        </w:rPr>
        <w:t xml:space="preserve"> Europea, que no se quiere inmiscuir en casos internos de España, </w:t>
      </w:r>
      <w:r w:rsidR="00E644BD">
        <w:rPr>
          <w:shd w:val="clear" w:color="auto" w:fill="FFFFFF"/>
        </w:rPr>
        <w:t xml:space="preserve">el Consejo de Europa, que ratifica a España como su único interlocutor y el Parlamento Europeo por medio de su presidente Antonio Tajani, que dice que “nadie” reconocerá a una Cataluña independiente, y pide que se </w:t>
      </w:r>
      <w:r w:rsidR="00E83C2D">
        <w:rPr>
          <w:shd w:val="clear" w:color="auto" w:fill="FFFFFF"/>
        </w:rPr>
        <w:t>restablezca</w:t>
      </w:r>
      <w:r w:rsidR="00E644BD">
        <w:rPr>
          <w:shd w:val="clear" w:color="auto" w:fill="FFFFFF"/>
        </w:rPr>
        <w:t xml:space="preserve"> el dialogo. La OTAN declara que es un asunto interno español y la ONU “</w:t>
      </w:r>
      <w:r w:rsidR="00E644BD" w:rsidRPr="00E644BD">
        <w:rPr>
          <w:shd w:val="clear" w:color="auto" w:fill="FFFFFF"/>
        </w:rPr>
        <w:t>anima a todas las partes a buscar soluciones dentro del marco de la Constitución española y a establecer canales políticos y legales</w:t>
      </w:r>
      <w:r w:rsidR="00D573A5">
        <w:rPr>
          <w:rStyle w:val="Refdenotaalpie"/>
          <w:shd w:val="clear" w:color="auto" w:fill="FFFFFF"/>
        </w:rPr>
        <w:footnoteReference w:id="102"/>
      </w:r>
      <w:r w:rsidR="00E644BD">
        <w:rPr>
          <w:shd w:val="clear" w:color="auto" w:fill="FFFFFF"/>
        </w:rPr>
        <w:t>”</w:t>
      </w:r>
    </w:p>
    <w:p w:rsidR="00E83C2D" w:rsidRDefault="00E644BD" w:rsidP="00E83C2D">
      <w:pPr>
        <w:spacing w:line="360" w:lineRule="auto"/>
        <w:jc w:val="both"/>
        <w:rPr>
          <w:shd w:val="clear" w:color="auto" w:fill="FFFFFF"/>
        </w:rPr>
      </w:pPr>
      <w:r>
        <w:rPr>
          <w:shd w:val="clear" w:color="auto" w:fill="FFFFFF"/>
        </w:rPr>
        <w:t xml:space="preserve">El acto de independencia catalana solo ha tenido </w:t>
      </w:r>
      <w:r w:rsidR="00E83C2D">
        <w:rPr>
          <w:shd w:val="clear" w:color="auto" w:fill="FFFFFF"/>
        </w:rPr>
        <w:t>apoyo implícito mediante respuestas ambiguas como las de Venezuela, Kosovo o Israel</w:t>
      </w:r>
      <w:r w:rsidR="005000F5">
        <w:rPr>
          <w:rStyle w:val="Refdenotaalpie"/>
          <w:shd w:val="clear" w:color="auto" w:fill="FFFFFF"/>
        </w:rPr>
        <w:footnoteReference w:id="103"/>
      </w:r>
      <w:r w:rsidR="00E83C2D">
        <w:rPr>
          <w:shd w:val="clear" w:color="auto" w:fill="FFFFFF"/>
        </w:rPr>
        <w:t>, que ni reconocen a la nueva República, ni la dejan de reconocer</w:t>
      </w:r>
      <w:r w:rsidR="00D73BE6">
        <w:rPr>
          <w:rStyle w:val="Refdenotaalpie"/>
          <w:shd w:val="clear" w:color="auto" w:fill="FFFFFF"/>
        </w:rPr>
        <w:footnoteReference w:id="104"/>
      </w:r>
      <w:r w:rsidR="00E83C2D">
        <w:rPr>
          <w:shd w:val="clear" w:color="auto" w:fill="FFFFFF"/>
        </w:rPr>
        <w:t>. Los únicos territorios que, hasta día de hoy, reconocen a Cataluña como un país soberano, es Osetia del Sur y Abjasia, dos territorios de Georgia</w:t>
      </w:r>
      <w:r w:rsidR="00E15833">
        <w:rPr>
          <w:shd w:val="clear" w:color="auto" w:fill="FFFFFF"/>
        </w:rPr>
        <w:t xml:space="preserve">, Nagoro-Karabaj, de Azerbaiyán, y Transnitria entre Moldavia y Ucrania, </w:t>
      </w:r>
      <w:r w:rsidR="00E83C2D">
        <w:rPr>
          <w:shd w:val="clear" w:color="auto" w:fill="FFFFFF"/>
        </w:rPr>
        <w:t xml:space="preserve"> con fuertes movimientos independentistas y pro-rusos, llegando la primera a abrir una “Embajada” en Barcelona</w:t>
      </w:r>
      <w:r w:rsidR="00D73BE6">
        <w:rPr>
          <w:rStyle w:val="Refdenotaalpie"/>
          <w:shd w:val="clear" w:color="auto" w:fill="FFFFFF"/>
        </w:rPr>
        <w:footnoteReference w:id="105"/>
      </w:r>
      <w:r w:rsidR="00E83C2D">
        <w:rPr>
          <w:shd w:val="clear" w:color="auto" w:fill="FFFFFF"/>
        </w:rPr>
        <w:t>.</w:t>
      </w:r>
    </w:p>
    <w:p w:rsidR="00B2047B" w:rsidRDefault="00B2047B" w:rsidP="00E83C2D">
      <w:pPr>
        <w:spacing w:line="360" w:lineRule="auto"/>
        <w:jc w:val="both"/>
        <w:rPr>
          <w:shd w:val="clear" w:color="auto" w:fill="FFFFFF"/>
        </w:rPr>
      </w:pPr>
    </w:p>
    <w:p w:rsidR="00E83C2D" w:rsidRDefault="00E83C2D" w:rsidP="00E83C2D">
      <w:pPr>
        <w:jc w:val="center"/>
        <w:rPr>
          <w:shd w:val="clear" w:color="auto" w:fill="FFFFFF"/>
        </w:rPr>
      </w:pPr>
      <w:r>
        <w:rPr>
          <w:noProof/>
          <w:shd w:val="clear" w:color="auto" w:fill="FFFFFF"/>
          <w:lang w:eastAsia="es-ES"/>
        </w:rPr>
        <w:drawing>
          <wp:inline distT="0" distB="0" distL="0" distR="0">
            <wp:extent cx="5358168" cy="3011051"/>
            <wp:effectExtent l="19050" t="0" r="0" b="0"/>
            <wp:docPr id="1" name="Imagen 1" descr="C:\Users\Pedro\Desktop\TFG Derecho\image_content_7377487_2017102816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dro\Desktop\TFG Derecho\image_content_7377487_20171028160055.jpg"/>
                    <pic:cNvPicPr>
                      <a:picLocks noChangeAspect="1" noChangeArrowheads="1"/>
                    </pic:cNvPicPr>
                  </pic:nvPicPr>
                  <pic:blipFill>
                    <a:blip r:embed="rId10"/>
                    <a:srcRect/>
                    <a:stretch>
                      <a:fillRect/>
                    </a:stretch>
                  </pic:blipFill>
                  <pic:spPr bwMode="auto">
                    <a:xfrm>
                      <a:off x="0" y="0"/>
                      <a:ext cx="5367242" cy="3016150"/>
                    </a:xfrm>
                    <a:prstGeom prst="rect">
                      <a:avLst/>
                    </a:prstGeom>
                    <a:noFill/>
                    <a:ln w="9525">
                      <a:noFill/>
                      <a:miter lim="800000"/>
                      <a:headEnd/>
                      <a:tailEnd/>
                    </a:ln>
                  </pic:spPr>
                </pic:pic>
              </a:graphicData>
            </a:graphic>
          </wp:inline>
        </w:drawing>
      </w:r>
    </w:p>
    <w:p w:rsidR="00D73BE6" w:rsidRPr="00D73BE6" w:rsidRDefault="00B2047B" w:rsidP="00D73BE6">
      <w:pPr>
        <w:spacing w:line="240" w:lineRule="auto"/>
        <w:rPr>
          <w:sz w:val="20"/>
          <w:szCs w:val="20"/>
          <w:shd w:val="clear" w:color="auto" w:fill="FFFFFF"/>
        </w:rPr>
      </w:pPr>
      <w:r w:rsidRPr="00D73BE6">
        <w:rPr>
          <w:sz w:val="20"/>
          <w:szCs w:val="20"/>
          <w:shd w:val="clear" w:color="auto" w:fill="FFFFFF"/>
        </w:rPr>
        <w:t>Fuente: ABC</w:t>
      </w:r>
      <w:r w:rsidR="00D73BE6" w:rsidRPr="00D73BE6">
        <w:rPr>
          <w:sz w:val="20"/>
          <w:szCs w:val="20"/>
          <w:shd w:val="clear" w:color="auto" w:fill="FFFFFF"/>
        </w:rPr>
        <w:t xml:space="preserve">. </w:t>
      </w:r>
    </w:p>
    <w:p w:rsidR="0082333B" w:rsidRPr="00D73BE6" w:rsidRDefault="00D73BE6" w:rsidP="00D73BE6">
      <w:pPr>
        <w:spacing w:line="240" w:lineRule="auto"/>
        <w:rPr>
          <w:sz w:val="20"/>
          <w:szCs w:val="20"/>
          <w:shd w:val="clear" w:color="auto" w:fill="FFFFFF"/>
        </w:rPr>
      </w:pPr>
      <w:r w:rsidRPr="00D73BE6">
        <w:rPr>
          <w:sz w:val="20"/>
          <w:szCs w:val="20"/>
          <w:shd w:val="clear" w:color="auto" w:fill="FFFFFF"/>
        </w:rPr>
        <w:t>En color rojo: Países que no han reconocido la República Catalana</w:t>
      </w:r>
      <w:r w:rsidR="00F33EB2">
        <w:rPr>
          <w:sz w:val="20"/>
          <w:szCs w:val="20"/>
          <w:shd w:val="clear" w:color="auto" w:fill="FFFFFF"/>
        </w:rPr>
        <w:t>.</w:t>
      </w:r>
    </w:p>
    <w:p w:rsidR="00D73BE6" w:rsidRPr="00D73BE6" w:rsidRDefault="00D73BE6" w:rsidP="00D73BE6">
      <w:pPr>
        <w:spacing w:line="240" w:lineRule="auto"/>
        <w:rPr>
          <w:sz w:val="20"/>
          <w:szCs w:val="20"/>
          <w:shd w:val="clear" w:color="auto" w:fill="FFFFFF"/>
        </w:rPr>
      </w:pPr>
      <w:r w:rsidRPr="00D73BE6">
        <w:rPr>
          <w:sz w:val="20"/>
          <w:szCs w:val="20"/>
          <w:shd w:val="clear" w:color="auto" w:fill="FFFFFF"/>
        </w:rPr>
        <w:t>En color azul: Reino de España</w:t>
      </w:r>
      <w:r w:rsidR="00F33EB2">
        <w:rPr>
          <w:sz w:val="20"/>
          <w:szCs w:val="20"/>
          <w:shd w:val="clear" w:color="auto" w:fill="FFFFFF"/>
        </w:rPr>
        <w:t>.</w:t>
      </w:r>
    </w:p>
    <w:p w:rsidR="00D73BE6" w:rsidRPr="00D73BE6" w:rsidRDefault="00D73BE6" w:rsidP="00D73BE6">
      <w:pPr>
        <w:spacing w:line="240" w:lineRule="auto"/>
        <w:rPr>
          <w:sz w:val="20"/>
          <w:szCs w:val="20"/>
          <w:shd w:val="clear" w:color="auto" w:fill="FFFFFF"/>
        </w:rPr>
      </w:pPr>
      <w:r w:rsidRPr="00D73BE6">
        <w:rPr>
          <w:sz w:val="20"/>
          <w:szCs w:val="20"/>
          <w:shd w:val="clear" w:color="auto" w:fill="FFFFFF"/>
        </w:rPr>
        <w:t>En color azul claro: Comunidad Autónoma de Cataluña</w:t>
      </w:r>
      <w:r w:rsidR="00F33EB2">
        <w:rPr>
          <w:sz w:val="20"/>
          <w:szCs w:val="20"/>
          <w:shd w:val="clear" w:color="auto" w:fill="FFFFFF"/>
        </w:rPr>
        <w:t>.</w:t>
      </w:r>
    </w:p>
    <w:p w:rsidR="0082333B" w:rsidRDefault="0082333B">
      <w:pPr>
        <w:rPr>
          <w:rFonts w:asciiTheme="majorHAnsi" w:eastAsiaTheme="majorEastAsia" w:hAnsiTheme="majorHAnsi" w:cstheme="majorBidi"/>
          <w:b/>
          <w:color w:val="365F91" w:themeColor="accent1" w:themeShade="BF"/>
          <w:sz w:val="28"/>
          <w:szCs w:val="28"/>
          <w:shd w:val="clear" w:color="auto" w:fill="FFFFFF"/>
        </w:rPr>
      </w:pPr>
      <w:r>
        <w:rPr>
          <w:bCs/>
          <w:shd w:val="clear" w:color="auto" w:fill="FFFFFF"/>
        </w:rPr>
        <w:br w:type="page"/>
      </w:r>
    </w:p>
    <w:p w:rsidR="0082333B" w:rsidRDefault="006D2E54" w:rsidP="0082333B">
      <w:pPr>
        <w:pStyle w:val="Ttulo1"/>
        <w:rPr>
          <w:shd w:val="clear" w:color="auto" w:fill="FFFFFF"/>
        </w:rPr>
      </w:pPr>
      <w:r>
        <w:rPr>
          <w:shd w:val="clear" w:color="auto" w:fill="FFFFFF"/>
        </w:rPr>
        <w:t>6</w:t>
      </w:r>
      <w:r w:rsidR="0082333B">
        <w:rPr>
          <w:shd w:val="clear" w:color="auto" w:fill="FFFFFF"/>
        </w:rPr>
        <w:t>. CONCLUSIONES</w:t>
      </w:r>
    </w:p>
    <w:p w:rsidR="00F9252A" w:rsidRDefault="00F9252A" w:rsidP="0019733B">
      <w:pPr>
        <w:jc w:val="both"/>
      </w:pPr>
    </w:p>
    <w:p w:rsidR="00D80FAD" w:rsidRPr="003047E2" w:rsidRDefault="0019733B" w:rsidP="0019733B">
      <w:pPr>
        <w:spacing w:line="360" w:lineRule="auto"/>
        <w:jc w:val="both"/>
      </w:pPr>
      <w:r w:rsidRPr="003047E2">
        <w:t>Finalmente, p</w:t>
      </w:r>
      <w:r w:rsidR="003F5B66" w:rsidRPr="003047E2">
        <w:t>odemos extraer algunas ideas de lo que se ha analizado hasta ahora</w:t>
      </w:r>
      <w:r w:rsidR="00D80FAD" w:rsidRPr="003047E2">
        <w:t>, respondiendo a la pregunta principal que nos atañe, esto es, ¿Es legal y legítima la consulta del 1 de octubre de 2017 en Cataluña?</w:t>
      </w:r>
    </w:p>
    <w:p w:rsidR="00A84A4A" w:rsidRPr="003047E2" w:rsidRDefault="00D80FAD" w:rsidP="0019733B">
      <w:pPr>
        <w:spacing w:line="360" w:lineRule="auto"/>
        <w:jc w:val="both"/>
      </w:pPr>
      <w:r w:rsidRPr="003047E2">
        <w:t xml:space="preserve">Atendiendo a la legalidad, </w:t>
      </w:r>
      <w:r w:rsidR="00054441" w:rsidRPr="003047E2">
        <w:t xml:space="preserve">se puede afirmar que </w:t>
      </w:r>
      <w:r w:rsidRPr="003047E2">
        <w:t xml:space="preserve">no, ya que contraviene el artículo 92 y 149.1.32 de la Constitución Española, que reserva para el Estado la potestad de la convocatoria de este tipo de consultas, y la Ley 2/1980 de distintas modalidades de referéndum, que en su desarrollo vuelve a dejar claro que </w:t>
      </w:r>
      <w:r w:rsidR="007D4879" w:rsidRPr="003047E2">
        <w:t>las comunidades autónomas no cuentan con esa capacidad.</w:t>
      </w:r>
      <w:r w:rsidR="00E64369">
        <w:t xml:space="preserve"> Además, la STC </w:t>
      </w:r>
      <w:r w:rsidR="00E64369" w:rsidRPr="00D76B4F">
        <w:rPr>
          <w:rFonts w:cs="Times New Roman"/>
          <w:szCs w:val="24"/>
        </w:rPr>
        <w:t>138/2015</w:t>
      </w:r>
      <w:r w:rsidR="00E64369">
        <w:rPr>
          <w:rFonts w:cs="Times New Roman"/>
          <w:szCs w:val="24"/>
        </w:rPr>
        <w:t>, que anuló la consulta de similares características del 9 de noviembre de 2014, ya nos da una visión anterior a este hecho: las comunidades autónomas no pueden convocar consultas populares sobre los temas que se deseen, sino que éste debe ser una competencia de la propia comunidad autónoma.</w:t>
      </w:r>
    </w:p>
    <w:p w:rsidR="00E64369" w:rsidRDefault="003047E2" w:rsidP="0019733B">
      <w:pPr>
        <w:spacing w:line="360" w:lineRule="auto"/>
        <w:jc w:val="both"/>
      </w:pPr>
      <w:r w:rsidRPr="003047E2">
        <w:t>Analizando</w:t>
      </w:r>
      <w:r w:rsidR="007D4879" w:rsidRPr="003047E2">
        <w:t xml:space="preserve"> la legitimidad, tampoco se puede decir respecto a lo que se ha visto hasta ahora, que puede haber duda sobre</w:t>
      </w:r>
      <w:r w:rsidRPr="003047E2">
        <w:t xml:space="preserve"> </w:t>
      </w:r>
      <w:r w:rsidR="00054441" w:rsidRPr="003047E2">
        <w:t xml:space="preserve">que no fue </w:t>
      </w:r>
      <w:r w:rsidRPr="003047E2">
        <w:t>legítimo</w:t>
      </w:r>
      <w:r w:rsidR="00E64369">
        <w:t>, aunque la propaganda separatista afirme lo contrario</w:t>
      </w:r>
      <w:r w:rsidR="007D4879" w:rsidRPr="003047E2">
        <w:t xml:space="preserve">. No cuentan con derecho de libre determinación según </w:t>
      </w:r>
      <w:r w:rsidR="002A0ACA" w:rsidRPr="003047E2">
        <w:t>la Resolución 1541 XXV de la Asamblea de las Naciones Unidas, y así se lo han hecho saber por palabras de su Secretario General, Ban Ki Mun, tampoco es caso comparable con el escocés, ya que no ha habido intento alguno de juntar posturas de cara a un referéndum legal y con garantías, y no se asemeja tampoco al de Quebec de 1995, ya que el sistema legal es diferente.</w:t>
      </w:r>
      <w:r w:rsidR="00E64369">
        <w:t xml:space="preserve"> </w:t>
      </w:r>
    </w:p>
    <w:p w:rsidR="002A0ACA" w:rsidRPr="003047E2" w:rsidRDefault="00E64369" w:rsidP="0019733B">
      <w:pPr>
        <w:spacing w:line="360" w:lineRule="auto"/>
        <w:jc w:val="both"/>
      </w:pPr>
      <w:r w:rsidRPr="003047E2">
        <w:t>A esto se le une que, al ser una votación sin control judicial, sin sindicatura electoral, sin censo y con casos documentados de irregularidad</w:t>
      </w:r>
      <w:r>
        <w:t>, no se puede decir que haya condiciones suficientes para garantizar que la votación se ha llevado a cabo de una forma regular y tranparente.</w:t>
      </w:r>
    </w:p>
    <w:p w:rsidR="0019733B" w:rsidRPr="003047E2" w:rsidRDefault="00E64369" w:rsidP="0019733B">
      <w:pPr>
        <w:spacing w:line="360" w:lineRule="auto"/>
        <w:jc w:val="both"/>
      </w:pPr>
      <w:r>
        <w:t>A consecuencia de que la consulta no es ni legal ni legítima</w:t>
      </w:r>
      <w:r w:rsidR="003047E2" w:rsidRPr="003047E2">
        <w:t>,</w:t>
      </w:r>
      <w:r>
        <w:t xml:space="preserve"> ni hay garantías de un resultado exacto y transparente, como ya se ha comentado</w:t>
      </w:r>
      <w:r w:rsidR="003047E2" w:rsidRPr="003047E2">
        <w:t>,</w:t>
      </w:r>
      <w:r w:rsidR="002A0ACA" w:rsidRPr="003047E2">
        <w:t xml:space="preserve"> ningún país soberano ha aceptado la Declaración Unilateral de Independencia</w:t>
      </w:r>
      <w:r w:rsidR="003047E2" w:rsidRPr="003047E2">
        <w:t xml:space="preserve"> </w:t>
      </w:r>
      <w:r w:rsidR="00054441" w:rsidRPr="003047E2">
        <w:t>realizada por Cataluña</w:t>
      </w:r>
      <w:r>
        <w:t>.  M</w:t>
      </w:r>
      <w:r w:rsidR="002A0ACA" w:rsidRPr="003047E2">
        <w:t>uchos de ellos la han rechazado de raíz, otros pocos han dado respuestas ambiguas, y otra parte del planeta no se ha pronunciado al respecto</w:t>
      </w:r>
      <w:r w:rsidR="00D07F03" w:rsidRPr="003047E2">
        <w:t xml:space="preserve">, y solo varios territorios no soberanos, pero con las mismas pretensiones que Cataluña, han manifestado su apoyo a la secesión. </w:t>
      </w:r>
    </w:p>
    <w:p w:rsidR="0019733B" w:rsidRDefault="0019733B">
      <w:r>
        <w:br w:type="page"/>
      </w:r>
    </w:p>
    <w:p w:rsidR="002A0ACA" w:rsidRDefault="0019733B" w:rsidP="0019733B">
      <w:pPr>
        <w:pStyle w:val="Ttulo1"/>
      </w:pPr>
      <w:r>
        <w:t>7. BIBLIOGRAFÍA</w:t>
      </w:r>
    </w:p>
    <w:p w:rsidR="0075369D" w:rsidRDefault="0075369D" w:rsidP="0075369D"/>
    <w:p w:rsidR="0033691D" w:rsidRDefault="0075369D" w:rsidP="007C2A33">
      <w:pPr>
        <w:jc w:val="both"/>
      </w:pPr>
      <w:r>
        <w:t xml:space="preserve">Agencias. “El Govern desoirá al Tribunal Constitucional si anula la ley del referéndum “con todas las consecuencias””. </w:t>
      </w:r>
      <w:r w:rsidRPr="00EF3609">
        <w:rPr>
          <w:i/>
        </w:rPr>
        <w:t>RTVE</w:t>
      </w:r>
      <w:r>
        <w:t xml:space="preserve">, de 29 de agosto de 2017. Recuperado de: </w:t>
      </w:r>
      <w:r w:rsidR="0033691D" w:rsidRPr="0033691D">
        <w:t>http://www.rtve.es/noticias/20170829/consejero-interior-dice-catalanes-estan-amenazados-independencia-necesaria-para-subsistir/1605261.shtml</w:t>
      </w:r>
      <w:r w:rsidR="0033691D">
        <w:t>.</w:t>
      </w:r>
    </w:p>
    <w:p w:rsidR="0075369D" w:rsidRDefault="0075369D" w:rsidP="007C2A33">
      <w:pPr>
        <w:jc w:val="both"/>
      </w:pPr>
      <w:r w:rsidRPr="0075369D">
        <w:rPr>
          <w:lang w:val="en-US"/>
        </w:rPr>
        <w:t xml:space="preserve">Agreement between the United Kingdom Government and the Scottish Government on a referendum on independence for Scotland. </w:t>
      </w:r>
      <w:r>
        <w:t>National archive 2012 CAB 311, de 15 de octubre de 2012</w:t>
      </w:r>
      <w:r w:rsidR="0033691D">
        <w:t>.</w:t>
      </w:r>
    </w:p>
    <w:p w:rsidR="0033691D" w:rsidRDefault="0033691D" w:rsidP="007C2A33">
      <w:pPr>
        <w:jc w:val="both"/>
      </w:pPr>
      <w:r>
        <w:t xml:space="preserve">Aguiar de Luque, Luis. </w:t>
      </w:r>
      <w:r w:rsidRPr="00EF3609">
        <w:rPr>
          <w:i/>
        </w:rPr>
        <w:t>Temas básicos de derecho constitucional</w:t>
      </w:r>
      <w:r>
        <w:t>. Madrid, Universid</w:t>
      </w:r>
      <w:r w:rsidR="00D50157">
        <w:t xml:space="preserve">ad Autónoma de Madrid. </w:t>
      </w:r>
    </w:p>
    <w:p w:rsidR="0075369D" w:rsidRDefault="0075369D" w:rsidP="007C2A33">
      <w:r>
        <w:t xml:space="preserve">Amade Castro, Emilio; Aguirre, Javier; Sánchez, Juan C. “Los resultados del referéndum en Escocia. </w:t>
      </w:r>
      <w:r w:rsidRPr="00EF3609">
        <w:rPr>
          <w:i/>
        </w:rPr>
        <w:t>El Mundo</w:t>
      </w:r>
      <w:r>
        <w:t>, actualizado el 26 de septiembre de 2014. Recuperado de: http://www.elmundo.es/grafico/internacional/2014/09/19/</w:t>
      </w:r>
      <w:r w:rsidR="0033691D">
        <w:t xml:space="preserve">541c2725ca47416f228b457c.html. </w:t>
      </w:r>
    </w:p>
    <w:p w:rsidR="0033691D" w:rsidRDefault="0033691D" w:rsidP="007C2A33">
      <w:pPr>
        <w:jc w:val="both"/>
      </w:pPr>
      <w:r w:rsidRPr="0075369D">
        <w:rPr>
          <w:lang w:val="en-US"/>
        </w:rPr>
        <w:t xml:space="preserve">An Act to give effect to the requirement for clarity as set out in the opinion of the Supreme Court of Canada in the Quebec Secession Reference. </w:t>
      </w:r>
      <w:r>
        <w:t>Justice</w:t>
      </w:r>
      <w:r w:rsidR="00737929">
        <w:t xml:space="preserve"> </w:t>
      </w:r>
      <w:r>
        <w:t>Laws</w:t>
      </w:r>
      <w:r w:rsidR="00737929">
        <w:t xml:space="preserve"> </w:t>
      </w:r>
      <w:r>
        <w:t>Website, de 5 de diciembre de 2017.</w:t>
      </w:r>
    </w:p>
    <w:p w:rsidR="0075369D" w:rsidRDefault="0075369D" w:rsidP="007C2A33">
      <w:pPr>
        <w:jc w:val="both"/>
      </w:pPr>
      <w:r>
        <w:t xml:space="preserve">“El singular recuento de votos en una misa en Tarragona”. </w:t>
      </w:r>
      <w:r w:rsidRPr="00152623">
        <w:rPr>
          <w:i/>
        </w:rPr>
        <w:t>ABC</w:t>
      </w:r>
      <w:r>
        <w:t xml:space="preserve">, de 7 de octubre de 2017. Recuperado de: http://www.abc.es/espana/catalunya/abci-referendeum-cataluna-recuento-votos-durante-misa-iglesia-vilarrodona-tarragona-201710031228_noticia.html).  </w:t>
      </w:r>
    </w:p>
    <w:p w:rsidR="0075369D" w:rsidRDefault="0075369D" w:rsidP="007C2A33">
      <w:pPr>
        <w:jc w:val="both"/>
      </w:pPr>
      <w:r>
        <w:t xml:space="preserve">“Irregularidades en el referéndum: Gente que vota cuatro veces, votos “extranjeros…””. </w:t>
      </w:r>
      <w:r w:rsidRPr="00152623">
        <w:rPr>
          <w:i/>
        </w:rPr>
        <w:t>El Confidencial</w:t>
      </w:r>
      <w:r>
        <w:t>,  de 1 de octubre de 2017. Recuperado de: https://www.elconfidencial.com/espana/cataluna/2017-10-01/irregularidades-votaciones-referendum-cataluna_1453255/.</w:t>
      </w:r>
    </w:p>
    <w:p w:rsidR="0075369D" w:rsidRDefault="0075369D" w:rsidP="007C2A33">
      <w:pPr>
        <w:jc w:val="both"/>
      </w:pPr>
      <w:r>
        <w:t xml:space="preserve">Ayllón, Luis. “Osetia del Sur, Transnistria, Abjasia, Somalilandia… y Cataluña”. </w:t>
      </w:r>
      <w:r w:rsidRPr="00152623">
        <w:rPr>
          <w:i/>
        </w:rPr>
        <w:t>ABC</w:t>
      </w:r>
      <w:r>
        <w:t>, de 27 de octubre de 2017. Recuperado de: http://abcblogs.abc.es/luis-ayllon/public/post/osetia-del-sur-abjasia-transnistria-somalilandia-y-cataluna-16842.asp.</w:t>
      </w:r>
    </w:p>
    <w:p w:rsidR="0075369D" w:rsidRDefault="0075369D" w:rsidP="007C2A33">
      <w:pPr>
        <w:jc w:val="both"/>
      </w:pPr>
      <w:r>
        <w:t xml:space="preserve">Baquero, Camilo S. "La Generalitat improvisa un censo universal y sin sobres y la Guardia Civil lo bloquea”. </w:t>
      </w:r>
      <w:r w:rsidRPr="00152623">
        <w:rPr>
          <w:i/>
        </w:rPr>
        <w:t>El País</w:t>
      </w:r>
      <w:r>
        <w:t>, de 1 de octubre de 2017. Recuperado de: https://elpais.com/ccaa/2017/10/01/catalunya/1506822634_717493.html.</w:t>
      </w:r>
    </w:p>
    <w:p w:rsidR="0075369D" w:rsidRDefault="0075369D" w:rsidP="007C2A33">
      <w:pPr>
        <w:jc w:val="both"/>
      </w:pPr>
      <w:r>
        <w:t xml:space="preserve">Bermejo, Romualdo. “¿Por qué Cataluña no es Escocia?”. </w:t>
      </w:r>
      <w:r w:rsidRPr="00152623">
        <w:rPr>
          <w:i/>
        </w:rPr>
        <w:t>La Razón</w:t>
      </w:r>
      <w:r>
        <w:t>,</w:t>
      </w:r>
      <w:r w:rsidR="00152623">
        <w:t xml:space="preserve"> </w:t>
      </w:r>
      <w:r>
        <w:t>de 16 de octubre de 2012.</w:t>
      </w:r>
    </w:p>
    <w:p w:rsidR="0075369D" w:rsidRDefault="0075369D" w:rsidP="007C2A33">
      <w:pPr>
        <w:jc w:val="both"/>
      </w:pPr>
      <w:r>
        <w:t xml:space="preserve">Bombillar Sáenz, Francisco Miguel 2017. </w:t>
      </w:r>
      <w:r w:rsidRPr="00152623">
        <w:rPr>
          <w:i/>
        </w:rPr>
        <w:t>El sistema constitucional de Reino Unido</w:t>
      </w:r>
      <w:r>
        <w:t xml:space="preserve"> (Estudio). Granada, Universidad de Granada. Recuperado de: http://www.ugr.es/~redce/REDCE15/articulos/03FMBombillar.htm</w:t>
      </w:r>
    </w:p>
    <w:p w:rsidR="0075369D" w:rsidRDefault="0075369D" w:rsidP="007C2A33">
      <w:pPr>
        <w:jc w:val="both"/>
      </w:pPr>
      <w:r>
        <w:t>Carta de las Naciones Unidas. Asamblea de</w:t>
      </w:r>
      <w:r w:rsidR="00152623">
        <w:t xml:space="preserve"> la ONU</w:t>
      </w:r>
      <w:r>
        <w:t>. San Francisco, Estados Unidos,  26 de junio de 1945.</w:t>
      </w:r>
    </w:p>
    <w:p w:rsidR="0075369D" w:rsidRDefault="0075369D" w:rsidP="007C2A33">
      <w:pPr>
        <w:jc w:val="both"/>
      </w:pPr>
      <w:r>
        <w:t xml:space="preserve">Carvajal, Victoria. “El ejemplo de Quebec”. </w:t>
      </w:r>
      <w:r w:rsidRPr="00152623">
        <w:rPr>
          <w:i/>
        </w:rPr>
        <w:t>CNTXT</w:t>
      </w:r>
      <w:r>
        <w:t>, de 20 de septiembre de 2017. Recuperado de: https://ctxt.es/es/20170920/Politica/15020/Canada-Quebec-secesion-ley-consulta.htm</w:t>
      </w:r>
    </w:p>
    <w:p w:rsidR="0075369D" w:rsidRDefault="0075369D" w:rsidP="007C2A33">
      <w:pPr>
        <w:jc w:val="both"/>
      </w:pPr>
      <w:r>
        <w:t xml:space="preserve">Cembrero, I.” Ni siquiera Andorra: Solo Maduro y Kosovo dudan si reconocer la república catalana”. </w:t>
      </w:r>
      <w:r w:rsidRPr="00152623">
        <w:rPr>
          <w:i/>
        </w:rPr>
        <w:t>El Confidencial</w:t>
      </w:r>
      <w:r>
        <w:t>, de 25 de octubre de 2017. Recuperado de: https://www.elconfidencial.com/espana/2017-10-25/independencia-cataluna-maduro</w:t>
      </w:r>
      <w:r w:rsidR="00C73164">
        <w:t>-kosovo_1466357/</w:t>
      </w:r>
    </w:p>
    <w:p w:rsidR="0075369D" w:rsidRDefault="0075369D" w:rsidP="007C2A33">
      <w:pPr>
        <w:jc w:val="both"/>
      </w:pPr>
      <w:r w:rsidRPr="00152623">
        <w:rPr>
          <w:i/>
        </w:rPr>
        <w:t>ConstitutionActs 1867 to 1982</w:t>
      </w:r>
      <w:r>
        <w:t>. Juscice</w:t>
      </w:r>
      <w:r w:rsidR="00152623">
        <w:t xml:space="preserve"> </w:t>
      </w:r>
      <w:r>
        <w:t>laws</w:t>
      </w:r>
      <w:r w:rsidR="00152623">
        <w:t xml:space="preserve"> </w:t>
      </w:r>
      <w:r>
        <w:t>website, actualizado el 4 de mayo de 2018. Recuperado de: http://laws-lois.justice.gc.ca/eng/Const/page-2.html#docCont</w:t>
      </w:r>
    </w:p>
    <w:p w:rsidR="0075369D" w:rsidRDefault="0075369D" w:rsidP="007C2A33">
      <w:pPr>
        <w:jc w:val="both"/>
      </w:pPr>
      <w:r>
        <w:t xml:space="preserve">Cortizo, Gonzalo. “Todos los síndicos electorales del 1-O presentan su renuncia ante el Constitucional”. </w:t>
      </w:r>
      <w:r w:rsidRPr="00152623">
        <w:rPr>
          <w:i/>
        </w:rPr>
        <w:t>El Diario</w:t>
      </w:r>
      <w:r>
        <w:t>, de 22 de septiembre de 2017. Recuperado de: https://www.eldiario.es/politica/sindicos-electorales-presentan-renuncia-Constitucional_0_689431832.htm.</w:t>
      </w:r>
    </w:p>
    <w:p w:rsidR="0075369D" w:rsidRDefault="0075369D" w:rsidP="007C2A33">
      <w:pPr>
        <w:jc w:val="both"/>
      </w:pPr>
      <w:r>
        <w:t xml:space="preserve">Cruz Martín, Maria del Carmen. “Puigdemont anuncia el referéndum independentista unilateral para el 1 de octubre”. </w:t>
      </w:r>
      <w:r w:rsidRPr="00152623">
        <w:rPr>
          <w:i/>
        </w:rPr>
        <w:t>RTVE</w:t>
      </w:r>
      <w:r>
        <w:t>, de 9 de junio de 2017. Recuperado de: http://www.rtve.es/noticias/20170609/puigdemont-anuncia-referendum-independentista-unilateral-para-1-octubre/1562165.shtml.</w:t>
      </w:r>
    </w:p>
    <w:p w:rsidR="0075369D" w:rsidRDefault="0075369D" w:rsidP="007C2A33">
      <w:pPr>
        <w:jc w:val="both"/>
      </w:pPr>
      <w:r>
        <w:t xml:space="preserve">Cymerman, Henrique. “Israel evita pronunciarse sobre la independencia catalana”. </w:t>
      </w:r>
      <w:r w:rsidRPr="00152623">
        <w:rPr>
          <w:i/>
        </w:rPr>
        <w:t>La Vanguardia</w:t>
      </w:r>
      <w:r>
        <w:t>, de 29 de octubre de 2017. Recuperado de: http://www.lavanguardia.com/politica/20171029/432443107477/israel-declaracion-independencia-catalunya-netanyahu.html.</w:t>
      </w:r>
    </w:p>
    <w:p w:rsidR="0075369D" w:rsidRDefault="0075369D" w:rsidP="007C2A33">
      <w:pPr>
        <w:jc w:val="both"/>
      </w:pPr>
      <w:r>
        <w:t xml:space="preserve">Dietz, Bernd; López, Angel; Van Aertsselaer, Joanne Neff. “El pacto constitucional del </w:t>
      </w:r>
      <w:r w:rsidRPr="00152623">
        <w:t xml:space="preserve">Lago Meech” </w:t>
      </w:r>
      <w:r w:rsidRPr="00152623">
        <w:rPr>
          <w:i/>
        </w:rPr>
        <w:t>Revista española de estudios canadienses</w:t>
      </w:r>
      <w:r w:rsidRPr="00152623">
        <w:t>. Vol. 1.</w:t>
      </w:r>
      <w:r w:rsidR="00152623" w:rsidRPr="00152623">
        <w:t>Págs. 115-124</w:t>
      </w:r>
    </w:p>
    <w:p w:rsidR="0075369D" w:rsidRDefault="0075369D" w:rsidP="00D9475F">
      <w:r>
        <w:t>Domínguez, Iñigo. “El senado aprueba aplicar el artículo 155 en Cataluña</w:t>
      </w:r>
      <w:r w:rsidRPr="00152623">
        <w:t xml:space="preserve">”. </w:t>
      </w:r>
      <w:r w:rsidRPr="00152623">
        <w:rPr>
          <w:i/>
        </w:rPr>
        <w:t>El País</w:t>
      </w:r>
      <w:r w:rsidRPr="00152623">
        <w:t>.</w:t>
      </w:r>
      <w:r>
        <w:t xml:space="preserve"> de 27 de octubre de 2017.  Recuperado de: https://politica.elpais.com/politica/2017/10/27/actualidad/1509105725_777595.html.</w:t>
      </w:r>
    </w:p>
    <w:p w:rsidR="0075369D" w:rsidRDefault="0075369D" w:rsidP="007C2A33">
      <w:pPr>
        <w:jc w:val="both"/>
      </w:pPr>
      <w:r>
        <w:t xml:space="preserve">E.L. “JuntsxSí y la CUP pactan un referéndum como muy tarde en septiembre de 2017”.  </w:t>
      </w:r>
      <w:r w:rsidRPr="00152623">
        <w:rPr>
          <w:i/>
        </w:rPr>
        <w:t>El Español</w:t>
      </w:r>
      <w:r>
        <w:t>, de 5 de octubre de 2016. Recuperado de: https://www.elespanol.com/espana/politica/20161005/160734943_0.html)</w:t>
      </w:r>
    </w:p>
    <w:p w:rsidR="0075369D" w:rsidRDefault="0075369D" w:rsidP="007C2A33">
      <w:pPr>
        <w:jc w:val="both"/>
      </w:pPr>
      <w:r>
        <w:t xml:space="preserve">EFE. “Cameron y Salmond firman el acuerdo para el referéndum por la independencia de Escocia”. </w:t>
      </w:r>
      <w:r w:rsidRPr="00152623">
        <w:rPr>
          <w:i/>
        </w:rPr>
        <w:t>La Vanguardia</w:t>
      </w:r>
      <w:r>
        <w:t>, de 16 de octubre de 2012. Recuperado de: http://www.rtve.es/noticias/20140914/claves-del-referendum-independencia-escocia/1010400.shtml</w:t>
      </w:r>
    </w:p>
    <w:p w:rsidR="0075369D" w:rsidRDefault="0075369D" w:rsidP="00D9475F">
      <w:r>
        <w:t xml:space="preserve">EFE. “La comunidad internacional no reconoce la independencia de Cataluña”. </w:t>
      </w:r>
      <w:r w:rsidRPr="00152623">
        <w:rPr>
          <w:i/>
        </w:rPr>
        <w:t xml:space="preserve">Agencia EFE, de </w:t>
      </w:r>
      <w:r>
        <w:t>27 de octubre de 2017. Recuperado de: https://www.efe.com/efe/espana/portada/la-comunidad-internacional-no-reconoce-independencia-de-cataluna/10010-3421513)</w:t>
      </w:r>
    </w:p>
    <w:p w:rsidR="007C2A33" w:rsidRDefault="0075369D" w:rsidP="007C2A33">
      <w:pPr>
        <w:jc w:val="both"/>
      </w:pPr>
      <w:r>
        <w:t xml:space="preserve">EFE. “Rajoy amenaza con el 155: “Nos van a obligar a lo que no queremos llegar””. </w:t>
      </w:r>
      <w:r w:rsidRPr="00152623">
        <w:rPr>
          <w:i/>
        </w:rPr>
        <w:t>Infolibre,</w:t>
      </w:r>
      <w:r>
        <w:t xml:space="preserve"> de 15 de septiembre de 2017. </w:t>
      </w:r>
    </w:p>
    <w:p w:rsidR="0075369D" w:rsidRDefault="0075369D" w:rsidP="007C2A33">
      <w:r>
        <w:t xml:space="preserve">Recuperado de: </w:t>
      </w:r>
      <w:r w:rsidR="00C73164" w:rsidRPr="00C73164">
        <w:t>https://www.infolibre.es/noticias/politica/2017/09/15/rajoy_amenaza_puigdemont_con_155_nos_van_obligar_que_no_queremos_llegar_69595_1012.html</w:t>
      </w:r>
    </w:p>
    <w:p w:rsidR="00C73164" w:rsidRDefault="00C73164" w:rsidP="007C2A33">
      <w:pPr>
        <w:jc w:val="both"/>
      </w:pPr>
      <w:r>
        <w:t xml:space="preserve">“El holgado triunfo del “no” en Canadá aumenta la incertidumbre sobre el futuro de Quebec”. </w:t>
      </w:r>
      <w:r w:rsidRPr="00152623">
        <w:rPr>
          <w:i/>
        </w:rPr>
        <w:t>El País</w:t>
      </w:r>
      <w:r>
        <w:t>, de 28 de octubre de 1992. Recuperado de: https://elpais.com/diario/1992/10/28/internacional/720226822_850215.html.</w:t>
      </w:r>
    </w:p>
    <w:p w:rsidR="0075369D" w:rsidRDefault="0075369D" w:rsidP="007C2A33">
      <w:pPr>
        <w:jc w:val="both"/>
      </w:pPr>
      <w:r>
        <w:t xml:space="preserve">Esteruelas, Bosco. “Quebec rechaza por la mínima la secesión de Canadá”. </w:t>
      </w:r>
      <w:r w:rsidRPr="00152623">
        <w:rPr>
          <w:i/>
        </w:rPr>
        <w:t>El País</w:t>
      </w:r>
      <w:r>
        <w:t>,  de 1 de noviembre de 1995.</w:t>
      </w:r>
    </w:p>
    <w:p w:rsidR="0075369D" w:rsidRDefault="0075369D" w:rsidP="007C2A33">
      <w:pPr>
        <w:jc w:val="both"/>
      </w:pPr>
      <w:r>
        <w:t xml:space="preserve">Europa Press. “Artur Mas admite que Cataluña no está preparada “para la independencia real””. </w:t>
      </w:r>
      <w:r w:rsidRPr="00152623">
        <w:rPr>
          <w:i/>
        </w:rPr>
        <w:t>El mundo</w:t>
      </w:r>
      <w:r>
        <w:t>, de 6 de octubre de 2017 Recuperado de: http://www.elmundo.es/cataluna/2017/10/06/59d79e5046163f7a0a8b464c.html.</w:t>
      </w:r>
    </w:p>
    <w:p w:rsidR="0075369D" w:rsidRDefault="0075369D" w:rsidP="007C2A33">
      <w:pPr>
        <w:jc w:val="both"/>
      </w:pPr>
      <w:r>
        <w:t xml:space="preserve">Europa Press. “Consejero catalán sitúa el derecho a la autodeterminación “por encima de las constituciones””. </w:t>
      </w:r>
      <w:r w:rsidRPr="00152623">
        <w:rPr>
          <w:i/>
        </w:rPr>
        <w:t>El Diario</w:t>
      </w:r>
      <w:r>
        <w:t>, de 25 de septiembre de 2017. Recuperado de: https://www.eldiario.es/politica/Consejero-catalan-derecho-autodeterminacion-constituciones_0_690481418.html</w:t>
      </w:r>
    </w:p>
    <w:p w:rsidR="0075369D" w:rsidRDefault="0075369D" w:rsidP="007C2A33">
      <w:pPr>
        <w:jc w:val="both"/>
      </w:pPr>
      <w:r>
        <w:t>Europa Press. “El Parlament aprueba la sindicatura electoral para el referéndum”.</w:t>
      </w:r>
      <w:r w:rsidRPr="00152623">
        <w:rPr>
          <w:i/>
        </w:rPr>
        <w:t xml:space="preserve"> El Diario</w:t>
      </w:r>
      <w:r>
        <w:t>, de 7 de septiembre de 2017. Recuperado de: https://www.eldiario.es/politica/Parlament-aprueba-Sindicatura-Electoral-referendum_0_684181600.html.</w:t>
      </w:r>
    </w:p>
    <w:p w:rsidR="0075369D" w:rsidRDefault="0075369D" w:rsidP="007C2A33">
      <w:pPr>
        <w:jc w:val="both"/>
      </w:pPr>
      <w:r>
        <w:t xml:space="preserve">F.J.P. “400 profesores de Derecho Internacional desmontan los argumentos del referéndum catalán”. </w:t>
      </w:r>
      <w:r w:rsidRPr="00152623">
        <w:rPr>
          <w:i/>
        </w:rPr>
        <w:t>El País</w:t>
      </w:r>
      <w:r>
        <w:t>, de 26 de septiembre de 2017. Recuperado de: https://politica.elpais.com/politica/2017/09/26/actualidad/1506424550_261561.html.</w:t>
      </w:r>
    </w:p>
    <w:p w:rsidR="0075369D" w:rsidRDefault="0075369D" w:rsidP="007C2A33">
      <w:pPr>
        <w:jc w:val="both"/>
      </w:pPr>
      <w:r>
        <w:t>Facal, Joseph. “Référendum catalán: 10 différencesavec le Quebe</w:t>
      </w:r>
      <w:r w:rsidRPr="00152623">
        <w:t xml:space="preserve">c”. </w:t>
      </w:r>
      <w:r w:rsidRPr="00152623">
        <w:rPr>
          <w:i/>
        </w:rPr>
        <w:t>Le journal de Montréal</w:t>
      </w:r>
      <w:r>
        <w:t>, de 24 de septiembre de 2017.</w:t>
      </w:r>
    </w:p>
    <w:p w:rsidR="0075369D" w:rsidRDefault="0075369D" w:rsidP="007C2A33">
      <w:pPr>
        <w:jc w:val="both"/>
      </w:pPr>
      <w:r>
        <w:t xml:space="preserve">García, Fernando. “Ban Ki Mun: “Cataluña no está en la categoría de territorios con derecho a la autodeterminación””. </w:t>
      </w:r>
      <w:r w:rsidRPr="00152623">
        <w:rPr>
          <w:i/>
        </w:rPr>
        <w:t>La Vanguardia</w:t>
      </w:r>
      <w:r>
        <w:t>, de 31 de octubre de 2015. Recuperado de: http://www.lavanguardia.com/politica/20151030/54438498099/ban-ki-moon-catalunya-derecho-autodeterminacion.html.</w:t>
      </w:r>
    </w:p>
    <w:p w:rsidR="0075369D" w:rsidRDefault="0075369D" w:rsidP="007C2A33">
      <w:pPr>
        <w:jc w:val="both"/>
      </w:pPr>
      <w:r>
        <w:t xml:space="preserve">García, Luis B. “La generalitat abre el registro de voluntarios para el 1-O en una web del referéndum”. </w:t>
      </w:r>
      <w:r w:rsidRPr="00152623">
        <w:rPr>
          <w:i/>
        </w:rPr>
        <w:t>La Vanguardia</w:t>
      </w:r>
      <w:r w:rsidR="00152623">
        <w:rPr>
          <w:i/>
        </w:rPr>
        <w:t>,</w:t>
      </w:r>
      <w:r>
        <w:t xml:space="preserve"> de 7 de septiembre de 2017. Recuperado de: http://www.lavanguardia.com/politica/20170907/431104658593/registro-voluntarios-referendum-1-o-web.html.</w:t>
      </w:r>
    </w:p>
    <w:p w:rsidR="0075369D" w:rsidRDefault="0075369D" w:rsidP="007C2A33">
      <w:pPr>
        <w:jc w:val="both"/>
      </w:pPr>
      <w:r>
        <w:t xml:space="preserve">Gómez Barrios, Manuel. “La crisis constitucional entre Canadá y Quebec persiste”. </w:t>
      </w:r>
      <w:r w:rsidRPr="00152623">
        <w:rPr>
          <w:i/>
        </w:rPr>
        <w:t>Radio Canadá Internacional</w:t>
      </w:r>
      <w:r>
        <w:t>, de 1 de junio de 2017. Recuperado de: http://www.rcinet.ca/es/2017/06/01/la-crisis-constitucional-entre-canada-y-quebec-persiste/.</w:t>
      </w:r>
    </w:p>
    <w:p w:rsidR="0075369D" w:rsidRDefault="0075369D" w:rsidP="007C2A33">
      <w:pPr>
        <w:jc w:val="both"/>
      </w:pPr>
      <w:r>
        <w:t xml:space="preserve">González, Miguel. “Puigdemont plantea un referéndum sin urnas trasparentes ni cabinas”. </w:t>
      </w:r>
      <w:r w:rsidRPr="00152623">
        <w:rPr>
          <w:i/>
        </w:rPr>
        <w:t>El País</w:t>
      </w:r>
      <w:r>
        <w:t>, de 21 de septiembre de 2017. Recuperado de: https://politica.elpais.com/politica/2017/09/12/actualidad/1505224275_636827.html.</w:t>
      </w:r>
    </w:p>
    <w:p w:rsidR="0075369D" w:rsidRDefault="0075369D" w:rsidP="007C2A33">
      <w:pPr>
        <w:jc w:val="both"/>
      </w:pPr>
      <w:r>
        <w:t>González, Ricard. “Cuatro siglos de historia de Quebe</w:t>
      </w:r>
      <w:r w:rsidRPr="00152623">
        <w:t xml:space="preserve">c”. </w:t>
      </w:r>
      <w:r w:rsidRPr="00152623">
        <w:rPr>
          <w:i/>
        </w:rPr>
        <w:t>El Mundo</w:t>
      </w:r>
      <w:r>
        <w:t>, de 30 de octubre de 2009.</w:t>
      </w:r>
    </w:p>
    <w:p w:rsidR="0075369D" w:rsidRDefault="0075369D" w:rsidP="007C2A33">
      <w:pPr>
        <w:jc w:val="both"/>
      </w:pPr>
      <w:r>
        <w:t xml:space="preserve">Gonzalez, Rosario., Cortés, Iker, Reino, Cristian., Vega, Nuria., Beltrán, Oscar. “Puigdemont: “Cataluña se ha ganado el derecho a ser un estado independiente””. </w:t>
      </w:r>
      <w:r w:rsidRPr="00152623">
        <w:rPr>
          <w:i/>
        </w:rPr>
        <w:t>Las provincias</w:t>
      </w:r>
      <w:r>
        <w:t>, de 2 de octubre de 2017. Recuperado de: http://www.lasprovincias.es/politica/intervencion-mossos-colegios-electorales-20171001064042-ntrc.html</w:t>
      </w:r>
    </w:p>
    <w:p w:rsidR="0075369D" w:rsidRDefault="0075369D" w:rsidP="007C2A33">
      <w:pPr>
        <w:jc w:val="both"/>
      </w:pPr>
      <w:r>
        <w:t xml:space="preserve">Guindal, Carlota. “LLarena confirma el procesamiento por rebelión contra la cúpula del “procés” y abre la puerta a la sedición”. </w:t>
      </w:r>
      <w:r w:rsidRPr="00152623">
        <w:rPr>
          <w:i/>
        </w:rPr>
        <w:t>RTVE</w:t>
      </w:r>
      <w:r>
        <w:t>, de 9 de mayo de 2018. Recuperado de: http://www.lavanguardia.com/politica/20180509/443452071341/llarena-confirma-procesamiento-rebelion.html.</w:t>
      </w:r>
    </w:p>
    <w:p w:rsidR="0075369D" w:rsidRDefault="0075369D" w:rsidP="007C2A33">
      <w:pPr>
        <w:jc w:val="both"/>
      </w:pPr>
      <w:r w:rsidRPr="0075369D">
        <w:rPr>
          <w:lang w:val="en-US"/>
        </w:rPr>
        <w:t xml:space="preserve">Judgements of the Supreme Court of Canada.  Supreme Court Judgement num.25506 reference re Secession of Quebec. </w:t>
      </w:r>
      <w:r>
        <w:t>20 de agosto de 1998.</w:t>
      </w:r>
    </w:p>
    <w:p w:rsidR="0033691D" w:rsidRDefault="0033691D" w:rsidP="007C2A33">
      <w:pPr>
        <w:jc w:val="both"/>
      </w:pPr>
      <w:r>
        <w:t xml:space="preserve">“La CUP anuncia que abandona el Parlament hasta la declaración efectiva de la independencia”. </w:t>
      </w:r>
      <w:r w:rsidRPr="00152623">
        <w:rPr>
          <w:i/>
        </w:rPr>
        <w:t>El Diario</w:t>
      </w:r>
      <w:r>
        <w:t xml:space="preserve">, de 10 de octubre de 2017. Recuperado de: https://www.eldiario.es/catalunya/politica/MINUTO-Diada_13_685361458_13621.html.   </w:t>
      </w:r>
    </w:p>
    <w:p w:rsidR="0033691D" w:rsidRDefault="0033691D" w:rsidP="00D9475F">
      <w:r>
        <w:t xml:space="preserve">“Las cargas policiales y la insólita votación marcan la jornada en Cataluña”. </w:t>
      </w:r>
      <w:r w:rsidRPr="00152623">
        <w:rPr>
          <w:i/>
        </w:rPr>
        <w:t>Agencia EFE</w:t>
      </w:r>
      <w:r>
        <w:t xml:space="preserve">, 1 de octubre de 2017. Recuperado de: </w:t>
      </w:r>
      <w:r w:rsidRPr="0033691D">
        <w:t>https://www.efe.com/efe/espana/politica/las-cargas-policiales-y-la-insolita-votacion-marcan-jornada-en-cataluna/10002-3395717</w:t>
      </w:r>
      <w:r>
        <w:t>.</w:t>
      </w:r>
    </w:p>
    <w:p w:rsidR="0033691D" w:rsidRDefault="0033691D" w:rsidP="007C2A33">
      <w:pPr>
        <w:jc w:val="both"/>
      </w:pPr>
      <w:r>
        <w:t xml:space="preserve">“Las fuentes del derecho canadiense”, 2007. Organización de Estados Americanos. Recuperado de: </w:t>
      </w:r>
      <w:r w:rsidR="009A5350" w:rsidRPr="00152623">
        <w:t>https://www.oas.org/juridico/mla/sp/can/sp_can_fuentes.html</w:t>
      </w:r>
      <w:r w:rsidR="00152623">
        <w:t>.</w:t>
      </w:r>
    </w:p>
    <w:p w:rsidR="009A5350" w:rsidRDefault="009A5350" w:rsidP="007C2A33">
      <w:pPr>
        <w:jc w:val="both"/>
      </w:pPr>
      <w:r>
        <w:t xml:space="preserve">“La CUP presiona a Puigdemont: “Si van a seguir aplicando el 155, que lo hagan con la República declarada””. </w:t>
      </w:r>
      <w:r w:rsidRPr="00152623">
        <w:rPr>
          <w:i/>
        </w:rPr>
        <w:t>Diario Crítico</w:t>
      </w:r>
      <w:r>
        <w:t>, de 13 de septiembre de 2017. Recuperado de: https://www.diariocritico.com/carta-cup-carles-puigdemont-proclamacion-republica-respuesta-requerimiento.</w:t>
      </w:r>
    </w:p>
    <w:p w:rsidR="0075369D" w:rsidRPr="00054441" w:rsidRDefault="0075369D" w:rsidP="007C2A33">
      <w:pPr>
        <w:jc w:val="both"/>
        <w:rPr>
          <w:color w:val="FF0000"/>
        </w:rPr>
      </w:pPr>
      <w:r>
        <w:t xml:space="preserve">Ley 10/1995, de 23 de noviembre, del Código Penal. </w:t>
      </w:r>
      <w:r w:rsidR="00152623" w:rsidRPr="00152623">
        <w:t>BOE nú</w:t>
      </w:r>
      <w:r w:rsidRPr="00152623">
        <w:t>m.</w:t>
      </w:r>
      <w:r>
        <w:t xml:space="preserve"> 281, de 24 de mayo de 1996.</w:t>
      </w:r>
    </w:p>
    <w:p w:rsidR="0075369D" w:rsidRDefault="0075369D" w:rsidP="007C2A33">
      <w:pPr>
        <w:jc w:val="both"/>
      </w:pPr>
      <w:r>
        <w:t xml:space="preserve">Ley 10/2014, de 26 de septiembre, de consultas populares no referendarias y otras formas de participación ciudadana. </w:t>
      </w:r>
      <w:r w:rsidR="00152623" w:rsidRPr="00152623">
        <w:t>BOE núm</w:t>
      </w:r>
      <w:r>
        <w:t>.</w:t>
      </w:r>
      <w:r w:rsidR="00425C16">
        <w:t xml:space="preserve"> </w:t>
      </w:r>
      <w:r>
        <w:t>64, de 16 de marzo de 2015.</w:t>
      </w:r>
    </w:p>
    <w:p w:rsidR="0075369D" w:rsidRPr="00B07019" w:rsidRDefault="0075369D" w:rsidP="007C2A33">
      <w:pPr>
        <w:jc w:val="both"/>
        <w:rPr>
          <w:szCs w:val="24"/>
        </w:rPr>
      </w:pPr>
      <w:r w:rsidRPr="00B07019">
        <w:rPr>
          <w:szCs w:val="24"/>
        </w:rPr>
        <w:t xml:space="preserve">Ley 19/2017, de 6 de septiembre, de referéndum de autodeterminación. </w:t>
      </w:r>
      <w:r w:rsidR="00B07019" w:rsidRPr="00B07019">
        <w:rPr>
          <w:szCs w:val="24"/>
        </w:rPr>
        <w:t xml:space="preserve">DOGC núm. </w:t>
      </w:r>
      <w:r w:rsidRPr="00B07019">
        <w:rPr>
          <w:szCs w:val="24"/>
        </w:rPr>
        <w:t>7449ª, de 6 de septiembre de 2017</w:t>
      </w:r>
    </w:p>
    <w:p w:rsidR="0075369D" w:rsidRDefault="0075369D" w:rsidP="007C2A33">
      <w:pPr>
        <w:jc w:val="both"/>
      </w:pPr>
      <w:r>
        <w:t xml:space="preserve">Ley 2/1980, de 18 de enero, sobre las distintas modalidades de referéndum. </w:t>
      </w:r>
      <w:r w:rsidR="00425C16" w:rsidRPr="00152623">
        <w:t>BOE núm</w:t>
      </w:r>
      <w:r>
        <w:t>. 20, de 23 de enero de 1980.</w:t>
      </w:r>
    </w:p>
    <w:p w:rsidR="00C73164" w:rsidRPr="00B07019" w:rsidRDefault="00C73164" w:rsidP="007C2A33">
      <w:pPr>
        <w:jc w:val="both"/>
        <w:rPr>
          <w:szCs w:val="24"/>
        </w:rPr>
      </w:pPr>
      <w:r w:rsidRPr="00B07019">
        <w:rPr>
          <w:szCs w:val="24"/>
        </w:rPr>
        <w:t xml:space="preserve">Ley 20/2017, de 8 de septiembre, de transitoriedad jurídica y fundacional de la República. </w:t>
      </w:r>
      <w:r w:rsidR="00B07019" w:rsidRPr="00B07019">
        <w:rPr>
          <w:szCs w:val="24"/>
        </w:rPr>
        <w:t xml:space="preserve">DOGC núm. </w:t>
      </w:r>
      <w:r w:rsidRPr="00B07019">
        <w:rPr>
          <w:szCs w:val="24"/>
        </w:rPr>
        <w:t>7451A, de 8 de septiembre de 2017.</w:t>
      </w:r>
    </w:p>
    <w:p w:rsidR="0075369D" w:rsidRDefault="0075369D" w:rsidP="007C2A33">
      <w:pPr>
        <w:jc w:val="both"/>
      </w:pPr>
      <w:r>
        <w:t xml:space="preserve">Ley 23/1998, de 30 de diciembre, de Estadística de Cataluña. </w:t>
      </w:r>
      <w:r w:rsidR="00425C16" w:rsidRPr="00152623">
        <w:t>BOE núm</w:t>
      </w:r>
      <w:r w:rsidR="00425C16">
        <w:t xml:space="preserve">. </w:t>
      </w:r>
      <w:r>
        <w:t>28, de 2 de febrero de 1999.</w:t>
      </w:r>
    </w:p>
    <w:p w:rsidR="0033691D" w:rsidRDefault="0033691D" w:rsidP="007C2A33">
      <w:pPr>
        <w:jc w:val="both"/>
      </w:pPr>
      <w:r>
        <w:t xml:space="preserve">Ley 5/1985, de 19 de junio, del Régimen Electoral General. </w:t>
      </w:r>
      <w:r w:rsidR="00425C16" w:rsidRPr="00152623">
        <w:t>BOE núm</w:t>
      </w:r>
      <w:r w:rsidR="009A5350">
        <w:t>. 147, de 20 de junio de 1985.</w:t>
      </w:r>
    </w:p>
    <w:p w:rsidR="0075369D" w:rsidRDefault="0075369D" w:rsidP="007C2A33">
      <w:pPr>
        <w:jc w:val="both"/>
      </w:pPr>
      <w:r>
        <w:t xml:space="preserve">Ley 9/2008, de 27 de junio, de convocatoria y regulación de una consulta popular al objeto de recabar la opinión ciudadana en la Comunidad Autónoma del País Vasco sobre la apertura de un proceso de negociación para alcanzar la paz y la normalización politica. </w:t>
      </w:r>
      <w:r w:rsidR="00425C16" w:rsidRPr="00152623">
        <w:t>BOE núm</w:t>
      </w:r>
      <w:r w:rsidR="00425C16">
        <w:t xml:space="preserve">. </w:t>
      </w:r>
      <w:r>
        <w:t>134, de 15 de julio de 2008.</w:t>
      </w:r>
    </w:p>
    <w:p w:rsidR="0075369D" w:rsidRDefault="0075369D" w:rsidP="007C2A33">
      <w:pPr>
        <w:jc w:val="both"/>
      </w:pPr>
      <w:r>
        <w:t xml:space="preserve">Ley Orgánica 1/2011, de 28 de enero, de reforma Estatuto de Autonomía de Extremadura. </w:t>
      </w:r>
      <w:r w:rsidR="00425C16" w:rsidRPr="00152623">
        <w:t>BOE núm</w:t>
      </w:r>
      <w:r w:rsidR="00425C16">
        <w:t xml:space="preserve">. </w:t>
      </w:r>
      <w:r>
        <w:t>25, de 29 de enero de 2011.</w:t>
      </w:r>
    </w:p>
    <w:p w:rsidR="0075369D" w:rsidRDefault="0075369D" w:rsidP="007C2A33">
      <w:pPr>
        <w:jc w:val="both"/>
      </w:pPr>
      <w:r>
        <w:t xml:space="preserve">Ley Orgánica 10/1982, de 10 de agosto, del Estatuto de Autonomía de Canarias. </w:t>
      </w:r>
      <w:r w:rsidR="00425C16" w:rsidRPr="00152623">
        <w:t>BOE núm</w:t>
      </w:r>
      <w:r w:rsidR="00425C16">
        <w:t xml:space="preserve">. </w:t>
      </w:r>
      <w:r>
        <w:t>195, de 16 de agosto de 1982.</w:t>
      </w:r>
    </w:p>
    <w:p w:rsidR="0075369D" w:rsidRDefault="0075369D" w:rsidP="007C2A33">
      <w:pPr>
        <w:jc w:val="both"/>
      </w:pPr>
      <w:r>
        <w:t xml:space="preserve">Ley Orgánica 2/2007, de 19 de marzo,  de reforma Estatuto de Autonomía de Andalucía. </w:t>
      </w:r>
      <w:r w:rsidR="00425C16" w:rsidRPr="00152623">
        <w:t>BOE núm</w:t>
      </w:r>
      <w:r w:rsidR="00425C16">
        <w:t xml:space="preserve">. </w:t>
      </w:r>
      <w:r>
        <w:t>68, de 20 de marzo de 2007</w:t>
      </w:r>
    </w:p>
    <w:p w:rsidR="0075369D" w:rsidRDefault="0075369D" w:rsidP="007C2A33">
      <w:pPr>
        <w:jc w:val="both"/>
      </w:pPr>
      <w:r>
        <w:t xml:space="preserve">Ley Orgánica 3/1982, de 9 de junio, del Estatuto de Autonomía de La Rioja. </w:t>
      </w:r>
      <w:r w:rsidR="00425C16" w:rsidRPr="00152623">
        <w:t>BOE núm</w:t>
      </w:r>
      <w:r w:rsidR="00425C16">
        <w:t xml:space="preserve">. </w:t>
      </w:r>
      <w:r>
        <w:t>146, de 19 de junio de 1982.</w:t>
      </w:r>
    </w:p>
    <w:p w:rsidR="0075369D" w:rsidRDefault="0075369D" w:rsidP="007C2A33">
      <w:pPr>
        <w:jc w:val="both"/>
      </w:pPr>
      <w:r>
        <w:t xml:space="preserve">Ley Orgánica 6/2006, de 19 de julio, de reforma Estatuto de Autonomía de Cataluña. </w:t>
      </w:r>
      <w:r w:rsidR="00425C16" w:rsidRPr="00152623">
        <w:t>BOE núm</w:t>
      </w:r>
      <w:r w:rsidR="00425C16">
        <w:t xml:space="preserve">. </w:t>
      </w:r>
      <w:r>
        <w:t>172, de 20 de julio de 2006.</w:t>
      </w:r>
    </w:p>
    <w:p w:rsidR="0033691D" w:rsidRPr="00794368" w:rsidRDefault="0033691D" w:rsidP="007C2A33">
      <w:pPr>
        <w:jc w:val="both"/>
      </w:pPr>
      <w:r>
        <w:t xml:space="preserve">Ley Orgánica 7/1981 de 30 de diciembre, del Estatuto de Autonomía de Asturias. </w:t>
      </w:r>
      <w:r w:rsidR="00425C16" w:rsidRPr="00152623">
        <w:t>BOE núm</w:t>
      </w:r>
      <w:r w:rsidR="00425C16">
        <w:t xml:space="preserve">. </w:t>
      </w:r>
      <w:r w:rsidRPr="00794368">
        <w:t>9, de 11 de enero de 1982.</w:t>
      </w:r>
    </w:p>
    <w:p w:rsidR="0075369D" w:rsidRDefault="0075369D" w:rsidP="007C2A33">
      <w:pPr>
        <w:jc w:val="both"/>
      </w:pPr>
      <w:r>
        <w:t>Loi sur l’avenir du Quebec. Editeurofficiel du Quebec, proyecto de ley num. 1 de 1995.  Anexo.</w:t>
      </w:r>
    </w:p>
    <w:p w:rsidR="0075369D" w:rsidRPr="00054441" w:rsidRDefault="0075369D" w:rsidP="007C2A33">
      <w:pPr>
        <w:jc w:val="both"/>
        <w:rPr>
          <w:color w:val="FF0000"/>
        </w:rPr>
      </w:pPr>
      <w:r>
        <w:t xml:space="preserve">López González, José Luis 2005. </w:t>
      </w:r>
      <w:r w:rsidRPr="00425C16">
        <w:rPr>
          <w:i/>
        </w:rPr>
        <w:t xml:space="preserve">El referéndum en el sistema español de participación política. </w:t>
      </w:r>
      <w:r>
        <w:t xml:space="preserve">Valencia. Universidad Politécnica de Valencia. </w:t>
      </w:r>
    </w:p>
    <w:p w:rsidR="0075369D" w:rsidRDefault="0075369D" w:rsidP="007C2A33">
      <w:pPr>
        <w:jc w:val="both"/>
      </w:pPr>
      <w:r>
        <w:t xml:space="preserve">Luna Fernández, Fernando. “Cataluña no es Quebec ni Escocia”. </w:t>
      </w:r>
      <w:r w:rsidRPr="00425C16">
        <w:rPr>
          <w:i/>
        </w:rPr>
        <w:t>Hoy</w:t>
      </w:r>
      <w:r>
        <w:t>, de 27 de septiembre de 2015.</w:t>
      </w:r>
    </w:p>
    <w:p w:rsidR="007C2A33" w:rsidRDefault="0075369D" w:rsidP="007C2A33">
      <w:pPr>
        <w:jc w:val="both"/>
      </w:pPr>
      <w:r w:rsidRPr="0075369D">
        <w:rPr>
          <w:lang w:val="en-US"/>
        </w:rPr>
        <w:t xml:space="preserve">Maciness, Allan. “Acts of Union, The creation of the United Kingdom”. </w:t>
      </w:r>
      <w:r w:rsidRPr="00425C16">
        <w:rPr>
          <w:i/>
        </w:rPr>
        <w:t>BBC,</w:t>
      </w:r>
      <w:r>
        <w:t xml:space="preserve"> de 17 de febrero de 2011. </w:t>
      </w:r>
    </w:p>
    <w:p w:rsidR="0075369D" w:rsidRDefault="0075369D" w:rsidP="007C2A33">
      <w:r>
        <w:t>Recuperado de: http://www.bbc.co.uk/history/british/empire_seapower/acts_of_union_01.shtml</w:t>
      </w:r>
    </w:p>
    <w:p w:rsidR="0075369D" w:rsidRDefault="0075369D" w:rsidP="007C2A33">
      <w:pPr>
        <w:jc w:val="both"/>
      </w:pPr>
      <w:r>
        <w:t xml:space="preserve">Marcos, Pilar. “El PP recurre al Constitucional el Estatuto catalán “para impedir un daño irreparable””. </w:t>
      </w:r>
      <w:bookmarkStart w:id="0" w:name="_GoBack"/>
      <w:r w:rsidRPr="00425C16">
        <w:rPr>
          <w:i/>
        </w:rPr>
        <w:t>El País</w:t>
      </w:r>
      <w:bookmarkEnd w:id="0"/>
      <w:r>
        <w:t>, 1 de agosto de 2006. Recuperado de: https://elpais.com/diario/2006/08/01/espana/1154383213_850215.html.</w:t>
      </w:r>
    </w:p>
    <w:p w:rsidR="0075369D" w:rsidRDefault="0075369D" w:rsidP="007C2A33">
      <w:pPr>
        <w:jc w:val="both"/>
      </w:pPr>
      <w:r>
        <w:t xml:space="preserve">Menéndez, María. “El Parlament declara la independencia de Cataluña de forma unilateral e inicia el camino hacia la República”. </w:t>
      </w:r>
      <w:r w:rsidRPr="007C2A33">
        <w:rPr>
          <w:i/>
        </w:rPr>
        <w:t>RTVE</w:t>
      </w:r>
      <w:r>
        <w:t>, de 27 de octubre de 2017. Recuperado de: http://www.rtve.es/noticias/20171027/parlament-declara-independencia-cataluna/1630750.shtml).</w:t>
      </w:r>
    </w:p>
    <w:p w:rsidR="0075369D" w:rsidRPr="0075369D" w:rsidRDefault="0075369D" w:rsidP="007C2A33">
      <w:pPr>
        <w:jc w:val="both"/>
        <w:rPr>
          <w:lang w:val="en-US"/>
        </w:rPr>
      </w:pPr>
      <w:r w:rsidRPr="0075369D">
        <w:rPr>
          <w:lang w:val="en-US"/>
        </w:rPr>
        <w:t xml:space="preserve">Montgomery, Marc. “History: Oct 30, 1995 The day “Canada” almost disappeared” </w:t>
      </w:r>
      <w:r w:rsidRPr="007C2A33">
        <w:rPr>
          <w:i/>
          <w:lang w:val="en-US"/>
        </w:rPr>
        <w:t>Radio Canadá</w:t>
      </w:r>
      <w:r w:rsidR="007C2A33" w:rsidRPr="007C2A33">
        <w:rPr>
          <w:i/>
          <w:lang w:val="en-US"/>
        </w:rPr>
        <w:t xml:space="preserve"> </w:t>
      </w:r>
      <w:r w:rsidRPr="007C2A33">
        <w:rPr>
          <w:i/>
          <w:lang w:val="en-US"/>
        </w:rPr>
        <w:t>Internacional</w:t>
      </w:r>
      <w:r w:rsidRPr="0075369D">
        <w:rPr>
          <w:lang w:val="en-US"/>
        </w:rPr>
        <w:t>, de 30 de octubre de 2015</w:t>
      </w:r>
    </w:p>
    <w:p w:rsidR="0075369D" w:rsidRPr="0075369D" w:rsidRDefault="0075369D" w:rsidP="007C2A33">
      <w:pPr>
        <w:jc w:val="both"/>
        <w:rPr>
          <w:lang w:val="en-US"/>
        </w:rPr>
      </w:pPr>
      <w:r w:rsidRPr="0075369D">
        <w:rPr>
          <w:lang w:val="en-US"/>
        </w:rPr>
        <w:t>Nation Motion. House of Commons of Canada, 39th parliament, 1st session de 27 de noviembre de 2006.</w:t>
      </w:r>
    </w:p>
    <w:p w:rsidR="0075369D" w:rsidRDefault="0075369D" w:rsidP="00D9475F">
      <w:r>
        <w:t xml:space="preserve">Noguer, Miquel.”JuntspelSì detalla su plan para convencer a los indecisos”.  </w:t>
      </w:r>
      <w:r w:rsidRPr="007C2A33">
        <w:rPr>
          <w:i/>
        </w:rPr>
        <w:t>El País</w:t>
      </w:r>
      <w:r>
        <w:t>, de 4 de septiembre de 2015. Recuperado de: https://elpais.com/ccaa/2015/09/04/catalunya/1441366681_866291.html.</w:t>
      </w:r>
    </w:p>
    <w:p w:rsidR="0075369D" w:rsidRDefault="0075369D" w:rsidP="00D9475F">
      <w:r>
        <w:t xml:space="preserve">Oppenheimer, Walter. “Histórico triunfo independentista en Escocia”. </w:t>
      </w:r>
      <w:r w:rsidRPr="007C2A33">
        <w:rPr>
          <w:i/>
        </w:rPr>
        <w:t>El País</w:t>
      </w:r>
      <w:r>
        <w:t xml:space="preserve">, de 6 de mayo de 2011. Recuperado de: </w:t>
      </w:r>
      <w:r w:rsidR="0033691D" w:rsidRPr="0033691D">
        <w:t>https://elpais.com/internacional/2011/05/06/actualidad/1304632806_850215.html</w:t>
      </w:r>
      <w:r w:rsidR="0033691D">
        <w:t>.</w:t>
      </w:r>
    </w:p>
    <w:p w:rsidR="0033691D" w:rsidRDefault="0033691D" w:rsidP="00D9475F">
      <w:pPr>
        <w:jc w:val="both"/>
      </w:pPr>
      <w:r>
        <w:t>Organización Naciones Unidas 2008. Recuperado de: http://www.un.org/es/decolonization/nonselfgovterritories.shtml.</w:t>
      </w:r>
    </w:p>
    <w:p w:rsidR="0033691D" w:rsidRDefault="0033691D" w:rsidP="007C2A33">
      <w:pPr>
        <w:jc w:val="both"/>
      </w:pPr>
      <w:r>
        <w:t xml:space="preserve">“Parizeaudépose le Project de loi sur l’avenir du Quebec”. </w:t>
      </w:r>
      <w:r w:rsidRPr="007C2A33">
        <w:rPr>
          <w:i/>
        </w:rPr>
        <w:t>Radio Canadá</w:t>
      </w:r>
      <w:r>
        <w:t>, de 7 de septiembre de 1995. Recuperado de: http://archives.radio-canada.ca/sports/provincial_territorial/clips/12179/</w:t>
      </w:r>
    </w:p>
    <w:p w:rsidR="0075369D" w:rsidRDefault="0075369D" w:rsidP="007C2A33">
      <w:pPr>
        <w:jc w:val="both"/>
      </w:pPr>
      <w:r>
        <w:t xml:space="preserve">Pérez Fernando, Díez Anabel. “El Gobierno recurre la ley de ruptura catalana por “autocrática” y “totalitaria””. </w:t>
      </w:r>
      <w:r w:rsidRPr="007C2A33">
        <w:rPr>
          <w:i/>
        </w:rPr>
        <w:t>El País</w:t>
      </w:r>
      <w:r>
        <w:t>, 11 de septiembre de 2017. Recuperado de: https://politica.elpais.com/politica/2017/09/11/actualidad/1505148719_456409.html.</w:t>
      </w:r>
    </w:p>
    <w:p w:rsidR="0075369D" w:rsidRDefault="0075369D" w:rsidP="007C2A33">
      <w:pPr>
        <w:jc w:val="both"/>
      </w:pPr>
      <w:r>
        <w:t xml:space="preserve">Pérez Sola, Nicolás 1994. </w:t>
      </w:r>
      <w:r w:rsidRPr="007C2A33">
        <w:rPr>
          <w:i/>
        </w:rPr>
        <w:t>La regulación constitucional del referéndum</w:t>
      </w:r>
      <w:r>
        <w:t>. Jaén, Secretariado de publicaciones de la Universidad de Jaén.</w:t>
      </w:r>
    </w:p>
    <w:p w:rsidR="0075369D" w:rsidRDefault="0075369D" w:rsidP="00D9475F">
      <w:r>
        <w:t xml:space="preserve">Pérez, L., Terrasa, R., Garcés, C. “El referéndum de Cataluña en vivo: Junqueras anuncia un 90% de “síes” entre las 2.262.424 papeletas contadas”. </w:t>
      </w:r>
      <w:r w:rsidRPr="007C2A33">
        <w:rPr>
          <w:i/>
        </w:rPr>
        <w:t>El Mundo</w:t>
      </w:r>
      <w:r w:rsidR="007C2A33">
        <w:rPr>
          <w:i/>
        </w:rPr>
        <w:t>,</w:t>
      </w:r>
      <w:r>
        <w:t xml:space="preserve"> de 1 de octubre de 2017. Recuperado de: http://www.elmundo.es/cataluna/2017/10/01/59d0502d268e3e802e8b461a.html.</w:t>
      </w:r>
    </w:p>
    <w:p w:rsidR="0075369D" w:rsidRDefault="0075369D" w:rsidP="007C2A33">
      <w:pPr>
        <w:jc w:val="both"/>
      </w:pPr>
      <w:r>
        <w:t xml:space="preserve">Providencia del Tribunal Constitucional de 7/09/2017 respecto al Recurso de inconstitucionalidad 4334-2017. </w:t>
      </w:r>
      <w:r w:rsidR="007C2A33" w:rsidRPr="00152623">
        <w:t>BOE núm</w:t>
      </w:r>
      <w:r w:rsidR="007C2A33">
        <w:t>.</w:t>
      </w:r>
      <w:r>
        <w:t xml:space="preserve"> 216, de 8 de septiembre de 2017.</w:t>
      </w:r>
    </w:p>
    <w:p w:rsidR="00C73164" w:rsidRDefault="00C73164" w:rsidP="007C2A33">
      <w:pPr>
        <w:jc w:val="both"/>
      </w:pPr>
      <w:r>
        <w:t>Real Academia Española 2018, Diccionario de la Lengua Española, Recuperado de: http://dle.rae.es/?id=VcEQ6Jm.</w:t>
      </w:r>
    </w:p>
    <w:p w:rsidR="0075369D" w:rsidRDefault="0075369D" w:rsidP="007C2A33">
      <w:pPr>
        <w:jc w:val="both"/>
      </w:pPr>
      <w:r w:rsidRPr="00B9121F">
        <w:rPr>
          <w:lang w:val="en-US"/>
        </w:rPr>
        <w:t>Referendum</w:t>
      </w:r>
      <w:r w:rsidR="007C2A33" w:rsidRPr="00B9121F">
        <w:rPr>
          <w:lang w:val="en-US"/>
        </w:rPr>
        <w:t xml:space="preserve"> </w:t>
      </w:r>
      <w:r w:rsidRPr="00B9121F">
        <w:rPr>
          <w:lang w:val="en-US"/>
        </w:rPr>
        <w:t>Act. Editeur</w:t>
      </w:r>
      <w:r w:rsidR="007C2A33" w:rsidRPr="00B9121F">
        <w:rPr>
          <w:lang w:val="en-US"/>
        </w:rPr>
        <w:t xml:space="preserve"> </w:t>
      </w:r>
      <w:r w:rsidRPr="00B9121F">
        <w:rPr>
          <w:lang w:val="en-US"/>
        </w:rPr>
        <w:t xml:space="preserve">officiel du Quebec num. </w:t>
      </w:r>
      <w:r>
        <w:t>C-64.1, de 1 de junio de 1979</w:t>
      </w:r>
    </w:p>
    <w:p w:rsidR="0075369D" w:rsidRDefault="00C73164" w:rsidP="007C2A33">
      <w:pPr>
        <w:jc w:val="both"/>
      </w:pPr>
      <w:r>
        <w:t>R</w:t>
      </w:r>
      <w:r w:rsidR="0075369D">
        <w:t xml:space="preserve">esolución 1514 sobre la Declaración de la concesión de la independencia a los países y pueblos coloniales. XV periodo de sesiones. Asamblea de la </w:t>
      </w:r>
      <w:r w:rsidR="007C2A33">
        <w:t xml:space="preserve">ONU </w:t>
      </w:r>
      <w:r w:rsidR="0075369D">
        <w:t>de  14 de diciembre de 1960.</w:t>
      </w:r>
    </w:p>
    <w:p w:rsidR="0075369D" w:rsidRDefault="0075369D" w:rsidP="007C2A33">
      <w:pPr>
        <w:jc w:val="both"/>
      </w:pPr>
      <w:r>
        <w:t xml:space="preserve">Resolución 1541 sobre Principios que deben servir de guía a los Estados Miembros para determinar si existe o no la obligación de transmitir la información que se pide en el inciso E del artículo 73 de la Carta. XV periodo de sesiones. Asamblea de la </w:t>
      </w:r>
      <w:r w:rsidR="007C2A33">
        <w:t xml:space="preserve">ONU </w:t>
      </w:r>
      <w:r>
        <w:t>de  15 de diciembre de 1960)</w:t>
      </w:r>
    </w:p>
    <w:p w:rsidR="0075369D" w:rsidRDefault="0075369D" w:rsidP="007C2A33">
      <w:pPr>
        <w:jc w:val="both"/>
      </w:pPr>
      <w:r>
        <w:t xml:space="preserve">Resolución 2200 A de Pacto Internacional de Derechos Económicos, Sociales y Culturales, Pacto Internacional de Derechos Civilesy Políticos y Protocolo Facultativo del Pacto Internacional de Derechos Civiles y Políticos. XXI periodo de sesiones. Asamblea de la </w:t>
      </w:r>
      <w:r w:rsidR="007C2A33">
        <w:t>ONU</w:t>
      </w:r>
      <w:r>
        <w:t xml:space="preserve"> de 16 de diciembre de 1966.</w:t>
      </w:r>
    </w:p>
    <w:p w:rsidR="0075369D" w:rsidRDefault="0075369D" w:rsidP="007C2A33">
      <w:pPr>
        <w:jc w:val="both"/>
      </w:pPr>
      <w:r>
        <w:t xml:space="preserve">Resolución 2625,  de Declaración sobre los principios de Derecho Internacional referente a las relaciones de amistad y a la cooperación entre los Estados de conformidad con la Carta de las Naciones Unidas. XXV periodo. Asamblea de la </w:t>
      </w:r>
      <w:r w:rsidR="007C2A33">
        <w:t>ONU de</w:t>
      </w:r>
      <w:r>
        <w:t xml:space="preserve">  24 de octubre de 1970.</w:t>
      </w:r>
    </w:p>
    <w:p w:rsidR="0075369D" w:rsidRDefault="0075369D" w:rsidP="007C2A33">
      <w:pPr>
        <w:jc w:val="both"/>
      </w:pPr>
      <w:r>
        <w:t xml:space="preserve">Rubio, Jaime. “El voto por correo para el 1-O se puede pedir desde el extranjero, pero no desde España” </w:t>
      </w:r>
      <w:r w:rsidRPr="007C2A33">
        <w:rPr>
          <w:i/>
        </w:rPr>
        <w:t>El país</w:t>
      </w:r>
      <w:r>
        <w:t>, de 20 de septiembre de 2017. Recuperado de: https://verne.elpais.com/verne/2017/09/19/articulo/1505833564_406309.html</w:t>
      </w:r>
    </w:p>
    <w:p w:rsidR="0075369D" w:rsidRDefault="0075369D" w:rsidP="007C2A33">
      <w:pPr>
        <w:jc w:val="both"/>
      </w:pPr>
      <w:r>
        <w:t xml:space="preserve">Sàlmon, A. “Tarjetas censales”. </w:t>
      </w:r>
      <w:r w:rsidRPr="007C2A33">
        <w:rPr>
          <w:i/>
        </w:rPr>
        <w:t>El Mundo</w:t>
      </w:r>
      <w:r w:rsidR="007C2A33">
        <w:rPr>
          <w:i/>
        </w:rPr>
        <w:t>,</w:t>
      </w:r>
      <w:r>
        <w:t xml:space="preserve"> de 20 de septiembre de 2017. Recuperado de: http://www.elmundo.es/cataluna/2017/09/20/59c21ac8e5fdea2c098b4634.html.</w:t>
      </w:r>
    </w:p>
    <w:p w:rsidR="0075369D" w:rsidRDefault="0075369D" w:rsidP="007C2A33">
      <w:pPr>
        <w:jc w:val="both"/>
      </w:pPr>
      <w:r>
        <w:t>Scotland Act of 1998, capítulo 5. National archive 1998 c.46 de 19 de noviembre de 1998.</w:t>
      </w:r>
    </w:p>
    <w:p w:rsidR="0075369D" w:rsidRDefault="0075369D" w:rsidP="007C2A33">
      <w:pPr>
        <w:jc w:val="both"/>
      </w:pPr>
      <w:r w:rsidRPr="0075369D">
        <w:rPr>
          <w:lang w:val="en-US"/>
        </w:rPr>
        <w:t xml:space="preserve">Scottish Independence Referéndum Act of 2013.  </w:t>
      </w:r>
      <w:r>
        <w:t>National archive 2013 asp 14 de 14 de noviembre de 2013.</w:t>
      </w:r>
    </w:p>
    <w:p w:rsidR="0075369D" w:rsidRDefault="007C2A33" w:rsidP="007C2A33">
      <w:pPr>
        <w:jc w:val="both"/>
      </w:pPr>
      <w:r>
        <w:t>STC</w:t>
      </w:r>
      <w:r w:rsidR="0075369D">
        <w:t xml:space="preserve"> 103/208, de 11 de septiembre de 2008 sobre Recurso de inconstitucionalidad 5707-2008. Boletín Oficial del Estado num. 245, de 10 de octubre de 2008).</w:t>
      </w:r>
    </w:p>
    <w:p w:rsidR="0075369D" w:rsidRDefault="007C2A33" w:rsidP="007C2A33">
      <w:pPr>
        <w:jc w:val="both"/>
      </w:pPr>
      <w:r>
        <w:t xml:space="preserve">STC </w:t>
      </w:r>
      <w:r w:rsidR="0075369D">
        <w:t>138/2015 de 11 de junio de 2015, sobre la impugnación de disposiciones autonómicas 6540-2014. Boletín Oficial del Estado num. 160, de  6 de julio de 2015.</w:t>
      </w:r>
    </w:p>
    <w:p w:rsidR="0075369D" w:rsidRDefault="007C2A33" w:rsidP="007C2A33">
      <w:pPr>
        <w:jc w:val="both"/>
      </w:pPr>
      <w:r>
        <w:t xml:space="preserve">STC </w:t>
      </w:r>
      <w:r w:rsidR="0075369D">
        <w:t>31/2010, de 28 de junio de 2010, sobre Recurso de inconstitucionalidad 8045-2006. Boletín Oficial del Estado num. 172 de 16 de julio de 2010</w:t>
      </w:r>
    </w:p>
    <w:p w:rsidR="0075369D" w:rsidRDefault="0075369D" w:rsidP="007C2A33">
      <w:pPr>
        <w:jc w:val="both"/>
      </w:pPr>
      <w:r>
        <w:t xml:space="preserve">Tejero Martín, María. “La autodeterminación es un derecho de los pueblos, y en Cataluña solo hay uno”. </w:t>
      </w:r>
      <w:r w:rsidRPr="007C2A33">
        <w:rPr>
          <w:i/>
        </w:rPr>
        <w:t>El Confidencial</w:t>
      </w:r>
      <w:r>
        <w:t>, de 26 de septiembre de 2017. Recuperado de: https://www.elconfidencial.com/espana/cataluna/2017-09-26/referendum-cataluna-forcadell-autodeterminacion-derecho-pueblos_1450287/.</w:t>
      </w:r>
    </w:p>
    <w:p w:rsidR="0075369D" w:rsidRDefault="0075369D" w:rsidP="007C2A33">
      <w:pPr>
        <w:jc w:val="both"/>
      </w:pPr>
      <w:r>
        <w:t xml:space="preserve">Vallejo, Mario. Las claves del referéndum de independencia de Escocia. </w:t>
      </w:r>
      <w:r w:rsidRPr="007C2A33">
        <w:rPr>
          <w:i/>
        </w:rPr>
        <w:t>RTVE</w:t>
      </w:r>
      <w:r>
        <w:t>, de 14 de septiembre de 2014. Recuperado de: http://www.rtve.es/noticias/20140914/claves-del-referendum-independencia-escocia/1010400.shtml.</w:t>
      </w:r>
    </w:p>
    <w:p w:rsidR="0075369D" w:rsidRDefault="0075369D" w:rsidP="007C2A33">
      <w:pPr>
        <w:jc w:val="both"/>
      </w:pPr>
      <w:r>
        <w:t>Vázquez, Ángeles. “El TC tumba el referéndum y ordena a la Generalitat y a los alcaldes que lo impidan</w:t>
      </w:r>
      <w:r w:rsidRPr="007C2A33">
        <w:rPr>
          <w:i/>
        </w:rPr>
        <w:t>”. El Periódico</w:t>
      </w:r>
      <w:r>
        <w:t>, 7 de septiembre de 2017. Recuperado de: https://www.elperiodico.com/es/politica/20170907/tc-tumba-referendum-1-0-6271213.</w:t>
      </w:r>
    </w:p>
    <w:sectPr w:rsidR="0075369D" w:rsidSect="001E0844">
      <w:footerReference w:type="default" r:id="rId11"/>
      <w:pgSz w:w="11906" w:h="16838"/>
      <w:pgMar w:top="1417" w:right="1701" w:bottom="1417" w:left="1701"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2BC7" w:rsidRDefault="004B2BC7" w:rsidP="006D2E54">
      <w:pPr>
        <w:spacing w:after="0" w:line="240" w:lineRule="auto"/>
      </w:pPr>
      <w:r>
        <w:separator/>
      </w:r>
    </w:p>
  </w:endnote>
  <w:endnote w:type="continuationSeparator" w:id="1">
    <w:p w:rsidR="004B2BC7" w:rsidRDefault="004B2BC7" w:rsidP="006D2E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7135529"/>
      <w:docPartObj>
        <w:docPartGallery w:val="Page Numbers (Bottom of Page)"/>
        <w:docPartUnique/>
      </w:docPartObj>
    </w:sdtPr>
    <w:sdtContent>
      <w:p w:rsidR="001E0844" w:rsidRDefault="001C3F31">
        <w:pPr>
          <w:pStyle w:val="Piedepgina"/>
          <w:jc w:val="right"/>
        </w:pPr>
        <w:fldSimple w:instr=" PAGE   \* MERGEFORMAT ">
          <w:r w:rsidR="002D738C">
            <w:rPr>
              <w:noProof/>
            </w:rPr>
            <w:t>1</w:t>
          </w:r>
        </w:fldSimple>
      </w:p>
    </w:sdtContent>
  </w:sdt>
  <w:p w:rsidR="001E0844" w:rsidRDefault="001E084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2BC7" w:rsidRDefault="004B2BC7" w:rsidP="006D2E54">
      <w:pPr>
        <w:spacing w:after="0" w:line="240" w:lineRule="auto"/>
      </w:pPr>
      <w:r>
        <w:separator/>
      </w:r>
    </w:p>
  </w:footnote>
  <w:footnote w:type="continuationSeparator" w:id="1">
    <w:p w:rsidR="004B2BC7" w:rsidRDefault="004B2BC7" w:rsidP="006D2E54">
      <w:pPr>
        <w:spacing w:after="0" w:line="240" w:lineRule="auto"/>
      </w:pPr>
      <w:r>
        <w:continuationSeparator/>
      </w:r>
    </w:p>
  </w:footnote>
  <w:footnote w:id="2">
    <w:p w:rsidR="00152623" w:rsidRPr="00794368" w:rsidRDefault="00152623" w:rsidP="00D1166A">
      <w:pPr>
        <w:pStyle w:val="Textonotapie"/>
        <w:jc w:val="both"/>
      </w:pPr>
      <w:r w:rsidRPr="00794368">
        <w:rPr>
          <w:rStyle w:val="Refdenotaalpie"/>
        </w:rPr>
        <w:footnoteRef/>
      </w:r>
      <w:r w:rsidRPr="00794368">
        <w:t xml:space="preserve">Real Academia Española 2018, </w:t>
      </w:r>
      <w:r w:rsidRPr="00794368">
        <w:rPr>
          <w:i/>
        </w:rPr>
        <w:t>Diccionario de la Lengua Española</w:t>
      </w:r>
      <w:r w:rsidRPr="00794368">
        <w:t>, Recuperado de: http://dle.rae.es/?id=VcEQ6Jm.</w:t>
      </w:r>
    </w:p>
  </w:footnote>
  <w:footnote w:id="3">
    <w:p w:rsidR="00152623" w:rsidRDefault="00152623" w:rsidP="00D1166A">
      <w:pPr>
        <w:pStyle w:val="Textonotapie"/>
        <w:jc w:val="both"/>
      </w:pPr>
      <w:r w:rsidRPr="00794368">
        <w:rPr>
          <w:rStyle w:val="Refdenotaalpie"/>
        </w:rPr>
        <w:footnoteRef/>
      </w:r>
      <w:r w:rsidRPr="00794368">
        <w:t xml:space="preserve">López González, José Luis 2005. </w:t>
      </w:r>
      <w:r w:rsidRPr="00794368">
        <w:rPr>
          <w:i/>
        </w:rPr>
        <w:t>El referéndum en el sistema español de participación política.</w:t>
      </w:r>
      <w:r w:rsidRPr="00794368">
        <w:t xml:space="preserve"> Valencia. Universidad Politécnica de Valencia. Págs. 9-33.</w:t>
      </w:r>
    </w:p>
  </w:footnote>
  <w:footnote w:id="4">
    <w:p w:rsidR="00152623" w:rsidRPr="00B07019" w:rsidRDefault="00152623" w:rsidP="00956035">
      <w:pPr>
        <w:jc w:val="both"/>
      </w:pPr>
      <w:r w:rsidRPr="00B07019">
        <w:rPr>
          <w:rStyle w:val="Refdenotaalpie"/>
        </w:rPr>
        <w:footnoteRef/>
      </w:r>
      <w:r w:rsidRPr="00B07019">
        <w:rPr>
          <w:sz w:val="20"/>
          <w:szCs w:val="20"/>
        </w:rPr>
        <w:t xml:space="preserve">Ley 19/2017, de 6 de septiembre, de referéndum de autodeterminación. </w:t>
      </w:r>
      <w:r w:rsidR="00B07019" w:rsidRPr="00B07019">
        <w:rPr>
          <w:sz w:val="20"/>
          <w:szCs w:val="20"/>
        </w:rPr>
        <w:t>DOGC núm</w:t>
      </w:r>
      <w:r w:rsidRPr="00B07019">
        <w:rPr>
          <w:sz w:val="20"/>
          <w:szCs w:val="20"/>
        </w:rPr>
        <w:t>. 7449ª, de 6 de septiembre de 2017.</w:t>
      </w:r>
    </w:p>
  </w:footnote>
  <w:footnote w:id="5">
    <w:p w:rsidR="00152623" w:rsidRPr="00794368" w:rsidRDefault="00152623" w:rsidP="00956035">
      <w:pPr>
        <w:jc w:val="both"/>
        <w:rPr>
          <w:sz w:val="20"/>
          <w:szCs w:val="20"/>
        </w:rPr>
      </w:pPr>
      <w:r w:rsidRPr="00B07019">
        <w:rPr>
          <w:rStyle w:val="Refdenotaalpie"/>
          <w:sz w:val="20"/>
          <w:szCs w:val="20"/>
        </w:rPr>
        <w:footnoteRef/>
      </w:r>
      <w:r w:rsidRPr="00B07019">
        <w:rPr>
          <w:sz w:val="20"/>
          <w:szCs w:val="20"/>
        </w:rPr>
        <w:t xml:space="preserve"> Ley 20/2017, de 8 de septiembre, de transitoriedad jurídica y fundacional de la República. </w:t>
      </w:r>
      <w:r w:rsidR="00B07019" w:rsidRPr="00B07019">
        <w:rPr>
          <w:sz w:val="20"/>
          <w:szCs w:val="20"/>
        </w:rPr>
        <w:t xml:space="preserve">DOGC núm. </w:t>
      </w:r>
      <w:r w:rsidRPr="00B07019">
        <w:rPr>
          <w:sz w:val="20"/>
          <w:szCs w:val="20"/>
        </w:rPr>
        <w:t>7451A, de 8 de septiembre de 2017.</w:t>
      </w:r>
    </w:p>
  </w:footnote>
  <w:footnote w:id="6">
    <w:p w:rsidR="00152623" w:rsidRDefault="00152623" w:rsidP="00956035">
      <w:pPr>
        <w:pStyle w:val="Textonotapie"/>
        <w:jc w:val="both"/>
        <w:rPr>
          <w:rFonts w:cs="Times New Roman"/>
          <w:szCs w:val="24"/>
          <w:shd w:val="clear" w:color="auto" w:fill="FFFFFF"/>
        </w:rPr>
      </w:pPr>
      <w:r w:rsidRPr="00794368">
        <w:rPr>
          <w:rStyle w:val="Refdenotaalpie"/>
        </w:rPr>
        <w:footnoteRef/>
      </w:r>
      <w:r w:rsidRPr="00794368">
        <w:rPr>
          <w:rFonts w:cs="Times New Roman"/>
          <w:szCs w:val="24"/>
          <w:shd w:val="clear" w:color="auto" w:fill="FFFFFF"/>
        </w:rPr>
        <w:t xml:space="preserve">Pérez Fernando, Díez Anabel. “El Gobierno recurre la ley de ruptura catalana por “autocrática” y “totalitaria””. </w:t>
      </w:r>
      <w:r w:rsidRPr="00794368">
        <w:rPr>
          <w:rFonts w:cs="Times New Roman"/>
          <w:i/>
          <w:szCs w:val="24"/>
          <w:shd w:val="clear" w:color="auto" w:fill="FFFFFF"/>
        </w:rPr>
        <w:t>El País</w:t>
      </w:r>
      <w:r w:rsidRPr="00794368">
        <w:rPr>
          <w:rFonts w:cs="Times New Roman"/>
          <w:szCs w:val="24"/>
          <w:shd w:val="clear" w:color="auto" w:fill="FFFFFF"/>
        </w:rPr>
        <w:t xml:space="preserve">, 11 de septiembre de 2017. </w:t>
      </w:r>
    </w:p>
    <w:p w:rsidR="00152623" w:rsidRPr="00794368" w:rsidRDefault="00152623" w:rsidP="00956035">
      <w:pPr>
        <w:pStyle w:val="Textonotapie"/>
        <w:jc w:val="both"/>
      </w:pPr>
      <w:r w:rsidRPr="00794368">
        <w:rPr>
          <w:rFonts w:cs="Times New Roman"/>
          <w:szCs w:val="24"/>
          <w:shd w:val="clear" w:color="auto" w:fill="FFFFFF"/>
        </w:rPr>
        <w:t>Recuperado de: https://politica.elpais.com/politica/2017/09/11/actualidad/1505148719_456409.html.</w:t>
      </w:r>
    </w:p>
  </w:footnote>
  <w:footnote w:id="7">
    <w:p w:rsidR="00152623" w:rsidRDefault="00152623" w:rsidP="00956035">
      <w:pPr>
        <w:pStyle w:val="Textonotapie"/>
        <w:jc w:val="both"/>
        <w:rPr>
          <w:rFonts w:cs="Times New Roman"/>
          <w:szCs w:val="24"/>
          <w:shd w:val="clear" w:color="auto" w:fill="FFFFFF"/>
        </w:rPr>
      </w:pPr>
      <w:r w:rsidRPr="00794368">
        <w:rPr>
          <w:rStyle w:val="Refdenotaalpie"/>
        </w:rPr>
        <w:footnoteRef/>
      </w:r>
      <w:r w:rsidRPr="00794368">
        <w:rPr>
          <w:rFonts w:cs="Times New Roman"/>
          <w:szCs w:val="24"/>
          <w:shd w:val="clear" w:color="auto" w:fill="FFFFFF"/>
        </w:rPr>
        <w:t xml:space="preserve">Vázquez, Ángeles. “El TC tumba el referéndum y ordena a la Generalitat y a los alcaldes que lo impidan”. </w:t>
      </w:r>
      <w:r w:rsidRPr="00794368">
        <w:rPr>
          <w:rFonts w:cs="Times New Roman"/>
          <w:i/>
          <w:szCs w:val="24"/>
          <w:shd w:val="clear" w:color="auto" w:fill="FFFFFF"/>
        </w:rPr>
        <w:t>El Periódico</w:t>
      </w:r>
      <w:r w:rsidRPr="00794368">
        <w:rPr>
          <w:rFonts w:cs="Times New Roman"/>
          <w:szCs w:val="24"/>
          <w:shd w:val="clear" w:color="auto" w:fill="FFFFFF"/>
        </w:rPr>
        <w:t xml:space="preserve">, 7 de septiembre de 2017. </w:t>
      </w:r>
    </w:p>
    <w:p w:rsidR="00152623" w:rsidRPr="00794368" w:rsidRDefault="00152623" w:rsidP="00956035">
      <w:pPr>
        <w:pStyle w:val="Textonotapie"/>
        <w:jc w:val="both"/>
      </w:pPr>
      <w:r w:rsidRPr="00794368">
        <w:rPr>
          <w:rFonts w:cs="Times New Roman"/>
          <w:szCs w:val="24"/>
          <w:shd w:val="clear" w:color="auto" w:fill="FFFFFF"/>
        </w:rPr>
        <w:t>Recuperado de: https://www.elperiodico.com/es/politica/20170907/tc-tumba-referendum-1-0-6271213.</w:t>
      </w:r>
    </w:p>
  </w:footnote>
  <w:footnote w:id="8">
    <w:p w:rsidR="00152623" w:rsidRPr="00794368" w:rsidRDefault="00152623" w:rsidP="00956035">
      <w:pPr>
        <w:pStyle w:val="Textonotapie"/>
        <w:jc w:val="both"/>
      </w:pPr>
      <w:r w:rsidRPr="00794368">
        <w:rPr>
          <w:rStyle w:val="Refdenotaalpie"/>
        </w:rPr>
        <w:footnoteRef/>
      </w:r>
      <w:r w:rsidRPr="00794368">
        <w:t xml:space="preserve">“Las cargas policiales y la insólita votación marcan la jornada en Cataluña”. </w:t>
      </w:r>
      <w:r w:rsidRPr="00794368">
        <w:rPr>
          <w:i/>
        </w:rPr>
        <w:t>Agencia EFE</w:t>
      </w:r>
      <w:r w:rsidRPr="00794368">
        <w:t>, 1 de octubre de 2017. Recuperado de: https://www.efe.com/efe/espana/politica/las-cargas-policiales-y-la-insolita-votacion-marcan-jornada-en-cataluna/10002-3395717.</w:t>
      </w:r>
    </w:p>
  </w:footnote>
  <w:footnote w:id="9">
    <w:p w:rsidR="00152623" w:rsidRPr="005769F9" w:rsidRDefault="00152623" w:rsidP="00956035">
      <w:pPr>
        <w:pStyle w:val="Textonotapie"/>
        <w:jc w:val="both"/>
      </w:pPr>
      <w:r w:rsidRPr="005769F9">
        <w:rPr>
          <w:rStyle w:val="Refdenotaalpie"/>
        </w:rPr>
        <w:footnoteRef/>
      </w:r>
      <w:r w:rsidRPr="005769F9">
        <w:t xml:space="preserve">Ley 2/1980, de 18 de enero, sobre las distintas modalidades de referéndum. BOE </w:t>
      </w:r>
      <w:r w:rsidR="009E5724" w:rsidRPr="005769F9">
        <w:t>núm.</w:t>
      </w:r>
      <w:r w:rsidRPr="005769F9">
        <w:t xml:space="preserve"> 20, de 23 de enero de 1980.</w:t>
      </w:r>
    </w:p>
  </w:footnote>
  <w:footnote w:id="10">
    <w:p w:rsidR="00152623" w:rsidRPr="005769F9" w:rsidRDefault="00152623" w:rsidP="00956035">
      <w:pPr>
        <w:pStyle w:val="Textonotapie"/>
        <w:jc w:val="both"/>
      </w:pPr>
      <w:r w:rsidRPr="005769F9">
        <w:rPr>
          <w:rStyle w:val="Refdenotaalpie"/>
        </w:rPr>
        <w:footnoteRef/>
      </w:r>
      <w:r w:rsidRPr="005769F9">
        <w:t>STC 31/2010, de 28 de junio de 2010, sobre Recurso de inconstitucionalidad 8045-2006. BOE núm. 172 de 16 de julio de 2010</w:t>
      </w:r>
      <w:r w:rsidRPr="005769F9">
        <w:rPr>
          <w:rFonts w:cs="Times New Roman"/>
          <w:bCs/>
          <w:szCs w:val="24"/>
        </w:rPr>
        <w:t>.</w:t>
      </w:r>
    </w:p>
  </w:footnote>
  <w:footnote w:id="11">
    <w:p w:rsidR="00152623" w:rsidRPr="005769F9" w:rsidRDefault="00152623" w:rsidP="00956035">
      <w:pPr>
        <w:pStyle w:val="Textonotapie"/>
        <w:jc w:val="both"/>
      </w:pPr>
      <w:r w:rsidRPr="005769F9">
        <w:rPr>
          <w:rStyle w:val="Refdenotaalpie"/>
        </w:rPr>
        <w:footnoteRef/>
      </w:r>
      <w:r w:rsidRPr="005769F9">
        <w:t>STC 103/208, de 11 de septiembre de 2008 sobre Recurso de inconstitucionalidad 5707-2008. BOE núm. 245, de 10 de octubre de 2008</w:t>
      </w:r>
      <w:r w:rsidRPr="005769F9">
        <w:rPr>
          <w:rFonts w:cs="Times New Roman"/>
          <w:bCs/>
          <w:szCs w:val="24"/>
        </w:rPr>
        <w:t>.</w:t>
      </w:r>
    </w:p>
  </w:footnote>
  <w:footnote w:id="12">
    <w:p w:rsidR="00152623" w:rsidRPr="005769F9" w:rsidRDefault="00152623" w:rsidP="00956035">
      <w:pPr>
        <w:pStyle w:val="Textonotapie"/>
        <w:jc w:val="both"/>
      </w:pPr>
      <w:r w:rsidRPr="00D76B4F">
        <w:rPr>
          <w:rStyle w:val="Refdenotaalpie"/>
        </w:rPr>
        <w:footnoteRef/>
      </w:r>
      <w:r w:rsidRPr="00D76B4F">
        <w:t>Ley 9/</w:t>
      </w:r>
      <w:r w:rsidRPr="005769F9">
        <w:t xml:space="preserve">2008, de 27 de junio, de convocatoria y regulación de una consulta popular al objeto de recabar la opinión ciudadana en la Comunidad Autónoma del País Vasco sobre la apertura de un proceso de negociación para alcanzar la paz y la normalización </w:t>
      </w:r>
      <w:r w:rsidR="009E5724" w:rsidRPr="005769F9">
        <w:t>política</w:t>
      </w:r>
      <w:r w:rsidRPr="005769F9">
        <w:t xml:space="preserve">. BOE </w:t>
      </w:r>
      <w:r w:rsidR="009E5724" w:rsidRPr="005769F9">
        <w:t>núm.</w:t>
      </w:r>
      <w:r w:rsidRPr="005769F9">
        <w:t xml:space="preserve"> 134, de 15 de julio de 2008</w:t>
      </w:r>
      <w:r w:rsidRPr="005769F9">
        <w:rPr>
          <w:rFonts w:cs="Times New Roman"/>
          <w:bCs/>
          <w:szCs w:val="24"/>
        </w:rPr>
        <w:t>.</w:t>
      </w:r>
    </w:p>
  </w:footnote>
  <w:footnote w:id="13">
    <w:p w:rsidR="00152623" w:rsidRPr="005769F9" w:rsidRDefault="00152623" w:rsidP="00956035">
      <w:pPr>
        <w:pStyle w:val="Textonotapie"/>
        <w:jc w:val="both"/>
      </w:pPr>
      <w:r w:rsidRPr="005769F9">
        <w:rPr>
          <w:rStyle w:val="Refdenotaalpie"/>
        </w:rPr>
        <w:footnoteRef/>
      </w:r>
      <w:r w:rsidRPr="005769F9">
        <w:rPr>
          <w:rFonts w:cs="Times New Roman"/>
          <w:shd w:val="clear" w:color="auto" w:fill="FFFFFF"/>
        </w:rPr>
        <w:t>El referéndum es, por tanto, una especie del género «consulta popular» con la que no se recaba la opinión de cualquier colectivo sobre cualesquiera asuntos de interés público a través de cualesquiera procedimientos, sino aquella consulta cuyo objeto se refiere estrictamente al parecer del cuerpo electoral (expresivo de la voluntad del pueblo: STC 12/2008, de 29 de enero, FJ 10) conformado y exteriorizado a través de un procedimiento electoral, esto es, basado en el censo, gestionado por la Administración electoral y asegurado con garantías jurisdiccionales específicas, siempre en relación con los asuntos públicos cuya gestión, directa o indirecta, mediante el ejercicio del poder político por parte de los ciudadanos constituye el objeto del derecho fundamental reconocido por la Constitución en el art. 23 (así, STC 119/1995, de 17 de julio).</w:t>
      </w:r>
    </w:p>
  </w:footnote>
  <w:footnote w:id="14">
    <w:p w:rsidR="00152623" w:rsidRDefault="00152623" w:rsidP="00956035">
      <w:pPr>
        <w:pStyle w:val="Textonotapie"/>
        <w:jc w:val="both"/>
      </w:pPr>
      <w:r w:rsidRPr="005769F9">
        <w:rPr>
          <w:rStyle w:val="Refdenotaalpie"/>
        </w:rPr>
        <w:footnoteRef/>
      </w:r>
      <w:r w:rsidRPr="005769F9">
        <w:t>Ley 10/2014, de 26 de septiembre, de consultas populares no refrendarias y otras formas de participación ciudadana. BOE num.64, de 16 de marzo</w:t>
      </w:r>
      <w:r w:rsidRPr="00D76B4F">
        <w:t xml:space="preserve"> de 2015.</w:t>
      </w:r>
    </w:p>
  </w:footnote>
  <w:footnote w:id="15">
    <w:p w:rsidR="00152623" w:rsidRPr="005769F9" w:rsidRDefault="00152623" w:rsidP="00956035">
      <w:pPr>
        <w:pStyle w:val="Textonotapie"/>
        <w:jc w:val="both"/>
      </w:pPr>
      <w:r w:rsidRPr="005769F9">
        <w:rPr>
          <w:rStyle w:val="Refdenotaalpie"/>
        </w:rPr>
        <w:footnoteRef/>
      </w:r>
      <w:r w:rsidRPr="005769F9">
        <w:t>Ley 23/1998, de 30 de diciembre, de Estadística de Cataluña. BOE núm. 28, de 2 de febrero de 1999.</w:t>
      </w:r>
    </w:p>
  </w:footnote>
  <w:footnote w:id="16">
    <w:p w:rsidR="00152623" w:rsidRPr="005769F9" w:rsidRDefault="00152623" w:rsidP="00956035">
      <w:pPr>
        <w:pStyle w:val="Textonotapie"/>
        <w:jc w:val="both"/>
      </w:pPr>
      <w:r w:rsidRPr="005769F9">
        <w:rPr>
          <w:rStyle w:val="Refdenotaalpie"/>
        </w:rPr>
        <w:footnoteRef/>
      </w:r>
      <w:r w:rsidRPr="005769F9">
        <w:t>STC 138/2015 de 11 de junio de 2015, sobre la impugnación de disposiciones autonómicas 6540-2014. BOE núm. 160, de  6 de julio de 2015.</w:t>
      </w:r>
    </w:p>
  </w:footnote>
  <w:footnote w:id="17">
    <w:p w:rsidR="00152623" w:rsidRPr="000D503A" w:rsidRDefault="00152623" w:rsidP="00956035">
      <w:pPr>
        <w:spacing w:line="240" w:lineRule="auto"/>
        <w:jc w:val="both"/>
        <w:rPr>
          <w:rFonts w:cs="Times New Roman"/>
          <w:szCs w:val="24"/>
        </w:rPr>
      </w:pPr>
      <w:r w:rsidRPr="005769F9">
        <w:rPr>
          <w:rStyle w:val="Refdenotaalpie"/>
        </w:rPr>
        <w:footnoteRef/>
      </w:r>
      <w:r w:rsidRPr="005769F9">
        <w:rPr>
          <w:shd w:val="clear" w:color="auto" w:fill="FFFFFF"/>
        </w:rPr>
        <w:t>"</w:t>
      </w:r>
      <w:r w:rsidRPr="005769F9">
        <w:rPr>
          <w:sz w:val="20"/>
          <w:szCs w:val="20"/>
          <w:shd w:val="clear" w:color="auto" w:fill="FFFFFF"/>
        </w:rPr>
        <w:t>Una Comunidad Autónoma no puede convocar ni realizar actuaciones formalizadas o no jurídicamente que auspicien la convocatoria de una consulta popular, aun no referendaria, que desborde el ámbito de las competencias propias, o que incida sobre cuestiones fundamentales resueltas con el proceso constituyente y que resultan sustraídas a la decisión de los poderes constituidos"</w:t>
      </w:r>
      <w:r w:rsidRPr="005769F9">
        <w:rPr>
          <w:shd w:val="clear" w:color="auto" w:fill="FFFFFF"/>
        </w:rPr>
        <w:t>.</w:t>
      </w:r>
    </w:p>
  </w:footnote>
  <w:footnote w:id="18">
    <w:p w:rsidR="00152623" w:rsidRPr="00D76B4F" w:rsidRDefault="00152623" w:rsidP="00956035">
      <w:pPr>
        <w:pStyle w:val="Textonotapie"/>
        <w:jc w:val="both"/>
      </w:pPr>
      <w:r w:rsidRPr="00D76B4F">
        <w:rPr>
          <w:rStyle w:val="Refdenotaalpie"/>
        </w:rPr>
        <w:footnoteRef/>
      </w:r>
      <w:r w:rsidRPr="00D76B4F">
        <w:t xml:space="preserve">López González, José Luis 2005. </w:t>
      </w:r>
      <w:r w:rsidRPr="00D76B4F">
        <w:rPr>
          <w:i/>
        </w:rPr>
        <w:t>El referéndum en el sistema español de participación política.</w:t>
      </w:r>
      <w:r w:rsidRPr="00D76B4F">
        <w:t xml:space="preserve"> Valencia. Universidad Politécnica de Valencia. Págs. 35-37. </w:t>
      </w:r>
    </w:p>
  </w:footnote>
  <w:footnote w:id="19">
    <w:p w:rsidR="00152623" w:rsidRDefault="00152623" w:rsidP="00956035">
      <w:pPr>
        <w:pStyle w:val="Textonotapie"/>
        <w:jc w:val="both"/>
      </w:pPr>
      <w:r>
        <w:rPr>
          <w:rStyle w:val="Refdenotaalpie"/>
        </w:rPr>
        <w:footnoteRef/>
      </w:r>
      <w:r w:rsidRPr="00883EAC">
        <w:t xml:space="preserve">Ley 19/2017, de 6 de septiembre, de referéndum de </w:t>
      </w:r>
      <w:r w:rsidRPr="00B07019">
        <w:t xml:space="preserve">autodeterminación. </w:t>
      </w:r>
      <w:r w:rsidR="00B07019" w:rsidRPr="00B07019">
        <w:t xml:space="preserve">DOGC núm. </w:t>
      </w:r>
      <w:r w:rsidRPr="00883EAC">
        <w:t>7449ª, de 6 de septiembre de 2017</w:t>
      </w:r>
      <w:r>
        <w:t>.</w:t>
      </w:r>
    </w:p>
  </w:footnote>
  <w:footnote w:id="20">
    <w:p w:rsidR="00152623" w:rsidRDefault="00152623">
      <w:pPr>
        <w:pStyle w:val="Textonotapie"/>
      </w:pPr>
    </w:p>
  </w:footnote>
  <w:footnote w:id="21">
    <w:p w:rsidR="00152623" w:rsidRPr="00883EAC" w:rsidRDefault="00152623" w:rsidP="00956035">
      <w:pPr>
        <w:pStyle w:val="Textonotapie"/>
        <w:jc w:val="both"/>
      </w:pPr>
      <w:r w:rsidRPr="00883EAC">
        <w:rPr>
          <w:rStyle w:val="Refdenotaalpie"/>
        </w:rPr>
        <w:footnoteRef/>
      </w:r>
      <w:r w:rsidRPr="00883EAC">
        <w:t xml:space="preserve">Aguiar de Luque, Luis. </w:t>
      </w:r>
      <w:r w:rsidRPr="00883EAC">
        <w:rPr>
          <w:i/>
        </w:rPr>
        <w:t>Temas básicos de derecho constitucional</w:t>
      </w:r>
      <w:r w:rsidRPr="00883EAC">
        <w:t>. Madrid, Universidad Autónoma de Madrid. Pág. 217.</w:t>
      </w:r>
    </w:p>
  </w:footnote>
  <w:footnote w:id="22">
    <w:p w:rsidR="00152623" w:rsidRPr="009E5724" w:rsidRDefault="00152623" w:rsidP="00956035">
      <w:pPr>
        <w:pStyle w:val="Textonotapie"/>
        <w:jc w:val="both"/>
        <w:rPr>
          <w:color w:val="000000" w:themeColor="text1"/>
        </w:rPr>
      </w:pPr>
      <w:r w:rsidRPr="009E5724">
        <w:rPr>
          <w:rStyle w:val="Refdenotaalpie"/>
          <w:color w:val="000000" w:themeColor="text1"/>
        </w:rPr>
        <w:footnoteRef/>
      </w:r>
      <w:r w:rsidRPr="009E5724">
        <w:rPr>
          <w:color w:val="000000" w:themeColor="text1"/>
        </w:rPr>
        <w:t xml:space="preserve">Pérez Sola, Nicolás 1994. </w:t>
      </w:r>
      <w:r w:rsidRPr="009E5724">
        <w:rPr>
          <w:i/>
          <w:color w:val="000000" w:themeColor="text1"/>
        </w:rPr>
        <w:t xml:space="preserve">La regulación constitucional del referéndum. </w:t>
      </w:r>
      <w:r w:rsidRPr="009E5724">
        <w:rPr>
          <w:color w:val="000000" w:themeColor="text1"/>
        </w:rPr>
        <w:t>Jaén, Secretariado de publicaciones de la Universidad de Jaén.</w:t>
      </w:r>
      <w:r w:rsidR="009E5724" w:rsidRPr="009E5724">
        <w:rPr>
          <w:color w:val="000000" w:themeColor="text1"/>
        </w:rPr>
        <w:t xml:space="preserve"> Pág 44</w:t>
      </w:r>
    </w:p>
  </w:footnote>
  <w:footnote w:id="23">
    <w:p w:rsidR="00152623" w:rsidRPr="005769F9" w:rsidRDefault="00152623" w:rsidP="00956035">
      <w:pPr>
        <w:pStyle w:val="Textonotapie"/>
        <w:jc w:val="both"/>
      </w:pPr>
      <w:r w:rsidRPr="005769F9">
        <w:rPr>
          <w:rStyle w:val="Refdenotaalpie"/>
        </w:rPr>
        <w:footnoteRef/>
      </w:r>
      <w:r w:rsidRPr="005769F9">
        <w:t>Ley 2/1980, de 18 de enero, sobre las distintas modalidades de referéndum. BOE núm. 20, de 23 de enero de 1980.</w:t>
      </w:r>
    </w:p>
  </w:footnote>
  <w:footnote w:id="24">
    <w:p w:rsidR="00152623" w:rsidRDefault="00152623" w:rsidP="00956035">
      <w:pPr>
        <w:pStyle w:val="Textonotapie"/>
        <w:jc w:val="both"/>
      </w:pPr>
      <w:r w:rsidRPr="005769F9">
        <w:rPr>
          <w:rStyle w:val="Refdenotaalpie"/>
        </w:rPr>
        <w:footnoteRef/>
      </w:r>
      <w:r w:rsidRPr="005769F9">
        <w:t>Ley Orgánica 7/1981 de 30 de diciembre, del Estatuto de Autonomía de Asturias. BOE núm. 9, de 11 de enero de 1982.</w:t>
      </w:r>
    </w:p>
  </w:footnote>
  <w:footnote w:id="25">
    <w:p w:rsidR="00152623" w:rsidRPr="005769F9" w:rsidRDefault="00152623" w:rsidP="00956035">
      <w:pPr>
        <w:pStyle w:val="Textonotapie"/>
        <w:jc w:val="both"/>
      </w:pPr>
      <w:r w:rsidRPr="005769F9">
        <w:rPr>
          <w:rStyle w:val="Refdenotaalpie"/>
        </w:rPr>
        <w:footnoteRef/>
      </w:r>
      <w:r w:rsidRPr="005769F9">
        <w:t>Ley Orgánica 10/1982, de 10 de agosto, del Estatuto de Autonomía de Canarias. BOE núm. 195, de 16 de agosto de 1982.</w:t>
      </w:r>
    </w:p>
  </w:footnote>
  <w:footnote w:id="26">
    <w:p w:rsidR="00152623" w:rsidRPr="005769F9" w:rsidRDefault="00152623" w:rsidP="00956035">
      <w:pPr>
        <w:pStyle w:val="Textonotapie"/>
        <w:jc w:val="both"/>
      </w:pPr>
      <w:r w:rsidRPr="005769F9">
        <w:rPr>
          <w:rStyle w:val="Refdenotaalpie"/>
        </w:rPr>
        <w:footnoteRef/>
      </w:r>
      <w:r w:rsidRPr="005769F9">
        <w:t>Ley Orgánica 3/1982, de 9 de junio, del Estatuto de Autonomía de La Rioja. BOE núm. 146, de 19 de junio de 1982.</w:t>
      </w:r>
    </w:p>
  </w:footnote>
  <w:footnote w:id="27">
    <w:p w:rsidR="00152623" w:rsidRPr="005769F9" w:rsidRDefault="00152623" w:rsidP="00956035">
      <w:pPr>
        <w:pStyle w:val="Textonotapie"/>
        <w:jc w:val="both"/>
      </w:pPr>
      <w:r w:rsidRPr="005769F9">
        <w:rPr>
          <w:rStyle w:val="Refdenotaalpie"/>
        </w:rPr>
        <w:footnoteRef/>
      </w:r>
      <w:r w:rsidRPr="005769F9">
        <w:t>Ley Orgánica 1/2011, de 28 de enero, de reforma Estatuto de Autonomía de Extremadura. BOE núm. 25, de 29 de enero de 2011.</w:t>
      </w:r>
    </w:p>
  </w:footnote>
  <w:footnote w:id="28">
    <w:p w:rsidR="00152623" w:rsidRDefault="00152623" w:rsidP="00956035">
      <w:pPr>
        <w:pStyle w:val="Textonotapie"/>
        <w:jc w:val="both"/>
      </w:pPr>
      <w:r w:rsidRPr="005769F9">
        <w:rPr>
          <w:rStyle w:val="Refdenotaalpie"/>
        </w:rPr>
        <w:footnoteRef/>
      </w:r>
      <w:r w:rsidRPr="005769F9">
        <w:t>Ley Orgánica 2/2007, de 19 de marzo,  de reforma Estatuto de Autonomía de Andalucía</w:t>
      </w:r>
      <w:r w:rsidRPr="005769F9">
        <w:rPr>
          <w:b/>
        </w:rPr>
        <w:t>.</w:t>
      </w:r>
      <w:r w:rsidRPr="005769F9">
        <w:t xml:space="preserve"> BOE núm. 68, de 20 de marzo de 2007</w:t>
      </w:r>
      <w:r>
        <w:t>.</w:t>
      </w:r>
    </w:p>
  </w:footnote>
  <w:footnote w:id="29">
    <w:p w:rsidR="00152623" w:rsidRPr="004906CE" w:rsidRDefault="00152623" w:rsidP="00956035">
      <w:pPr>
        <w:pStyle w:val="Textonotapie"/>
        <w:jc w:val="both"/>
      </w:pPr>
      <w:r w:rsidRPr="004906CE">
        <w:rPr>
          <w:rStyle w:val="Refdenotaalpie"/>
        </w:rPr>
        <w:footnoteRef/>
      </w:r>
      <w:r w:rsidRPr="004906CE">
        <w:t>Ley Orgánica 6/2006, de 19 de julio, de reforma Estatuto de Autonomía de Cataluña. BOE num. 172, de 20 de julio de 2006.</w:t>
      </w:r>
    </w:p>
  </w:footnote>
  <w:footnote w:id="30">
    <w:p w:rsidR="00152623" w:rsidRDefault="00152623" w:rsidP="00956035">
      <w:pPr>
        <w:pStyle w:val="Textonotapie"/>
        <w:jc w:val="both"/>
        <w:rPr>
          <w:rFonts w:cs="Times New Roman"/>
          <w:szCs w:val="24"/>
          <w:shd w:val="clear" w:color="auto" w:fill="FFFFFF"/>
        </w:rPr>
      </w:pPr>
      <w:r w:rsidRPr="004906CE">
        <w:rPr>
          <w:rStyle w:val="Refdenotaalpie"/>
        </w:rPr>
        <w:footnoteRef/>
      </w:r>
      <w:r w:rsidRPr="004906CE">
        <w:rPr>
          <w:rFonts w:cs="Times New Roman"/>
          <w:szCs w:val="24"/>
          <w:shd w:val="clear" w:color="auto" w:fill="FFFFFF"/>
        </w:rPr>
        <w:t xml:space="preserve">Marcos, Pilar. “El PP recurre al Constitucional el Estatuto catalán “para impedir un daño irreparable””. </w:t>
      </w:r>
      <w:r w:rsidRPr="004906CE">
        <w:rPr>
          <w:rFonts w:cs="Times New Roman"/>
          <w:i/>
          <w:szCs w:val="24"/>
          <w:shd w:val="clear" w:color="auto" w:fill="FFFFFF"/>
        </w:rPr>
        <w:t>El País</w:t>
      </w:r>
      <w:r w:rsidRPr="004906CE">
        <w:rPr>
          <w:rFonts w:cs="Times New Roman"/>
          <w:szCs w:val="24"/>
          <w:shd w:val="clear" w:color="auto" w:fill="FFFFFF"/>
        </w:rPr>
        <w:t xml:space="preserve">, 1 de agosto de 2006. </w:t>
      </w:r>
    </w:p>
    <w:p w:rsidR="00152623" w:rsidRPr="004906CE" w:rsidRDefault="00152623" w:rsidP="00956035">
      <w:pPr>
        <w:pStyle w:val="Textonotapie"/>
        <w:jc w:val="both"/>
      </w:pPr>
      <w:r w:rsidRPr="004906CE">
        <w:rPr>
          <w:rFonts w:cs="Times New Roman"/>
          <w:szCs w:val="24"/>
          <w:shd w:val="clear" w:color="auto" w:fill="FFFFFF"/>
        </w:rPr>
        <w:t>Recuperado de: https://elpais.com/diario/2006/08/01/espana/1154383213_850215.html.</w:t>
      </w:r>
    </w:p>
  </w:footnote>
  <w:footnote w:id="31">
    <w:p w:rsidR="00152623" w:rsidRDefault="00152623" w:rsidP="00956035">
      <w:pPr>
        <w:pStyle w:val="Textonotapie"/>
        <w:jc w:val="both"/>
      </w:pPr>
      <w:r w:rsidRPr="004906CE">
        <w:rPr>
          <w:rStyle w:val="Refdenotaalpie"/>
        </w:rPr>
        <w:footnoteRef/>
      </w:r>
      <w:r w:rsidRPr="004906CE">
        <w:t>Sentencia del Tribunal Constitucional 31/2010, de 28 de junio de 2010, sobre Recurso de inconstitucionalidad 8045-2006. BOE núm. 172 de 16 de julio de 2010</w:t>
      </w:r>
    </w:p>
  </w:footnote>
  <w:footnote w:id="32">
    <w:p w:rsidR="00152623" w:rsidRDefault="00152623" w:rsidP="00956035">
      <w:pPr>
        <w:pStyle w:val="Textonotapie"/>
        <w:jc w:val="both"/>
        <w:rPr>
          <w:rFonts w:cs="Times New Roman"/>
          <w:szCs w:val="24"/>
          <w:shd w:val="clear" w:color="auto" w:fill="FFFFFF"/>
        </w:rPr>
      </w:pPr>
      <w:r w:rsidRPr="004906CE">
        <w:rPr>
          <w:rStyle w:val="Refdenotaalpie"/>
        </w:rPr>
        <w:footnoteRef/>
      </w:r>
      <w:r w:rsidRPr="004906CE">
        <w:rPr>
          <w:rFonts w:cs="Times New Roman"/>
          <w:szCs w:val="24"/>
          <w:shd w:val="clear" w:color="auto" w:fill="FFFFFF"/>
        </w:rPr>
        <w:t xml:space="preserve">Cruz Martín, </w:t>
      </w:r>
      <w:r w:rsidR="00406025" w:rsidRPr="004906CE">
        <w:rPr>
          <w:rFonts w:cs="Times New Roman"/>
          <w:szCs w:val="24"/>
          <w:shd w:val="clear" w:color="auto" w:fill="FFFFFF"/>
        </w:rPr>
        <w:t>María</w:t>
      </w:r>
      <w:r w:rsidRPr="004906CE">
        <w:rPr>
          <w:rFonts w:cs="Times New Roman"/>
          <w:szCs w:val="24"/>
          <w:shd w:val="clear" w:color="auto" w:fill="FFFFFF"/>
        </w:rPr>
        <w:t xml:space="preserve"> del Carmen. “Puigdemont anuncia el referéndum independentista unilateral para el 1 de octubre”. </w:t>
      </w:r>
      <w:r w:rsidRPr="004906CE">
        <w:rPr>
          <w:rFonts w:cs="Times New Roman"/>
          <w:i/>
          <w:szCs w:val="24"/>
          <w:shd w:val="clear" w:color="auto" w:fill="FFFFFF"/>
        </w:rPr>
        <w:t>RTVE</w:t>
      </w:r>
      <w:r w:rsidRPr="004906CE">
        <w:rPr>
          <w:rFonts w:cs="Times New Roman"/>
          <w:szCs w:val="24"/>
          <w:shd w:val="clear" w:color="auto" w:fill="FFFFFF"/>
        </w:rPr>
        <w:t xml:space="preserve">, de 9 de junio de 2017. </w:t>
      </w:r>
    </w:p>
    <w:p w:rsidR="00152623" w:rsidRPr="004906CE" w:rsidRDefault="00152623" w:rsidP="00956035">
      <w:pPr>
        <w:pStyle w:val="Textonotapie"/>
        <w:jc w:val="both"/>
      </w:pPr>
      <w:r w:rsidRPr="004906CE">
        <w:rPr>
          <w:rFonts w:cs="Times New Roman"/>
          <w:szCs w:val="24"/>
          <w:shd w:val="clear" w:color="auto" w:fill="FFFFFF"/>
        </w:rPr>
        <w:t>Recuperado de:http://www.rtve.es/noticias/20170609/puigdemont-anuncia-referendum-independentista-unilateral-para-1-octubre/1562165.shtml.</w:t>
      </w:r>
    </w:p>
  </w:footnote>
  <w:footnote w:id="33">
    <w:p w:rsidR="00152623" w:rsidRPr="004906CE" w:rsidRDefault="00152623" w:rsidP="00956035">
      <w:pPr>
        <w:pStyle w:val="Textonotapie"/>
        <w:jc w:val="both"/>
      </w:pPr>
      <w:r w:rsidRPr="004906CE">
        <w:rPr>
          <w:rStyle w:val="Refdenotaalpie"/>
        </w:rPr>
        <w:footnoteRef/>
      </w:r>
      <w:r w:rsidRPr="004906CE">
        <w:t>Ley 19/2017, de 6 de septiembre, de referéndum de autodeterminación</w:t>
      </w:r>
      <w:r w:rsidRPr="00B07019">
        <w:t xml:space="preserve">. </w:t>
      </w:r>
      <w:r w:rsidR="00B07019" w:rsidRPr="00B07019">
        <w:t xml:space="preserve">DOGC núm. </w:t>
      </w:r>
      <w:r w:rsidRPr="00B07019">
        <w:t>7449ª, de 6 de septiembre de 2017</w:t>
      </w:r>
    </w:p>
  </w:footnote>
  <w:footnote w:id="34">
    <w:p w:rsidR="00152623" w:rsidRDefault="00152623" w:rsidP="00956035">
      <w:pPr>
        <w:pStyle w:val="Textonotapie"/>
        <w:jc w:val="both"/>
      </w:pPr>
      <w:r w:rsidRPr="004906CE">
        <w:rPr>
          <w:rStyle w:val="Refdenotaalpie"/>
        </w:rPr>
        <w:footnoteRef/>
      </w:r>
      <w:r w:rsidRPr="004906CE">
        <w:t xml:space="preserve">Providencia del Tribunal Constitucional de 7/09/2017 respecto al Recurso de inconstitucionalidad 4334-2017. Boletín Oficial del Estado </w:t>
      </w:r>
      <w:r w:rsidR="00406025" w:rsidRPr="004906CE">
        <w:t>núm.</w:t>
      </w:r>
      <w:r w:rsidRPr="004906CE">
        <w:t xml:space="preserve">  216, de 8 de septiembre de 2017.</w:t>
      </w:r>
    </w:p>
  </w:footnote>
  <w:footnote w:id="35">
    <w:p w:rsidR="00152623" w:rsidRDefault="00152623" w:rsidP="00956035">
      <w:pPr>
        <w:pStyle w:val="Textonotapie"/>
        <w:jc w:val="both"/>
        <w:rPr>
          <w:rFonts w:cs="Times New Roman"/>
          <w:szCs w:val="24"/>
          <w:shd w:val="clear" w:color="auto" w:fill="FFFFFF"/>
        </w:rPr>
      </w:pPr>
      <w:r w:rsidRPr="004906CE">
        <w:rPr>
          <w:rStyle w:val="Refdenotaalpie"/>
        </w:rPr>
        <w:footnoteRef/>
      </w:r>
      <w:r w:rsidRPr="004906CE">
        <w:rPr>
          <w:rFonts w:cs="Times New Roman"/>
          <w:szCs w:val="24"/>
          <w:shd w:val="clear" w:color="auto" w:fill="FFFFFF"/>
        </w:rPr>
        <w:t xml:space="preserve">Agencias. “El Govern desoirá al Tribunal Constitucional si anula la ley del referéndum “con todas las consecuencias””. </w:t>
      </w:r>
      <w:r w:rsidRPr="004906CE">
        <w:rPr>
          <w:rFonts w:cs="Times New Roman"/>
          <w:i/>
          <w:szCs w:val="24"/>
          <w:shd w:val="clear" w:color="auto" w:fill="FFFFFF"/>
        </w:rPr>
        <w:t>RTVE</w:t>
      </w:r>
      <w:r w:rsidRPr="004906CE">
        <w:rPr>
          <w:rFonts w:cs="Times New Roman"/>
          <w:szCs w:val="24"/>
          <w:shd w:val="clear" w:color="auto" w:fill="FFFFFF"/>
        </w:rPr>
        <w:t xml:space="preserve">, de 29 de agosto de 2017. </w:t>
      </w:r>
    </w:p>
    <w:p w:rsidR="00152623" w:rsidRPr="004906CE" w:rsidRDefault="00152623" w:rsidP="00956035">
      <w:pPr>
        <w:pStyle w:val="Textonotapie"/>
        <w:jc w:val="both"/>
      </w:pPr>
      <w:r w:rsidRPr="004906CE">
        <w:rPr>
          <w:rFonts w:cs="Times New Roman"/>
          <w:szCs w:val="24"/>
          <w:shd w:val="clear" w:color="auto" w:fill="FFFFFF"/>
        </w:rPr>
        <w:t>Recuperado de:http://www.rtve.es/noticias/20170829/consejero-interior-dice-catalanes-estan-amenazados-independencia-necesaria-para-subsistir/1605261.shtml.</w:t>
      </w:r>
    </w:p>
  </w:footnote>
  <w:footnote w:id="36">
    <w:p w:rsidR="00152623" w:rsidRPr="004906CE" w:rsidRDefault="00152623" w:rsidP="00956035">
      <w:pPr>
        <w:pStyle w:val="Textonotapie"/>
        <w:jc w:val="both"/>
      </w:pPr>
      <w:r w:rsidRPr="004906CE">
        <w:rPr>
          <w:rStyle w:val="Refdenotaalpie"/>
        </w:rPr>
        <w:footnoteRef/>
      </w:r>
      <w:r w:rsidRPr="004906CE">
        <w:t>Resolución 2625, de Declaración sobre los principios de Derecho Internacional referente a las relaciones de amistad y a la cooperación entre los Estados de conformidad con la Carta de las Naciones Unidas. XXV periodo. Asamblea de</w:t>
      </w:r>
      <w:r>
        <w:t xml:space="preserve"> la ONU de </w:t>
      </w:r>
      <w:r w:rsidRPr="004906CE">
        <w:t>24 de octubre de 1970.</w:t>
      </w:r>
    </w:p>
  </w:footnote>
  <w:footnote w:id="37">
    <w:p w:rsidR="00152623" w:rsidRPr="004906CE" w:rsidRDefault="00152623" w:rsidP="00956035">
      <w:pPr>
        <w:pStyle w:val="Textonotapie"/>
        <w:jc w:val="both"/>
      </w:pPr>
      <w:r w:rsidRPr="004906CE">
        <w:rPr>
          <w:rStyle w:val="Refdenotaalpie"/>
        </w:rPr>
        <w:footnoteRef/>
      </w:r>
      <w:r w:rsidRPr="004906CE">
        <w:t>Resolución 2200 A de Pacto Internacional de Derechos Económicos, Sociales y Culturales, Pacto Internacional de Derechos Civiles y Políticos y Protocolo Facultativo del Pacto Internacional de Derechos Civiles y Políticos. XXI periodo de sesiones. Asamblea de la Organización Naciones Unidas de 16 de diciembre de 1966.</w:t>
      </w:r>
    </w:p>
  </w:footnote>
  <w:footnote w:id="38">
    <w:p w:rsidR="00152623" w:rsidRPr="004906CE" w:rsidRDefault="00152623" w:rsidP="00956035">
      <w:pPr>
        <w:pStyle w:val="Textonotapie"/>
        <w:jc w:val="both"/>
      </w:pPr>
      <w:r w:rsidRPr="004906CE">
        <w:rPr>
          <w:rStyle w:val="Refdenotaalpie"/>
        </w:rPr>
        <w:footnoteRef/>
      </w:r>
      <w:r w:rsidRPr="004906CE">
        <w:t>Carta de las Naciones Unidas. Asamblea de la ONU. San Francisco, Estados Unidos,  26 de junio de 1945.</w:t>
      </w:r>
    </w:p>
  </w:footnote>
  <w:footnote w:id="39">
    <w:p w:rsidR="00152623" w:rsidRDefault="00152623" w:rsidP="00956035">
      <w:pPr>
        <w:pStyle w:val="Textonotapie"/>
        <w:jc w:val="both"/>
      </w:pPr>
      <w:r w:rsidRPr="004906CE">
        <w:rPr>
          <w:rStyle w:val="Refdenotaalpie"/>
        </w:rPr>
        <w:footnoteRef/>
      </w:r>
      <w:r w:rsidRPr="004906CE">
        <w:t>Resolución 1541 sobre Principios que deben servir de guía a los Estados Miembros para determinar si existe o no la obligación de transmitir la información que se pide en el inciso E del artículo 73 de la Carta. XV periodo de sesiones. Asamblea de la ONU de  15 de diciembre de 1960)</w:t>
      </w:r>
    </w:p>
  </w:footnote>
  <w:footnote w:id="40">
    <w:p w:rsidR="00152623" w:rsidRPr="004906CE" w:rsidRDefault="00152623" w:rsidP="00956035">
      <w:pPr>
        <w:spacing w:line="360" w:lineRule="auto"/>
        <w:jc w:val="both"/>
      </w:pPr>
      <w:r w:rsidRPr="004906CE">
        <w:rPr>
          <w:rStyle w:val="Refdenotaalpie"/>
        </w:rPr>
        <w:footnoteRef/>
      </w:r>
      <w:r w:rsidRPr="004906CE">
        <w:rPr>
          <w:sz w:val="20"/>
          <w:szCs w:val="20"/>
        </w:rPr>
        <w:t>Resolución 1514 sobre la Declaración de la concesión de la independencia a los países y pueblos coloniales</w:t>
      </w:r>
      <w:r w:rsidRPr="004906CE">
        <w:rPr>
          <w:i/>
          <w:sz w:val="20"/>
          <w:szCs w:val="20"/>
        </w:rPr>
        <w:t>.</w:t>
      </w:r>
      <w:r w:rsidRPr="004906CE">
        <w:rPr>
          <w:sz w:val="20"/>
          <w:szCs w:val="20"/>
        </w:rPr>
        <w:t xml:space="preserve"> XV periodo de sesiones. Asamblea de la ONU de  14 de diciembre de 1960.</w:t>
      </w:r>
    </w:p>
    <w:p w:rsidR="00152623" w:rsidRDefault="00152623">
      <w:pPr>
        <w:pStyle w:val="Textonotapie"/>
      </w:pPr>
    </w:p>
  </w:footnote>
  <w:footnote w:id="41">
    <w:p w:rsidR="00152623" w:rsidRPr="004906CE" w:rsidRDefault="00152623" w:rsidP="00956035">
      <w:pPr>
        <w:spacing w:line="360" w:lineRule="auto"/>
        <w:rPr>
          <w:sz w:val="20"/>
          <w:szCs w:val="20"/>
        </w:rPr>
      </w:pPr>
      <w:r w:rsidRPr="004906CE">
        <w:rPr>
          <w:rStyle w:val="Refdenotaalpie"/>
          <w:sz w:val="20"/>
          <w:szCs w:val="20"/>
        </w:rPr>
        <w:footnoteRef/>
      </w:r>
      <w:r w:rsidRPr="004906CE">
        <w:rPr>
          <w:sz w:val="20"/>
          <w:szCs w:val="20"/>
        </w:rPr>
        <w:t>Organización Naciones Unidas 2008. Recuperado de: http://www.un.org/es/decolonization/nonselfgovterritories.shtml.</w:t>
      </w:r>
    </w:p>
    <w:p w:rsidR="00152623" w:rsidRDefault="00152623">
      <w:pPr>
        <w:pStyle w:val="Textonotapie"/>
      </w:pPr>
    </w:p>
  </w:footnote>
  <w:footnote w:id="42">
    <w:p w:rsidR="00152623" w:rsidRPr="00D1166A" w:rsidRDefault="00152623" w:rsidP="00956035">
      <w:pPr>
        <w:pStyle w:val="Textonotapie"/>
        <w:jc w:val="both"/>
      </w:pPr>
      <w:r w:rsidRPr="00D1166A">
        <w:rPr>
          <w:rStyle w:val="Refdenotaalpie"/>
        </w:rPr>
        <w:footnoteRef/>
      </w:r>
      <w:r w:rsidRPr="00D1166A">
        <w:t xml:space="preserve">Ley 19/2017, de 6 de septiembre, de referéndum de </w:t>
      </w:r>
      <w:r w:rsidRPr="00B07019">
        <w:t xml:space="preserve">autodeterminación. </w:t>
      </w:r>
      <w:r w:rsidR="00B07019" w:rsidRPr="00B07019">
        <w:t xml:space="preserve">DOGC núm. </w:t>
      </w:r>
      <w:r w:rsidRPr="00B07019">
        <w:t>7449ª</w:t>
      </w:r>
      <w:r w:rsidRPr="00D1166A">
        <w:t>, de 6 de septiembre de 2017</w:t>
      </w:r>
    </w:p>
  </w:footnote>
  <w:footnote w:id="43">
    <w:p w:rsidR="00152623" w:rsidRDefault="00152623" w:rsidP="00956035">
      <w:pPr>
        <w:pStyle w:val="Textonotapie"/>
        <w:jc w:val="both"/>
        <w:rPr>
          <w:rFonts w:cs="Times New Roman"/>
          <w:szCs w:val="24"/>
          <w:shd w:val="clear" w:color="auto" w:fill="FFFFFF"/>
        </w:rPr>
      </w:pPr>
      <w:r w:rsidRPr="00D1166A">
        <w:rPr>
          <w:rStyle w:val="Refdenotaalpie"/>
        </w:rPr>
        <w:footnoteRef/>
      </w:r>
      <w:r w:rsidRPr="00D1166A">
        <w:rPr>
          <w:rFonts w:cs="Times New Roman"/>
          <w:szCs w:val="24"/>
          <w:shd w:val="clear" w:color="auto" w:fill="FFFFFF"/>
        </w:rPr>
        <w:t>Tejero Martín, María. “La autodeterminación es un derecho de los pueblos, y en Cataluña solo hay uno”.</w:t>
      </w:r>
      <w:r w:rsidRPr="00D1166A">
        <w:rPr>
          <w:rFonts w:cs="Times New Roman"/>
          <w:i/>
          <w:szCs w:val="24"/>
          <w:shd w:val="clear" w:color="auto" w:fill="FFFFFF"/>
        </w:rPr>
        <w:t xml:space="preserve"> El Confidencial</w:t>
      </w:r>
      <w:r w:rsidRPr="00D1166A">
        <w:rPr>
          <w:rFonts w:cs="Times New Roman"/>
          <w:szCs w:val="24"/>
          <w:shd w:val="clear" w:color="auto" w:fill="FFFFFF"/>
        </w:rPr>
        <w:t xml:space="preserve">, de 26 de septiembre de 2017. </w:t>
      </w:r>
    </w:p>
    <w:p w:rsidR="00152623" w:rsidRPr="00D1166A" w:rsidRDefault="00152623" w:rsidP="00956035">
      <w:pPr>
        <w:pStyle w:val="Textonotapie"/>
        <w:jc w:val="both"/>
      </w:pPr>
      <w:r w:rsidRPr="00D1166A">
        <w:rPr>
          <w:rFonts w:cs="Times New Roman"/>
          <w:szCs w:val="24"/>
          <w:shd w:val="clear" w:color="auto" w:fill="FFFFFF"/>
        </w:rPr>
        <w:t>Recuperado de:https://www.elconfidencial.com/espana/cataluna/2017-09-26/referendum-cataluna-forcadell-autodeterminacion-derecho-pueblos_1450287/.</w:t>
      </w:r>
    </w:p>
  </w:footnote>
  <w:footnote w:id="44">
    <w:p w:rsidR="00152623" w:rsidRDefault="00152623" w:rsidP="00956035">
      <w:pPr>
        <w:pStyle w:val="Textonotapie"/>
        <w:jc w:val="both"/>
        <w:rPr>
          <w:rFonts w:cs="Times New Roman"/>
          <w:szCs w:val="24"/>
          <w:shd w:val="clear" w:color="auto" w:fill="FFFFFF"/>
        </w:rPr>
      </w:pPr>
      <w:r w:rsidRPr="00D1166A">
        <w:rPr>
          <w:rStyle w:val="Refdenotaalpie"/>
        </w:rPr>
        <w:footnoteRef/>
      </w:r>
      <w:r w:rsidRPr="00D1166A">
        <w:rPr>
          <w:rFonts w:cs="Times New Roman"/>
          <w:szCs w:val="24"/>
          <w:shd w:val="clear" w:color="auto" w:fill="FFFFFF"/>
        </w:rPr>
        <w:t xml:space="preserve">Europa Press. “Consejero catalán sitúa el derecho a la autodeterminación “por encima de las constituciones””. </w:t>
      </w:r>
      <w:r w:rsidRPr="00D1166A">
        <w:rPr>
          <w:rFonts w:cs="Times New Roman"/>
          <w:i/>
          <w:szCs w:val="24"/>
          <w:shd w:val="clear" w:color="auto" w:fill="FFFFFF"/>
        </w:rPr>
        <w:t>El Diario</w:t>
      </w:r>
      <w:r w:rsidRPr="00D1166A">
        <w:rPr>
          <w:rFonts w:cs="Times New Roman"/>
          <w:szCs w:val="24"/>
          <w:shd w:val="clear" w:color="auto" w:fill="FFFFFF"/>
        </w:rPr>
        <w:t xml:space="preserve">, de 25 de septiembre de 2017. </w:t>
      </w:r>
    </w:p>
    <w:p w:rsidR="00152623" w:rsidRDefault="00152623" w:rsidP="00956035">
      <w:pPr>
        <w:pStyle w:val="Textonotapie"/>
        <w:jc w:val="both"/>
      </w:pPr>
      <w:r w:rsidRPr="00D1166A">
        <w:rPr>
          <w:rFonts w:cs="Times New Roman"/>
          <w:szCs w:val="24"/>
          <w:shd w:val="clear" w:color="auto" w:fill="FFFFFF"/>
        </w:rPr>
        <w:t>Recuperado de:</w:t>
      </w:r>
      <w:r w:rsidRPr="00D1166A">
        <w:t>https://www.eldiario.es/politica/Consejero-catalan-derecho-autodeterminacion-constituciones_0_690481418.html</w:t>
      </w:r>
    </w:p>
  </w:footnote>
  <w:footnote w:id="45">
    <w:p w:rsidR="00152623" w:rsidRPr="004906CE" w:rsidRDefault="00152623" w:rsidP="00956035">
      <w:pPr>
        <w:pStyle w:val="Textonotapie"/>
        <w:jc w:val="both"/>
      </w:pPr>
      <w:r w:rsidRPr="004906CE">
        <w:rPr>
          <w:rStyle w:val="Refdenotaalpie"/>
        </w:rPr>
        <w:footnoteRef/>
      </w:r>
      <w:r w:rsidRPr="004906CE">
        <w:t xml:space="preserve">Resolución 1541 sobre Principios que deben servir de guía a los Estados Miembros para determinar si existe o no la obligación de transmitir la información que se pide en el inciso E del artículo 73 de la Carta. XV periodo de sesiones. Asamblea de la ONU </w:t>
      </w:r>
      <w:r>
        <w:t>de  15 de diciembre de 1960.</w:t>
      </w:r>
    </w:p>
  </w:footnote>
  <w:footnote w:id="46">
    <w:p w:rsidR="00152623" w:rsidRDefault="00152623" w:rsidP="00956035">
      <w:pPr>
        <w:pStyle w:val="Textonotapie"/>
        <w:jc w:val="both"/>
        <w:rPr>
          <w:rFonts w:cs="Times New Roman"/>
          <w:szCs w:val="24"/>
          <w:shd w:val="clear" w:color="auto" w:fill="FFFFFF"/>
        </w:rPr>
      </w:pPr>
      <w:r w:rsidRPr="004906CE">
        <w:rPr>
          <w:rStyle w:val="Refdenotaalpie"/>
        </w:rPr>
        <w:footnoteRef/>
      </w:r>
      <w:r w:rsidRPr="004906CE">
        <w:rPr>
          <w:rFonts w:cs="Times New Roman"/>
          <w:szCs w:val="24"/>
          <w:shd w:val="clear" w:color="auto" w:fill="FFFFFF"/>
        </w:rPr>
        <w:t xml:space="preserve">F.J.P. “400 profesores de Derecho Internacional desmontan los argumentos del referéndum catalán”. </w:t>
      </w:r>
      <w:r w:rsidRPr="004906CE">
        <w:rPr>
          <w:rFonts w:cs="Times New Roman"/>
          <w:i/>
          <w:szCs w:val="24"/>
          <w:shd w:val="clear" w:color="auto" w:fill="FFFFFF"/>
        </w:rPr>
        <w:t>El País</w:t>
      </w:r>
      <w:r w:rsidRPr="004906CE">
        <w:rPr>
          <w:rFonts w:cs="Times New Roman"/>
          <w:szCs w:val="24"/>
          <w:shd w:val="clear" w:color="auto" w:fill="FFFFFF"/>
        </w:rPr>
        <w:t xml:space="preserve">, de 26 de septiembre de 2017. </w:t>
      </w:r>
    </w:p>
    <w:p w:rsidR="00152623" w:rsidRPr="004906CE" w:rsidRDefault="00152623" w:rsidP="00956035">
      <w:pPr>
        <w:pStyle w:val="Textonotapie"/>
        <w:jc w:val="both"/>
        <w:rPr>
          <w:rFonts w:cs="Times New Roman"/>
          <w:szCs w:val="24"/>
          <w:shd w:val="clear" w:color="auto" w:fill="FFFFFF"/>
        </w:rPr>
      </w:pPr>
      <w:r w:rsidRPr="004906CE">
        <w:rPr>
          <w:rFonts w:cs="Times New Roman"/>
          <w:szCs w:val="24"/>
          <w:shd w:val="clear" w:color="auto" w:fill="FFFFFF"/>
        </w:rPr>
        <w:t>Recuperado de: https://politica.elpais.com/politica/2017/09/26/actualidad/1506424550_261561.html.</w:t>
      </w:r>
    </w:p>
  </w:footnote>
  <w:footnote w:id="47">
    <w:p w:rsidR="00152623" w:rsidRDefault="00152623" w:rsidP="00956035">
      <w:pPr>
        <w:pStyle w:val="Textonotapie"/>
        <w:jc w:val="both"/>
      </w:pPr>
      <w:r w:rsidRPr="004906CE">
        <w:rPr>
          <w:rStyle w:val="Refdenotaalpie"/>
        </w:rPr>
        <w:footnoteRef/>
      </w:r>
      <w:r w:rsidRPr="004906CE">
        <w:rPr>
          <w:rFonts w:cs="Times New Roman"/>
          <w:szCs w:val="24"/>
          <w:shd w:val="clear" w:color="auto" w:fill="FFFFFF"/>
        </w:rPr>
        <w:t xml:space="preserve">García, Fernando. “Ban Ki Mun: “Cataluña no está en la categoría de territorios con derecho a la autodeterminación””. </w:t>
      </w:r>
      <w:r w:rsidRPr="004906CE">
        <w:rPr>
          <w:rFonts w:cs="Times New Roman"/>
          <w:i/>
          <w:szCs w:val="24"/>
          <w:shd w:val="clear" w:color="auto" w:fill="FFFFFF"/>
        </w:rPr>
        <w:t>La Vanguardia</w:t>
      </w:r>
      <w:r w:rsidRPr="004906CE">
        <w:rPr>
          <w:rFonts w:cs="Times New Roman"/>
          <w:szCs w:val="24"/>
          <w:shd w:val="clear" w:color="auto" w:fill="FFFFFF"/>
        </w:rPr>
        <w:t>, de 31 de octubre de 2015. Recuperado de: http://www.lavanguardia.com/politica/20151030/54438498099/ban-ki-moon-catalunya-derecho-autodeterminacion.html.</w:t>
      </w:r>
    </w:p>
  </w:footnote>
  <w:footnote w:id="48">
    <w:p w:rsidR="00152623" w:rsidRDefault="00152623" w:rsidP="00956035">
      <w:pPr>
        <w:pStyle w:val="Textonotapie"/>
        <w:jc w:val="both"/>
      </w:pPr>
      <w:r w:rsidRPr="004906CE">
        <w:rPr>
          <w:rStyle w:val="Refdenotaalpie"/>
        </w:rPr>
        <w:footnoteRef/>
      </w:r>
      <w:r w:rsidRPr="004906CE">
        <w:t xml:space="preserve">Bombillar Sáenz, Francisco Miguel 2017. </w:t>
      </w:r>
      <w:r w:rsidRPr="004906CE">
        <w:rPr>
          <w:i/>
        </w:rPr>
        <w:t>El sistema constitucional de Reino Unido</w:t>
      </w:r>
      <w:r w:rsidRPr="004906CE">
        <w:t xml:space="preserve"> (Estudio). Granada, Universidad de Granada. </w:t>
      </w:r>
    </w:p>
    <w:p w:rsidR="00152623" w:rsidRPr="004906CE" w:rsidRDefault="00152623" w:rsidP="00956035">
      <w:pPr>
        <w:pStyle w:val="Textonotapie"/>
        <w:jc w:val="both"/>
      </w:pPr>
      <w:r w:rsidRPr="004906CE">
        <w:t>Recuperado de: http://www.ugr.es/~redce/REDCE15/articulos/03FMBombillar.htm</w:t>
      </w:r>
    </w:p>
  </w:footnote>
  <w:footnote w:id="49">
    <w:p w:rsidR="00152623" w:rsidRPr="004906CE" w:rsidRDefault="00152623" w:rsidP="00956035">
      <w:pPr>
        <w:pStyle w:val="Textonotapie"/>
        <w:jc w:val="both"/>
      </w:pPr>
      <w:r w:rsidRPr="004906CE">
        <w:rPr>
          <w:rStyle w:val="Refdenotaalpie"/>
        </w:rPr>
        <w:footnoteRef/>
      </w:r>
      <w:r w:rsidRPr="004906CE">
        <w:rPr>
          <w:lang w:val="en-US"/>
        </w:rPr>
        <w:t xml:space="preserve">Maciness, Allan. “Acts of Union, The creation of the United Kingdom”. </w:t>
      </w:r>
      <w:r w:rsidRPr="004906CE">
        <w:rPr>
          <w:i/>
        </w:rPr>
        <w:t xml:space="preserve">BBC, </w:t>
      </w:r>
      <w:r w:rsidRPr="004906CE">
        <w:t>de 17 de febrero de 2011. Recuperado de: http://www.bbc.co.uk/history/british/empire_seapower/acts_of_union_01.shtml</w:t>
      </w:r>
    </w:p>
  </w:footnote>
  <w:footnote w:id="50">
    <w:p w:rsidR="00152623" w:rsidRPr="004906CE" w:rsidRDefault="00152623" w:rsidP="00956035">
      <w:pPr>
        <w:pStyle w:val="Textonotapie"/>
        <w:jc w:val="both"/>
      </w:pPr>
      <w:r w:rsidRPr="004906CE">
        <w:rPr>
          <w:rStyle w:val="Refdenotaalpie"/>
        </w:rPr>
        <w:footnoteRef/>
      </w:r>
      <w:r w:rsidRPr="004906CE">
        <w:t xml:space="preserve">Oppenheimer, Walter. “Histórico triunfo independentista en Escocia”. </w:t>
      </w:r>
      <w:r w:rsidRPr="004906CE">
        <w:rPr>
          <w:i/>
        </w:rPr>
        <w:t xml:space="preserve">El País, </w:t>
      </w:r>
      <w:r w:rsidRPr="004906CE">
        <w:t>de 6 de mayo de 2011. Recuperado de: https://elpais.com/internacional/2011/05/06/actualidad/1304632806_850215.html</w:t>
      </w:r>
    </w:p>
  </w:footnote>
  <w:footnote w:id="51">
    <w:p w:rsidR="00152623" w:rsidRPr="004906CE" w:rsidRDefault="00152623" w:rsidP="00956035">
      <w:pPr>
        <w:pStyle w:val="Textonotapie"/>
        <w:jc w:val="both"/>
      </w:pPr>
      <w:r w:rsidRPr="004906CE">
        <w:rPr>
          <w:rStyle w:val="Refdenotaalpie"/>
        </w:rPr>
        <w:footnoteRef/>
      </w:r>
      <w:r w:rsidRPr="004906CE">
        <w:t xml:space="preserve"> EFE. “Cameron y Salmond firman el acuerdo para el referéndum por la independencia de Escocia”. </w:t>
      </w:r>
      <w:r w:rsidRPr="004906CE">
        <w:rPr>
          <w:i/>
        </w:rPr>
        <w:t xml:space="preserve">La Vanguardia, </w:t>
      </w:r>
      <w:r w:rsidRPr="004906CE">
        <w:t>de 16 de octubre de 2012. Recuperado de: http://www.rtve.es/noticias/20140914/claves-del-referendum-independencia-escocia/1010400.shtml</w:t>
      </w:r>
    </w:p>
  </w:footnote>
  <w:footnote w:id="52">
    <w:p w:rsidR="00152623" w:rsidRPr="004906CE" w:rsidRDefault="00152623" w:rsidP="00956035">
      <w:pPr>
        <w:pStyle w:val="Textonotapie"/>
        <w:jc w:val="both"/>
      </w:pPr>
      <w:r w:rsidRPr="004906CE">
        <w:rPr>
          <w:rStyle w:val="Refdenotaalpie"/>
        </w:rPr>
        <w:footnoteRef/>
      </w:r>
      <w:r w:rsidRPr="004906CE">
        <w:t xml:space="preserve"> Vallejo, Mario. Las claves del referéndum de independencia de Escocia. </w:t>
      </w:r>
      <w:r w:rsidRPr="004906CE">
        <w:rPr>
          <w:i/>
        </w:rPr>
        <w:t xml:space="preserve">RTVE, </w:t>
      </w:r>
      <w:r w:rsidRPr="004906CE">
        <w:t>de 14 de septiembre de 2014. Recuperado de: http://www.rtve.es/noticias/20140914/claves-del-referendum-independencia-escocia/1010400.shtml.</w:t>
      </w:r>
    </w:p>
  </w:footnote>
  <w:footnote w:id="53">
    <w:p w:rsidR="00152623" w:rsidRPr="00B9121F" w:rsidRDefault="00152623" w:rsidP="00956035">
      <w:pPr>
        <w:pStyle w:val="Textonotapie"/>
        <w:jc w:val="both"/>
        <w:rPr>
          <w:lang w:val="en-US"/>
        </w:rPr>
      </w:pPr>
      <w:r w:rsidRPr="004906CE">
        <w:rPr>
          <w:rStyle w:val="Refdenotaalpie"/>
        </w:rPr>
        <w:footnoteRef/>
      </w:r>
      <w:r w:rsidRPr="00B9121F">
        <w:rPr>
          <w:lang w:val="en-US"/>
        </w:rPr>
        <w:t xml:space="preserve"> Scotland Act of 1998, capítulo 5. National archive 1998 c.46 de 19 de noviembre de 1998.</w:t>
      </w:r>
    </w:p>
  </w:footnote>
  <w:footnote w:id="54">
    <w:p w:rsidR="00152623" w:rsidRPr="004906CE" w:rsidRDefault="00152623" w:rsidP="00956035">
      <w:pPr>
        <w:pStyle w:val="Textonotapie"/>
        <w:jc w:val="both"/>
      </w:pPr>
      <w:r w:rsidRPr="004906CE">
        <w:rPr>
          <w:rStyle w:val="Refdenotaalpie"/>
        </w:rPr>
        <w:footnoteRef/>
      </w:r>
      <w:r w:rsidRPr="004906CE">
        <w:rPr>
          <w:lang w:val="en-US"/>
        </w:rPr>
        <w:t xml:space="preserve"> Agreement between the United Kingdom Government and the Scottish Government on a referendum on independence for Scotland. </w:t>
      </w:r>
      <w:r w:rsidRPr="004906CE">
        <w:t>National archive 2012 CAB 311, de 15 de octubre de 2012</w:t>
      </w:r>
    </w:p>
  </w:footnote>
  <w:footnote w:id="55">
    <w:p w:rsidR="00152623" w:rsidRPr="005F38D7" w:rsidRDefault="00152623" w:rsidP="00956035">
      <w:pPr>
        <w:pStyle w:val="Textonotapie"/>
        <w:jc w:val="both"/>
        <w:rPr>
          <w:color w:val="FF0000"/>
        </w:rPr>
      </w:pPr>
      <w:r w:rsidRPr="004906CE">
        <w:rPr>
          <w:rStyle w:val="Refdenotaalpie"/>
        </w:rPr>
        <w:footnoteRef/>
      </w:r>
      <w:r w:rsidRPr="004906CE">
        <w:t xml:space="preserve"> Scottish Independence Referéndum Act of 2013.  National archive 2013 asp 14 de 14 de noviembre de 2013.</w:t>
      </w:r>
    </w:p>
  </w:footnote>
  <w:footnote w:id="56">
    <w:p w:rsidR="00152623" w:rsidRDefault="00152623" w:rsidP="00956035">
      <w:pPr>
        <w:pStyle w:val="Textonotapie"/>
      </w:pPr>
      <w:r w:rsidRPr="004906CE">
        <w:rPr>
          <w:rStyle w:val="Refdenotaalpie"/>
        </w:rPr>
        <w:footnoteRef/>
      </w:r>
      <w:r w:rsidRPr="004906CE">
        <w:t xml:space="preserve">Amade Castro, Emilio; Aguirre, Javier; Sánchez, Juan C. “Los resultados del referéndum en Escocia. </w:t>
      </w:r>
      <w:r w:rsidRPr="004906CE">
        <w:rPr>
          <w:i/>
        </w:rPr>
        <w:t>El Mundo</w:t>
      </w:r>
      <w:r w:rsidRPr="004906CE">
        <w:t xml:space="preserve">, actualizado el 26 de septiembre de 2014. </w:t>
      </w:r>
    </w:p>
    <w:p w:rsidR="00152623" w:rsidRPr="004906CE" w:rsidRDefault="00152623" w:rsidP="00956035">
      <w:pPr>
        <w:pStyle w:val="Textonotapie"/>
      </w:pPr>
      <w:r w:rsidRPr="004906CE">
        <w:t xml:space="preserve">Recuperado de: http://www.elmundo.es/grafico/internacional/2014/09/19/541c2725ca47416f228b457c.html. </w:t>
      </w:r>
    </w:p>
  </w:footnote>
  <w:footnote w:id="57">
    <w:p w:rsidR="00152623" w:rsidRPr="004906CE" w:rsidRDefault="00152623" w:rsidP="00956035">
      <w:pPr>
        <w:pStyle w:val="Textonotapie"/>
        <w:jc w:val="both"/>
        <w:rPr>
          <w:lang w:val="en-US"/>
        </w:rPr>
      </w:pPr>
      <w:r w:rsidRPr="004906CE">
        <w:rPr>
          <w:rStyle w:val="Refdenotaalpie"/>
        </w:rPr>
        <w:footnoteRef/>
      </w:r>
      <w:r w:rsidRPr="004906CE">
        <w:rPr>
          <w:lang w:val="en-US"/>
        </w:rPr>
        <w:t xml:space="preserve"> Nation Motion. House of Commons of Canada, 39</w:t>
      </w:r>
      <w:r w:rsidRPr="004906CE">
        <w:rPr>
          <w:vertAlign w:val="superscript"/>
          <w:lang w:val="en-US"/>
        </w:rPr>
        <w:t>th</w:t>
      </w:r>
      <w:r w:rsidRPr="004906CE">
        <w:rPr>
          <w:lang w:val="en-US"/>
        </w:rPr>
        <w:t xml:space="preserve"> parliament, 1</w:t>
      </w:r>
      <w:r w:rsidRPr="004906CE">
        <w:rPr>
          <w:vertAlign w:val="superscript"/>
          <w:lang w:val="en-US"/>
        </w:rPr>
        <w:t>st</w:t>
      </w:r>
      <w:r w:rsidRPr="004906CE">
        <w:rPr>
          <w:lang w:val="en-US"/>
        </w:rPr>
        <w:t xml:space="preserve"> session de 27 de noviembre de 2006.</w:t>
      </w:r>
    </w:p>
  </w:footnote>
  <w:footnote w:id="58">
    <w:p w:rsidR="00152623" w:rsidRPr="004906CE" w:rsidRDefault="00152623" w:rsidP="00956035">
      <w:pPr>
        <w:pStyle w:val="Textonotapie"/>
        <w:jc w:val="both"/>
      </w:pPr>
      <w:r w:rsidRPr="004906CE">
        <w:rPr>
          <w:rStyle w:val="Refdenotaalpie"/>
        </w:rPr>
        <w:footnoteRef/>
      </w:r>
      <w:r w:rsidRPr="004906CE">
        <w:t xml:space="preserve"> González, Ricard. “Cuatro siglos de historia de Quebec”. </w:t>
      </w:r>
      <w:r w:rsidRPr="004906CE">
        <w:rPr>
          <w:i/>
        </w:rPr>
        <w:t xml:space="preserve">El Mundo, </w:t>
      </w:r>
      <w:r w:rsidRPr="004906CE">
        <w:t>de 30 de octubre de 2009.</w:t>
      </w:r>
      <w:r>
        <w:t xml:space="preserve"> Recuperado de: </w:t>
      </w:r>
      <w:r w:rsidRPr="00956035">
        <w:t>http://www.elmundo.es/america/2009/10/31/noticias/1256958011.html</w:t>
      </w:r>
    </w:p>
  </w:footnote>
  <w:footnote w:id="59">
    <w:p w:rsidR="00152623" w:rsidRPr="004906CE" w:rsidRDefault="00152623" w:rsidP="00956035">
      <w:pPr>
        <w:pStyle w:val="Textonotapie"/>
        <w:jc w:val="both"/>
      </w:pPr>
      <w:r w:rsidRPr="004906CE">
        <w:rPr>
          <w:rStyle w:val="Refdenotaalpie"/>
        </w:rPr>
        <w:footnoteRef/>
      </w:r>
      <w:r w:rsidRPr="004906CE">
        <w:t>Dietz, Bernd; López, Angel; Van Aertsselaer, Joanne Neff. “El pacto constitucional del Lago Meech”</w:t>
      </w:r>
      <w:r w:rsidRPr="004906CE">
        <w:rPr>
          <w:i/>
        </w:rPr>
        <w:t xml:space="preserve">Revista española de estudios canadienses. </w:t>
      </w:r>
      <w:r w:rsidRPr="004906CE">
        <w:t>Vol. 1.</w:t>
      </w:r>
    </w:p>
  </w:footnote>
  <w:footnote w:id="60">
    <w:p w:rsidR="00152623" w:rsidRPr="004906CE" w:rsidRDefault="00152623" w:rsidP="00956035">
      <w:pPr>
        <w:pStyle w:val="Textonotapie"/>
        <w:jc w:val="both"/>
      </w:pPr>
      <w:r w:rsidRPr="004906CE">
        <w:rPr>
          <w:rStyle w:val="Refdenotaalpie"/>
        </w:rPr>
        <w:footnoteRef/>
      </w:r>
      <w:r w:rsidRPr="004906CE">
        <w:t xml:space="preserve"> Gómez Barrios, Manuel. “La crisis constitucional entre Canadá y Quebec persiste”. </w:t>
      </w:r>
      <w:r w:rsidRPr="004906CE">
        <w:rPr>
          <w:i/>
        </w:rPr>
        <w:t>Radio Canadá Internacional</w:t>
      </w:r>
      <w:r w:rsidRPr="004906CE">
        <w:t>, de 1 de junio de 2017. Recuperado de: http://www.rcinet.ca/es/2017/06/01/la-crisis-constitucional-entre-canada-y-quebec-persiste/.</w:t>
      </w:r>
    </w:p>
  </w:footnote>
  <w:footnote w:id="61">
    <w:p w:rsidR="00152623" w:rsidRDefault="00152623" w:rsidP="00956035">
      <w:pPr>
        <w:pStyle w:val="Textonotapie"/>
        <w:jc w:val="both"/>
      </w:pPr>
      <w:r w:rsidRPr="004906CE">
        <w:rPr>
          <w:rStyle w:val="Refdenotaalpie"/>
        </w:rPr>
        <w:footnoteRef/>
      </w:r>
      <w:r w:rsidRPr="004906CE">
        <w:t xml:space="preserve"> “El holgado triunfo del “no” en Canadá aumenta la incertidumbre sobre el futuro de Quebec”. </w:t>
      </w:r>
      <w:r w:rsidRPr="004906CE">
        <w:rPr>
          <w:i/>
        </w:rPr>
        <w:t xml:space="preserve">El País, </w:t>
      </w:r>
      <w:r w:rsidRPr="004906CE">
        <w:t xml:space="preserve">de 28 de octubre de 1992. </w:t>
      </w:r>
    </w:p>
    <w:p w:rsidR="00152623" w:rsidRPr="00CD3B77" w:rsidRDefault="00152623" w:rsidP="00956035">
      <w:pPr>
        <w:pStyle w:val="Textonotapie"/>
        <w:jc w:val="both"/>
        <w:rPr>
          <w:color w:val="FF0000"/>
        </w:rPr>
      </w:pPr>
      <w:r w:rsidRPr="004906CE">
        <w:t>Recuperado de: https://elpais.com/diario/1992/10/28/internacional/720226822_850215.html.</w:t>
      </w:r>
    </w:p>
  </w:footnote>
  <w:footnote w:id="62">
    <w:p w:rsidR="00152623" w:rsidRPr="004906CE" w:rsidRDefault="00152623" w:rsidP="00956035">
      <w:pPr>
        <w:jc w:val="both"/>
        <w:rPr>
          <w:sz w:val="20"/>
          <w:szCs w:val="20"/>
        </w:rPr>
      </w:pPr>
      <w:r w:rsidRPr="004906CE">
        <w:rPr>
          <w:rStyle w:val="Refdenotaalpie"/>
          <w:sz w:val="20"/>
          <w:szCs w:val="20"/>
        </w:rPr>
        <w:footnoteRef/>
      </w:r>
      <w:r w:rsidRPr="004906CE">
        <w:rPr>
          <w:sz w:val="20"/>
          <w:szCs w:val="20"/>
        </w:rPr>
        <w:t xml:space="preserve"> Montgomery, Marc. “History: Oct 30, 1995 Theday “Canada” almost</w:t>
      </w:r>
      <w:r>
        <w:rPr>
          <w:sz w:val="20"/>
          <w:szCs w:val="20"/>
        </w:rPr>
        <w:t xml:space="preserve"> </w:t>
      </w:r>
      <w:r w:rsidRPr="004906CE">
        <w:rPr>
          <w:sz w:val="20"/>
          <w:szCs w:val="20"/>
        </w:rPr>
        <w:t xml:space="preserve">disappeared” </w:t>
      </w:r>
      <w:r w:rsidRPr="004906CE">
        <w:rPr>
          <w:i/>
          <w:sz w:val="20"/>
          <w:szCs w:val="20"/>
        </w:rPr>
        <w:t xml:space="preserve">Radio Canadá Internacional, </w:t>
      </w:r>
      <w:r w:rsidRPr="004906CE">
        <w:rPr>
          <w:sz w:val="20"/>
          <w:szCs w:val="20"/>
        </w:rPr>
        <w:t>de 30 de octubre de 2015</w:t>
      </w:r>
    </w:p>
  </w:footnote>
  <w:footnote w:id="63">
    <w:p w:rsidR="00152623" w:rsidRPr="004906CE" w:rsidRDefault="00152623" w:rsidP="00956035">
      <w:pPr>
        <w:pStyle w:val="Textonotapie"/>
        <w:jc w:val="both"/>
      </w:pPr>
      <w:r w:rsidRPr="004906CE">
        <w:rPr>
          <w:rStyle w:val="Refdenotaalpie"/>
        </w:rPr>
        <w:footnoteRef/>
      </w:r>
      <w:r w:rsidRPr="004906CE">
        <w:t xml:space="preserve"> “Las fuentes del derecho canadiense”, 2007. Organización de Estados Americanos. Recuperado de: https://www.oas.org/juridico/mla/sp/can/sp_can_fuentes.html</w:t>
      </w:r>
    </w:p>
  </w:footnote>
  <w:footnote w:id="64">
    <w:p w:rsidR="00152623" w:rsidRPr="004906CE" w:rsidRDefault="00152623" w:rsidP="00956035">
      <w:pPr>
        <w:pStyle w:val="Textonotapie"/>
        <w:jc w:val="both"/>
      </w:pPr>
      <w:r w:rsidRPr="004906CE">
        <w:rPr>
          <w:rStyle w:val="Refdenotaalpie"/>
        </w:rPr>
        <w:footnoteRef/>
      </w:r>
      <w:r w:rsidRPr="004906CE">
        <w:t>Constitution Acts 1867 to 1982. Juscice laws website, actualizado el 4 de mayo de 2018. Recuperado de: http://laws-lois.justice.gc.ca/eng/Const/page-2.html#docCont</w:t>
      </w:r>
    </w:p>
  </w:footnote>
  <w:footnote w:id="65">
    <w:p w:rsidR="00152623" w:rsidRPr="004906CE" w:rsidRDefault="00152623" w:rsidP="00956035">
      <w:pPr>
        <w:pStyle w:val="Textonotapie"/>
        <w:jc w:val="both"/>
      </w:pPr>
      <w:r w:rsidRPr="004906CE">
        <w:rPr>
          <w:rStyle w:val="Refdenotaalpie"/>
        </w:rPr>
        <w:footnoteRef/>
      </w:r>
      <w:r w:rsidRPr="00B9121F">
        <w:rPr>
          <w:lang w:val="en-US"/>
        </w:rPr>
        <w:t xml:space="preserve"> Referendum Act. Editeur officiel du Quebec num. </w:t>
      </w:r>
      <w:r w:rsidRPr="004906CE">
        <w:t>C-64.1, de 1 de junio de 1979</w:t>
      </w:r>
    </w:p>
  </w:footnote>
  <w:footnote w:id="66">
    <w:p w:rsidR="00152623" w:rsidRPr="004906CE" w:rsidRDefault="00152623" w:rsidP="00956035">
      <w:pPr>
        <w:pStyle w:val="Textonotapie"/>
        <w:jc w:val="both"/>
      </w:pPr>
      <w:r w:rsidRPr="004906CE">
        <w:rPr>
          <w:rStyle w:val="Refdenotaalpie"/>
        </w:rPr>
        <w:footnoteRef/>
      </w:r>
      <w:r w:rsidRPr="004906CE">
        <w:t>Loi sur l’avenir du Quebec. Editeur officiel du Quebec, proyecto de ley num. 1 de 1995.  Anexo.</w:t>
      </w:r>
    </w:p>
  </w:footnote>
  <w:footnote w:id="67">
    <w:p w:rsidR="00152623" w:rsidRPr="00E77CDB" w:rsidRDefault="00152623" w:rsidP="00956035">
      <w:pPr>
        <w:pStyle w:val="Textonotapie"/>
        <w:jc w:val="both"/>
      </w:pPr>
      <w:r w:rsidRPr="004906CE">
        <w:rPr>
          <w:rStyle w:val="Refdenotaalpie"/>
        </w:rPr>
        <w:footnoteRef/>
      </w:r>
      <w:r w:rsidRPr="004906CE">
        <w:t xml:space="preserve">Esteruelas, Bosco. “Quebec rechaza por la mínima la secesión de Canadá”. </w:t>
      </w:r>
      <w:r w:rsidRPr="004906CE">
        <w:rPr>
          <w:i/>
        </w:rPr>
        <w:t xml:space="preserve">El País, </w:t>
      </w:r>
      <w:r w:rsidRPr="004906CE">
        <w:t xml:space="preserve"> de 1 de noviembre de 1995.</w:t>
      </w:r>
    </w:p>
  </w:footnote>
  <w:footnote w:id="68">
    <w:p w:rsidR="00152623" w:rsidRPr="003047E2" w:rsidRDefault="00152623" w:rsidP="00956035">
      <w:pPr>
        <w:pStyle w:val="Textonotapie"/>
        <w:jc w:val="both"/>
      </w:pPr>
      <w:r w:rsidRPr="003047E2">
        <w:rPr>
          <w:rStyle w:val="Refdenotaalpie"/>
        </w:rPr>
        <w:footnoteRef/>
      </w:r>
      <w:r w:rsidRPr="003047E2">
        <w:t xml:space="preserve"> “Parizeaudépose le Project de loi sur l’avenir du Quebec”. </w:t>
      </w:r>
      <w:r w:rsidRPr="003047E2">
        <w:rPr>
          <w:i/>
        </w:rPr>
        <w:t xml:space="preserve">Radio Canadá, </w:t>
      </w:r>
      <w:r w:rsidRPr="003047E2">
        <w:t>de 7 de septiembre de 1995. Recuperado de: http://archives.radio-canada.ca/sports/provincial_territorial/clips/12179/</w:t>
      </w:r>
    </w:p>
  </w:footnote>
  <w:footnote w:id="69">
    <w:p w:rsidR="00152623" w:rsidRPr="003047E2" w:rsidRDefault="00152623" w:rsidP="00956035">
      <w:pPr>
        <w:pStyle w:val="Textonotapie"/>
        <w:jc w:val="both"/>
      </w:pPr>
      <w:r w:rsidRPr="003047E2">
        <w:rPr>
          <w:rStyle w:val="Refdenotaalpie"/>
        </w:rPr>
        <w:footnoteRef/>
      </w:r>
      <w:r w:rsidRPr="003047E2">
        <w:rPr>
          <w:bCs/>
          <w:lang w:val="en-US"/>
        </w:rPr>
        <w:t xml:space="preserve">Judgements of the Supreme Court of Canada.  </w:t>
      </w:r>
      <w:r w:rsidRPr="003047E2">
        <w:rPr>
          <w:i/>
          <w:lang w:val="en-US"/>
        </w:rPr>
        <w:t>Supreme Court Judgement num.25506 reference re Secession of Quebec</w:t>
      </w:r>
      <w:r w:rsidRPr="003047E2">
        <w:rPr>
          <w:lang w:val="en-US"/>
        </w:rPr>
        <w:t xml:space="preserve">. </w:t>
      </w:r>
      <w:r w:rsidRPr="003047E2">
        <w:t>20 de agosto de 1998.</w:t>
      </w:r>
    </w:p>
  </w:footnote>
  <w:footnote w:id="70">
    <w:p w:rsidR="00152623" w:rsidRPr="005B7801" w:rsidRDefault="00152623" w:rsidP="00956035">
      <w:pPr>
        <w:pStyle w:val="Textonotapie"/>
        <w:jc w:val="both"/>
      </w:pPr>
      <w:r w:rsidRPr="003047E2">
        <w:rPr>
          <w:rStyle w:val="Refdenotaalpie"/>
        </w:rPr>
        <w:footnoteRef/>
      </w:r>
      <w:r w:rsidRPr="003047E2">
        <w:t xml:space="preserve"> Carvajal, Victoria. “El ejemplo de Quebec”. </w:t>
      </w:r>
      <w:r w:rsidRPr="003047E2">
        <w:rPr>
          <w:i/>
        </w:rPr>
        <w:t xml:space="preserve">CNTXT, </w:t>
      </w:r>
      <w:r w:rsidRPr="003047E2">
        <w:t>de 20 de septiembre de 2017. Recuperado de: https://ctxt.es/es/20170920/Politica/15020/Canada-Quebec-secesion-ley-consulta.htm</w:t>
      </w:r>
    </w:p>
  </w:footnote>
  <w:footnote w:id="71">
    <w:p w:rsidR="00152623" w:rsidRPr="003047E2" w:rsidRDefault="00152623" w:rsidP="00956035">
      <w:pPr>
        <w:pStyle w:val="Textonotapie"/>
        <w:jc w:val="both"/>
      </w:pPr>
      <w:r w:rsidRPr="003047E2">
        <w:rPr>
          <w:rStyle w:val="Refdenotaalpie"/>
        </w:rPr>
        <w:footnoteRef/>
      </w:r>
      <w:r w:rsidRPr="003047E2">
        <w:rPr>
          <w:bCs/>
          <w:lang w:val="en-US"/>
        </w:rPr>
        <w:t xml:space="preserve">An Act to give effect to the requirement for clarity as set out in the opinion of the Supreme Court of Canada in the Quebec Secession Reference. </w:t>
      </w:r>
      <w:r w:rsidRPr="003047E2">
        <w:rPr>
          <w:bCs/>
        </w:rPr>
        <w:t>Justice</w:t>
      </w:r>
      <w:r>
        <w:rPr>
          <w:bCs/>
        </w:rPr>
        <w:t xml:space="preserve"> </w:t>
      </w:r>
      <w:r w:rsidRPr="003047E2">
        <w:rPr>
          <w:bCs/>
        </w:rPr>
        <w:t>Laws</w:t>
      </w:r>
      <w:r>
        <w:rPr>
          <w:bCs/>
        </w:rPr>
        <w:t xml:space="preserve"> </w:t>
      </w:r>
      <w:r w:rsidRPr="003047E2">
        <w:rPr>
          <w:bCs/>
        </w:rPr>
        <w:t>Website, de 5 de diciembre de 2017.</w:t>
      </w:r>
    </w:p>
  </w:footnote>
  <w:footnote w:id="72">
    <w:p w:rsidR="00152623" w:rsidRPr="00EC0045" w:rsidRDefault="00152623" w:rsidP="00956035">
      <w:pPr>
        <w:pStyle w:val="Textonotapie"/>
        <w:jc w:val="both"/>
      </w:pPr>
      <w:r>
        <w:rPr>
          <w:rStyle w:val="Refdenotaalpie"/>
        </w:rPr>
        <w:footnoteRef/>
      </w:r>
      <w:r>
        <w:t xml:space="preserve"> Bermejo, Romualdo. “¿Por qué Cataluña no es Escocia?”. </w:t>
      </w:r>
      <w:r>
        <w:rPr>
          <w:i/>
        </w:rPr>
        <w:t>La Razón,</w:t>
      </w:r>
      <w:r w:rsidR="00406025">
        <w:rPr>
          <w:i/>
        </w:rPr>
        <w:t xml:space="preserve"> </w:t>
      </w:r>
      <w:r>
        <w:t>de 16 de octubre de 2012.</w:t>
      </w:r>
    </w:p>
  </w:footnote>
  <w:footnote w:id="73">
    <w:p w:rsidR="00152623" w:rsidRDefault="00152623" w:rsidP="00956035">
      <w:pPr>
        <w:pStyle w:val="Textonotapie"/>
        <w:jc w:val="both"/>
      </w:pPr>
      <w:r w:rsidRPr="003047E2">
        <w:rPr>
          <w:rStyle w:val="Refdenotaalpie"/>
        </w:rPr>
        <w:footnoteRef/>
      </w:r>
      <w:r w:rsidRPr="003047E2">
        <w:t xml:space="preserve">Bombillar Sáenz, Francisco Miguel 2017. </w:t>
      </w:r>
      <w:r w:rsidRPr="003047E2">
        <w:rPr>
          <w:i/>
        </w:rPr>
        <w:t>El sistema constitucional de Reino Unido</w:t>
      </w:r>
      <w:r w:rsidRPr="003047E2">
        <w:t xml:space="preserve"> (Estudio). Granada, Universidad de Granada. </w:t>
      </w:r>
    </w:p>
    <w:p w:rsidR="00152623" w:rsidRPr="003047E2" w:rsidRDefault="00152623" w:rsidP="00956035">
      <w:pPr>
        <w:pStyle w:val="Textonotapie"/>
        <w:jc w:val="both"/>
      </w:pPr>
      <w:r w:rsidRPr="003047E2">
        <w:t>Recuperado de: http://www.ugr.es/~redce/REDCE15/articulos/03FMBombillar.htm</w:t>
      </w:r>
    </w:p>
  </w:footnote>
  <w:footnote w:id="74">
    <w:p w:rsidR="00152623" w:rsidRPr="00F9252A" w:rsidRDefault="00152623" w:rsidP="00956035">
      <w:pPr>
        <w:pStyle w:val="Textonotapie"/>
        <w:jc w:val="both"/>
        <w:rPr>
          <w:color w:val="FF0000"/>
        </w:rPr>
      </w:pPr>
      <w:r w:rsidRPr="003047E2">
        <w:rPr>
          <w:rStyle w:val="Refdenotaalpie"/>
        </w:rPr>
        <w:footnoteRef/>
      </w:r>
      <w:r w:rsidRPr="003047E2">
        <w:t xml:space="preserve"> Luna Fernández, Fernando. “Cataluña no es Quebec ni Escocia”. </w:t>
      </w:r>
      <w:r w:rsidRPr="003047E2">
        <w:rPr>
          <w:i/>
        </w:rPr>
        <w:t>Hoy</w:t>
      </w:r>
      <w:r w:rsidRPr="003047E2">
        <w:t>, de 27 de septiembre de 2015.</w:t>
      </w:r>
    </w:p>
  </w:footnote>
  <w:footnote w:id="75">
    <w:p w:rsidR="00152623" w:rsidRPr="00D1166A" w:rsidRDefault="00152623" w:rsidP="00956035">
      <w:pPr>
        <w:pStyle w:val="Textonotapie"/>
        <w:jc w:val="both"/>
      </w:pPr>
      <w:r>
        <w:rPr>
          <w:rStyle w:val="Refdenotaalpie"/>
        </w:rPr>
        <w:footnoteRef/>
      </w:r>
      <w:r w:rsidRPr="00D1166A">
        <w:t xml:space="preserve">Luna Fernández, Fernando. “Cataluña no es Quebec ni Escocia”. </w:t>
      </w:r>
      <w:r w:rsidRPr="00D1166A">
        <w:rPr>
          <w:i/>
        </w:rPr>
        <w:t>Hoy</w:t>
      </w:r>
      <w:r w:rsidRPr="00D1166A">
        <w:t>, de 27 de septiembre de 2015.</w:t>
      </w:r>
      <w:r>
        <w:t xml:space="preserve"> Recuperado de: </w:t>
      </w:r>
      <w:r w:rsidRPr="00956035">
        <w:t>http://www.hoy.es/nacional/201509/27/cataluna-quebec-escocia-20150927001709-v.html</w:t>
      </w:r>
    </w:p>
  </w:footnote>
  <w:footnote w:id="76">
    <w:p w:rsidR="00152623" w:rsidRPr="00D72EF7" w:rsidRDefault="00152623" w:rsidP="00956035">
      <w:pPr>
        <w:pStyle w:val="Textonotapie"/>
        <w:jc w:val="both"/>
      </w:pPr>
      <w:r w:rsidRPr="00D1166A">
        <w:rPr>
          <w:rStyle w:val="Refdenotaalpie"/>
        </w:rPr>
        <w:footnoteRef/>
      </w:r>
      <w:r w:rsidRPr="00D1166A">
        <w:t>Facal, Joseph. “Référendum catalán: 10 différences</w:t>
      </w:r>
      <w:r w:rsidR="00406025">
        <w:t xml:space="preserve"> </w:t>
      </w:r>
      <w:r w:rsidRPr="00D1166A">
        <w:t xml:space="preserve">avec le Quebec”. </w:t>
      </w:r>
      <w:r w:rsidRPr="00D1166A">
        <w:rPr>
          <w:i/>
        </w:rPr>
        <w:t xml:space="preserve">Le journal de Montréal, </w:t>
      </w:r>
      <w:r w:rsidRPr="00D1166A">
        <w:t>de 24 de septiembre de 2017.</w:t>
      </w:r>
      <w:r>
        <w:t xml:space="preserve"> Recuperado de: </w:t>
      </w:r>
      <w:r w:rsidRPr="00956035">
        <w:t>http://www.journaldemontreal.com/2017/09/24/quebec-et-catalogne-10-differences</w:t>
      </w:r>
    </w:p>
  </w:footnote>
  <w:footnote w:id="77">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Gonzalez, Rosario., Cortés, Iker, Reino, Cristian., Vega, Nuria., Beltrán, Oscar. “Puigdemont: “Cataluña se ha ganado el derecho a ser un estado independiente””. </w:t>
      </w:r>
      <w:r w:rsidRPr="003047E2">
        <w:rPr>
          <w:rFonts w:cs="Times New Roman"/>
          <w:i/>
          <w:szCs w:val="24"/>
          <w:shd w:val="clear" w:color="auto" w:fill="FFFFFF"/>
        </w:rPr>
        <w:t>Las provincias</w:t>
      </w:r>
      <w:r w:rsidRPr="003047E2">
        <w:rPr>
          <w:rFonts w:cs="Times New Roman"/>
          <w:szCs w:val="24"/>
          <w:shd w:val="clear" w:color="auto" w:fill="FFFFFF"/>
        </w:rPr>
        <w:t>, de 2 de octubre de 2017. Recuperado de:http://www.lasprovincias.es/politica/intervencion-mossos-colegios-electorales-20171001064042-ntrc.html</w:t>
      </w:r>
    </w:p>
  </w:footnote>
  <w:footnote w:id="78">
    <w:p w:rsidR="00152623" w:rsidRPr="003047E2" w:rsidRDefault="00152623" w:rsidP="00956035">
      <w:pPr>
        <w:pStyle w:val="Textonotapie"/>
        <w:jc w:val="both"/>
      </w:pPr>
      <w:r w:rsidRPr="003047E2">
        <w:rPr>
          <w:rStyle w:val="Refdenotaalpie"/>
        </w:rPr>
        <w:footnoteRef/>
      </w:r>
      <w:r w:rsidRPr="003047E2">
        <w:t>Ley 2/1980, de 18 de enero, sobre las distintas modalidades de referéndum. BOE núm. 20, de 23 de enero de 1980.</w:t>
      </w:r>
    </w:p>
  </w:footnote>
  <w:footnote w:id="79">
    <w:p w:rsidR="00152623" w:rsidRDefault="00152623" w:rsidP="00956035">
      <w:pPr>
        <w:spacing w:line="360" w:lineRule="auto"/>
        <w:jc w:val="both"/>
      </w:pPr>
      <w:r>
        <w:rPr>
          <w:rStyle w:val="Refdenotaalpie"/>
        </w:rPr>
        <w:footnoteRef/>
      </w:r>
      <w:r w:rsidRPr="003047E2">
        <w:rPr>
          <w:sz w:val="20"/>
          <w:szCs w:val="20"/>
        </w:rPr>
        <w:t>Ley 5/1985, de 19 de junio, del Régimen Electoral General. BOE núm. 147, de 20 de junio de 1985.</w:t>
      </w:r>
    </w:p>
    <w:p w:rsidR="00152623" w:rsidRDefault="00152623">
      <w:pPr>
        <w:pStyle w:val="Textonotapie"/>
      </w:pPr>
    </w:p>
  </w:footnote>
  <w:footnote w:id="80">
    <w:p w:rsidR="00152623" w:rsidRPr="003047E2" w:rsidRDefault="00152623" w:rsidP="00956035">
      <w:pPr>
        <w:pStyle w:val="Textonotapie"/>
        <w:jc w:val="both"/>
      </w:pPr>
      <w:r w:rsidRPr="003047E2">
        <w:rPr>
          <w:rStyle w:val="Refdenotaalpie"/>
        </w:rPr>
        <w:footnoteRef/>
      </w:r>
      <w:r w:rsidRPr="003047E2">
        <w:rPr>
          <w:rFonts w:cs="Times New Roman"/>
          <w:shd w:val="clear" w:color="auto" w:fill="FFFFFF"/>
        </w:rPr>
        <w:t xml:space="preserve">Cortizo, Gonzalo. “Todos los síndicos electorales del 1-O presentan su renuncia ante el Constitucional”. </w:t>
      </w:r>
      <w:r w:rsidRPr="003047E2">
        <w:rPr>
          <w:rFonts w:cs="Times New Roman"/>
          <w:i/>
          <w:shd w:val="clear" w:color="auto" w:fill="FFFFFF"/>
        </w:rPr>
        <w:t>El Diario</w:t>
      </w:r>
      <w:r w:rsidRPr="003047E2">
        <w:rPr>
          <w:rFonts w:cs="Times New Roman"/>
          <w:shd w:val="clear" w:color="auto" w:fill="FFFFFF"/>
        </w:rPr>
        <w:t>, de 22 de septiembre de 2017. Recuperado de: https://www.eldiario.es/politica/sindicos-electorales-presentan-renuncia-Constitucional_0_689431832.htm.</w:t>
      </w:r>
    </w:p>
  </w:footnote>
  <w:footnote w:id="81">
    <w:p w:rsidR="00152623"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Europa Press. “El Parlament aprueba la sindicatura electoral para el referéndum”. </w:t>
      </w:r>
      <w:r w:rsidRPr="003047E2">
        <w:rPr>
          <w:rFonts w:cs="Times New Roman"/>
          <w:i/>
          <w:szCs w:val="24"/>
          <w:shd w:val="clear" w:color="auto" w:fill="FFFFFF"/>
        </w:rPr>
        <w:t>El Diario</w:t>
      </w:r>
      <w:r w:rsidRPr="003047E2">
        <w:rPr>
          <w:rFonts w:cs="Times New Roman"/>
          <w:szCs w:val="24"/>
          <w:shd w:val="clear" w:color="auto" w:fill="FFFFFF"/>
        </w:rPr>
        <w:t>, de 7 de septiembre de 2017. Recuperado de: https://www.eldiario.es/politica/Parlament-aprueba-Sindicatura-Electoral-referendum_0_684181600.html.</w:t>
      </w:r>
    </w:p>
  </w:footnote>
  <w:footnote w:id="82">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Baquero, Camilo S. "La Generalitat improvisa un censo universal y sin sobres y la Guardia Civil lo bloquea”. </w:t>
      </w:r>
      <w:r w:rsidRPr="003047E2">
        <w:rPr>
          <w:rFonts w:cs="Times New Roman"/>
          <w:i/>
          <w:szCs w:val="24"/>
          <w:shd w:val="clear" w:color="auto" w:fill="FFFFFF"/>
        </w:rPr>
        <w:t>El País</w:t>
      </w:r>
      <w:r w:rsidRPr="003047E2">
        <w:rPr>
          <w:rFonts w:cs="Times New Roman"/>
          <w:szCs w:val="24"/>
          <w:shd w:val="clear" w:color="auto" w:fill="FFFFFF"/>
        </w:rPr>
        <w:t xml:space="preserve">, de 1 de octubre de 2017. </w:t>
      </w:r>
    </w:p>
    <w:p w:rsidR="00152623" w:rsidRPr="003047E2" w:rsidRDefault="00152623" w:rsidP="00956035">
      <w:pPr>
        <w:pStyle w:val="Textonotapie"/>
        <w:jc w:val="both"/>
      </w:pPr>
      <w:r w:rsidRPr="003047E2">
        <w:rPr>
          <w:rFonts w:cs="Times New Roman"/>
          <w:szCs w:val="24"/>
          <w:shd w:val="clear" w:color="auto" w:fill="FFFFFF"/>
        </w:rPr>
        <w:t>Recuperado de: https://elpais.com/ccaa/2017/10/01/catalunya/1506822634_717493.html</w:t>
      </w:r>
      <w:r w:rsidRPr="003047E2">
        <w:t>.</w:t>
      </w:r>
    </w:p>
  </w:footnote>
  <w:footnote w:id="83">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Anónimo. “Irregularidades en el referéndum: Gente que vota cuatro veces, votos “extranjeros…””. </w:t>
      </w:r>
      <w:r w:rsidRPr="003047E2">
        <w:rPr>
          <w:rFonts w:cs="Times New Roman"/>
          <w:i/>
          <w:szCs w:val="24"/>
          <w:shd w:val="clear" w:color="auto" w:fill="FFFFFF"/>
        </w:rPr>
        <w:t>El Confidencial</w:t>
      </w:r>
      <w:r w:rsidRPr="003047E2">
        <w:rPr>
          <w:rFonts w:cs="Times New Roman"/>
          <w:szCs w:val="24"/>
          <w:shd w:val="clear" w:color="auto" w:fill="FFFFFF"/>
        </w:rPr>
        <w:t xml:space="preserve">, de 1 de octubre de 2017. </w:t>
      </w:r>
    </w:p>
    <w:p w:rsidR="00152623" w:rsidRPr="003047E2" w:rsidRDefault="00152623" w:rsidP="00956035">
      <w:pPr>
        <w:pStyle w:val="Textonotapie"/>
        <w:jc w:val="both"/>
      </w:pPr>
      <w:r w:rsidRPr="003047E2">
        <w:rPr>
          <w:rFonts w:cs="Times New Roman"/>
          <w:szCs w:val="24"/>
          <w:shd w:val="clear" w:color="auto" w:fill="FFFFFF"/>
        </w:rPr>
        <w:t>Recuperado de:https://www.elconfidencial.com/espana/cataluna/2017-10-01/irregularidades-votaciones-referendum-cataluna_1453255/</w:t>
      </w:r>
      <w:r w:rsidRPr="003047E2">
        <w:t>.</w:t>
      </w:r>
    </w:p>
  </w:footnote>
  <w:footnote w:id="84">
    <w:p w:rsidR="00152623" w:rsidRDefault="00152623" w:rsidP="00956035">
      <w:pPr>
        <w:pStyle w:val="Textonotapie"/>
        <w:jc w:val="both"/>
        <w:rPr>
          <w:rFonts w:cs="Times New Roman"/>
          <w:szCs w:val="24"/>
          <w:shd w:val="clear" w:color="auto" w:fill="FFFFFF"/>
        </w:rPr>
      </w:pPr>
      <w:r w:rsidRPr="003047E2">
        <w:rPr>
          <w:rStyle w:val="Refdenotaalpie"/>
        </w:rPr>
        <w:footnoteRef/>
      </w:r>
      <w:r w:rsidR="00406025">
        <w:rPr>
          <w:rFonts w:cs="Times New Roman"/>
          <w:szCs w:val="24"/>
          <w:shd w:val="clear" w:color="auto" w:fill="FFFFFF"/>
        </w:rPr>
        <w:t>García, Luis B. “La G</w:t>
      </w:r>
      <w:r w:rsidRPr="003047E2">
        <w:rPr>
          <w:rFonts w:cs="Times New Roman"/>
          <w:szCs w:val="24"/>
          <w:shd w:val="clear" w:color="auto" w:fill="FFFFFF"/>
        </w:rPr>
        <w:t xml:space="preserve">eneralitat abre el registro de voluntarios para el 1-O en una web del referéndum”. </w:t>
      </w:r>
      <w:r w:rsidRPr="003047E2">
        <w:rPr>
          <w:rFonts w:cs="Times New Roman"/>
          <w:i/>
          <w:szCs w:val="24"/>
          <w:shd w:val="clear" w:color="auto" w:fill="FFFFFF"/>
        </w:rPr>
        <w:t>La Vanguardia</w:t>
      </w:r>
      <w:r w:rsidRPr="003047E2">
        <w:rPr>
          <w:rFonts w:cs="Times New Roman"/>
          <w:szCs w:val="24"/>
          <w:shd w:val="clear" w:color="auto" w:fill="FFFFFF"/>
        </w:rPr>
        <w:t xml:space="preserve"> de 7 de septiembre de 2017. </w:t>
      </w:r>
    </w:p>
    <w:p w:rsidR="00152623" w:rsidRDefault="00152623" w:rsidP="00956035">
      <w:pPr>
        <w:pStyle w:val="Textonotapie"/>
        <w:jc w:val="both"/>
      </w:pPr>
      <w:r w:rsidRPr="003047E2">
        <w:rPr>
          <w:rFonts w:cs="Times New Roman"/>
          <w:szCs w:val="24"/>
          <w:shd w:val="clear" w:color="auto" w:fill="FFFFFF"/>
        </w:rPr>
        <w:t>Recuperado de:</w:t>
      </w:r>
      <w:r w:rsidRPr="003047E2">
        <w:t>http://www.lavanguardia.com/politica/20170907/431104658593/registro-voluntarios-referendum-1-o-web.html.</w:t>
      </w:r>
    </w:p>
  </w:footnote>
  <w:footnote w:id="85">
    <w:p w:rsidR="00152623" w:rsidRPr="003047E2" w:rsidRDefault="00152623" w:rsidP="00956035">
      <w:pPr>
        <w:pStyle w:val="Textonotapie"/>
        <w:jc w:val="both"/>
      </w:pPr>
      <w:r>
        <w:rPr>
          <w:rStyle w:val="Refdenotaalpie"/>
        </w:rPr>
        <w:footnoteRef/>
      </w:r>
      <w:r w:rsidRPr="003047E2">
        <w:rPr>
          <w:rFonts w:cs="Times New Roman"/>
          <w:szCs w:val="24"/>
          <w:shd w:val="clear" w:color="auto" w:fill="FFFFFF"/>
        </w:rPr>
        <w:t xml:space="preserve">Anónimo. “El singular recuento de votos en una misa en Tarragona”. </w:t>
      </w:r>
      <w:r w:rsidRPr="003047E2">
        <w:rPr>
          <w:rFonts w:cs="Times New Roman"/>
          <w:i/>
          <w:szCs w:val="24"/>
          <w:shd w:val="clear" w:color="auto" w:fill="FFFFFF"/>
        </w:rPr>
        <w:t>ABC</w:t>
      </w:r>
      <w:r w:rsidRPr="003047E2">
        <w:rPr>
          <w:rFonts w:cs="Times New Roman"/>
          <w:szCs w:val="24"/>
          <w:shd w:val="clear" w:color="auto" w:fill="FFFFFF"/>
        </w:rPr>
        <w:t>, de 7 de octubre de 2017. Recuperado de:</w:t>
      </w:r>
      <w:r w:rsidRPr="003047E2">
        <w:t>http://www.abc.es/espana/catalunya/abci-referendeum-cataluna-recuento-votos-durante-misa-iglesia-vilarrodona-tarragona-201710031228_noticia.html</w:t>
      </w:r>
      <w:r w:rsidRPr="003047E2">
        <w:rPr>
          <w:rFonts w:cs="Times New Roman"/>
          <w:szCs w:val="24"/>
          <w:shd w:val="clear" w:color="auto" w:fill="FFFFFF"/>
        </w:rPr>
        <w:t>)</w:t>
      </w:r>
      <w:r w:rsidRPr="003047E2">
        <w:t xml:space="preserve">.  </w:t>
      </w:r>
    </w:p>
  </w:footnote>
  <w:footnote w:id="86">
    <w:p w:rsidR="00152623" w:rsidRDefault="00152623" w:rsidP="00956035">
      <w:pPr>
        <w:pStyle w:val="Textonotapie"/>
        <w:jc w:val="both"/>
      </w:pPr>
      <w:r w:rsidRPr="003047E2">
        <w:rPr>
          <w:rStyle w:val="Refdenotaalpie"/>
        </w:rPr>
        <w:footnoteRef/>
      </w:r>
      <w:r w:rsidRPr="003047E2">
        <w:t xml:space="preserve"> Rubio, Jaime. “El voto por correo para el 1-O se puede pedir desde el extranjero, pero no desde España” </w:t>
      </w:r>
      <w:r w:rsidRPr="003047E2">
        <w:rPr>
          <w:i/>
        </w:rPr>
        <w:t>El país,</w:t>
      </w:r>
      <w:r w:rsidRPr="003047E2">
        <w:t xml:space="preserve"> de 20 de septiembre de 2017. </w:t>
      </w:r>
    </w:p>
    <w:p w:rsidR="00152623" w:rsidRPr="003047E2" w:rsidRDefault="00152623" w:rsidP="00956035">
      <w:pPr>
        <w:pStyle w:val="Textonotapie"/>
        <w:jc w:val="both"/>
      </w:pPr>
      <w:r w:rsidRPr="003047E2">
        <w:t>Recuperado de: https://verne.elpais.com/verne/2017/09/19/articulo/1505833564_406309.html</w:t>
      </w:r>
    </w:p>
  </w:footnote>
  <w:footnote w:id="87">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González, Miguel. “Puigdemont plantea un referéndum sin urnas trasparentes ni cabinas”. </w:t>
      </w:r>
      <w:r w:rsidRPr="003047E2">
        <w:rPr>
          <w:rFonts w:cs="Times New Roman"/>
          <w:i/>
          <w:szCs w:val="24"/>
          <w:shd w:val="clear" w:color="auto" w:fill="FFFFFF"/>
        </w:rPr>
        <w:t>El País</w:t>
      </w:r>
      <w:r w:rsidRPr="003047E2">
        <w:rPr>
          <w:rFonts w:cs="Times New Roman"/>
          <w:szCs w:val="24"/>
          <w:shd w:val="clear" w:color="auto" w:fill="FFFFFF"/>
        </w:rPr>
        <w:t xml:space="preserve">, de 21 de septiembre de 2017. </w:t>
      </w:r>
    </w:p>
    <w:p w:rsidR="00152623" w:rsidRPr="003047E2" w:rsidRDefault="00152623" w:rsidP="00956035">
      <w:pPr>
        <w:pStyle w:val="Textonotapie"/>
        <w:jc w:val="both"/>
      </w:pPr>
      <w:r w:rsidRPr="003047E2">
        <w:rPr>
          <w:rFonts w:cs="Times New Roman"/>
          <w:szCs w:val="24"/>
          <w:shd w:val="clear" w:color="auto" w:fill="FFFFFF"/>
        </w:rPr>
        <w:t>Recuperado de:https://politica.elpais.com/politica/2017/09/12/actualidad/1505224275_636827.html.</w:t>
      </w:r>
    </w:p>
  </w:footnote>
  <w:footnote w:id="88">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Pérez, L., Terrasa, R., Garcés, C. “El referéndum de Cataluña en vivo: Junqueras anuncia un 90% de “síes” entre las 2.262.424 papeletas contadas”. </w:t>
      </w:r>
      <w:r w:rsidRPr="003047E2">
        <w:rPr>
          <w:rFonts w:cs="Times New Roman"/>
          <w:i/>
          <w:szCs w:val="24"/>
          <w:shd w:val="clear" w:color="auto" w:fill="FFFFFF"/>
        </w:rPr>
        <w:t>El Mundo</w:t>
      </w:r>
      <w:r w:rsidRPr="003047E2">
        <w:rPr>
          <w:rFonts w:cs="Times New Roman"/>
          <w:szCs w:val="24"/>
          <w:shd w:val="clear" w:color="auto" w:fill="FFFFFF"/>
        </w:rPr>
        <w:t>. de 1 de octubre de 2017. Recuperado de:http://www.elmundo.es/cataluna/2017/10/01/59d0502d268e3e802e8b461a.html.</w:t>
      </w:r>
    </w:p>
  </w:footnote>
  <w:footnote w:id="89">
    <w:p w:rsidR="00152623"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Sàlmon, A. “Tarjetas censales”. </w:t>
      </w:r>
      <w:r w:rsidRPr="003047E2">
        <w:rPr>
          <w:rFonts w:cs="Times New Roman"/>
          <w:i/>
          <w:szCs w:val="24"/>
          <w:shd w:val="clear" w:color="auto" w:fill="FFFFFF"/>
        </w:rPr>
        <w:t>El Mundo</w:t>
      </w:r>
      <w:r w:rsidRPr="003047E2">
        <w:rPr>
          <w:rFonts w:cs="Times New Roman"/>
          <w:szCs w:val="24"/>
          <w:shd w:val="clear" w:color="auto" w:fill="FFFFFF"/>
        </w:rPr>
        <w:t xml:space="preserve"> de 20 de septiembre de 2017. Recuperado de:http://www.elmundo.es/cataluna/2017/09/20/59c21ac8e5fdea2c098b4634.html.</w:t>
      </w:r>
    </w:p>
  </w:footnote>
  <w:footnote w:id="90">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Noguer, Miquel.”JuntspelSì detalla su plan para convencer a los indecisos”.  </w:t>
      </w:r>
      <w:r w:rsidRPr="003047E2">
        <w:rPr>
          <w:rFonts w:cs="Times New Roman"/>
          <w:i/>
          <w:szCs w:val="24"/>
          <w:shd w:val="clear" w:color="auto" w:fill="FFFFFF"/>
        </w:rPr>
        <w:t>El País</w:t>
      </w:r>
      <w:r w:rsidRPr="003047E2">
        <w:rPr>
          <w:rFonts w:cs="Times New Roman"/>
          <w:szCs w:val="24"/>
          <w:shd w:val="clear" w:color="auto" w:fill="FFFFFF"/>
        </w:rPr>
        <w:t>, de 4 de septiembre de 2015. Recuperado de:</w:t>
      </w:r>
      <w:r w:rsidRPr="003047E2">
        <w:t>https://elpais.com/ccaa/2015/09/04/catalunya/1441366681_866291.html.</w:t>
      </w:r>
    </w:p>
  </w:footnote>
  <w:footnote w:id="91">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E.L. “JuntsxSí y la CUP pactan un referéndum como muy tarde en septiembre de 2017”.  </w:t>
      </w:r>
      <w:r w:rsidRPr="003047E2">
        <w:rPr>
          <w:rFonts w:cs="Times New Roman"/>
          <w:i/>
          <w:szCs w:val="24"/>
          <w:shd w:val="clear" w:color="auto" w:fill="FFFFFF"/>
        </w:rPr>
        <w:t>El Español</w:t>
      </w:r>
      <w:r w:rsidRPr="003047E2">
        <w:rPr>
          <w:rFonts w:cs="Times New Roman"/>
          <w:szCs w:val="24"/>
          <w:shd w:val="clear" w:color="auto" w:fill="FFFFFF"/>
        </w:rPr>
        <w:t xml:space="preserve">, de 5 de octubre de 2016. </w:t>
      </w:r>
    </w:p>
    <w:p w:rsidR="00152623" w:rsidRPr="003047E2" w:rsidRDefault="00152623" w:rsidP="00956035">
      <w:pPr>
        <w:pStyle w:val="Textonotapie"/>
        <w:jc w:val="both"/>
      </w:pPr>
      <w:r w:rsidRPr="003047E2">
        <w:rPr>
          <w:rFonts w:cs="Times New Roman"/>
          <w:szCs w:val="24"/>
          <w:shd w:val="clear" w:color="auto" w:fill="FFFFFF"/>
        </w:rPr>
        <w:t>Recuperado de:</w:t>
      </w:r>
      <w:r w:rsidRPr="003047E2">
        <w:t>https://www.elespanol.com/espana/politica/20161005/160734943_0.html</w:t>
      </w:r>
      <w:r w:rsidRPr="003047E2">
        <w:rPr>
          <w:rFonts w:cs="Times New Roman"/>
          <w:szCs w:val="24"/>
          <w:shd w:val="clear" w:color="auto" w:fill="FFFFFF"/>
        </w:rPr>
        <w:t>)</w:t>
      </w:r>
    </w:p>
  </w:footnote>
  <w:footnote w:id="92">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EFE. “Rajoy amenaza con el 155: “Nos van a obligar a lo que no queremos llegar””. </w:t>
      </w:r>
      <w:r w:rsidRPr="003047E2">
        <w:rPr>
          <w:rFonts w:cs="Times New Roman"/>
          <w:i/>
          <w:szCs w:val="24"/>
          <w:shd w:val="clear" w:color="auto" w:fill="FFFFFF"/>
        </w:rPr>
        <w:t>Infolibre</w:t>
      </w:r>
      <w:r w:rsidRPr="003047E2">
        <w:rPr>
          <w:rFonts w:cs="Times New Roman"/>
          <w:szCs w:val="24"/>
          <w:shd w:val="clear" w:color="auto" w:fill="FFFFFF"/>
        </w:rPr>
        <w:t xml:space="preserve">, de 15 de septiembre de 2017. </w:t>
      </w:r>
    </w:p>
    <w:p w:rsidR="00152623" w:rsidRPr="003047E2" w:rsidRDefault="00152623" w:rsidP="00956035">
      <w:pPr>
        <w:pStyle w:val="Textonotapie"/>
        <w:jc w:val="both"/>
      </w:pPr>
      <w:r w:rsidRPr="003047E2">
        <w:rPr>
          <w:rFonts w:cs="Times New Roman"/>
          <w:szCs w:val="24"/>
          <w:shd w:val="clear" w:color="auto" w:fill="FFFFFF"/>
        </w:rPr>
        <w:t>Recuperado de:https://www.infolibre.es/noticias/politica/2017/09/15/rajoy_amenaza_puigdemont_con_155_nos_van_obligar_que_no_queremos_llegar_69595_1012.html.</w:t>
      </w:r>
    </w:p>
  </w:footnote>
  <w:footnote w:id="93">
    <w:p w:rsidR="00152623" w:rsidRDefault="00152623" w:rsidP="00956035">
      <w:pPr>
        <w:pStyle w:val="Textonotapie"/>
        <w:jc w:val="both"/>
      </w:pPr>
      <w:r w:rsidRPr="003047E2">
        <w:rPr>
          <w:rStyle w:val="Refdenotaalpie"/>
        </w:rPr>
        <w:footnoteRef/>
      </w:r>
      <w:r w:rsidRPr="003047E2">
        <w:t xml:space="preserve"> “</w:t>
      </w:r>
      <w:r w:rsidRPr="003047E2">
        <w:rPr>
          <w:rFonts w:cs="Times New Roman"/>
          <w:szCs w:val="24"/>
          <w:shd w:val="clear" w:color="auto" w:fill="FFFFFF"/>
        </w:rPr>
        <w:t xml:space="preserve">La CUP presiona a Puigdemont: “Si van a seguir aplicando el 155, que lo hagan con la República declarada””. </w:t>
      </w:r>
      <w:r w:rsidRPr="003047E2">
        <w:rPr>
          <w:rFonts w:cs="Times New Roman"/>
          <w:i/>
          <w:szCs w:val="24"/>
          <w:shd w:val="clear" w:color="auto" w:fill="FFFFFF"/>
        </w:rPr>
        <w:t>Diario Crítico</w:t>
      </w:r>
      <w:r w:rsidRPr="003047E2">
        <w:rPr>
          <w:rFonts w:cs="Times New Roman"/>
          <w:szCs w:val="24"/>
          <w:shd w:val="clear" w:color="auto" w:fill="FFFFFF"/>
        </w:rPr>
        <w:t>, de 13 de septiembre de 2017. Recuperado de: https://www.diariocritico.com/carta-cup-carles-puigdemont-proclamacion-republica-respuesta-requerimiento</w:t>
      </w:r>
      <w:r w:rsidRPr="003047E2">
        <w:rPr>
          <w:shd w:val="clear" w:color="auto" w:fill="FFFFFF"/>
        </w:rPr>
        <w:t>.</w:t>
      </w:r>
    </w:p>
  </w:footnote>
  <w:footnote w:id="94">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Menéndez, María. “Puigdemont declara la independencia y la suspende para buscar el “diálogo” y la “solución acordada””. </w:t>
      </w:r>
      <w:r w:rsidRPr="003047E2">
        <w:rPr>
          <w:rFonts w:cs="Times New Roman"/>
          <w:i/>
          <w:szCs w:val="24"/>
          <w:shd w:val="clear" w:color="auto" w:fill="FFFFFF"/>
        </w:rPr>
        <w:t>RTVE</w:t>
      </w:r>
      <w:r w:rsidRPr="003047E2">
        <w:rPr>
          <w:rFonts w:cs="Times New Roman"/>
          <w:szCs w:val="24"/>
          <w:shd w:val="clear" w:color="auto" w:fill="FFFFFF"/>
        </w:rPr>
        <w:t xml:space="preserve">, de 10 de octubre de 2017. </w:t>
      </w:r>
    </w:p>
    <w:p w:rsidR="00152623" w:rsidRPr="003047E2" w:rsidRDefault="00152623" w:rsidP="00956035">
      <w:pPr>
        <w:pStyle w:val="Textonotapie"/>
        <w:jc w:val="both"/>
      </w:pPr>
      <w:r w:rsidRPr="003047E2">
        <w:rPr>
          <w:rFonts w:cs="Times New Roman"/>
          <w:szCs w:val="24"/>
          <w:shd w:val="clear" w:color="auto" w:fill="FFFFFF"/>
        </w:rPr>
        <w:t>Recuperado de: http://www.rtve.es/noticias/20171010/puigdemont-declara-independencia-cataluna-suspende-para-buscar-dialogo-solucion-acordada/1627661.shtml</w:t>
      </w:r>
      <w:r w:rsidRPr="003047E2">
        <w:rPr>
          <w:shd w:val="clear" w:color="auto" w:fill="FFFFFF"/>
        </w:rPr>
        <w:t>.</w:t>
      </w:r>
    </w:p>
  </w:footnote>
  <w:footnote w:id="95">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Europa Press. “Artur Mas admite que Cataluña no está preparada “para la independencia real””. </w:t>
      </w:r>
      <w:r w:rsidRPr="003047E2">
        <w:rPr>
          <w:rFonts w:cs="Times New Roman"/>
          <w:i/>
          <w:szCs w:val="24"/>
          <w:shd w:val="clear" w:color="auto" w:fill="FFFFFF"/>
        </w:rPr>
        <w:t xml:space="preserve">El mundo, </w:t>
      </w:r>
      <w:r w:rsidRPr="003047E2">
        <w:rPr>
          <w:rFonts w:cs="Times New Roman"/>
          <w:szCs w:val="24"/>
          <w:shd w:val="clear" w:color="auto" w:fill="FFFFFF"/>
        </w:rPr>
        <w:t>de 6 de octubre de 2017</w:t>
      </w:r>
      <w:r>
        <w:rPr>
          <w:rFonts w:cs="Times New Roman"/>
          <w:szCs w:val="24"/>
          <w:shd w:val="clear" w:color="auto" w:fill="FFFFFF"/>
        </w:rPr>
        <w:t>.</w:t>
      </w:r>
      <w:r w:rsidRPr="003047E2">
        <w:rPr>
          <w:rFonts w:cs="Times New Roman"/>
          <w:szCs w:val="24"/>
          <w:shd w:val="clear" w:color="auto" w:fill="FFFFFF"/>
        </w:rPr>
        <w:t xml:space="preserve"> </w:t>
      </w:r>
    </w:p>
    <w:p w:rsidR="00152623" w:rsidRPr="003047E2" w:rsidRDefault="00152623" w:rsidP="00956035">
      <w:pPr>
        <w:pStyle w:val="Textonotapie"/>
        <w:jc w:val="both"/>
      </w:pPr>
      <w:r w:rsidRPr="003047E2">
        <w:rPr>
          <w:rFonts w:cs="Times New Roman"/>
          <w:szCs w:val="24"/>
          <w:shd w:val="clear" w:color="auto" w:fill="FFFFFF"/>
        </w:rPr>
        <w:t>Recuperado de: http://www.elmundo.es/cataluna/2017/10/06/59d79e5046163f7a0a8b464c.html</w:t>
      </w:r>
      <w:r w:rsidRPr="003047E2">
        <w:rPr>
          <w:shd w:val="clear" w:color="auto" w:fill="FFFFFF"/>
        </w:rPr>
        <w:t>.</w:t>
      </w:r>
    </w:p>
  </w:footnote>
  <w:footnote w:id="96">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“La CUP anuncia que abandona el Parlament hasta la declaración efectiva de la independencia”. </w:t>
      </w:r>
      <w:r w:rsidRPr="003047E2">
        <w:rPr>
          <w:rFonts w:cs="Times New Roman"/>
          <w:i/>
          <w:szCs w:val="24"/>
          <w:shd w:val="clear" w:color="auto" w:fill="FFFFFF"/>
        </w:rPr>
        <w:t>El Diario</w:t>
      </w:r>
      <w:r w:rsidRPr="003047E2">
        <w:rPr>
          <w:rFonts w:cs="Times New Roman"/>
          <w:szCs w:val="24"/>
          <w:shd w:val="clear" w:color="auto" w:fill="FFFFFF"/>
        </w:rPr>
        <w:t>, de 10 de octubre de 2017. Recuperado de: https://www.eldiario.es/catalunya/politica/MINUTO-Diada_13_685361458_13621.html</w:t>
      </w:r>
      <w:r w:rsidRPr="003047E2">
        <w:rPr>
          <w:shd w:val="clear" w:color="auto" w:fill="FFFFFF"/>
        </w:rPr>
        <w:t xml:space="preserve">.   </w:t>
      </w:r>
    </w:p>
  </w:footnote>
  <w:footnote w:id="97">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Domínguez, Iñigo. “El senado aprueba aplicar el artículo 155 en Cataluña”. </w:t>
      </w:r>
      <w:r w:rsidRPr="003047E2">
        <w:rPr>
          <w:rFonts w:cs="Times New Roman"/>
          <w:i/>
          <w:szCs w:val="24"/>
          <w:shd w:val="clear" w:color="auto" w:fill="FFFFFF"/>
        </w:rPr>
        <w:t>El País</w:t>
      </w:r>
      <w:r w:rsidRPr="003047E2">
        <w:rPr>
          <w:rFonts w:cs="Times New Roman"/>
          <w:szCs w:val="24"/>
          <w:shd w:val="clear" w:color="auto" w:fill="FFFFFF"/>
        </w:rPr>
        <w:t xml:space="preserve">. de 27 de octubre de 2017.  </w:t>
      </w:r>
    </w:p>
    <w:p w:rsidR="00152623" w:rsidRPr="003047E2" w:rsidRDefault="00152623" w:rsidP="00956035">
      <w:pPr>
        <w:pStyle w:val="Textonotapie"/>
        <w:jc w:val="both"/>
      </w:pPr>
      <w:r w:rsidRPr="003047E2">
        <w:rPr>
          <w:rFonts w:cs="Times New Roman"/>
          <w:szCs w:val="24"/>
          <w:shd w:val="clear" w:color="auto" w:fill="FFFFFF"/>
        </w:rPr>
        <w:t>Recuperado de: https://politica.elpais.com/politica/2017/10/27/actualidad/1509105725_777595.html.</w:t>
      </w:r>
    </w:p>
  </w:footnote>
  <w:footnote w:id="98">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Menéndez, María. “El Parlament declara la independencia de Cataluña de forma unilateral e inicia el camino hacia la República”. </w:t>
      </w:r>
      <w:r w:rsidRPr="003047E2">
        <w:rPr>
          <w:rFonts w:cs="Times New Roman"/>
          <w:i/>
          <w:szCs w:val="24"/>
          <w:shd w:val="clear" w:color="auto" w:fill="FFFFFF"/>
        </w:rPr>
        <w:t>RTVE</w:t>
      </w:r>
      <w:r w:rsidRPr="003047E2">
        <w:rPr>
          <w:rFonts w:cs="Times New Roman"/>
          <w:szCs w:val="24"/>
          <w:shd w:val="clear" w:color="auto" w:fill="FFFFFF"/>
        </w:rPr>
        <w:t>, de 27 de octubre de 2017. Recuperado de: http://www.rtve.es/noticias/20171027/parlament-declara-independencia-cataluna/1630750.shtml)</w:t>
      </w:r>
      <w:r w:rsidRPr="003047E2">
        <w:rPr>
          <w:shd w:val="clear" w:color="auto" w:fill="FFFFFF"/>
        </w:rPr>
        <w:t>.</w:t>
      </w:r>
    </w:p>
  </w:footnote>
  <w:footnote w:id="99">
    <w:p w:rsidR="00152623" w:rsidRDefault="00152623" w:rsidP="00956035">
      <w:pPr>
        <w:pStyle w:val="Textonotapie"/>
        <w:jc w:val="both"/>
        <w:rPr>
          <w:rFonts w:cs="Times New Roman"/>
          <w:szCs w:val="24"/>
          <w:shd w:val="clear" w:color="auto" w:fill="FFFFFF"/>
        </w:rPr>
      </w:pPr>
      <w:r w:rsidRPr="003047E2">
        <w:rPr>
          <w:rStyle w:val="Refdenotaalpie"/>
        </w:rPr>
        <w:footnoteRef/>
      </w:r>
      <w:r w:rsidRPr="003047E2">
        <w:rPr>
          <w:rFonts w:cs="Times New Roman"/>
          <w:szCs w:val="24"/>
          <w:shd w:val="clear" w:color="auto" w:fill="FFFFFF"/>
        </w:rPr>
        <w:t xml:space="preserve">Guindal, Carlota. “LLarena confirma el procesamiento por rebelión contra la cúpula del “procés” y abre la puerta a la sedición”. </w:t>
      </w:r>
      <w:r w:rsidRPr="003047E2">
        <w:rPr>
          <w:rFonts w:cs="Times New Roman"/>
          <w:i/>
          <w:szCs w:val="24"/>
          <w:shd w:val="clear" w:color="auto" w:fill="FFFFFF"/>
        </w:rPr>
        <w:t>RTVE</w:t>
      </w:r>
      <w:r w:rsidRPr="003047E2">
        <w:rPr>
          <w:rFonts w:cs="Times New Roman"/>
          <w:szCs w:val="24"/>
          <w:shd w:val="clear" w:color="auto" w:fill="FFFFFF"/>
        </w:rPr>
        <w:t xml:space="preserve">, de 9 de mayo de 2018. </w:t>
      </w:r>
    </w:p>
    <w:p w:rsidR="00152623" w:rsidRPr="003047E2" w:rsidRDefault="00152623" w:rsidP="00956035">
      <w:pPr>
        <w:pStyle w:val="Textonotapie"/>
        <w:jc w:val="both"/>
      </w:pPr>
      <w:r w:rsidRPr="003047E2">
        <w:rPr>
          <w:rFonts w:cs="Times New Roman"/>
          <w:szCs w:val="24"/>
          <w:shd w:val="clear" w:color="auto" w:fill="FFFFFF"/>
        </w:rPr>
        <w:t>Recuperado de: http://www.lavanguardia.com/politica/20180509/443452071341/llarena-confirma-procesamiento-rebelion.html.</w:t>
      </w:r>
    </w:p>
  </w:footnote>
  <w:footnote w:id="100">
    <w:p w:rsidR="00152623" w:rsidRDefault="00152623" w:rsidP="00956035">
      <w:pPr>
        <w:pStyle w:val="Textonotapie"/>
        <w:jc w:val="both"/>
      </w:pPr>
      <w:r w:rsidRPr="003047E2">
        <w:rPr>
          <w:rStyle w:val="Refdenotaalpie"/>
        </w:rPr>
        <w:footnoteRef/>
      </w:r>
      <w:r w:rsidRPr="003047E2">
        <w:t>Ley 10/1995, de 23 de noviembre, del Código Penal. BOE  núm. 281, de 24 de mayo de 1996.</w:t>
      </w:r>
    </w:p>
  </w:footnote>
  <w:footnote w:id="101">
    <w:p w:rsidR="00152623" w:rsidRPr="003047E2" w:rsidRDefault="00152623" w:rsidP="00956035">
      <w:pPr>
        <w:pStyle w:val="Textonotapie"/>
        <w:jc w:val="both"/>
      </w:pPr>
      <w:r w:rsidRPr="003047E2">
        <w:rPr>
          <w:rStyle w:val="Refdenotaalpie"/>
        </w:rPr>
        <w:footnoteRef/>
      </w:r>
      <w:r w:rsidRPr="003047E2">
        <w:rPr>
          <w:shd w:val="clear" w:color="auto" w:fill="FFFFFF"/>
        </w:rPr>
        <w:t>En palabras de la portavoz del Departamento de Estado, Neather</w:t>
      </w:r>
      <w:r w:rsidR="00406025">
        <w:rPr>
          <w:shd w:val="clear" w:color="auto" w:fill="FFFFFF"/>
        </w:rPr>
        <w:t xml:space="preserve"> </w:t>
      </w:r>
      <w:r w:rsidRPr="003047E2">
        <w:rPr>
          <w:shd w:val="clear" w:color="auto" w:fill="FFFFFF"/>
        </w:rPr>
        <w:t>Nauert, expresó su no: "Cataluña es una parte integral de España, y Estados Unidos apoya las medidas constitucionales del Gobierno español para mantener a España fuerte y unida”</w:t>
      </w:r>
    </w:p>
  </w:footnote>
  <w:footnote w:id="102">
    <w:p w:rsidR="00152623" w:rsidRPr="003047E2" w:rsidRDefault="00152623" w:rsidP="00956035">
      <w:pPr>
        <w:spacing w:line="240" w:lineRule="auto"/>
        <w:jc w:val="both"/>
        <w:rPr>
          <w:shd w:val="clear" w:color="auto" w:fill="FFFFFF"/>
        </w:rPr>
      </w:pPr>
      <w:r w:rsidRPr="003047E2">
        <w:rPr>
          <w:rStyle w:val="Refdenotaalpie"/>
        </w:rPr>
        <w:footnoteRef/>
      </w:r>
      <w:r w:rsidRPr="003047E2">
        <w:rPr>
          <w:rFonts w:cs="Times New Roman"/>
          <w:sz w:val="20"/>
          <w:szCs w:val="20"/>
          <w:shd w:val="clear" w:color="auto" w:fill="FFFFFF"/>
        </w:rPr>
        <w:t xml:space="preserve">EFE. “La comunidad internacional no reconoce la independencia de Cataluña”. </w:t>
      </w:r>
      <w:r w:rsidRPr="003047E2">
        <w:rPr>
          <w:rFonts w:cs="Times New Roman"/>
          <w:i/>
          <w:sz w:val="20"/>
          <w:szCs w:val="20"/>
          <w:shd w:val="clear" w:color="auto" w:fill="FFFFFF"/>
        </w:rPr>
        <w:t>Agencia EFE</w:t>
      </w:r>
      <w:r w:rsidRPr="003047E2">
        <w:rPr>
          <w:rFonts w:cs="Times New Roman"/>
          <w:sz w:val="20"/>
          <w:szCs w:val="20"/>
          <w:shd w:val="clear" w:color="auto" w:fill="FFFFFF"/>
        </w:rPr>
        <w:t>, de 27 de octubre de 2017. Recuperado de: https://www.efe.com/efe/espana/portada/la-comunidad-internacional-no-reconoce-independencia-de-cataluna/10010-3421513)</w:t>
      </w:r>
    </w:p>
  </w:footnote>
  <w:footnote w:id="103">
    <w:p w:rsidR="00152623" w:rsidRDefault="00152623" w:rsidP="00956035">
      <w:pPr>
        <w:pStyle w:val="Textonotapie"/>
        <w:jc w:val="both"/>
      </w:pPr>
      <w:r w:rsidRPr="003047E2">
        <w:rPr>
          <w:rStyle w:val="Refdenotaalpie"/>
        </w:rPr>
        <w:footnoteRef/>
      </w:r>
      <w:r w:rsidRPr="003047E2">
        <w:t xml:space="preserve">Cymerman, Henrique. “Israel evita pronunciarse sobre la independencia catalana”. </w:t>
      </w:r>
      <w:r w:rsidRPr="003047E2">
        <w:rPr>
          <w:i/>
        </w:rPr>
        <w:t xml:space="preserve">La Vanguardia, </w:t>
      </w:r>
      <w:r w:rsidRPr="003047E2">
        <w:t xml:space="preserve">de 29 de octubre de 2017. </w:t>
      </w:r>
    </w:p>
    <w:p w:rsidR="00152623" w:rsidRPr="003047E2" w:rsidRDefault="00152623" w:rsidP="00956035">
      <w:pPr>
        <w:pStyle w:val="Textonotapie"/>
        <w:jc w:val="both"/>
      </w:pPr>
      <w:r w:rsidRPr="003047E2">
        <w:t>Recuperado de: http://www.lavanguardia.com/politica/20171029/432443107477/israel-declaracion-independencia-catalunya-netanyahu.html.</w:t>
      </w:r>
    </w:p>
  </w:footnote>
  <w:footnote w:id="104">
    <w:p w:rsidR="00152623" w:rsidRPr="003047E2" w:rsidRDefault="00152623" w:rsidP="00956035">
      <w:pPr>
        <w:pStyle w:val="Textonotapie"/>
        <w:jc w:val="both"/>
      </w:pPr>
      <w:r w:rsidRPr="003047E2">
        <w:rPr>
          <w:rStyle w:val="Refdenotaalpie"/>
        </w:rPr>
        <w:footnoteRef/>
      </w:r>
      <w:r w:rsidRPr="003047E2">
        <w:t xml:space="preserve">Cembrero, I.” Ni siquiera Andorra: Solo Maduro y Kosovo dudan si reconocer la república catalana”. </w:t>
      </w:r>
      <w:r w:rsidRPr="003047E2">
        <w:rPr>
          <w:i/>
        </w:rPr>
        <w:t>El Confidencial,</w:t>
      </w:r>
      <w:r w:rsidRPr="003047E2">
        <w:t xml:space="preserve"> de 25 de octubre de 2017. Recuperado de: https://www.elconfidencial.com/espana/2017-10-25/independencia-cataluna-maduro-kosovo_1466357/</w:t>
      </w:r>
    </w:p>
    <w:p w:rsidR="00152623" w:rsidRDefault="00152623">
      <w:pPr>
        <w:pStyle w:val="Textonotapie"/>
      </w:pPr>
    </w:p>
  </w:footnote>
  <w:footnote w:id="105">
    <w:p w:rsidR="00152623" w:rsidRPr="003047E2" w:rsidRDefault="00152623" w:rsidP="00956035">
      <w:pPr>
        <w:pStyle w:val="Textonotapie"/>
        <w:jc w:val="both"/>
      </w:pPr>
      <w:r w:rsidRPr="003047E2">
        <w:rPr>
          <w:rStyle w:val="Refdenotaalpie"/>
        </w:rPr>
        <w:footnoteRef/>
      </w:r>
      <w:r w:rsidRPr="003047E2">
        <w:rPr>
          <w:rFonts w:cs="Times New Roman"/>
          <w:szCs w:val="24"/>
          <w:shd w:val="clear" w:color="auto" w:fill="FFFFFF"/>
        </w:rPr>
        <w:t xml:space="preserve">Ayllón, Luis. “Osetia del Sur, Transnistria, Abjasia, Somalilandia… y Cataluña”. </w:t>
      </w:r>
      <w:r w:rsidRPr="003047E2">
        <w:rPr>
          <w:rFonts w:cs="Times New Roman"/>
          <w:i/>
          <w:szCs w:val="24"/>
          <w:shd w:val="clear" w:color="auto" w:fill="FFFFFF"/>
        </w:rPr>
        <w:t>ABC</w:t>
      </w:r>
      <w:r w:rsidRPr="003047E2">
        <w:rPr>
          <w:rFonts w:cs="Times New Roman"/>
          <w:szCs w:val="24"/>
          <w:shd w:val="clear" w:color="auto" w:fill="FFFFFF"/>
        </w:rPr>
        <w:t>, de 27 de octubre de 2017. Recuperado de: http://abcblogs.abc.es/luis-ayllon/public/post/osetia-del-sur-abjasia-transnistria-somalilandia-y-cataluna-16842.asp.</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D620C"/>
    <w:multiLevelType w:val="hybridMultilevel"/>
    <w:tmpl w:val="B3543B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1C53903"/>
    <w:multiLevelType w:val="hybridMultilevel"/>
    <w:tmpl w:val="6290B872"/>
    <w:lvl w:ilvl="0" w:tplc="D18433B0">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51E7C97"/>
    <w:multiLevelType w:val="hybridMultilevel"/>
    <w:tmpl w:val="1E82E9C4"/>
    <w:lvl w:ilvl="0" w:tplc="54582BC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357E6433"/>
    <w:multiLevelType w:val="hybridMultilevel"/>
    <w:tmpl w:val="BC46416A"/>
    <w:lvl w:ilvl="0" w:tplc="01DA621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18D6FD3"/>
    <w:multiLevelType w:val="multilevel"/>
    <w:tmpl w:val="2D64CD3C"/>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4BDF6E43"/>
    <w:multiLevelType w:val="hybridMultilevel"/>
    <w:tmpl w:val="89529616"/>
    <w:lvl w:ilvl="0" w:tplc="0C0A0017">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D487AED"/>
    <w:multiLevelType w:val="hybridMultilevel"/>
    <w:tmpl w:val="E672384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51242B75"/>
    <w:multiLevelType w:val="hybridMultilevel"/>
    <w:tmpl w:val="20FCA738"/>
    <w:lvl w:ilvl="0" w:tplc="FFE0D62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5BD3043F"/>
    <w:multiLevelType w:val="hybridMultilevel"/>
    <w:tmpl w:val="10D65F96"/>
    <w:lvl w:ilvl="0" w:tplc="AE64A4B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5CCE07C1"/>
    <w:multiLevelType w:val="multilevel"/>
    <w:tmpl w:val="6C28966C"/>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0">
    <w:nsid w:val="62854826"/>
    <w:multiLevelType w:val="hybridMultilevel"/>
    <w:tmpl w:val="3C981076"/>
    <w:lvl w:ilvl="0" w:tplc="06428816">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9D720B5"/>
    <w:multiLevelType w:val="multilevel"/>
    <w:tmpl w:val="ED50C8A0"/>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6B43467F"/>
    <w:multiLevelType w:val="hybridMultilevel"/>
    <w:tmpl w:val="87E00716"/>
    <w:lvl w:ilvl="0" w:tplc="06428816">
      <w:start w:val="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6E080896"/>
    <w:multiLevelType w:val="multilevel"/>
    <w:tmpl w:val="2D64CD3C"/>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6EF62898"/>
    <w:multiLevelType w:val="hybridMultilevel"/>
    <w:tmpl w:val="1F6CD2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BA6541"/>
    <w:multiLevelType w:val="multilevel"/>
    <w:tmpl w:val="4C140BA0"/>
    <w:lvl w:ilvl="0">
      <w:start w:val="1"/>
      <w:numFmt w:val="decimal"/>
      <w:lvlText w:val="%1"/>
      <w:lvlJc w:val="left"/>
      <w:pPr>
        <w:ind w:left="405" w:hanging="405"/>
      </w:pPr>
      <w:rPr>
        <w:rFonts w:hint="default"/>
        <w:b/>
        <w:sz w:val="26"/>
      </w:rPr>
    </w:lvl>
    <w:lvl w:ilvl="1">
      <w:start w:val="1"/>
      <w:numFmt w:val="decimal"/>
      <w:lvlText w:val="%1.%2"/>
      <w:lvlJc w:val="left"/>
      <w:pPr>
        <w:ind w:left="720" w:hanging="720"/>
      </w:pPr>
      <w:rPr>
        <w:rFonts w:hint="default"/>
        <w:b/>
        <w:sz w:val="26"/>
      </w:rPr>
    </w:lvl>
    <w:lvl w:ilvl="2">
      <w:start w:val="1"/>
      <w:numFmt w:val="decimal"/>
      <w:lvlText w:val="%1.%2.%3"/>
      <w:lvlJc w:val="left"/>
      <w:pPr>
        <w:ind w:left="720" w:hanging="720"/>
      </w:pPr>
      <w:rPr>
        <w:rFonts w:hint="default"/>
        <w:b/>
        <w:sz w:val="26"/>
      </w:rPr>
    </w:lvl>
    <w:lvl w:ilvl="3">
      <w:start w:val="1"/>
      <w:numFmt w:val="decimal"/>
      <w:lvlText w:val="%1.%2.%3.%4"/>
      <w:lvlJc w:val="left"/>
      <w:pPr>
        <w:ind w:left="1080" w:hanging="1080"/>
      </w:pPr>
      <w:rPr>
        <w:rFonts w:hint="default"/>
        <w:b/>
        <w:sz w:val="26"/>
      </w:rPr>
    </w:lvl>
    <w:lvl w:ilvl="4">
      <w:start w:val="1"/>
      <w:numFmt w:val="decimal"/>
      <w:lvlText w:val="%1.%2.%3.%4.%5"/>
      <w:lvlJc w:val="left"/>
      <w:pPr>
        <w:ind w:left="1080" w:hanging="1080"/>
      </w:pPr>
      <w:rPr>
        <w:rFonts w:hint="default"/>
        <w:b/>
        <w:sz w:val="26"/>
      </w:rPr>
    </w:lvl>
    <w:lvl w:ilvl="5">
      <w:start w:val="1"/>
      <w:numFmt w:val="decimal"/>
      <w:lvlText w:val="%1.%2.%3.%4.%5.%6"/>
      <w:lvlJc w:val="left"/>
      <w:pPr>
        <w:ind w:left="1440" w:hanging="1440"/>
      </w:pPr>
      <w:rPr>
        <w:rFonts w:hint="default"/>
        <w:b/>
        <w:sz w:val="26"/>
      </w:rPr>
    </w:lvl>
    <w:lvl w:ilvl="6">
      <w:start w:val="1"/>
      <w:numFmt w:val="decimal"/>
      <w:lvlText w:val="%1.%2.%3.%4.%5.%6.%7"/>
      <w:lvlJc w:val="left"/>
      <w:pPr>
        <w:ind w:left="1800" w:hanging="1800"/>
      </w:pPr>
      <w:rPr>
        <w:rFonts w:hint="default"/>
        <w:b/>
        <w:sz w:val="26"/>
      </w:rPr>
    </w:lvl>
    <w:lvl w:ilvl="7">
      <w:start w:val="1"/>
      <w:numFmt w:val="decimal"/>
      <w:lvlText w:val="%1.%2.%3.%4.%5.%6.%7.%8"/>
      <w:lvlJc w:val="left"/>
      <w:pPr>
        <w:ind w:left="1800" w:hanging="1800"/>
      </w:pPr>
      <w:rPr>
        <w:rFonts w:hint="default"/>
        <w:b/>
        <w:sz w:val="26"/>
      </w:rPr>
    </w:lvl>
    <w:lvl w:ilvl="8">
      <w:start w:val="1"/>
      <w:numFmt w:val="decimal"/>
      <w:lvlText w:val="%1.%2.%3.%4.%5.%6.%7.%8.%9"/>
      <w:lvlJc w:val="left"/>
      <w:pPr>
        <w:ind w:left="2160" w:hanging="2160"/>
      </w:pPr>
      <w:rPr>
        <w:rFonts w:hint="default"/>
        <w:b/>
        <w:sz w:val="26"/>
      </w:rPr>
    </w:lvl>
  </w:abstractNum>
  <w:abstractNum w:abstractNumId="16">
    <w:nsid w:val="7A0D200C"/>
    <w:multiLevelType w:val="hybridMultilevel"/>
    <w:tmpl w:val="161A5574"/>
    <w:lvl w:ilvl="0" w:tplc="D850010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5"/>
  </w:num>
  <w:num w:numId="3">
    <w:abstractNumId w:val="11"/>
  </w:num>
  <w:num w:numId="4">
    <w:abstractNumId w:val="3"/>
  </w:num>
  <w:num w:numId="5">
    <w:abstractNumId w:val="4"/>
  </w:num>
  <w:num w:numId="6">
    <w:abstractNumId w:val="12"/>
  </w:num>
  <w:num w:numId="7">
    <w:abstractNumId w:val="14"/>
  </w:num>
  <w:num w:numId="8">
    <w:abstractNumId w:val="10"/>
  </w:num>
  <w:num w:numId="9">
    <w:abstractNumId w:val="0"/>
  </w:num>
  <w:num w:numId="10">
    <w:abstractNumId w:val="16"/>
  </w:num>
  <w:num w:numId="11">
    <w:abstractNumId w:val="6"/>
  </w:num>
  <w:num w:numId="12">
    <w:abstractNumId w:val="1"/>
  </w:num>
  <w:num w:numId="13">
    <w:abstractNumId w:val="9"/>
  </w:num>
  <w:num w:numId="14">
    <w:abstractNumId w:val="7"/>
  </w:num>
  <w:num w:numId="15">
    <w:abstractNumId w:val="8"/>
  </w:num>
  <w:num w:numId="16">
    <w:abstractNumId w:val="2"/>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E20AB"/>
    <w:rsid w:val="00020658"/>
    <w:rsid w:val="0002414C"/>
    <w:rsid w:val="00046EAB"/>
    <w:rsid w:val="00054441"/>
    <w:rsid w:val="000716CD"/>
    <w:rsid w:val="00077E69"/>
    <w:rsid w:val="0008333E"/>
    <w:rsid w:val="00097A5E"/>
    <w:rsid w:val="000C0BE7"/>
    <w:rsid w:val="000C295C"/>
    <w:rsid w:val="000C3C48"/>
    <w:rsid w:val="000D503A"/>
    <w:rsid w:val="00102781"/>
    <w:rsid w:val="001045C4"/>
    <w:rsid w:val="00112D12"/>
    <w:rsid w:val="001131F0"/>
    <w:rsid w:val="00115483"/>
    <w:rsid w:val="00117717"/>
    <w:rsid w:val="0012074A"/>
    <w:rsid w:val="00120F75"/>
    <w:rsid w:val="0013711B"/>
    <w:rsid w:val="001518BD"/>
    <w:rsid w:val="00152623"/>
    <w:rsid w:val="00155EC8"/>
    <w:rsid w:val="001648C4"/>
    <w:rsid w:val="00170433"/>
    <w:rsid w:val="00170827"/>
    <w:rsid w:val="00171900"/>
    <w:rsid w:val="00175670"/>
    <w:rsid w:val="0019733B"/>
    <w:rsid w:val="001A2AA3"/>
    <w:rsid w:val="001C3F31"/>
    <w:rsid w:val="001D6474"/>
    <w:rsid w:val="001E0844"/>
    <w:rsid w:val="001E188B"/>
    <w:rsid w:val="001F718B"/>
    <w:rsid w:val="002178DB"/>
    <w:rsid w:val="00231C7D"/>
    <w:rsid w:val="0026211A"/>
    <w:rsid w:val="00263CAF"/>
    <w:rsid w:val="00267E6F"/>
    <w:rsid w:val="00290F35"/>
    <w:rsid w:val="002912B2"/>
    <w:rsid w:val="002A0ACA"/>
    <w:rsid w:val="002C1058"/>
    <w:rsid w:val="002D3C68"/>
    <w:rsid w:val="002D738C"/>
    <w:rsid w:val="002F42FD"/>
    <w:rsid w:val="002F5AD3"/>
    <w:rsid w:val="0030229F"/>
    <w:rsid w:val="003047E2"/>
    <w:rsid w:val="003202A6"/>
    <w:rsid w:val="00335A52"/>
    <w:rsid w:val="0033665B"/>
    <w:rsid w:val="0033691D"/>
    <w:rsid w:val="003744DA"/>
    <w:rsid w:val="0037666F"/>
    <w:rsid w:val="00377C1A"/>
    <w:rsid w:val="00382F24"/>
    <w:rsid w:val="00390075"/>
    <w:rsid w:val="00392756"/>
    <w:rsid w:val="003949B3"/>
    <w:rsid w:val="003A1358"/>
    <w:rsid w:val="003F5B66"/>
    <w:rsid w:val="003F7793"/>
    <w:rsid w:val="00400DFF"/>
    <w:rsid w:val="00406025"/>
    <w:rsid w:val="00413B0C"/>
    <w:rsid w:val="00417703"/>
    <w:rsid w:val="00425C16"/>
    <w:rsid w:val="004261F5"/>
    <w:rsid w:val="00426A1D"/>
    <w:rsid w:val="004301E5"/>
    <w:rsid w:val="004336EF"/>
    <w:rsid w:val="004544E9"/>
    <w:rsid w:val="00465059"/>
    <w:rsid w:val="00475BA4"/>
    <w:rsid w:val="004861DE"/>
    <w:rsid w:val="004906CE"/>
    <w:rsid w:val="00491C72"/>
    <w:rsid w:val="004A2C21"/>
    <w:rsid w:val="004B2BC7"/>
    <w:rsid w:val="004C4697"/>
    <w:rsid w:val="004F452C"/>
    <w:rsid w:val="005000F5"/>
    <w:rsid w:val="00500E19"/>
    <w:rsid w:val="00507EB9"/>
    <w:rsid w:val="00522208"/>
    <w:rsid w:val="005301A2"/>
    <w:rsid w:val="00533845"/>
    <w:rsid w:val="00553A9F"/>
    <w:rsid w:val="0055503C"/>
    <w:rsid w:val="00557077"/>
    <w:rsid w:val="00560945"/>
    <w:rsid w:val="00573398"/>
    <w:rsid w:val="005769F9"/>
    <w:rsid w:val="005A1DE1"/>
    <w:rsid w:val="005A295D"/>
    <w:rsid w:val="005A5BB8"/>
    <w:rsid w:val="005A7705"/>
    <w:rsid w:val="005B50A1"/>
    <w:rsid w:val="005B7801"/>
    <w:rsid w:val="005C7774"/>
    <w:rsid w:val="005D1BCC"/>
    <w:rsid w:val="005F38D7"/>
    <w:rsid w:val="006049A7"/>
    <w:rsid w:val="006051C9"/>
    <w:rsid w:val="00625405"/>
    <w:rsid w:val="00637F8D"/>
    <w:rsid w:val="0064138F"/>
    <w:rsid w:val="00641416"/>
    <w:rsid w:val="00651E97"/>
    <w:rsid w:val="00665EFB"/>
    <w:rsid w:val="0068611A"/>
    <w:rsid w:val="006A3331"/>
    <w:rsid w:val="006D2E54"/>
    <w:rsid w:val="006F0782"/>
    <w:rsid w:val="006F5076"/>
    <w:rsid w:val="007256F5"/>
    <w:rsid w:val="00737929"/>
    <w:rsid w:val="0075369D"/>
    <w:rsid w:val="00794368"/>
    <w:rsid w:val="007B0922"/>
    <w:rsid w:val="007B38AE"/>
    <w:rsid w:val="007C28F8"/>
    <w:rsid w:val="007C2A33"/>
    <w:rsid w:val="007C42FB"/>
    <w:rsid w:val="007D4879"/>
    <w:rsid w:val="007E4747"/>
    <w:rsid w:val="007E7B82"/>
    <w:rsid w:val="007F2745"/>
    <w:rsid w:val="008229A3"/>
    <w:rsid w:val="0082333B"/>
    <w:rsid w:val="00824C0F"/>
    <w:rsid w:val="008301E7"/>
    <w:rsid w:val="00843119"/>
    <w:rsid w:val="008516B7"/>
    <w:rsid w:val="00866918"/>
    <w:rsid w:val="00866FF8"/>
    <w:rsid w:val="00883EAC"/>
    <w:rsid w:val="008871E6"/>
    <w:rsid w:val="008B76FA"/>
    <w:rsid w:val="008E5CEA"/>
    <w:rsid w:val="008F24EE"/>
    <w:rsid w:val="0090349C"/>
    <w:rsid w:val="009426A3"/>
    <w:rsid w:val="00956035"/>
    <w:rsid w:val="00957398"/>
    <w:rsid w:val="0097337D"/>
    <w:rsid w:val="00973E47"/>
    <w:rsid w:val="0097520D"/>
    <w:rsid w:val="009764D8"/>
    <w:rsid w:val="00976ACD"/>
    <w:rsid w:val="00980C99"/>
    <w:rsid w:val="009814B2"/>
    <w:rsid w:val="009941FE"/>
    <w:rsid w:val="009A5350"/>
    <w:rsid w:val="009A6C08"/>
    <w:rsid w:val="009C1E61"/>
    <w:rsid w:val="009D6E73"/>
    <w:rsid w:val="009E5724"/>
    <w:rsid w:val="009F4E73"/>
    <w:rsid w:val="009F5101"/>
    <w:rsid w:val="00A61A4A"/>
    <w:rsid w:val="00A66281"/>
    <w:rsid w:val="00A7412B"/>
    <w:rsid w:val="00A84A4A"/>
    <w:rsid w:val="00A93DC4"/>
    <w:rsid w:val="00A964E1"/>
    <w:rsid w:val="00A97ED7"/>
    <w:rsid w:val="00AB60BF"/>
    <w:rsid w:val="00AB787D"/>
    <w:rsid w:val="00AE0EDE"/>
    <w:rsid w:val="00AF6DAB"/>
    <w:rsid w:val="00B021EE"/>
    <w:rsid w:val="00B064E5"/>
    <w:rsid w:val="00B07019"/>
    <w:rsid w:val="00B16FCD"/>
    <w:rsid w:val="00B2047B"/>
    <w:rsid w:val="00B21B26"/>
    <w:rsid w:val="00B330D5"/>
    <w:rsid w:val="00B372D1"/>
    <w:rsid w:val="00B431EB"/>
    <w:rsid w:val="00B47E66"/>
    <w:rsid w:val="00B52408"/>
    <w:rsid w:val="00B63CF2"/>
    <w:rsid w:val="00B80E68"/>
    <w:rsid w:val="00B81C7D"/>
    <w:rsid w:val="00B826F1"/>
    <w:rsid w:val="00B845C3"/>
    <w:rsid w:val="00B9121F"/>
    <w:rsid w:val="00B97912"/>
    <w:rsid w:val="00BB4252"/>
    <w:rsid w:val="00BD2C77"/>
    <w:rsid w:val="00BF4902"/>
    <w:rsid w:val="00C00626"/>
    <w:rsid w:val="00C10231"/>
    <w:rsid w:val="00C11825"/>
    <w:rsid w:val="00C136F2"/>
    <w:rsid w:val="00C3386B"/>
    <w:rsid w:val="00C33B0C"/>
    <w:rsid w:val="00C43E28"/>
    <w:rsid w:val="00C44137"/>
    <w:rsid w:val="00C66A5F"/>
    <w:rsid w:val="00C73164"/>
    <w:rsid w:val="00C84A9F"/>
    <w:rsid w:val="00C87CFE"/>
    <w:rsid w:val="00CA3145"/>
    <w:rsid w:val="00CB0943"/>
    <w:rsid w:val="00CD3B77"/>
    <w:rsid w:val="00CD4870"/>
    <w:rsid w:val="00CD7E8D"/>
    <w:rsid w:val="00CF57FD"/>
    <w:rsid w:val="00D04ABE"/>
    <w:rsid w:val="00D07F03"/>
    <w:rsid w:val="00D1166A"/>
    <w:rsid w:val="00D2167B"/>
    <w:rsid w:val="00D221B3"/>
    <w:rsid w:val="00D24720"/>
    <w:rsid w:val="00D2557B"/>
    <w:rsid w:val="00D35577"/>
    <w:rsid w:val="00D50157"/>
    <w:rsid w:val="00D573A5"/>
    <w:rsid w:val="00D66A57"/>
    <w:rsid w:val="00D72EF7"/>
    <w:rsid w:val="00D73BE6"/>
    <w:rsid w:val="00D76B4F"/>
    <w:rsid w:val="00D80FAD"/>
    <w:rsid w:val="00D9475F"/>
    <w:rsid w:val="00DA25BE"/>
    <w:rsid w:val="00DB6031"/>
    <w:rsid w:val="00DE20AB"/>
    <w:rsid w:val="00DE25E5"/>
    <w:rsid w:val="00DF2196"/>
    <w:rsid w:val="00E02CDA"/>
    <w:rsid w:val="00E103FF"/>
    <w:rsid w:val="00E15833"/>
    <w:rsid w:val="00E30505"/>
    <w:rsid w:val="00E345ED"/>
    <w:rsid w:val="00E36760"/>
    <w:rsid w:val="00E64369"/>
    <w:rsid w:val="00E644BD"/>
    <w:rsid w:val="00E67EC5"/>
    <w:rsid w:val="00E75614"/>
    <w:rsid w:val="00E77CDB"/>
    <w:rsid w:val="00E83C2D"/>
    <w:rsid w:val="00E86352"/>
    <w:rsid w:val="00E87639"/>
    <w:rsid w:val="00E91B0D"/>
    <w:rsid w:val="00E94E70"/>
    <w:rsid w:val="00E97EB1"/>
    <w:rsid w:val="00EB2A07"/>
    <w:rsid w:val="00EC0045"/>
    <w:rsid w:val="00EE32F7"/>
    <w:rsid w:val="00EE63F9"/>
    <w:rsid w:val="00EF3609"/>
    <w:rsid w:val="00EF6E3B"/>
    <w:rsid w:val="00F01E53"/>
    <w:rsid w:val="00F158F2"/>
    <w:rsid w:val="00F26DB1"/>
    <w:rsid w:val="00F3054C"/>
    <w:rsid w:val="00F33EB2"/>
    <w:rsid w:val="00F36EE4"/>
    <w:rsid w:val="00F419E7"/>
    <w:rsid w:val="00F41AD2"/>
    <w:rsid w:val="00F42FB7"/>
    <w:rsid w:val="00F715A4"/>
    <w:rsid w:val="00F77117"/>
    <w:rsid w:val="00F9252A"/>
    <w:rsid w:val="00F94249"/>
    <w:rsid w:val="00FA02E1"/>
    <w:rsid w:val="00FA7A3B"/>
    <w:rsid w:val="00FB1D6F"/>
    <w:rsid w:val="00FB34C6"/>
    <w:rsid w:val="00FE1627"/>
    <w:rsid w:val="00FF5A5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20AB"/>
    <w:rPr>
      <w:rFonts w:ascii="Times New Roman" w:hAnsi="Times New Roman"/>
      <w:sz w:val="24"/>
    </w:rPr>
  </w:style>
  <w:style w:type="paragraph" w:styleId="Ttulo1">
    <w:name w:val="heading 1"/>
    <w:basedOn w:val="Normal"/>
    <w:next w:val="Normal"/>
    <w:link w:val="Ttulo1Car"/>
    <w:uiPriority w:val="9"/>
    <w:qFormat/>
    <w:rsid w:val="009941FE"/>
    <w:pPr>
      <w:keepNext/>
      <w:keepLines/>
      <w:spacing w:before="480" w:after="0"/>
      <w:outlineLvl w:val="0"/>
    </w:pPr>
    <w:rPr>
      <w:rFonts w:eastAsiaTheme="majorEastAsia" w:cstheme="majorBidi"/>
      <w:b/>
      <w:bCs/>
      <w:color w:val="943634" w:themeColor="accent2" w:themeShade="BF"/>
      <w:sz w:val="28"/>
      <w:szCs w:val="28"/>
    </w:rPr>
  </w:style>
  <w:style w:type="paragraph" w:styleId="Ttulo2">
    <w:name w:val="heading 2"/>
    <w:basedOn w:val="Normal"/>
    <w:next w:val="Normal"/>
    <w:link w:val="Ttulo2Car"/>
    <w:uiPriority w:val="9"/>
    <w:unhideWhenUsed/>
    <w:qFormat/>
    <w:rsid w:val="009941FE"/>
    <w:pPr>
      <w:keepNext/>
      <w:keepLines/>
      <w:spacing w:before="200" w:after="0"/>
      <w:outlineLvl w:val="1"/>
    </w:pPr>
    <w:rPr>
      <w:rFonts w:ascii="Arial" w:eastAsiaTheme="majorEastAsia" w:hAnsi="Arial" w:cstheme="majorBidi"/>
      <w:b/>
      <w:bCs/>
      <w:color w:val="943634" w:themeColor="accent2" w:themeShade="BF"/>
      <w:sz w:val="26"/>
      <w:szCs w:val="26"/>
    </w:rPr>
  </w:style>
  <w:style w:type="paragraph" w:styleId="Ttulo3">
    <w:name w:val="heading 3"/>
    <w:basedOn w:val="Normal"/>
    <w:next w:val="Normal"/>
    <w:link w:val="Ttulo3Car"/>
    <w:uiPriority w:val="9"/>
    <w:unhideWhenUsed/>
    <w:qFormat/>
    <w:rsid w:val="00DE20AB"/>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2912B2"/>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2912B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941FE"/>
    <w:rPr>
      <w:rFonts w:ascii="Times New Roman" w:eastAsiaTheme="majorEastAsia" w:hAnsi="Times New Roman" w:cstheme="majorBidi"/>
      <w:b/>
      <w:bCs/>
      <w:color w:val="943634" w:themeColor="accent2" w:themeShade="BF"/>
      <w:sz w:val="28"/>
      <w:szCs w:val="28"/>
    </w:rPr>
  </w:style>
  <w:style w:type="character" w:customStyle="1" w:styleId="Ttulo3Car">
    <w:name w:val="Título 3 Car"/>
    <w:basedOn w:val="Fuentedeprrafopredeter"/>
    <w:link w:val="Ttulo3"/>
    <w:uiPriority w:val="9"/>
    <w:rsid w:val="00DE20AB"/>
    <w:rPr>
      <w:rFonts w:asciiTheme="majorHAnsi" w:eastAsiaTheme="majorEastAsia" w:hAnsiTheme="majorHAnsi" w:cstheme="majorBidi"/>
      <w:b/>
      <w:bCs/>
      <w:color w:val="4F81BD" w:themeColor="accent1"/>
      <w:sz w:val="24"/>
    </w:rPr>
  </w:style>
  <w:style w:type="paragraph" w:styleId="Prrafodelista">
    <w:name w:val="List Paragraph"/>
    <w:basedOn w:val="Normal"/>
    <w:uiPriority w:val="34"/>
    <w:qFormat/>
    <w:rsid w:val="00DE20AB"/>
    <w:pPr>
      <w:ind w:left="720"/>
      <w:contextualSpacing/>
    </w:pPr>
  </w:style>
  <w:style w:type="character" w:customStyle="1" w:styleId="Ttulo2Car">
    <w:name w:val="Título 2 Car"/>
    <w:basedOn w:val="Fuentedeprrafopredeter"/>
    <w:link w:val="Ttulo2"/>
    <w:uiPriority w:val="9"/>
    <w:rsid w:val="009941FE"/>
    <w:rPr>
      <w:rFonts w:ascii="Arial" w:eastAsiaTheme="majorEastAsia" w:hAnsi="Arial" w:cstheme="majorBidi"/>
      <w:b/>
      <w:bCs/>
      <w:color w:val="943634" w:themeColor="accent2" w:themeShade="BF"/>
      <w:sz w:val="26"/>
      <w:szCs w:val="26"/>
    </w:rPr>
  </w:style>
  <w:style w:type="paragraph" w:styleId="Textodeglobo">
    <w:name w:val="Balloon Text"/>
    <w:basedOn w:val="Normal"/>
    <w:link w:val="TextodegloboCar"/>
    <w:uiPriority w:val="99"/>
    <w:semiHidden/>
    <w:unhideWhenUsed/>
    <w:rsid w:val="00DE20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E20AB"/>
    <w:rPr>
      <w:rFonts w:ascii="Tahoma" w:hAnsi="Tahoma" w:cs="Tahoma"/>
      <w:sz w:val="16"/>
      <w:szCs w:val="16"/>
    </w:rPr>
  </w:style>
  <w:style w:type="character" w:styleId="Hipervnculo">
    <w:name w:val="Hyperlink"/>
    <w:basedOn w:val="Fuentedeprrafopredeter"/>
    <w:uiPriority w:val="99"/>
    <w:unhideWhenUsed/>
    <w:rsid w:val="00382F24"/>
    <w:rPr>
      <w:color w:val="0000FF"/>
      <w:u w:val="single"/>
    </w:rPr>
  </w:style>
  <w:style w:type="paragraph" w:styleId="Encabezado">
    <w:name w:val="header"/>
    <w:basedOn w:val="Normal"/>
    <w:link w:val="EncabezadoCar"/>
    <w:uiPriority w:val="99"/>
    <w:semiHidden/>
    <w:unhideWhenUsed/>
    <w:rsid w:val="006D2E5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D2E54"/>
    <w:rPr>
      <w:rFonts w:ascii="Times New Roman" w:hAnsi="Times New Roman"/>
      <w:sz w:val="24"/>
    </w:rPr>
  </w:style>
  <w:style w:type="paragraph" w:styleId="Piedepgina">
    <w:name w:val="footer"/>
    <w:basedOn w:val="Normal"/>
    <w:link w:val="PiedepginaCar"/>
    <w:uiPriority w:val="99"/>
    <w:unhideWhenUsed/>
    <w:rsid w:val="006D2E5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D2E54"/>
    <w:rPr>
      <w:rFonts w:ascii="Times New Roman" w:hAnsi="Times New Roman"/>
      <w:sz w:val="24"/>
    </w:rPr>
  </w:style>
  <w:style w:type="paragraph" w:styleId="Textonotaalfinal">
    <w:name w:val="endnote text"/>
    <w:basedOn w:val="Normal"/>
    <w:link w:val="TextonotaalfinalCar"/>
    <w:uiPriority w:val="99"/>
    <w:semiHidden/>
    <w:unhideWhenUsed/>
    <w:rsid w:val="008B76F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B76FA"/>
    <w:rPr>
      <w:rFonts w:ascii="Times New Roman" w:hAnsi="Times New Roman"/>
      <w:sz w:val="20"/>
      <w:szCs w:val="20"/>
    </w:rPr>
  </w:style>
  <w:style w:type="character" w:styleId="Refdenotaalfinal">
    <w:name w:val="endnote reference"/>
    <w:basedOn w:val="Fuentedeprrafopredeter"/>
    <w:uiPriority w:val="99"/>
    <w:semiHidden/>
    <w:unhideWhenUsed/>
    <w:rsid w:val="008B76FA"/>
    <w:rPr>
      <w:vertAlign w:val="superscript"/>
    </w:rPr>
  </w:style>
  <w:style w:type="paragraph" w:styleId="Textonotapie">
    <w:name w:val="footnote text"/>
    <w:basedOn w:val="Normal"/>
    <w:link w:val="TextonotapieCar"/>
    <w:uiPriority w:val="99"/>
    <w:semiHidden/>
    <w:unhideWhenUsed/>
    <w:rsid w:val="008B76F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B76FA"/>
    <w:rPr>
      <w:rFonts w:ascii="Times New Roman" w:hAnsi="Times New Roman"/>
      <w:sz w:val="20"/>
      <w:szCs w:val="20"/>
    </w:rPr>
  </w:style>
  <w:style w:type="character" w:styleId="Refdenotaalpie">
    <w:name w:val="footnote reference"/>
    <w:basedOn w:val="Fuentedeprrafopredeter"/>
    <w:uiPriority w:val="99"/>
    <w:semiHidden/>
    <w:unhideWhenUsed/>
    <w:rsid w:val="008B76FA"/>
    <w:rPr>
      <w:vertAlign w:val="superscript"/>
    </w:rPr>
  </w:style>
  <w:style w:type="paragraph" w:styleId="ndice1">
    <w:name w:val="index 1"/>
    <w:basedOn w:val="Normal"/>
    <w:next w:val="Normal"/>
    <w:autoRedefine/>
    <w:uiPriority w:val="99"/>
    <w:unhideWhenUsed/>
    <w:rsid w:val="009941FE"/>
    <w:pPr>
      <w:spacing w:after="0"/>
      <w:ind w:left="240" w:hanging="240"/>
    </w:pPr>
    <w:rPr>
      <w:rFonts w:asciiTheme="minorHAnsi" w:hAnsiTheme="minorHAnsi" w:cstheme="minorHAnsi"/>
      <w:sz w:val="18"/>
      <w:szCs w:val="18"/>
    </w:rPr>
  </w:style>
  <w:style w:type="paragraph" w:styleId="ndice2">
    <w:name w:val="index 2"/>
    <w:basedOn w:val="Normal"/>
    <w:next w:val="Normal"/>
    <w:autoRedefine/>
    <w:uiPriority w:val="99"/>
    <w:unhideWhenUsed/>
    <w:rsid w:val="009941FE"/>
    <w:pPr>
      <w:spacing w:after="0"/>
      <w:ind w:left="480" w:hanging="240"/>
    </w:pPr>
    <w:rPr>
      <w:rFonts w:asciiTheme="minorHAnsi" w:hAnsiTheme="minorHAnsi" w:cstheme="minorHAnsi"/>
      <w:sz w:val="18"/>
      <w:szCs w:val="18"/>
    </w:rPr>
  </w:style>
  <w:style w:type="paragraph" w:styleId="ndice3">
    <w:name w:val="index 3"/>
    <w:basedOn w:val="Normal"/>
    <w:next w:val="Normal"/>
    <w:autoRedefine/>
    <w:uiPriority w:val="99"/>
    <w:unhideWhenUsed/>
    <w:rsid w:val="009941FE"/>
    <w:pPr>
      <w:spacing w:after="0"/>
      <w:ind w:left="720" w:hanging="240"/>
    </w:pPr>
    <w:rPr>
      <w:rFonts w:asciiTheme="minorHAnsi" w:hAnsiTheme="minorHAnsi" w:cstheme="minorHAnsi"/>
      <w:sz w:val="18"/>
      <w:szCs w:val="18"/>
    </w:rPr>
  </w:style>
  <w:style w:type="paragraph" w:styleId="ndice4">
    <w:name w:val="index 4"/>
    <w:basedOn w:val="Normal"/>
    <w:next w:val="Normal"/>
    <w:autoRedefine/>
    <w:uiPriority w:val="99"/>
    <w:unhideWhenUsed/>
    <w:rsid w:val="009941FE"/>
    <w:pPr>
      <w:spacing w:after="0"/>
      <w:ind w:left="960" w:hanging="240"/>
    </w:pPr>
    <w:rPr>
      <w:rFonts w:asciiTheme="minorHAnsi" w:hAnsiTheme="minorHAnsi" w:cstheme="minorHAnsi"/>
      <w:sz w:val="18"/>
      <w:szCs w:val="18"/>
    </w:rPr>
  </w:style>
  <w:style w:type="paragraph" w:styleId="ndice5">
    <w:name w:val="index 5"/>
    <w:basedOn w:val="Normal"/>
    <w:next w:val="Normal"/>
    <w:autoRedefine/>
    <w:uiPriority w:val="99"/>
    <w:unhideWhenUsed/>
    <w:rsid w:val="009941FE"/>
    <w:pPr>
      <w:spacing w:after="0"/>
      <w:ind w:left="1200" w:hanging="240"/>
    </w:pPr>
    <w:rPr>
      <w:rFonts w:asciiTheme="minorHAnsi" w:hAnsiTheme="minorHAnsi" w:cstheme="minorHAnsi"/>
      <w:sz w:val="18"/>
      <w:szCs w:val="18"/>
    </w:rPr>
  </w:style>
  <w:style w:type="paragraph" w:styleId="ndice6">
    <w:name w:val="index 6"/>
    <w:basedOn w:val="Normal"/>
    <w:next w:val="Normal"/>
    <w:autoRedefine/>
    <w:uiPriority w:val="99"/>
    <w:unhideWhenUsed/>
    <w:rsid w:val="009941FE"/>
    <w:pPr>
      <w:spacing w:after="0"/>
      <w:ind w:left="1440" w:hanging="240"/>
    </w:pPr>
    <w:rPr>
      <w:rFonts w:asciiTheme="minorHAnsi" w:hAnsiTheme="minorHAnsi" w:cstheme="minorHAnsi"/>
      <w:sz w:val="18"/>
      <w:szCs w:val="18"/>
    </w:rPr>
  </w:style>
  <w:style w:type="paragraph" w:styleId="ndice7">
    <w:name w:val="index 7"/>
    <w:basedOn w:val="Normal"/>
    <w:next w:val="Normal"/>
    <w:autoRedefine/>
    <w:uiPriority w:val="99"/>
    <w:unhideWhenUsed/>
    <w:rsid w:val="009941FE"/>
    <w:pPr>
      <w:spacing w:after="0"/>
      <w:ind w:left="1680" w:hanging="240"/>
    </w:pPr>
    <w:rPr>
      <w:rFonts w:asciiTheme="minorHAnsi" w:hAnsiTheme="minorHAnsi" w:cstheme="minorHAnsi"/>
      <w:sz w:val="18"/>
      <w:szCs w:val="18"/>
    </w:rPr>
  </w:style>
  <w:style w:type="paragraph" w:styleId="ndice8">
    <w:name w:val="index 8"/>
    <w:basedOn w:val="Normal"/>
    <w:next w:val="Normal"/>
    <w:autoRedefine/>
    <w:uiPriority w:val="99"/>
    <w:unhideWhenUsed/>
    <w:rsid w:val="009941FE"/>
    <w:pPr>
      <w:spacing w:after="0"/>
      <w:ind w:left="1920" w:hanging="240"/>
    </w:pPr>
    <w:rPr>
      <w:rFonts w:asciiTheme="minorHAnsi" w:hAnsiTheme="minorHAnsi" w:cstheme="minorHAnsi"/>
      <w:sz w:val="18"/>
      <w:szCs w:val="18"/>
    </w:rPr>
  </w:style>
  <w:style w:type="paragraph" w:styleId="ndice9">
    <w:name w:val="index 9"/>
    <w:basedOn w:val="Normal"/>
    <w:next w:val="Normal"/>
    <w:autoRedefine/>
    <w:uiPriority w:val="99"/>
    <w:unhideWhenUsed/>
    <w:rsid w:val="009941FE"/>
    <w:pPr>
      <w:spacing w:after="0"/>
      <w:ind w:left="2160" w:hanging="240"/>
    </w:pPr>
    <w:rPr>
      <w:rFonts w:asciiTheme="minorHAnsi" w:hAnsiTheme="minorHAnsi" w:cstheme="minorHAnsi"/>
      <w:sz w:val="18"/>
      <w:szCs w:val="18"/>
    </w:rPr>
  </w:style>
  <w:style w:type="paragraph" w:styleId="Ttulodendice">
    <w:name w:val="index heading"/>
    <w:basedOn w:val="Normal"/>
    <w:next w:val="ndice1"/>
    <w:uiPriority w:val="99"/>
    <w:unhideWhenUsed/>
    <w:rsid w:val="009941FE"/>
    <w:pPr>
      <w:pBdr>
        <w:top w:val="single" w:sz="12" w:space="0" w:color="auto"/>
      </w:pBdr>
      <w:spacing w:before="360" w:after="240"/>
    </w:pPr>
    <w:rPr>
      <w:rFonts w:asciiTheme="minorHAnsi" w:hAnsiTheme="minorHAnsi" w:cstheme="minorHAnsi"/>
      <w:b/>
      <w:bCs/>
      <w:i/>
      <w:iCs/>
      <w:sz w:val="26"/>
      <w:szCs w:val="26"/>
    </w:rPr>
  </w:style>
  <w:style w:type="character" w:customStyle="1" w:styleId="Ttulo4Car">
    <w:name w:val="Título 4 Car"/>
    <w:basedOn w:val="Fuentedeprrafopredeter"/>
    <w:link w:val="Ttulo4"/>
    <w:uiPriority w:val="9"/>
    <w:semiHidden/>
    <w:rsid w:val="002912B2"/>
    <w:rPr>
      <w:rFonts w:asciiTheme="majorHAnsi" w:eastAsiaTheme="majorEastAsia" w:hAnsiTheme="majorHAnsi" w:cstheme="majorBidi"/>
      <w:b/>
      <w:bCs/>
      <w:i/>
      <w:iCs/>
      <w:color w:val="4F81BD" w:themeColor="accent1"/>
      <w:sz w:val="24"/>
    </w:rPr>
  </w:style>
  <w:style w:type="character" w:customStyle="1" w:styleId="Ttulo5Car">
    <w:name w:val="Título 5 Car"/>
    <w:basedOn w:val="Fuentedeprrafopredeter"/>
    <w:link w:val="Ttulo5"/>
    <w:uiPriority w:val="9"/>
    <w:semiHidden/>
    <w:rsid w:val="002912B2"/>
    <w:rPr>
      <w:rFonts w:asciiTheme="majorHAnsi" w:eastAsiaTheme="majorEastAsia" w:hAnsiTheme="majorHAnsi" w:cstheme="majorBidi"/>
      <w:color w:val="243F60" w:themeColor="accent1" w:themeShade="7F"/>
      <w:sz w:val="24"/>
    </w:rPr>
  </w:style>
  <w:style w:type="paragraph" w:styleId="Textoindependiente">
    <w:name w:val="Body Text"/>
    <w:basedOn w:val="Normal"/>
    <w:link w:val="TextoindependienteCar"/>
    <w:uiPriority w:val="99"/>
    <w:semiHidden/>
    <w:unhideWhenUsed/>
    <w:rsid w:val="002912B2"/>
    <w:pPr>
      <w:spacing w:after="120"/>
    </w:pPr>
  </w:style>
  <w:style w:type="character" w:customStyle="1" w:styleId="TextoindependienteCar">
    <w:name w:val="Texto independiente Car"/>
    <w:basedOn w:val="Fuentedeprrafopredeter"/>
    <w:link w:val="Textoindependiente"/>
    <w:uiPriority w:val="99"/>
    <w:semiHidden/>
    <w:rsid w:val="002912B2"/>
    <w:rPr>
      <w:rFonts w:ascii="Times New Roman" w:hAnsi="Times New Roman"/>
      <w:sz w:val="24"/>
    </w:rPr>
  </w:style>
  <w:style w:type="paragraph" w:styleId="Textoindependiente2">
    <w:name w:val="Body Text 2"/>
    <w:basedOn w:val="Normal"/>
    <w:link w:val="Textoindependiente2Car"/>
    <w:uiPriority w:val="99"/>
    <w:semiHidden/>
    <w:unhideWhenUsed/>
    <w:rsid w:val="002912B2"/>
    <w:pPr>
      <w:spacing w:after="120" w:line="480" w:lineRule="auto"/>
    </w:pPr>
  </w:style>
  <w:style w:type="character" w:customStyle="1" w:styleId="Textoindependiente2Car">
    <w:name w:val="Texto independiente 2 Car"/>
    <w:basedOn w:val="Fuentedeprrafopredeter"/>
    <w:link w:val="Textoindependiente2"/>
    <w:uiPriority w:val="99"/>
    <w:semiHidden/>
    <w:rsid w:val="002912B2"/>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417796200">
      <w:bodyDiv w:val="1"/>
      <w:marLeft w:val="0"/>
      <w:marRight w:val="0"/>
      <w:marTop w:val="0"/>
      <w:marBottom w:val="0"/>
      <w:divBdr>
        <w:top w:val="none" w:sz="0" w:space="0" w:color="auto"/>
        <w:left w:val="none" w:sz="0" w:space="0" w:color="auto"/>
        <w:bottom w:val="none" w:sz="0" w:space="0" w:color="auto"/>
        <w:right w:val="none" w:sz="0" w:space="0" w:color="auto"/>
      </w:divBdr>
    </w:div>
    <w:div w:id="570892145">
      <w:bodyDiv w:val="1"/>
      <w:marLeft w:val="0"/>
      <w:marRight w:val="0"/>
      <w:marTop w:val="0"/>
      <w:marBottom w:val="0"/>
      <w:divBdr>
        <w:top w:val="none" w:sz="0" w:space="0" w:color="auto"/>
        <w:left w:val="none" w:sz="0" w:space="0" w:color="auto"/>
        <w:bottom w:val="none" w:sz="0" w:space="0" w:color="auto"/>
        <w:right w:val="none" w:sz="0" w:space="0" w:color="auto"/>
      </w:divBdr>
    </w:div>
    <w:div w:id="934023944">
      <w:bodyDiv w:val="1"/>
      <w:marLeft w:val="0"/>
      <w:marRight w:val="0"/>
      <w:marTop w:val="0"/>
      <w:marBottom w:val="0"/>
      <w:divBdr>
        <w:top w:val="none" w:sz="0" w:space="0" w:color="auto"/>
        <w:left w:val="none" w:sz="0" w:space="0" w:color="auto"/>
        <w:bottom w:val="none" w:sz="0" w:space="0" w:color="auto"/>
        <w:right w:val="none" w:sz="0" w:space="0" w:color="auto"/>
      </w:divBdr>
    </w:div>
    <w:div w:id="995107703">
      <w:bodyDiv w:val="1"/>
      <w:marLeft w:val="0"/>
      <w:marRight w:val="0"/>
      <w:marTop w:val="0"/>
      <w:marBottom w:val="0"/>
      <w:divBdr>
        <w:top w:val="none" w:sz="0" w:space="0" w:color="auto"/>
        <w:left w:val="none" w:sz="0" w:space="0" w:color="auto"/>
        <w:bottom w:val="none" w:sz="0" w:space="0" w:color="auto"/>
        <w:right w:val="none" w:sz="0" w:space="0" w:color="auto"/>
      </w:divBdr>
    </w:div>
    <w:div w:id="1079209011">
      <w:bodyDiv w:val="1"/>
      <w:marLeft w:val="0"/>
      <w:marRight w:val="0"/>
      <w:marTop w:val="0"/>
      <w:marBottom w:val="0"/>
      <w:divBdr>
        <w:top w:val="none" w:sz="0" w:space="0" w:color="auto"/>
        <w:left w:val="none" w:sz="0" w:space="0" w:color="auto"/>
        <w:bottom w:val="none" w:sz="0" w:space="0" w:color="auto"/>
        <w:right w:val="none" w:sz="0" w:space="0" w:color="auto"/>
      </w:divBdr>
    </w:div>
    <w:div w:id="1161580279">
      <w:bodyDiv w:val="1"/>
      <w:marLeft w:val="0"/>
      <w:marRight w:val="0"/>
      <w:marTop w:val="0"/>
      <w:marBottom w:val="0"/>
      <w:divBdr>
        <w:top w:val="none" w:sz="0" w:space="0" w:color="auto"/>
        <w:left w:val="none" w:sz="0" w:space="0" w:color="auto"/>
        <w:bottom w:val="none" w:sz="0" w:space="0" w:color="auto"/>
        <w:right w:val="none" w:sz="0" w:space="0" w:color="auto"/>
      </w:divBdr>
    </w:div>
    <w:div w:id="1293562506">
      <w:bodyDiv w:val="1"/>
      <w:marLeft w:val="0"/>
      <w:marRight w:val="0"/>
      <w:marTop w:val="0"/>
      <w:marBottom w:val="0"/>
      <w:divBdr>
        <w:top w:val="none" w:sz="0" w:space="0" w:color="auto"/>
        <w:left w:val="none" w:sz="0" w:space="0" w:color="auto"/>
        <w:bottom w:val="none" w:sz="0" w:space="0" w:color="auto"/>
        <w:right w:val="none" w:sz="0" w:space="0" w:color="auto"/>
      </w:divBdr>
    </w:div>
    <w:div w:id="1340810306">
      <w:bodyDiv w:val="1"/>
      <w:marLeft w:val="0"/>
      <w:marRight w:val="0"/>
      <w:marTop w:val="0"/>
      <w:marBottom w:val="0"/>
      <w:divBdr>
        <w:top w:val="none" w:sz="0" w:space="0" w:color="auto"/>
        <w:left w:val="none" w:sz="0" w:space="0" w:color="auto"/>
        <w:bottom w:val="none" w:sz="0" w:space="0" w:color="auto"/>
        <w:right w:val="none" w:sz="0" w:space="0" w:color="auto"/>
      </w:divBdr>
    </w:div>
    <w:div w:id="1491479848">
      <w:bodyDiv w:val="1"/>
      <w:marLeft w:val="0"/>
      <w:marRight w:val="0"/>
      <w:marTop w:val="0"/>
      <w:marBottom w:val="0"/>
      <w:divBdr>
        <w:top w:val="none" w:sz="0" w:space="0" w:color="auto"/>
        <w:left w:val="none" w:sz="0" w:space="0" w:color="auto"/>
        <w:bottom w:val="none" w:sz="0" w:space="0" w:color="auto"/>
        <w:right w:val="none" w:sz="0" w:space="0" w:color="auto"/>
      </w:divBdr>
    </w:div>
    <w:div w:id="1631203852">
      <w:bodyDiv w:val="1"/>
      <w:marLeft w:val="0"/>
      <w:marRight w:val="0"/>
      <w:marTop w:val="0"/>
      <w:marBottom w:val="0"/>
      <w:divBdr>
        <w:top w:val="none" w:sz="0" w:space="0" w:color="auto"/>
        <w:left w:val="none" w:sz="0" w:space="0" w:color="auto"/>
        <w:bottom w:val="none" w:sz="0" w:space="0" w:color="auto"/>
        <w:right w:val="none" w:sz="0" w:space="0" w:color="auto"/>
      </w:divBdr>
    </w:div>
    <w:div w:id="1691179295">
      <w:bodyDiv w:val="1"/>
      <w:marLeft w:val="0"/>
      <w:marRight w:val="0"/>
      <w:marTop w:val="0"/>
      <w:marBottom w:val="0"/>
      <w:divBdr>
        <w:top w:val="none" w:sz="0" w:space="0" w:color="auto"/>
        <w:left w:val="none" w:sz="0" w:space="0" w:color="auto"/>
        <w:bottom w:val="none" w:sz="0" w:space="0" w:color="auto"/>
        <w:right w:val="none" w:sz="0" w:space="0" w:color="auto"/>
      </w:divBdr>
    </w:div>
    <w:div w:id="2036227415">
      <w:bodyDiv w:val="1"/>
      <w:marLeft w:val="0"/>
      <w:marRight w:val="0"/>
      <w:marTop w:val="0"/>
      <w:marBottom w:val="0"/>
      <w:divBdr>
        <w:top w:val="none" w:sz="0" w:space="0" w:color="auto"/>
        <w:left w:val="none" w:sz="0" w:space="0" w:color="auto"/>
        <w:bottom w:val="none" w:sz="0" w:space="0" w:color="auto"/>
        <w:right w:val="none" w:sz="0" w:space="0" w:color="auto"/>
      </w:divBdr>
    </w:div>
    <w:div w:id="204736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30054-1908-416F-9BA1-A2310D92F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Pages>
  <Words>14240</Words>
  <Characters>78323</Characters>
  <Application>Microsoft Office Word</Application>
  <DocSecurity>0</DocSecurity>
  <Lines>652</Lines>
  <Paragraphs>184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dc:creator>
  <cp:lastModifiedBy>Pedro</cp:lastModifiedBy>
  <cp:revision>10</cp:revision>
  <dcterms:created xsi:type="dcterms:W3CDTF">2018-05-28T19:33:00Z</dcterms:created>
  <dcterms:modified xsi:type="dcterms:W3CDTF">2018-05-29T11:54:00Z</dcterms:modified>
</cp:coreProperties>
</file>