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D6F6D4C" w14:textId="77777777" w:rsidR="009B42B3" w:rsidRPr="000C698F" w:rsidRDefault="00CD6E41" w:rsidP="000C698F">
      <w:pPr>
        <w:spacing w:line="360" w:lineRule="auto"/>
        <w:rPr>
          <w:rFonts w:ascii="Times New Roman" w:hAnsi="Times New Roman" w:cs="Times New Roman"/>
        </w:rPr>
        <w:sectPr w:rsidR="009B42B3" w:rsidRPr="000C698F">
          <w:headerReference w:type="default" r:id="rId9"/>
          <w:footerReference w:type="default" r:id="rId10"/>
          <w:pgSz w:w="11906" w:h="16838"/>
          <w:pgMar w:top="1440" w:right="1800" w:bottom="1440" w:left="1800" w:header="851" w:footer="992" w:gutter="0"/>
          <w:pgBorders>
            <w:top w:val="none" w:sz="0" w:space="1" w:color="auto"/>
            <w:left w:val="none" w:sz="0" w:space="4" w:color="auto"/>
            <w:bottom w:val="none" w:sz="0" w:space="1" w:color="auto"/>
            <w:right w:val="none" w:sz="0" w:space="4" w:color="auto"/>
          </w:pgBorders>
          <w:pgNumType w:start="1"/>
          <w:cols w:space="720"/>
          <w:docGrid w:type="lines" w:linePitch="312"/>
        </w:sectPr>
      </w:pPr>
      <w:r w:rsidRPr="000C698F">
        <w:rPr>
          <w:rFonts w:ascii="Times New Roman" w:hAnsi="Times New Roman" w:cs="Times New Roman"/>
          <w:noProof/>
        </w:rPr>
        <w:drawing>
          <wp:anchor distT="0" distB="0" distL="114300" distR="114300" simplePos="0" relativeHeight="251660288" behindDoc="1" locked="0" layoutInCell="1" allowOverlap="1" wp14:anchorId="0F2AC684" wp14:editId="770E812E">
            <wp:simplePos x="0" y="0"/>
            <wp:positionH relativeFrom="column">
              <wp:posOffset>3397885</wp:posOffset>
            </wp:positionH>
            <wp:positionV relativeFrom="paragraph">
              <wp:posOffset>7579360</wp:posOffset>
            </wp:positionV>
            <wp:extent cx="3044190" cy="2142490"/>
            <wp:effectExtent l="0" t="0" r="3810" b="10160"/>
            <wp:wrapTight wrapText="bothSides">
              <wp:wrapPolygon edited="0">
                <wp:start x="21592" y="-2"/>
                <wp:lineTo x="0" y="0"/>
                <wp:lineTo x="0" y="21600"/>
                <wp:lineTo x="21592" y="21602"/>
                <wp:lineTo x="8" y="21602"/>
                <wp:lineTo x="21600" y="21600"/>
                <wp:lineTo x="21600" y="0"/>
                <wp:lineTo x="8" y="-2"/>
                <wp:lineTo x="21592" y="-2"/>
              </wp:wrapPolygon>
            </wp:wrapTight>
            <wp:docPr id="3" name="Picture 4" descr="escudo_u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escudo_uja"/>
                    <pic:cNvPicPr>
                      <a:picLocks noChangeAspect="1"/>
                    </pic:cNvPicPr>
                  </pic:nvPicPr>
                  <pic:blipFill>
                    <a:blip r:embed="rId11"/>
                    <a:stretch>
                      <a:fillRect/>
                    </a:stretch>
                  </pic:blipFill>
                  <pic:spPr>
                    <a:xfrm>
                      <a:off x="0" y="0"/>
                      <a:ext cx="3044190" cy="2142490"/>
                    </a:xfrm>
                    <a:prstGeom prst="rect">
                      <a:avLst/>
                    </a:prstGeom>
                    <a:noFill/>
                    <a:ln w="9525">
                      <a:noFill/>
                    </a:ln>
                  </pic:spPr>
                </pic:pic>
              </a:graphicData>
            </a:graphic>
          </wp:anchor>
        </w:drawing>
      </w:r>
      <w:r w:rsidRPr="000C698F">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027EA9A4" wp14:editId="503EA9A8">
                <wp:simplePos x="0" y="0"/>
                <wp:positionH relativeFrom="column">
                  <wp:posOffset>589280</wp:posOffset>
                </wp:positionH>
                <wp:positionV relativeFrom="paragraph">
                  <wp:posOffset>5112385</wp:posOffset>
                </wp:positionV>
                <wp:extent cx="4929505" cy="1244600"/>
                <wp:effectExtent l="0" t="0" r="0" b="0"/>
                <wp:wrapNone/>
                <wp:docPr id="2" name="Text Box 2"/>
                <wp:cNvGraphicFramePr/>
                <a:graphic xmlns:a="http://schemas.openxmlformats.org/drawingml/2006/main">
                  <a:graphicData uri="http://schemas.microsoft.com/office/word/2010/wordprocessingShape">
                    <wps:wsp>
                      <wps:cNvSpPr txBox="1"/>
                      <wps:spPr>
                        <a:xfrm>
                          <a:off x="0" y="0"/>
                          <a:ext cx="4929505" cy="1244600"/>
                        </a:xfrm>
                        <a:prstGeom prst="rect">
                          <a:avLst/>
                        </a:prstGeom>
                        <a:noFill/>
                        <a:ln w="9525">
                          <a:noFill/>
                        </a:ln>
                      </wps:spPr>
                      <wps:txbx>
                        <w:txbxContent>
                          <w:p w14:paraId="34E492C2" w14:textId="77777777" w:rsidR="00E8791A" w:rsidRDefault="00E8791A">
                            <w:pPr>
                              <w:adjustRightInd w:val="0"/>
                              <w:snapToGrid w:val="0"/>
                              <w:spacing w:after="0" w:line="240" w:lineRule="auto"/>
                              <w:rPr>
                                <w:rFonts w:ascii="Corbel" w:hAnsi="Corbel" w:cs="Arial"/>
                                <w:color w:val="FFFFFF"/>
                                <w:w w:val="105"/>
                                <w:sz w:val="36"/>
                                <w:szCs w:val="32"/>
                              </w:rPr>
                            </w:pPr>
                            <w:r>
                              <w:rPr>
                                <w:rFonts w:ascii="Corbel" w:hAnsi="Corbel" w:cs="Arial"/>
                                <w:color w:val="FFFFFF"/>
                                <w:w w:val="105"/>
                                <w:sz w:val="36"/>
                                <w:szCs w:val="32"/>
                                <w:lang w:eastAsia="zh-CN"/>
                              </w:rPr>
                              <w:t>Ana María Ortega Torres</w:t>
                            </w:r>
                          </w:p>
                          <w:p w14:paraId="3FDEE29C" w14:textId="77777777" w:rsidR="000C698F" w:rsidRDefault="00E8791A">
                            <w:pPr>
                              <w:adjustRightInd w:val="0"/>
                              <w:snapToGrid w:val="0"/>
                              <w:spacing w:after="0" w:line="240" w:lineRule="auto"/>
                              <w:rPr>
                                <w:rFonts w:ascii="Corbel" w:hAnsi="Corbel" w:cs="Arial"/>
                                <w:color w:val="FFFFFF"/>
                                <w:w w:val="105"/>
                                <w:sz w:val="36"/>
                                <w:szCs w:val="32"/>
                                <w:lang w:eastAsia="zh-CN"/>
                              </w:rPr>
                            </w:pPr>
                            <w:r>
                              <w:rPr>
                                <w:rFonts w:ascii="Corbel" w:hAnsi="Corbel" w:cs="Arial"/>
                                <w:color w:val="FFFFFF"/>
                                <w:w w:val="105"/>
                                <w:sz w:val="36"/>
                                <w:szCs w:val="32"/>
                                <w:lang w:eastAsia="zh-CN"/>
                              </w:rPr>
                              <w:t>Grado en Derecho</w:t>
                            </w:r>
                          </w:p>
                        </w:txbxContent>
                      </wps:txbx>
                      <wps:bodyPr vert="horz" wrap="square" upright="1"/>
                    </wps:wsp>
                  </a:graphicData>
                </a:graphic>
              </wp:anchor>
            </w:drawing>
          </mc:Choice>
          <mc:Fallback>
            <w:pict>
              <v:shapetype w14:anchorId="027EA9A4" id="_x0000_t202" coordsize="21600,21600" o:spt="202" path="m,l,21600r21600,l21600,xe">
                <v:stroke joinstyle="miter"/>
                <v:path gradientshapeok="t" o:connecttype="rect"/>
              </v:shapetype>
              <v:shape id="Text Box 2" o:spid="_x0000_s1026" type="#_x0000_t202" style="position:absolute;margin-left:46.4pt;margin-top:402.55pt;width:388.15pt;height:9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" filled="f" stroked="f">
                <v:textbox>
                  <w:txbxContent>
                    <w:p w14:paraId="34E492C2" w14:textId="77777777" w:rsidR="00E8791A" w:rsidRDefault="00E8791A">
                      <w:pPr>
                        <w:adjustRightInd w:val="0"/>
                        <w:snapToGrid w:val="0"/>
                        <w:spacing w:after="0" w:line="240" w:lineRule="auto"/>
                        <w:rPr>
                          <w:rFonts w:ascii="Corbel" w:hAnsi="Corbel" w:cs="Arial"/>
                          <w:color w:val="FFFFFF"/>
                          <w:w w:val="105"/>
                          <w:sz w:val="36"/>
                          <w:szCs w:val="32"/>
                        </w:rPr>
                      </w:pPr>
                      <w:r>
                        <w:rPr>
                          <w:rFonts w:ascii="Corbel" w:hAnsi="Corbel" w:cs="Arial"/>
                          <w:color w:val="FFFFFF"/>
                          <w:w w:val="105"/>
                          <w:sz w:val="36"/>
                          <w:szCs w:val="32"/>
                          <w:lang w:eastAsia="zh-CN"/>
                        </w:rPr>
                        <w:t>Ana María Ortega Torres</w:t>
                      </w:r>
                    </w:p>
                    <w:p w14:paraId="3FDEE29C" w14:textId="77777777" w:rsidR="000C698F" w:rsidRDefault="00E8791A">
                      <w:pPr>
                        <w:adjustRightInd w:val="0"/>
                        <w:snapToGrid w:val="0"/>
                        <w:spacing w:after="0" w:line="240" w:lineRule="auto"/>
                        <w:rPr>
                          <w:rFonts w:ascii="Corbel" w:hAnsi="Corbel" w:cs="Arial"/>
                          <w:color w:val="FFFFFF"/>
                          <w:w w:val="105"/>
                          <w:sz w:val="36"/>
                          <w:szCs w:val="32"/>
                          <w:lang w:eastAsia="zh-CN"/>
                        </w:rPr>
                      </w:pPr>
                      <w:r>
                        <w:rPr>
                          <w:rFonts w:ascii="Corbel" w:hAnsi="Corbel" w:cs="Arial"/>
                          <w:color w:val="FFFFFF"/>
                          <w:w w:val="105"/>
                          <w:sz w:val="36"/>
                          <w:szCs w:val="32"/>
                          <w:lang w:eastAsia="zh-CN"/>
                        </w:rPr>
                        <w:t>Grado en Derecho</w:t>
                      </w:r>
                    </w:p>
                  </w:txbxContent>
                </v:textbox>
              </v:shape>
            </w:pict>
          </mc:Fallback>
        </mc:AlternateContent>
      </w:r>
      <w:r w:rsidRPr="000C698F">
        <w:rPr>
          <w:rFonts w:ascii="Times New Roman" w:hAnsi="Times New Roman" w:cs="Times New Roman"/>
          <w:noProof/>
        </w:rPr>
        <mc:AlternateContent>
          <mc:Choice Requires="wps">
            <w:drawing>
              <wp:anchor distT="0" distB="0" distL="114300" distR="114300" simplePos="0" relativeHeight="251658240" behindDoc="0" locked="0" layoutInCell="1" allowOverlap="1" wp14:anchorId="0EFF6AE7" wp14:editId="77B4D45D">
                <wp:simplePos x="0" y="0"/>
                <wp:positionH relativeFrom="column">
                  <wp:posOffset>-173355</wp:posOffset>
                </wp:positionH>
                <wp:positionV relativeFrom="paragraph">
                  <wp:posOffset>1374775</wp:posOffset>
                </wp:positionV>
                <wp:extent cx="3747770" cy="1436370"/>
                <wp:effectExtent l="0" t="0" r="0" b="0"/>
                <wp:wrapNone/>
                <wp:docPr id="1" name="Text Box 3"/>
                <wp:cNvGraphicFramePr/>
                <a:graphic xmlns:a="http://schemas.openxmlformats.org/drawingml/2006/main">
                  <a:graphicData uri="http://schemas.microsoft.com/office/word/2010/wordprocessingShape">
                    <wps:wsp>
                      <wps:cNvSpPr txBox="1"/>
                      <wps:spPr>
                        <a:xfrm>
                          <a:off x="0" y="0"/>
                          <a:ext cx="3747770" cy="1436370"/>
                        </a:xfrm>
                        <a:prstGeom prst="rect">
                          <a:avLst/>
                        </a:prstGeom>
                        <a:noFill/>
                        <a:ln w="9525">
                          <a:noFill/>
                        </a:ln>
                      </wps:spPr>
                      <wps:txbx>
                        <w:txbxContent>
                          <w:p w14:paraId="28D5F63B" w14:textId="77777777" w:rsidR="00E8791A" w:rsidRDefault="00E8791A">
                            <w:pPr>
                              <w:adjustRightInd w:val="0"/>
                              <w:snapToGrid w:val="0"/>
                              <w:spacing w:after="0" w:line="240" w:lineRule="atLeast"/>
                              <w:jc w:val="right"/>
                              <w:rPr>
                                <w:rFonts w:ascii="Arial" w:hAnsi="Arial" w:cs="Arial"/>
                                <w:color w:val="FFFFFF"/>
                                <w:w w:val="105"/>
                                <w:sz w:val="96"/>
                                <w:szCs w:val="40"/>
                              </w:rPr>
                            </w:pPr>
                            <w:r>
                              <w:rPr>
                                <w:rFonts w:ascii="Arial" w:hAnsi="Arial" w:cs="Arial"/>
                                <w:color w:val="FFFFFF"/>
                                <w:w w:val="105"/>
                                <w:sz w:val="96"/>
                                <w:szCs w:val="40"/>
                                <w:lang w:eastAsia="zh-CN"/>
                              </w:rPr>
                              <w:t>Violencia de Género</w:t>
                            </w:r>
                            <w:r>
                              <w:rPr>
                                <w:rFonts w:ascii="Arial" w:hAnsi="Arial" w:cs="Arial"/>
                                <w:color w:val="FFFFFF"/>
                                <w:w w:val="105"/>
                                <w:sz w:val="96"/>
                                <w:szCs w:val="40"/>
                                <w:lang w:val="en-US" w:eastAsia="zh-CN"/>
                              </w:rPr>
                              <w:t xml:space="preserve"> </w:t>
                            </w:r>
                          </w:p>
                        </w:txbxContent>
                      </wps:txbx>
                      <wps:bodyPr vert="horz" wrap="square" upright="1"/>
                    </wps:wsp>
                  </a:graphicData>
                </a:graphic>
              </wp:anchor>
            </w:drawing>
          </mc:Choice>
          <mc:Fallback>
            <w:pict>
              <v:shape w14:anchorId="0EFF6AE7" id="Text Box 3" o:spid="_x0000_s1027" type="#_x0000_t202" style="position:absolute;margin-left:-13.65pt;margin-top:108.25pt;width:295.1pt;height:113.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" filled="f" stroked="f">
                <v:textbox>
                  <w:txbxContent>
                    <w:p w14:paraId="28D5F63B" w14:textId="77777777" w:rsidR="00E8791A" w:rsidRDefault="00E8791A">
                      <w:pPr>
                        <w:adjustRightInd w:val="0"/>
                        <w:snapToGrid w:val="0"/>
                        <w:spacing w:after="0" w:line="240" w:lineRule="atLeast"/>
                        <w:jc w:val="right"/>
                        <w:rPr>
                          <w:rFonts w:ascii="Arial" w:hAnsi="Arial" w:cs="Arial"/>
                          <w:color w:val="FFFFFF"/>
                          <w:w w:val="105"/>
                          <w:sz w:val="96"/>
                          <w:szCs w:val="40"/>
                        </w:rPr>
                      </w:pPr>
                      <w:r>
                        <w:rPr>
                          <w:rFonts w:ascii="Arial" w:hAnsi="Arial" w:cs="Arial"/>
                          <w:color w:val="FFFFFF"/>
                          <w:w w:val="105"/>
                          <w:sz w:val="96"/>
                          <w:szCs w:val="40"/>
                          <w:lang w:eastAsia="zh-CN"/>
                        </w:rPr>
                        <w:t>Violencia de Género</w:t>
                      </w:r>
                      <w:r>
                        <w:rPr>
                          <w:rFonts w:ascii="Arial" w:hAnsi="Arial" w:cs="Arial"/>
                          <w:color w:val="FFFFFF"/>
                          <w:w w:val="105"/>
                          <w:sz w:val="96"/>
                          <w:szCs w:val="40"/>
                          <w:lang w:val="en-US" w:eastAsia="zh-CN"/>
                        </w:rPr>
                        <w:t xml:space="preserve"> </w:t>
                      </w:r>
                    </w:p>
                  </w:txbxContent>
                </v:textbox>
              </v:shape>
            </w:pict>
          </mc:Fallback>
        </mc:AlternateContent>
      </w:r>
    </w:p>
    <w:p w14:paraId="486251DE" w14:textId="6DF0A7FD" w:rsidR="009B42B3" w:rsidRPr="000C698F" w:rsidRDefault="00A32EE8" w:rsidP="000C698F">
      <w:pPr>
        <w:pStyle w:val="TDC1"/>
        <w:tabs>
          <w:tab w:val="right" w:leader="dot" w:pos="8306"/>
        </w:tabs>
        <w:spacing w:line="360" w:lineRule="auto"/>
        <w:rPr>
          <w:rFonts w:ascii="Times New Roman" w:hAnsi="Times New Roman" w:cs="Times New Roman"/>
          <w:b/>
          <w:bCs/>
          <w:color w:val="A30234"/>
          <w:sz w:val="24"/>
          <w:szCs w:val="24"/>
          <w:u w:val="single"/>
        </w:rPr>
      </w:pPr>
      <w:r w:rsidRPr="000C698F">
        <w:rPr>
          <w:rFonts w:ascii="Times New Roman" w:hAnsi="Times New Roman" w:cs="Times New Roman"/>
          <w:b/>
          <w:bCs/>
          <w:color w:val="A30234"/>
          <w:sz w:val="24"/>
          <w:szCs w:val="24"/>
          <w:u w:val="single"/>
          <w:lang w:eastAsia="zh-CN"/>
        </w:rPr>
        <w:lastRenderedPageBreak/>
        <w:t>Índice</w:t>
      </w:r>
      <w:r w:rsidR="00CD6E41" w:rsidRPr="000C698F">
        <w:rPr>
          <w:rFonts w:ascii="Times New Roman" w:hAnsi="Times New Roman" w:cs="Times New Roman"/>
          <w:b/>
          <w:bCs/>
          <w:color w:val="A30234"/>
          <w:sz w:val="24"/>
          <w:szCs w:val="24"/>
          <w:u w:val="single"/>
          <w:lang w:eastAsia="zh-CN"/>
        </w:rPr>
        <w:t>:</w:t>
      </w:r>
    </w:p>
    <w:p w14:paraId="7EEB8796" w14:textId="77777777" w:rsidR="009B42B3" w:rsidRPr="000C698F" w:rsidRDefault="009B42B3" w:rsidP="000C698F">
      <w:pPr>
        <w:pStyle w:val="TDC1"/>
        <w:tabs>
          <w:tab w:val="right" w:leader="dot" w:pos="8306"/>
        </w:tabs>
        <w:spacing w:line="360" w:lineRule="auto"/>
        <w:rPr>
          <w:rFonts w:ascii="Times New Roman" w:hAnsi="Times New Roman" w:cs="Times New Roman"/>
          <w:sz w:val="24"/>
          <w:szCs w:val="24"/>
        </w:rPr>
      </w:pPr>
    </w:p>
    <w:p w14:paraId="2CBD92CF" w14:textId="77777777" w:rsidR="009B42B3" w:rsidRPr="000C698F" w:rsidRDefault="002C0FC3" w:rsidP="000C698F">
      <w:pPr>
        <w:numPr>
          <w:ilvl w:val="0"/>
          <w:numId w:val="1"/>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Introducción</w:t>
      </w:r>
    </w:p>
    <w:p w14:paraId="7FB5D8DA" w14:textId="77777777" w:rsidR="002C0FC3" w:rsidRPr="000C698F" w:rsidRDefault="002C0FC3" w:rsidP="000C698F">
      <w:pPr>
        <w:numPr>
          <w:ilvl w:val="0"/>
          <w:numId w:val="1"/>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Origen de la violencia de género: causas y efectos. El perverso ciclo de la violencia de género</w:t>
      </w:r>
    </w:p>
    <w:p w14:paraId="7E4D123C" w14:textId="77777777" w:rsidR="00C40E76" w:rsidRPr="000C698F" w:rsidRDefault="0005477B" w:rsidP="000C698F">
      <w:pPr>
        <w:numPr>
          <w:ilvl w:val="0"/>
          <w:numId w:val="1"/>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Lesiones y violencia de género</w:t>
      </w:r>
    </w:p>
    <w:p w14:paraId="6DC18F7D" w14:textId="77777777" w:rsidR="0005477B" w:rsidRPr="000C698F" w:rsidRDefault="0005477B" w:rsidP="000C698F">
      <w:pPr>
        <w:numPr>
          <w:ilvl w:val="0"/>
          <w:numId w:val="1"/>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Malos tratos ocasionales y habituales</w:t>
      </w:r>
    </w:p>
    <w:p w14:paraId="35AAACD1" w14:textId="77777777" w:rsidR="00676BB2" w:rsidRPr="000C698F" w:rsidRDefault="00676BB2" w:rsidP="000C698F">
      <w:pPr>
        <w:pStyle w:val="Prrafodelista"/>
        <w:numPr>
          <w:ilvl w:val="0"/>
          <w:numId w:val="27"/>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Automatismo</w:t>
      </w:r>
      <w:r w:rsidR="00BA44C8" w:rsidRPr="000C698F">
        <w:rPr>
          <w:rFonts w:ascii="Times New Roman" w:hAnsi="Times New Roman" w:cs="Times New Roman"/>
          <w:b/>
          <w:bCs/>
          <w:sz w:val="24"/>
          <w:szCs w:val="24"/>
        </w:rPr>
        <w:t>: definición</w:t>
      </w:r>
    </w:p>
    <w:p w14:paraId="6FB491E2" w14:textId="77777777" w:rsidR="00BA44C8" w:rsidRPr="000C698F" w:rsidRDefault="00BA44C8" w:rsidP="000C698F">
      <w:pPr>
        <w:pStyle w:val="Prrafodelista"/>
        <w:numPr>
          <w:ilvl w:val="0"/>
          <w:numId w:val="27"/>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Posiciones a favor y en contra</w:t>
      </w:r>
    </w:p>
    <w:p w14:paraId="7D4D81A2" w14:textId="77777777" w:rsidR="00676BB2" w:rsidRPr="000C698F" w:rsidRDefault="00676BB2" w:rsidP="000C698F">
      <w:pPr>
        <w:pStyle w:val="Prrafodelista"/>
        <w:spacing w:line="360" w:lineRule="auto"/>
        <w:rPr>
          <w:rFonts w:ascii="Times New Roman" w:hAnsi="Times New Roman" w:cs="Times New Roman"/>
          <w:b/>
          <w:bCs/>
          <w:sz w:val="24"/>
          <w:szCs w:val="24"/>
        </w:rPr>
      </w:pPr>
    </w:p>
    <w:p w14:paraId="217331D8" w14:textId="77777777" w:rsidR="002C0FC3" w:rsidRPr="000C698F" w:rsidRDefault="002C0FC3" w:rsidP="000C698F">
      <w:pPr>
        <w:pStyle w:val="Prrafodelista"/>
        <w:numPr>
          <w:ilvl w:val="0"/>
          <w:numId w:val="1"/>
        </w:numPr>
        <w:spacing w:line="360" w:lineRule="auto"/>
        <w:ind w:left="0"/>
        <w:rPr>
          <w:rFonts w:ascii="Times New Roman" w:hAnsi="Times New Roman" w:cs="Times New Roman"/>
          <w:b/>
          <w:bCs/>
          <w:sz w:val="24"/>
          <w:szCs w:val="24"/>
        </w:rPr>
      </w:pPr>
      <w:r w:rsidRPr="000C698F">
        <w:rPr>
          <w:rFonts w:ascii="Times New Roman" w:hAnsi="Times New Roman" w:cs="Times New Roman"/>
          <w:b/>
          <w:bCs/>
          <w:sz w:val="24"/>
          <w:szCs w:val="24"/>
        </w:rPr>
        <w:t>¿Es tod</w:t>
      </w:r>
      <w:r w:rsidR="0079557C" w:rsidRPr="000C698F">
        <w:rPr>
          <w:rFonts w:ascii="Times New Roman" w:hAnsi="Times New Roman" w:cs="Times New Roman"/>
          <w:b/>
          <w:bCs/>
          <w:sz w:val="24"/>
          <w:szCs w:val="24"/>
        </w:rPr>
        <w:t>a la violencia de género subsumi</w:t>
      </w:r>
      <w:r w:rsidRPr="000C698F">
        <w:rPr>
          <w:rFonts w:ascii="Times New Roman" w:hAnsi="Times New Roman" w:cs="Times New Roman"/>
          <w:b/>
          <w:bCs/>
          <w:sz w:val="24"/>
          <w:szCs w:val="24"/>
        </w:rPr>
        <w:t>ble en el art.153 CP?</w:t>
      </w:r>
    </w:p>
    <w:p w14:paraId="5B4BE709" w14:textId="77777777" w:rsidR="002C0FC3" w:rsidRPr="000C698F" w:rsidRDefault="002C0FC3" w:rsidP="000C698F">
      <w:pPr>
        <w:pStyle w:val="Prrafodelista"/>
        <w:numPr>
          <w:ilvl w:val="0"/>
          <w:numId w:val="5"/>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Lesiones</w:t>
      </w:r>
    </w:p>
    <w:p w14:paraId="09EB2D9F" w14:textId="77777777" w:rsidR="002C0FC3" w:rsidRPr="000C698F" w:rsidRDefault="002C0FC3" w:rsidP="000C698F">
      <w:pPr>
        <w:pStyle w:val="Prrafodelista"/>
        <w:numPr>
          <w:ilvl w:val="0"/>
          <w:numId w:val="5"/>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Integridad moral</w:t>
      </w:r>
    </w:p>
    <w:p w14:paraId="1E41EF13" w14:textId="77777777" w:rsidR="002C0FC3" w:rsidRPr="000C698F" w:rsidRDefault="002C0FC3" w:rsidP="000C698F">
      <w:pPr>
        <w:pStyle w:val="Prrafodelista"/>
        <w:numPr>
          <w:ilvl w:val="0"/>
          <w:numId w:val="5"/>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Concursos</w:t>
      </w:r>
    </w:p>
    <w:p w14:paraId="627D7C39" w14:textId="77777777" w:rsidR="002C0FC3" w:rsidRPr="000C698F" w:rsidRDefault="00676BB2" w:rsidP="000C698F">
      <w:pPr>
        <w:pStyle w:val="Prrafodelista"/>
        <w:numPr>
          <w:ilvl w:val="0"/>
          <w:numId w:val="5"/>
        </w:numPr>
        <w:spacing w:line="360" w:lineRule="auto"/>
        <w:rPr>
          <w:rFonts w:ascii="Times New Roman" w:hAnsi="Times New Roman" w:cs="Times New Roman"/>
          <w:b/>
          <w:bCs/>
          <w:sz w:val="24"/>
          <w:szCs w:val="24"/>
        </w:rPr>
      </w:pPr>
      <w:r w:rsidRPr="000C698F">
        <w:rPr>
          <w:rFonts w:ascii="Times New Roman" w:hAnsi="Times New Roman" w:cs="Times New Roman"/>
          <w:b/>
          <w:bCs/>
          <w:sz w:val="24"/>
          <w:szCs w:val="24"/>
        </w:rPr>
        <w:t>Agravante genérica (Art.22.4 CP) y agravante mixta de parentesco (art.23 CP)</w:t>
      </w:r>
    </w:p>
    <w:p w14:paraId="03138C20" w14:textId="77777777" w:rsidR="00CC760F" w:rsidRPr="000C698F" w:rsidRDefault="00CC760F" w:rsidP="000C698F">
      <w:pPr>
        <w:pStyle w:val="Prrafodelista"/>
        <w:spacing w:line="360" w:lineRule="auto"/>
        <w:rPr>
          <w:rFonts w:ascii="Times New Roman" w:hAnsi="Times New Roman" w:cs="Times New Roman"/>
          <w:b/>
          <w:bCs/>
          <w:sz w:val="24"/>
          <w:szCs w:val="24"/>
        </w:rPr>
      </w:pPr>
    </w:p>
    <w:p w14:paraId="1FF34CF1" w14:textId="77777777" w:rsidR="002C0FC3" w:rsidRPr="000C698F" w:rsidRDefault="002C0FC3" w:rsidP="000C698F">
      <w:pPr>
        <w:pStyle w:val="Prrafodelista"/>
        <w:numPr>
          <w:ilvl w:val="0"/>
          <w:numId w:val="1"/>
        </w:numPr>
        <w:spacing w:line="360" w:lineRule="auto"/>
        <w:ind w:left="0"/>
        <w:rPr>
          <w:rFonts w:ascii="Times New Roman" w:hAnsi="Times New Roman" w:cs="Times New Roman"/>
          <w:b/>
          <w:bCs/>
          <w:sz w:val="24"/>
          <w:szCs w:val="24"/>
        </w:rPr>
      </w:pPr>
      <w:r w:rsidRPr="000C698F">
        <w:rPr>
          <w:rFonts w:ascii="Times New Roman" w:hAnsi="Times New Roman" w:cs="Times New Roman"/>
          <w:b/>
          <w:bCs/>
          <w:sz w:val="24"/>
          <w:szCs w:val="24"/>
        </w:rPr>
        <w:t xml:space="preserve">Conclusión </w:t>
      </w:r>
    </w:p>
    <w:p w14:paraId="53DB7E90" w14:textId="77777777" w:rsidR="00CC760F" w:rsidRPr="000C698F" w:rsidRDefault="00CC760F" w:rsidP="000C698F">
      <w:pPr>
        <w:pStyle w:val="Prrafodelista"/>
        <w:spacing w:line="360" w:lineRule="auto"/>
        <w:ind w:left="0"/>
        <w:rPr>
          <w:rFonts w:ascii="Times New Roman" w:hAnsi="Times New Roman" w:cs="Times New Roman"/>
          <w:b/>
          <w:bCs/>
          <w:sz w:val="24"/>
          <w:szCs w:val="24"/>
        </w:rPr>
      </w:pPr>
    </w:p>
    <w:p w14:paraId="26932FF5" w14:textId="77777777" w:rsidR="00C619CD" w:rsidRPr="000C698F" w:rsidRDefault="002C0FC3" w:rsidP="000C698F">
      <w:pPr>
        <w:pStyle w:val="Prrafodelista"/>
        <w:numPr>
          <w:ilvl w:val="0"/>
          <w:numId w:val="1"/>
        </w:numPr>
        <w:spacing w:line="360" w:lineRule="auto"/>
        <w:ind w:left="0"/>
        <w:rPr>
          <w:rFonts w:ascii="Times New Roman" w:hAnsi="Times New Roman" w:cs="Times New Roman"/>
          <w:b/>
          <w:bCs/>
          <w:sz w:val="24"/>
          <w:szCs w:val="24"/>
        </w:rPr>
      </w:pPr>
      <w:r w:rsidRPr="000C698F">
        <w:rPr>
          <w:rFonts w:ascii="Times New Roman" w:hAnsi="Times New Roman" w:cs="Times New Roman"/>
          <w:b/>
          <w:bCs/>
          <w:sz w:val="24"/>
          <w:szCs w:val="24"/>
        </w:rPr>
        <w:t>Bibliografía</w:t>
      </w:r>
    </w:p>
    <w:p w14:paraId="77A39514" w14:textId="77777777" w:rsidR="002C0FC3" w:rsidRPr="000C698F" w:rsidRDefault="002C0FC3" w:rsidP="000C698F">
      <w:pPr>
        <w:spacing w:line="360" w:lineRule="auto"/>
        <w:rPr>
          <w:rFonts w:ascii="Times New Roman" w:hAnsi="Times New Roman" w:cs="Times New Roman"/>
          <w:b/>
          <w:bCs/>
          <w:sz w:val="24"/>
          <w:szCs w:val="24"/>
        </w:rPr>
      </w:pPr>
    </w:p>
    <w:p w14:paraId="2F3F2D15" w14:textId="1E9F2A97" w:rsidR="009B42B3" w:rsidRPr="000C698F" w:rsidRDefault="009B42B3" w:rsidP="000C698F">
      <w:pPr>
        <w:spacing w:line="360" w:lineRule="auto"/>
        <w:rPr>
          <w:rFonts w:ascii="Times New Roman" w:hAnsi="Times New Roman" w:cs="Times New Roman"/>
        </w:rPr>
        <w:sectPr w:rsidR="009B42B3" w:rsidRPr="000C698F">
          <w:headerReference w:type="default" r:id="rId12"/>
          <w:footerReference w:type="default" r:id="rId13"/>
          <w:pgSz w:w="11906" w:h="16838"/>
          <w:pgMar w:top="1440" w:right="1080" w:bottom="1440" w:left="1080" w:header="1417" w:footer="992" w:gutter="0"/>
          <w:pgBorders w:display="firstPage">
            <w:top w:val="single" w:sz="4" w:space="1" w:color="auto"/>
            <w:left w:val="single" w:sz="4" w:space="4" w:color="auto"/>
            <w:bottom w:val="single" w:sz="4" w:space="1" w:color="auto"/>
            <w:right w:val="single" w:sz="4" w:space="4" w:color="auto"/>
          </w:pgBorders>
          <w:pgNumType w:start="1"/>
          <w:cols w:space="720"/>
          <w:docGrid w:type="lines" w:linePitch="312"/>
        </w:sectPr>
      </w:pPr>
    </w:p>
    <w:p w14:paraId="3B4680F5" w14:textId="44FE5E8D" w:rsidR="00B936AF" w:rsidRDefault="00B936AF" w:rsidP="00B936AF">
      <w:pPr>
        <w:spacing w:line="360" w:lineRule="auto"/>
        <w:rPr>
          <w:rFonts w:ascii="Times New Roman" w:hAnsi="Times New Roman" w:cs="Times New Roman"/>
          <w:b/>
          <w:bCs/>
          <w:color w:val="E80061" w:themeColor="accent1" w:themeShade="BF"/>
          <w:sz w:val="28"/>
          <w:szCs w:val="28"/>
          <w:u w:val="single"/>
          <w14:shadow w14:blurRad="75057" w14:dist="38100" w14:dir="5400000" w14:sx="100000" w14:sy="-20000" w14:kx="0" w14:ky="0" w14:algn="b">
            <w14:srgbClr w14:val="000000">
              <w14:alpha w14:val="75000"/>
            </w14:srgbClr>
          </w14:shadow>
          <w14:reflection w14:blurRad="6350" w14:stA="60000" w14:stPos="0" w14:endA="900" w14:endPos="58000" w14:dist="0" w14:dir="5400000" w14:fadeDir="5400000" w14:sx="100000" w14:sy="-100000" w14:kx="0" w14:ky="0" w14:algn="bl"/>
        </w:rPr>
      </w:pPr>
      <w:r>
        <w:rPr>
          <w:rFonts w:ascii="Times New Roman" w:hAnsi="Times New Roman" w:cs="Times New Roman"/>
          <w:b/>
          <w:bCs/>
          <w:color w:val="E80061" w:themeColor="accent1" w:themeShade="BF"/>
          <w:sz w:val="28"/>
          <w:szCs w:val="28"/>
          <w:u w:val="single"/>
          <w14:shadow w14:blurRad="75057" w14:dist="38100" w14:dir="5400000" w14:sx="100000" w14:sy="-20000" w14:kx="0" w14:ky="0" w14:algn="b">
            <w14:srgbClr w14:val="000000">
              <w14:alpha w14:val="75000"/>
            </w14:srgbClr>
          </w14:shadow>
          <w14:reflection w14:blurRad="6350" w14:stA="60000" w14:stPos="0" w14:endA="900" w14:endPos="58000" w14:dist="0" w14:dir="5400000" w14:fadeDir="5400000" w14:sx="100000" w14:sy="-100000" w14:kx="0" w14:ky="0" w14:algn="bl"/>
        </w:rPr>
        <w:lastRenderedPageBreak/>
        <w:t>Resumen</w:t>
      </w:r>
    </w:p>
    <w:p w14:paraId="6D7E287A" w14:textId="5669439B" w:rsidR="00B936AF" w:rsidRDefault="00B936AF" w:rsidP="00B936AF">
      <w:pPr>
        <w:spacing w:line="360" w:lineRule="auto"/>
        <w:jc w:val="both"/>
        <w:rPr>
          <w:rFonts w:ascii="Times New Roman" w:hAnsi="Times New Roman" w:cs="Times New Roman"/>
          <w:bCs/>
          <w:sz w:val="24"/>
          <w:szCs w:val="24"/>
        </w:rPr>
      </w:pPr>
      <w:r w:rsidRPr="00B936AF">
        <w:rPr>
          <w:rFonts w:ascii="Times New Roman" w:hAnsi="Times New Roman" w:cs="Times New Roman"/>
          <w:bCs/>
          <w:sz w:val="24"/>
          <w:szCs w:val="24"/>
        </w:rPr>
        <w:t>El presente trabajo trata la violencia de género desde un punto de vista penal, centrándose en cuestiones como qué se considera violencia de género y cuál es el tratamiento penológico que recibe. Para ello, realizo en primer lugar un recorrido social entorno a las causas y efectos de la violencia de género con el objetivo de concienciarnos del recorrido histórico de esta lacra y de cuáles son los factores que la desencadenan. Una vez</w:t>
      </w:r>
      <w:r w:rsidR="00F811A5">
        <w:rPr>
          <w:rFonts w:ascii="Times New Roman" w:hAnsi="Times New Roman" w:cs="Times New Roman"/>
          <w:bCs/>
          <w:sz w:val="24"/>
          <w:szCs w:val="24"/>
        </w:rPr>
        <w:t xml:space="preserve"> realizado ese recorrido social, me centro en la problemática penal que se plantea respecto a la violencia de género, centrándome en el ámbito de las lesiones, diferenciando entre violencia de género y violencia doméstica y en el bien jurídico protegido del art.153, así como en el análisis del tipo para determinar si debe concurrir un ánimo subjetivo para la aplicación de dicho artículo y si este debe aplicarse automáticamente en todos los posibles casos de violencia de género en detrimento de otras figuras penales quizás más acordes al caso en concreto.</w:t>
      </w:r>
    </w:p>
    <w:p w14:paraId="1F537125" w14:textId="48C845F6" w:rsidR="00F811A5" w:rsidRDefault="00F811A5" w:rsidP="00B936AF">
      <w:pPr>
        <w:spacing w:line="360" w:lineRule="auto"/>
        <w:jc w:val="both"/>
        <w:rPr>
          <w:rFonts w:ascii="Times New Roman" w:hAnsi="Times New Roman" w:cs="Times New Roman"/>
          <w:bCs/>
          <w:sz w:val="24"/>
          <w:szCs w:val="24"/>
        </w:rPr>
      </w:pPr>
    </w:p>
    <w:p w14:paraId="4630D851" w14:textId="500AEAD5" w:rsidR="00F811A5" w:rsidRPr="00A32EE8" w:rsidRDefault="00F811A5" w:rsidP="00B936AF">
      <w:pPr>
        <w:spacing w:line="360" w:lineRule="auto"/>
        <w:jc w:val="both"/>
        <w:rPr>
          <w:rFonts w:ascii="Times New Roman" w:hAnsi="Times New Roman" w:cs="Times New Roman"/>
          <w:b/>
          <w:bCs/>
          <w:color w:val="E80061" w:themeColor="accent1" w:themeShade="BF"/>
          <w:sz w:val="28"/>
          <w:szCs w:val="28"/>
          <w:u w:val="single"/>
          <w:lang w:val="en-US"/>
          <w14:reflection w14:blurRad="6350" w14:stA="60000" w14:stPos="0" w14:endA="900" w14:endPos="60000" w14:dist="29997" w14:dir="5400000" w14:fadeDir="5400000" w14:sx="100000" w14:sy="-100000" w14:kx="0" w14:ky="0" w14:algn="bl"/>
        </w:rPr>
      </w:pPr>
      <w:r w:rsidRPr="00A32EE8">
        <w:rPr>
          <w:rFonts w:ascii="Times New Roman" w:hAnsi="Times New Roman" w:cs="Times New Roman"/>
          <w:b/>
          <w:bCs/>
          <w:color w:val="E80061" w:themeColor="accent1" w:themeShade="BF"/>
          <w:sz w:val="28"/>
          <w:szCs w:val="28"/>
          <w:u w:val="single"/>
          <w:lang w:val="en-US"/>
          <w14:reflection w14:blurRad="6350" w14:stA="60000" w14:stPos="0" w14:endA="900" w14:endPos="60000" w14:dist="29997" w14:dir="5400000" w14:fadeDir="5400000" w14:sx="100000" w14:sy="-100000" w14:kx="0" w14:ky="0" w14:algn="bl"/>
        </w:rPr>
        <w:t>Abstract</w:t>
      </w:r>
    </w:p>
    <w:p w14:paraId="5B7E3149" w14:textId="35AE67A5" w:rsidR="00E769B2" w:rsidRPr="00A32EE8" w:rsidRDefault="00E769B2" w:rsidP="00E769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US"/>
        </w:rPr>
      </w:pPr>
      <w:r w:rsidRPr="00E769B2">
        <w:rPr>
          <w:rFonts w:ascii="Times New Roman" w:eastAsia="Times New Roman" w:hAnsi="Times New Roman" w:cs="Times New Roman"/>
          <w:color w:val="212121"/>
          <w:sz w:val="24"/>
          <w:szCs w:val="24"/>
          <w:lang w:val="en"/>
        </w:rPr>
        <w:t xml:space="preserve">This </w:t>
      </w:r>
      <w:r>
        <w:rPr>
          <w:rFonts w:ascii="Times New Roman" w:eastAsia="Times New Roman" w:hAnsi="Times New Roman" w:cs="Times New Roman"/>
          <w:color w:val="212121"/>
          <w:sz w:val="24"/>
          <w:szCs w:val="24"/>
          <w:lang w:val="en"/>
        </w:rPr>
        <w:t>work about</w:t>
      </w:r>
      <w:r w:rsidRPr="00E769B2">
        <w:rPr>
          <w:rFonts w:ascii="Times New Roman" w:eastAsia="Times New Roman" w:hAnsi="Times New Roman" w:cs="Times New Roman"/>
          <w:color w:val="212121"/>
          <w:sz w:val="24"/>
          <w:szCs w:val="24"/>
          <w:lang w:val="en"/>
        </w:rPr>
        <w:t xml:space="preserve"> gender violence from a criminal perspective, focusing on issues such as what is considered gender violence and what the </w:t>
      </w:r>
      <w:proofErr w:type="spellStart"/>
      <w:r w:rsidRPr="00E769B2">
        <w:rPr>
          <w:rFonts w:ascii="Times New Roman" w:eastAsia="Times New Roman" w:hAnsi="Times New Roman" w:cs="Times New Roman"/>
          <w:color w:val="212121"/>
          <w:sz w:val="24"/>
          <w:szCs w:val="24"/>
          <w:lang w:val="en"/>
        </w:rPr>
        <w:t>penological</w:t>
      </w:r>
      <w:proofErr w:type="spellEnd"/>
      <w:r w:rsidRPr="00E769B2">
        <w:rPr>
          <w:rFonts w:ascii="Times New Roman" w:eastAsia="Times New Roman" w:hAnsi="Times New Roman" w:cs="Times New Roman"/>
          <w:color w:val="212121"/>
          <w:sz w:val="24"/>
          <w:szCs w:val="24"/>
          <w:lang w:val="en"/>
        </w:rPr>
        <w:t xml:space="preserve"> treatment it receives. To do this, I firstly carry out a social journey around the causes and effects of gender violence with the aim of becoming aware of the historical course of this scourge and of what are the factors that trigger it. Once this social journey has been carried out, I focus on the criminal issues that arise with regard to gender violence, focusing on the field of injuries, differentiating between gender violence and domestic violence and the p</w:t>
      </w:r>
      <w:r>
        <w:rPr>
          <w:rFonts w:ascii="Times New Roman" w:eastAsia="Times New Roman" w:hAnsi="Times New Roman" w:cs="Times New Roman"/>
          <w:color w:val="212121"/>
          <w:sz w:val="24"/>
          <w:szCs w:val="24"/>
          <w:lang w:val="en"/>
        </w:rPr>
        <w:t>rotected legal right of art.153, a</w:t>
      </w:r>
      <w:r w:rsidRPr="00E769B2">
        <w:rPr>
          <w:rFonts w:ascii="Times New Roman" w:eastAsia="Times New Roman" w:hAnsi="Times New Roman" w:cs="Times New Roman"/>
          <w:color w:val="212121"/>
          <w:sz w:val="24"/>
          <w:szCs w:val="24"/>
          <w:lang w:val="en"/>
        </w:rPr>
        <w:t>s well as in the analysis of the type to determine if there should be a subjective mood for the application of this article and whether it should be applied automatically in all possible cases of gender violence to the detriment of other criminal figures perhaps more in line with the specific case.</w:t>
      </w:r>
    </w:p>
    <w:p w14:paraId="4DDFE08B" w14:textId="77777777" w:rsidR="00F811A5" w:rsidRPr="00A32EE8" w:rsidRDefault="00F811A5" w:rsidP="00B936AF">
      <w:pPr>
        <w:spacing w:line="360" w:lineRule="auto"/>
        <w:jc w:val="both"/>
        <w:rPr>
          <w:rFonts w:ascii="Times New Roman" w:hAnsi="Times New Roman" w:cs="Times New Roman"/>
          <w:b/>
          <w:bCs/>
          <w:color w:val="E80061" w:themeColor="accent1" w:themeShade="BF"/>
          <w:sz w:val="28"/>
          <w:szCs w:val="28"/>
          <w:u w:val="single"/>
          <w:lang w:val="en-US"/>
          <w14:reflection w14:blurRad="6350" w14:stA="60000" w14:stPos="0" w14:endA="900" w14:endPos="60000" w14:dist="29997" w14:dir="5400000" w14:fadeDir="5400000" w14:sx="100000" w14:sy="-100000" w14:kx="0" w14:ky="0" w14:algn="bl"/>
        </w:rPr>
      </w:pPr>
    </w:p>
    <w:p w14:paraId="113D4F82" w14:textId="77777777" w:rsidR="00F811A5" w:rsidRPr="00A32EE8" w:rsidRDefault="00F811A5" w:rsidP="00B936AF">
      <w:pPr>
        <w:spacing w:line="360" w:lineRule="auto"/>
        <w:jc w:val="both"/>
        <w:rPr>
          <w:rFonts w:ascii="Times New Roman" w:hAnsi="Times New Roman" w:cs="Times New Roman"/>
          <w:bCs/>
          <w:sz w:val="24"/>
          <w:szCs w:val="24"/>
          <w:lang w:val="en-US"/>
        </w:rPr>
      </w:pPr>
    </w:p>
    <w:p w14:paraId="35FA1849" w14:textId="5404127F" w:rsidR="00B936AF" w:rsidRPr="00B936AF" w:rsidRDefault="006A004D" w:rsidP="00B936AF">
      <w:pPr>
        <w:numPr>
          <w:ilvl w:val="0"/>
          <w:numId w:val="10"/>
        </w:numPr>
        <w:spacing w:line="360" w:lineRule="auto"/>
        <w:jc w:val="center"/>
        <w:rPr>
          <w:rFonts w:ascii="Times New Roman" w:hAnsi="Times New Roman" w:cs="Times New Roman"/>
          <w:b/>
          <w:bCs/>
          <w:color w:val="E40059" w:themeColor="accent2"/>
          <w:sz w:val="28"/>
          <w:szCs w:val="28"/>
          <w14:shadow w14:blurRad="75057" w14:dist="38100" w14:dir="5400000" w14:sx="100000" w14:sy="-20000" w14:kx="0" w14:ky="0" w14:algn="b">
            <w14:srgbClr w14:val="000000">
              <w14:alpha w14:val="75000"/>
            </w14:srgbClr>
          </w14:shadow>
          <w14:reflection w14:blurRad="6350" w14:stA="60000" w14:stPos="0" w14:endA="900" w14:endPos="58000" w14:dist="0" w14:dir="5400000" w14:fadeDir="5400000" w14:sx="100000" w14:sy="-100000" w14:kx="0" w14:ky="0" w14:algn="bl"/>
        </w:rPr>
      </w:pPr>
      <w:r w:rsidRPr="00B936AF">
        <w:rPr>
          <w:rFonts w:ascii="Times New Roman" w:hAnsi="Times New Roman" w:cs="Times New Roman"/>
          <w:b/>
          <w:bCs/>
          <w:color w:val="E40059" w:themeColor="accent2"/>
          <w:sz w:val="28"/>
          <w:szCs w:val="28"/>
          <w14:shadow w14:blurRad="75057" w14:dist="38100" w14:dir="5400000" w14:sx="100000" w14:sy="-20000" w14:kx="0" w14:ky="0" w14:algn="b">
            <w14:srgbClr w14:val="000000">
              <w14:alpha w14:val="75000"/>
            </w14:srgbClr>
          </w14:shadow>
          <w14:reflection w14:blurRad="6350" w14:stA="60000" w14:stPos="0" w14:endA="900" w14:endPos="58000" w14:dist="0" w14:dir="5400000" w14:fadeDir="5400000" w14:sx="100000" w14:sy="-100000" w14:kx="0" w14:ky="0" w14:algn="bl"/>
        </w:rPr>
        <w:t>Introducción</w:t>
      </w:r>
    </w:p>
    <w:p w14:paraId="1F59A83E"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La violencia de género es una lacra social consistente en la violencia ejercida por un hombre sobre la mujer por el mero hecho de serlo. Constituye una de las vulneraciones más extendidas de los derechos humanos en el mundo y su raíz ha quedado establecida en la discriminación que sufren las mujeres respecto de los hombres.</w:t>
      </w:r>
    </w:p>
    <w:p w14:paraId="4D98179B"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Se trata de un tema de máxima actualidad, cuyos efectos repercuten en toda la sociedad. A diario se nos informan sobre casos nuevos en los que mujeres mueren a manos de su agresor, siendo este hecho expresión última de un largo proceso de violencia ejercida sobre la víctima, y siendo ese resultado la cara visible de la violencia de género. Por ello, me pregunto ¿Se sabe realmente lo que es la violencia de género?</w:t>
      </w:r>
    </w:p>
    <w:p w14:paraId="5ECE8147"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Por otra parte, no es extraño escuchar como los medios de comunicación hablan indistintamente del concepto violencia de género y violencia doméstica, provocando muchos e importantes errores de partida, ya que entre ambos conceptos existen importantes diferencias y matices a destacar.</w:t>
      </w:r>
    </w:p>
    <w:p w14:paraId="3342772E"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En cuanto al tratamiento penal sobre esta materia ha ido variando con el paso de los años en su regulación. La violencia de género puede manifestarse en cualquier delito aplicando la nueva agravante genérica (art.22.4 CP) pero se encuentra especialmente en tipos específicos como son: </w:t>
      </w:r>
    </w:p>
    <w:p w14:paraId="17E2F941" w14:textId="77777777" w:rsidR="006A004D" w:rsidRPr="000C698F" w:rsidRDefault="006A004D" w:rsidP="000C698F">
      <w:pPr>
        <w:numPr>
          <w:ilvl w:val="0"/>
          <w:numId w:val="11"/>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Lesiones</w:t>
      </w:r>
    </w:p>
    <w:p w14:paraId="7980E869" w14:textId="77777777" w:rsidR="006A004D" w:rsidRPr="000C698F" w:rsidRDefault="006A004D" w:rsidP="000C698F">
      <w:pPr>
        <w:numPr>
          <w:ilvl w:val="0"/>
          <w:numId w:val="11"/>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Amenazas/ Coacciones</w:t>
      </w:r>
    </w:p>
    <w:p w14:paraId="6160EE04" w14:textId="77777777" w:rsidR="006A004D" w:rsidRPr="000C698F" w:rsidRDefault="006A004D" w:rsidP="000C698F">
      <w:pPr>
        <w:numPr>
          <w:ilvl w:val="0"/>
          <w:numId w:val="11"/>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Integridad Moral</w:t>
      </w:r>
    </w:p>
    <w:p w14:paraId="5E98029E"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Por lo tanto, después de numerosas reformas y especialmente con la última de 1/2015 de 30 de marzo, ¿qué tratamiento penal recibe este tipo de violencia?</w:t>
      </w:r>
    </w:p>
    <w:p w14:paraId="08A94836"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Por ello, a través del presente trabajo tengo como objetivos:</w:t>
      </w:r>
    </w:p>
    <w:p w14:paraId="6143E6CE" w14:textId="77777777" w:rsidR="006A004D" w:rsidRPr="000C698F" w:rsidRDefault="006A004D" w:rsidP="000C698F">
      <w:pPr>
        <w:pStyle w:val="Prrafodelista"/>
        <w:numPr>
          <w:ilvl w:val="0"/>
          <w:numId w:val="13"/>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Desarrollar e identificar el concepto violencia de género.</w:t>
      </w:r>
    </w:p>
    <w:p w14:paraId="04FA469B" w14:textId="77777777" w:rsidR="006A004D" w:rsidRPr="000C698F" w:rsidRDefault="006A004D" w:rsidP="000C698F">
      <w:pPr>
        <w:pStyle w:val="Prrafodelista"/>
        <w:numPr>
          <w:ilvl w:val="0"/>
          <w:numId w:val="13"/>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lastRenderedPageBreak/>
        <w:t>Realizar un estudio del objeto del art.153 CP.</w:t>
      </w:r>
    </w:p>
    <w:p w14:paraId="10734CA7" w14:textId="77777777" w:rsidR="006A004D" w:rsidRPr="000C698F" w:rsidRDefault="006A004D" w:rsidP="000C698F">
      <w:pPr>
        <w:pStyle w:val="Prrafodelista"/>
        <w:numPr>
          <w:ilvl w:val="0"/>
          <w:numId w:val="13"/>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Identificar los problemas en el ámbito de las lesiones, en concreto como se interpreta el factor violencia de género.</w:t>
      </w:r>
    </w:p>
    <w:p w14:paraId="325059D1" w14:textId="77777777" w:rsidR="006A004D" w:rsidRPr="000C698F"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Para ello diferenciaré tres bloques:</w:t>
      </w:r>
    </w:p>
    <w:p w14:paraId="4F9274C7" w14:textId="77777777" w:rsidR="006A004D" w:rsidRPr="000C698F" w:rsidRDefault="006A004D" w:rsidP="000C698F">
      <w:pPr>
        <w:numPr>
          <w:ilvl w:val="0"/>
          <w:numId w:val="1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En primer lugar, haré un breve recorrido social del concepto de violencia de género, así como de sus causas.</w:t>
      </w:r>
    </w:p>
    <w:p w14:paraId="4096C591" w14:textId="77777777" w:rsidR="006A004D" w:rsidRPr="000C698F" w:rsidRDefault="006A004D" w:rsidP="000C698F">
      <w:pPr>
        <w:numPr>
          <w:ilvl w:val="0"/>
          <w:numId w:val="1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En segundo lugar, procederé al tratamiento que otorga el CP a la violencia de género en el ámbito de las lesiones.</w:t>
      </w:r>
    </w:p>
    <w:p w14:paraId="73262C41" w14:textId="77777777" w:rsidR="006A004D" w:rsidRPr="000C698F" w:rsidRDefault="006A004D" w:rsidP="000C698F">
      <w:pPr>
        <w:numPr>
          <w:ilvl w:val="0"/>
          <w:numId w:val="1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Por último, pasaríamos al estudio de los actos típicos subsumibles en el art.153 CP. </w:t>
      </w:r>
    </w:p>
    <w:p w14:paraId="1A7CBEFD" w14:textId="3344D49B" w:rsidR="006A004D" w:rsidRDefault="006A004D"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Para el desarrollo de estos tres bloques haré uso de manuales actualizados especializados en la materia, así como referencias de doctrina y artículos de interés que arrojen luz sobre las cuestiones planteadas, sin olvidar la jurisprudencia actual que pone de relieve las soluciones jurisdiccionales arrojadas sobre este tema.</w:t>
      </w:r>
    </w:p>
    <w:p w14:paraId="729D1D3D" w14:textId="6DD8206F" w:rsidR="00446ACF" w:rsidRDefault="00446ACF" w:rsidP="000C698F">
      <w:pPr>
        <w:spacing w:line="360" w:lineRule="auto"/>
        <w:jc w:val="both"/>
        <w:rPr>
          <w:rFonts w:ascii="Times New Roman" w:hAnsi="Times New Roman" w:cs="Times New Roman"/>
          <w:sz w:val="24"/>
          <w:szCs w:val="24"/>
        </w:rPr>
      </w:pPr>
    </w:p>
    <w:p w14:paraId="27DB496E" w14:textId="77777777" w:rsidR="006A004D" w:rsidRPr="000C698F" w:rsidRDefault="006A004D" w:rsidP="000C698F">
      <w:pPr>
        <w:spacing w:line="360" w:lineRule="auto"/>
        <w:jc w:val="center"/>
        <w:rPr>
          <w:rFonts w:ascii="Times New Roman" w:hAnsi="Times New Roman" w:cs="Times New Roman"/>
          <w:b/>
          <w:bCs/>
          <w:color w:val="A30234"/>
          <w:sz w:val="28"/>
          <w:szCs w:val="28"/>
          <w14:reflection w14:blurRad="6350" w14:stA="60000" w14:stPos="0" w14:endA="900" w14:endPos="58000" w14:dist="0" w14:dir="5400000" w14:fadeDir="5400000" w14:sx="100000" w14:sy="-100000" w14:kx="0" w14:ky="0" w14:algn="bl"/>
        </w:rPr>
      </w:pPr>
      <w:r w:rsidRPr="000C698F">
        <w:rPr>
          <w:rFonts w:ascii="Times New Roman" w:hAnsi="Times New Roman" w:cs="Times New Roman"/>
          <w:b/>
          <w:bCs/>
          <w:color w:val="A30234"/>
          <w:sz w:val="28"/>
          <w:szCs w:val="28"/>
          <w14:reflection w14:blurRad="6350" w14:stA="60000" w14:stPos="0" w14:endA="900" w14:endPos="58000" w14:dist="0" w14:dir="5400000" w14:fadeDir="5400000" w14:sx="100000" w14:sy="-100000" w14:kx="0" w14:ky="0" w14:algn="bl"/>
        </w:rPr>
        <w:t>2</w:t>
      </w:r>
      <w:r w:rsidR="00CD6E41" w:rsidRPr="000C698F">
        <w:rPr>
          <w:rFonts w:ascii="Times New Roman" w:hAnsi="Times New Roman" w:cs="Times New Roman"/>
          <w:b/>
          <w:bCs/>
          <w:color w:val="A30234"/>
          <w:sz w:val="28"/>
          <w:szCs w:val="28"/>
          <w:lang w:eastAsia="zh-CN"/>
          <w14:reflection w14:blurRad="6350" w14:stA="60000" w14:stPos="0" w14:endA="900" w14:endPos="58000" w14:dist="0" w14:dir="5400000" w14:fadeDir="5400000" w14:sx="100000" w14:sy="-100000" w14:kx="0" w14:ky="0" w14:algn="bl"/>
        </w:rPr>
        <w:t>. Origen de la Violencia de Género</w:t>
      </w:r>
    </w:p>
    <w:p w14:paraId="229CC2AD"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La violencia de género representa el modo más brutal de la representación del poder de un sexo sobre otro.</w:t>
      </w:r>
      <w:r w:rsidR="003349F9" w:rsidRPr="000C698F">
        <w:rPr>
          <w:rStyle w:val="Refdenotaalpie"/>
          <w:rFonts w:ascii="Times New Roman" w:hAnsi="Times New Roman" w:cs="Times New Roman"/>
          <w:sz w:val="24"/>
          <w:szCs w:val="24"/>
        </w:rPr>
        <w:footnoteReference w:id="1"/>
      </w:r>
      <w:r w:rsidRPr="000C698F">
        <w:rPr>
          <w:rFonts w:ascii="Times New Roman" w:hAnsi="Times New Roman" w:cs="Times New Roman"/>
          <w:sz w:val="24"/>
          <w:szCs w:val="24"/>
        </w:rPr>
        <w:t xml:space="preserve"> Sustentada por la sociedad patriarcal, la violencia psicológica y física ha sido aceptada durante mucho tiempo como una cuestión que pertenece al ámbito privado, de las relaciones personales y familiares. Tan frecuente ha sido este tipo de violencia que ha llegado a normalizarse y naturalizarse. En la mayoría de los países ni siquiera llegan a contabilizarse las víctimas, porque lo que no se evidencia no existe. Quizás sea esa la razón por la que esta lacra nos sacuda con tanta insistencia.</w:t>
      </w:r>
    </w:p>
    <w:p w14:paraId="72E525C9"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lastRenderedPageBreak/>
        <w:t xml:space="preserve">La misoginia se manifiesta de diferentes formas en las distintas sociedades, se muestra más o menos sutil pero indudablemente siempre ha estado y está presente. Hay además un esquema invariable, a medida que las mujeres recobran libertades o derechos, la violencia se recrudece en otros ámbitos. </w:t>
      </w:r>
    </w:p>
    <w:p w14:paraId="5BE78009"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Abarca todos los ámbitos de la vida de las mujeres: personal, familiar y laboral y por esta razón es tan difícil que afloren las conductas igualitarias.</w:t>
      </w:r>
    </w:p>
    <w:p w14:paraId="5B27C863"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La concepción patriarcal de hombres/mujeres se ha fundamentado en la oposición más que en la diversidad. Este modo simplista de representar el mundo en opuestos ha implicado establecer roles opuestos para hombres y mujeres. Asociando a los primeros con la cultura: “resultado o efecto de cultivar los conocimientos humanos”, y a las segundas con la naturaleza, que se relaciona con el instinto, la irreflexión, la espontaneidad, o en definitiva todo aquello que excluye la deliberación o el análisis. Consecuentemente los varones han sido identificados como “intelecto” mientras que a las mujeres se les ha investido con “los sentimientos”.</w:t>
      </w:r>
    </w:p>
    <w:p w14:paraId="203F661E"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Esta errónea concepción de opuestos ha derivado en la injusticia social de considerar a los hombres superiores a las mujeres y por lo tanto, las relaciones entre ambos sexos se fundamentan en el poder de uno sobre otra y en consecuencia a la desigualdad.</w:t>
      </w:r>
    </w:p>
    <w:p w14:paraId="3B3D52CF"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Si por el contrario, sentimientos e intelecto hubiesen sido considerados como aspectos docentes pero igualmente necesarios para el desarrollo de cualquier ser humano, las relaciones de pareja estarían fundamentadas en la igualdad dentro de la diversidad.</w:t>
      </w:r>
    </w:p>
    <w:p w14:paraId="3A9E94BC" w14:textId="77777777" w:rsidR="00B76674"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La violencia de género indica la desigualdad e inequidad existentes en las relaciones de pareja. En la mayoría de los </w:t>
      </w:r>
      <w:r w:rsidR="000C698F" w:rsidRPr="000C698F">
        <w:rPr>
          <w:rFonts w:ascii="Times New Roman" w:hAnsi="Times New Roman" w:cs="Times New Roman"/>
          <w:sz w:val="24"/>
          <w:szCs w:val="24"/>
        </w:rPr>
        <w:t>países</w:t>
      </w:r>
      <w:r w:rsidRPr="000C698F">
        <w:rPr>
          <w:rFonts w:ascii="Times New Roman" w:hAnsi="Times New Roman" w:cs="Times New Roman"/>
          <w:sz w:val="24"/>
          <w:szCs w:val="24"/>
        </w:rPr>
        <w:t xml:space="preserve"> ni siquiera se le reconoce como tal y en España que si está reconocida y penalizada, los asesinatos continúan con una </w:t>
      </w:r>
      <w:r w:rsidR="000C698F" w:rsidRPr="000C698F">
        <w:rPr>
          <w:rFonts w:ascii="Times New Roman" w:hAnsi="Times New Roman" w:cs="Times New Roman"/>
          <w:sz w:val="24"/>
          <w:szCs w:val="24"/>
        </w:rPr>
        <w:t>periodicidad</w:t>
      </w:r>
      <w:r w:rsidRPr="000C698F">
        <w:rPr>
          <w:rFonts w:ascii="Times New Roman" w:hAnsi="Times New Roman" w:cs="Times New Roman"/>
          <w:sz w:val="24"/>
          <w:szCs w:val="24"/>
        </w:rPr>
        <w:t xml:space="preserve"> alarmante. La dificultad para erradicarla estriba en que ello conllevaría una transformación de las creencias antiguas y erróneas del conjunto de la sociedad. Implica también un cambio personal que daría lugar al cambio colectivo de la sociedad (de dentro hacia afuera). Justo lo contrario de lo que está sucediendo, la </w:t>
      </w:r>
      <w:r w:rsidRPr="000C698F">
        <w:rPr>
          <w:rFonts w:ascii="Times New Roman" w:hAnsi="Times New Roman" w:cs="Times New Roman"/>
          <w:sz w:val="24"/>
          <w:szCs w:val="24"/>
        </w:rPr>
        <w:lastRenderedPageBreak/>
        <w:t>transformación se induce desde fuera, mediante leyes, concienciación y formación, por lo que de este modo el cambio es más lento y dificultoso.</w:t>
      </w:r>
    </w:p>
    <w:p w14:paraId="70BCB959" w14:textId="77777777" w:rsidR="00B76674" w:rsidRPr="000C698F" w:rsidRDefault="00B76674" w:rsidP="000C698F">
      <w:pPr>
        <w:spacing w:line="360" w:lineRule="auto"/>
        <w:jc w:val="both"/>
        <w:rPr>
          <w:rFonts w:ascii="Times New Roman" w:hAnsi="Times New Roman" w:cs="Times New Roman"/>
          <w:sz w:val="24"/>
          <w:szCs w:val="24"/>
        </w:rPr>
      </w:pPr>
    </w:p>
    <w:p w14:paraId="131F8F5C"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El hecho de que los cambios se impulsen de modo externo se refleja en las contradicciones a las que asistimos a diario. Leemos los asesinatos en la prensa pero pensamos que eso, no es real, que a las personas “normales” no nos ocurren “esas cosas”. Hasta hace muy poco, la violencia de género se consideraba un asunto privado donde no era oportuno inmiscuirse hasta el punto de justificar lo injustificable: se habrá vuelto loco, se enteraría de que iba a dejarlo, lo engañaba etc.</w:t>
      </w:r>
    </w:p>
    <w:p w14:paraId="3CCB71FF" w14:textId="25B2E0DA"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El sentido de propiedad</w:t>
      </w:r>
      <w:r w:rsidR="004A7E16">
        <w:rPr>
          <w:rFonts w:ascii="Times New Roman" w:hAnsi="Times New Roman" w:cs="Times New Roman"/>
          <w:sz w:val="24"/>
          <w:szCs w:val="24"/>
        </w:rPr>
        <w:t>, posesió</w:t>
      </w:r>
      <w:r w:rsidRPr="000C698F">
        <w:rPr>
          <w:rFonts w:ascii="Times New Roman" w:hAnsi="Times New Roman" w:cs="Times New Roman"/>
          <w:sz w:val="24"/>
          <w:szCs w:val="24"/>
        </w:rPr>
        <w:t xml:space="preserve">n y superioridad canaliza </w:t>
      </w:r>
      <w:r w:rsidR="004A7E16" w:rsidRPr="000C698F">
        <w:rPr>
          <w:rFonts w:ascii="Times New Roman" w:hAnsi="Times New Roman" w:cs="Times New Roman"/>
          <w:sz w:val="24"/>
          <w:szCs w:val="24"/>
        </w:rPr>
        <w:t>aun</w:t>
      </w:r>
      <w:r w:rsidRPr="000C698F">
        <w:rPr>
          <w:rFonts w:ascii="Times New Roman" w:hAnsi="Times New Roman" w:cs="Times New Roman"/>
          <w:sz w:val="24"/>
          <w:szCs w:val="24"/>
        </w:rPr>
        <w:t xml:space="preserve"> frecuentemente las relaciones de pareja por lo que las mujeres han de plegarse en mayor o menor grado a las exigencias de sus propietarios, superiores y poseedores, en caso contrario usan la violencia física, psíquica o ambas. El terror y el convencimiento de ser culpables impiden a las mujeres a reaccionar. </w:t>
      </w:r>
    </w:p>
    <w:p w14:paraId="63E1189B"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Resulta necesario reconocer que ambos sexos se han nutrido de la misma cultura sexista por lo que se ha procedido a un reparto de roles de género en el que los varones representan lo público y las mujeres el ámbito privado o reproductivo. De esta forma, en la vida cotidiana la labor fundamental del hombre consistiría en tener un empleo remunerado y las mujeres dedicaran su tiempo a cuidar de la familia y proveer servicios para todas las personas que estén a su cargo y a diferencia de los varones, no recibirán una remuneración por ello. De esta asignación de roles parte la primera brecha entre ambos, porque quien tiene el control económico tiene el poder y más en una sociedad capitalista como la nuestra donde el poder económico es el poder en mayúsculas.</w:t>
      </w:r>
    </w:p>
    <w:p w14:paraId="4D79CB66" w14:textId="52E3D715"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Es obvio que en la actualidad, el avance ha sido innegable y que las mujeres han logrado hacerse presentes en una sociedad patriarcal, pero </w:t>
      </w:r>
      <w:r w:rsidR="004A7E16" w:rsidRPr="000C698F">
        <w:rPr>
          <w:rFonts w:ascii="Times New Roman" w:hAnsi="Times New Roman" w:cs="Times New Roman"/>
          <w:sz w:val="24"/>
          <w:szCs w:val="24"/>
        </w:rPr>
        <w:t>aun</w:t>
      </w:r>
      <w:r w:rsidRPr="000C698F">
        <w:rPr>
          <w:rFonts w:ascii="Times New Roman" w:hAnsi="Times New Roman" w:cs="Times New Roman"/>
          <w:sz w:val="24"/>
          <w:szCs w:val="24"/>
        </w:rPr>
        <w:t xml:space="preserve"> así se observa una insistente resistencia en reconocer que existen unos derechos innegables para todas las personas, independientemente de su sexo.</w:t>
      </w:r>
    </w:p>
    <w:p w14:paraId="547CE0C5" w14:textId="77777777" w:rsidR="009F1A7B" w:rsidRPr="000C698F" w:rsidRDefault="009F1A7B" w:rsidP="000C698F">
      <w:pPr>
        <w:spacing w:line="360" w:lineRule="auto"/>
        <w:jc w:val="both"/>
        <w:rPr>
          <w:rFonts w:ascii="Times New Roman" w:hAnsi="Times New Roman" w:cs="Times New Roman"/>
          <w:sz w:val="24"/>
          <w:szCs w:val="24"/>
        </w:rPr>
      </w:pPr>
    </w:p>
    <w:p w14:paraId="55C7C1CD" w14:textId="77777777" w:rsidR="009B42B3" w:rsidRPr="000C698F" w:rsidRDefault="00CD6E41" w:rsidP="000C698F">
      <w:pPr>
        <w:pStyle w:val="Prrafodelista1"/>
        <w:spacing w:line="360" w:lineRule="auto"/>
        <w:ind w:left="0"/>
        <w:jc w:val="both"/>
        <w:rPr>
          <w:rFonts w:ascii="Times New Roman" w:hAnsi="Times New Roman" w:cs="Times New Roman"/>
          <w:b/>
          <w:bCs/>
          <w:color w:val="E40059" w:themeColor="accent2"/>
          <w:sz w:val="24"/>
          <w:szCs w:val="24"/>
          <w:u w:val="single"/>
        </w:rPr>
      </w:pPr>
      <w:r w:rsidRPr="000C698F">
        <w:rPr>
          <w:rFonts w:ascii="Times New Roman" w:hAnsi="Times New Roman" w:cs="Times New Roman"/>
          <w:b/>
          <w:bCs/>
          <w:color w:val="E40059" w:themeColor="accent2"/>
          <w:sz w:val="24"/>
          <w:szCs w:val="24"/>
          <w:u w:val="single"/>
        </w:rPr>
        <w:lastRenderedPageBreak/>
        <w:t xml:space="preserve"> Causas y efectos de la violencia de género </w:t>
      </w:r>
    </w:p>
    <w:p w14:paraId="6B62C650" w14:textId="77777777" w:rsidR="00B76674"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Como ya he referido anteriormente, la causa fundamental</w:t>
      </w:r>
      <w:r w:rsidR="009F1A7B" w:rsidRPr="000C698F">
        <w:rPr>
          <w:rStyle w:val="Refdenotaalpie"/>
          <w:rFonts w:ascii="Times New Roman" w:hAnsi="Times New Roman" w:cs="Times New Roman"/>
          <w:sz w:val="24"/>
          <w:szCs w:val="24"/>
        </w:rPr>
        <w:footnoteReference w:id="2"/>
      </w:r>
      <w:r w:rsidRPr="000C698F">
        <w:rPr>
          <w:rFonts w:ascii="Times New Roman" w:hAnsi="Times New Roman" w:cs="Times New Roman"/>
          <w:sz w:val="24"/>
          <w:szCs w:val="24"/>
        </w:rPr>
        <w:t xml:space="preserve"> que genera la violencia de género es la condición de ser inferior atribuido a las mujeres con respecto a los hombres. Partiendo de este planteamiento, se normaliza una situación de inferioridad que si bien no está presente ni en todos los hombres ni en todas las mujeres pero impregna a toda la sociedad en sus conductas, acciones y planteamientos. De este modo, aquellas mujeres que en un momento determinado de sus vidas determinen no continuar en su condición de inferior, se encontrarán con la barrera determinante del poder que el otro se ha conferido a </w:t>
      </w:r>
      <w:proofErr w:type="spellStart"/>
      <w:r w:rsidRPr="000C698F">
        <w:rPr>
          <w:rFonts w:ascii="Times New Roman" w:hAnsi="Times New Roman" w:cs="Times New Roman"/>
          <w:sz w:val="24"/>
          <w:szCs w:val="24"/>
        </w:rPr>
        <w:t>si</w:t>
      </w:r>
      <w:proofErr w:type="spellEnd"/>
      <w:r w:rsidRPr="000C698F">
        <w:rPr>
          <w:rFonts w:ascii="Times New Roman" w:hAnsi="Times New Roman" w:cs="Times New Roman"/>
          <w:sz w:val="24"/>
          <w:szCs w:val="24"/>
        </w:rPr>
        <w:t xml:space="preserve"> mismo.</w:t>
      </w:r>
    </w:p>
    <w:p w14:paraId="475EDA08"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La violencia ya sea psicológica o física es la punta del iceberg de todas aquellas situaciones cotidianas donde se considera a las mujeres como seres al servicio de otros. Y esta última afirmación queda evidenciada en distintos ámbitos donde hombres y mujeres conviven. Si pensamos en el ámbito familiar un informe reciente del Instituto Nacional de Estadística, las mujeres dedican dos horas diarias más que los hombres en atender responsabilidades comunes. La conciliación sigue siendo un aspecto a conquistar por las mujeres y la corresponsabilidad no es un hecho que se </w:t>
      </w:r>
      <w:proofErr w:type="spellStart"/>
      <w:r w:rsidRPr="000C698F">
        <w:rPr>
          <w:rFonts w:ascii="Times New Roman" w:hAnsi="Times New Roman" w:cs="Times New Roman"/>
          <w:sz w:val="24"/>
          <w:szCs w:val="24"/>
        </w:rPr>
        <w:t>de</w:t>
      </w:r>
      <w:proofErr w:type="spellEnd"/>
      <w:r w:rsidRPr="000C698F">
        <w:rPr>
          <w:rFonts w:ascii="Times New Roman" w:hAnsi="Times New Roman" w:cs="Times New Roman"/>
          <w:sz w:val="24"/>
          <w:szCs w:val="24"/>
        </w:rPr>
        <w:t xml:space="preserve"> frecuentemente. Si pensamos en el ámbito laboral también podemos observar como el techo de cristal frena el desarrollo profesional de las mujeres. En el ámbito social, las mujeres también tienen características asignadas en las que prevalecen todos aquellos relacionados con los sentimientos, dejando a los varones como a los seres r</w:t>
      </w:r>
      <w:r w:rsidR="009F5BE4" w:rsidRPr="000C698F">
        <w:rPr>
          <w:rFonts w:ascii="Times New Roman" w:hAnsi="Times New Roman" w:cs="Times New Roman"/>
          <w:sz w:val="24"/>
          <w:szCs w:val="24"/>
        </w:rPr>
        <w:t xml:space="preserve">egidos por </w:t>
      </w:r>
      <w:r w:rsidRPr="000C698F">
        <w:rPr>
          <w:rFonts w:ascii="Times New Roman" w:hAnsi="Times New Roman" w:cs="Times New Roman"/>
          <w:sz w:val="24"/>
          <w:szCs w:val="24"/>
        </w:rPr>
        <w:t>l</w:t>
      </w:r>
      <w:r w:rsidR="009F5BE4" w:rsidRPr="000C698F">
        <w:rPr>
          <w:rFonts w:ascii="Times New Roman" w:hAnsi="Times New Roman" w:cs="Times New Roman"/>
          <w:sz w:val="24"/>
          <w:szCs w:val="24"/>
        </w:rPr>
        <w:t>a</w:t>
      </w:r>
      <w:r w:rsidRPr="000C698F">
        <w:rPr>
          <w:rFonts w:ascii="Times New Roman" w:hAnsi="Times New Roman" w:cs="Times New Roman"/>
          <w:sz w:val="24"/>
          <w:szCs w:val="24"/>
        </w:rPr>
        <w:t xml:space="preserve"> razón. </w:t>
      </w:r>
    </w:p>
    <w:p w14:paraId="1CDF3F33"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¿Evolución o </w:t>
      </w:r>
      <w:r w:rsidR="009F5BE4" w:rsidRPr="000C698F">
        <w:rPr>
          <w:rFonts w:ascii="Times New Roman" w:hAnsi="Times New Roman" w:cs="Times New Roman"/>
          <w:sz w:val="24"/>
          <w:szCs w:val="24"/>
        </w:rPr>
        <w:t>involución</w:t>
      </w:r>
      <w:r w:rsidRPr="000C698F">
        <w:rPr>
          <w:rFonts w:ascii="Times New Roman" w:hAnsi="Times New Roman" w:cs="Times New Roman"/>
          <w:sz w:val="24"/>
          <w:szCs w:val="24"/>
        </w:rPr>
        <w:t xml:space="preserve">? Las respuestas a esta pregunta son muy complejas ya que, la situación actual de las mujeres debe analizarse con una doble lectura. Para la totalidad de las mujeres, la puesta en marcha de leyes como la de igualdad, la integral y la de reproducción sexual, es una apuesta firme por garantizar la equidad entre hombres y mujeres por lo que  legalmente, todas las medidas determinadas en estas leyes favorecen que las mujeres sean propietarias de su propia persona, sean independientes y autónomas y no estén  relegadas a una condición inferior. Por lo </w:t>
      </w:r>
      <w:r w:rsidRPr="000C698F">
        <w:rPr>
          <w:rFonts w:ascii="Times New Roman" w:hAnsi="Times New Roman" w:cs="Times New Roman"/>
          <w:sz w:val="24"/>
          <w:szCs w:val="24"/>
        </w:rPr>
        <w:lastRenderedPageBreak/>
        <w:t xml:space="preserve">tanto, es obvio que este conjunto de leyes debe de ser considerado como una apuesta valiente por dar un paso hacia adelante para conseguir una sociedad verdaderamente democrática. </w:t>
      </w:r>
    </w:p>
    <w:p w14:paraId="3B883648"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 xml:space="preserve">Por el contrario, hay mujeres que no perciben que las leyes hayan acabado con su vida de sumisión al varón. Es más, están convencidas que “toda la vida ha sido así y así seguirá siendo”. En ese determinismo, creen que como seres superiores que son los varones o al menos así se comportan, tienen derechos sobre ellas que las previene de comportarse con la autonomía de la que todo ser humano debe gozar. De este modo no es infrecuente que encontremos mujeres que a pesar de ser maltratadas, soporten la violencia por sentirse culpables de romper la familia, enviar a la </w:t>
      </w:r>
      <w:r w:rsidR="009F5BE4" w:rsidRPr="000C698F">
        <w:rPr>
          <w:rFonts w:ascii="Times New Roman" w:hAnsi="Times New Roman" w:cs="Times New Roman"/>
          <w:sz w:val="24"/>
          <w:szCs w:val="24"/>
        </w:rPr>
        <w:t>cárcel</w:t>
      </w:r>
      <w:r w:rsidRPr="000C698F">
        <w:rPr>
          <w:rFonts w:ascii="Times New Roman" w:hAnsi="Times New Roman" w:cs="Times New Roman"/>
          <w:sz w:val="24"/>
          <w:szCs w:val="24"/>
        </w:rPr>
        <w:t xml:space="preserve"> al padre de sus hijos o porque le otorgan, inconscientemente al agresor, el derecho que solo le corresponde a ella: tomar decisiones.</w:t>
      </w:r>
    </w:p>
    <w:p w14:paraId="73974F2E" w14:textId="77777777" w:rsidR="004A5170" w:rsidRPr="000C698F" w:rsidRDefault="004A5170" w:rsidP="000C698F">
      <w:pPr>
        <w:spacing w:line="360" w:lineRule="auto"/>
        <w:jc w:val="both"/>
        <w:rPr>
          <w:rFonts w:ascii="Times New Roman" w:hAnsi="Times New Roman" w:cs="Times New Roman"/>
          <w:sz w:val="24"/>
          <w:szCs w:val="24"/>
        </w:rPr>
      </w:pPr>
    </w:p>
    <w:p w14:paraId="0EC58E8D" w14:textId="77777777" w:rsidR="009B42B3" w:rsidRPr="000C698F" w:rsidRDefault="00CD6E41" w:rsidP="000C698F">
      <w:pPr>
        <w:pStyle w:val="Prrafodelista1"/>
        <w:spacing w:line="360" w:lineRule="auto"/>
        <w:ind w:left="0"/>
        <w:jc w:val="both"/>
        <w:rPr>
          <w:rFonts w:ascii="Times New Roman" w:hAnsi="Times New Roman" w:cs="Times New Roman"/>
          <w:b/>
          <w:bCs/>
          <w:i/>
          <w:color w:val="E40059" w:themeColor="accent2"/>
          <w:sz w:val="24"/>
          <w:szCs w:val="24"/>
        </w:rPr>
      </w:pPr>
      <w:r w:rsidRPr="000C698F">
        <w:rPr>
          <w:rFonts w:ascii="Times New Roman" w:hAnsi="Times New Roman" w:cs="Times New Roman"/>
          <w:b/>
          <w:bCs/>
          <w:color w:val="E40059" w:themeColor="accent2"/>
          <w:sz w:val="24"/>
          <w:szCs w:val="24"/>
          <w:u w:val="single"/>
        </w:rPr>
        <w:t xml:space="preserve"> El perverso ciclo de la violencia de género </w:t>
      </w:r>
    </w:p>
    <w:p w14:paraId="4BFA6DFF"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Existen varios factores que producen una intensificación de la violencia de género</w:t>
      </w:r>
      <w:r w:rsidR="009F1A7B" w:rsidRPr="000C698F">
        <w:rPr>
          <w:rFonts w:ascii="Times New Roman" w:hAnsi="Times New Roman" w:cs="Times New Roman"/>
          <w:sz w:val="24"/>
          <w:szCs w:val="24"/>
        </w:rPr>
        <w:t>:</w:t>
      </w:r>
      <w:r w:rsidR="009F1A7B" w:rsidRPr="000C698F">
        <w:rPr>
          <w:rStyle w:val="Refdenotaalpie"/>
          <w:rFonts w:ascii="Times New Roman" w:hAnsi="Times New Roman" w:cs="Times New Roman"/>
          <w:sz w:val="24"/>
          <w:szCs w:val="24"/>
        </w:rPr>
        <w:footnoteReference w:id="3"/>
      </w:r>
      <w:r w:rsidRPr="000C698F">
        <w:rPr>
          <w:rFonts w:ascii="Times New Roman" w:hAnsi="Times New Roman" w:cs="Times New Roman"/>
          <w:sz w:val="24"/>
          <w:szCs w:val="24"/>
        </w:rPr>
        <w:t xml:space="preserve"> la presión económica, el poder público, la violencia sexual y las agresiones físicas. Esta serie de factores se van desarrollando durante la convivencia de manera progresiva y circular. Al principio de la relación de dominio, la víctima no percibe que está siendo manipulada ya que participa de una cultura, que como hemos dicho anteriormente, la superioridad del varón es aceptada. Por otra parte, las manifestaciones del dominio comienzan a menudo de modo sutil y, se justifican a causa de los celos, de alcohol o droga o simplemente estrés. Es cuando estas manifestaciones se recrudecen, cuando las víctimas se paralizan y solo con la ayuda externa, consiguen percibir la cruda realidad. Para ser consciente de que se es víctima de maltrato suelen pasar una media de cuatro años y es evidente que la dificultad en pedir ayuda es directamente proporcional al tiempo transcurrido en pedir ayuda. Esta dificultad de la que hablamos respecto al reconocimiento de ser víctima de maltrato viene determinada en gran medida a que el proceso de la violencia de género </w:t>
      </w:r>
      <w:r w:rsidRPr="000C698F">
        <w:rPr>
          <w:rFonts w:ascii="Times New Roman" w:hAnsi="Times New Roman" w:cs="Times New Roman"/>
          <w:sz w:val="24"/>
          <w:szCs w:val="24"/>
        </w:rPr>
        <w:lastRenderedPageBreak/>
        <w:t>no es lineal sino circular, es el llamado “Ciclo de la violencia”</w:t>
      </w:r>
      <w:r w:rsidR="00AA452F" w:rsidRPr="000C698F">
        <w:rPr>
          <w:rStyle w:val="Refdenotaalpie"/>
          <w:rFonts w:ascii="Times New Roman" w:hAnsi="Times New Roman" w:cs="Times New Roman"/>
          <w:sz w:val="24"/>
          <w:szCs w:val="24"/>
        </w:rPr>
        <w:footnoteReference w:id="4"/>
      </w:r>
      <w:r w:rsidRPr="000C698F">
        <w:rPr>
          <w:rFonts w:ascii="Times New Roman" w:hAnsi="Times New Roman" w:cs="Times New Roman"/>
          <w:sz w:val="24"/>
          <w:szCs w:val="24"/>
        </w:rPr>
        <w:t xml:space="preserve"> y consta de tres fases que una vez instaladas en la pareja es muy difícil de frenar, tendiéndose a repetir cada vez con más frecuencia:</w:t>
      </w:r>
    </w:p>
    <w:p w14:paraId="615AA102" w14:textId="77777777" w:rsidR="009B42B3" w:rsidRPr="000C698F" w:rsidRDefault="00CD6E41" w:rsidP="000C698F">
      <w:pPr>
        <w:pStyle w:val="Prrafodelista1"/>
        <w:numPr>
          <w:ilvl w:val="0"/>
          <w:numId w:val="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Acumulación de tensión: es el resultado de la acumulación de conflictos en la pareja. Se detecta al observar cambios imprevistos y repentinos en el estado de ánimo del agresor. Reacciones agresivas a sus frustraciones o ante cualquier señal de independencia que demuestra la mujer.</w:t>
      </w:r>
    </w:p>
    <w:p w14:paraId="6CDFAD9B" w14:textId="77777777" w:rsidR="00B76674" w:rsidRPr="000C698F" w:rsidRDefault="00B76674" w:rsidP="000C698F">
      <w:pPr>
        <w:pStyle w:val="Prrafodelista1"/>
        <w:spacing w:line="360" w:lineRule="auto"/>
        <w:jc w:val="both"/>
        <w:rPr>
          <w:rFonts w:ascii="Times New Roman" w:hAnsi="Times New Roman" w:cs="Times New Roman"/>
          <w:sz w:val="24"/>
          <w:szCs w:val="24"/>
        </w:rPr>
      </w:pPr>
    </w:p>
    <w:p w14:paraId="5C13F204" w14:textId="77777777" w:rsidR="009B42B3" w:rsidRPr="000C698F" w:rsidRDefault="00CD6E41" w:rsidP="000C698F">
      <w:pPr>
        <w:pStyle w:val="Prrafodelista1"/>
        <w:numPr>
          <w:ilvl w:val="0"/>
          <w:numId w:val="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Explosión de la violencia: es el resultado material de la tensión acumulada. Descarga esa tensión acumulada en la fase anterior, la cual puede adoptar distintas formas y grados de intensidad. La violencia de género se produce de manera explícita, ya sea física, psíquica, sexual el agresor explota y maltrata a la víctima. Este hecho violento produce tal sensación de confusión en la víctima que no le permite la posibilidad de reaccionar. Esa confusión genera tensión, estrés que producen en la víctima inmovilizamos e incertidumbre, sintiéndose esta culpable por “haber provocado al agresor”.</w:t>
      </w:r>
    </w:p>
    <w:p w14:paraId="04387413" w14:textId="77777777" w:rsidR="00B76674" w:rsidRPr="000C698F" w:rsidRDefault="00B76674" w:rsidP="000C698F">
      <w:pPr>
        <w:pStyle w:val="Prrafodelista1"/>
        <w:spacing w:line="360" w:lineRule="auto"/>
        <w:ind w:left="0"/>
        <w:jc w:val="both"/>
        <w:rPr>
          <w:rFonts w:ascii="Times New Roman" w:hAnsi="Times New Roman" w:cs="Times New Roman"/>
          <w:sz w:val="24"/>
          <w:szCs w:val="24"/>
        </w:rPr>
      </w:pPr>
    </w:p>
    <w:p w14:paraId="04C9B09B" w14:textId="77777777" w:rsidR="009B42B3" w:rsidRPr="000C698F" w:rsidRDefault="00CD6E41" w:rsidP="000C698F">
      <w:pPr>
        <w:pStyle w:val="Prrafodelista1"/>
        <w:numPr>
          <w:ilvl w:val="0"/>
          <w:numId w:val="2"/>
        </w:num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“Luna de miel”: es la fase de manipulación afectiva. Disminuye la tensión. El asesor puede pedir perdón y prometer ni volver a llevar a cabo acciones violentas. Reconoce su culpa y resurge la relación. Así la mujer al percibir los cambios, piensa que la situación puede cambiar realmente y que si consigue no “enfadarlo de nuevo” se solucionará el problema, atribuyéndose la responsabilidad de lo ocurrido.  Sin embargo, esta etapa dará paso a una nueva fase de tensión.</w:t>
      </w:r>
    </w:p>
    <w:p w14:paraId="4888EA86" w14:textId="77777777" w:rsidR="009B42B3" w:rsidRPr="000C698F" w:rsidRDefault="00CD6E41" w:rsidP="000C698F">
      <w:pPr>
        <w:spacing w:line="360" w:lineRule="auto"/>
        <w:jc w:val="both"/>
        <w:rPr>
          <w:rFonts w:ascii="Times New Roman" w:hAnsi="Times New Roman" w:cs="Times New Roman"/>
          <w:sz w:val="24"/>
          <w:szCs w:val="24"/>
        </w:rPr>
      </w:pPr>
      <w:r w:rsidRPr="000C698F">
        <w:rPr>
          <w:rFonts w:ascii="Times New Roman" w:hAnsi="Times New Roman" w:cs="Times New Roman"/>
          <w:sz w:val="24"/>
          <w:szCs w:val="24"/>
        </w:rPr>
        <w:t>La peligrosidad y frecuencia de dicho ciclo aumenta con las reincidencias, hasta que la tercera fase de arrepentimiento del agresor desaparece finalmente.</w:t>
      </w:r>
    </w:p>
    <w:p w14:paraId="4799E3B5" w14:textId="77777777" w:rsidR="00E85831" w:rsidRPr="000C698F" w:rsidRDefault="00E85831" w:rsidP="000C698F">
      <w:pPr>
        <w:spacing w:line="360" w:lineRule="auto"/>
        <w:jc w:val="both"/>
        <w:rPr>
          <w:rFonts w:ascii="Times New Roman" w:hAnsi="Times New Roman" w:cs="Times New Roman"/>
          <w:sz w:val="24"/>
          <w:szCs w:val="24"/>
        </w:rPr>
      </w:pPr>
    </w:p>
    <w:p w14:paraId="75C1661A" w14:textId="77777777" w:rsidR="009F1A7B" w:rsidRPr="000C698F" w:rsidRDefault="009F1A7B" w:rsidP="000C698F">
      <w:pPr>
        <w:spacing w:line="360" w:lineRule="auto"/>
        <w:jc w:val="both"/>
        <w:rPr>
          <w:rFonts w:ascii="Times New Roman" w:hAnsi="Times New Roman" w:cs="Times New Roman"/>
          <w:sz w:val="24"/>
          <w:szCs w:val="24"/>
        </w:rPr>
      </w:pPr>
    </w:p>
    <w:p w14:paraId="1776DB00" w14:textId="77777777" w:rsidR="009F1A7B" w:rsidRPr="000C698F" w:rsidRDefault="009F1A7B" w:rsidP="000C698F">
      <w:pPr>
        <w:spacing w:line="360" w:lineRule="auto"/>
        <w:jc w:val="both"/>
        <w:rPr>
          <w:rFonts w:ascii="Times New Roman" w:hAnsi="Times New Roman" w:cs="Times New Roman"/>
          <w:sz w:val="24"/>
          <w:szCs w:val="24"/>
        </w:rPr>
      </w:pPr>
    </w:p>
    <w:p w14:paraId="45BC43AD" w14:textId="77777777" w:rsidR="00E85831" w:rsidRPr="000C698F" w:rsidRDefault="006B630B" w:rsidP="000C698F">
      <w:pPr>
        <w:spacing w:line="360" w:lineRule="auto"/>
        <w:ind w:left="425"/>
        <w:jc w:val="center"/>
        <w:rPr>
          <w:rFonts w:ascii="Times New Roman" w:hAnsi="Times New Roman" w:cs="Times New Roman"/>
          <w:b/>
          <w:color w:val="E40059" w:themeColor="accent2"/>
          <w:sz w:val="28"/>
          <w:szCs w:val="28"/>
          <w14:reflection w14:blurRad="6350" w14:stA="60000" w14:stPos="0" w14:endA="900" w14:endPos="58000" w14:dist="0" w14:dir="5400000" w14:fadeDir="5400000" w14:sx="100000" w14:sy="-100000" w14:kx="0" w14:ky="0" w14:algn="bl"/>
        </w:rPr>
      </w:pPr>
      <w:r w:rsidRPr="000C698F">
        <w:rPr>
          <w:rFonts w:ascii="Times New Roman" w:hAnsi="Times New Roman" w:cs="Times New Roman"/>
          <w:b/>
          <w:color w:val="E40059" w:themeColor="accent2"/>
          <w:sz w:val="28"/>
          <w:szCs w:val="28"/>
          <w14:reflection w14:blurRad="6350" w14:stA="60000" w14:stPos="0" w14:endA="900" w14:endPos="58000" w14:dist="0" w14:dir="5400000" w14:fadeDir="5400000" w14:sx="100000" w14:sy="-100000" w14:kx="0" w14:ky="0" w14:algn="bl"/>
        </w:rPr>
        <w:t>3. Lesiones y Violencia de Género</w:t>
      </w:r>
    </w:p>
    <w:p w14:paraId="627D11EC" w14:textId="77777777" w:rsidR="00E85831" w:rsidRPr="000C698F" w:rsidRDefault="00E70D76" w:rsidP="000C698F">
      <w:p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 xml:space="preserve">En </w:t>
      </w:r>
      <w:r w:rsidR="00110CC4" w:rsidRPr="000C698F">
        <w:rPr>
          <w:rStyle w:val="nfasis"/>
          <w:rFonts w:ascii="Times New Roman" w:hAnsi="Times New Roman" w:cs="Times New Roman"/>
          <w:i w:val="0"/>
          <w:sz w:val="24"/>
          <w:szCs w:val="24"/>
        </w:rPr>
        <w:t xml:space="preserve">primer lugar, antes de adentrarnos en el ámbito de las lesiones y posteriormente diferenciar entre lo que se entiende por violencia de género y violencia doméstica, voy a analizar de forma </w:t>
      </w:r>
      <w:r w:rsidR="00B136F5" w:rsidRPr="000C698F">
        <w:rPr>
          <w:rStyle w:val="nfasis"/>
          <w:rFonts w:ascii="Times New Roman" w:hAnsi="Times New Roman" w:cs="Times New Roman"/>
          <w:i w:val="0"/>
          <w:sz w:val="24"/>
          <w:szCs w:val="24"/>
        </w:rPr>
        <w:t>genérica</w:t>
      </w:r>
      <w:r w:rsidR="00110CC4" w:rsidRPr="000C698F">
        <w:rPr>
          <w:rStyle w:val="nfasis"/>
          <w:rFonts w:ascii="Times New Roman" w:hAnsi="Times New Roman" w:cs="Times New Roman"/>
          <w:i w:val="0"/>
          <w:sz w:val="24"/>
          <w:szCs w:val="24"/>
        </w:rPr>
        <w:t xml:space="preserve"> el art.153 CP</w:t>
      </w:r>
      <w:r w:rsidR="00015ADC" w:rsidRPr="000C698F">
        <w:rPr>
          <w:rStyle w:val="nfasis"/>
          <w:rFonts w:ascii="Times New Roman" w:hAnsi="Times New Roman" w:cs="Times New Roman"/>
          <w:i w:val="0"/>
          <w:sz w:val="24"/>
          <w:szCs w:val="24"/>
        </w:rPr>
        <w:t xml:space="preserve"> (delito de lesiones leves)</w:t>
      </w:r>
      <w:r w:rsidR="00110CC4" w:rsidRPr="000C698F">
        <w:rPr>
          <w:rStyle w:val="nfasis"/>
          <w:rFonts w:ascii="Times New Roman" w:hAnsi="Times New Roman" w:cs="Times New Roman"/>
          <w:i w:val="0"/>
          <w:sz w:val="24"/>
          <w:szCs w:val="24"/>
        </w:rPr>
        <w:t>: en concreto determinar cuál es el bien jurídico protegido, precisamente una de las cuestiones más discutidas en el seno de la violencia de género.</w:t>
      </w:r>
      <w:r w:rsidR="00015ADC" w:rsidRPr="000C698F">
        <w:rPr>
          <w:rStyle w:val="Refdenotaalpie"/>
          <w:rFonts w:ascii="Times New Roman" w:hAnsi="Times New Roman" w:cs="Times New Roman"/>
          <w:iCs/>
          <w:color w:val="000000" w:themeColor="text1"/>
          <w:sz w:val="24"/>
          <w:szCs w:val="24"/>
        </w:rPr>
        <w:footnoteReference w:id="5"/>
      </w:r>
    </w:p>
    <w:p w14:paraId="73256EE9" w14:textId="77777777" w:rsidR="00B76674" w:rsidRPr="000C698F" w:rsidRDefault="00B76674" w:rsidP="000C698F">
      <w:pPr>
        <w:spacing w:line="360" w:lineRule="auto"/>
        <w:jc w:val="both"/>
        <w:rPr>
          <w:rStyle w:val="nfasis"/>
          <w:rFonts w:ascii="Times New Roman" w:hAnsi="Times New Roman" w:cs="Times New Roman"/>
          <w:i w:val="0"/>
          <w:sz w:val="24"/>
          <w:szCs w:val="24"/>
        </w:rPr>
      </w:pPr>
    </w:p>
    <w:p w14:paraId="7E1CDB39" w14:textId="77777777" w:rsidR="00110CC4" w:rsidRPr="000C698F" w:rsidRDefault="00110CC4" w:rsidP="000C698F">
      <w:pPr>
        <w:spacing w:line="360" w:lineRule="auto"/>
        <w:jc w:val="both"/>
        <w:rPr>
          <w:rFonts w:ascii="Times New Roman" w:hAnsi="Times New Roman" w:cs="Times New Roman"/>
          <w:iCs/>
          <w:color w:val="000000" w:themeColor="text1"/>
          <w:sz w:val="24"/>
          <w:szCs w:val="24"/>
        </w:rPr>
      </w:pPr>
      <w:r w:rsidRPr="000C698F">
        <w:rPr>
          <w:rStyle w:val="nfasis"/>
          <w:rFonts w:ascii="Times New Roman" w:hAnsi="Times New Roman" w:cs="Times New Roman"/>
          <w:i w:val="0"/>
          <w:sz w:val="24"/>
          <w:szCs w:val="24"/>
        </w:rPr>
        <w:t xml:space="preserve">El art.153 CP se encuentra regulado en el </w:t>
      </w:r>
      <w:r w:rsidR="00B136F5" w:rsidRPr="000C698F">
        <w:rPr>
          <w:rStyle w:val="nfasis"/>
          <w:rFonts w:ascii="Times New Roman" w:hAnsi="Times New Roman" w:cs="Times New Roman"/>
          <w:i w:val="0"/>
          <w:sz w:val="24"/>
          <w:szCs w:val="24"/>
        </w:rPr>
        <w:t>Título</w:t>
      </w:r>
      <w:r w:rsidRPr="000C698F">
        <w:rPr>
          <w:rStyle w:val="nfasis"/>
          <w:rFonts w:ascii="Times New Roman" w:hAnsi="Times New Roman" w:cs="Times New Roman"/>
          <w:i w:val="0"/>
          <w:sz w:val="24"/>
          <w:szCs w:val="24"/>
        </w:rPr>
        <w:t xml:space="preserve"> III del Libro II del </w:t>
      </w:r>
      <w:r w:rsidR="00B136F5" w:rsidRPr="000C698F">
        <w:rPr>
          <w:rStyle w:val="nfasis"/>
          <w:rFonts w:ascii="Times New Roman" w:hAnsi="Times New Roman" w:cs="Times New Roman"/>
          <w:i w:val="0"/>
          <w:sz w:val="24"/>
          <w:szCs w:val="24"/>
        </w:rPr>
        <w:t>Código</w:t>
      </w:r>
      <w:r w:rsidRPr="000C698F">
        <w:rPr>
          <w:rStyle w:val="nfasis"/>
          <w:rFonts w:ascii="Times New Roman" w:hAnsi="Times New Roman" w:cs="Times New Roman"/>
          <w:i w:val="0"/>
          <w:sz w:val="24"/>
          <w:szCs w:val="24"/>
        </w:rPr>
        <w:t xml:space="preserve"> Penal que lleva por rúbrica “De las lesiones”. Si atendemos a la ubicación </w:t>
      </w:r>
      <w:r w:rsidR="00B136F5" w:rsidRPr="000C698F">
        <w:rPr>
          <w:rStyle w:val="nfasis"/>
          <w:rFonts w:ascii="Times New Roman" w:hAnsi="Times New Roman" w:cs="Times New Roman"/>
          <w:i w:val="0"/>
          <w:sz w:val="24"/>
          <w:szCs w:val="24"/>
        </w:rPr>
        <w:t>sistemática</w:t>
      </w:r>
      <w:r w:rsidRPr="000C698F">
        <w:rPr>
          <w:rStyle w:val="nfasis"/>
          <w:rFonts w:ascii="Times New Roman" w:hAnsi="Times New Roman" w:cs="Times New Roman"/>
          <w:i w:val="0"/>
          <w:sz w:val="24"/>
          <w:szCs w:val="24"/>
        </w:rPr>
        <w:t xml:space="preserve"> podemos pensar que el bien jurídico protegido es la salud de la persona, ya sea física o psíquica.</w:t>
      </w:r>
      <w:r w:rsidR="00A576BD" w:rsidRPr="000C698F">
        <w:rPr>
          <w:rStyle w:val="nfasis"/>
          <w:rFonts w:ascii="Times New Roman" w:hAnsi="Times New Roman" w:cs="Times New Roman"/>
          <w:i w:val="0"/>
          <w:sz w:val="24"/>
          <w:szCs w:val="24"/>
        </w:rPr>
        <w:t xml:space="preserve"> Sin embargo, como afirma CASTELLÓ NICÁS “</w:t>
      </w:r>
      <w:r w:rsidR="00A576BD" w:rsidRPr="000C698F">
        <w:rPr>
          <w:rFonts w:ascii="Times New Roman" w:hAnsi="Times New Roman" w:cs="Times New Roman"/>
          <w:i/>
          <w:iCs/>
          <w:color w:val="000000" w:themeColor="text1"/>
          <w:sz w:val="24"/>
          <w:szCs w:val="24"/>
        </w:rPr>
        <w:t>las posiciones doctrinales sobre el bien jurídico protegido en el delito de malos tratos no convergen en una única dirección ni se pueden sistematizar claramente, por la complejidad y los intereses que confluyen, aunque muchas de ellas coinciden parcialmente y presentan un fondo común, a pesar de su apariencia externa diferenciada”.</w:t>
      </w:r>
      <w:r w:rsidR="00DB444F" w:rsidRPr="000C698F">
        <w:rPr>
          <w:rStyle w:val="Refdenotaalpie"/>
          <w:rFonts w:ascii="Times New Roman" w:hAnsi="Times New Roman" w:cs="Times New Roman"/>
          <w:i/>
          <w:iCs/>
          <w:color w:val="000000" w:themeColor="text1"/>
          <w:sz w:val="24"/>
          <w:szCs w:val="24"/>
        </w:rPr>
        <w:footnoteReference w:id="6"/>
      </w:r>
      <w:r w:rsidR="00A576BD" w:rsidRPr="000C698F">
        <w:rPr>
          <w:rFonts w:ascii="Times New Roman" w:hAnsi="Times New Roman" w:cs="Times New Roman"/>
          <w:i/>
          <w:iCs/>
          <w:color w:val="000000" w:themeColor="text1"/>
          <w:sz w:val="24"/>
          <w:szCs w:val="24"/>
        </w:rPr>
        <w:t xml:space="preserve"> </w:t>
      </w:r>
      <w:r w:rsidR="00A576BD" w:rsidRPr="000C698F">
        <w:rPr>
          <w:rFonts w:ascii="Times New Roman" w:hAnsi="Times New Roman" w:cs="Times New Roman"/>
          <w:iCs/>
          <w:color w:val="000000" w:themeColor="text1"/>
          <w:sz w:val="24"/>
          <w:szCs w:val="24"/>
        </w:rPr>
        <w:t>Por ello podemos hacer la siguiente clasificación en función de los diferentes posicionamientos doctrinales:</w:t>
      </w:r>
    </w:p>
    <w:p w14:paraId="34132034" w14:textId="77777777" w:rsidR="00A576BD" w:rsidRPr="000C698F" w:rsidRDefault="00A576BD" w:rsidP="000C698F">
      <w:pPr>
        <w:pStyle w:val="Prrafodelista"/>
        <w:numPr>
          <w:ilvl w:val="0"/>
          <w:numId w:val="15"/>
        </w:num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 xml:space="preserve">Autores que opinan que por su ubicación </w:t>
      </w:r>
      <w:r w:rsidR="00B136F5" w:rsidRPr="000C698F">
        <w:rPr>
          <w:rStyle w:val="nfasis"/>
          <w:rFonts w:ascii="Times New Roman" w:hAnsi="Times New Roman" w:cs="Times New Roman"/>
          <w:i w:val="0"/>
          <w:sz w:val="24"/>
          <w:szCs w:val="24"/>
        </w:rPr>
        <w:t>sistemática</w:t>
      </w:r>
      <w:r w:rsidRPr="000C698F">
        <w:rPr>
          <w:rStyle w:val="nfasis"/>
          <w:rFonts w:ascii="Times New Roman" w:hAnsi="Times New Roman" w:cs="Times New Roman"/>
          <w:i w:val="0"/>
          <w:sz w:val="24"/>
          <w:szCs w:val="24"/>
        </w:rPr>
        <w:t xml:space="preserve"> el tipo pretende tutelar la integridad física y psíquica.</w:t>
      </w:r>
    </w:p>
    <w:p w14:paraId="5CC74687" w14:textId="77777777" w:rsidR="00A576BD" w:rsidRPr="000C698F" w:rsidRDefault="00A576BD" w:rsidP="000C698F">
      <w:pPr>
        <w:pStyle w:val="Prrafodelista"/>
        <w:numPr>
          <w:ilvl w:val="0"/>
          <w:numId w:val="15"/>
        </w:num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Otros autores consideran que a pesar de esa ubicación en el Titulo de las lesiones el bien jurídico protegido se extiende a valores constitucionales de primer orden, como sería la paz familiar (respeto mutuo e igualdad).</w:t>
      </w:r>
    </w:p>
    <w:p w14:paraId="63E98880" w14:textId="77777777" w:rsidR="00A576BD" w:rsidRPr="000C698F" w:rsidRDefault="00A576BD" w:rsidP="000C698F">
      <w:pPr>
        <w:pStyle w:val="Prrafodelista"/>
        <w:numPr>
          <w:ilvl w:val="0"/>
          <w:numId w:val="15"/>
        </w:num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 xml:space="preserve">Otro grupo de autores opinan que se trata de un tipo </w:t>
      </w:r>
      <w:proofErr w:type="spellStart"/>
      <w:r w:rsidRPr="000C698F">
        <w:rPr>
          <w:rStyle w:val="nfasis"/>
          <w:rFonts w:ascii="Times New Roman" w:hAnsi="Times New Roman" w:cs="Times New Roman"/>
          <w:i w:val="0"/>
          <w:sz w:val="24"/>
          <w:szCs w:val="24"/>
        </w:rPr>
        <w:t>pluriofensivo</w:t>
      </w:r>
      <w:proofErr w:type="spellEnd"/>
      <w:r w:rsidRPr="000C698F">
        <w:rPr>
          <w:rStyle w:val="nfasis"/>
          <w:rFonts w:ascii="Times New Roman" w:hAnsi="Times New Roman" w:cs="Times New Roman"/>
          <w:i w:val="0"/>
          <w:sz w:val="24"/>
          <w:szCs w:val="24"/>
        </w:rPr>
        <w:t xml:space="preserve"> al proteger no solo la integridad física/ psíquica y la integridad moral, sino también la autonomía personal de la </w:t>
      </w:r>
      <w:r w:rsidRPr="000C698F">
        <w:rPr>
          <w:rStyle w:val="nfasis"/>
          <w:rFonts w:ascii="Times New Roman" w:hAnsi="Times New Roman" w:cs="Times New Roman"/>
          <w:i w:val="0"/>
          <w:sz w:val="24"/>
          <w:szCs w:val="24"/>
        </w:rPr>
        <w:lastRenderedPageBreak/>
        <w:t xml:space="preserve">mujer y el mayor desvalor de la acción vendría </w:t>
      </w:r>
      <w:r w:rsidR="00B136F5" w:rsidRPr="000C698F">
        <w:rPr>
          <w:rStyle w:val="nfasis"/>
          <w:rFonts w:ascii="Times New Roman" w:hAnsi="Times New Roman" w:cs="Times New Roman"/>
          <w:i w:val="0"/>
          <w:sz w:val="24"/>
          <w:szCs w:val="24"/>
        </w:rPr>
        <w:t>justificada</w:t>
      </w:r>
      <w:r w:rsidRPr="000C698F">
        <w:rPr>
          <w:rStyle w:val="nfasis"/>
          <w:rFonts w:ascii="Times New Roman" w:hAnsi="Times New Roman" w:cs="Times New Roman"/>
          <w:i w:val="0"/>
          <w:sz w:val="24"/>
          <w:szCs w:val="24"/>
        </w:rPr>
        <w:t xml:space="preserve"> por la especial relación entre el sujeto activo y pasivo del tipo.</w:t>
      </w:r>
    </w:p>
    <w:p w14:paraId="11268014" w14:textId="77777777" w:rsidR="00A576BD" w:rsidRPr="000C698F" w:rsidRDefault="00A576BD" w:rsidP="000C698F">
      <w:p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En cuanto a esta cuestión el Tribunal Supremo también se ha mantenido vacilante</w:t>
      </w:r>
      <w:r w:rsidR="00FC2CEF" w:rsidRPr="000C698F">
        <w:rPr>
          <w:rStyle w:val="nfasis"/>
          <w:rFonts w:ascii="Times New Roman" w:hAnsi="Times New Roman" w:cs="Times New Roman"/>
          <w:i w:val="0"/>
          <w:sz w:val="24"/>
          <w:szCs w:val="24"/>
        </w:rPr>
        <w:t xml:space="preserve">, ya que en algunas sentencias ha considerado el art.153 como delito </w:t>
      </w:r>
      <w:proofErr w:type="spellStart"/>
      <w:r w:rsidR="00FC2CEF" w:rsidRPr="000C698F">
        <w:rPr>
          <w:rStyle w:val="nfasis"/>
          <w:rFonts w:ascii="Times New Roman" w:hAnsi="Times New Roman" w:cs="Times New Roman"/>
          <w:i w:val="0"/>
          <w:sz w:val="24"/>
          <w:szCs w:val="24"/>
        </w:rPr>
        <w:t>pluriofensivo</w:t>
      </w:r>
      <w:proofErr w:type="spellEnd"/>
      <w:r w:rsidR="00FC2CEF" w:rsidRPr="000C698F">
        <w:rPr>
          <w:rStyle w:val="nfasis"/>
          <w:rFonts w:ascii="Times New Roman" w:hAnsi="Times New Roman" w:cs="Times New Roman"/>
          <w:i w:val="0"/>
          <w:sz w:val="24"/>
          <w:szCs w:val="24"/>
        </w:rPr>
        <w:t xml:space="preserve"> cuando afirma que las diferentes modificaciones legislativas de este precepto tiene como fundamento el reconocerlo como manifestación propia del concepto violencia de género, ya que a través de los actos típicos de este artículo se atenta contra la igualdad, la libertad y la dignidad de las mujeres en las relaciones de pareja ya que “</w:t>
      </w:r>
      <w:r w:rsidR="00FC2CEF" w:rsidRPr="000C698F">
        <w:rPr>
          <w:rStyle w:val="nfasis"/>
          <w:rFonts w:ascii="Times New Roman" w:hAnsi="Times New Roman" w:cs="Times New Roman"/>
          <w:sz w:val="24"/>
          <w:szCs w:val="24"/>
        </w:rPr>
        <w:t>el agresor inserta su conducta en una pauta cultural generadora de gravísimos daños a sus víctimas y dota así a su acción de una violencia mucho mayor que la que su acto objetivamente expresa, produciendo un efecto negativo añadido a los propios usos de la violencia en otro contexto”</w:t>
      </w:r>
      <w:r w:rsidR="00FC2CEF" w:rsidRPr="000C698F">
        <w:rPr>
          <w:rStyle w:val="nfasis"/>
          <w:rFonts w:ascii="Times New Roman" w:hAnsi="Times New Roman" w:cs="Times New Roman"/>
          <w:i w:val="0"/>
          <w:sz w:val="24"/>
          <w:szCs w:val="24"/>
        </w:rPr>
        <w:t>.</w:t>
      </w:r>
    </w:p>
    <w:p w14:paraId="0D0C301F" w14:textId="77777777" w:rsidR="00FC2CEF" w:rsidRPr="000C698F" w:rsidRDefault="00FC2CEF" w:rsidP="000C698F">
      <w:p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Sin embargo, en posteriores ocasiones considera que la salud física / psíquica y la integridad son los bienes jurídicos propios protegidos en los delitos de lesiones y que el 153 intensifica la protección de la salud o integridad dentro del ámbito familiar por lo que sería posible la concurrencia de ambos delitos al ser un delito autónomo con sustantividad propia.</w:t>
      </w:r>
    </w:p>
    <w:p w14:paraId="279ED939" w14:textId="77777777" w:rsidR="001D4A4C" w:rsidRPr="000C698F" w:rsidRDefault="00B136F5" w:rsidP="000C698F">
      <w:pPr>
        <w:spacing w:line="360" w:lineRule="auto"/>
        <w:jc w:val="both"/>
        <w:rPr>
          <w:rStyle w:val="nfasis"/>
          <w:rFonts w:ascii="Times New Roman" w:hAnsi="Times New Roman" w:cs="Times New Roman"/>
          <w:i w:val="0"/>
          <w:sz w:val="24"/>
          <w:szCs w:val="24"/>
        </w:rPr>
      </w:pPr>
      <w:r w:rsidRPr="000C698F">
        <w:rPr>
          <w:rStyle w:val="nfasis"/>
          <w:rFonts w:ascii="Times New Roman" w:hAnsi="Times New Roman" w:cs="Times New Roman"/>
          <w:i w:val="0"/>
          <w:sz w:val="24"/>
          <w:szCs w:val="24"/>
        </w:rPr>
        <w:t xml:space="preserve">En definitiva es una cuestión muy discutida y compleja como he anunciado al principio del epígrafe pero en mi opinión resulta más acertado considerar este articulo como un delito </w:t>
      </w:r>
      <w:proofErr w:type="spellStart"/>
      <w:r w:rsidRPr="000C698F">
        <w:rPr>
          <w:rStyle w:val="nfasis"/>
          <w:rFonts w:ascii="Times New Roman" w:hAnsi="Times New Roman" w:cs="Times New Roman"/>
          <w:i w:val="0"/>
          <w:sz w:val="24"/>
          <w:szCs w:val="24"/>
        </w:rPr>
        <w:t>pluriofensivo</w:t>
      </w:r>
      <w:proofErr w:type="spellEnd"/>
      <w:r w:rsidRPr="000C698F">
        <w:rPr>
          <w:rStyle w:val="nfasis"/>
          <w:rFonts w:ascii="Times New Roman" w:hAnsi="Times New Roman" w:cs="Times New Roman"/>
          <w:i w:val="0"/>
          <w:sz w:val="24"/>
          <w:szCs w:val="24"/>
        </w:rPr>
        <w:t xml:space="preserve"> al atender en que no solo se produce un ataque contra la salud física y psíquica (contemplado ya en el resto de delitos de lesiones) sino que además supone un atentado contra la igualdad entre hombres y mujeres, contra la libertad, dignidad y seguridad de las mismas en el ámbito de pareja, de ahí a que merezca un plus de antijuricidad. Por ello, ese plus al considerarlo como una manifestación de dominación por parte del hombre sobre su pareja o ex pareja impide que este precepto podamos aplicarlo de forma automática a cualquier tipo de maltrato o lesión, ya que no todo tipo de lesiones tienen precisamente este plus como fundamento o motivación para ejercitar la acción. No obstante, en posteriores epígrafes analizaremos esta cuestión en profundidad.</w:t>
      </w:r>
    </w:p>
    <w:p w14:paraId="14002FE2" w14:textId="77777777" w:rsidR="00460678" w:rsidRPr="000C698F" w:rsidRDefault="00460678" w:rsidP="000C698F">
      <w:pPr>
        <w:spacing w:line="360" w:lineRule="auto"/>
        <w:jc w:val="both"/>
        <w:rPr>
          <w:rStyle w:val="nfasis"/>
          <w:rFonts w:ascii="Times New Roman" w:hAnsi="Times New Roman" w:cs="Times New Roman"/>
          <w:i w:val="0"/>
          <w:sz w:val="24"/>
          <w:szCs w:val="24"/>
        </w:rPr>
      </w:pPr>
    </w:p>
    <w:p w14:paraId="6639B236" w14:textId="77777777" w:rsidR="004863B0" w:rsidRPr="000C698F" w:rsidRDefault="004863B0" w:rsidP="000C698F">
      <w:pPr>
        <w:pStyle w:val="Prrafodelista"/>
        <w:spacing w:line="360" w:lineRule="auto"/>
        <w:jc w:val="both"/>
        <w:rPr>
          <w:rStyle w:val="nfasis"/>
          <w:rFonts w:ascii="Times New Roman" w:hAnsi="Times New Roman" w:cs="Times New Roman"/>
          <w:b/>
          <w:i w:val="0"/>
          <w:color w:val="E40059" w:themeColor="accent2"/>
          <w:sz w:val="24"/>
          <w:szCs w:val="24"/>
          <w:u w:val="single"/>
        </w:rPr>
      </w:pPr>
      <w:r w:rsidRPr="000C698F">
        <w:rPr>
          <w:rStyle w:val="nfasis"/>
          <w:rFonts w:ascii="Times New Roman" w:hAnsi="Times New Roman" w:cs="Times New Roman"/>
          <w:b/>
          <w:i w:val="0"/>
          <w:color w:val="E40059" w:themeColor="accent2"/>
          <w:sz w:val="24"/>
          <w:szCs w:val="24"/>
          <w:u w:val="single"/>
        </w:rPr>
        <w:t>Ámbito de las lesiones</w:t>
      </w:r>
    </w:p>
    <w:p w14:paraId="4E76BBE6" w14:textId="77777777" w:rsidR="00B76674" w:rsidRPr="000C698F" w:rsidRDefault="004F162C" w:rsidP="000C698F">
      <w:pPr>
        <w:spacing w:line="360" w:lineRule="auto"/>
        <w:jc w:val="both"/>
        <w:rPr>
          <w:rStyle w:val="nfasis"/>
          <w:rFonts w:ascii="Times New Roman" w:hAnsi="Times New Roman" w:cs="Times New Roman"/>
          <w:i w:val="0"/>
          <w:color w:val="auto"/>
          <w:sz w:val="24"/>
          <w:szCs w:val="24"/>
        </w:rPr>
      </w:pPr>
      <w:r w:rsidRPr="000C698F">
        <w:rPr>
          <w:rStyle w:val="nfasis"/>
          <w:rFonts w:ascii="Times New Roman" w:hAnsi="Times New Roman" w:cs="Times New Roman"/>
          <w:i w:val="0"/>
          <w:color w:val="auto"/>
          <w:sz w:val="24"/>
          <w:szCs w:val="24"/>
        </w:rPr>
        <w:t>El bien jurídico protegido es la salud en sentido amplio, es decir la salud entendida como la ausencia de cualquier alteración del cuerpo, ya sea porque afecte a la integridad (perdida de un miembro) o se trate de una enfermedad. Se trata de delitos de resultado material por lo que para su consumación se requiere la producción de la lesión con las características específicas de cada figura. Los delitos de lesiones los podemos clasificar de la siguiente manera:</w:t>
      </w:r>
      <w:r w:rsidR="002F5FF2" w:rsidRPr="000C698F">
        <w:rPr>
          <w:rStyle w:val="Refdenotaalpie"/>
          <w:rFonts w:ascii="Times New Roman" w:hAnsi="Times New Roman" w:cs="Times New Roman"/>
          <w:iCs/>
          <w:sz w:val="24"/>
          <w:szCs w:val="24"/>
        </w:rPr>
        <w:footnoteReference w:id="7"/>
      </w:r>
    </w:p>
    <w:p w14:paraId="3C13512E" w14:textId="3FB49E31" w:rsidR="004F162C" w:rsidRDefault="004F162C" w:rsidP="000C698F">
      <w:pPr>
        <w:pStyle w:val="Prrafodelista"/>
        <w:numPr>
          <w:ilvl w:val="0"/>
          <w:numId w:val="17"/>
        </w:numPr>
        <w:spacing w:line="360" w:lineRule="auto"/>
        <w:jc w:val="both"/>
        <w:rPr>
          <w:rStyle w:val="nfasis"/>
          <w:rFonts w:ascii="Times New Roman" w:hAnsi="Times New Roman" w:cs="Times New Roman"/>
          <w:i w:val="0"/>
          <w:color w:val="auto"/>
          <w:sz w:val="24"/>
          <w:szCs w:val="24"/>
        </w:rPr>
      </w:pPr>
      <w:r w:rsidRPr="000C698F">
        <w:rPr>
          <w:rStyle w:val="nfasis"/>
          <w:rFonts w:ascii="Times New Roman" w:hAnsi="Times New Roman" w:cs="Times New Roman"/>
          <w:b/>
          <w:i w:val="0"/>
          <w:color w:val="auto"/>
          <w:sz w:val="24"/>
          <w:szCs w:val="24"/>
        </w:rPr>
        <w:t>Art.147.1 (tipo básico)</w:t>
      </w:r>
      <w:r w:rsidRPr="000C698F">
        <w:rPr>
          <w:rStyle w:val="nfasis"/>
          <w:rFonts w:ascii="Times New Roman" w:hAnsi="Times New Roman" w:cs="Times New Roman"/>
          <w:i w:val="0"/>
          <w:color w:val="auto"/>
          <w:sz w:val="24"/>
          <w:szCs w:val="24"/>
        </w:rPr>
        <w:t xml:space="preserve">: </w:t>
      </w:r>
      <w:r w:rsidR="008D398D" w:rsidRPr="000C698F">
        <w:rPr>
          <w:rStyle w:val="nfasis"/>
          <w:rFonts w:ascii="Times New Roman" w:hAnsi="Times New Roman" w:cs="Times New Roman"/>
          <w:i w:val="0"/>
          <w:color w:val="auto"/>
          <w:sz w:val="24"/>
          <w:szCs w:val="24"/>
        </w:rPr>
        <w:t>en este primer apartado se ofrece un concepto general de lesión y este criterio sirve para diferenciar lo que son las lesiones propiamente dichas de los golpes o maltratos de obra, de ahí a que el tipo requiera para su sanidad no solo una primera asistencia facultativa sino también tratamiento médico quirúrgico.</w:t>
      </w:r>
    </w:p>
    <w:p w14:paraId="0F258FB3" w14:textId="77777777" w:rsidR="00AA7E30" w:rsidRDefault="00AA7E30" w:rsidP="00AA7E30">
      <w:pPr>
        <w:pStyle w:val="Prrafodelista"/>
        <w:spacing w:line="360" w:lineRule="auto"/>
        <w:jc w:val="both"/>
        <w:rPr>
          <w:rStyle w:val="nfasis"/>
          <w:rFonts w:ascii="Times New Roman" w:hAnsi="Times New Roman" w:cs="Times New Roman"/>
          <w:i w:val="0"/>
          <w:color w:val="auto"/>
          <w:sz w:val="24"/>
          <w:szCs w:val="24"/>
        </w:rPr>
      </w:pPr>
    </w:p>
    <w:p w14:paraId="32E6E730" w14:textId="323092BB" w:rsidR="00AA7E30" w:rsidRPr="00AA7E30" w:rsidRDefault="00AA7E30" w:rsidP="00AA7E30">
      <w:pPr>
        <w:pStyle w:val="Prrafodelista"/>
        <w:spacing w:line="360" w:lineRule="auto"/>
        <w:jc w:val="both"/>
        <w:rPr>
          <w:rStyle w:val="nfasis"/>
          <w:rFonts w:ascii="Times New Roman" w:hAnsi="Times New Roman" w:cs="Times New Roman"/>
          <w:i w:val="0"/>
          <w:color w:val="auto"/>
          <w:sz w:val="24"/>
          <w:szCs w:val="24"/>
        </w:rPr>
      </w:pPr>
      <w:r>
        <w:rPr>
          <w:rStyle w:val="nfasis"/>
          <w:rFonts w:ascii="Times New Roman" w:hAnsi="Times New Roman" w:cs="Times New Roman"/>
          <w:i w:val="0"/>
          <w:color w:val="auto"/>
          <w:sz w:val="24"/>
          <w:szCs w:val="24"/>
        </w:rPr>
        <w:t>Art.147.2:</w:t>
      </w:r>
      <w:r w:rsidR="005C759F">
        <w:rPr>
          <w:rStyle w:val="nfasis"/>
          <w:rFonts w:ascii="Times New Roman" w:hAnsi="Times New Roman" w:cs="Times New Roman"/>
          <w:i w:val="0"/>
          <w:color w:val="auto"/>
          <w:sz w:val="24"/>
          <w:szCs w:val="24"/>
        </w:rPr>
        <w:t xml:space="preserve"> se trata de un delito leve de lesiones (antes de la reforma constitutivo de falta), ya que las lesiones que se producen </w:t>
      </w:r>
      <w:r w:rsidR="00A2675C">
        <w:rPr>
          <w:rStyle w:val="nfasis"/>
          <w:rFonts w:ascii="Times New Roman" w:hAnsi="Times New Roman" w:cs="Times New Roman"/>
          <w:i w:val="0"/>
          <w:color w:val="auto"/>
          <w:sz w:val="24"/>
          <w:szCs w:val="24"/>
        </w:rPr>
        <w:t>no tienen la suficiente entidad y por tanto no son las que recoge el tipo bá</w:t>
      </w:r>
      <w:r w:rsidR="006C265D">
        <w:rPr>
          <w:rStyle w:val="nfasis"/>
          <w:rFonts w:ascii="Times New Roman" w:hAnsi="Times New Roman" w:cs="Times New Roman"/>
          <w:i w:val="0"/>
          <w:color w:val="auto"/>
          <w:sz w:val="24"/>
          <w:szCs w:val="24"/>
        </w:rPr>
        <w:t>sico, por lo que lleva aparejada una pena leve (multa de 1-3 meses) de las que se recogen en el art.33.4 CP.</w:t>
      </w:r>
      <w:bookmarkStart w:id="3" w:name="_GoBack"/>
      <w:bookmarkEnd w:id="3"/>
    </w:p>
    <w:p w14:paraId="4C1E1765" w14:textId="77777777" w:rsidR="008D398D" w:rsidRPr="000C698F" w:rsidRDefault="008D398D" w:rsidP="000C698F">
      <w:pPr>
        <w:spacing w:line="360" w:lineRule="auto"/>
        <w:ind w:left="720"/>
        <w:jc w:val="both"/>
        <w:rPr>
          <w:rStyle w:val="nfasis"/>
          <w:rFonts w:ascii="Times New Roman" w:hAnsi="Times New Roman" w:cs="Times New Roman"/>
          <w:i w:val="0"/>
          <w:color w:val="auto"/>
          <w:sz w:val="24"/>
          <w:szCs w:val="24"/>
        </w:rPr>
      </w:pPr>
      <w:r w:rsidRPr="000C698F">
        <w:rPr>
          <w:rStyle w:val="nfasis"/>
          <w:rFonts w:ascii="Times New Roman" w:hAnsi="Times New Roman" w:cs="Times New Roman"/>
          <w:i w:val="0"/>
          <w:color w:val="auto"/>
          <w:sz w:val="24"/>
          <w:szCs w:val="24"/>
        </w:rPr>
        <w:t>147.3: contempla el maltrato de obra (</w:t>
      </w:r>
      <w:r w:rsidR="001D0815" w:rsidRPr="000C698F">
        <w:rPr>
          <w:rStyle w:val="nfasis"/>
          <w:rFonts w:ascii="Times New Roman" w:hAnsi="Times New Roman" w:cs="Times New Roman"/>
          <w:i w:val="0"/>
          <w:color w:val="auto"/>
          <w:sz w:val="24"/>
          <w:szCs w:val="24"/>
        </w:rPr>
        <w:t>antes considerada falta</w:t>
      </w:r>
      <w:r w:rsidRPr="000C698F">
        <w:rPr>
          <w:rStyle w:val="nfasis"/>
          <w:rFonts w:ascii="Times New Roman" w:hAnsi="Times New Roman" w:cs="Times New Roman"/>
          <w:i w:val="0"/>
          <w:color w:val="auto"/>
          <w:sz w:val="24"/>
          <w:szCs w:val="24"/>
        </w:rPr>
        <w:t xml:space="preserve">), es decir aquel maltrato que físico que no produce lesión y por tanto no es subsumible en el </w:t>
      </w:r>
      <w:commentRangeStart w:id="4"/>
      <w:r w:rsidRPr="000C698F">
        <w:rPr>
          <w:rStyle w:val="nfasis"/>
          <w:rFonts w:ascii="Times New Roman" w:hAnsi="Times New Roman" w:cs="Times New Roman"/>
          <w:i w:val="0"/>
          <w:color w:val="auto"/>
          <w:sz w:val="24"/>
          <w:szCs w:val="24"/>
        </w:rPr>
        <w:t>apartado</w:t>
      </w:r>
      <w:commentRangeEnd w:id="4"/>
      <w:r w:rsidR="004A7E16">
        <w:rPr>
          <w:rStyle w:val="Refdecomentario"/>
        </w:rPr>
        <w:commentReference w:id="4"/>
      </w:r>
      <w:r w:rsidRPr="000C698F">
        <w:rPr>
          <w:rStyle w:val="nfasis"/>
          <w:rFonts w:ascii="Times New Roman" w:hAnsi="Times New Roman" w:cs="Times New Roman"/>
          <w:i w:val="0"/>
          <w:color w:val="auto"/>
          <w:sz w:val="24"/>
          <w:szCs w:val="24"/>
        </w:rPr>
        <w:t xml:space="preserve"> 1.</w:t>
      </w:r>
    </w:p>
    <w:p w14:paraId="397454AF" w14:textId="77777777" w:rsidR="008D398D" w:rsidRPr="000C698F" w:rsidRDefault="008D398D" w:rsidP="000C698F">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Art.148: </w:t>
      </w:r>
      <w:r w:rsidRPr="000C698F">
        <w:rPr>
          <w:rStyle w:val="nfasis"/>
          <w:rFonts w:ascii="Times New Roman" w:hAnsi="Times New Roman" w:cs="Times New Roman"/>
          <w:i w:val="0"/>
          <w:color w:val="auto"/>
          <w:sz w:val="24"/>
          <w:szCs w:val="24"/>
        </w:rPr>
        <w:t xml:space="preserve">se trata de un tipo </w:t>
      </w:r>
      <w:r w:rsidR="00CB597A" w:rsidRPr="000C698F">
        <w:rPr>
          <w:rStyle w:val="nfasis"/>
          <w:rFonts w:ascii="Times New Roman" w:hAnsi="Times New Roman" w:cs="Times New Roman"/>
          <w:i w:val="0"/>
          <w:color w:val="auto"/>
          <w:sz w:val="24"/>
          <w:szCs w:val="24"/>
        </w:rPr>
        <w:t>cualificado</w:t>
      </w:r>
      <w:r w:rsidRPr="000C698F">
        <w:rPr>
          <w:rStyle w:val="nfasis"/>
          <w:rFonts w:ascii="Times New Roman" w:hAnsi="Times New Roman" w:cs="Times New Roman"/>
          <w:i w:val="0"/>
          <w:color w:val="auto"/>
          <w:sz w:val="24"/>
          <w:szCs w:val="24"/>
        </w:rPr>
        <w:t xml:space="preserve"> respecto al anterior, </w:t>
      </w:r>
      <w:r w:rsidR="00CB597A" w:rsidRPr="000C698F">
        <w:rPr>
          <w:rStyle w:val="nfasis"/>
          <w:rFonts w:ascii="Times New Roman" w:hAnsi="Times New Roman" w:cs="Times New Roman"/>
          <w:i w:val="0"/>
          <w:color w:val="auto"/>
          <w:sz w:val="24"/>
          <w:szCs w:val="24"/>
        </w:rPr>
        <w:t xml:space="preserve">ya que agrava la pena </w:t>
      </w:r>
      <w:r w:rsidRPr="000C698F">
        <w:rPr>
          <w:rStyle w:val="nfasis"/>
          <w:rFonts w:ascii="Times New Roman" w:hAnsi="Times New Roman" w:cs="Times New Roman"/>
          <w:i w:val="0"/>
          <w:color w:val="auto"/>
          <w:sz w:val="24"/>
          <w:szCs w:val="24"/>
        </w:rPr>
        <w:t>al tener en cuenta</w:t>
      </w:r>
      <w:r w:rsidR="00CB597A" w:rsidRPr="000C698F">
        <w:rPr>
          <w:rStyle w:val="nfasis"/>
          <w:rFonts w:ascii="Times New Roman" w:hAnsi="Times New Roman" w:cs="Times New Roman"/>
          <w:i w:val="0"/>
          <w:color w:val="auto"/>
          <w:sz w:val="24"/>
          <w:szCs w:val="24"/>
        </w:rPr>
        <w:t xml:space="preserve"> cualidades especificas concurrentes en el sujeto pasivo (ser menor de 12 años, haber sido esposa o estar ligada al autor por relación análoga) o en atención</w:t>
      </w:r>
      <w:r w:rsidRPr="000C698F">
        <w:rPr>
          <w:rStyle w:val="nfasis"/>
          <w:rFonts w:ascii="Times New Roman" w:hAnsi="Times New Roman" w:cs="Times New Roman"/>
          <w:i w:val="0"/>
          <w:color w:val="auto"/>
          <w:sz w:val="24"/>
          <w:szCs w:val="24"/>
        </w:rPr>
        <w:t xml:space="preserve"> </w:t>
      </w:r>
      <w:r w:rsidR="00CB597A" w:rsidRPr="000C698F">
        <w:rPr>
          <w:rStyle w:val="nfasis"/>
          <w:rFonts w:ascii="Times New Roman" w:hAnsi="Times New Roman" w:cs="Times New Roman"/>
          <w:i w:val="0"/>
          <w:color w:val="auto"/>
          <w:sz w:val="24"/>
          <w:szCs w:val="24"/>
        </w:rPr>
        <w:t>a</w:t>
      </w:r>
      <w:r w:rsidRPr="000C698F">
        <w:rPr>
          <w:rStyle w:val="nfasis"/>
          <w:rFonts w:ascii="Times New Roman" w:hAnsi="Times New Roman" w:cs="Times New Roman"/>
          <w:i w:val="0"/>
          <w:color w:val="auto"/>
          <w:sz w:val="24"/>
          <w:szCs w:val="24"/>
        </w:rPr>
        <w:t>l medio empleado para la comisión del del</w:t>
      </w:r>
      <w:r w:rsidR="00CB597A" w:rsidRPr="000C698F">
        <w:rPr>
          <w:rStyle w:val="nfasis"/>
          <w:rFonts w:ascii="Times New Roman" w:hAnsi="Times New Roman" w:cs="Times New Roman"/>
          <w:i w:val="0"/>
          <w:color w:val="auto"/>
          <w:sz w:val="24"/>
          <w:szCs w:val="24"/>
        </w:rPr>
        <w:t>ito (por su especial peligrosidad).</w:t>
      </w:r>
      <w:r w:rsidR="001D0815" w:rsidRPr="000C698F">
        <w:rPr>
          <w:rStyle w:val="nfasis"/>
          <w:rFonts w:ascii="Times New Roman" w:hAnsi="Times New Roman" w:cs="Times New Roman"/>
          <w:i w:val="0"/>
          <w:color w:val="auto"/>
          <w:sz w:val="24"/>
          <w:szCs w:val="24"/>
        </w:rPr>
        <w:t xml:space="preserve"> </w:t>
      </w:r>
    </w:p>
    <w:p w14:paraId="6ED0F6CF" w14:textId="4664B060" w:rsidR="00B76674" w:rsidRPr="004A7E16" w:rsidRDefault="001D0815" w:rsidP="004A7E16">
      <w:pPr>
        <w:pStyle w:val="Prrafodelista"/>
        <w:spacing w:line="360" w:lineRule="auto"/>
        <w:jc w:val="both"/>
        <w:rPr>
          <w:rStyle w:val="nfasis"/>
          <w:rFonts w:ascii="Times New Roman" w:hAnsi="Times New Roman" w:cs="Times New Roman"/>
          <w:i w:val="0"/>
          <w:color w:val="auto"/>
          <w:sz w:val="24"/>
          <w:szCs w:val="24"/>
        </w:rPr>
      </w:pPr>
      <w:r w:rsidRPr="000C698F">
        <w:rPr>
          <w:rStyle w:val="nfasis"/>
          <w:rFonts w:ascii="Times New Roman" w:hAnsi="Times New Roman" w:cs="Times New Roman"/>
          <w:i w:val="0"/>
          <w:color w:val="auto"/>
          <w:sz w:val="24"/>
          <w:szCs w:val="24"/>
        </w:rPr>
        <w:t xml:space="preserve">Aunque este artículo no tipifica una violencia leve, es la menos grave entre las violencias tipificadas como delitos de lesiones. Como vamos a ver a continuación, los artículos 149 y </w:t>
      </w:r>
      <w:r w:rsidRPr="000C698F">
        <w:rPr>
          <w:rStyle w:val="nfasis"/>
          <w:rFonts w:ascii="Times New Roman" w:hAnsi="Times New Roman" w:cs="Times New Roman"/>
          <w:i w:val="0"/>
          <w:color w:val="auto"/>
          <w:sz w:val="24"/>
          <w:szCs w:val="24"/>
        </w:rPr>
        <w:lastRenderedPageBreak/>
        <w:t>150 son tipos agravados del tipo descrito en el art.147 precisamente por razón de la entidad de la lesión.</w:t>
      </w:r>
      <w:r w:rsidRPr="000C698F">
        <w:rPr>
          <w:rStyle w:val="Refdenotaalpie"/>
          <w:rFonts w:ascii="Times New Roman" w:hAnsi="Times New Roman" w:cs="Times New Roman"/>
          <w:iCs/>
          <w:sz w:val="24"/>
          <w:szCs w:val="24"/>
        </w:rPr>
        <w:footnoteReference w:id="8"/>
      </w:r>
    </w:p>
    <w:p w14:paraId="50A784DB" w14:textId="4427D009" w:rsidR="00B76674" w:rsidRPr="004A7E16" w:rsidRDefault="00CB597A" w:rsidP="000C698F">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Art.149: se trata de un tipo agravado en el ámbito de las lesiones, </w:t>
      </w:r>
      <w:r w:rsidRPr="000C698F">
        <w:rPr>
          <w:rStyle w:val="nfasis"/>
          <w:rFonts w:ascii="Times New Roman" w:hAnsi="Times New Roman" w:cs="Times New Roman"/>
          <w:i w:val="0"/>
          <w:color w:val="auto"/>
          <w:sz w:val="24"/>
          <w:szCs w:val="24"/>
        </w:rPr>
        <w:t>ya que contempla las lesiones más graves, como la pérdida de un órgano o miembro principal.</w:t>
      </w:r>
    </w:p>
    <w:p w14:paraId="65C348E3" w14:textId="3924D05A" w:rsidR="00B76674" w:rsidRPr="004A7E16" w:rsidRDefault="009412BD" w:rsidP="004A7E16">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Art.150: también se trata de un tipo agravado </w:t>
      </w:r>
      <w:r w:rsidRPr="000C698F">
        <w:rPr>
          <w:rStyle w:val="nfasis"/>
          <w:rFonts w:ascii="Times New Roman" w:hAnsi="Times New Roman" w:cs="Times New Roman"/>
          <w:i w:val="0"/>
          <w:color w:val="auto"/>
          <w:sz w:val="24"/>
          <w:szCs w:val="24"/>
        </w:rPr>
        <w:t>por la pérdida de un órgano o miembro, aunque a diferencia del 149 no debe tratarse de un órgano o miembro principal. No obstante, la pena sigue siendo elevada (3-6 años prisión) en referencia al tipo básico.</w:t>
      </w:r>
    </w:p>
    <w:p w14:paraId="0FD02361" w14:textId="77777777" w:rsidR="00B76674" w:rsidRPr="000C698F" w:rsidRDefault="009412BD" w:rsidP="000C698F">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Art.152: </w:t>
      </w:r>
      <w:r w:rsidRPr="000C698F">
        <w:rPr>
          <w:rStyle w:val="nfasis"/>
          <w:rFonts w:ascii="Times New Roman" w:hAnsi="Times New Roman" w:cs="Times New Roman"/>
          <w:i w:val="0"/>
          <w:color w:val="auto"/>
          <w:sz w:val="24"/>
          <w:szCs w:val="24"/>
        </w:rPr>
        <w:t>contempla las lesiones producidas por imprudencia grave o menos grave.</w:t>
      </w:r>
    </w:p>
    <w:p w14:paraId="3EE9FDD4" w14:textId="77777777" w:rsidR="003F1CF3" w:rsidRPr="000C698F" w:rsidRDefault="009412BD" w:rsidP="000C698F">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Art.153: </w:t>
      </w:r>
      <w:r w:rsidRPr="000C698F">
        <w:rPr>
          <w:rStyle w:val="nfasis"/>
          <w:rFonts w:ascii="Times New Roman" w:hAnsi="Times New Roman" w:cs="Times New Roman"/>
          <w:i w:val="0"/>
          <w:color w:val="auto"/>
          <w:sz w:val="24"/>
          <w:szCs w:val="24"/>
        </w:rPr>
        <w:t xml:space="preserve">se trata del articulo al que ya he hecho referencia en primer lugar, al inicio del epígrafe, relativo al menoscabo físico o psíquico no subsumible en el art.147 y cuyo sujeto pasivo es la esposa o mujer ligada al agresor por análoga relación. El </w:t>
      </w:r>
      <w:r w:rsidRPr="000C698F">
        <w:rPr>
          <w:rStyle w:val="nfasis"/>
          <w:rFonts w:ascii="Times New Roman" w:hAnsi="Times New Roman" w:cs="Times New Roman"/>
          <w:b/>
          <w:i w:val="0"/>
          <w:color w:val="auto"/>
          <w:sz w:val="24"/>
          <w:szCs w:val="24"/>
        </w:rPr>
        <w:t xml:space="preserve">153.2 </w:t>
      </w:r>
      <w:r w:rsidR="00C16C67" w:rsidRPr="000C698F">
        <w:rPr>
          <w:rStyle w:val="nfasis"/>
          <w:rFonts w:ascii="Times New Roman" w:hAnsi="Times New Roman" w:cs="Times New Roman"/>
          <w:i w:val="0"/>
          <w:color w:val="auto"/>
          <w:sz w:val="24"/>
          <w:szCs w:val="24"/>
        </w:rPr>
        <w:t>realiza una remisión al art.173 CP relativo a los sujetos pasivos y es lo que se conoce como violencia doméstica, figura distinta a la violencia de género, no solo ya por los sujetos pasivos sino por el bien jurídico protegido y desvalor de la acción. Dicha cuestión será analizada posteriormente detenidamente.</w:t>
      </w:r>
    </w:p>
    <w:p w14:paraId="31BB93B2" w14:textId="77777777" w:rsidR="009412BD" w:rsidRPr="000C698F" w:rsidRDefault="00F538F0" w:rsidP="000C698F">
      <w:pPr>
        <w:pStyle w:val="Prrafodelista"/>
        <w:numPr>
          <w:ilvl w:val="0"/>
          <w:numId w:val="17"/>
        </w:numPr>
        <w:spacing w:line="360" w:lineRule="auto"/>
        <w:jc w:val="both"/>
        <w:rPr>
          <w:rStyle w:val="nfasis"/>
          <w:rFonts w:ascii="Times New Roman" w:hAnsi="Times New Roman" w:cs="Times New Roman"/>
          <w:b/>
          <w:i w:val="0"/>
          <w:color w:val="auto"/>
          <w:sz w:val="24"/>
          <w:szCs w:val="24"/>
        </w:rPr>
      </w:pPr>
      <w:r w:rsidRPr="000C698F">
        <w:rPr>
          <w:rStyle w:val="nfasis"/>
          <w:rFonts w:ascii="Times New Roman" w:hAnsi="Times New Roman" w:cs="Times New Roman"/>
          <w:b/>
          <w:i w:val="0"/>
          <w:color w:val="auto"/>
          <w:sz w:val="24"/>
          <w:szCs w:val="24"/>
        </w:rPr>
        <w:t xml:space="preserve">Art.154: </w:t>
      </w:r>
      <w:r w:rsidRPr="000C698F">
        <w:rPr>
          <w:rStyle w:val="nfasis"/>
          <w:rFonts w:ascii="Times New Roman" w:hAnsi="Times New Roman" w:cs="Times New Roman"/>
          <w:i w:val="0"/>
          <w:color w:val="auto"/>
          <w:sz w:val="24"/>
          <w:szCs w:val="24"/>
        </w:rPr>
        <w:t xml:space="preserve">recoge lo que se conoce como riña </w:t>
      </w:r>
      <w:r w:rsidR="000C698F" w:rsidRPr="000C698F">
        <w:rPr>
          <w:rStyle w:val="nfasis"/>
          <w:rFonts w:ascii="Times New Roman" w:hAnsi="Times New Roman" w:cs="Times New Roman"/>
          <w:i w:val="0"/>
          <w:color w:val="auto"/>
          <w:sz w:val="24"/>
          <w:szCs w:val="24"/>
        </w:rPr>
        <w:t>tumultuaria,</w:t>
      </w:r>
      <w:r w:rsidRPr="000C698F">
        <w:rPr>
          <w:rStyle w:val="nfasis"/>
          <w:rFonts w:ascii="Times New Roman" w:hAnsi="Times New Roman" w:cs="Times New Roman"/>
          <w:i w:val="0"/>
          <w:color w:val="auto"/>
          <w:sz w:val="24"/>
          <w:szCs w:val="24"/>
        </w:rPr>
        <w:t xml:space="preserve"> es decir, se refiere a una riña confusa o indefinida por lo que requiere que se produzca entre más de dos personas, ya que no se sabe </w:t>
      </w:r>
      <w:r w:rsidR="00805A12" w:rsidRPr="000C698F">
        <w:rPr>
          <w:rStyle w:val="nfasis"/>
          <w:rFonts w:ascii="Times New Roman" w:hAnsi="Times New Roman" w:cs="Times New Roman"/>
          <w:i w:val="0"/>
          <w:color w:val="auto"/>
          <w:sz w:val="24"/>
          <w:szCs w:val="24"/>
        </w:rPr>
        <w:t>quién</w:t>
      </w:r>
      <w:r w:rsidRPr="000C698F">
        <w:rPr>
          <w:rStyle w:val="nfasis"/>
          <w:rFonts w:ascii="Times New Roman" w:hAnsi="Times New Roman" w:cs="Times New Roman"/>
          <w:i w:val="0"/>
          <w:color w:val="auto"/>
          <w:sz w:val="24"/>
          <w:szCs w:val="24"/>
        </w:rPr>
        <w:t xml:space="preserve"> ha agredido a quien.</w:t>
      </w:r>
    </w:p>
    <w:p w14:paraId="041DD9CD" w14:textId="77777777" w:rsidR="00805A12" w:rsidRPr="000C698F" w:rsidRDefault="00AB0355" w:rsidP="000C698F">
      <w:pPr>
        <w:spacing w:line="360" w:lineRule="auto"/>
        <w:jc w:val="both"/>
        <w:rPr>
          <w:rStyle w:val="nfasis"/>
          <w:rFonts w:ascii="Times New Roman" w:hAnsi="Times New Roman" w:cs="Times New Roman"/>
          <w:i w:val="0"/>
          <w:color w:val="auto"/>
          <w:sz w:val="24"/>
          <w:szCs w:val="24"/>
        </w:rPr>
      </w:pPr>
      <w:r w:rsidRPr="000C698F">
        <w:rPr>
          <w:rStyle w:val="nfasis"/>
          <w:rFonts w:ascii="Times New Roman" w:hAnsi="Times New Roman" w:cs="Times New Roman"/>
          <w:i w:val="0"/>
          <w:color w:val="auto"/>
          <w:sz w:val="24"/>
          <w:szCs w:val="24"/>
        </w:rPr>
        <w:t>Este sería un esquema básico de la regulación penal de las lesiones el cual resulta importante tener claro para distinguir entre figuras más concretas, como en el presente trabajo es la violencia de género. Una vez claro este esquema resulta relevante distinguir entre violencia de género y violencia doméstica, cuestión a la que he ido haciendo referencia.</w:t>
      </w:r>
    </w:p>
    <w:p w14:paraId="0839418D" w14:textId="77777777" w:rsidR="00750185" w:rsidRPr="000C698F" w:rsidRDefault="00750185" w:rsidP="000C698F">
      <w:pPr>
        <w:spacing w:line="360" w:lineRule="auto"/>
        <w:jc w:val="both"/>
        <w:rPr>
          <w:rStyle w:val="nfasis"/>
          <w:rFonts w:ascii="Times New Roman" w:hAnsi="Times New Roman" w:cs="Times New Roman"/>
          <w:i w:val="0"/>
          <w:color w:val="auto"/>
          <w:sz w:val="24"/>
          <w:szCs w:val="24"/>
        </w:rPr>
      </w:pPr>
    </w:p>
    <w:p w14:paraId="17947AEB" w14:textId="77777777" w:rsidR="007237D6" w:rsidRPr="000C698F" w:rsidRDefault="00391D5F" w:rsidP="000C698F">
      <w:pPr>
        <w:pStyle w:val="Prrafodelista"/>
        <w:spacing w:line="360" w:lineRule="auto"/>
        <w:jc w:val="center"/>
        <w:rPr>
          <w:rStyle w:val="nfasis"/>
          <w:rFonts w:ascii="Times New Roman" w:hAnsi="Times New Roman" w:cs="Times New Roman"/>
          <w:b/>
          <w:i w:val="0"/>
          <w:color w:val="E40059" w:themeColor="accent2"/>
          <w:sz w:val="28"/>
          <w:szCs w:val="28"/>
          <w14:reflection w14:blurRad="6350" w14:stA="55000" w14:stPos="0" w14:endA="50" w14:endPos="85000" w14:dist="0" w14:dir="5400000" w14:fadeDir="5400000" w14:sx="100000" w14:sy="-100000" w14:kx="0" w14:ky="0" w14:algn="bl"/>
        </w:rPr>
      </w:pPr>
      <w:r w:rsidRPr="000C698F">
        <w:rPr>
          <w:rStyle w:val="nfasis"/>
          <w:rFonts w:ascii="Times New Roman" w:hAnsi="Times New Roman" w:cs="Times New Roman"/>
          <w:b/>
          <w:i w:val="0"/>
          <w:color w:val="E40059" w:themeColor="accent2"/>
          <w:sz w:val="28"/>
          <w:szCs w:val="28"/>
          <w14:reflection w14:blurRad="6350" w14:stA="55000" w14:stPos="0" w14:endA="50" w14:endPos="85000" w14:dist="0" w14:dir="5400000" w14:fadeDir="5400000" w14:sx="100000" w14:sy="-100000" w14:kx="0" w14:ky="0" w14:algn="bl"/>
        </w:rPr>
        <w:t>4. Malos tratos ocasionales y habituales</w:t>
      </w:r>
    </w:p>
    <w:p w14:paraId="363C41CB" w14:textId="77777777" w:rsidR="009B42B3" w:rsidRPr="000C698F" w:rsidRDefault="00A50903"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hAnsi="Times New Roman" w:cs="Times New Roman"/>
          <w:sz w:val="24"/>
          <w:szCs w:val="24"/>
          <w:lang w:eastAsia="zh-CN"/>
          <w14:shadow w14:blurRad="60007" w14:dist="200025" w14:dir="15000000" w14:sx="100000" w14:sy="30000" w14:kx="-1800000" w14:ky="0" w14:algn="bl">
            <w14:srgbClr w14:val="000000">
              <w14:alpha w14:val="68000"/>
            </w14:srgbClr>
          </w14:shadow>
        </w:rPr>
        <w:lastRenderedPageBreak/>
        <w:t>Los malos tratos habituales o l</w:t>
      </w:r>
      <w:r w:rsidR="00CD6E41" w:rsidRPr="000C698F">
        <w:rPr>
          <w:rFonts w:ascii="Times New Roman" w:hAnsi="Times New Roman" w:cs="Times New Roman"/>
          <w:sz w:val="24"/>
          <w:szCs w:val="24"/>
          <w:lang w:eastAsia="zh-CN"/>
          <w14:shadow w14:blurRad="60007" w14:dist="200025" w14:dir="15000000" w14:sx="100000" w14:sy="30000" w14:kx="-1800000" w14:ky="0" w14:algn="bl">
            <w14:srgbClr w14:val="000000">
              <w14:alpha w14:val="68000"/>
            </w14:srgbClr>
          </w14:shadow>
        </w:rPr>
        <w:t>a violencia</w:t>
      </w:r>
      <w:r w:rsidRPr="000C698F">
        <w:rPr>
          <w:rFonts w:ascii="Times New Roman" w:hAnsi="Times New Roman" w:cs="Times New Roman"/>
          <w:sz w:val="24"/>
          <w:szCs w:val="24"/>
          <w:lang w:eastAsia="zh-CN"/>
          <w14:shadow w14:blurRad="60007" w14:dist="200025" w14:dir="15000000" w14:sx="100000" w14:sy="30000" w14:kx="-1800000" w14:ky="0" w14:algn="bl">
            <w14:srgbClr w14:val="000000">
              <w14:alpha w14:val="68000"/>
            </w14:srgbClr>
          </w14:shadow>
        </w:rPr>
        <w:t xml:space="preserve"> conocida como</w:t>
      </w:r>
      <w:r w:rsidR="00CD6E41" w:rsidRPr="000C698F">
        <w:rPr>
          <w:rFonts w:ascii="Times New Roman" w:hAnsi="Times New Roman" w:cs="Times New Roman"/>
          <w:sz w:val="24"/>
          <w:szCs w:val="24"/>
          <w:lang w:eastAsia="zh-CN"/>
          <w14:shadow w14:blurRad="60007" w14:dist="200025" w14:dir="15000000" w14:sx="100000" w14:sy="30000" w14:kx="-1800000" w14:ky="0" w14:algn="bl">
            <w14:srgbClr w14:val="000000">
              <w14:alpha w14:val="68000"/>
            </w14:srgbClr>
          </w14:shadow>
        </w:rPr>
        <w:t xml:space="preserve"> doméstica podemos definirla como toda violencia ejercida </w:t>
      </w:r>
      <w:r w:rsidR="00CD6E41" w:rsidRPr="000C698F">
        <w:rPr>
          <w:rFonts w:ascii="Times New Roman" w:eastAsia="sans-serif" w:hAnsi="Times New Roman" w:cs="Times New Roman"/>
          <w:color w:val="272727"/>
          <w:sz w:val="24"/>
          <w:szCs w:val="24"/>
          <w:shd w:val="clear" w:color="auto" w:fill="FFFFFF"/>
        </w:rPr>
        <w:t>por cualquiera de las personas descritas en el artículo 173.2 CP, sobre las personas que el mismo artículo indica, lo cual otorga especial protección, ya sea por situación de dependencia entre agresor y víctima (hijos respecto de los progenitores, por ejemplo) o por una relación legal, la cual otorga una especial protección a la víctima (tutor respecto al declarado incapaz, en un procedimiento civil). Este artículo no establece un numerus clausus de relaciones que se encuentran dentro del amparo del mismo, sino que deja abierta una puerta para incluir otros supuestos al decir que se aplicará “</w:t>
      </w:r>
      <w:r w:rsidR="00CD6E41" w:rsidRPr="000C698F">
        <w:rPr>
          <w:rStyle w:val="CitaHTML"/>
          <w:rFonts w:ascii="Times New Roman" w:eastAsia="sans-serif" w:hAnsi="Times New Roman" w:cs="Times New Roman"/>
          <w:color w:val="272727"/>
          <w:sz w:val="24"/>
          <w:szCs w:val="24"/>
          <w:shd w:val="clear" w:color="auto" w:fill="FFFFFF"/>
        </w:rPr>
        <w:t>sobre persona amparada en cualquier otra relación por la que se encuentre integrada en el núcleo de su convivencia familiar, así como sobre las personas que por su especial vulnerabilidad se encuentran sometidas a custodia o guarda en centros públicos o privados</w:t>
      </w:r>
      <w:r w:rsidR="00CD6E41" w:rsidRPr="000C698F">
        <w:rPr>
          <w:rFonts w:ascii="Times New Roman" w:eastAsia="sans-serif" w:hAnsi="Times New Roman" w:cs="Times New Roman"/>
          <w:color w:val="272727"/>
          <w:sz w:val="24"/>
          <w:szCs w:val="24"/>
          <w:shd w:val="clear" w:color="auto" w:fill="FFFFFF"/>
        </w:rPr>
        <w:t xml:space="preserve">”. Por este motivo es necesario determinar si en el caso concreto aplicamos los preceptos generales o los relativos a la violencia doméstica. </w:t>
      </w:r>
      <w:r w:rsidR="00690FA1" w:rsidRPr="000C698F">
        <w:rPr>
          <w:rStyle w:val="Refdenotaalpie"/>
          <w:rFonts w:ascii="Times New Roman" w:eastAsia="sans-serif" w:hAnsi="Times New Roman" w:cs="Times New Roman"/>
          <w:color w:val="272727"/>
          <w:sz w:val="24"/>
          <w:szCs w:val="24"/>
          <w:shd w:val="clear" w:color="auto" w:fill="FFFFFF"/>
        </w:rPr>
        <w:footnoteReference w:id="9"/>
      </w:r>
    </w:p>
    <w:p w14:paraId="40B4D9F8" w14:textId="77777777" w:rsidR="00241788" w:rsidRPr="000C698F" w:rsidRDefault="00CD6E41"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b/>
          <w:bCs/>
          <w:color w:val="272727"/>
          <w:sz w:val="24"/>
          <w:szCs w:val="24"/>
          <w:shd w:val="clear" w:color="auto" w:fill="FFFFFF"/>
        </w:rPr>
        <w:t xml:space="preserve">Respecto a la naturaleza del delito y bien jurídico protegido, </w:t>
      </w:r>
      <w:r w:rsidRPr="000C698F">
        <w:rPr>
          <w:rFonts w:ascii="Times New Roman" w:eastAsia="sans-serif" w:hAnsi="Times New Roman" w:cs="Times New Roman"/>
          <w:color w:val="272727"/>
          <w:sz w:val="24"/>
          <w:szCs w:val="24"/>
          <w:shd w:val="clear" w:color="auto" w:fill="FFFFFF"/>
        </w:rPr>
        <w:t xml:space="preserve">se ha venido considerando como un delito contra la integridad moral, salud o bienestar personal, así como un delito que atenta contra la dignidad personal y dignidad dentro del ámbito familiar. De todas formas, esa consideración en torno a la naturaleza del delito no está exenta de críticas, ya que conforme se incrementa el elenco de figuras delictivas dentro de los delitos contra la integridad moral, más </w:t>
      </w:r>
      <w:r w:rsidR="0027472B" w:rsidRPr="000C698F">
        <w:rPr>
          <w:rFonts w:ascii="Times New Roman" w:eastAsia="sans-serif" w:hAnsi="Times New Roman" w:cs="Times New Roman"/>
          <w:color w:val="272727"/>
          <w:sz w:val="24"/>
          <w:szCs w:val="24"/>
          <w:shd w:val="clear" w:color="auto" w:fill="FFFFFF"/>
        </w:rPr>
        <w:t>difícil</w:t>
      </w:r>
      <w:r w:rsidRPr="000C698F">
        <w:rPr>
          <w:rFonts w:ascii="Times New Roman" w:eastAsia="sans-serif" w:hAnsi="Times New Roman" w:cs="Times New Roman"/>
          <w:color w:val="272727"/>
          <w:sz w:val="24"/>
          <w:szCs w:val="24"/>
          <w:shd w:val="clear" w:color="auto" w:fill="FFFFFF"/>
        </w:rPr>
        <w:t xml:space="preserve"> es definir el objeto de protección y el propio concepto de integridad moral. Por lo demás, a pesar de la ubicación del art.173.2</w:t>
      </w:r>
      <w:r w:rsidR="00AA452F" w:rsidRPr="000C698F">
        <w:rPr>
          <w:rStyle w:val="Refdenotaalpie"/>
          <w:rFonts w:ascii="Times New Roman" w:eastAsia="sans-serif" w:hAnsi="Times New Roman" w:cs="Times New Roman"/>
          <w:color w:val="272727"/>
          <w:sz w:val="24"/>
          <w:szCs w:val="24"/>
          <w:shd w:val="clear" w:color="auto" w:fill="FFFFFF"/>
        </w:rPr>
        <w:footnoteReference w:id="10"/>
      </w:r>
      <w:r w:rsidRPr="000C698F">
        <w:rPr>
          <w:rFonts w:ascii="Times New Roman" w:eastAsia="sans-serif" w:hAnsi="Times New Roman" w:cs="Times New Roman"/>
          <w:color w:val="272727"/>
          <w:sz w:val="24"/>
          <w:szCs w:val="24"/>
          <w:shd w:val="clear" w:color="auto" w:fill="FFFFFF"/>
        </w:rPr>
        <w:t xml:space="preserve">, no contiene ningún elemento que permita deducir la necesidad de la presencia de un trato inhumano, degradante o vejatorio en la conducta del sujeto activo diferente al inherente en todo acto de maltrato </w:t>
      </w:r>
      <w:r w:rsidR="0027472B" w:rsidRPr="000C698F">
        <w:rPr>
          <w:rFonts w:ascii="Times New Roman" w:eastAsia="sans-serif" w:hAnsi="Times New Roman" w:cs="Times New Roman"/>
          <w:color w:val="272727"/>
          <w:sz w:val="24"/>
          <w:szCs w:val="24"/>
          <w:shd w:val="clear" w:color="auto" w:fill="FFFFFF"/>
        </w:rPr>
        <w:t>físico</w:t>
      </w:r>
      <w:r w:rsidRPr="000C698F">
        <w:rPr>
          <w:rFonts w:ascii="Times New Roman" w:eastAsia="sans-serif" w:hAnsi="Times New Roman" w:cs="Times New Roman"/>
          <w:color w:val="272727"/>
          <w:sz w:val="24"/>
          <w:szCs w:val="24"/>
          <w:shd w:val="clear" w:color="auto" w:fill="FFFFFF"/>
        </w:rPr>
        <w:t xml:space="preserve"> o </w:t>
      </w:r>
      <w:r w:rsidR="0027472B" w:rsidRPr="000C698F">
        <w:rPr>
          <w:rFonts w:ascii="Times New Roman" w:eastAsia="sans-serif" w:hAnsi="Times New Roman" w:cs="Times New Roman"/>
          <w:color w:val="272727"/>
          <w:sz w:val="24"/>
          <w:szCs w:val="24"/>
          <w:shd w:val="clear" w:color="auto" w:fill="FFFFFF"/>
        </w:rPr>
        <w:t>psíquico</w:t>
      </w:r>
      <w:r w:rsidRPr="000C698F">
        <w:rPr>
          <w:rFonts w:ascii="Times New Roman" w:eastAsia="sans-serif" w:hAnsi="Times New Roman" w:cs="Times New Roman"/>
          <w:color w:val="272727"/>
          <w:sz w:val="24"/>
          <w:szCs w:val="24"/>
          <w:shd w:val="clear" w:color="auto" w:fill="FFFFFF"/>
        </w:rPr>
        <w:t xml:space="preserve"> hacia otra persona; el tipo lo único que exige es que se ejerza habitualmente la violencia </w:t>
      </w:r>
      <w:r w:rsidR="0027472B" w:rsidRPr="000C698F">
        <w:rPr>
          <w:rFonts w:ascii="Times New Roman" w:eastAsia="sans-serif" w:hAnsi="Times New Roman" w:cs="Times New Roman"/>
          <w:color w:val="272727"/>
          <w:sz w:val="24"/>
          <w:szCs w:val="24"/>
          <w:shd w:val="clear" w:color="auto" w:fill="FFFFFF"/>
        </w:rPr>
        <w:t>física</w:t>
      </w:r>
      <w:r w:rsidRPr="000C698F">
        <w:rPr>
          <w:rFonts w:ascii="Times New Roman" w:eastAsia="sans-serif" w:hAnsi="Times New Roman" w:cs="Times New Roman"/>
          <w:color w:val="272727"/>
          <w:sz w:val="24"/>
          <w:szCs w:val="24"/>
          <w:shd w:val="clear" w:color="auto" w:fill="FFFFFF"/>
        </w:rPr>
        <w:t xml:space="preserve"> o </w:t>
      </w:r>
      <w:r w:rsidR="0027472B" w:rsidRPr="000C698F">
        <w:rPr>
          <w:rFonts w:ascii="Times New Roman" w:eastAsia="sans-serif" w:hAnsi="Times New Roman" w:cs="Times New Roman"/>
          <w:color w:val="272727"/>
          <w:sz w:val="24"/>
          <w:szCs w:val="24"/>
          <w:shd w:val="clear" w:color="auto" w:fill="FFFFFF"/>
        </w:rPr>
        <w:t>psíquica</w:t>
      </w:r>
      <w:r w:rsidRPr="000C698F">
        <w:rPr>
          <w:rFonts w:ascii="Times New Roman" w:eastAsia="sans-serif" w:hAnsi="Times New Roman" w:cs="Times New Roman"/>
          <w:color w:val="272727"/>
          <w:sz w:val="24"/>
          <w:szCs w:val="24"/>
          <w:shd w:val="clear" w:color="auto" w:fill="FFFFFF"/>
        </w:rPr>
        <w:t xml:space="preserve"> sobre el sujeto pasivo. </w:t>
      </w:r>
    </w:p>
    <w:p w14:paraId="751AD509" w14:textId="77777777" w:rsidR="00241788" w:rsidRPr="000C698F" w:rsidRDefault="00241788"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 xml:space="preserve">Por lo tanto, aunque </w:t>
      </w:r>
      <w:r w:rsidR="00554C48" w:rsidRPr="000C698F">
        <w:rPr>
          <w:rFonts w:ascii="Times New Roman" w:eastAsia="sans-serif" w:hAnsi="Times New Roman" w:cs="Times New Roman"/>
          <w:color w:val="272727"/>
          <w:sz w:val="24"/>
          <w:szCs w:val="24"/>
          <w:shd w:val="clear" w:color="auto" w:fill="FFFFFF"/>
        </w:rPr>
        <w:t>exis</w:t>
      </w:r>
      <w:r w:rsidRPr="000C698F">
        <w:rPr>
          <w:rFonts w:ascii="Times New Roman" w:eastAsia="sans-serif" w:hAnsi="Times New Roman" w:cs="Times New Roman"/>
          <w:color w:val="272727"/>
          <w:sz w:val="24"/>
          <w:szCs w:val="24"/>
          <w:shd w:val="clear" w:color="auto" w:fill="FFFFFF"/>
        </w:rPr>
        <w:t>te semejanza entre el bien jurídico protegido en los delitos de trato degradante y de malos tratos en el ámbito familiar, en este último no podemos olvidar que solo se da protección a la faceta colectiva del bien jurídico.</w:t>
      </w:r>
      <w:r w:rsidR="00554C48" w:rsidRPr="000C698F">
        <w:rPr>
          <w:rFonts w:ascii="Times New Roman" w:eastAsia="sans-serif" w:hAnsi="Times New Roman" w:cs="Times New Roman"/>
          <w:color w:val="272727"/>
          <w:sz w:val="24"/>
          <w:szCs w:val="24"/>
          <w:shd w:val="clear" w:color="auto" w:fill="FFFFFF"/>
        </w:rPr>
        <w:t xml:space="preserve"> De esta forma, si habitualmente se ejercen </w:t>
      </w:r>
      <w:r w:rsidR="00554C48" w:rsidRPr="000C698F">
        <w:rPr>
          <w:rFonts w:ascii="Times New Roman" w:eastAsia="sans-serif" w:hAnsi="Times New Roman" w:cs="Times New Roman"/>
          <w:color w:val="272727"/>
          <w:sz w:val="24"/>
          <w:szCs w:val="24"/>
          <w:shd w:val="clear" w:color="auto" w:fill="FFFFFF"/>
        </w:rPr>
        <w:lastRenderedPageBreak/>
        <w:t>actos de violencia psíquica en el ámbito familiar, que a su vez supongan un menoscabo de la integridad moral del sujeto al que van dirigido ciertos actos, estaremos ante un concurso de delitos entre malos tratos psíquicos en el ámbito familiar y tantos delitos contra la integridad moral según los actos singulares de malos tratos psíquicos.</w:t>
      </w:r>
      <w:r w:rsidR="00554C48" w:rsidRPr="000C698F">
        <w:rPr>
          <w:rStyle w:val="Refdenotaalpie"/>
          <w:rFonts w:ascii="Times New Roman" w:eastAsia="sans-serif" w:hAnsi="Times New Roman" w:cs="Times New Roman"/>
          <w:color w:val="272727"/>
          <w:sz w:val="24"/>
          <w:szCs w:val="24"/>
          <w:shd w:val="clear" w:color="auto" w:fill="FFFFFF"/>
        </w:rPr>
        <w:footnoteReference w:id="11"/>
      </w:r>
    </w:p>
    <w:p w14:paraId="216BA139" w14:textId="77777777" w:rsidR="009B42B3" w:rsidRPr="000C698F" w:rsidRDefault="00CD6E41" w:rsidP="000C698F">
      <w:pPr>
        <w:spacing w:line="360" w:lineRule="auto"/>
        <w:jc w:val="both"/>
        <w:rPr>
          <w:rFonts w:ascii="Times New Roman" w:eastAsia="sans-serif" w:hAnsi="Times New Roman" w:cs="Times New Roman"/>
          <w:b/>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 xml:space="preserve">Según MORILLAS CUEVA el mayor desvalor de la acción en este delito se encuentra en la </w:t>
      </w:r>
      <w:r w:rsidRPr="000C698F">
        <w:rPr>
          <w:rFonts w:ascii="Times New Roman" w:eastAsia="sans-serif" w:hAnsi="Times New Roman" w:cs="Times New Roman"/>
          <w:b/>
          <w:color w:val="272727"/>
          <w:sz w:val="24"/>
          <w:szCs w:val="24"/>
          <w:shd w:val="clear" w:color="auto" w:fill="FFFFFF"/>
        </w:rPr>
        <w:t>reiteración de los ataques a los bienes jurídicos que se pretenden p</w:t>
      </w:r>
      <w:r w:rsidR="0027472B" w:rsidRPr="000C698F">
        <w:rPr>
          <w:rFonts w:ascii="Times New Roman" w:eastAsia="sans-serif" w:hAnsi="Times New Roman" w:cs="Times New Roman"/>
          <w:b/>
          <w:color w:val="272727"/>
          <w:sz w:val="24"/>
          <w:szCs w:val="24"/>
          <w:shd w:val="clear" w:color="auto" w:fill="FFFFFF"/>
        </w:rPr>
        <w:t xml:space="preserve">roteger </w:t>
      </w:r>
      <w:r w:rsidR="00EE0FEC" w:rsidRPr="000C698F">
        <w:rPr>
          <w:rStyle w:val="Refdenotaalpie"/>
          <w:rFonts w:ascii="Times New Roman" w:eastAsia="sans-serif" w:hAnsi="Times New Roman" w:cs="Times New Roman"/>
          <w:b/>
          <w:color w:val="272727"/>
          <w:sz w:val="24"/>
          <w:szCs w:val="24"/>
          <w:shd w:val="clear" w:color="auto" w:fill="FFFFFF"/>
        </w:rPr>
        <w:footnoteReference w:id="12"/>
      </w:r>
      <w:r w:rsidR="0027472B" w:rsidRPr="000C698F">
        <w:rPr>
          <w:rFonts w:ascii="Times New Roman" w:eastAsia="sans-serif" w:hAnsi="Times New Roman" w:cs="Times New Roman"/>
          <w:color w:val="272727"/>
          <w:sz w:val="24"/>
          <w:szCs w:val="24"/>
          <w:shd w:val="clear" w:color="auto" w:fill="FFFFFF"/>
        </w:rPr>
        <w:t>(de ahí que se le atribuya el nombre de maltrato habitual),</w:t>
      </w:r>
      <w:r w:rsidRPr="000C698F">
        <w:rPr>
          <w:rFonts w:ascii="Times New Roman" w:eastAsia="sans-serif" w:hAnsi="Times New Roman" w:cs="Times New Roman"/>
          <w:color w:val="272727"/>
          <w:sz w:val="24"/>
          <w:szCs w:val="24"/>
          <w:shd w:val="clear" w:color="auto" w:fill="FFFFFF"/>
        </w:rPr>
        <w:t xml:space="preserve"> la salud personal (si se causa lesión) y/o bienestar personal (si tan solo se causa un maltrato de obra sin lesión), además de la vulnerabilidad que en tales singulares ambientes de relación presentan dichos bienes jurídicos, porque suelen mediar relaciones de superioridad y dependencia </w:t>
      </w:r>
      <w:r w:rsidR="0027472B" w:rsidRPr="000C698F">
        <w:rPr>
          <w:rFonts w:ascii="Times New Roman" w:eastAsia="sans-serif" w:hAnsi="Times New Roman" w:cs="Times New Roman"/>
          <w:color w:val="272727"/>
          <w:sz w:val="24"/>
          <w:szCs w:val="24"/>
          <w:shd w:val="clear" w:color="auto" w:fill="FFFFFF"/>
        </w:rPr>
        <w:t>física</w:t>
      </w:r>
      <w:r w:rsidRPr="000C698F">
        <w:rPr>
          <w:rFonts w:ascii="Times New Roman" w:eastAsia="sans-serif" w:hAnsi="Times New Roman" w:cs="Times New Roman"/>
          <w:color w:val="272727"/>
          <w:sz w:val="24"/>
          <w:szCs w:val="24"/>
          <w:shd w:val="clear" w:color="auto" w:fill="FFFFFF"/>
        </w:rPr>
        <w:t xml:space="preserve">, afectiva o económica entre agresor y </w:t>
      </w:r>
      <w:r w:rsidR="0027472B" w:rsidRPr="000C698F">
        <w:rPr>
          <w:rFonts w:ascii="Times New Roman" w:eastAsia="sans-serif" w:hAnsi="Times New Roman" w:cs="Times New Roman"/>
          <w:color w:val="272727"/>
          <w:sz w:val="24"/>
          <w:szCs w:val="24"/>
          <w:shd w:val="clear" w:color="auto" w:fill="FFFFFF"/>
        </w:rPr>
        <w:t>víctima</w:t>
      </w:r>
      <w:r w:rsidRPr="000C698F">
        <w:rPr>
          <w:rFonts w:ascii="Times New Roman" w:eastAsia="sans-serif" w:hAnsi="Times New Roman" w:cs="Times New Roman"/>
          <w:color w:val="272727"/>
          <w:sz w:val="24"/>
          <w:szCs w:val="24"/>
          <w:shd w:val="clear" w:color="auto" w:fill="FFFFFF"/>
        </w:rPr>
        <w:t xml:space="preserve">, por ello la naturaleza de este delito es la de ser </w:t>
      </w:r>
      <w:r w:rsidRPr="000C698F">
        <w:rPr>
          <w:rFonts w:ascii="Times New Roman" w:eastAsia="sans-serif" w:hAnsi="Times New Roman" w:cs="Times New Roman"/>
          <w:b/>
          <w:color w:val="272727"/>
          <w:sz w:val="24"/>
          <w:szCs w:val="24"/>
          <w:shd w:val="clear" w:color="auto" w:fill="FFFFFF"/>
        </w:rPr>
        <w:t>una especie agravada de los tipos de lesiones y malos tratos de obra.</w:t>
      </w:r>
    </w:p>
    <w:p w14:paraId="3914D15D" w14:textId="77777777" w:rsidR="009B42B3" w:rsidRPr="000C698F" w:rsidRDefault="00CD6E41"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 xml:space="preserve">En cuanto a qué debemos entender por la </w:t>
      </w:r>
      <w:r w:rsidRPr="000C698F">
        <w:rPr>
          <w:rFonts w:ascii="Times New Roman" w:eastAsia="sans-serif" w:hAnsi="Times New Roman" w:cs="Times New Roman"/>
          <w:b/>
          <w:bCs/>
          <w:color w:val="272727"/>
          <w:sz w:val="24"/>
          <w:szCs w:val="24"/>
          <w:shd w:val="clear" w:color="auto" w:fill="FFFFFF"/>
        </w:rPr>
        <w:t xml:space="preserve">habitualidad de la violencia </w:t>
      </w:r>
      <w:r w:rsidR="0027472B" w:rsidRPr="000C698F">
        <w:rPr>
          <w:rFonts w:ascii="Times New Roman" w:eastAsia="sans-serif" w:hAnsi="Times New Roman" w:cs="Times New Roman"/>
          <w:b/>
          <w:bCs/>
          <w:color w:val="272727"/>
          <w:sz w:val="24"/>
          <w:szCs w:val="24"/>
          <w:shd w:val="clear" w:color="auto" w:fill="FFFFFF"/>
        </w:rPr>
        <w:t>física</w:t>
      </w:r>
      <w:r w:rsidRPr="000C698F">
        <w:rPr>
          <w:rFonts w:ascii="Times New Roman" w:eastAsia="sans-serif" w:hAnsi="Times New Roman" w:cs="Times New Roman"/>
          <w:b/>
          <w:bCs/>
          <w:color w:val="272727"/>
          <w:sz w:val="24"/>
          <w:szCs w:val="24"/>
          <w:shd w:val="clear" w:color="auto" w:fill="FFFFFF"/>
        </w:rPr>
        <w:t xml:space="preserve"> o </w:t>
      </w:r>
      <w:r w:rsidR="0027472B" w:rsidRPr="000C698F">
        <w:rPr>
          <w:rFonts w:ascii="Times New Roman" w:eastAsia="sans-serif" w:hAnsi="Times New Roman" w:cs="Times New Roman"/>
          <w:b/>
          <w:bCs/>
          <w:color w:val="272727"/>
          <w:sz w:val="24"/>
          <w:szCs w:val="24"/>
          <w:shd w:val="clear" w:color="auto" w:fill="FFFFFF"/>
        </w:rPr>
        <w:t>psíquica</w:t>
      </w:r>
      <w:r w:rsidRPr="000C698F">
        <w:rPr>
          <w:rFonts w:ascii="Times New Roman" w:eastAsia="sans-serif" w:hAnsi="Times New Roman" w:cs="Times New Roman"/>
          <w:b/>
          <w:bCs/>
          <w:color w:val="272727"/>
          <w:sz w:val="24"/>
          <w:szCs w:val="24"/>
          <w:shd w:val="clear" w:color="auto" w:fill="FFFFFF"/>
        </w:rPr>
        <w:t xml:space="preserve"> que recoge el tipo,</w:t>
      </w:r>
      <w:r w:rsidRPr="000C698F">
        <w:rPr>
          <w:rFonts w:ascii="Times New Roman" w:eastAsia="sans-serif" w:hAnsi="Times New Roman" w:cs="Times New Roman"/>
          <w:color w:val="272727"/>
          <w:sz w:val="24"/>
          <w:szCs w:val="24"/>
          <w:shd w:val="clear" w:color="auto" w:fill="FFFFFF"/>
        </w:rPr>
        <w:t xml:space="preserve"> tendremos que atender al número de actos de violencia que resulten acreditados, así como la proximidad temporal de los mismos, con independencia de que dicha violencia se haya ejercido o sobre la misma o diferentes </w:t>
      </w:r>
      <w:r w:rsidR="0027472B" w:rsidRPr="000C698F">
        <w:rPr>
          <w:rFonts w:ascii="Times New Roman" w:eastAsia="sans-serif" w:hAnsi="Times New Roman" w:cs="Times New Roman"/>
          <w:color w:val="272727"/>
          <w:sz w:val="24"/>
          <w:szCs w:val="24"/>
          <w:shd w:val="clear" w:color="auto" w:fill="FFFFFF"/>
        </w:rPr>
        <w:t>víctimas</w:t>
      </w:r>
      <w:r w:rsidRPr="000C698F">
        <w:rPr>
          <w:rFonts w:ascii="Times New Roman" w:eastAsia="sans-serif" w:hAnsi="Times New Roman" w:cs="Times New Roman"/>
          <w:color w:val="272727"/>
          <w:sz w:val="24"/>
          <w:szCs w:val="24"/>
          <w:shd w:val="clear" w:color="auto" w:fill="FFFFFF"/>
        </w:rPr>
        <w:t xml:space="preserve"> de las comprendidas en este </w:t>
      </w:r>
      <w:r w:rsidR="0027472B" w:rsidRPr="000C698F">
        <w:rPr>
          <w:rFonts w:ascii="Times New Roman" w:eastAsia="sans-serif" w:hAnsi="Times New Roman" w:cs="Times New Roman"/>
          <w:color w:val="272727"/>
          <w:sz w:val="24"/>
          <w:szCs w:val="24"/>
          <w:shd w:val="clear" w:color="auto" w:fill="FFFFFF"/>
        </w:rPr>
        <w:t>artículo</w:t>
      </w:r>
      <w:r w:rsidRPr="000C698F">
        <w:rPr>
          <w:rFonts w:ascii="Times New Roman" w:eastAsia="sans-serif" w:hAnsi="Times New Roman" w:cs="Times New Roman"/>
          <w:color w:val="272727"/>
          <w:sz w:val="24"/>
          <w:szCs w:val="24"/>
          <w:shd w:val="clear" w:color="auto" w:fill="FFFFFF"/>
        </w:rPr>
        <w:t>, y con independencia de que los actos violentos hayan sido objeto o no de enjuiciamiento en procesos anteriores.</w:t>
      </w:r>
      <w:r w:rsidR="00745670" w:rsidRPr="000C698F">
        <w:rPr>
          <w:rStyle w:val="Refdenotaalpie"/>
          <w:rFonts w:ascii="Times New Roman" w:eastAsia="sans-serif" w:hAnsi="Times New Roman" w:cs="Times New Roman"/>
          <w:color w:val="272727"/>
          <w:sz w:val="24"/>
          <w:szCs w:val="24"/>
          <w:shd w:val="clear" w:color="auto" w:fill="FFFFFF"/>
        </w:rPr>
        <w:footnoteReference w:id="13"/>
      </w:r>
      <w:r w:rsidR="0027472B" w:rsidRPr="000C698F">
        <w:rPr>
          <w:rFonts w:ascii="Times New Roman" w:eastAsia="sans-serif" w:hAnsi="Times New Roman" w:cs="Times New Roman"/>
          <w:color w:val="272727"/>
          <w:sz w:val="24"/>
          <w:szCs w:val="24"/>
          <w:shd w:val="clear" w:color="auto" w:fill="FFFFFF"/>
        </w:rPr>
        <w:t xml:space="preserve"> </w:t>
      </w:r>
    </w:p>
    <w:p w14:paraId="6EB0A577" w14:textId="77777777" w:rsidR="0078763B" w:rsidRPr="000C698F" w:rsidRDefault="0078763B"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lastRenderedPageBreak/>
        <w:t>Muy destacable es en el ámbito familiar la violencia psíquica</w:t>
      </w:r>
      <w:r w:rsidR="009F22B0" w:rsidRPr="000C698F">
        <w:rPr>
          <w:rStyle w:val="Refdenotaalpie"/>
          <w:rFonts w:ascii="Times New Roman" w:eastAsia="sans-serif" w:hAnsi="Times New Roman" w:cs="Times New Roman"/>
          <w:color w:val="272727"/>
          <w:sz w:val="24"/>
          <w:szCs w:val="24"/>
          <w:shd w:val="clear" w:color="auto" w:fill="FFFFFF"/>
        </w:rPr>
        <w:footnoteReference w:id="14"/>
      </w:r>
      <w:r w:rsidRPr="000C698F">
        <w:rPr>
          <w:rFonts w:ascii="Times New Roman" w:eastAsia="sans-serif" w:hAnsi="Times New Roman" w:cs="Times New Roman"/>
          <w:color w:val="272727"/>
          <w:sz w:val="24"/>
          <w:szCs w:val="24"/>
          <w:shd w:val="clear" w:color="auto" w:fill="FFFFFF"/>
        </w:rPr>
        <w:t xml:space="preserve"> ejercida sobre la mujer siendo esta todas aquellas conductas que producen desvaloración o sufrimiento en las mujeres y todos aquellos comportamientos que suponen la imposición de actos o conductas sexuales contra la voluntad de la mujer. Esta violencia conlleva, además de desvaloraciones, sufrimiento y agresiones psicológicas que minan la autoestima de la víctima y generan desconcierto e inseguridad, sirviéndose de insultos, vejaciones, crueldad mental, desprecios, gritos, falta de respeto, humillaciones en público, castigos, frialdad en el trato, amenazas e intolerancia.</w:t>
      </w:r>
    </w:p>
    <w:p w14:paraId="09C8A76B" w14:textId="77777777" w:rsidR="0078763B" w:rsidRPr="000C698F" w:rsidRDefault="0078763B"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 xml:space="preserve">La violencia psíquica estaría integrada por figuras tales como la intimidación, las coacciones, las amenazas, las injurias y las calumnias y el trato degradante con menoscabo de la integridad moral. Este maltrato se identifica «con la coacción moral, la amenaza, la intimidación, la presión </w:t>
      </w:r>
      <w:proofErr w:type="spellStart"/>
      <w:r w:rsidRPr="000C698F">
        <w:rPr>
          <w:rFonts w:ascii="Times New Roman" w:eastAsia="sans-serif" w:hAnsi="Times New Roman" w:cs="Times New Roman"/>
          <w:color w:val="272727"/>
          <w:sz w:val="24"/>
          <w:szCs w:val="24"/>
          <w:shd w:val="clear" w:color="auto" w:fill="FFFFFF"/>
        </w:rPr>
        <w:t>psicoló</w:t>
      </w:r>
      <w:proofErr w:type="spellEnd"/>
      <w:r w:rsidRPr="000C698F">
        <w:rPr>
          <w:rFonts w:ascii="Times New Roman" w:eastAsia="sans-serif" w:hAnsi="Times New Roman" w:cs="Times New Roman"/>
          <w:color w:val="272727"/>
          <w:sz w:val="24"/>
          <w:szCs w:val="24"/>
          <w:shd w:val="clear" w:color="auto" w:fill="FFFFFF"/>
        </w:rPr>
        <w:t xml:space="preserve">- </w:t>
      </w:r>
      <w:proofErr w:type="spellStart"/>
      <w:r w:rsidRPr="000C698F">
        <w:rPr>
          <w:rFonts w:ascii="Times New Roman" w:eastAsia="sans-serif" w:hAnsi="Times New Roman" w:cs="Times New Roman"/>
          <w:color w:val="272727"/>
          <w:sz w:val="24"/>
          <w:szCs w:val="24"/>
          <w:shd w:val="clear" w:color="auto" w:fill="FFFFFF"/>
        </w:rPr>
        <w:t>gica</w:t>
      </w:r>
      <w:proofErr w:type="spellEnd"/>
      <w:r w:rsidRPr="000C698F">
        <w:rPr>
          <w:rFonts w:ascii="Times New Roman" w:eastAsia="sans-serif" w:hAnsi="Times New Roman" w:cs="Times New Roman"/>
          <w:color w:val="272727"/>
          <w:sz w:val="24"/>
          <w:szCs w:val="24"/>
          <w:shd w:val="clear" w:color="auto" w:fill="FFFFFF"/>
        </w:rPr>
        <w:t xml:space="preserve"> que atemoriza y perturba la tranquilidad y la seguridad de la víctima. Igualmente, las humillaciones, vejaciones, insultos y menosprecio». La violencia podrá ser calificada como psíquica «cuando produzca un menoscabo de la salud mental del sujeto pasivo, es decir, cuando se utilicen medios y actuaciones u omisiones idóneas para provocar dicha merma en el equilibrio mental del agredido». Algunos de los actos que constituyen el maltrato psicológico no son en sí mismos relevantes penalmente, pero invaden a la víctima, de la misma manera que lo hacen conductas como las amenazas, las coacciones o los insultos. Por tanto, los actos constitutivos del tipo penal puede que aisladamente no tengan significado penal, pero lo adquieren en cuanto se producen de manera sistemática.</w:t>
      </w:r>
    </w:p>
    <w:p w14:paraId="71CB579C" w14:textId="77777777" w:rsidR="009B42B3" w:rsidRPr="000C698F" w:rsidRDefault="00A50903"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 xml:space="preserve">En cuanto a los malos tratos ocasionales o lo que llamamos </w:t>
      </w:r>
      <w:r w:rsidR="00CD6E41" w:rsidRPr="000C698F">
        <w:rPr>
          <w:rFonts w:ascii="Times New Roman" w:eastAsia="sans-serif" w:hAnsi="Times New Roman" w:cs="Times New Roman"/>
          <w:b/>
          <w:bCs/>
          <w:color w:val="272727"/>
          <w:sz w:val="24"/>
          <w:szCs w:val="24"/>
          <w:shd w:val="clear" w:color="auto" w:fill="FFFFFF"/>
        </w:rPr>
        <w:t>violencia de género referida en el art.153 CP,</w:t>
      </w:r>
      <w:r w:rsidR="00CD6E41" w:rsidRPr="000C698F">
        <w:rPr>
          <w:rFonts w:ascii="Times New Roman" w:eastAsia="sans-serif" w:hAnsi="Times New Roman" w:cs="Times New Roman"/>
          <w:color w:val="272727"/>
          <w:sz w:val="24"/>
          <w:szCs w:val="24"/>
          <w:shd w:val="clear" w:color="auto" w:fill="FFFFFF"/>
        </w:rPr>
        <w:t xml:space="preserve"> es aquella q</w:t>
      </w:r>
      <w:r w:rsidRPr="000C698F">
        <w:rPr>
          <w:rFonts w:ascii="Times New Roman" w:eastAsia="sans-serif" w:hAnsi="Times New Roman" w:cs="Times New Roman"/>
          <w:color w:val="272727"/>
          <w:sz w:val="24"/>
          <w:szCs w:val="24"/>
          <w:shd w:val="clear" w:color="auto" w:fill="FFFFFF"/>
        </w:rPr>
        <w:t>ue se da únicamente cuando hay u</w:t>
      </w:r>
      <w:r w:rsidR="00CD6E41" w:rsidRPr="000C698F">
        <w:rPr>
          <w:rFonts w:ascii="Times New Roman" w:eastAsia="sans-serif" w:hAnsi="Times New Roman" w:cs="Times New Roman"/>
          <w:color w:val="272727"/>
          <w:sz w:val="24"/>
          <w:szCs w:val="24"/>
          <w:shd w:val="clear" w:color="auto" w:fill="FFFFFF"/>
        </w:rPr>
        <w:t xml:space="preserve">na relación sentimental entre agresor y víctima, siendo aquel del sexo masculino y esta femenino. La relación indicada debe ser análoga a la conyugal, </w:t>
      </w:r>
      <w:r w:rsidR="00D9068A" w:rsidRPr="000C698F">
        <w:rPr>
          <w:rFonts w:ascii="Times New Roman" w:eastAsia="sans-serif" w:hAnsi="Times New Roman" w:cs="Times New Roman"/>
          <w:color w:val="272727"/>
          <w:sz w:val="24"/>
          <w:szCs w:val="24"/>
          <w:shd w:val="clear" w:color="auto" w:fill="FFFFFF"/>
        </w:rPr>
        <w:t>aun</w:t>
      </w:r>
      <w:r w:rsidR="00CD6E41" w:rsidRPr="000C698F">
        <w:rPr>
          <w:rFonts w:ascii="Times New Roman" w:eastAsia="sans-serif" w:hAnsi="Times New Roman" w:cs="Times New Roman"/>
          <w:color w:val="272727"/>
          <w:sz w:val="24"/>
          <w:szCs w:val="24"/>
          <w:shd w:val="clear" w:color="auto" w:fill="FFFFFF"/>
        </w:rPr>
        <w:t xml:space="preserve"> cuando no hubiera habido convivencia. Puede tratarse de una relación actual o puede haber concluido en el momento de producirse la agresión. Nunca se aplicará en relaciones homosexuales, ya que no se cumple el requisito del sujeto, tanto activo como pasivo, del hecho </w:t>
      </w:r>
      <w:r w:rsidR="00CD6E41" w:rsidRPr="000C698F">
        <w:rPr>
          <w:rFonts w:ascii="Times New Roman" w:eastAsia="sans-serif" w:hAnsi="Times New Roman" w:cs="Times New Roman"/>
          <w:color w:val="272727"/>
          <w:sz w:val="24"/>
          <w:szCs w:val="24"/>
          <w:shd w:val="clear" w:color="auto" w:fill="FFFFFF"/>
        </w:rPr>
        <w:lastRenderedPageBreak/>
        <w:t xml:space="preserve">delictivo, por lo que es condición sine qua non para que se trate de violencia de género, aunque sobre este asunto trataremos profundamente en </w:t>
      </w:r>
      <w:r w:rsidR="00B76674" w:rsidRPr="000C698F">
        <w:rPr>
          <w:rFonts w:ascii="Times New Roman" w:eastAsia="sans-serif" w:hAnsi="Times New Roman" w:cs="Times New Roman"/>
          <w:color w:val="272727"/>
          <w:sz w:val="24"/>
          <w:szCs w:val="24"/>
          <w:shd w:val="clear" w:color="auto" w:fill="FFFFFF"/>
        </w:rPr>
        <w:t>epígrafes</w:t>
      </w:r>
      <w:r w:rsidR="00CD6E41" w:rsidRPr="000C698F">
        <w:rPr>
          <w:rFonts w:ascii="Times New Roman" w:eastAsia="sans-serif" w:hAnsi="Times New Roman" w:cs="Times New Roman"/>
          <w:color w:val="272727"/>
          <w:sz w:val="24"/>
          <w:szCs w:val="24"/>
          <w:shd w:val="clear" w:color="auto" w:fill="FFFFFF"/>
        </w:rPr>
        <w:t xml:space="preserve"> posteriores, ya que es una cuestión muy discutida.</w:t>
      </w:r>
      <w:r w:rsidR="002D5401" w:rsidRPr="000C698F">
        <w:rPr>
          <w:rFonts w:ascii="Times New Roman" w:eastAsia="sans-serif" w:hAnsi="Times New Roman" w:cs="Times New Roman"/>
          <w:color w:val="272727"/>
          <w:sz w:val="24"/>
          <w:szCs w:val="24"/>
          <w:shd w:val="clear" w:color="auto" w:fill="FFFFFF"/>
        </w:rPr>
        <w:t xml:space="preserve"> </w:t>
      </w:r>
    </w:p>
    <w:p w14:paraId="20ECEE2A" w14:textId="77777777" w:rsidR="006A004D" w:rsidRPr="000C698F" w:rsidRDefault="002D5401" w:rsidP="000C698F">
      <w:pPr>
        <w:spacing w:line="360" w:lineRule="auto"/>
        <w:jc w:val="both"/>
        <w:rPr>
          <w:rFonts w:ascii="Times New Roman" w:eastAsia="sans-serif" w:hAnsi="Times New Roman" w:cs="Times New Roman"/>
          <w:color w:val="272727"/>
          <w:sz w:val="24"/>
          <w:szCs w:val="24"/>
          <w:shd w:val="clear" w:color="auto" w:fill="FFFFFF"/>
        </w:rPr>
      </w:pPr>
      <w:r w:rsidRPr="000C698F">
        <w:rPr>
          <w:rFonts w:ascii="Times New Roman" w:eastAsia="sans-serif" w:hAnsi="Times New Roman" w:cs="Times New Roman"/>
          <w:color w:val="272727"/>
          <w:sz w:val="24"/>
          <w:szCs w:val="24"/>
          <w:shd w:val="clear" w:color="auto" w:fill="FFFFFF"/>
        </w:rPr>
        <w:t>La aplicación de la tutela reforzada de la mujer en estos preceptos se enfrenta a un gran enemigo:</w:t>
      </w:r>
      <w:r w:rsidR="0018785B" w:rsidRPr="000C698F">
        <w:rPr>
          <w:rStyle w:val="Refdenotaalpie"/>
          <w:rFonts w:ascii="Times New Roman" w:eastAsia="sans-serif" w:hAnsi="Times New Roman" w:cs="Times New Roman"/>
          <w:color w:val="272727"/>
          <w:sz w:val="24"/>
          <w:szCs w:val="24"/>
          <w:shd w:val="clear" w:color="auto" w:fill="FFFFFF"/>
        </w:rPr>
        <w:footnoteReference w:id="15"/>
      </w:r>
      <w:r w:rsidRPr="000C698F">
        <w:rPr>
          <w:rFonts w:ascii="Times New Roman" w:eastAsia="sans-serif" w:hAnsi="Times New Roman" w:cs="Times New Roman"/>
          <w:color w:val="272727"/>
          <w:sz w:val="24"/>
          <w:szCs w:val="24"/>
          <w:shd w:val="clear" w:color="auto" w:fill="FFFFFF"/>
        </w:rPr>
        <w:t xml:space="preserve"> la negativa a aceptar la violencia de género como categoría autónoma, con origen y rasgos propios y diferenciales que meritan y reclaman un abordaje también propio y diferencial. Es la no aceptación de que existe un problema estructural –más allá de las concretas situaciones individuales– de violencia machista, especialmente manifiesto en las relaciones de pareja, la que subyace en el rechazo y en las reticencias hacia el nuevo régimen de tutela reforzada. Es desde esta óptica desde la que se argumenta que “aunque la violencia sobre la mujer ocupa el más alto porcentaje de la estadística judicial (91,1% de los casos), también están presentes los de violencia contra hombres (8,9% de los casos), ascendientes y contra menores”, de manera que “la norma puede reaccionar frente a situaciones de dominación, pero debe ser neutra </w:t>
      </w:r>
      <w:r w:rsidR="0018785B" w:rsidRPr="000C698F">
        <w:rPr>
          <w:rFonts w:ascii="Times New Roman" w:eastAsia="sans-serif" w:hAnsi="Times New Roman" w:cs="Times New Roman"/>
          <w:color w:val="272727"/>
          <w:sz w:val="24"/>
          <w:szCs w:val="24"/>
          <w:shd w:val="clear" w:color="auto" w:fill="FFFFFF"/>
        </w:rPr>
        <w:t xml:space="preserve">en </w:t>
      </w:r>
      <w:r w:rsidRPr="000C698F">
        <w:rPr>
          <w:rFonts w:ascii="Times New Roman" w:eastAsia="sans-serif" w:hAnsi="Times New Roman" w:cs="Times New Roman"/>
          <w:color w:val="272727"/>
          <w:sz w:val="24"/>
          <w:szCs w:val="24"/>
          <w:shd w:val="clear" w:color="auto" w:fill="FFFFFF"/>
        </w:rPr>
        <w:t>cuanto</w:t>
      </w:r>
      <w:r w:rsidR="0018785B" w:rsidRPr="000C698F">
        <w:rPr>
          <w:rFonts w:ascii="Times New Roman" w:eastAsia="sans-serif" w:hAnsi="Times New Roman" w:cs="Times New Roman"/>
          <w:color w:val="272727"/>
          <w:sz w:val="24"/>
          <w:szCs w:val="24"/>
          <w:shd w:val="clear" w:color="auto" w:fill="FFFFFF"/>
        </w:rPr>
        <w:t xml:space="preserve"> al sexo del sujeto dominante”</w:t>
      </w:r>
      <w:r w:rsidR="0018785B" w:rsidRPr="000C698F">
        <w:rPr>
          <w:rStyle w:val="Refdenotaalpie"/>
          <w:rFonts w:ascii="Times New Roman" w:eastAsia="sans-serif" w:hAnsi="Times New Roman" w:cs="Times New Roman"/>
          <w:color w:val="272727"/>
          <w:sz w:val="24"/>
          <w:szCs w:val="24"/>
          <w:shd w:val="clear" w:color="auto" w:fill="FFFFFF"/>
        </w:rPr>
        <w:footnoteReference w:id="16"/>
      </w:r>
      <w:r w:rsidRPr="000C698F">
        <w:rPr>
          <w:rFonts w:ascii="Times New Roman" w:eastAsia="sans-serif" w:hAnsi="Times New Roman" w:cs="Times New Roman"/>
          <w:color w:val="272727"/>
          <w:sz w:val="24"/>
          <w:szCs w:val="24"/>
          <w:shd w:val="clear" w:color="auto" w:fill="FFFFFF"/>
        </w:rPr>
        <w:t>. Es también la negación de la violencia de género como categoría y problema estructural la que está en la base de los reproches de inconstitucionalidad que la doctrina penal hace a la tutela reforzada de la mujer en las relaciones de pareja, y la que impide admitir que la misma cuenta con un fundamento material.</w:t>
      </w:r>
    </w:p>
    <w:p w14:paraId="3C7989B7" w14:textId="77777777" w:rsidR="009B42B3" w:rsidRPr="000C698F" w:rsidRDefault="00CD6E41" w:rsidP="000C698F">
      <w:pPr>
        <w:spacing w:line="360" w:lineRule="auto"/>
        <w:jc w:val="both"/>
        <w:rPr>
          <w:rFonts w:ascii="Times New Roman" w:eastAsia="sans-serif" w:hAnsi="Times New Roman" w:cs="Times New Roman"/>
          <w:b/>
          <w:bCs/>
          <w:color w:val="E40059" w:themeColor="accent2"/>
          <w:sz w:val="24"/>
          <w:szCs w:val="24"/>
          <w:u w:val="single"/>
          <w:shd w:val="clear" w:color="auto" w:fill="FFFFFF"/>
        </w:rPr>
      </w:pPr>
      <w:r w:rsidRPr="000C698F">
        <w:rPr>
          <w:rFonts w:ascii="Times New Roman" w:eastAsia="sans-serif" w:hAnsi="Times New Roman" w:cs="Times New Roman"/>
          <w:b/>
          <w:bCs/>
          <w:color w:val="E40059" w:themeColor="accent2"/>
          <w:sz w:val="24"/>
          <w:szCs w:val="24"/>
          <w:u w:val="single"/>
          <w:shd w:val="clear" w:color="auto" w:fill="FFFFFF"/>
          <w:lang w:eastAsia="zh-CN"/>
        </w:rPr>
        <w:t>Relación análoga de afectividad</w:t>
      </w:r>
    </w:p>
    <w:p w14:paraId="1DA4FDC3" w14:textId="77777777" w:rsidR="009B42B3" w:rsidRPr="00A32EE8" w:rsidRDefault="00CD6E41" w:rsidP="000C698F">
      <w:pPr>
        <w:pStyle w:val="NormalWeb"/>
        <w:shd w:val="clear" w:color="auto" w:fill="FFFFFF"/>
        <w:spacing w:beforeAutospacing="0" w:after="150" w:afterAutospacing="0" w:line="360" w:lineRule="auto"/>
        <w:jc w:val="both"/>
        <w:rPr>
          <w:rFonts w:ascii="Times New Roman" w:eastAsia="sans-serif" w:hAnsi="Times New Roman"/>
          <w:color w:val="272727"/>
          <w:shd w:val="clear" w:color="auto" w:fill="FFFFFF"/>
          <w:lang w:val="es-ES"/>
        </w:rPr>
      </w:pPr>
      <w:r w:rsidRPr="000C698F">
        <w:rPr>
          <w:rFonts w:ascii="Times New Roman" w:eastAsia="sans-serif" w:hAnsi="Times New Roman"/>
          <w:color w:val="272727"/>
          <w:shd w:val="clear" w:color="auto" w:fill="FFFFFF"/>
          <w:lang w:val="es-ES"/>
        </w:rPr>
        <w:t>Podemos preguntarnos, y ¿</w:t>
      </w:r>
      <w:r w:rsidRPr="00A32EE8">
        <w:rPr>
          <w:rFonts w:ascii="Times New Roman" w:eastAsia="sans-serif" w:hAnsi="Times New Roman"/>
          <w:color w:val="272727"/>
          <w:shd w:val="clear" w:color="auto" w:fill="FFFFFF"/>
          <w:lang w:val="es-ES"/>
        </w:rPr>
        <w:t>qué debe entenderse por “relación de análoga afectividad”</w:t>
      </w:r>
      <w:r w:rsidRPr="000C698F">
        <w:rPr>
          <w:rFonts w:ascii="Times New Roman" w:eastAsia="sans-serif" w:hAnsi="Times New Roman"/>
          <w:color w:val="272727"/>
          <w:shd w:val="clear" w:color="auto" w:fill="FFFFFF"/>
          <w:lang w:val="es-ES"/>
        </w:rPr>
        <w:t xml:space="preserve">? </w:t>
      </w:r>
      <w:r w:rsidRPr="00A32EE8">
        <w:rPr>
          <w:rFonts w:ascii="Times New Roman" w:eastAsia="sans-serif" w:hAnsi="Times New Roman"/>
          <w:color w:val="272727"/>
          <w:shd w:val="clear" w:color="auto" w:fill="FFFFFF"/>
          <w:lang w:val="es-ES"/>
        </w:rPr>
        <w:t>¿Dónde termina una amistad y empieza un “noviazgo”?</w:t>
      </w:r>
      <w:r w:rsidR="00344640" w:rsidRPr="000C698F">
        <w:rPr>
          <w:rStyle w:val="Refdenotaalpie"/>
          <w:rFonts w:ascii="Times New Roman" w:eastAsia="sans-serif" w:hAnsi="Times New Roman"/>
          <w:color w:val="272727"/>
          <w:shd w:val="clear" w:color="auto" w:fill="FFFFFF"/>
        </w:rPr>
        <w:footnoteReference w:id="17"/>
      </w:r>
    </w:p>
    <w:p w14:paraId="5DA7D1DE" w14:textId="77777777" w:rsidR="00803A56" w:rsidRPr="000C698F" w:rsidRDefault="00803A56" w:rsidP="000C698F">
      <w:pPr>
        <w:autoSpaceDE w:val="0"/>
        <w:autoSpaceDN w:val="0"/>
        <w:adjustRightInd w:val="0"/>
        <w:spacing w:after="0" w:line="360" w:lineRule="auto"/>
        <w:jc w:val="both"/>
        <w:rPr>
          <w:rFonts w:ascii="Times New Roman" w:hAnsi="Times New Roman" w:cs="Times New Roman"/>
          <w:sz w:val="24"/>
          <w:szCs w:val="24"/>
        </w:rPr>
      </w:pPr>
      <w:r w:rsidRPr="000C698F">
        <w:rPr>
          <w:rFonts w:ascii="Times New Roman" w:eastAsia="sans-serif" w:hAnsi="Times New Roman" w:cs="Times New Roman"/>
          <w:color w:val="272727"/>
          <w:sz w:val="24"/>
          <w:szCs w:val="24"/>
          <w:shd w:val="clear" w:color="auto" w:fill="FFFFFF"/>
        </w:rPr>
        <w:t>Primeramente, podemos decir que debe exi</w:t>
      </w:r>
      <w:r w:rsidR="000C698F">
        <w:rPr>
          <w:rFonts w:ascii="Times New Roman" w:eastAsia="sans-serif" w:hAnsi="Times New Roman" w:cs="Times New Roman"/>
          <w:color w:val="272727"/>
          <w:sz w:val="24"/>
          <w:szCs w:val="24"/>
          <w:shd w:val="clear" w:color="auto" w:fill="FFFFFF"/>
        </w:rPr>
        <w:t>stir compromiso y ese compromiso</w:t>
      </w:r>
      <w:r w:rsidRPr="000C698F">
        <w:rPr>
          <w:rFonts w:ascii="Times New Roman" w:eastAsia="sans-serif" w:hAnsi="Times New Roman" w:cs="Times New Roman"/>
          <w:color w:val="272727"/>
          <w:sz w:val="24"/>
          <w:szCs w:val="24"/>
          <w:shd w:val="clear" w:color="auto" w:fill="FFFFFF"/>
        </w:rPr>
        <w:t xml:space="preserve"> surge cuando hay un Proyecto de vida juntos y por lo tanto una estabilidad sentimental. </w:t>
      </w:r>
      <w:r w:rsidRPr="000C698F">
        <w:rPr>
          <w:rFonts w:ascii="Times New Roman" w:hAnsi="Times New Roman" w:cs="Times New Roman"/>
          <w:sz w:val="24"/>
          <w:szCs w:val="24"/>
        </w:rPr>
        <w:t xml:space="preserve">Una interpretación muy estricta de compromiso, que exige que sea lo más próximo posible a la promesa matrimonial, </w:t>
      </w:r>
      <w:r w:rsidRPr="000C698F">
        <w:rPr>
          <w:rFonts w:ascii="Times New Roman" w:hAnsi="Times New Roman" w:cs="Times New Roman"/>
          <w:sz w:val="24"/>
          <w:szCs w:val="24"/>
        </w:rPr>
        <w:lastRenderedPageBreak/>
        <w:t>dejaría fuera formas de pareja que, sin estabilidad, ni pretensión de vida en común, tienen un importante nivel de intimidad. La solución quizá se halle en completar la definición de compromiso con una perspectiva subjetiva: que las partes se vean como pareja independientemente de la forma de su proyecto (voluntad recíproca de unión).</w:t>
      </w:r>
      <w:r w:rsidRPr="000C698F">
        <w:rPr>
          <w:rStyle w:val="Refdenotaalpie"/>
          <w:rFonts w:ascii="Times New Roman" w:hAnsi="Times New Roman" w:cs="Times New Roman"/>
          <w:sz w:val="24"/>
          <w:szCs w:val="24"/>
        </w:rPr>
        <w:footnoteReference w:id="18"/>
      </w:r>
    </w:p>
    <w:p w14:paraId="0A2B1C0D" w14:textId="3C6BE26F" w:rsidR="009B42B3" w:rsidRPr="00A32EE8" w:rsidRDefault="00CD6E41" w:rsidP="000C698F">
      <w:pPr>
        <w:pStyle w:val="NormalWeb"/>
        <w:shd w:val="clear" w:color="auto" w:fill="FFFFFF"/>
        <w:spacing w:beforeAutospacing="0" w:after="150" w:afterAutospacing="0" w:line="360" w:lineRule="auto"/>
        <w:jc w:val="both"/>
        <w:rPr>
          <w:rFonts w:ascii="Times New Roman" w:eastAsia="sans-serif" w:hAnsi="Times New Roman"/>
          <w:color w:val="272727"/>
          <w:shd w:val="clear" w:color="auto" w:fill="FFFFFF"/>
          <w:lang w:val="es-ES"/>
        </w:rPr>
      </w:pPr>
      <w:r w:rsidRPr="00A32EE8">
        <w:rPr>
          <w:rFonts w:ascii="Times New Roman" w:eastAsia="sans-serif" w:hAnsi="Times New Roman"/>
          <w:color w:val="272727"/>
          <w:shd w:val="clear" w:color="auto" w:fill="FFFFFF"/>
          <w:lang w:val="es-ES"/>
        </w:rPr>
        <w:t xml:space="preserve">Para saber si nos encontramos en un supuesto de violencia de género o de un delito común, la jurisprudencia establece que debe ser una relación que vaya más allá de la mera amistad (SAP Sevilla de 28 de noviembre de 2007). Esta sentencia presume que existe relación análoga de afectividad al haber mantenido relaciones sexuales durante un año, llegando incluso la víctima a quedarse embarazada. Este es el motivo que llevó a la Audiencia a considerar que se encontraba dentro de una relación de análoga afectividad. Por su parte, la SAP Tarragona establece cuales son las características de una relación de análoga afectividad a la conyugal, señalando las siguientes notas: </w:t>
      </w:r>
      <w:r w:rsidRPr="000C698F">
        <w:rPr>
          <w:rFonts w:ascii="Times New Roman" w:eastAsia="sans-serif" w:hAnsi="Times New Roman"/>
          <w:b/>
          <w:color w:val="272727"/>
          <w:shd w:val="clear" w:color="auto" w:fill="FFFFFF"/>
          <w:lang w:val="es-ES"/>
        </w:rPr>
        <w:t xml:space="preserve">aquellas </w:t>
      </w:r>
      <w:r w:rsidRPr="00A32EE8">
        <w:rPr>
          <w:rFonts w:ascii="Times New Roman" w:eastAsia="sans-serif" w:hAnsi="Times New Roman"/>
          <w:b/>
          <w:color w:val="272727"/>
          <w:shd w:val="clear" w:color="auto" w:fill="FFFFFF"/>
          <w:lang w:val="es-ES"/>
        </w:rPr>
        <w:t>dotadas de una cierta duración y vocación de permanencia,</w:t>
      </w:r>
      <w:r w:rsidRPr="00A32EE8">
        <w:rPr>
          <w:rFonts w:ascii="Times New Roman" w:eastAsia="sans-serif" w:hAnsi="Times New Roman"/>
          <w:color w:val="272727"/>
          <w:shd w:val="clear" w:color="auto" w:fill="FFFFFF"/>
          <w:lang w:val="es-ES"/>
        </w:rPr>
        <w:t xml:space="preserve"> que traspase lo meramente episódico y la relación de simple amistad, </w:t>
      </w:r>
      <w:r w:rsidRPr="00A32EE8">
        <w:rPr>
          <w:rFonts w:ascii="Times New Roman" w:eastAsia="sans-serif" w:hAnsi="Times New Roman"/>
          <w:b/>
          <w:color w:val="272727"/>
          <w:shd w:val="clear" w:color="auto" w:fill="FFFFFF"/>
          <w:lang w:val="es-ES"/>
        </w:rPr>
        <w:t>quedando igualmente excluidos encuentros amistosos o meramente esporádicos aún de contenido sexual.</w:t>
      </w:r>
      <w:r w:rsidRPr="00A32EE8">
        <w:rPr>
          <w:rFonts w:ascii="Times New Roman" w:eastAsia="sans-serif" w:hAnsi="Times New Roman"/>
          <w:color w:val="272727"/>
          <w:shd w:val="clear" w:color="auto" w:fill="FFFFFF"/>
          <w:lang w:val="es-ES"/>
        </w:rPr>
        <w:t xml:space="preserve"> Según esta sentencia no es susceptible de </w:t>
      </w:r>
      <w:r w:rsidR="004A7E16" w:rsidRPr="00A32EE8">
        <w:rPr>
          <w:rFonts w:ascii="Times New Roman" w:eastAsia="sans-serif" w:hAnsi="Times New Roman"/>
          <w:color w:val="272727"/>
          <w:shd w:val="clear" w:color="auto" w:fill="FFFFFF"/>
          <w:lang w:val="es-ES"/>
        </w:rPr>
        <w:t>incardinarse</w:t>
      </w:r>
      <w:r w:rsidRPr="00A32EE8">
        <w:rPr>
          <w:rFonts w:ascii="Times New Roman" w:eastAsia="sans-serif" w:hAnsi="Times New Roman"/>
          <w:color w:val="272727"/>
          <w:shd w:val="clear" w:color="auto" w:fill="FFFFFF"/>
          <w:lang w:val="es-ES"/>
        </w:rPr>
        <w:t xml:space="preserve"> dentro de la Violencia de Género las agresiones que se producen tras una mera relación sexual entre agresor y víctima, ni </w:t>
      </w:r>
      <w:proofErr w:type="spellStart"/>
      <w:r w:rsidRPr="00A32EE8">
        <w:rPr>
          <w:rFonts w:ascii="Times New Roman" w:eastAsia="sans-serif" w:hAnsi="Times New Roman"/>
          <w:color w:val="272727"/>
          <w:shd w:val="clear" w:color="auto" w:fill="FFFFFF"/>
          <w:lang w:val="es-ES"/>
        </w:rPr>
        <w:t>aún</w:t>
      </w:r>
      <w:proofErr w:type="spellEnd"/>
      <w:r w:rsidRPr="00A32EE8">
        <w:rPr>
          <w:rFonts w:ascii="Times New Roman" w:eastAsia="sans-serif" w:hAnsi="Times New Roman"/>
          <w:color w:val="272727"/>
          <w:shd w:val="clear" w:color="auto" w:fill="FFFFFF"/>
          <w:lang w:val="es-ES"/>
        </w:rPr>
        <w:t xml:space="preserve"> cuando ambas partes mantienen dichas relaciones de manera prolongada en el tiempo, dado que no se establece un mínimo de relaciones mantenidas para poder hablar de relaciones de análoga afectividad, por lo que, la clave para averiguar si estamos en un delito especial o general, junto con las características mencionadas es la que establece la Audiencia Provincial de Valencia, es que tenga vocación de permanencia y fidelidad de una persona hacia la otra, cosa que deberá averiguar y determinar el Juzgado en cada caso.</w:t>
      </w:r>
    </w:p>
    <w:p w14:paraId="32DFCF81" w14:textId="15EB7702" w:rsidR="0027472B" w:rsidRPr="00A32EE8" w:rsidRDefault="0027472B" w:rsidP="000C698F">
      <w:pPr>
        <w:pStyle w:val="NormalWeb"/>
        <w:shd w:val="clear" w:color="auto" w:fill="FFFFFF"/>
        <w:spacing w:beforeAutospacing="0" w:after="150" w:afterAutospacing="0" w:line="360" w:lineRule="auto"/>
        <w:jc w:val="both"/>
        <w:rPr>
          <w:rFonts w:ascii="Times New Roman" w:eastAsia="sans-serif" w:hAnsi="Times New Roman"/>
          <w:color w:val="272727"/>
          <w:shd w:val="clear" w:color="auto" w:fill="FFFFFF"/>
          <w:lang w:val="es-ES"/>
        </w:rPr>
      </w:pPr>
      <w:r w:rsidRPr="00A32EE8">
        <w:rPr>
          <w:rFonts w:ascii="Times New Roman" w:eastAsia="sans-serif" w:hAnsi="Times New Roman"/>
          <w:color w:val="272727"/>
          <w:shd w:val="clear" w:color="auto" w:fill="FFFFFF"/>
          <w:lang w:val="es-ES"/>
        </w:rPr>
        <w:t>Por lo tanto encontramos matices diferentes entre ambas figuras o elementos subjetivos distintos, en la violencia de género el mayor desvalor se encuentra en la dominaci</w:t>
      </w:r>
      <w:r w:rsidR="00B6465E" w:rsidRPr="00A32EE8">
        <w:rPr>
          <w:rFonts w:ascii="Times New Roman" w:eastAsia="sans-serif" w:hAnsi="Times New Roman"/>
          <w:color w:val="272727"/>
          <w:shd w:val="clear" w:color="auto" w:fill="FFFFFF"/>
          <w:lang w:val="es-ES"/>
        </w:rPr>
        <w:t>ón que se ejerce</w:t>
      </w:r>
      <w:r w:rsidRPr="00A32EE8">
        <w:rPr>
          <w:rFonts w:ascii="Times New Roman" w:eastAsia="sans-serif" w:hAnsi="Times New Roman"/>
          <w:color w:val="272727"/>
          <w:shd w:val="clear" w:color="auto" w:fill="FFFFFF"/>
          <w:lang w:val="es-ES"/>
        </w:rPr>
        <w:t xml:space="preserve"> por parte del agresor sobre la mujer </w:t>
      </w:r>
      <w:r w:rsidR="006C57EC" w:rsidRPr="00A32EE8">
        <w:rPr>
          <w:rFonts w:ascii="Times New Roman" w:eastAsia="sans-serif" w:hAnsi="Times New Roman"/>
          <w:color w:val="272727"/>
          <w:shd w:val="clear" w:color="auto" w:fill="FFFFFF"/>
          <w:lang w:val="es-ES"/>
        </w:rPr>
        <w:t xml:space="preserve">y en la violencia doméstica no tiene porqué concurrir ese elemento, además de que la violencia debe ejercerse de forma habitual y no tiene </w:t>
      </w:r>
      <w:proofErr w:type="spellStart"/>
      <w:r w:rsidR="006C57EC" w:rsidRPr="00A32EE8">
        <w:rPr>
          <w:rFonts w:ascii="Times New Roman" w:eastAsia="sans-serif" w:hAnsi="Times New Roman"/>
          <w:color w:val="272727"/>
          <w:shd w:val="clear" w:color="auto" w:fill="FFFFFF"/>
          <w:lang w:val="es-ES"/>
        </w:rPr>
        <w:t>poque</w:t>
      </w:r>
      <w:proofErr w:type="spellEnd"/>
      <w:r w:rsidR="006C57EC" w:rsidRPr="00A32EE8">
        <w:rPr>
          <w:rFonts w:ascii="Times New Roman" w:eastAsia="sans-serif" w:hAnsi="Times New Roman"/>
          <w:color w:val="272727"/>
          <w:shd w:val="clear" w:color="auto" w:fill="FFFFFF"/>
          <w:lang w:val="es-ES"/>
        </w:rPr>
        <w:t xml:space="preserve"> ser estrictamente </w:t>
      </w:r>
      <w:r w:rsidR="006C57EC" w:rsidRPr="00A32EE8">
        <w:rPr>
          <w:rFonts w:ascii="Times New Roman" w:eastAsia="sans-serif" w:hAnsi="Times New Roman"/>
          <w:color w:val="272727"/>
          <w:shd w:val="clear" w:color="auto" w:fill="FFFFFF"/>
          <w:lang w:val="es-ES"/>
        </w:rPr>
        <w:lastRenderedPageBreak/>
        <w:t xml:space="preserve">sobre la mujer, puede ser como hemos visto, sobre hijos, padres… cualquier persona dentro del ámbito familiar (implica esa convivencia y dependencia, y en la violencia de género no es necesario que </w:t>
      </w:r>
      <w:r w:rsidR="004A7E16" w:rsidRPr="00A32EE8">
        <w:rPr>
          <w:rFonts w:ascii="Times New Roman" w:eastAsia="sans-serif" w:hAnsi="Times New Roman"/>
          <w:color w:val="272727"/>
          <w:shd w:val="clear" w:color="auto" w:fill="FFFFFF"/>
          <w:lang w:val="es-ES"/>
        </w:rPr>
        <w:t>víctima</w:t>
      </w:r>
      <w:r w:rsidR="006C57EC" w:rsidRPr="00A32EE8">
        <w:rPr>
          <w:rFonts w:ascii="Times New Roman" w:eastAsia="sans-serif" w:hAnsi="Times New Roman"/>
          <w:color w:val="272727"/>
          <w:shd w:val="clear" w:color="auto" w:fill="FFFFFF"/>
          <w:lang w:val="es-ES"/>
        </w:rPr>
        <w:t xml:space="preserve"> y agresor convivan).</w:t>
      </w:r>
    </w:p>
    <w:p w14:paraId="5E11E74C" w14:textId="05414F96" w:rsidR="005378BD" w:rsidRPr="004A7E16" w:rsidRDefault="005378BD" w:rsidP="000C698F">
      <w:pPr>
        <w:pStyle w:val="NormalWeb"/>
        <w:shd w:val="clear" w:color="auto" w:fill="FFFFFF"/>
        <w:spacing w:beforeAutospacing="0" w:after="150" w:afterAutospacing="0" w:line="360" w:lineRule="auto"/>
        <w:jc w:val="both"/>
        <w:rPr>
          <w:rFonts w:ascii="Times New Roman" w:eastAsia="sans-serif" w:hAnsi="Times New Roman"/>
          <w:color w:val="272727"/>
          <w:shd w:val="clear" w:color="auto" w:fill="FFFFFF"/>
        </w:rPr>
      </w:pPr>
      <w:r w:rsidRPr="00A32EE8">
        <w:rPr>
          <w:rFonts w:ascii="Times New Roman" w:eastAsia="sans-serif" w:hAnsi="Times New Roman"/>
          <w:color w:val="272727"/>
          <w:shd w:val="clear" w:color="auto" w:fill="FFFFFF"/>
          <w:lang w:val="es-ES"/>
        </w:rPr>
        <w:t xml:space="preserve">Para concluir este </w:t>
      </w:r>
      <w:r w:rsidR="004A7E16" w:rsidRPr="00A32EE8">
        <w:rPr>
          <w:rFonts w:ascii="Times New Roman" w:eastAsia="sans-serif" w:hAnsi="Times New Roman"/>
          <w:color w:val="272727"/>
          <w:shd w:val="clear" w:color="auto" w:fill="FFFFFF"/>
          <w:lang w:val="es-ES"/>
        </w:rPr>
        <w:t>epígrafe</w:t>
      </w:r>
      <w:r w:rsidRPr="00A32EE8">
        <w:rPr>
          <w:rFonts w:ascii="Times New Roman" w:eastAsia="sans-serif" w:hAnsi="Times New Roman"/>
          <w:color w:val="272727"/>
          <w:shd w:val="clear" w:color="auto" w:fill="FFFFFF"/>
          <w:lang w:val="es-ES"/>
        </w:rPr>
        <w:t xml:space="preserve"> me parece interesante hacer un esquema a modo resumen de las diferencias que he mencionado que se dan entre la violencia doméstica y violencia de género:</w:t>
      </w:r>
      <w:r w:rsidR="002C563D" w:rsidRPr="000C698F">
        <w:rPr>
          <w:rStyle w:val="Refdenotaalpie"/>
          <w:rFonts w:ascii="Times New Roman" w:eastAsia="sans-serif" w:hAnsi="Times New Roman"/>
          <w:color w:val="272727"/>
          <w:shd w:val="clear" w:color="auto" w:fill="FFFFFF"/>
        </w:rPr>
        <w:footnoteReference w:id="19"/>
      </w:r>
    </w:p>
    <w:tbl>
      <w:tblPr>
        <w:tblStyle w:val="Tabladecuadrcula4-nfasis31"/>
        <w:tblW w:w="0" w:type="auto"/>
        <w:tblLook w:val="04A0" w:firstRow="1" w:lastRow="0" w:firstColumn="1" w:lastColumn="0" w:noHBand="0" w:noVBand="1"/>
      </w:tblPr>
      <w:tblGrid>
        <w:gridCol w:w="3210"/>
        <w:gridCol w:w="3210"/>
        <w:gridCol w:w="3210"/>
      </w:tblGrid>
      <w:tr w:rsidR="005378BD" w:rsidRPr="000C698F" w14:paraId="4E7B972C" w14:textId="77777777" w:rsidTr="000C698F">
        <w:trPr>
          <w:cnfStyle w:val="100000000000" w:firstRow="1" w:lastRow="0" w:firstColumn="0" w:lastColumn="0" w:oddVBand="0" w:evenVBand="0" w:oddHBand="0"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6FE3260C" w14:textId="77777777" w:rsidR="005378BD" w:rsidRPr="000C698F" w:rsidRDefault="005378BD" w:rsidP="000C698F">
            <w:pPr>
              <w:pStyle w:val="NormalWeb"/>
              <w:spacing w:beforeAutospacing="0" w:after="150" w:afterAutospacing="0" w:line="360" w:lineRule="auto"/>
              <w:jc w:val="center"/>
              <w:rPr>
                <w:rFonts w:ascii="Arial Narrow" w:eastAsia="sans-serif" w:hAnsi="Arial Narrow"/>
                <w:color w:val="272727"/>
                <w:u w:val="single"/>
                <w:shd w:val="clear" w:color="auto" w:fill="FFFFFF"/>
              </w:rPr>
            </w:pPr>
            <w:proofErr w:type="spellStart"/>
            <w:r w:rsidRPr="000C698F">
              <w:rPr>
                <w:rFonts w:ascii="Arial Narrow" w:eastAsia="sans-serif" w:hAnsi="Arial Narrow"/>
                <w:color w:val="272727"/>
                <w:u w:val="single"/>
                <w:shd w:val="clear" w:color="auto" w:fill="FFFFFF"/>
              </w:rPr>
              <w:t>Diferencias</w:t>
            </w:r>
            <w:proofErr w:type="spellEnd"/>
          </w:p>
        </w:tc>
        <w:tc>
          <w:tcPr>
            <w:tcW w:w="3210" w:type="dxa"/>
            <w:shd w:val="clear" w:color="auto" w:fill="auto"/>
          </w:tcPr>
          <w:p w14:paraId="78379996" w14:textId="77777777" w:rsidR="005378BD" w:rsidRPr="000C698F" w:rsidRDefault="005378BD" w:rsidP="000C698F">
            <w:pPr>
              <w:pStyle w:val="NormalWeb"/>
              <w:spacing w:beforeAutospacing="0" w:after="15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Narrow" w:eastAsia="sans-serif" w:hAnsi="Arial Narrow"/>
                <w:color w:val="272727"/>
                <w:u w:val="single"/>
                <w:shd w:val="clear" w:color="auto" w:fill="FFFFFF"/>
              </w:rPr>
            </w:pPr>
            <w:proofErr w:type="spellStart"/>
            <w:r w:rsidRPr="000C698F">
              <w:rPr>
                <w:rFonts w:ascii="Arial Narrow" w:eastAsia="sans-serif" w:hAnsi="Arial Narrow"/>
                <w:color w:val="272727"/>
                <w:u w:val="single"/>
                <w:shd w:val="clear" w:color="auto" w:fill="FFFFFF"/>
              </w:rPr>
              <w:t>Violencia</w:t>
            </w:r>
            <w:proofErr w:type="spellEnd"/>
            <w:r w:rsidRPr="000C698F">
              <w:rPr>
                <w:rFonts w:ascii="Arial Narrow" w:eastAsia="sans-serif" w:hAnsi="Arial Narrow"/>
                <w:color w:val="272727"/>
                <w:u w:val="single"/>
                <w:shd w:val="clear" w:color="auto" w:fill="FFFFFF"/>
              </w:rPr>
              <w:t xml:space="preserve"> </w:t>
            </w:r>
            <w:proofErr w:type="spellStart"/>
            <w:r w:rsidRPr="000C698F">
              <w:rPr>
                <w:rFonts w:ascii="Arial Narrow" w:eastAsia="sans-serif" w:hAnsi="Arial Narrow"/>
                <w:color w:val="272727"/>
                <w:u w:val="single"/>
                <w:shd w:val="clear" w:color="auto" w:fill="FFFFFF"/>
              </w:rPr>
              <w:t>Doméstica</w:t>
            </w:r>
            <w:proofErr w:type="spellEnd"/>
          </w:p>
        </w:tc>
        <w:tc>
          <w:tcPr>
            <w:tcW w:w="3210" w:type="dxa"/>
            <w:shd w:val="clear" w:color="auto" w:fill="auto"/>
          </w:tcPr>
          <w:p w14:paraId="080BF9D2" w14:textId="77777777" w:rsidR="005378BD" w:rsidRPr="000C698F" w:rsidRDefault="005378BD" w:rsidP="000C698F">
            <w:pPr>
              <w:pStyle w:val="NormalWeb"/>
              <w:spacing w:beforeAutospacing="0" w:after="15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Arial Narrow" w:eastAsia="sans-serif" w:hAnsi="Arial Narrow"/>
                <w:color w:val="272727"/>
                <w:u w:val="single"/>
                <w:shd w:val="clear" w:color="auto" w:fill="FFFFFF"/>
              </w:rPr>
            </w:pPr>
            <w:proofErr w:type="spellStart"/>
            <w:r w:rsidRPr="000C698F">
              <w:rPr>
                <w:rFonts w:ascii="Arial Narrow" w:eastAsia="sans-serif" w:hAnsi="Arial Narrow"/>
                <w:color w:val="272727"/>
                <w:u w:val="single"/>
                <w:shd w:val="clear" w:color="auto" w:fill="FFFFFF"/>
              </w:rPr>
              <w:t>Violencia</w:t>
            </w:r>
            <w:proofErr w:type="spellEnd"/>
            <w:r w:rsidRPr="000C698F">
              <w:rPr>
                <w:rFonts w:ascii="Arial Narrow" w:eastAsia="sans-serif" w:hAnsi="Arial Narrow"/>
                <w:color w:val="272727"/>
                <w:u w:val="single"/>
                <w:shd w:val="clear" w:color="auto" w:fill="FFFFFF"/>
              </w:rPr>
              <w:t xml:space="preserve"> de </w:t>
            </w:r>
            <w:proofErr w:type="spellStart"/>
            <w:r w:rsidRPr="000C698F">
              <w:rPr>
                <w:rFonts w:ascii="Arial Narrow" w:eastAsia="sans-serif" w:hAnsi="Arial Narrow"/>
                <w:color w:val="272727"/>
                <w:u w:val="single"/>
                <w:shd w:val="clear" w:color="auto" w:fill="FFFFFF"/>
              </w:rPr>
              <w:t>Género</w:t>
            </w:r>
            <w:proofErr w:type="spellEnd"/>
          </w:p>
        </w:tc>
      </w:tr>
      <w:tr w:rsidR="005378BD" w:rsidRPr="000C698F" w14:paraId="7B089B59" w14:textId="77777777" w:rsidTr="000C698F">
        <w:trPr>
          <w:cnfStyle w:val="000000100000" w:firstRow="0" w:lastRow="0" w:firstColumn="0" w:lastColumn="0" w:oddVBand="0" w:evenVBand="0" w:oddHBand="1" w:evenHBand="0" w:firstRowFirstColumn="0" w:firstRowLastColumn="0" w:lastRowFirstColumn="0" w:lastRowLastColumn="0"/>
          <w:trHeight w:val="1088"/>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7663616D"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proofErr w:type="spellStart"/>
            <w:r w:rsidRPr="000C698F">
              <w:rPr>
                <w:rFonts w:ascii="Arial Narrow" w:eastAsia="sans-serif" w:hAnsi="Arial Narrow"/>
                <w:color w:val="272727"/>
                <w:shd w:val="clear" w:color="auto" w:fill="FFFFFF"/>
              </w:rPr>
              <w:t>Sujeto</w:t>
            </w:r>
            <w:proofErr w:type="spellEnd"/>
            <w:r w:rsidRPr="000C698F">
              <w:rPr>
                <w:rFonts w:ascii="Arial Narrow" w:eastAsia="sans-serif" w:hAnsi="Arial Narrow"/>
                <w:color w:val="272727"/>
                <w:shd w:val="clear" w:color="auto" w:fill="FFFFFF"/>
              </w:rPr>
              <w:t xml:space="preserve"> </w:t>
            </w:r>
            <w:proofErr w:type="spellStart"/>
            <w:r w:rsidRPr="000C698F">
              <w:rPr>
                <w:rFonts w:ascii="Arial Narrow" w:eastAsia="sans-serif" w:hAnsi="Arial Narrow"/>
                <w:color w:val="272727"/>
                <w:shd w:val="clear" w:color="auto" w:fill="FFFFFF"/>
              </w:rPr>
              <w:t>activo</w:t>
            </w:r>
            <w:proofErr w:type="spellEnd"/>
          </w:p>
        </w:tc>
        <w:tc>
          <w:tcPr>
            <w:tcW w:w="3210" w:type="dxa"/>
            <w:shd w:val="clear" w:color="auto" w:fill="auto"/>
          </w:tcPr>
          <w:p w14:paraId="5D9D88C2" w14:textId="77777777" w:rsidR="005378BD" w:rsidRPr="00A32EE8"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lang w:val="es-ES"/>
              </w:rPr>
            </w:pPr>
            <w:r w:rsidRPr="00A32EE8">
              <w:rPr>
                <w:rFonts w:ascii="Arial Narrow" w:eastAsia="sans-serif" w:hAnsi="Arial Narrow"/>
                <w:color w:val="272727"/>
                <w:shd w:val="clear" w:color="auto" w:fill="FFFFFF"/>
                <w:lang w:val="es-ES"/>
              </w:rPr>
              <w:t>Cualquier persona integrante de un núcleo familiar.</w:t>
            </w:r>
          </w:p>
        </w:tc>
        <w:tc>
          <w:tcPr>
            <w:tcW w:w="3210" w:type="dxa"/>
            <w:shd w:val="clear" w:color="auto" w:fill="auto"/>
          </w:tcPr>
          <w:p w14:paraId="7F94658C" w14:textId="77777777" w:rsidR="005378BD" w:rsidRPr="00A32EE8"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Hombre, marido, pareja Ex hombre, ex marido, ex pareja (masculino).</w:t>
            </w:r>
          </w:p>
        </w:tc>
      </w:tr>
      <w:tr w:rsidR="005378BD" w:rsidRPr="000C698F" w14:paraId="41CE0684" w14:textId="77777777" w:rsidTr="000C698F">
        <w:trPr>
          <w:trHeight w:val="2038"/>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143CB054"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proofErr w:type="spellStart"/>
            <w:r w:rsidRPr="000C698F">
              <w:rPr>
                <w:rFonts w:ascii="Arial Narrow" w:eastAsia="sans-serif" w:hAnsi="Arial Narrow"/>
                <w:color w:val="272727"/>
                <w:shd w:val="clear" w:color="auto" w:fill="FFFFFF"/>
              </w:rPr>
              <w:t>Sujeto</w:t>
            </w:r>
            <w:proofErr w:type="spellEnd"/>
            <w:r w:rsidRPr="000C698F">
              <w:rPr>
                <w:rFonts w:ascii="Arial Narrow" w:eastAsia="sans-serif" w:hAnsi="Arial Narrow"/>
                <w:color w:val="272727"/>
                <w:shd w:val="clear" w:color="auto" w:fill="FFFFFF"/>
              </w:rPr>
              <w:t xml:space="preserve"> </w:t>
            </w:r>
            <w:proofErr w:type="spellStart"/>
            <w:r w:rsidRPr="000C698F">
              <w:rPr>
                <w:rFonts w:ascii="Arial Narrow" w:eastAsia="sans-serif" w:hAnsi="Arial Narrow"/>
                <w:color w:val="272727"/>
                <w:shd w:val="clear" w:color="auto" w:fill="FFFFFF"/>
              </w:rPr>
              <w:t>pasivo</w:t>
            </w:r>
            <w:proofErr w:type="spellEnd"/>
          </w:p>
        </w:tc>
        <w:tc>
          <w:tcPr>
            <w:tcW w:w="3210" w:type="dxa"/>
            <w:shd w:val="clear" w:color="auto" w:fill="auto"/>
          </w:tcPr>
          <w:p w14:paraId="774537E4" w14:textId="77777777" w:rsidR="005378BD" w:rsidRPr="000C698F"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rPr>
            </w:pPr>
            <w:r w:rsidRPr="000C698F">
              <w:rPr>
                <w:rFonts w:ascii="Arial Narrow" w:eastAsia="sans-serif" w:hAnsi="Arial Narrow"/>
                <w:color w:val="272727"/>
                <w:shd w:val="clear" w:color="auto" w:fill="FFFFFF"/>
                <w:lang w:val="es-ES"/>
              </w:rPr>
              <w:t>Cualquier persona integrante del mismo núcleo familiar que el agresor. (recogidas en el art. 173.2 CP).</w:t>
            </w:r>
          </w:p>
        </w:tc>
        <w:tc>
          <w:tcPr>
            <w:tcW w:w="3210" w:type="dxa"/>
            <w:shd w:val="clear" w:color="auto" w:fill="auto"/>
          </w:tcPr>
          <w:p w14:paraId="357E1A91" w14:textId="77777777" w:rsidR="005378BD" w:rsidRPr="00A32EE8"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Mujer, esposa, pareja, Ex mujer, ex esposa, ex pareja aun sin haber existido convivencia (femenino).</w:t>
            </w:r>
          </w:p>
        </w:tc>
      </w:tr>
      <w:tr w:rsidR="005378BD" w:rsidRPr="000C698F" w14:paraId="30A6BC77" w14:textId="77777777" w:rsidTr="000C698F">
        <w:trPr>
          <w:cnfStyle w:val="000000100000" w:firstRow="0" w:lastRow="0" w:firstColumn="0" w:lastColumn="0" w:oddVBand="0" w:evenVBand="0" w:oddHBand="1" w:evenHBand="0" w:firstRowFirstColumn="0" w:firstRowLastColumn="0" w:lastRowFirstColumn="0" w:lastRowLastColumn="0"/>
          <w:trHeight w:val="1865"/>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17DCC7A1"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proofErr w:type="spellStart"/>
            <w:r w:rsidRPr="000C698F">
              <w:rPr>
                <w:rFonts w:ascii="Arial Narrow" w:eastAsia="sans-serif" w:hAnsi="Arial Narrow"/>
                <w:color w:val="272727"/>
                <w:shd w:val="clear" w:color="auto" w:fill="FFFFFF"/>
              </w:rPr>
              <w:t>Tiempo</w:t>
            </w:r>
            <w:proofErr w:type="spellEnd"/>
          </w:p>
        </w:tc>
        <w:tc>
          <w:tcPr>
            <w:tcW w:w="3210" w:type="dxa"/>
            <w:shd w:val="clear" w:color="auto" w:fill="auto"/>
          </w:tcPr>
          <w:p w14:paraId="0BE31E85" w14:textId="77777777" w:rsidR="005378BD" w:rsidRPr="000C698F"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rPr>
            </w:pPr>
            <w:r w:rsidRPr="000C698F">
              <w:rPr>
                <w:rFonts w:ascii="Arial Narrow" w:eastAsia="sans-serif" w:hAnsi="Arial Narrow"/>
                <w:color w:val="272727"/>
                <w:shd w:val="clear" w:color="auto" w:fill="FFFFFF"/>
                <w:lang w:val="es-ES"/>
              </w:rPr>
              <w:t>Habitualidad de acciones (varias acciones durante cierto tiempo). Nota: en ciertos casos si se reconoce la VD ante un acto singular. En casos del art. 153.2</w:t>
            </w:r>
          </w:p>
        </w:tc>
        <w:tc>
          <w:tcPr>
            <w:tcW w:w="3210" w:type="dxa"/>
            <w:shd w:val="clear" w:color="auto" w:fill="auto"/>
          </w:tcPr>
          <w:p w14:paraId="23167C2E" w14:textId="77777777" w:rsidR="005378BD" w:rsidRPr="00A32EE8"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No requiere habitualidad. Una sola acción es suficiente para considerarse la V. Género.</w:t>
            </w:r>
          </w:p>
        </w:tc>
      </w:tr>
      <w:tr w:rsidR="005378BD" w:rsidRPr="000C698F" w14:paraId="66003D70" w14:textId="77777777" w:rsidTr="000C698F">
        <w:trPr>
          <w:trHeight w:val="2038"/>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0798ED36"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r w:rsidRPr="000C698F">
              <w:rPr>
                <w:rFonts w:ascii="Arial Narrow" w:eastAsia="sans-serif" w:hAnsi="Arial Narrow"/>
                <w:color w:val="272727"/>
                <w:shd w:val="clear" w:color="auto" w:fill="FFFFFF"/>
              </w:rPr>
              <w:t xml:space="preserve">Bien </w:t>
            </w:r>
            <w:proofErr w:type="spellStart"/>
            <w:r w:rsidRPr="000C698F">
              <w:rPr>
                <w:rFonts w:ascii="Arial Narrow" w:eastAsia="sans-serif" w:hAnsi="Arial Narrow"/>
                <w:color w:val="272727"/>
                <w:shd w:val="clear" w:color="auto" w:fill="FFFFFF"/>
              </w:rPr>
              <w:t>jurídico</w:t>
            </w:r>
            <w:proofErr w:type="spellEnd"/>
            <w:r w:rsidRPr="000C698F">
              <w:rPr>
                <w:rFonts w:ascii="Arial Narrow" w:eastAsia="sans-serif" w:hAnsi="Arial Narrow"/>
                <w:color w:val="272727"/>
                <w:shd w:val="clear" w:color="auto" w:fill="FFFFFF"/>
              </w:rPr>
              <w:t xml:space="preserve"> </w:t>
            </w:r>
            <w:proofErr w:type="spellStart"/>
            <w:r w:rsidRPr="000C698F">
              <w:rPr>
                <w:rFonts w:ascii="Arial Narrow" w:eastAsia="sans-serif" w:hAnsi="Arial Narrow"/>
                <w:color w:val="272727"/>
                <w:shd w:val="clear" w:color="auto" w:fill="FFFFFF"/>
              </w:rPr>
              <w:t>protegido</w:t>
            </w:r>
            <w:proofErr w:type="spellEnd"/>
          </w:p>
        </w:tc>
        <w:tc>
          <w:tcPr>
            <w:tcW w:w="3210" w:type="dxa"/>
            <w:shd w:val="clear" w:color="auto" w:fill="auto"/>
          </w:tcPr>
          <w:p w14:paraId="10D0EB24" w14:textId="77777777" w:rsidR="005378BD" w:rsidRPr="00A32EE8"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Integridad moral de las víctimas. Además de Ambiente familiar normal, pacífico y de convivencia.</w:t>
            </w:r>
          </w:p>
        </w:tc>
        <w:tc>
          <w:tcPr>
            <w:tcW w:w="3210" w:type="dxa"/>
            <w:shd w:val="clear" w:color="auto" w:fill="auto"/>
          </w:tcPr>
          <w:p w14:paraId="39D9723C" w14:textId="77777777" w:rsidR="005378BD" w:rsidRPr="00A32EE8"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 xml:space="preserve">Bienes jurídicos – personales fundamentales de la mujer (vida, integridad física, moral, </w:t>
            </w:r>
            <w:proofErr w:type="spellStart"/>
            <w:r w:rsidRPr="000C698F">
              <w:rPr>
                <w:rFonts w:ascii="Arial Narrow" w:eastAsia="sans-serif" w:hAnsi="Arial Narrow"/>
                <w:color w:val="272727"/>
                <w:shd w:val="clear" w:color="auto" w:fill="FFFFFF"/>
                <w:lang w:val="es-ES"/>
              </w:rPr>
              <w:t>etc</w:t>
            </w:r>
            <w:proofErr w:type="spellEnd"/>
            <w:r w:rsidRPr="000C698F">
              <w:rPr>
                <w:rFonts w:ascii="Arial Narrow" w:eastAsia="sans-serif" w:hAnsi="Arial Narrow"/>
                <w:color w:val="272727"/>
                <w:shd w:val="clear" w:color="auto" w:fill="FFFFFF"/>
                <w:lang w:val="es-ES"/>
              </w:rPr>
              <w:t>).</w:t>
            </w:r>
          </w:p>
        </w:tc>
      </w:tr>
      <w:tr w:rsidR="005378BD" w:rsidRPr="000C698F" w14:paraId="5BA35D1B" w14:textId="77777777" w:rsidTr="000C698F">
        <w:trPr>
          <w:cnfStyle w:val="000000100000" w:firstRow="0" w:lastRow="0" w:firstColumn="0" w:lastColumn="0" w:oddVBand="0" w:evenVBand="0" w:oddHBand="1" w:evenHBand="0" w:firstRowFirstColumn="0" w:firstRowLastColumn="0" w:lastRowFirstColumn="0" w:lastRowLastColumn="0"/>
          <w:trHeight w:val="1554"/>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3241E321"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proofErr w:type="spellStart"/>
            <w:r w:rsidRPr="000C698F">
              <w:rPr>
                <w:rFonts w:ascii="Arial Narrow" w:eastAsia="sans-serif" w:hAnsi="Arial Narrow"/>
                <w:color w:val="272727"/>
                <w:shd w:val="clear" w:color="auto" w:fill="FFFFFF"/>
              </w:rPr>
              <w:lastRenderedPageBreak/>
              <w:t>Autonomía</w:t>
            </w:r>
            <w:proofErr w:type="spellEnd"/>
            <w:r w:rsidRPr="000C698F">
              <w:rPr>
                <w:rFonts w:ascii="Arial Narrow" w:eastAsia="sans-serif" w:hAnsi="Arial Narrow"/>
                <w:color w:val="272727"/>
                <w:shd w:val="clear" w:color="auto" w:fill="FFFFFF"/>
              </w:rPr>
              <w:t xml:space="preserve"> </w:t>
            </w:r>
            <w:proofErr w:type="spellStart"/>
            <w:r w:rsidRPr="000C698F">
              <w:rPr>
                <w:rFonts w:ascii="Arial Narrow" w:eastAsia="sans-serif" w:hAnsi="Arial Narrow"/>
                <w:color w:val="272727"/>
                <w:shd w:val="clear" w:color="auto" w:fill="FFFFFF"/>
              </w:rPr>
              <w:t>jurídica</w:t>
            </w:r>
            <w:proofErr w:type="spellEnd"/>
          </w:p>
        </w:tc>
        <w:tc>
          <w:tcPr>
            <w:tcW w:w="3210" w:type="dxa"/>
            <w:shd w:val="clear" w:color="auto" w:fill="auto"/>
          </w:tcPr>
          <w:p w14:paraId="24B342FB" w14:textId="77777777" w:rsidR="005378BD" w:rsidRPr="000C698F"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rPr>
            </w:pPr>
            <w:r w:rsidRPr="000C698F">
              <w:rPr>
                <w:rFonts w:ascii="Arial Narrow" w:eastAsia="sans-serif" w:hAnsi="Arial Narrow"/>
                <w:color w:val="272727"/>
                <w:shd w:val="clear" w:color="auto" w:fill="FFFFFF"/>
                <w:lang w:val="es-ES"/>
              </w:rPr>
              <w:t>Delito que presume de autónomo y específico. Art 173.2 y 153.2</w:t>
            </w:r>
          </w:p>
        </w:tc>
        <w:tc>
          <w:tcPr>
            <w:tcW w:w="3210" w:type="dxa"/>
            <w:shd w:val="clear" w:color="auto" w:fill="auto"/>
          </w:tcPr>
          <w:p w14:paraId="0C1D506F" w14:textId="77777777" w:rsidR="005378BD" w:rsidRPr="00A32EE8" w:rsidRDefault="002C563D" w:rsidP="000C698F">
            <w:pPr>
              <w:pStyle w:val="NormalWeb"/>
              <w:spacing w:beforeAutospacing="0" w:after="150" w:afterAutospacing="0" w:line="360" w:lineRule="auto"/>
              <w:jc w:val="both"/>
              <w:cnfStyle w:val="000000100000" w:firstRow="0" w:lastRow="0" w:firstColumn="0" w:lastColumn="0" w:oddVBand="0" w:evenVBand="0" w:oddHBand="1"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No presume de autonomía. Se basa en conductas ya tipificadas como delitos. Salvo el 153.1 y el 148.4 que se califica como VG específica.</w:t>
            </w:r>
          </w:p>
        </w:tc>
      </w:tr>
      <w:tr w:rsidR="005378BD" w:rsidRPr="000C698F" w14:paraId="05EE4F43" w14:textId="77777777" w:rsidTr="000C698F">
        <w:trPr>
          <w:trHeight w:val="621"/>
        </w:trPr>
        <w:tc>
          <w:tcPr>
            <w:cnfStyle w:val="001000000000" w:firstRow="0" w:lastRow="0" w:firstColumn="1" w:lastColumn="0" w:oddVBand="0" w:evenVBand="0" w:oddHBand="0" w:evenHBand="0" w:firstRowFirstColumn="0" w:firstRowLastColumn="0" w:lastRowFirstColumn="0" w:lastRowLastColumn="0"/>
            <w:tcW w:w="3210" w:type="dxa"/>
            <w:shd w:val="clear" w:color="auto" w:fill="auto"/>
          </w:tcPr>
          <w:p w14:paraId="2537CA26" w14:textId="77777777" w:rsidR="005378BD" w:rsidRPr="000C698F" w:rsidRDefault="002C563D" w:rsidP="000C698F">
            <w:pPr>
              <w:pStyle w:val="NormalWeb"/>
              <w:spacing w:beforeAutospacing="0" w:after="150" w:afterAutospacing="0" w:line="360" w:lineRule="auto"/>
              <w:jc w:val="both"/>
              <w:rPr>
                <w:rFonts w:ascii="Arial Narrow" w:eastAsia="sans-serif" w:hAnsi="Arial Narrow"/>
                <w:color w:val="272727"/>
                <w:shd w:val="clear" w:color="auto" w:fill="FFFFFF"/>
              </w:rPr>
            </w:pPr>
            <w:proofErr w:type="spellStart"/>
            <w:r w:rsidRPr="000C698F">
              <w:rPr>
                <w:rFonts w:ascii="Arial Narrow" w:eastAsia="sans-serif" w:hAnsi="Arial Narrow"/>
                <w:color w:val="272727"/>
                <w:shd w:val="clear" w:color="auto" w:fill="FFFFFF"/>
              </w:rPr>
              <w:t>Incorporación</w:t>
            </w:r>
            <w:proofErr w:type="spellEnd"/>
            <w:r w:rsidRPr="000C698F">
              <w:rPr>
                <w:rFonts w:ascii="Arial Narrow" w:eastAsia="sans-serif" w:hAnsi="Arial Narrow"/>
                <w:color w:val="272727"/>
                <w:shd w:val="clear" w:color="auto" w:fill="FFFFFF"/>
              </w:rPr>
              <w:t xml:space="preserve"> doctrinal</w:t>
            </w:r>
          </w:p>
        </w:tc>
        <w:tc>
          <w:tcPr>
            <w:tcW w:w="3210" w:type="dxa"/>
            <w:shd w:val="clear" w:color="auto" w:fill="auto"/>
          </w:tcPr>
          <w:p w14:paraId="6852D883" w14:textId="77777777" w:rsidR="005378BD" w:rsidRPr="00A32EE8"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Data de 1989, en el antiguo código Penal (art 425).</w:t>
            </w:r>
          </w:p>
        </w:tc>
        <w:tc>
          <w:tcPr>
            <w:tcW w:w="3210" w:type="dxa"/>
            <w:shd w:val="clear" w:color="auto" w:fill="auto"/>
          </w:tcPr>
          <w:p w14:paraId="4D490915" w14:textId="77777777" w:rsidR="005378BD" w:rsidRPr="00A32EE8" w:rsidRDefault="002C563D" w:rsidP="000C698F">
            <w:pPr>
              <w:pStyle w:val="NormalWeb"/>
              <w:spacing w:beforeAutospacing="0" w:after="150" w:afterAutospacing="0" w:line="360" w:lineRule="auto"/>
              <w:jc w:val="both"/>
              <w:cnfStyle w:val="000000000000" w:firstRow="0" w:lastRow="0" w:firstColumn="0" w:lastColumn="0" w:oddVBand="0" w:evenVBand="0" w:oddHBand="0" w:evenHBand="0" w:firstRowFirstColumn="0" w:firstRowLastColumn="0" w:lastRowFirstColumn="0" w:lastRowLastColumn="0"/>
              <w:rPr>
                <w:rFonts w:ascii="Arial Narrow" w:eastAsia="sans-serif" w:hAnsi="Arial Narrow"/>
                <w:color w:val="272727"/>
                <w:shd w:val="clear" w:color="auto" w:fill="FFFFFF"/>
                <w:lang w:val="es-ES"/>
              </w:rPr>
            </w:pPr>
            <w:r w:rsidRPr="000C698F">
              <w:rPr>
                <w:rFonts w:ascii="Arial Narrow" w:eastAsia="sans-serif" w:hAnsi="Arial Narrow"/>
                <w:color w:val="272727"/>
                <w:shd w:val="clear" w:color="auto" w:fill="FFFFFF"/>
                <w:lang w:val="es-ES"/>
              </w:rPr>
              <w:t>Data del 2004, con la implantación de la nueva Ley 1/2004.</w:t>
            </w:r>
          </w:p>
        </w:tc>
      </w:tr>
    </w:tbl>
    <w:p w14:paraId="22636EA5" w14:textId="77777777" w:rsidR="00B6465E" w:rsidRPr="00A32EE8" w:rsidRDefault="00B6465E" w:rsidP="000C698F">
      <w:pPr>
        <w:pStyle w:val="NormalWeb"/>
        <w:shd w:val="clear" w:color="auto" w:fill="FFFFFF"/>
        <w:spacing w:beforeAutospacing="0" w:after="150" w:afterAutospacing="0" w:line="360" w:lineRule="auto"/>
        <w:jc w:val="both"/>
        <w:rPr>
          <w:rFonts w:ascii="Times New Roman" w:eastAsia="sans-serif" w:hAnsi="Times New Roman"/>
          <w:color w:val="272727"/>
          <w:lang w:val="es-ES"/>
        </w:rPr>
      </w:pPr>
    </w:p>
    <w:p w14:paraId="5B987759" w14:textId="77777777" w:rsidR="00AB31E1" w:rsidRPr="00A32EE8" w:rsidRDefault="00D9068A" w:rsidP="000C698F">
      <w:pPr>
        <w:pStyle w:val="NormalWeb"/>
        <w:shd w:val="clear" w:color="auto" w:fill="FFFFFF"/>
        <w:spacing w:beforeAutospacing="0" w:after="150" w:afterAutospacing="0" w:line="360" w:lineRule="auto"/>
        <w:rPr>
          <w:rFonts w:ascii="Times New Roman" w:eastAsia="sans-serif" w:hAnsi="Times New Roman"/>
          <w:b/>
          <w:color w:val="E40059" w:themeColor="accent2"/>
          <w:u w:val="single"/>
          <w:lang w:val="es-ES"/>
        </w:rPr>
      </w:pPr>
      <w:r w:rsidRPr="00A32EE8">
        <w:rPr>
          <w:rFonts w:ascii="Times New Roman" w:eastAsia="sans-serif" w:hAnsi="Times New Roman"/>
          <w:b/>
          <w:color w:val="E40059" w:themeColor="accent2"/>
          <w:u w:val="single"/>
          <w:lang w:val="es-ES"/>
        </w:rPr>
        <w:t>a)</w:t>
      </w:r>
      <w:r w:rsidR="00AB31E1" w:rsidRPr="00A32EE8">
        <w:rPr>
          <w:rFonts w:ascii="Times New Roman" w:eastAsia="sans-serif" w:hAnsi="Times New Roman"/>
          <w:b/>
          <w:color w:val="E40059" w:themeColor="accent2"/>
          <w:u w:val="single"/>
          <w:lang w:val="es-ES"/>
        </w:rPr>
        <w:t xml:space="preserve"> Automatismo</w:t>
      </w:r>
      <w:r w:rsidR="00A4235B" w:rsidRPr="00A32EE8">
        <w:rPr>
          <w:rFonts w:ascii="Times New Roman" w:eastAsia="sans-serif" w:hAnsi="Times New Roman"/>
          <w:b/>
          <w:color w:val="E40059" w:themeColor="accent2"/>
          <w:u w:val="single"/>
          <w:lang w:val="es-ES"/>
        </w:rPr>
        <w:t xml:space="preserve"> - Definición</w:t>
      </w:r>
    </w:p>
    <w:p w14:paraId="03276F25" w14:textId="795DEEF6" w:rsidR="00AB31E1" w:rsidRPr="00A32EE8" w:rsidRDefault="004B6B97" w:rsidP="000C698F">
      <w:pPr>
        <w:pStyle w:val="NormalWeb"/>
        <w:shd w:val="clear" w:color="auto" w:fill="FFFFFF"/>
        <w:spacing w:beforeAutospacing="0" w:after="150" w:afterAutospacing="0" w:line="360" w:lineRule="auto"/>
        <w:rPr>
          <w:rFonts w:ascii="Times New Roman" w:eastAsia="sans-serif" w:hAnsi="Times New Roman"/>
          <w:lang w:val="es-ES"/>
        </w:rPr>
      </w:pPr>
      <w:r w:rsidRPr="00A32EE8">
        <w:rPr>
          <w:rFonts w:ascii="Times New Roman" w:eastAsia="sans-serif" w:hAnsi="Times New Roman"/>
          <w:lang w:val="es-ES"/>
        </w:rPr>
        <w:t xml:space="preserve">Con este </w:t>
      </w:r>
      <w:r w:rsidR="004A7E16" w:rsidRPr="00A32EE8">
        <w:rPr>
          <w:rFonts w:ascii="Times New Roman" w:eastAsia="sans-serif" w:hAnsi="Times New Roman"/>
          <w:lang w:val="es-ES"/>
        </w:rPr>
        <w:t>término</w:t>
      </w:r>
      <w:r w:rsidRPr="00A32EE8">
        <w:rPr>
          <w:rFonts w:ascii="Times New Roman" w:eastAsia="sans-serif" w:hAnsi="Times New Roman"/>
          <w:lang w:val="es-ES"/>
        </w:rPr>
        <w:t xml:space="preserve"> se hace referencia a la necesidad o no del elemento subjetivo de dominación para la aplicación del art.153 CP, cuestión a la que ya he hecho referencia en varias ocasiones a lo largo del presente trabajo. </w:t>
      </w:r>
      <w:r w:rsidR="00F55B5F" w:rsidRPr="00A32EE8">
        <w:rPr>
          <w:rFonts w:ascii="Times New Roman" w:eastAsia="sans-serif" w:hAnsi="Times New Roman"/>
          <w:lang w:val="es-ES"/>
        </w:rPr>
        <w:t xml:space="preserve">Se trata de una cuestión </w:t>
      </w:r>
      <w:r w:rsidR="00331C44" w:rsidRPr="00A32EE8">
        <w:rPr>
          <w:rFonts w:ascii="Times New Roman" w:eastAsia="sans-serif" w:hAnsi="Times New Roman"/>
          <w:lang w:val="es-ES"/>
        </w:rPr>
        <w:t xml:space="preserve">controvertida de la que no hay solución </w:t>
      </w:r>
      <w:proofErr w:type="spellStart"/>
      <w:r w:rsidR="00331C44" w:rsidRPr="00A32EE8">
        <w:rPr>
          <w:rFonts w:ascii="Times New Roman" w:eastAsia="sans-serif" w:hAnsi="Times New Roman"/>
          <w:lang w:val="es-ES"/>
        </w:rPr>
        <w:t>unanime</w:t>
      </w:r>
      <w:proofErr w:type="spellEnd"/>
      <w:r w:rsidR="00331C44" w:rsidRPr="00A32EE8">
        <w:rPr>
          <w:rFonts w:ascii="Times New Roman" w:eastAsia="sans-serif" w:hAnsi="Times New Roman"/>
          <w:lang w:val="es-ES"/>
        </w:rPr>
        <w:t xml:space="preserve"> ni por parte de la doctrina ni de la jurispruden</w:t>
      </w:r>
      <w:r w:rsidR="00F55B5F" w:rsidRPr="00A32EE8">
        <w:rPr>
          <w:rFonts w:ascii="Times New Roman" w:eastAsia="sans-serif" w:hAnsi="Times New Roman"/>
          <w:lang w:val="es-ES"/>
        </w:rPr>
        <w:t>cia como a continuación veremos.</w:t>
      </w:r>
      <w:r w:rsidR="002F5FF2" w:rsidRPr="000C698F">
        <w:rPr>
          <w:rStyle w:val="Refdenotaalpie"/>
          <w:rFonts w:ascii="Times New Roman" w:eastAsia="sans-serif" w:hAnsi="Times New Roman"/>
        </w:rPr>
        <w:footnoteReference w:id="20"/>
      </w:r>
    </w:p>
    <w:p w14:paraId="1ADFA1CE" w14:textId="77777777" w:rsidR="00957DB1" w:rsidRPr="00A32EE8" w:rsidRDefault="00957DB1" w:rsidP="000C698F">
      <w:pPr>
        <w:pStyle w:val="NormalWeb"/>
        <w:shd w:val="clear" w:color="auto" w:fill="FFFFFF"/>
        <w:spacing w:beforeAutospacing="0" w:after="150" w:afterAutospacing="0" w:line="360" w:lineRule="auto"/>
        <w:jc w:val="both"/>
        <w:rPr>
          <w:rFonts w:ascii="Times New Roman" w:eastAsia="sans-serif" w:hAnsi="Times New Roman"/>
          <w:lang w:val="es-ES"/>
        </w:rPr>
      </w:pPr>
      <w:r w:rsidRPr="00A32EE8">
        <w:rPr>
          <w:rFonts w:ascii="Times New Roman" w:eastAsia="sans-serif" w:hAnsi="Times New Roman"/>
          <w:lang w:val="es-ES"/>
        </w:rPr>
        <w:t xml:space="preserve">Este </w:t>
      </w:r>
      <w:proofErr w:type="spellStart"/>
      <w:r w:rsidRPr="00A32EE8">
        <w:rPr>
          <w:rFonts w:ascii="Times New Roman" w:eastAsia="sans-serif" w:hAnsi="Times New Roman"/>
          <w:lang w:val="es-ES"/>
        </w:rPr>
        <w:t>element</w:t>
      </w:r>
      <w:proofErr w:type="spellEnd"/>
      <w:r w:rsidRPr="00A32EE8">
        <w:rPr>
          <w:rFonts w:ascii="Times New Roman" w:eastAsia="sans-serif" w:hAnsi="Times New Roman"/>
          <w:lang w:val="es-ES"/>
        </w:rPr>
        <w:t xml:space="preserve"> subjetivo sería “</w:t>
      </w:r>
      <w:r w:rsidR="00F55B5F" w:rsidRPr="00A32EE8">
        <w:rPr>
          <w:rFonts w:ascii="Times New Roman" w:eastAsia="sans-serif" w:hAnsi="Times New Roman"/>
          <w:lang w:val="es-ES"/>
        </w:rPr>
        <w:t>el fundamento material que explicaría la limitación de la autoría en los delitos de violencia de género a la condición de ser hombre, residiría en que éste en la realización de estas conductas ejercería su posición dominante en la relación de pareja con una mujer, de manera que el abuso de poder en dicha relación sería lo que fundamentaría una mayor gravedad del injusto. Además también existiría una mayor gravedad de la culpabilidad, puesto que el motivo que impulsaría al autor a cometer estos delitos sería la discriminación por razón del sexo femenino, con lo que se hallaría un elemento subjetivo de la culpabilidad, que excluiría las agresiones de las mujer</w:t>
      </w:r>
      <w:r w:rsidRPr="00A32EE8">
        <w:rPr>
          <w:rFonts w:ascii="Times New Roman" w:eastAsia="sans-serif" w:hAnsi="Times New Roman"/>
          <w:lang w:val="es-ES"/>
        </w:rPr>
        <w:t>es contra sus parejas femeninas”.</w:t>
      </w:r>
      <w:r w:rsidRPr="000C698F">
        <w:rPr>
          <w:rStyle w:val="Refdenotaalpie"/>
          <w:rFonts w:ascii="Times New Roman" w:eastAsia="sans-serif" w:hAnsi="Times New Roman"/>
        </w:rPr>
        <w:footnoteReference w:id="21"/>
      </w:r>
    </w:p>
    <w:p w14:paraId="104F1AA2" w14:textId="77777777" w:rsidR="00957DB1" w:rsidRPr="00A32EE8" w:rsidRDefault="00957DB1" w:rsidP="000C698F">
      <w:pPr>
        <w:pStyle w:val="NormalWeb"/>
        <w:shd w:val="clear" w:color="auto" w:fill="FFFFFF"/>
        <w:spacing w:beforeAutospacing="0" w:after="150" w:afterAutospacing="0" w:line="360" w:lineRule="auto"/>
        <w:jc w:val="both"/>
        <w:rPr>
          <w:rFonts w:ascii="Times New Roman" w:eastAsia="sans-serif" w:hAnsi="Times New Roman"/>
          <w:b/>
          <w:color w:val="E40059" w:themeColor="accent2"/>
          <w:lang w:val="es-ES"/>
        </w:rPr>
      </w:pPr>
      <w:r w:rsidRPr="00A32EE8">
        <w:rPr>
          <w:rFonts w:ascii="Times New Roman" w:eastAsia="sans-serif" w:hAnsi="Times New Roman"/>
          <w:b/>
          <w:color w:val="E40059" w:themeColor="accent2"/>
          <w:lang w:val="es-ES"/>
        </w:rPr>
        <w:t>b) Posiciones a favor y en contra.</w:t>
      </w:r>
    </w:p>
    <w:p w14:paraId="45BD6536" w14:textId="77777777" w:rsidR="009B42B3" w:rsidRPr="000C698F" w:rsidRDefault="00F67A4D" w:rsidP="000C698F">
      <w:pPr>
        <w:spacing w:line="360" w:lineRule="auto"/>
        <w:jc w:val="both"/>
        <w:rPr>
          <w:rFonts w:ascii="Times New Roman" w:hAnsi="Times New Roman" w:cs="Times New Roman"/>
          <w:bCs/>
          <w:sz w:val="24"/>
          <w:szCs w:val="24"/>
        </w:rPr>
      </w:pPr>
      <w:r w:rsidRPr="000C698F">
        <w:rPr>
          <w:rFonts w:ascii="Times New Roman" w:hAnsi="Times New Roman" w:cs="Times New Roman"/>
          <w:b/>
          <w:bCs/>
          <w:sz w:val="24"/>
          <w:szCs w:val="24"/>
        </w:rPr>
        <w:lastRenderedPageBreak/>
        <w:t>Posiciones doctrinales encontramos tres</w:t>
      </w:r>
      <w:r w:rsidR="00957DB1" w:rsidRPr="000C698F">
        <w:rPr>
          <w:rStyle w:val="Refdenotaalpie"/>
          <w:rFonts w:ascii="Times New Roman" w:hAnsi="Times New Roman" w:cs="Times New Roman"/>
          <w:b/>
          <w:bCs/>
          <w:sz w:val="24"/>
          <w:szCs w:val="24"/>
        </w:rPr>
        <w:footnoteReference w:id="22"/>
      </w:r>
      <w:r w:rsidRPr="000C698F">
        <w:rPr>
          <w:rFonts w:ascii="Times New Roman" w:hAnsi="Times New Roman" w:cs="Times New Roman"/>
          <w:bCs/>
          <w:sz w:val="24"/>
          <w:szCs w:val="24"/>
        </w:rPr>
        <w:t xml:space="preserve">: dos de ellas consideradas las más extremas por estar totalmente enfrentadas, en las que una de ellas defiende la existencia de una posición de dominio por parte del hombre sobre la mujer y la otra que considera que exigir un elemento subjetivo supone una invención ya que no aparece recogido en el tipo como tal. Como posición intermedia encontramos los autores que defienden que ese ánimo de dominar o degradar a la mujer se presume en las relaciones de pareja, admitiendo prueba en contrario. </w:t>
      </w:r>
    </w:p>
    <w:p w14:paraId="0DE0907A" w14:textId="5CD13328" w:rsidR="00F67A4D" w:rsidRPr="000C698F" w:rsidRDefault="00F67A4D" w:rsidP="000C698F">
      <w:pPr>
        <w:pStyle w:val="Prrafodelista"/>
        <w:numPr>
          <w:ilvl w:val="0"/>
          <w:numId w:val="18"/>
        </w:numPr>
        <w:spacing w:line="360" w:lineRule="auto"/>
        <w:jc w:val="both"/>
        <w:rPr>
          <w:rFonts w:ascii="Times New Roman" w:hAnsi="Times New Roman" w:cs="Times New Roman"/>
          <w:b/>
          <w:bCs/>
          <w:sz w:val="24"/>
          <w:szCs w:val="24"/>
        </w:rPr>
      </w:pPr>
      <w:r w:rsidRPr="000C698F">
        <w:rPr>
          <w:rFonts w:ascii="Times New Roman" w:hAnsi="Times New Roman" w:cs="Times New Roman"/>
          <w:b/>
          <w:bCs/>
          <w:sz w:val="24"/>
          <w:szCs w:val="24"/>
        </w:rPr>
        <w:t xml:space="preserve">Autores que no entienden necesario el ánimo de dominación: </w:t>
      </w:r>
      <w:r w:rsidRPr="000C698F">
        <w:rPr>
          <w:rFonts w:ascii="Times New Roman" w:hAnsi="Times New Roman" w:cs="Times New Roman"/>
          <w:bCs/>
          <w:sz w:val="24"/>
          <w:szCs w:val="24"/>
        </w:rPr>
        <w:t xml:space="preserve">afirman que para aplicar el art.153 CP basta con que concurran los elementos que se mencionan literalmente en el tipo, los cuales son, por una parte la existencia de una relación de pareja y por otra el menoscabo que se produce en la integridad de la mujer, sin olvidar como elemento subjetivo el dolo genérico de menoscabar la integridad. El TC avaló esta posición en una de sus sentencias al considerar que </w:t>
      </w:r>
      <w:r w:rsidR="009A5556" w:rsidRPr="000C698F">
        <w:rPr>
          <w:rFonts w:ascii="Times New Roman" w:hAnsi="Times New Roman" w:cs="Times New Roman"/>
          <w:bCs/>
          <w:i/>
          <w:sz w:val="24"/>
          <w:szCs w:val="24"/>
        </w:rPr>
        <w:t>“</w:t>
      </w:r>
      <w:r w:rsidRPr="000C698F">
        <w:rPr>
          <w:rFonts w:ascii="Times New Roman" w:hAnsi="Times New Roman" w:cs="Times New Roman"/>
          <w:bCs/>
          <w:i/>
          <w:sz w:val="24"/>
          <w:szCs w:val="24"/>
        </w:rPr>
        <w:t xml:space="preserve">no exige el art.153 ningún elemento </w:t>
      </w:r>
      <w:r w:rsidR="009A5556" w:rsidRPr="000C698F">
        <w:rPr>
          <w:rFonts w:ascii="Times New Roman" w:hAnsi="Times New Roman" w:cs="Times New Roman"/>
          <w:bCs/>
          <w:i/>
          <w:sz w:val="24"/>
          <w:szCs w:val="24"/>
        </w:rPr>
        <w:t>subjetivo</w:t>
      </w:r>
      <w:r w:rsidRPr="000C698F">
        <w:rPr>
          <w:rFonts w:ascii="Times New Roman" w:hAnsi="Times New Roman" w:cs="Times New Roman"/>
          <w:bCs/>
          <w:i/>
          <w:sz w:val="24"/>
          <w:szCs w:val="24"/>
        </w:rPr>
        <w:t xml:space="preserve"> adicional</w:t>
      </w:r>
      <w:r w:rsidR="009A5556" w:rsidRPr="000C698F">
        <w:rPr>
          <w:rFonts w:ascii="Times New Roman" w:hAnsi="Times New Roman" w:cs="Times New Roman"/>
          <w:bCs/>
          <w:i/>
          <w:sz w:val="24"/>
          <w:szCs w:val="24"/>
        </w:rPr>
        <w:t>, ni la mayor o menor corpulencia del agresor, ni la mayor fortaleza de carácter o un temperamento más o menos impulsivo en la víctima y/o agresor, ni que aquella realice o no un acto de violencia defensivo o concurrente con el de su agresor, ni que la agresión se produzca en un determinado contexto de subcultura machista.”</w:t>
      </w:r>
    </w:p>
    <w:p w14:paraId="7B135336" w14:textId="77777777" w:rsidR="009A5556" w:rsidRPr="000C698F" w:rsidRDefault="009A5556"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Entre los diferentes argumentos aportados en apoyo a la no consideración de la intención de dominación, podemos destacar los siguientes:</w:t>
      </w:r>
      <w:r w:rsidR="006E4868" w:rsidRPr="000C698F">
        <w:rPr>
          <w:rStyle w:val="Refdenotaalpie"/>
          <w:rFonts w:ascii="Times New Roman" w:hAnsi="Times New Roman" w:cs="Times New Roman"/>
          <w:bCs/>
          <w:sz w:val="24"/>
          <w:szCs w:val="24"/>
        </w:rPr>
        <w:footnoteReference w:id="23"/>
      </w:r>
    </w:p>
    <w:p w14:paraId="2F6C35FB" w14:textId="77777777" w:rsidR="009A5556" w:rsidRPr="000C698F" w:rsidRDefault="009A5556"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La Exposición de Motivos de la LO 1/2004, se limita únicamente a recalcar en su párrafo primero que la violencia de género es el símbolo más brutal de la desigualdad existente en nuestra sociedad y que «se trata de una violencia que se dirige sobre las mujeres por el hecho mismo de serlo, por ser consideradas, por sus agresores, carentes de derechos mínimos de libertad, respeto y capacidad de decisión».</w:t>
      </w:r>
    </w:p>
    <w:p w14:paraId="655F9F4B" w14:textId="77777777" w:rsidR="009A5556" w:rsidRPr="000C698F" w:rsidRDefault="009A5556"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 xml:space="preserve">La voluntad del legislador de castigar con mayor pena las conductas relatadas en el art. 153.1 CP en relación a las mismas conductas cometidas entre otros miembros de la familia (art. 153.2 CP) o entre extraños (art. 147 CP) se basa en el hecho de revelar las mismas en sí mismas un mayor desvalor, por lo que es innecesario indagar si representan o no una manifestación de discriminación, desigualdad y relaciones de poder, y ello por cuanto el art. 2 g) de la LO 1/2004 establece como uno de los principios rectores de esta ley el </w:t>
      </w:r>
      <w:r w:rsidRPr="000C698F">
        <w:rPr>
          <w:rFonts w:ascii="Times New Roman" w:hAnsi="Times New Roman" w:cs="Times New Roman"/>
          <w:bCs/>
          <w:i/>
          <w:sz w:val="24"/>
          <w:szCs w:val="24"/>
        </w:rPr>
        <w:t>“fortalecer el marco penal y procesal vigente para asegurar una protección integral, desde las instancias jurisdiccionales, a las víctimas de violencia de género”.</w:t>
      </w:r>
    </w:p>
    <w:p w14:paraId="206EFA88" w14:textId="77777777" w:rsidR="006E179D" w:rsidRPr="000C698F" w:rsidRDefault="006E179D"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art. 1 LO 1/2004, se limita también a expresar la finalidad de esta norma, que es la de actuar contra un tipo específico de violencia, que se produce como manifestación de la discriminación, la situación de desigualdad y las relaciones de poder del hombre sobre la mujer, por lo que este precepto se trataría de una mera declaración de principios con un contenido programático, y que como señala la Circular de la FGE 4/2005 consiste en “una definición descriptiva de las circunstancias que subyacen en la violencia de género al margen de cualquier referencia a elementos subjetivos o intencionales”.</w:t>
      </w:r>
    </w:p>
    <w:p w14:paraId="5C8DF7AA" w14:textId="77777777" w:rsidR="006E179D" w:rsidRPr="000C698F" w:rsidRDefault="006E179D"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La voluntad del legislador de castigar con mayor pena las conductas relatadas en el art. 153.1 CP en relación a las mismas conductas cometidas entre otros miembros de la familia (art. 153.2 CP) o entre extraños (art. 147 CP) se basa en el hecho de revelar las mismas en </w:t>
      </w:r>
      <w:proofErr w:type="spellStart"/>
      <w:r w:rsidRPr="000C698F">
        <w:rPr>
          <w:rFonts w:ascii="Times New Roman" w:hAnsi="Times New Roman" w:cs="Times New Roman"/>
          <w:bCs/>
          <w:sz w:val="24"/>
          <w:szCs w:val="24"/>
        </w:rPr>
        <w:t>si</w:t>
      </w:r>
      <w:proofErr w:type="spellEnd"/>
      <w:r w:rsidRPr="000C698F">
        <w:rPr>
          <w:rFonts w:ascii="Times New Roman" w:hAnsi="Times New Roman" w:cs="Times New Roman"/>
          <w:bCs/>
          <w:sz w:val="24"/>
          <w:szCs w:val="24"/>
        </w:rPr>
        <w:t xml:space="preserve"> mismas un mayor desvalor, por lo que es innecesario indagar si representan o no una manifestación de discriminación, desigualdad y relaciones de poder, y ello por cuanto el art. 2 g) de la LO 1/2004 establece como uno de los principios rectores de esta ley el “fortalecer el marco penal y procesal vigente para asegurar una protección integral, desde las instancias jurisdiccionales, a las víctimas de violencia de género”.</w:t>
      </w:r>
    </w:p>
    <w:p w14:paraId="4D6320CE" w14:textId="77777777" w:rsidR="009A5556" w:rsidRPr="000C698F" w:rsidRDefault="009A5556"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tenor literal del art. 153.1 CP es meridianamente claro y no exige ningún elemento subjetivo del injusto conforme una interpretación gramatical del mismo, que es el primer criterio de aplicación e interpretación de las normas conforme fija el art. 3.1 CC de forma que no contiene ninguna referencia a que la acción del sujeto activo este dirigida por un ánimo particular de dominación de la víctima.</w:t>
      </w:r>
    </w:p>
    <w:p w14:paraId="6EEE55D3" w14:textId="77777777" w:rsidR="009A5556" w:rsidRPr="000C698F" w:rsidRDefault="009A5556"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La STC 59/2008, de 14 de mayo declara la constitucionalidad del art. 153 CP en la forma en la que está redactado y por tanto, no exige ningún elemento subjetivo adicional puesto que de haberlo exigido lo hubiera dicho expresamente, razón por la que en el voto particular de Rodríguez-Zapata Pérez se pone de relieve que el elemento finalista del art. 1 LO 1/2004 no se ha incorporado al texto del art. 153.1 CP y que el precepto «aplicado en sus propios términos sólo atiende al hecho objetivo de que se cause un menoscabo psíquico o una lesión de carácter leve, o se golpee o se maltrate de obra sin causar lesión, cualquiera que sea la causa y el contexto de dicha agresión», de forma que no es el juez quién debe apreciar el desvalor o constatar la lesividad de la conducta sino que es el legislador quién lo ha hecho ya.</w:t>
      </w:r>
    </w:p>
    <w:p w14:paraId="485F7B6F" w14:textId="77777777" w:rsidR="006E179D" w:rsidRPr="000C698F" w:rsidRDefault="006E179D"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Atendiendo a la ubicación sistemática del precepto en el Título de las lesiones y desde la perspectiva del bien jurídico protegido (integridad física) tampoco existe motivo alguno para exigir dicho ánimo dominación como un elemento del tipo.</w:t>
      </w:r>
    </w:p>
    <w:p w14:paraId="120F2DDD" w14:textId="77777777" w:rsidR="006E179D" w:rsidRPr="000C698F" w:rsidRDefault="006E179D" w:rsidP="000C698F">
      <w:pPr>
        <w:pStyle w:val="Prrafodelista"/>
        <w:numPr>
          <w:ilvl w:val="0"/>
          <w:numId w:val="19"/>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Del contenido de los trabajos parlamentarios que precedieron al vigente art. 153.1 CP se constata sin género de dudas que la omisión por el legislador en el tipo penal de ese elemento intencional fue intencionada, por lo que exigirlo vaciaría de contenido las reformas de los años 2003 y 2004 al no proteger debidamente a la mujer e implicaría un paso hacia atrás en la protección de la misma.</w:t>
      </w:r>
    </w:p>
    <w:p w14:paraId="6B5F3746" w14:textId="77777777" w:rsidR="009A5556" w:rsidRPr="000C698F" w:rsidRDefault="00D72E87"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Algunos autores sostienen que el plus de punibilidad que se introduce en el art. 153.1 CP viene justificado por el legislador en la especial relación entre la víctima y el victimario de la que se aprovecha para conservar y perpetuar la situación de dominación del varón, sin que el tipo exija que la violencia se haya ejercido en ese marco a la vista de los distintos criterios de interpretación de las normas jurídicas, afirmando que una cuestión es cómo creemos que deben sancionarse ciertas conductas y otra muy distinta cómo el legislador ha decidido que se sancionen, y que nos parezca adecuada o defectuosa la redacción del tipo no se puede integrar el mismo mediante remisiones normativas inexistentes.</w:t>
      </w:r>
    </w:p>
    <w:p w14:paraId="3ED856EA" w14:textId="77777777" w:rsidR="00D72E87" w:rsidRPr="000C698F" w:rsidRDefault="00D72E87" w:rsidP="000C698F">
      <w:pPr>
        <w:pStyle w:val="Prrafodelista"/>
        <w:numPr>
          <w:ilvl w:val="0"/>
          <w:numId w:val="18"/>
        </w:numPr>
        <w:spacing w:line="360" w:lineRule="auto"/>
        <w:jc w:val="both"/>
        <w:rPr>
          <w:rFonts w:ascii="Times New Roman" w:hAnsi="Times New Roman" w:cs="Times New Roman"/>
          <w:b/>
          <w:bCs/>
          <w:sz w:val="24"/>
          <w:szCs w:val="24"/>
        </w:rPr>
      </w:pPr>
      <w:r w:rsidRPr="000C698F">
        <w:rPr>
          <w:rFonts w:ascii="Times New Roman" w:hAnsi="Times New Roman" w:cs="Times New Roman"/>
          <w:b/>
          <w:bCs/>
          <w:sz w:val="24"/>
          <w:szCs w:val="24"/>
        </w:rPr>
        <w:lastRenderedPageBreak/>
        <w:t>Autores partidarios de exigir la intención de dominio:</w:t>
      </w:r>
      <w:r w:rsidR="003F1CF3" w:rsidRPr="000C698F">
        <w:rPr>
          <w:rStyle w:val="Refdenotaalpie"/>
          <w:rFonts w:ascii="Times New Roman" w:hAnsi="Times New Roman" w:cs="Times New Roman"/>
          <w:b/>
          <w:bCs/>
          <w:sz w:val="24"/>
          <w:szCs w:val="24"/>
        </w:rPr>
        <w:footnoteReference w:id="24"/>
      </w:r>
      <w:r w:rsidRPr="000C698F">
        <w:rPr>
          <w:rFonts w:ascii="Times New Roman" w:hAnsi="Times New Roman" w:cs="Times New Roman"/>
          <w:b/>
          <w:bCs/>
          <w:sz w:val="24"/>
          <w:szCs w:val="24"/>
        </w:rPr>
        <w:t xml:space="preserve"> </w:t>
      </w:r>
      <w:r w:rsidRPr="000C698F">
        <w:rPr>
          <w:rFonts w:ascii="Times New Roman" w:hAnsi="Times New Roman" w:cs="Times New Roman"/>
          <w:bCs/>
          <w:sz w:val="24"/>
          <w:szCs w:val="24"/>
        </w:rPr>
        <w:t>como he dicho ya, son aquellos que consideran que en el caso concreto debe demostrarse que el hecho cometido es manifestación de un rol de dominación y de ahí que el sujeto activo utilice la violencia contra la mujer. Algunos de los argumentos más destacables que avalan esta posición son los siguientes:</w:t>
      </w:r>
    </w:p>
    <w:p w14:paraId="0C8B2ACC" w14:textId="77777777" w:rsidR="006E179D" w:rsidRPr="000C698F" w:rsidRDefault="006E179D" w:rsidP="000C698F">
      <w:pPr>
        <w:pStyle w:val="Prrafodelista"/>
        <w:spacing w:line="360" w:lineRule="auto"/>
        <w:jc w:val="both"/>
        <w:rPr>
          <w:rFonts w:ascii="Times New Roman" w:hAnsi="Times New Roman" w:cs="Times New Roman"/>
          <w:b/>
          <w:bCs/>
          <w:sz w:val="24"/>
          <w:szCs w:val="24"/>
        </w:rPr>
      </w:pPr>
    </w:p>
    <w:p w14:paraId="51F59B24" w14:textId="77777777" w:rsidR="00D72E87" w:rsidRPr="000C698F" w:rsidRDefault="00D72E87"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art. 1.1 de la LO 1/2004 ostenta una función interpretativa del sentido del art. 153.1 CP al manifestar que “</w:t>
      </w:r>
      <w:r w:rsidRPr="000C698F">
        <w:rPr>
          <w:rFonts w:ascii="Times New Roman" w:hAnsi="Times New Roman" w:cs="Times New Roman"/>
          <w:bCs/>
          <w:i/>
          <w:sz w:val="24"/>
          <w:szCs w:val="24"/>
        </w:rPr>
        <w:t>la presente ley tiene por objeto actuar contra la violencia que, como manifestación de la discriminación, la situación de desigualdad y las relaciones de poder de los hombres sobre las mujeres, se ejerce sobre éstas por parte de quienes sean o hayan sido sus cónyuges o de quienes estén o hayan estado ligados a ellas por relaciones similares de afectividad, aún sin convivencia</w:t>
      </w:r>
      <w:r w:rsidRPr="000C698F">
        <w:rPr>
          <w:rFonts w:ascii="Times New Roman" w:hAnsi="Times New Roman" w:cs="Times New Roman"/>
          <w:bCs/>
          <w:sz w:val="24"/>
          <w:szCs w:val="24"/>
        </w:rPr>
        <w:t>”. Añadiendo el art. 1.3 de la LO 1/2004 que “</w:t>
      </w:r>
      <w:r w:rsidRPr="000C698F">
        <w:rPr>
          <w:rFonts w:ascii="Times New Roman" w:hAnsi="Times New Roman" w:cs="Times New Roman"/>
          <w:bCs/>
          <w:i/>
          <w:sz w:val="24"/>
          <w:szCs w:val="24"/>
        </w:rPr>
        <w:t>la violencia de género a que se refiere la presente Ley, comprende todo acto de violencia física y psicológica, incluidas las agresiones a la libertad sexual, las amenazas, las coacciones o la privación arbitraria de la libertad</w:t>
      </w:r>
      <w:r w:rsidRPr="000C698F">
        <w:rPr>
          <w:rFonts w:ascii="Times New Roman" w:hAnsi="Times New Roman" w:cs="Times New Roman"/>
          <w:bCs/>
          <w:sz w:val="24"/>
          <w:szCs w:val="24"/>
        </w:rPr>
        <w:t>”.</w:t>
      </w:r>
    </w:p>
    <w:p w14:paraId="564D9569" w14:textId="77777777" w:rsidR="006E179D" w:rsidRPr="000C698F" w:rsidRDefault="006E179D"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La Exposición de Motivos de la LO 1/2004, señala en su párrafo tercero que </w:t>
      </w:r>
      <w:r w:rsidRPr="000C698F">
        <w:rPr>
          <w:rFonts w:ascii="Times New Roman" w:hAnsi="Times New Roman" w:cs="Times New Roman"/>
          <w:bCs/>
          <w:i/>
          <w:sz w:val="24"/>
          <w:szCs w:val="24"/>
        </w:rPr>
        <w:t>“existe una definición técnica del síndrome de la mujer maltratada que consiste en las agresiones sufridas por la mujer como consecuencia de los condicionantes socioculturales que actúan sobre el género masculino y femenino, situándola en una posición de subordinación al hombre y manifestadas en los tres ámbitos básicos de la relación de la persona: maltrato en el seno de las relaciones de pareja, agresión sexual en la vida social y acoso en el medio laboral”</w:t>
      </w:r>
      <w:r w:rsidRPr="000C698F">
        <w:rPr>
          <w:rFonts w:ascii="Times New Roman" w:hAnsi="Times New Roman" w:cs="Times New Roman"/>
          <w:bCs/>
          <w:sz w:val="24"/>
          <w:szCs w:val="24"/>
        </w:rPr>
        <w:t>, de lo que parece desprenderse que el legislador pretende actuar contra una específica forma de violencia del hombre sobre la mujer, que está imbuida de ese ánimo de dominación.</w:t>
      </w:r>
    </w:p>
    <w:p w14:paraId="7969B51B" w14:textId="77777777" w:rsidR="006E179D" w:rsidRPr="000C698F" w:rsidRDefault="006E179D" w:rsidP="000C698F">
      <w:pPr>
        <w:pStyle w:val="Prrafodelista"/>
        <w:numPr>
          <w:ilvl w:val="0"/>
          <w:numId w:val="20"/>
        </w:numPr>
        <w:spacing w:line="360" w:lineRule="auto"/>
        <w:rPr>
          <w:rFonts w:ascii="Times New Roman" w:hAnsi="Times New Roman" w:cs="Times New Roman"/>
          <w:bCs/>
          <w:sz w:val="24"/>
          <w:szCs w:val="24"/>
        </w:rPr>
      </w:pPr>
      <w:r w:rsidRPr="000C698F">
        <w:rPr>
          <w:rFonts w:ascii="Times New Roman" w:hAnsi="Times New Roman" w:cs="Times New Roman"/>
          <w:bCs/>
          <w:sz w:val="24"/>
          <w:szCs w:val="24"/>
        </w:rPr>
        <w:lastRenderedPageBreak/>
        <w:t>La intención de dominación se desprende de la aplicación de un criterio de interpretación teleológico del precepto en relación con la norma extrapenal que la introdujo —LO 1/2004- de forma que de esta manera no se suscitarían las críticas que origina su aplicación.</w:t>
      </w:r>
    </w:p>
    <w:p w14:paraId="6755D673" w14:textId="77777777" w:rsidR="006E179D" w:rsidRPr="000C698F" w:rsidRDefault="006E179D"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Respecto de los precedentes de esta regulación, el Anteproyecto de ley orgánica integral de medidas contra la violencia ejercida sobre las mujeres definía la violencia de género como “la utilizada como instrumento para mantener la discriminación, la desigualdad y las relaciones de poder de los hombres sobre las mujeres”.</w:t>
      </w:r>
    </w:p>
    <w:p w14:paraId="6310ED8A" w14:textId="77777777" w:rsidR="006E179D" w:rsidRPr="000C698F" w:rsidRDefault="006E179D" w:rsidP="000C698F">
      <w:pPr>
        <w:pStyle w:val="Prrafodelista"/>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Dictamen del Consejo de Estado de 24 de junio de 2004 sobre dicho Anteproyecto ya criticaba que utilizara una definición de índole finalista que consideraba que “entendida en sentido estricto, obligaría a indagar las intenciones de los autores de un acto violento para decidir si éste está comprendido en el ámbito de aplicación de la ley”. Y en parecidos términos, el Informe del CGPJ de 24 de junio de 2004 a tal Anteproyecto hacía referencia a la indebida introducción del elemento intencional en la definición.</w:t>
      </w:r>
    </w:p>
    <w:p w14:paraId="1B75B953" w14:textId="77777777" w:rsidR="006E179D" w:rsidRPr="000C698F" w:rsidRDefault="006E179D" w:rsidP="000C698F">
      <w:pPr>
        <w:pStyle w:val="Prrafodelista"/>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Así, la primera redacción del referido art. 1 que definía la violencia de género como aquella que se ejerce como «instrumento para mantener la discriminación, la desigualdad y las relaciones de poder del varón» fue sustituida de forma que en vez de utilizarse el término finalista «instrumento» se optó por el más objetivo de «manifestación», tal vez para poner el acento en una definición descriptiva de las circunstancias que subyacen en este tipo de violencia, pero no por ello se abandonó la necesidad de actuar el varón movido por tal ánimo de dominación.</w:t>
      </w:r>
    </w:p>
    <w:p w14:paraId="0E53781A" w14:textId="77777777" w:rsidR="00D72E87" w:rsidRPr="000C698F" w:rsidRDefault="00D72E87"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La intención de dominación se desprende de la aplicación de un criterio de interpretación teleológico del precepto en relación con la norma extrapenal que la introdujo (la ley integral) de forma que de esta manera no se suscitarían las críticas que origina su aplicación.</w:t>
      </w:r>
    </w:p>
    <w:p w14:paraId="333333D8" w14:textId="77777777" w:rsidR="00D72E87" w:rsidRPr="000C698F" w:rsidRDefault="00D72E87"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Es el ánimo de dominación lo que justifica el mayor desvalor de la conducta, por lo que debe atenderse al contexto y las circunstancias de la agresión para la aplicación del precepto, puesto que en caso contrario procedería una aplicación automática del precepto que no se ajustaría al principio de culpabilidad.</w:t>
      </w:r>
    </w:p>
    <w:p w14:paraId="4E58BA5D" w14:textId="77777777" w:rsidR="00D72E87" w:rsidRPr="000C698F" w:rsidRDefault="001E1134"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El TC admite esta finalidad de dominación en el art. 153.1 CP ya que no la rechaza expresamente (pudiendo haberlo hecho) y la STC 59/2008, de 14 de mayo hace referencia a la posición de dominio del varón sobre la mujer como objetivo a superar por dicho precepto, de manera que el hecho de que esta norma no sea inconstitucional no significa que la integración de la definición del art. 1 LO 1/2004 no pueda ser exigida por el intérprete de la legalidad ordinaria.</w:t>
      </w:r>
    </w:p>
    <w:p w14:paraId="3CF253E8" w14:textId="77777777" w:rsidR="001E1134" w:rsidRPr="000C698F" w:rsidRDefault="001E1134"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La exigencia de este elemento </w:t>
      </w:r>
      <w:proofErr w:type="spellStart"/>
      <w:r w:rsidRPr="000C698F">
        <w:rPr>
          <w:rFonts w:ascii="Times New Roman" w:hAnsi="Times New Roman" w:cs="Times New Roman"/>
          <w:bCs/>
          <w:sz w:val="24"/>
          <w:szCs w:val="24"/>
        </w:rPr>
        <w:t>finalístico</w:t>
      </w:r>
      <w:proofErr w:type="spellEnd"/>
      <w:r w:rsidRPr="000C698F">
        <w:rPr>
          <w:rFonts w:ascii="Times New Roman" w:hAnsi="Times New Roman" w:cs="Times New Roman"/>
          <w:bCs/>
          <w:sz w:val="24"/>
          <w:szCs w:val="24"/>
        </w:rPr>
        <w:t xml:space="preserve"> permitiría mitigar el excesivo rigor punitivo que se deriva de la aplicación literal y automática de la norma, sin perjuicio de lo estipulado en el art. 153.4 CP ya que de no concurrir el mismo se aplicarían los tipos básicos de lesiones y maltrato del art. 147.2 y 3 CP permitiendo una adecuada graduación de la pena al caso concreto.</w:t>
      </w:r>
    </w:p>
    <w:p w14:paraId="3789C81E" w14:textId="77777777" w:rsidR="006E179D" w:rsidRPr="000C698F" w:rsidRDefault="006E179D"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Este mismo criterio sería aplicable para las agresiones mutuas entre los miembros de la pareja o ex pareja en los casos en que no concurriera la intención de dominación del varón, en cuyo caso, las conductas de ambos contendientes serían sancionables aplicando el referido art. 147. 2 y 3 CP, que implicaría una mayor justicia material y sería más razonable que castigar a la mujer al amparo del art. 153.2 CP y al varón al amparo del art. 153.1 CP, aunque se pudiera rebajar la sanción conforme a lo estipulado en el art. 153.4 CP.</w:t>
      </w:r>
    </w:p>
    <w:p w14:paraId="3BCF02C3" w14:textId="77777777" w:rsidR="006E179D" w:rsidRPr="000C698F" w:rsidRDefault="006E179D" w:rsidP="000C698F">
      <w:pPr>
        <w:pStyle w:val="Prrafodelista"/>
        <w:numPr>
          <w:ilvl w:val="0"/>
          <w:numId w:val="20"/>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No exigir este elemento intencional de dominación y la consiguiente relación de subordinación implicaría sostener que en todo caso cualquier acto violento del varón sobre la mujer con la que tenga o haya tenido relación sería calificado como violencia de género, lo cual sería contrario no sólo a la LO 1/2004 sino a las declaraciones supranacionales que esta invoca como su razón de ser.</w:t>
      </w:r>
    </w:p>
    <w:p w14:paraId="0FA9C0D8" w14:textId="77777777" w:rsidR="006E179D" w:rsidRPr="000C698F" w:rsidRDefault="006E179D" w:rsidP="000C698F">
      <w:pPr>
        <w:pStyle w:val="Prrafodelista"/>
        <w:spacing w:line="360" w:lineRule="auto"/>
        <w:jc w:val="both"/>
        <w:rPr>
          <w:rFonts w:ascii="Times New Roman" w:hAnsi="Times New Roman" w:cs="Times New Roman"/>
          <w:bCs/>
          <w:sz w:val="24"/>
          <w:szCs w:val="24"/>
        </w:rPr>
      </w:pPr>
    </w:p>
    <w:p w14:paraId="7E57D550" w14:textId="77777777" w:rsidR="001E1134" w:rsidRPr="000C698F" w:rsidRDefault="001E1134" w:rsidP="000C698F">
      <w:pPr>
        <w:pStyle w:val="Prrafodelista"/>
        <w:spacing w:line="360" w:lineRule="auto"/>
        <w:jc w:val="both"/>
        <w:rPr>
          <w:rFonts w:ascii="Times New Roman" w:hAnsi="Times New Roman" w:cs="Times New Roman"/>
          <w:bCs/>
          <w:sz w:val="24"/>
          <w:szCs w:val="24"/>
        </w:rPr>
      </w:pPr>
    </w:p>
    <w:p w14:paraId="0A9F5CC5" w14:textId="77777777" w:rsidR="001E1134" w:rsidRPr="000C698F" w:rsidRDefault="001E1134"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 xml:space="preserve">En cuanto a los pronunciamientos del TS </w:t>
      </w:r>
      <w:r w:rsidR="00BB7E70" w:rsidRPr="000C698F">
        <w:rPr>
          <w:rStyle w:val="Refdenotaalpie"/>
          <w:rFonts w:ascii="Times New Roman" w:hAnsi="Times New Roman" w:cs="Times New Roman"/>
          <w:bCs/>
          <w:sz w:val="24"/>
          <w:szCs w:val="24"/>
        </w:rPr>
        <w:footnoteReference w:id="25"/>
      </w:r>
      <w:r w:rsidRPr="000C698F">
        <w:rPr>
          <w:rFonts w:ascii="Times New Roman" w:hAnsi="Times New Roman" w:cs="Times New Roman"/>
          <w:bCs/>
          <w:sz w:val="24"/>
          <w:szCs w:val="24"/>
        </w:rPr>
        <w:t xml:space="preserve">decir que también ha sido vacilante en esta cuestión, siendo mayoritarias en un principio las resoluciones que optaban por una interpretación literal </w:t>
      </w:r>
      <w:r w:rsidR="00AA5776" w:rsidRPr="000C698F">
        <w:rPr>
          <w:rFonts w:ascii="Times New Roman" w:hAnsi="Times New Roman" w:cs="Times New Roman"/>
          <w:bCs/>
          <w:sz w:val="24"/>
          <w:szCs w:val="24"/>
        </w:rPr>
        <w:t xml:space="preserve">del art.153 CP, por lo que </w:t>
      </w:r>
      <w:r w:rsidR="006D46FF" w:rsidRPr="000C698F">
        <w:rPr>
          <w:rFonts w:ascii="Times New Roman" w:hAnsi="Times New Roman" w:cs="Times New Roman"/>
          <w:bCs/>
          <w:sz w:val="24"/>
          <w:szCs w:val="24"/>
        </w:rPr>
        <w:t>venía</w:t>
      </w:r>
      <w:r w:rsidR="00AA5776" w:rsidRPr="000C698F">
        <w:rPr>
          <w:rFonts w:ascii="Times New Roman" w:hAnsi="Times New Roman" w:cs="Times New Roman"/>
          <w:bCs/>
          <w:sz w:val="24"/>
          <w:szCs w:val="24"/>
        </w:rPr>
        <w:t xml:space="preserve"> sosteniendo que es un </w:t>
      </w:r>
      <w:r w:rsidR="006D46FF" w:rsidRPr="000C698F">
        <w:rPr>
          <w:rFonts w:ascii="Times New Roman" w:hAnsi="Times New Roman" w:cs="Times New Roman"/>
          <w:bCs/>
          <w:sz w:val="24"/>
          <w:szCs w:val="24"/>
        </w:rPr>
        <w:t>artículo</w:t>
      </w:r>
      <w:r w:rsidR="00AA5776" w:rsidRPr="000C698F">
        <w:rPr>
          <w:rFonts w:ascii="Times New Roman" w:hAnsi="Times New Roman" w:cs="Times New Roman"/>
          <w:bCs/>
          <w:sz w:val="24"/>
          <w:szCs w:val="24"/>
        </w:rPr>
        <w:t xml:space="preserve"> de aplicación automática sin necesidad de especiales aditamentos en la parte subjetiva u objetiva del tipo. Sin embargo, esa posición ha ido variando llegando a afirmar en otras sentencias que si es preciso que la agresión hacia la mujer sea fruto de la superioridad machista, por lo que se exige no solo el ánimo o intención de lesionar sino también la prevalencia del agresor varón sobre la victima mujer. Por tanto, se sostiene que el art. 153.1 CP no se aplica de forma automática al exigir que la acción agresiva tenga connotaciones con la subcultura machista, es decir, no es suficiente la existencia de una lesión leve en la mujer por parte del compañero o ex compañero </w:t>
      </w:r>
      <w:r w:rsidR="006D46FF" w:rsidRPr="000C698F">
        <w:rPr>
          <w:rFonts w:ascii="Times New Roman" w:hAnsi="Times New Roman" w:cs="Times New Roman"/>
          <w:bCs/>
          <w:sz w:val="24"/>
          <w:szCs w:val="24"/>
        </w:rPr>
        <w:t>masculino,</w:t>
      </w:r>
      <w:r w:rsidR="00AA5776" w:rsidRPr="000C698F">
        <w:rPr>
          <w:rFonts w:ascii="Times New Roman" w:hAnsi="Times New Roman" w:cs="Times New Roman"/>
          <w:bCs/>
          <w:sz w:val="24"/>
          <w:szCs w:val="24"/>
        </w:rPr>
        <w:t xml:space="preserve"> sino que es necesario que la misma se produzca en el seno de una relación de sumisión, dominación y sometimiento de la mujer al hombre</w:t>
      </w:r>
      <w:r w:rsidR="008E31CE" w:rsidRPr="000C698F">
        <w:rPr>
          <w:rFonts w:ascii="Times New Roman" w:hAnsi="Times New Roman" w:cs="Times New Roman"/>
          <w:bCs/>
          <w:sz w:val="24"/>
          <w:szCs w:val="24"/>
        </w:rPr>
        <w:t xml:space="preserve"> (no obstante advertir de que se trata aún de una corriente minoritaria).</w:t>
      </w:r>
    </w:p>
    <w:p w14:paraId="1EB6AB0A" w14:textId="77777777" w:rsidR="006D46FF" w:rsidRPr="000C698F" w:rsidRDefault="006D46FF" w:rsidP="000C698F">
      <w:pPr>
        <w:pStyle w:val="Prrafodelista"/>
        <w:spacing w:line="360" w:lineRule="auto"/>
        <w:ind w:left="0"/>
        <w:jc w:val="both"/>
        <w:rPr>
          <w:rFonts w:ascii="Times New Roman" w:hAnsi="Times New Roman" w:cs="Times New Roman"/>
          <w:bCs/>
          <w:sz w:val="24"/>
          <w:szCs w:val="24"/>
        </w:rPr>
      </w:pPr>
    </w:p>
    <w:p w14:paraId="60CC5E52" w14:textId="77777777" w:rsidR="006D46FF" w:rsidRPr="000C698F" w:rsidRDefault="006D46FF"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t>El hecho de que nos posicionemos a favor de una u otra de las corrientes tiene importantes consecuencias</w:t>
      </w:r>
      <w:r w:rsidR="001A53D4" w:rsidRPr="000C698F">
        <w:rPr>
          <w:rStyle w:val="Refdenotaalpie"/>
          <w:rFonts w:ascii="Times New Roman" w:hAnsi="Times New Roman" w:cs="Times New Roman"/>
          <w:bCs/>
          <w:sz w:val="24"/>
          <w:szCs w:val="24"/>
        </w:rPr>
        <w:footnoteReference w:id="26"/>
      </w:r>
      <w:r w:rsidRPr="000C698F">
        <w:rPr>
          <w:rFonts w:ascii="Times New Roman" w:hAnsi="Times New Roman" w:cs="Times New Roman"/>
          <w:bCs/>
          <w:sz w:val="24"/>
          <w:szCs w:val="24"/>
        </w:rPr>
        <w:t xml:space="preserve"> ya que no consideraríamos que toda acción de violencia física en el seno de la pareja de la que resulte lesión leve para la mujer, debe considerarse necesaria y automáticamente como la violencia de género que castiga el art. 153 CP, sino sólo y cuando el hecho sea manifestación de la discriminación, de la situación de desigualdad y de las relaciones de poder del hombre sobre la mujer. Por lo que se daría paso a un tratamiento más justo de dichas lesiones, un ejemplo lo tenemos en </w:t>
      </w:r>
      <w:r w:rsidRPr="000C698F">
        <w:rPr>
          <w:rFonts w:ascii="Times New Roman" w:hAnsi="Times New Roman" w:cs="Times New Roman"/>
          <w:b/>
          <w:bCs/>
          <w:sz w:val="24"/>
          <w:szCs w:val="24"/>
        </w:rPr>
        <w:t>las agresiones mutuas producidas en el ámbito de pareja.</w:t>
      </w:r>
      <w:r w:rsidR="00803A56" w:rsidRPr="000C698F">
        <w:rPr>
          <w:rStyle w:val="Refdenotaalpie"/>
          <w:rFonts w:ascii="Times New Roman" w:hAnsi="Times New Roman" w:cs="Times New Roman"/>
          <w:b/>
          <w:bCs/>
          <w:sz w:val="24"/>
          <w:szCs w:val="24"/>
        </w:rPr>
        <w:footnoteReference w:id="27"/>
      </w:r>
      <w:r w:rsidRPr="000C698F">
        <w:rPr>
          <w:rFonts w:ascii="Times New Roman" w:hAnsi="Times New Roman" w:cs="Times New Roman"/>
          <w:b/>
          <w:bCs/>
          <w:sz w:val="24"/>
          <w:szCs w:val="24"/>
        </w:rPr>
        <w:t xml:space="preserve"> </w:t>
      </w:r>
      <w:r w:rsidRPr="000C698F">
        <w:rPr>
          <w:rFonts w:ascii="Times New Roman" w:hAnsi="Times New Roman" w:cs="Times New Roman"/>
          <w:bCs/>
          <w:sz w:val="24"/>
          <w:szCs w:val="24"/>
        </w:rPr>
        <w:t xml:space="preserve">Si somos parte de la posición que no considera necesario el elemento subjetivo de dominación el tratamiento penal que recibe el hombre y la mujer sería muy distinto, dando lugar a situaciones injustas, ya que al hombre se le imputaría un delito del art.153.1 y a la mujer del 153.2 cuyas penas varían. Sin embargo, si consideramos necesario el </w:t>
      </w:r>
      <w:r w:rsidR="00AE7547" w:rsidRPr="000C698F">
        <w:rPr>
          <w:rFonts w:ascii="Times New Roman" w:hAnsi="Times New Roman" w:cs="Times New Roman"/>
          <w:bCs/>
          <w:sz w:val="24"/>
          <w:szCs w:val="24"/>
        </w:rPr>
        <w:t xml:space="preserve">elemento de dominación ambos podrían tener un tratamiento penal igualitario, imputándoles por ejemplo a ambos un delito de lesiones del 147.1 o </w:t>
      </w:r>
      <w:r w:rsidR="00AE7547" w:rsidRPr="000C698F">
        <w:rPr>
          <w:rFonts w:ascii="Times New Roman" w:hAnsi="Times New Roman" w:cs="Times New Roman"/>
          <w:bCs/>
          <w:sz w:val="24"/>
          <w:szCs w:val="24"/>
        </w:rPr>
        <w:lastRenderedPageBreak/>
        <w:t>2.</w:t>
      </w:r>
      <w:r w:rsidR="00C16DD1" w:rsidRPr="000C698F">
        <w:rPr>
          <w:rFonts w:ascii="Times New Roman" w:hAnsi="Times New Roman" w:cs="Times New Roman"/>
          <w:bCs/>
          <w:sz w:val="24"/>
          <w:szCs w:val="24"/>
        </w:rPr>
        <w:t xml:space="preserve"> No obstante, en epígrafe posterior analizaré detenidamente si todo acto violento es subsumible en el art.153 pudiendo dar lugar a la aplicación de otras figuras según cada caso concreto.</w:t>
      </w:r>
      <w:r w:rsidR="00D97008" w:rsidRPr="000C698F">
        <w:rPr>
          <w:rStyle w:val="Refdenotaalpie"/>
          <w:rFonts w:ascii="Times New Roman" w:hAnsi="Times New Roman" w:cs="Times New Roman"/>
          <w:bCs/>
          <w:sz w:val="24"/>
          <w:szCs w:val="24"/>
        </w:rPr>
        <w:footnoteReference w:id="28"/>
      </w:r>
    </w:p>
    <w:p w14:paraId="1B4B58C4" w14:textId="77777777" w:rsidR="007D00DF" w:rsidRPr="000C698F" w:rsidRDefault="007D00DF" w:rsidP="000C698F">
      <w:pPr>
        <w:pStyle w:val="Prrafodelista"/>
        <w:spacing w:line="360" w:lineRule="auto"/>
        <w:ind w:left="0"/>
        <w:jc w:val="both"/>
        <w:rPr>
          <w:rFonts w:ascii="Times New Roman" w:hAnsi="Times New Roman" w:cs="Times New Roman"/>
          <w:bCs/>
          <w:sz w:val="24"/>
          <w:szCs w:val="24"/>
        </w:rPr>
      </w:pPr>
    </w:p>
    <w:p w14:paraId="34991D0A" w14:textId="77777777" w:rsidR="007D00DF" w:rsidRPr="000C698F" w:rsidRDefault="007D00DF"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t>En cuanto a la cuestión de las agresiones mutuas</w:t>
      </w:r>
      <w:r w:rsidR="00957DB1" w:rsidRPr="000C698F">
        <w:rPr>
          <w:rStyle w:val="Refdenotaalpie"/>
          <w:rFonts w:ascii="Times New Roman" w:hAnsi="Times New Roman" w:cs="Times New Roman"/>
          <w:bCs/>
          <w:sz w:val="24"/>
          <w:szCs w:val="24"/>
        </w:rPr>
        <w:footnoteReference w:id="29"/>
      </w:r>
      <w:r w:rsidRPr="000C698F">
        <w:rPr>
          <w:rFonts w:ascii="Times New Roman" w:hAnsi="Times New Roman" w:cs="Times New Roman"/>
          <w:bCs/>
          <w:sz w:val="24"/>
          <w:szCs w:val="24"/>
        </w:rPr>
        <w:t xml:space="preserve"> producidas en el ámbito de pareja resulta muy criticado la tutela penal reforzada que se le concede a la mujer, ya que como he mencionado anteriormente pueden darse situaciones penales muy injustas (por la diferencia de penas que se impondrían al hombre y a la mujer) ante unos mismos hechos, por ello me resulta interesante citar lo que mencion</w:t>
      </w:r>
      <w:r w:rsidR="00DF0638" w:rsidRPr="000C698F">
        <w:rPr>
          <w:rFonts w:ascii="Times New Roman" w:hAnsi="Times New Roman" w:cs="Times New Roman"/>
          <w:bCs/>
          <w:sz w:val="24"/>
          <w:szCs w:val="24"/>
        </w:rPr>
        <w:t>a al respecto el autor LAURENZO:</w:t>
      </w:r>
      <w:r w:rsidR="00DF0638" w:rsidRPr="000C698F">
        <w:rPr>
          <w:rStyle w:val="Refdenotaalpie"/>
          <w:rFonts w:ascii="Times New Roman" w:hAnsi="Times New Roman" w:cs="Times New Roman"/>
          <w:bCs/>
          <w:sz w:val="24"/>
          <w:szCs w:val="24"/>
        </w:rPr>
        <w:footnoteReference w:id="30"/>
      </w:r>
      <w:r w:rsidR="00DF0638" w:rsidRPr="000C698F">
        <w:rPr>
          <w:rFonts w:ascii="Times New Roman" w:hAnsi="Times New Roman" w:cs="Times New Roman"/>
          <w:bCs/>
          <w:i/>
          <w:sz w:val="24"/>
          <w:szCs w:val="24"/>
        </w:rPr>
        <w:t xml:space="preserve"> </w:t>
      </w:r>
      <w:r w:rsidRPr="000C698F">
        <w:rPr>
          <w:rFonts w:ascii="Times New Roman" w:hAnsi="Times New Roman" w:cs="Times New Roman"/>
          <w:bCs/>
          <w:i/>
          <w:sz w:val="24"/>
          <w:szCs w:val="24"/>
        </w:rPr>
        <w:t xml:space="preserve">“ La tutela penal reforzada de la mujer no debe reconducirse al concepto de acción positiva – cuyo ámbito natural es el de aquellos sectores del ordenamiento jurídico destinados a regular la distribución de bienes escasos– que implica el fomento de un colectivo discriminado en detrimento de otro que no lo está. Por el contrario, el sentido y la justificación de las agravaciones se encuentra en otro tipo de consideraciones relacionadas con los fines y contenido del Derecho penal y no con la pretendida concesión de ventajas a la mujer a costa del varón. La LI no protege especialmente a la mujer restándole protección al varón, sino que, partiendo del reconocimiento de que la mujer –a diferencia del varón– por su condición de tal y como consecuencia de un reparto de roles sociales desigual, “se encuentra particularmente expuesta a sufrir ataques violentos a manos de su pareja masculina” refuerza su tutela. En consecuencia, no estamos ante agravaciones automáticas basadas en el sexo del autor, sino ante agravaciones que cuentan con un fundamento material vinculado al sexo de la víctima. Su aplicación, por lo tanto, no vulnera los principios penales básicos, de la misma </w:t>
      </w:r>
      <w:r w:rsidRPr="000C698F">
        <w:rPr>
          <w:rFonts w:ascii="Times New Roman" w:hAnsi="Times New Roman" w:cs="Times New Roman"/>
          <w:bCs/>
          <w:i/>
          <w:sz w:val="24"/>
          <w:szCs w:val="24"/>
        </w:rPr>
        <w:lastRenderedPageBreak/>
        <w:t>manera que tampoco son lesionados con la aplicación de otras agravantes previstas en el CP en atención a la mayor necesidad de tutela de un colectivo (v. gr., los menores) frente a determinados comportamientos delictivos de los cuales sus integrantes presentan un riesgo mayor de convertirse en víctimas. La pertenencia al sexo femenino es contemplada por el legislador (desde una óptica preventiva) como un factor específico que aumenta el riesgo de ser objeto de estrategias violentas de control en el ámbito de las relaciones de pareja”.</w:t>
      </w:r>
    </w:p>
    <w:p w14:paraId="70FBC732" w14:textId="77777777" w:rsidR="00813B58" w:rsidRPr="000C698F" w:rsidRDefault="00813B58" w:rsidP="000C698F">
      <w:pPr>
        <w:pStyle w:val="Prrafodelista"/>
        <w:spacing w:line="360" w:lineRule="auto"/>
        <w:ind w:left="0"/>
        <w:jc w:val="both"/>
        <w:rPr>
          <w:rFonts w:ascii="Times New Roman" w:hAnsi="Times New Roman" w:cs="Times New Roman"/>
          <w:bCs/>
          <w:sz w:val="24"/>
          <w:szCs w:val="24"/>
        </w:rPr>
      </w:pPr>
    </w:p>
    <w:p w14:paraId="0615BCB5" w14:textId="77777777" w:rsidR="002353B5" w:rsidRPr="000C698F" w:rsidRDefault="004E55C0" w:rsidP="000C698F">
      <w:pPr>
        <w:pStyle w:val="Prrafodelista"/>
        <w:spacing w:line="360" w:lineRule="auto"/>
        <w:ind w:left="0"/>
        <w:jc w:val="center"/>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pPr>
      <w:r w:rsidRPr="000C698F">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t>5. ¿Es toda la violencia de género subsumible en el art.153?</w:t>
      </w:r>
    </w:p>
    <w:p w14:paraId="0AF522D4" w14:textId="03EE0518" w:rsidR="004E55C0" w:rsidRPr="000C698F" w:rsidRDefault="00593649"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t xml:space="preserve">En anteriores epígrafes, hacía referencia a la aplicación automática del art.153 ante cualquier </w:t>
      </w:r>
      <w:r w:rsidR="00BD2D28" w:rsidRPr="000C698F">
        <w:rPr>
          <w:rFonts w:ascii="Times New Roman" w:hAnsi="Times New Roman" w:cs="Times New Roman"/>
          <w:bCs/>
          <w:sz w:val="24"/>
          <w:szCs w:val="24"/>
        </w:rPr>
        <w:t xml:space="preserve">tipo de lesiones ocurridas en el ámbito de la pajera </w:t>
      </w:r>
      <w:r w:rsidRPr="000C698F">
        <w:rPr>
          <w:rFonts w:ascii="Times New Roman" w:hAnsi="Times New Roman" w:cs="Times New Roman"/>
          <w:bCs/>
          <w:sz w:val="24"/>
          <w:szCs w:val="24"/>
        </w:rPr>
        <w:t>y si para ello era necesario el que concurriera el ánimo de dominación del hombre sobre la mujer. Pues bien, aun dándose el caso de que concurriera ese ánimo ¿</w:t>
      </w:r>
      <w:r w:rsidR="00BD2D28" w:rsidRPr="000C698F">
        <w:rPr>
          <w:rFonts w:ascii="Times New Roman" w:hAnsi="Times New Roman" w:cs="Times New Roman"/>
          <w:bCs/>
          <w:sz w:val="24"/>
          <w:szCs w:val="24"/>
        </w:rPr>
        <w:t xml:space="preserve">nos hemos planteado si las lesiones producidas </w:t>
      </w:r>
      <w:r w:rsidRPr="000C698F">
        <w:rPr>
          <w:rFonts w:ascii="Times New Roman" w:hAnsi="Times New Roman" w:cs="Times New Roman"/>
          <w:bCs/>
          <w:sz w:val="24"/>
          <w:szCs w:val="24"/>
        </w:rPr>
        <w:t>puede</w:t>
      </w:r>
      <w:r w:rsidR="00BD2D28" w:rsidRPr="000C698F">
        <w:rPr>
          <w:rFonts w:ascii="Times New Roman" w:hAnsi="Times New Roman" w:cs="Times New Roman"/>
          <w:bCs/>
          <w:sz w:val="24"/>
          <w:szCs w:val="24"/>
        </w:rPr>
        <w:t>n ser constitutivas</w:t>
      </w:r>
      <w:r w:rsidRPr="000C698F">
        <w:rPr>
          <w:rFonts w:ascii="Times New Roman" w:hAnsi="Times New Roman" w:cs="Times New Roman"/>
          <w:bCs/>
          <w:sz w:val="24"/>
          <w:szCs w:val="24"/>
        </w:rPr>
        <w:t xml:space="preserve"> de otro delito </w:t>
      </w:r>
      <w:r w:rsidR="00BD2D28" w:rsidRPr="000C698F">
        <w:rPr>
          <w:rFonts w:ascii="Times New Roman" w:hAnsi="Times New Roman" w:cs="Times New Roman"/>
          <w:bCs/>
          <w:sz w:val="24"/>
          <w:szCs w:val="24"/>
        </w:rPr>
        <w:t xml:space="preserve">de lesiones </w:t>
      </w:r>
      <w:r w:rsidR="004A7E16">
        <w:rPr>
          <w:rFonts w:ascii="Times New Roman" w:hAnsi="Times New Roman" w:cs="Times New Roman"/>
          <w:bCs/>
          <w:sz w:val="24"/>
          <w:szCs w:val="24"/>
        </w:rPr>
        <w:t>distinto al 153?</w:t>
      </w:r>
      <w:r w:rsidR="002F5FF2" w:rsidRPr="000C698F">
        <w:rPr>
          <w:rStyle w:val="Refdenotaalpie"/>
          <w:rFonts w:ascii="Times New Roman" w:hAnsi="Times New Roman" w:cs="Times New Roman"/>
          <w:bCs/>
          <w:sz w:val="24"/>
          <w:szCs w:val="24"/>
        </w:rPr>
        <w:footnoteReference w:id="31"/>
      </w:r>
      <w:r w:rsidR="004A7E16">
        <w:rPr>
          <w:rFonts w:ascii="Times New Roman" w:hAnsi="Times New Roman" w:cs="Times New Roman"/>
          <w:bCs/>
          <w:sz w:val="24"/>
          <w:szCs w:val="24"/>
        </w:rPr>
        <w:t xml:space="preserve"> </w:t>
      </w:r>
      <w:r w:rsidRPr="000C698F">
        <w:rPr>
          <w:rFonts w:ascii="Times New Roman" w:hAnsi="Times New Roman" w:cs="Times New Roman"/>
          <w:bCs/>
          <w:sz w:val="24"/>
          <w:szCs w:val="24"/>
        </w:rPr>
        <w:t>Ya sea e</w:t>
      </w:r>
      <w:r w:rsidR="00BD2D28" w:rsidRPr="000C698F">
        <w:rPr>
          <w:rFonts w:ascii="Times New Roman" w:hAnsi="Times New Roman" w:cs="Times New Roman"/>
          <w:bCs/>
          <w:sz w:val="24"/>
          <w:szCs w:val="24"/>
        </w:rPr>
        <w:t>n grado de tentativa o consumadas</w:t>
      </w:r>
      <w:r w:rsidRPr="000C698F">
        <w:rPr>
          <w:rFonts w:ascii="Times New Roman" w:hAnsi="Times New Roman" w:cs="Times New Roman"/>
          <w:bCs/>
          <w:sz w:val="24"/>
          <w:szCs w:val="24"/>
        </w:rPr>
        <w:t xml:space="preserve">, pero lo que vengo a hacer referencia es a la necesidad de analizar caso por caso los hechos acontecidos </w:t>
      </w:r>
      <w:r w:rsidR="00BD2D28" w:rsidRPr="000C698F">
        <w:rPr>
          <w:rFonts w:ascii="Times New Roman" w:hAnsi="Times New Roman" w:cs="Times New Roman"/>
          <w:bCs/>
          <w:sz w:val="24"/>
          <w:szCs w:val="24"/>
        </w:rPr>
        <w:t>de manera que no toda</w:t>
      </w:r>
      <w:r w:rsidRPr="000C698F">
        <w:rPr>
          <w:rFonts w:ascii="Times New Roman" w:hAnsi="Times New Roman" w:cs="Times New Roman"/>
          <w:bCs/>
          <w:sz w:val="24"/>
          <w:szCs w:val="24"/>
        </w:rPr>
        <w:t>s</w:t>
      </w:r>
      <w:r w:rsidR="00BD2D28" w:rsidRPr="000C698F">
        <w:rPr>
          <w:rFonts w:ascii="Times New Roman" w:hAnsi="Times New Roman" w:cs="Times New Roman"/>
          <w:bCs/>
          <w:sz w:val="24"/>
          <w:szCs w:val="24"/>
        </w:rPr>
        <w:t xml:space="preserve"> las lesiones sean castigada</w:t>
      </w:r>
      <w:r w:rsidRPr="000C698F">
        <w:rPr>
          <w:rFonts w:ascii="Times New Roman" w:hAnsi="Times New Roman" w:cs="Times New Roman"/>
          <w:bCs/>
          <w:sz w:val="24"/>
          <w:szCs w:val="24"/>
        </w:rPr>
        <w:t>s por el art.153, pudiendo dar paso a tipos más agravados por ejemplo unas lesiones del 147</w:t>
      </w:r>
      <w:r w:rsidR="00BD2D28" w:rsidRPr="000C698F">
        <w:rPr>
          <w:rFonts w:ascii="Times New Roman" w:hAnsi="Times New Roman" w:cs="Times New Roman"/>
          <w:bCs/>
          <w:sz w:val="24"/>
          <w:szCs w:val="24"/>
        </w:rPr>
        <w:t xml:space="preserve"> o 149</w:t>
      </w:r>
      <w:r w:rsidRPr="000C698F">
        <w:rPr>
          <w:rFonts w:ascii="Times New Roman" w:hAnsi="Times New Roman" w:cs="Times New Roman"/>
          <w:bCs/>
          <w:sz w:val="24"/>
          <w:szCs w:val="24"/>
        </w:rPr>
        <w:t xml:space="preserve"> en g</w:t>
      </w:r>
      <w:r w:rsidR="00BD2D28" w:rsidRPr="000C698F">
        <w:rPr>
          <w:rFonts w:ascii="Times New Roman" w:hAnsi="Times New Roman" w:cs="Times New Roman"/>
          <w:bCs/>
          <w:sz w:val="24"/>
          <w:szCs w:val="24"/>
        </w:rPr>
        <w:t>rado de tentativa, por lo que sería más acertado considerar el 153 un tipo subsidiario del 147 y ss</w:t>
      </w:r>
      <w:r w:rsidR="004A7E16">
        <w:rPr>
          <w:rFonts w:ascii="Times New Roman" w:hAnsi="Times New Roman" w:cs="Times New Roman"/>
          <w:bCs/>
          <w:sz w:val="24"/>
          <w:szCs w:val="24"/>
        </w:rPr>
        <w:t>.</w:t>
      </w:r>
      <w:r w:rsidR="00BD2D28" w:rsidRPr="000C698F">
        <w:rPr>
          <w:rFonts w:ascii="Times New Roman" w:hAnsi="Times New Roman" w:cs="Times New Roman"/>
          <w:bCs/>
          <w:sz w:val="24"/>
          <w:szCs w:val="24"/>
        </w:rPr>
        <w:t xml:space="preserve"> ya que no todos los ataques machistas deben subsumirse en dicho artículo porque supondría una reducción importante de la pena a imputar. </w:t>
      </w:r>
    </w:p>
    <w:p w14:paraId="7945E5E5" w14:textId="77777777" w:rsidR="009E73CF" w:rsidRPr="000C698F" w:rsidRDefault="009E73CF"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t xml:space="preserve">Incluso con inclusión de la nueva agravante de género sería interesante plantearnos la concurrencia de esta con un tipo de lesiones más graves, siempre y cuando esas lesiones tengan entidad suficiente y cumplan con los requisitos para considerarlas como tal (en el caso de las del 147 necesidad de tratamiento médico quirúrgico o en las del 149 falta de órgano principal) o que en caso de no haberse producido como resultado dicha lesión que el ataque ejecutado fuese idóneo para producirlas. Por tanto vemos como la aplicación automática del 153 puede ocultar formas de tentativas de lesiones graves. Es posible que </w:t>
      </w:r>
      <w:r w:rsidR="00AA7593" w:rsidRPr="000C698F">
        <w:rPr>
          <w:rFonts w:ascii="Times New Roman" w:hAnsi="Times New Roman" w:cs="Times New Roman"/>
          <w:bCs/>
          <w:sz w:val="24"/>
          <w:szCs w:val="24"/>
        </w:rPr>
        <w:t xml:space="preserve">no sea usual este planteamiento debido a la estructura </w:t>
      </w:r>
      <w:r w:rsidR="00AA7593" w:rsidRPr="000C698F">
        <w:rPr>
          <w:rFonts w:ascii="Times New Roman" w:hAnsi="Times New Roman" w:cs="Times New Roman"/>
          <w:bCs/>
          <w:sz w:val="24"/>
          <w:szCs w:val="24"/>
        </w:rPr>
        <w:lastRenderedPageBreak/>
        <w:t xml:space="preserve">u organización que realiza el </w:t>
      </w:r>
      <w:proofErr w:type="spellStart"/>
      <w:r w:rsidR="00AA7593" w:rsidRPr="000C698F">
        <w:rPr>
          <w:rFonts w:ascii="Times New Roman" w:hAnsi="Times New Roman" w:cs="Times New Roman"/>
          <w:bCs/>
          <w:sz w:val="24"/>
          <w:szCs w:val="24"/>
        </w:rPr>
        <w:t>cp</w:t>
      </w:r>
      <w:proofErr w:type="spellEnd"/>
      <w:r w:rsidR="00AA7593" w:rsidRPr="000C698F">
        <w:rPr>
          <w:rFonts w:ascii="Times New Roman" w:hAnsi="Times New Roman" w:cs="Times New Roman"/>
          <w:bCs/>
          <w:sz w:val="24"/>
          <w:szCs w:val="24"/>
        </w:rPr>
        <w:t xml:space="preserve"> respecto las lesiones, diferenciando entre diferentes tipos relacionados entre sí con diferentes lesiones consumadas, siendo más fácil aplicar el tipo consumado aunque lleve a penas más privilegiadas. </w:t>
      </w:r>
    </w:p>
    <w:p w14:paraId="09917BF4" w14:textId="77777777" w:rsidR="00AA7593" w:rsidRPr="000C698F" w:rsidRDefault="00AA7593" w:rsidP="000C698F">
      <w:pPr>
        <w:pStyle w:val="Prrafodelista"/>
        <w:spacing w:line="360" w:lineRule="auto"/>
        <w:ind w:left="0"/>
        <w:jc w:val="both"/>
        <w:rPr>
          <w:rFonts w:ascii="Times New Roman" w:hAnsi="Times New Roman" w:cs="Times New Roman"/>
          <w:bCs/>
          <w:sz w:val="24"/>
          <w:szCs w:val="24"/>
        </w:rPr>
      </w:pPr>
      <w:r w:rsidRPr="000C698F">
        <w:rPr>
          <w:rFonts w:ascii="Times New Roman" w:hAnsi="Times New Roman" w:cs="Times New Roman"/>
          <w:bCs/>
          <w:sz w:val="24"/>
          <w:szCs w:val="24"/>
        </w:rPr>
        <w:t xml:space="preserve">En cuanto a los ataques contra la integridad moral serían de aplicación o bien el art.153 o el 173.2, dependiendo de la habitualidad o no de las lesiones producidas. </w:t>
      </w:r>
    </w:p>
    <w:p w14:paraId="2D4CF990" w14:textId="77777777" w:rsidR="00AA7593" w:rsidRPr="000C698F" w:rsidRDefault="00AA7593" w:rsidP="000C698F">
      <w:pPr>
        <w:pStyle w:val="Prrafodelista"/>
        <w:numPr>
          <w:ilvl w:val="0"/>
          <w:numId w:val="21"/>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El maltrato habitual (art.173.2 CP) contiene una agresión contra la integridad personal; para ello es necesario que se produzca un sometimiento habitual a través de violencia física/psíquica, por lo que el articulo tiene una estructura </w:t>
      </w:r>
      <w:proofErr w:type="spellStart"/>
      <w:r w:rsidRPr="000C698F">
        <w:rPr>
          <w:rFonts w:ascii="Times New Roman" w:hAnsi="Times New Roman" w:cs="Times New Roman"/>
          <w:bCs/>
          <w:sz w:val="24"/>
          <w:szCs w:val="24"/>
        </w:rPr>
        <w:t>pluriofensiva</w:t>
      </w:r>
      <w:proofErr w:type="spellEnd"/>
      <w:r w:rsidRPr="000C698F">
        <w:rPr>
          <w:rFonts w:ascii="Times New Roman" w:hAnsi="Times New Roman" w:cs="Times New Roman"/>
          <w:bCs/>
          <w:sz w:val="24"/>
          <w:szCs w:val="24"/>
        </w:rPr>
        <w:t>, abarcando un daño contra la integridad moral y física /psíquica.</w:t>
      </w:r>
    </w:p>
    <w:p w14:paraId="7D0ECC72" w14:textId="77777777" w:rsidR="00AA7593" w:rsidRPr="000C698F" w:rsidRDefault="00AA7593" w:rsidP="000C698F">
      <w:pPr>
        <w:pStyle w:val="Prrafodelista"/>
        <w:numPr>
          <w:ilvl w:val="0"/>
          <w:numId w:val="21"/>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maltrato ocasional contiene una agresión contra la integridad moral ya que el objetivo principal es la humillación y degradación de la mujer por parte del hombre.</w:t>
      </w:r>
    </w:p>
    <w:p w14:paraId="3BC62807" w14:textId="77777777" w:rsidR="00B76674" w:rsidRPr="000C698F" w:rsidRDefault="00AA7593"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Por lo tanto </w:t>
      </w:r>
      <w:r w:rsidR="00FE0CF6" w:rsidRPr="000C698F">
        <w:rPr>
          <w:rFonts w:ascii="Times New Roman" w:hAnsi="Times New Roman" w:cs="Times New Roman"/>
          <w:bCs/>
          <w:sz w:val="24"/>
          <w:szCs w:val="24"/>
        </w:rPr>
        <w:t xml:space="preserve">una vez analizados ambos artículos, puede producirse un concurso de leyes, en cuyo caso sería de aplicación preferente el 173.2 en los casos de malos tratos habituales, sin embargo en dicho artículo se prevé una regla concursal lo que nos conduciría a castigar los actos habituales de sometimiento y control por el art.173.2 y cada acción lesiva ocasional por el 153 o 148.4 en concurso. Pero en caso de que se practique un trato degradante no habitual ¿Qué tratamiento debería recibir? En primer lugar, debemos recordar que el tipo básico de los ataques contra la integridad es el 173.1, sin </w:t>
      </w:r>
      <w:r w:rsidR="00E9133A" w:rsidRPr="000C698F">
        <w:rPr>
          <w:rFonts w:ascii="Times New Roman" w:hAnsi="Times New Roman" w:cs="Times New Roman"/>
          <w:bCs/>
          <w:sz w:val="24"/>
          <w:szCs w:val="24"/>
        </w:rPr>
        <w:t>embargo,</w:t>
      </w:r>
      <w:r w:rsidR="00FE0CF6" w:rsidRPr="000C698F">
        <w:rPr>
          <w:rFonts w:ascii="Times New Roman" w:hAnsi="Times New Roman" w:cs="Times New Roman"/>
          <w:bCs/>
          <w:sz w:val="24"/>
          <w:szCs w:val="24"/>
        </w:rPr>
        <w:t xml:space="preserve"> su aplicación es escasa ya que suele resolverse este tipo de trato degradante puntual por el 153, cuando podría aplicarse el 173.1 con la agravante de género.</w:t>
      </w:r>
      <w:r w:rsidR="007C0647" w:rsidRPr="000C698F">
        <w:rPr>
          <w:rFonts w:ascii="Times New Roman" w:hAnsi="Times New Roman" w:cs="Times New Roman"/>
          <w:bCs/>
          <w:sz w:val="24"/>
          <w:szCs w:val="24"/>
        </w:rPr>
        <w:t xml:space="preserve"> En este caso volveríamos a la misma problemática enunciada desde el principio de este epígrafe, la imposición del 153 cuando no sea de aplicación el 173.2 con independencia de la gravedad del ataque contra la integridad moral. </w:t>
      </w:r>
    </w:p>
    <w:p w14:paraId="3BFA5CB3" w14:textId="77777777" w:rsidR="00E9133A" w:rsidRPr="000C698F" w:rsidRDefault="00E9133A"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En resumen, el articulo 153 puede tener efectos atenuantes cuando sea de aplicación automática en los siguientes casos:</w:t>
      </w:r>
    </w:p>
    <w:p w14:paraId="0EC315CC" w14:textId="77777777" w:rsidR="00E9133A" w:rsidRPr="000C698F" w:rsidRDefault="00E9133A" w:rsidP="000C698F">
      <w:pPr>
        <w:pStyle w:val="Prrafodelista"/>
        <w:numPr>
          <w:ilvl w:val="0"/>
          <w:numId w:val="22"/>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Lesiones constitutivas de delitos en sentido estricto (Art.147 y </w:t>
      </w:r>
      <w:proofErr w:type="spellStart"/>
      <w:r w:rsidRPr="000C698F">
        <w:rPr>
          <w:rFonts w:ascii="Times New Roman" w:hAnsi="Times New Roman" w:cs="Times New Roman"/>
          <w:bCs/>
          <w:sz w:val="24"/>
          <w:szCs w:val="24"/>
        </w:rPr>
        <w:t>ss</w:t>
      </w:r>
      <w:proofErr w:type="spellEnd"/>
      <w:r w:rsidRPr="000C698F">
        <w:rPr>
          <w:rFonts w:ascii="Times New Roman" w:hAnsi="Times New Roman" w:cs="Times New Roman"/>
          <w:bCs/>
          <w:sz w:val="24"/>
          <w:szCs w:val="24"/>
        </w:rPr>
        <w:t>)</w:t>
      </w:r>
    </w:p>
    <w:p w14:paraId="6D27F39F" w14:textId="77777777" w:rsidR="00E9133A" w:rsidRPr="000C698F" w:rsidRDefault="00E9133A" w:rsidP="000C698F">
      <w:pPr>
        <w:pStyle w:val="Prrafodelista"/>
        <w:numPr>
          <w:ilvl w:val="0"/>
          <w:numId w:val="22"/>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Tentativas de lesiones más graves (arts.149 y 150)</w:t>
      </w:r>
    </w:p>
    <w:p w14:paraId="30BA03AA" w14:textId="77777777" w:rsidR="00E9133A" w:rsidRPr="000C698F" w:rsidRDefault="00E9133A" w:rsidP="000C698F">
      <w:pPr>
        <w:pStyle w:val="Prrafodelista"/>
        <w:numPr>
          <w:ilvl w:val="0"/>
          <w:numId w:val="22"/>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Atentados graves contra la integridad moral (arts.173.1 y 2)</w:t>
      </w:r>
    </w:p>
    <w:p w14:paraId="6B2B4F9F" w14:textId="77777777" w:rsidR="0078763B" w:rsidRPr="000C698F" w:rsidRDefault="00E9133A"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Para evitar este efecto, es vital que, como he dicho al inicio, examinemos de forma concreta los hechos ocurridos y los resultados producidos, dejando de lado la idea de que el art.153 es el único artículo previsto para resolver la responsabilidad del agresor en el contexto de violencia de género y doméstica en el ámbito de las lesiones y de la integridad moral.</w:t>
      </w:r>
    </w:p>
    <w:p w14:paraId="779A6FCF" w14:textId="77777777" w:rsidR="002750B3" w:rsidRPr="000C698F" w:rsidRDefault="002750B3" w:rsidP="000C698F">
      <w:pPr>
        <w:spacing w:line="360" w:lineRule="auto"/>
        <w:jc w:val="both"/>
        <w:rPr>
          <w:rFonts w:ascii="Times New Roman" w:hAnsi="Times New Roman" w:cs="Times New Roman"/>
          <w:bCs/>
          <w:sz w:val="24"/>
          <w:szCs w:val="24"/>
        </w:rPr>
      </w:pPr>
    </w:p>
    <w:p w14:paraId="7AC04B83" w14:textId="77777777" w:rsidR="00BE37BC" w:rsidRPr="000C698F" w:rsidRDefault="00BE37BC" w:rsidP="000C698F">
      <w:pPr>
        <w:spacing w:line="360" w:lineRule="auto"/>
        <w:jc w:val="both"/>
        <w:rPr>
          <w:rFonts w:ascii="Times New Roman" w:hAnsi="Times New Roman" w:cs="Times New Roman"/>
          <w:b/>
          <w:bCs/>
          <w:color w:val="E80061" w:themeColor="accent1" w:themeShade="BF"/>
          <w:sz w:val="24"/>
          <w:szCs w:val="24"/>
          <w:u w:val="single"/>
        </w:rPr>
      </w:pPr>
      <w:r w:rsidRPr="000C698F">
        <w:rPr>
          <w:rFonts w:ascii="Times New Roman" w:hAnsi="Times New Roman" w:cs="Times New Roman"/>
          <w:b/>
          <w:bCs/>
          <w:color w:val="E80061" w:themeColor="accent1" w:themeShade="BF"/>
          <w:sz w:val="24"/>
          <w:szCs w:val="24"/>
          <w:u w:val="single"/>
        </w:rPr>
        <w:t>Nueva agravante genérica (Art.22.4) y agravante mixta de parentesco</w:t>
      </w:r>
    </w:p>
    <w:p w14:paraId="3E1DCF69" w14:textId="77777777" w:rsidR="00BC5B89" w:rsidRPr="000C698F" w:rsidRDefault="00BC5B89"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Considero oportuno mencionar en este epígrafe la nueva agravante genérica ya que pueden cometerse otros delitos distintos a los de lesiones mencionados anteriormente, siendo el móvil el desprecio al género (en este caso femenino) y también constitutivo de un delito de violencia de género por ese especial ánimo que concurre al ejecutarse el delito.</w:t>
      </w:r>
    </w:p>
    <w:p w14:paraId="18AABB80" w14:textId="77777777" w:rsidR="00BE37BC" w:rsidRPr="000C698F" w:rsidRDefault="00BE37BC"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A partir de la reforma 1/2015 de 30 de marzo se ha introducido en el art.22.4 como nuevo elemento constitutivo de agravante el género, quedando la redacción de la siguiente manera: “Cometer el delito por motivos racistas, antisemitas u otra clase de discriminación referente a la ideología,</w:t>
      </w:r>
      <w:r w:rsidR="00970124">
        <w:rPr>
          <w:rFonts w:ascii="Times New Roman" w:hAnsi="Times New Roman" w:cs="Times New Roman"/>
          <w:bCs/>
          <w:sz w:val="24"/>
          <w:szCs w:val="24"/>
        </w:rPr>
        <w:t xml:space="preserve"> </w:t>
      </w:r>
      <w:r w:rsidRPr="000C698F">
        <w:rPr>
          <w:rFonts w:ascii="Times New Roman" w:hAnsi="Times New Roman" w:cs="Times New Roman"/>
          <w:bCs/>
          <w:sz w:val="24"/>
          <w:szCs w:val="24"/>
        </w:rPr>
        <w:t>religión o creencias de la víctima, la etnia, raza o nación a la que pertenezca, su sexo, orientación o identidad sexual, razones de género, la enfermedad que padezca o su discapacidad”.</w:t>
      </w:r>
      <w:r w:rsidR="006E5CC7" w:rsidRPr="000C698F">
        <w:rPr>
          <w:rStyle w:val="Refdenotaalpie"/>
          <w:rFonts w:ascii="Times New Roman" w:hAnsi="Times New Roman" w:cs="Times New Roman"/>
          <w:bCs/>
          <w:sz w:val="24"/>
          <w:szCs w:val="24"/>
        </w:rPr>
        <w:footnoteReference w:id="32"/>
      </w:r>
    </w:p>
    <w:p w14:paraId="68E7D47F" w14:textId="77777777" w:rsidR="00BE37BC" w:rsidRPr="000C698F" w:rsidRDefault="00BE37BC"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Esta agravante responde al propósito de evitar, en la medida de lo posible, toda conducta que entrañe injusta discriminación de las personas con base en una serie de motivos, discriminación que pugna con el derecho a la igualdad proclamado en el artículo 14 de la CE. Su aplicación pues </w:t>
      </w:r>
      <w:r w:rsidRPr="000C698F">
        <w:rPr>
          <w:rFonts w:ascii="Times New Roman" w:hAnsi="Times New Roman" w:cs="Times New Roman"/>
          <w:bCs/>
          <w:sz w:val="24"/>
          <w:szCs w:val="24"/>
        </w:rPr>
        <w:lastRenderedPageBreak/>
        <w:t>exigirá la prueba plena no ya del hecho y la participación del acusado, sino de la condición de la víctima y la intencionalidad del autor, elemento este último de carácter subjetivo relativo al móvil o ánimo específico que ha de inspirar la acción del autor y que no ha de ser otro que alguna de las motivaciones a las que el precepto hace referencia, respecto a lo que a nosotros nos interesa en este caso que el autor haya realizado el delito por motivos de género, debiendo recogerse estos extremos en la motivación existente en el fundamento de hechos probados.</w:t>
      </w:r>
      <w:r w:rsidR="006B66C2" w:rsidRPr="000C698F">
        <w:rPr>
          <w:rStyle w:val="Refdenotaalpie"/>
          <w:rFonts w:ascii="Times New Roman" w:hAnsi="Times New Roman" w:cs="Times New Roman"/>
          <w:bCs/>
          <w:sz w:val="24"/>
          <w:szCs w:val="24"/>
        </w:rPr>
        <w:footnoteReference w:id="33"/>
      </w:r>
    </w:p>
    <w:p w14:paraId="20CFF26B" w14:textId="77777777" w:rsidR="00BE37BC" w:rsidRPr="000C698F" w:rsidRDefault="00BE37BC"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 No obstante, a raíz de esta nueva introducción en el art.22.4 ha sido muy debatida la cuestión de si realmente era necesaria su introducción, ya que anteriormente se venía aplicando el art.23 (circunstancia mixta de parentesco)</w:t>
      </w:r>
      <w:r w:rsidR="006B66C2" w:rsidRPr="000C698F">
        <w:rPr>
          <w:rStyle w:val="Refdenotaalpie"/>
          <w:rFonts w:ascii="Times New Roman" w:hAnsi="Times New Roman" w:cs="Times New Roman"/>
          <w:bCs/>
          <w:sz w:val="24"/>
          <w:szCs w:val="24"/>
        </w:rPr>
        <w:footnoteReference w:id="34"/>
      </w:r>
      <w:r w:rsidRPr="000C698F">
        <w:rPr>
          <w:rFonts w:ascii="Times New Roman" w:hAnsi="Times New Roman" w:cs="Times New Roman"/>
          <w:bCs/>
          <w:sz w:val="24"/>
          <w:szCs w:val="24"/>
        </w:rPr>
        <w:t xml:space="preserve"> cuando entre el autor del delito y la victima existía una relaci</w:t>
      </w:r>
      <w:r w:rsidR="00FB2022" w:rsidRPr="000C698F">
        <w:rPr>
          <w:rFonts w:ascii="Times New Roman" w:hAnsi="Times New Roman" w:cs="Times New Roman"/>
          <w:bCs/>
          <w:sz w:val="24"/>
          <w:szCs w:val="24"/>
        </w:rPr>
        <w:t>ón de pareja o eran matrimonio, aunque cabe matizar que esta agravante no se aplicaba en el tipo del art. 153 del Código Penal pues estas relaciones familiares son inherentes al mismo.</w:t>
      </w:r>
    </w:p>
    <w:p w14:paraId="6493A406" w14:textId="77777777" w:rsidR="00BE37BC" w:rsidRPr="000C698F" w:rsidRDefault="00BE37BC"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La aplicación de esta nueva agravante de género se realizará sobre todo tipo de delitos cuyo móvil sea el odio del autor a su víctima tan solo por el género de esta y con el término género nos estamos refiriendo al rol social que se le ha asignado a mujeres y hombres, es decir, se trata de una construcción social que va más allá del sexo de las personas, se trata de ese papel dominante que consideran que tienen los hombres sobre las mujeres. </w:t>
      </w:r>
    </w:p>
    <w:p w14:paraId="0F085A04" w14:textId="77777777" w:rsidR="002F5FF2" w:rsidRPr="000C698F" w:rsidRDefault="00BE37BC"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Por ello, en mi opinión, la inclusión en el código penal de esta agravante si resulta importante, ya que se trata de una agravante fundada en la igualdad entre todos por lo que su aplicación será más amplia (en lo que a delitos machistas se refiere) que la agravante mixta de parentesco ya que esta se ciñe a relaciones de pareja mientras que la agravante de género contiene ese plus de injusto sobre acciones que se realizan sobre cualquier mujer (sea o no pareja) por el solo motivo de que esta era mujer, contiene un mayor desvalor y abarca una realidad social tan importante como devastadora.</w:t>
      </w:r>
    </w:p>
    <w:p w14:paraId="4E720B24" w14:textId="77777777" w:rsidR="00E9133A" w:rsidRPr="000C698F" w:rsidRDefault="00E9133A" w:rsidP="000C698F">
      <w:pPr>
        <w:spacing w:line="360" w:lineRule="auto"/>
        <w:jc w:val="center"/>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pPr>
      <w:r w:rsidRPr="000C698F">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t>6. Conclusiones</w:t>
      </w:r>
    </w:p>
    <w:p w14:paraId="08224D0E" w14:textId="77777777" w:rsidR="009B2C8A" w:rsidRPr="000C698F" w:rsidRDefault="009B2C8A"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La primera cuestión que planteaba al inicio de este trabajo era que se entiende por violencia de género y como hemos analizado podemos contestar que se basa en la dominación del hombre sobre la mujer, ejerciendo un dominio sobre esta y que tiene diferentes manifestaciones</w:t>
      </w:r>
      <w:r w:rsidR="00D52089" w:rsidRPr="000C698F">
        <w:rPr>
          <w:rFonts w:ascii="Times New Roman" w:hAnsi="Times New Roman" w:cs="Times New Roman"/>
          <w:bCs/>
          <w:sz w:val="24"/>
          <w:szCs w:val="24"/>
        </w:rPr>
        <w:t>: violencia física, violencia psicológica y violencia económica. La violencia de género tiene su origen en una sociedad patriarcal donde tradicionalmente se han asignado roles a ambos sexos, perpetrándose la idea de que los hombres son superiores a las mujeres, dando lugar a una tremenda desigualdad y considerándolo motivo suficiente y justificado para ejercer esa dominación a través de la violencia especialmente.</w:t>
      </w:r>
    </w:p>
    <w:p w14:paraId="26F2D7EC" w14:textId="77777777" w:rsidR="00B57D20" w:rsidRPr="000C698F" w:rsidRDefault="00B57D20"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El término “violencia de género” es un término reciente como el propio reconocimiento de la realidad del maltrato a las mujeres. Como dice Maqueda “Es una manifestación más de la resistencia que existe a reconocer que la violencia contra las mujeres no es una cuestión biológica ni doméstica sino de género. Se trata de una variable teórica esencial para comprender que no es la diferencia entre sexos la razón del antagonismo, que no nos hallamos ante una forma de violencia individual que se ejerce en el ámbito familiar o de pareja por quien ostenta una posición de superioridad física (hombre) sobre el sexo más débil (mujer), sino que es consecuencia de una situación de discriminación intemporal que tiene su origen en una estructura social de naturaleza patriarcal.”</w:t>
      </w:r>
      <w:r w:rsidRPr="000C698F">
        <w:rPr>
          <w:rStyle w:val="Refdenotaalpie"/>
          <w:rFonts w:ascii="Times New Roman" w:hAnsi="Times New Roman" w:cs="Times New Roman"/>
          <w:bCs/>
          <w:sz w:val="24"/>
          <w:szCs w:val="24"/>
        </w:rPr>
        <w:footnoteReference w:id="35"/>
      </w:r>
    </w:p>
    <w:p w14:paraId="4D52374D" w14:textId="77777777" w:rsidR="00D52089" w:rsidRPr="000C698F" w:rsidRDefault="00D52089"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En segundo lugar, nos planteábamos si violencia doméstica y violencia de género es lo mismo, dada la confusión existente en relación a ambos términos, concluyendo que se trata de figuras que trata la violencia física en diferentes ámbitos:</w:t>
      </w:r>
    </w:p>
    <w:p w14:paraId="66205226" w14:textId="77777777" w:rsidR="00B76674" w:rsidRPr="000C698F" w:rsidRDefault="00F50B1A" w:rsidP="000C698F">
      <w:pPr>
        <w:pStyle w:val="Prrafodelista"/>
        <w:numPr>
          <w:ilvl w:val="0"/>
          <w:numId w:val="18"/>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La violencia doméstica se produce en el ámbito familiar, no solamente sobre la pareja</w:t>
      </w:r>
      <w:r w:rsidR="00B76674" w:rsidRPr="000C698F">
        <w:rPr>
          <w:rFonts w:ascii="Times New Roman" w:hAnsi="Times New Roman" w:cs="Times New Roman"/>
          <w:bCs/>
          <w:sz w:val="24"/>
          <w:szCs w:val="24"/>
        </w:rPr>
        <w:t xml:space="preserve">. Castiga </w:t>
      </w:r>
      <w:r w:rsidR="00813B58" w:rsidRPr="000C698F">
        <w:rPr>
          <w:rStyle w:val="Refdenotaalpie"/>
          <w:rFonts w:ascii="Times New Roman" w:hAnsi="Times New Roman" w:cs="Times New Roman"/>
          <w:bCs/>
          <w:sz w:val="24"/>
          <w:szCs w:val="24"/>
        </w:rPr>
        <w:footnoteReference w:id="36"/>
      </w:r>
      <w:r w:rsidR="00B76674" w:rsidRPr="000C698F">
        <w:rPr>
          <w:rFonts w:ascii="Times New Roman" w:hAnsi="Times New Roman" w:cs="Times New Roman"/>
          <w:bCs/>
          <w:sz w:val="24"/>
          <w:szCs w:val="24"/>
        </w:rPr>
        <w:t xml:space="preserve">la reiteración de actividades de violencia física y psíquica sobre el cónyuge, descendientes, ascendientes y demás personas que menciona el precepto, hasta crear una atmosfera irrespirable para el sujeto pasivo de la infracción, regida por el miedo y la </w:t>
      </w:r>
      <w:r w:rsidR="00B76674" w:rsidRPr="000C698F">
        <w:rPr>
          <w:rFonts w:ascii="Times New Roman" w:hAnsi="Times New Roman" w:cs="Times New Roman"/>
          <w:bCs/>
          <w:sz w:val="24"/>
          <w:szCs w:val="24"/>
        </w:rPr>
        <w:lastRenderedPageBreak/>
        <w:t>dominación, porque nada define mejor el maltrato habitual como una situación de dominio y de poder de una persona sobre su pareja</w:t>
      </w:r>
      <w:r w:rsidR="00813B58" w:rsidRPr="000C698F">
        <w:rPr>
          <w:rFonts w:ascii="Times New Roman" w:hAnsi="Times New Roman" w:cs="Times New Roman"/>
          <w:bCs/>
          <w:sz w:val="24"/>
          <w:szCs w:val="24"/>
        </w:rPr>
        <w:t xml:space="preserve"> y ascendientes, descendientes </w:t>
      </w:r>
      <w:proofErr w:type="spellStart"/>
      <w:r w:rsidR="00813B58" w:rsidRPr="000C698F">
        <w:rPr>
          <w:rFonts w:ascii="Times New Roman" w:hAnsi="Times New Roman" w:cs="Times New Roman"/>
          <w:bCs/>
          <w:sz w:val="24"/>
          <w:szCs w:val="24"/>
        </w:rPr>
        <w:t>etc</w:t>
      </w:r>
      <w:proofErr w:type="spellEnd"/>
      <w:r w:rsidR="00813B58" w:rsidRPr="000C698F">
        <w:rPr>
          <w:rFonts w:ascii="Times New Roman" w:hAnsi="Times New Roman" w:cs="Times New Roman"/>
          <w:bCs/>
          <w:sz w:val="24"/>
          <w:szCs w:val="24"/>
        </w:rPr>
        <w:t xml:space="preserve">, que constituye un estado de agresión permanente. </w:t>
      </w:r>
    </w:p>
    <w:p w14:paraId="00FC5918" w14:textId="77777777" w:rsidR="00F50B1A" w:rsidRPr="000C698F" w:rsidRDefault="00F50B1A" w:rsidP="000C698F">
      <w:pPr>
        <w:pStyle w:val="Prrafodelista"/>
        <w:numPr>
          <w:ilvl w:val="0"/>
          <w:numId w:val="18"/>
        </w:num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La violencia de género se da únicamente cuando hay una relación sentimental entre agresor y víctima (convivan o no) y se trata de una agresión puntual y no reiterada como</w:t>
      </w:r>
      <w:r w:rsidR="0001421B" w:rsidRPr="000C698F">
        <w:rPr>
          <w:rFonts w:ascii="Times New Roman" w:hAnsi="Times New Roman" w:cs="Times New Roman"/>
          <w:bCs/>
          <w:sz w:val="24"/>
          <w:szCs w:val="24"/>
        </w:rPr>
        <w:t xml:space="preserve"> veíamos la violencia doméstica, y como resultado de una clara pretensión de dominación del hombre sobre la mujer.</w:t>
      </w:r>
    </w:p>
    <w:p w14:paraId="6BF2A6A9" w14:textId="77777777" w:rsidR="00F50B1A" w:rsidRPr="000C698F" w:rsidRDefault="00F50B1A"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Por lo tanto, la violencia de género se aplicaría en un ámbito mucho más reducido y específico, por los elementos que contiene el tipo, que la violencia doméstica que si tiene una aplicación más amplia y cuyo objetivo es asegurar la paz familiar y no tanto la protección específica ante posibles agresiones sobre la mujer. </w:t>
      </w:r>
    </w:p>
    <w:p w14:paraId="56F0A365" w14:textId="77777777" w:rsidR="00D52089" w:rsidRPr="000C698F" w:rsidRDefault="00F50B1A"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En cuanto al estudio del art.153 CP, planteaba si para su aplicación es necesario que en la agresión producida concurriese como elemento subjetivo la intención de dominio del agresor sobre la víctima, a lo que hemos acabado concluyendo que</w:t>
      </w:r>
      <w:r w:rsidR="00ED1BDB" w:rsidRPr="000C698F">
        <w:rPr>
          <w:rFonts w:ascii="Times New Roman" w:hAnsi="Times New Roman" w:cs="Times New Roman"/>
          <w:bCs/>
          <w:sz w:val="24"/>
          <w:szCs w:val="24"/>
        </w:rPr>
        <w:t>,</w:t>
      </w:r>
      <w:r w:rsidRPr="000C698F">
        <w:rPr>
          <w:rFonts w:ascii="Times New Roman" w:hAnsi="Times New Roman" w:cs="Times New Roman"/>
          <w:bCs/>
          <w:sz w:val="24"/>
          <w:szCs w:val="24"/>
        </w:rPr>
        <w:t xml:space="preserve"> a pesar de las discrepancias doctrinales y jurisprudenciales</w:t>
      </w:r>
      <w:r w:rsidR="00ED1BDB" w:rsidRPr="000C698F">
        <w:rPr>
          <w:rFonts w:ascii="Times New Roman" w:hAnsi="Times New Roman" w:cs="Times New Roman"/>
          <w:bCs/>
          <w:sz w:val="24"/>
          <w:szCs w:val="24"/>
        </w:rPr>
        <w:t xml:space="preserve">, si es necesario ese ánimo de dominación (al menos en mi opinión resulta más correcto) ya que de esta manera no consideraríamos que toda acción de violencia física en el seno de la pareja de la que resulte lesión leve para la mujer, debe considerarse necesaria y automáticamente como la violencia de género que castiga el art. 153 CP, sino sólo y cuando el resultado producido sea manifestación de la discriminación y de las relaciones de poder del hombre sobre la mujer, dando lugar a un tratamiento más justo penalmente hablando en el ámbito de las lesiones. </w:t>
      </w:r>
    </w:p>
    <w:p w14:paraId="68B944C3" w14:textId="77777777" w:rsidR="005D161B" w:rsidRPr="000C698F" w:rsidRDefault="00ED1BDB"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Por lo tanto, y como hemos analizado, no toda violencia producida en el marco hombre-mujer debe concentrarse o subsumirse exclusivamente en el art.153 CP, el código penal tipifica lesiones de mayor gravedad las cuales pueden ser susceptibles de aplicación por ejemplo en grado de tentativa dependiendo de cómo acontecieron los hechos, de lo contrario el articulo 153 aplicándose automáticamente podría convertirse en un tipo atenuado al no contemplar todo el desvalor de la acción o del resultado que podría haberse producido.</w:t>
      </w:r>
    </w:p>
    <w:p w14:paraId="268FDC56" w14:textId="77777777" w:rsidR="00474AA3" w:rsidRPr="000C698F" w:rsidRDefault="00E2421B" w:rsidP="000C698F">
      <w:pPr>
        <w:spacing w:line="360" w:lineRule="auto"/>
        <w:jc w:val="both"/>
        <w:rPr>
          <w:rFonts w:ascii="Times New Roman" w:hAnsi="Times New Roman" w:cs="Times New Roman"/>
          <w:bCs/>
          <w:i/>
          <w:sz w:val="24"/>
          <w:szCs w:val="24"/>
        </w:rPr>
      </w:pPr>
      <w:r w:rsidRPr="000C698F">
        <w:rPr>
          <w:rFonts w:ascii="Times New Roman" w:hAnsi="Times New Roman" w:cs="Times New Roman"/>
          <w:bCs/>
          <w:sz w:val="24"/>
          <w:szCs w:val="24"/>
        </w:rPr>
        <w:lastRenderedPageBreak/>
        <w:t xml:space="preserve">Por último, me gustaría hacer </w:t>
      </w:r>
      <w:r w:rsidR="00717E19" w:rsidRPr="000C698F">
        <w:rPr>
          <w:rFonts w:ascii="Times New Roman" w:hAnsi="Times New Roman" w:cs="Times New Roman"/>
          <w:bCs/>
          <w:sz w:val="24"/>
          <w:szCs w:val="24"/>
        </w:rPr>
        <w:t>una reflexión final</w:t>
      </w:r>
      <w:r w:rsidR="002F5FF2" w:rsidRPr="000C698F">
        <w:rPr>
          <w:rStyle w:val="Refdenotaalpie"/>
          <w:rFonts w:ascii="Times New Roman" w:hAnsi="Times New Roman" w:cs="Times New Roman"/>
          <w:bCs/>
          <w:sz w:val="24"/>
          <w:szCs w:val="24"/>
        </w:rPr>
        <w:footnoteReference w:id="37"/>
      </w:r>
      <w:r w:rsidR="00717E19" w:rsidRPr="000C698F">
        <w:rPr>
          <w:rFonts w:ascii="Times New Roman" w:hAnsi="Times New Roman" w:cs="Times New Roman"/>
          <w:bCs/>
          <w:sz w:val="24"/>
          <w:szCs w:val="24"/>
        </w:rPr>
        <w:t xml:space="preserve">, y es si el derecho penal es el mecanismo más eficaz para erradicar la violencia de género. </w:t>
      </w:r>
      <w:r w:rsidR="00944D5A" w:rsidRPr="000C698F">
        <w:rPr>
          <w:rFonts w:ascii="Times New Roman" w:hAnsi="Times New Roman" w:cs="Times New Roman"/>
          <w:bCs/>
          <w:sz w:val="24"/>
          <w:szCs w:val="24"/>
        </w:rPr>
        <w:t>En mi opinión, el derecho penal debe intervenir en ultima ratio,</w:t>
      </w:r>
      <w:r w:rsidR="0068214F" w:rsidRPr="000C698F">
        <w:rPr>
          <w:rFonts w:ascii="Times New Roman" w:hAnsi="Times New Roman" w:cs="Times New Roman"/>
          <w:bCs/>
          <w:sz w:val="24"/>
          <w:szCs w:val="24"/>
        </w:rPr>
        <w:t xml:space="preserve"> ya que en virtud del principio de intervención mínima, la función protectora de bienes jurídicos no es exclusiva del derecho penal pues el estado cuenta con recursos menos lesivos para prevenir este tipo de conductas,</w:t>
      </w:r>
      <w:r w:rsidR="00944D5A" w:rsidRPr="000C698F">
        <w:rPr>
          <w:rFonts w:ascii="Times New Roman" w:hAnsi="Times New Roman" w:cs="Times New Roman"/>
          <w:bCs/>
          <w:sz w:val="24"/>
          <w:szCs w:val="24"/>
        </w:rPr>
        <w:t xml:space="preserve"> siendo prioritaria la intervención de políticas sociales que fomenten la igualdad desde edades tempranas en el ámbito educativo o a nivel informativo,</w:t>
      </w:r>
      <w:r w:rsidR="00474AA3" w:rsidRPr="000C698F">
        <w:rPr>
          <w:rFonts w:ascii="Times New Roman" w:hAnsi="Times New Roman" w:cs="Times New Roman"/>
          <w:bCs/>
          <w:sz w:val="24"/>
          <w:szCs w:val="24"/>
        </w:rPr>
        <w:t xml:space="preserve"> esto es lo que se conoce como función de prevención primaria del derecho penal, que significa lo siguiente</w:t>
      </w:r>
      <w:r w:rsidR="00474AA3" w:rsidRPr="000C698F">
        <w:rPr>
          <w:rFonts w:ascii="Times New Roman" w:hAnsi="Times New Roman" w:cs="Times New Roman"/>
          <w:bCs/>
          <w:i/>
          <w:sz w:val="24"/>
          <w:szCs w:val="24"/>
        </w:rPr>
        <w:t>: “La prevención primaria es aquella que actúa sobre la raíz del problema. Va actuar antes de que se lleven a cabo las conductas delictivas. La prevención primaria por excelencia va ser la educación.”</w:t>
      </w:r>
      <w:r w:rsidR="00062C0F" w:rsidRPr="000C698F">
        <w:rPr>
          <w:rFonts w:ascii="Times New Roman" w:hAnsi="Times New Roman" w:cs="Times New Roman"/>
          <w:bCs/>
          <w:i/>
          <w:sz w:val="24"/>
          <w:szCs w:val="24"/>
        </w:rPr>
        <w:t>.</w:t>
      </w:r>
    </w:p>
    <w:p w14:paraId="78048D81" w14:textId="77777777" w:rsidR="00062C0F" w:rsidRPr="000C698F" w:rsidRDefault="00062C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Como menciona </w:t>
      </w:r>
      <w:r w:rsidR="00E8791A" w:rsidRPr="000C698F">
        <w:rPr>
          <w:rFonts w:ascii="Times New Roman" w:hAnsi="Times New Roman" w:cs="Times New Roman"/>
          <w:bCs/>
          <w:sz w:val="24"/>
          <w:szCs w:val="24"/>
        </w:rPr>
        <w:t>García</w:t>
      </w:r>
      <w:r w:rsidRPr="000C698F">
        <w:rPr>
          <w:rFonts w:ascii="Times New Roman" w:hAnsi="Times New Roman" w:cs="Times New Roman"/>
          <w:bCs/>
          <w:sz w:val="24"/>
          <w:szCs w:val="24"/>
        </w:rPr>
        <w:t xml:space="preserve"> Pablos, los programas de prevención primaria se orientan a las causas mismas, a la raíz del conflicto criminal, para neutralizar éste antes de que el propio problema se manifieste. Tratan, pues, de crear los requisitos necesarios o de resolver las situaciones carenciales criminógenas, procurando una socia1ización provechosa acorde con los objetivos sociales. Educación y socialización, vivienda, trabajo, bienestar social y calidad de vida son ámbitos esenciales para una prevención primaria, que opera siempre a largo y medio plazo y se dirige a todos los ciudadanos.</w:t>
      </w:r>
      <w:r w:rsidRPr="000C698F">
        <w:rPr>
          <w:rStyle w:val="Refdenotaalpie"/>
          <w:rFonts w:ascii="Times New Roman" w:hAnsi="Times New Roman" w:cs="Times New Roman"/>
          <w:bCs/>
          <w:sz w:val="24"/>
          <w:szCs w:val="24"/>
        </w:rPr>
        <w:footnoteReference w:id="38"/>
      </w:r>
      <w:r w:rsidRPr="000C698F">
        <w:rPr>
          <w:rFonts w:ascii="Times New Roman" w:hAnsi="Times New Roman" w:cs="Times New Roman"/>
          <w:bCs/>
          <w:sz w:val="24"/>
          <w:szCs w:val="24"/>
        </w:rPr>
        <w:t xml:space="preserve"> Las exigencias de prevención primaria suelen atenderse a través de estrategias de política cultural, económica y social, cuyo objetivo último es dotar a los ciudadanos - como afirma </w:t>
      </w:r>
      <w:proofErr w:type="spellStart"/>
      <w:r w:rsidRPr="000C698F">
        <w:rPr>
          <w:rFonts w:ascii="Times New Roman" w:hAnsi="Times New Roman" w:cs="Times New Roman"/>
          <w:bCs/>
          <w:sz w:val="24"/>
          <w:szCs w:val="24"/>
        </w:rPr>
        <w:t>Lüderssen</w:t>
      </w:r>
      <w:proofErr w:type="spellEnd"/>
      <w:r w:rsidRPr="000C698F">
        <w:rPr>
          <w:rStyle w:val="Refdenotaalpie"/>
          <w:rFonts w:ascii="Times New Roman" w:hAnsi="Times New Roman" w:cs="Times New Roman"/>
          <w:bCs/>
          <w:sz w:val="24"/>
          <w:szCs w:val="24"/>
        </w:rPr>
        <w:footnoteReference w:id="39"/>
      </w:r>
      <w:r w:rsidRPr="000C698F">
        <w:rPr>
          <w:rFonts w:ascii="Times New Roman" w:hAnsi="Times New Roman" w:cs="Times New Roman"/>
          <w:bCs/>
          <w:sz w:val="24"/>
          <w:szCs w:val="24"/>
        </w:rPr>
        <w:t>- de capacidad social para superar de forma productiva eventuales conflictos.</w:t>
      </w:r>
    </w:p>
    <w:p w14:paraId="78F7D1F4" w14:textId="1E87F97C" w:rsidR="002B44CD" w:rsidRDefault="00474AA3" w:rsidP="004A7E16">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Es tan importante esta prevención primaria</w:t>
      </w:r>
      <w:r w:rsidR="00944D5A" w:rsidRPr="000C698F">
        <w:rPr>
          <w:rFonts w:ascii="Times New Roman" w:hAnsi="Times New Roman" w:cs="Times New Roman"/>
          <w:bCs/>
          <w:sz w:val="24"/>
          <w:szCs w:val="24"/>
        </w:rPr>
        <w:t xml:space="preserve"> </w:t>
      </w:r>
      <w:r w:rsidRPr="000C698F">
        <w:rPr>
          <w:rFonts w:ascii="Times New Roman" w:hAnsi="Times New Roman" w:cs="Times New Roman"/>
          <w:bCs/>
          <w:sz w:val="24"/>
          <w:szCs w:val="24"/>
        </w:rPr>
        <w:t>por</w:t>
      </w:r>
      <w:r w:rsidR="00944D5A" w:rsidRPr="000C698F">
        <w:rPr>
          <w:rFonts w:ascii="Times New Roman" w:hAnsi="Times New Roman" w:cs="Times New Roman"/>
          <w:bCs/>
          <w:sz w:val="24"/>
          <w:szCs w:val="24"/>
        </w:rPr>
        <w:t>que la idea de superioridad</w:t>
      </w:r>
      <w:r w:rsidR="0068214F" w:rsidRPr="000C698F">
        <w:rPr>
          <w:rFonts w:ascii="Times New Roman" w:hAnsi="Times New Roman" w:cs="Times New Roman"/>
          <w:bCs/>
          <w:sz w:val="24"/>
          <w:szCs w:val="24"/>
        </w:rPr>
        <w:t xml:space="preserve"> del hombre sobre la mujer (</w:t>
      </w:r>
      <w:r w:rsidR="00944D5A" w:rsidRPr="000C698F">
        <w:rPr>
          <w:rFonts w:ascii="Times New Roman" w:hAnsi="Times New Roman" w:cs="Times New Roman"/>
          <w:bCs/>
          <w:sz w:val="24"/>
          <w:szCs w:val="24"/>
        </w:rPr>
        <w:t xml:space="preserve">la cual desemboca en la violencia de género) se encuentra muy enraizada en la sociedad desde tiempos inmemorables, por lo que es necesario que para que realmente </w:t>
      </w:r>
      <w:r w:rsidR="0068214F" w:rsidRPr="000C698F">
        <w:rPr>
          <w:rFonts w:ascii="Times New Roman" w:hAnsi="Times New Roman" w:cs="Times New Roman"/>
          <w:bCs/>
          <w:sz w:val="24"/>
          <w:szCs w:val="24"/>
        </w:rPr>
        <w:t xml:space="preserve">se pueda acabar con la violencia de género se produzca primeramente un cambio desde dentro de la sociedad, un </w:t>
      </w:r>
      <w:r w:rsidR="0068214F" w:rsidRPr="000C698F">
        <w:rPr>
          <w:rFonts w:ascii="Times New Roman" w:hAnsi="Times New Roman" w:cs="Times New Roman"/>
          <w:bCs/>
          <w:sz w:val="24"/>
          <w:szCs w:val="24"/>
        </w:rPr>
        <w:lastRenderedPageBreak/>
        <w:t>cambio interno, de lo contrario por muchos cambios legislativos que puedan realizarse sobre este ámbito tendrá meramente carácter admonitorio o de advertencia pero no producirá el efecto pretendido y que motivan los cambios legislativos.</w:t>
      </w:r>
    </w:p>
    <w:p w14:paraId="617AC2C4" w14:textId="77777777" w:rsidR="004A7E16" w:rsidRDefault="004A7E16" w:rsidP="004A7E16">
      <w:pPr>
        <w:spacing w:line="360" w:lineRule="auto"/>
        <w:jc w:val="both"/>
        <w:rPr>
          <w:rFonts w:ascii="Times New Roman" w:hAnsi="Times New Roman" w:cs="Times New Roman"/>
          <w:bCs/>
          <w:sz w:val="24"/>
          <w:szCs w:val="24"/>
        </w:rPr>
      </w:pPr>
    </w:p>
    <w:p w14:paraId="3D8EC64D" w14:textId="77777777" w:rsidR="004A7E16" w:rsidRDefault="004A7E16" w:rsidP="004A7E16">
      <w:pPr>
        <w:spacing w:line="360" w:lineRule="auto"/>
        <w:jc w:val="both"/>
        <w:rPr>
          <w:rFonts w:ascii="Times New Roman" w:hAnsi="Times New Roman" w:cs="Times New Roman"/>
          <w:bCs/>
          <w:sz w:val="24"/>
          <w:szCs w:val="24"/>
        </w:rPr>
      </w:pPr>
    </w:p>
    <w:p w14:paraId="295A3D6F" w14:textId="77777777" w:rsidR="004A7E16" w:rsidRDefault="004A7E16" w:rsidP="004A7E16">
      <w:pPr>
        <w:spacing w:line="360" w:lineRule="auto"/>
        <w:jc w:val="both"/>
        <w:rPr>
          <w:rFonts w:ascii="Times New Roman" w:hAnsi="Times New Roman" w:cs="Times New Roman"/>
          <w:bCs/>
          <w:sz w:val="24"/>
          <w:szCs w:val="24"/>
        </w:rPr>
      </w:pPr>
    </w:p>
    <w:p w14:paraId="05F38D6A" w14:textId="77777777" w:rsidR="004A7E16" w:rsidRPr="000C698F" w:rsidRDefault="004A7E16" w:rsidP="004A7E16">
      <w:pPr>
        <w:spacing w:line="360" w:lineRule="auto"/>
        <w:jc w:val="both"/>
        <w:rPr>
          <w:rFonts w:ascii="Times New Roman" w:hAnsi="Times New Roman" w:cs="Times New Roman"/>
          <w:b/>
          <w:bCs/>
          <w:sz w:val="24"/>
          <w:szCs w:val="24"/>
          <w14:reflection w14:blurRad="6350" w14:stA="60000" w14:stPos="0" w14:endA="900" w14:endPos="60000" w14:dist="29997" w14:dir="5400000" w14:fadeDir="5400000" w14:sx="100000" w14:sy="-100000" w14:kx="0" w14:ky="0" w14:algn="bl"/>
        </w:rPr>
      </w:pPr>
    </w:p>
    <w:p w14:paraId="67EBD0C3" w14:textId="77777777" w:rsidR="004D24A7" w:rsidRPr="000C698F" w:rsidRDefault="007C3FA8" w:rsidP="000C698F">
      <w:pPr>
        <w:spacing w:line="360" w:lineRule="auto"/>
        <w:ind w:left="720"/>
        <w:jc w:val="center"/>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pPr>
      <w:r w:rsidRPr="000C698F">
        <w:rPr>
          <w:rFonts w:ascii="Times New Roman" w:hAnsi="Times New Roman" w:cs="Times New Roman"/>
          <w:b/>
          <w:bCs/>
          <w:color w:val="E80061" w:themeColor="accent1" w:themeShade="BF"/>
          <w:sz w:val="28"/>
          <w:szCs w:val="28"/>
          <w14:reflection w14:blurRad="6350" w14:stA="60000" w14:stPos="0" w14:endA="900" w14:endPos="60000" w14:dist="29997" w14:dir="5400000" w14:fadeDir="5400000" w14:sx="100000" w14:sy="-100000" w14:kx="0" w14:ky="0" w14:algn="bl"/>
        </w:rPr>
        <w:t>7. Bibliografía</w:t>
      </w:r>
    </w:p>
    <w:p w14:paraId="5CB4BE40" w14:textId="5333142B" w:rsidR="00995D0F" w:rsidRPr="00970124" w:rsidRDefault="009B06FC" w:rsidP="000C698F">
      <w:pPr>
        <w:spacing w:line="360" w:lineRule="auto"/>
        <w:jc w:val="both"/>
        <w:rPr>
          <w:rFonts w:ascii="Times New Roman" w:hAnsi="Times New Roman" w:cs="Times New Roman"/>
          <w:color w:val="0000FF"/>
          <w:sz w:val="24"/>
          <w:szCs w:val="24"/>
          <w:u w:val="single"/>
        </w:rPr>
      </w:pPr>
      <w:bookmarkStart w:id="11" w:name="_Hlk479954937"/>
      <w:r w:rsidRPr="000C698F">
        <w:rPr>
          <w:rFonts w:ascii="Times New Roman" w:hAnsi="Times New Roman" w:cs="Times New Roman"/>
          <w:bCs/>
          <w:sz w:val="24"/>
          <w:szCs w:val="24"/>
        </w:rPr>
        <w:t xml:space="preserve">BOLEA BARDÓN, CAROLINA, “En los límites del derecho penal frente a la violencia doméstica y de género “, </w:t>
      </w:r>
      <w:r w:rsidRPr="000C698F">
        <w:rPr>
          <w:rFonts w:ascii="Times New Roman" w:hAnsi="Times New Roman" w:cs="Times New Roman"/>
          <w:bCs/>
          <w:i/>
          <w:sz w:val="24"/>
          <w:szCs w:val="24"/>
        </w:rPr>
        <w:t xml:space="preserve">Revista electrónica de ciencia penal y criminología, </w:t>
      </w:r>
      <w:r w:rsidR="00970124">
        <w:rPr>
          <w:rFonts w:ascii="Times New Roman" w:hAnsi="Times New Roman" w:cs="Times New Roman"/>
          <w:bCs/>
          <w:sz w:val="24"/>
          <w:szCs w:val="24"/>
        </w:rPr>
        <w:t xml:space="preserve">RECPC 09-02, </w:t>
      </w:r>
      <w:commentRangeStart w:id="12"/>
      <w:r w:rsidR="00970124">
        <w:rPr>
          <w:rFonts w:ascii="Times New Roman" w:hAnsi="Times New Roman" w:cs="Times New Roman"/>
          <w:bCs/>
          <w:sz w:val="24"/>
          <w:szCs w:val="24"/>
        </w:rPr>
        <w:t>2007</w:t>
      </w:r>
      <w:commentRangeEnd w:id="12"/>
      <w:r w:rsidR="004A7E16">
        <w:rPr>
          <w:rStyle w:val="Refdecomentario"/>
        </w:rPr>
        <w:commentReference w:id="12"/>
      </w:r>
      <w:r w:rsidR="00F51C62">
        <w:rPr>
          <w:rFonts w:ascii="Times New Roman" w:hAnsi="Times New Roman" w:cs="Times New Roman"/>
          <w:bCs/>
          <w:sz w:val="24"/>
          <w:szCs w:val="24"/>
        </w:rPr>
        <w:t>, págs. 26.</w:t>
      </w:r>
    </w:p>
    <w:p w14:paraId="1CF38F4B" w14:textId="5A249D8E" w:rsidR="00995D0F" w:rsidRPr="000C698F" w:rsidRDefault="00995D0F" w:rsidP="00970124">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CRUZ BLANCA, MARIA JOSÉ, “Los ataques contra la integridad en el seno de la unidad familiar (la violencia doméstica)”, </w:t>
      </w:r>
      <w:r w:rsidRPr="000C698F">
        <w:rPr>
          <w:rFonts w:ascii="Times New Roman" w:hAnsi="Times New Roman" w:cs="Times New Roman"/>
          <w:bCs/>
          <w:i/>
          <w:sz w:val="24"/>
          <w:szCs w:val="24"/>
        </w:rPr>
        <w:t>Anuario del seminario per</w:t>
      </w:r>
      <w:r w:rsidR="004A7E16">
        <w:rPr>
          <w:rFonts w:ascii="Times New Roman" w:hAnsi="Times New Roman" w:cs="Times New Roman"/>
          <w:bCs/>
          <w:i/>
          <w:sz w:val="24"/>
          <w:szCs w:val="24"/>
        </w:rPr>
        <w:t>manente sobre derechos humanos</w:t>
      </w:r>
      <w:r w:rsidRPr="000C698F">
        <w:rPr>
          <w:rFonts w:ascii="Times New Roman" w:hAnsi="Times New Roman" w:cs="Times New Roman"/>
          <w:bCs/>
          <w:i/>
          <w:sz w:val="24"/>
          <w:szCs w:val="24"/>
        </w:rPr>
        <w:t xml:space="preserve">, </w:t>
      </w:r>
      <w:r w:rsidRPr="004A7E16">
        <w:rPr>
          <w:rFonts w:ascii="Times New Roman" w:hAnsi="Times New Roman" w:cs="Times New Roman"/>
          <w:bCs/>
          <w:sz w:val="24"/>
          <w:szCs w:val="24"/>
        </w:rPr>
        <w:t>Nº2, 1995</w:t>
      </w:r>
      <w:r w:rsidRPr="000C698F">
        <w:rPr>
          <w:rFonts w:ascii="Times New Roman" w:hAnsi="Times New Roman" w:cs="Times New Roman"/>
          <w:bCs/>
          <w:i/>
          <w:sz w:val="24"/>
          <w:szCs w:val="24"/>
        </w:rPr>
        <w:t xml:space="preserve">, </w:t>
      </w:r>
      <w:r w:rsidRPr="000C698F">
        <w:rPr>
          <w:rFonts w:ascii="Times New Roman" w:hAnsi="Times New Roman" w:cs="Times New Roman"/>
          <w:bCs/>
          <w:sz w:val="24"/>
          <w:szCs w:val="24"/>
        </w:rPr>
        <w:t>pags.157-170.</w:t>
      </w:r>
    </w:p>
    <w:p w14:paraId="46CCF541" w14:textId="415CA0D6" w:rsidR="00995D0F" w:rsidRPr="000C698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CRUZ BLANCA, MARIA JOSÉ, “Los subtipos agravados del delito de violencia doméstica habitual”, </w:t>
      </w:r>
      <w:r w:rsidR="002B44CD">
        <w:rPr>
          <w:rFonts w:ascii="Times New Roman" w:hAnsi="Times New Roman" w:cs="Times New Roman"/>
          <w:bCs/>
          <w:i/>
          <w:sz w:val="24"/>
          <w:szCs w:val="24"/>
        </w:rPr>
        <w:t xml:space="preserve">Cuadernos de política criminal, </w:t>
      </w:r>
      <w:r w:rsidR="002B44CD" w:rsidRPr="004A7E16">
        <w:rPr>
          <w:rFonts w:ascii="Times New Roman" w:hAnsi="Times New Roman" w:cs="Times New Roman"/>
          <w:bCs/>
          <w:sz w:val="24"/>
          <w:szCs w:val="24"/>
        </w:rPr>
        <w:t>Nº82</w:t>
      </w:r>
      <w:r w:rsidR="00921E17">
        <w:rPr>
          <w:rFonts w:ascii="Times New Roman" w:hAnsi="Times New Roman" w:cs="Times New Roman"/>
          <w:bCs/>
          <w:i/>
          <w:color w:val="FF0000"/>
          <w:sz w:val="24"/>
          <w:szCs w:val="24"/>
        </w:rPr>
        <w:t>,</w:t>
      </w:r>
      <w:r w:rsidRPr="000C698F">
        <w:rPr>
          <w:rFonts w:ascii="Times New Roman" w:hAnsi="Times New Roman" w:cs="Times New Roman"/>
          <w:bCs/>
          <w:i/>
          <w:sz w:val="24"/>
          <w:szCs w:val="24"/>
        </w:rPr>
        <w:t xml:space="preserve"> </w:t>
      </w:r>
      <w:r w:rsidR="002B44CD" w:rsidRPr="000C698F">
        <w:rPr>
          <w:rFonts w:ascii="Times New Roman" w:hAnsi="Times New Roman" w:cs="Times New Roman"/>
          <w:bCs/>
          <w:sz w:val="24"/>
          <w:szCs w:val="24"/>
        </w:rPr>
        <w:t>págs.</w:t>
      </w:r>
      <w:r w:rsidR="00970124">
        <w:rPr>
          <w:rFonts w:ascii="Times New Roman" w:hAnsi="Times New Roman" w:cs="Times New Roman"/>
          <w:bCs/>
          <w:sz w:val="24"/>
          <w:szCs w:val="24"/>
        </w:rPr>
        <w:t xml:space="preserve"> </w:t>
      </w:r>
      <w:r w:rsidRPr="000C698F">
        <w:rPr>
          <w:rFonts w:ascii="Times New Roman" w:hAnsi="Times New Roman" w:cs="Times New Roman"/>
          <w:bCs/>
          <w:sz w:val="24"/>
          <w:szCs w:val="24"/>
        </w:rPr>
        <w:t>131-162.</w:t>
      </w:r>
    </w:p>
    <w:p w14:paraId="3FE9A39E" w14:textId="695DDDBC" w:rsidR="00995D0F" w:rsidRPr="00970124" w:rsidRDefault="00995D0F" w:rsidP="000C698F">
      <w:pPr>
        <w:spacing w:line="360" w:lineRule="auto"/>
        <w:jc w:val="both"/>
        <w:rPr>
          <w:rFonts w:ascii="Times New Roman" w:hAnsi="Times New Roman" w:cs="Times New Roman"/>
          <w:bCs/>
          <w:i/>
          <w:sz w:val="24"/>
          <w:szCs w:val="24"/>
        </w:rPr>
      </w:pPr>
      <w:r w:rsidRPr="000C698F">
        <w:rPr>
          <w:rFonts w:ascii="Times New Roman" w:hAnsi="Times New Roman" w:cs="Times New Roman"/>
          <w:bCs/>
          <w:sz w:val="24"/>
          <w:szCs w:val="24"/>
        </w:rPr>
        <w:t xml:space="preserve">FERNANDEZ PANTOJA, PILAR, “El sistema de tutela ante la violencia de género”, </w:t>
      </w:r>
      <w:r w:rsidR="0033767D" w:rsidRPr="0033767D">
        <w:rPr>
          <w:rFonts w:ascii="Times New Roman" w:hAnsi="Times New Roman" w:cs="Times New Roman"/>
          <w:bCs/>
          <w:sz w:val="24"/>
          <w:szCs w:val="24"/>
        </w:rPr>
        <w:t>por María José Jiménez Díaz</w:t>
      </w:r>
      <w:r w:rsidRPr="002B44CD">
        <w:rPr>
          <w:rFonts w:ascii="Times New Roman" w:hAnsi="Times New Roman" w:cs="Times New Roman"/>
          <w:bCs/>
          <w:i/>
          <w:sz w:val="24"/>
          <w:szCs w:val="24"/>
        </w:rPr>
        <w:t xml:space="preserve">, </w:t>
      </w:r>
      <w:r w:rsidR="002B44CD" w:rsidRPr="002B44CD">
        <w:rPr>
          <w:rFonts w:ascii="Times New Roman" w:hAnsi="Times New Roman" w:cs="Times New Roman"/>
          <w:bCs/>
          <w:i/>
          <w:sz w:val="24"/>
          <w:szCs w:val="24"/>
        </w:rPr>
        <w:t xml:space="preserve">La ley integral: un sistema multidisciplinar, </w:t>
      </w:r>
      <w:r w:rsidR="00970124" w:rsidRPr="0033767D">
        <w:rPr>
          <w:rFonts w:ascii="Times New Roman" w:hAnsi="Times New Roman" w:cs="Times New Roman"/>
          <w:bCs/>
          <w:sz w:val="24"/>
          <w:szCs w:val="24"/>
        </w:rPr>
        <w:t>2009</w:t>
      </w:r>
      <w:r w:rsidRPr="0033767D">
        <w:rPr>
          <w:rFonts w:ascii="Times New Roman" w:hAnsi="Times New Roman" w:cs="Times New Roman"/>
          <w:bCs/>
          <w:sz w:val="24"/>
          <w:szCs w:val="24"/>
        </w:rPr>
        <w:t>, págs. 243-264</w:t>
      </w:r>
      <w:r w:rsidRPr="000C698F">
        <w:rPr>
          <w:rFonts w:ascii="Times New Roman" w:hAnsi="Times New Roman" w:cs="Times New Roman"/>
          <w:bCs/>
          <w:i/>
          <w:sz w:val="24"/>
          <w:szCs w:val="24"/>
        </w:rPr>
        <w:t>.</w:t>
      </w:r>
    </w:p>
    <w:p w14:paraId="0136B88C" w14:textId="11A24818" w:rsidR="00970124" w:rsidRPr="00970124" w:rsidRDefault="00970124" w:rsidP="00970124">
      <w:pPr>
        <w:spacing w:line="360" w:lineRule="auto"/>
        <w:jc w:val="both"/>
        <w:rPr>
          <w:rStyle w:val="Hipervnculo"/>
          <w:rFonts w:ascii="Times New Roman" w:hAnsi="Times New Roman" w:cs="Times New Roman"/>
          <w:color w:val="FF0000"/>
          <w:sz w:val="24"/>
          <w:szCs w:val="24"/>
        </w:rPr>
      </w:pPr>
      <w:r w:rsidRPr="000C698F">
        <w:rPr>
          <w:rFonts w:ascii="Times New Roman" w:hAnsi="Times New Roman" w:cs="Times New Roman"/>
          <w:bCs/>
          <w:sz w:val="24"/>
          <w:szCs w:val="24"/>
        </w:rPr>
        <w:t xml:space="preserve">FUENTES OSORIO, JUAN LUIS, “Lesiones producidas en un contexto de violencia de doméstica o de género. Una regulación laberíntica.”, </w:t>
      </w:r>
      <w:r w:rsidRPr="000C698F">
        <w:rPr>
          <w:rFonts w:ascii="Times New Roman" w:hAnsi="Times New Roman" w:cs="Times New Roman"/>
          <w:bCs/>
          <w:i/>
          <w:iCs/>
          <w:sz w:val="24"/>
          <w:szCs w:val="24"/>
        </w:rPr>
        <w:t xml:space="preserve">Revista electrónica de ciencia penal y criminología, </w:t>
      </w:r>
      <w:r>
        <w:rPr>
          <w:rFonts w:ascii="Times New Roman" w:hAnsi="Times New Roman" w:cs="Times New Roman"/>
          <w:bCs/>
          <w:sz w:val="24"/>
          <w:szCs w:val="24"/>
        </w:rPr>
        <w:t>RECPC 15-16, 2013</w:t>
      </w:r>
      <w:r w:rsidR="002B44CD">
        <w:rPr>
          <w:rFonts w:ascii="Times New Roman" w:hAnsi="Times New Roman" w:cs="Times New Roman"/>
          <w:bCs/>
          <w:sz w:val="24"/>
          <w:szCs w:val="24"/>
        </w:rPr>
        <w:t xml:space="preserve">, </w:t>
      </w:r>
      <w:r w:rsidR="004A7E16">
        <w:rPr>
          <w:rFonts w:ascii="Times New Roman" w:hAnsi="Times New Roman" w:cs="Times New Roman"/>
          <w:bCs/>
          <w:sz w:val="24"/>
          <w:szCs w:val="24"/>
        </w:rPr>
        <w:t>págs. 1-57</w:t>
      </w:r>
      <w:r w:rsidR="002B44CD">
        <w:rPr>
          <w:rFonts w:ascii="Times New Roman" w:hAnsi="Times New Roman" w:cs="Times New Roman"/>
          <w:bCs/>
          <w:sz w:val="24"/>
          <w:szCs w:val="24"/>
        </w:rPr>
        <w:t>.</w:t>
      </w:r>
    </w:p>
    <w:p w14:paraId="2B5285AA" w14:textId="672D6371" w:rsidR="00995D0F" w:rsidRPr="00970124" w:rsidRDefault="00995D0F" w:rsidP="000C698F">
      <w:pPr>
        <w:spacing w:line="360" w:lineRule="auto"/>
        <w:jc w:val="both"/>
        <w:rPr>
          <w:rFonts w:ascii="Times New Roman" w:hAnsi="Times New Roman" w:cs="Times New Roman"/>
          <w:bCs/>
          <w:color w:val="FF0000"/>
          <w:sz w:val="24"/>
          <w:szCs w:val="24"/>
        </w:rPr>
      </w:pPr>
      <w:r w:rsidRPr="000C698F">
        <w:rPr>
          <w:rFonts w:ascii="Times New Roman" w:hAnsi="Times New Roman" w:cs="Times New Roman"/>
          <w:bCs/>
          <w:sz w:val="24"/>
          <w:szCs w:val="24"/>
        </w:rPr>
        <w:t xml:space="preserve">FUENTES OSORIO, JUAN LUIS, “El articulo 153.1 CP ¿tipo atenuado?”, </w:t>
      </w:r>
      <w:r w:rsidRPr="000C698F">
        <w:rPr>
          <w:rFonts w:ascii="Times New Roman" w:hAnsi="Times New Roman" w:cs="Times New Roman"/>
          <w:bCs/>
          <w:i/>
          <w:iCs/>
          <w:sz w:val="24"/>
          <w:szCs w:val="24"/>
        </w:rPr>
        <w:t>INDRET Revista para el análisis de derecho,</w:t>
      </w:r>
      <w:r w:rsidR="002B44CD">
        <w:rPr>
          <w:rFonts w:ascii="Times New Roman" w:hAnsi="Times New Roman" w:cs="Times New Roman"/>
          <w:bCs/>
          <w:i/>
          <w:iCs/>
          <w:sz w:val="24"/>
          <w:szCs w:val="24"/>
        </w:rPr>
        <w:t xml:space="preserve"> Nº4</w:t>
      </w:r>
      <w:r w:rsidR="00970124">
        <w:rPr>
          <w:rFonts w:ascii="Times New Roman" w:hAnsi="Times New Roman" w:cs="Times New Roman"/>
          <w:bCs/>
          <w:i/>
          <w:iCs/>
          <w:color w:val="FF0000"/>
          <w:sz w:val="24"/>
          <w:szCs w:val="24"/>
        </w:rPr>
        <w:t xml:space="preserve">, </w:t>
      </w:r>
      <w:r w:rsidRPr="000C698F">
        <w:rPr>
          <w:rFonts w:ascii="Times New Roman" w:hAnsi="Times New Roman" w:cs="Times New Roman"/>
          <w:bCs/>
          <w:sz w:val="24"/>
          <w:szCs w:val="24"/>
        </w:rPr>
        <w:t>2</w:t>
      </w:r>
      <w:r w:rsidR="002B44CD">
        <w:rPr>
          <w:rFonts w:ascii="Times New Roman" w:hAnsi="Times New Roman" w:cs="Times New Roman"/>
          <w:bCs/>
          <w:sz w:val="24"/>
          <w:szCs w:val="24"/>
        </w:rPr>
        <w:t xml:space="preserve">014, </w:t>
      </w:r>
      <w:r w:rsidR="004A7E16">
        <w:rPr>
          <w:rFonts w:ascii="Times New Roman" w:hAnsi="Times New Roman" w:cs="Times New Roman"/>
          <w:bCs/>
          <w:sz w:val="24"/>
          <w:szCs w:val="24"/>
        </w:rPr>
        <w:t>págs. 1-29</w:t>
      </w:r>
      <w:r w:rsidR="002B44CD">
        <w:rPr>
          <w:rFonts w:ascii="Times New Roman" w:hAnsi="Times New Roman" w:cs="Times New Roman"/>
          <w:bCs/>
          <w:sz w:val="24"/>
          <w:szCs w:val="24"/>
        </w:rPr>
        <w:t>.</w:t>
      </w:r>
    </w:p>
    <w:p w14:paraId="17DE8415" w14:textId="534CE3A1" w:rsidR="00995D0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GORJ</w:t>
      </w:r>
      <w:r w:rsidR="00970124">
        <w:rPr>
          <w:rFonts w:ascii="Times New Roman" w:hAnsi="Times New Roman" w:cs="Times New Roman"/>
          <w:bCs/>
          <w:sz w:val="24"/>
          <w:szCs w:val="24"/>
        </w:rPr>
        <w:t xml:space="preserve">ÓN BARRANCO, MARÍA CONCEPCIÓN, </w:t>
      </w:r>
      <w:r w:rsidRPr="00970124">
        <w:rPr>
          <w:rFonts w:ascii="Times New Roman" w:hAnsi="Times New Roman" w:cs="Times New Roman"/>
          <w:bCs/>
          <w:i/>
          <w:sz w:val="24"/>
          <w:szCs w:val="24"/>
        </w:rPr>
        <w:t>La respuesta penal frente al género. Una revisión crítica de la vio</w:t>
      </w:r>
      <w:r w:rsidR="00970124" w:rsidRPr="00970124">
        <w:rPr>
          <w:rFonts w:ascii="Times New Roman" w:hAnsi="Times New Roman" w:cs="Times New Roman"/>
          <w:bCs/>
          <w:i/>
          <w:sz w:val="24"/>
          <w:szCs w:val="24"/>
        </w:rPr>
        <w:t>lencia habitual y la de género</w:t>
      </w:r>
      <w:r w:rsidRPr="000C698F">
        <w:rPr>
          <w:rFonts w:ascii="Times New Roman" w:hAnsi="Times New Roman" w:cs="Times New Roman"/>
          <w:bCs/>
          <w:i/>
          <w:sz w:val="24"/>
          <w:szCs w:val="24"/>
        </w:rPr>
        <w:t>,</w:t>
      </w:r>
      <w:r w:rsidR="00970124">
        <w:rPr>
          <w:rFonts w:ascii="Times New Roman" w:hAnsi="Times New Roman" w:cs="Times New Roman"/>
          <w:bCs/>
          <w:i/>
          <w:sz w:val="24"/>
          <w:szCs w:val="24"/>
        </w:rPr>
        <w:t xml:space="preserve"> </w:t>
      </w:r>
      <w:r w:rsidR="008976B5">
        <w:rPr>
          <w:rFonts w:ascii="Times New Roman" w:hAnsi="Times New Roman" w:cs="Times New Roman"/>
          <w:bCs/>
          <w:sz w:val="24"/>
          <w:szCs w:val="24"/>
        </w:rPr>
        <w:t>Salamanca</w:t>
      </w:r>
      <w:r w:rsidR="004A7E16">
        <w:rPr>
          <w:rFonts w:ascii="Times New Roman" w:hAnsi="Times New Roman" w:cs="Times New Roman"/>
          <w:bCs/>
          <w:sz w:val="24"/>
          <w:szCs w:val="24"/>
        </w:rPr>
        <w:t>,</w:t>
      </w:r>
      <w:r w:rsidR="008976B5">
        <w:rPr>
          <w:rFonts w:ascii="Times New Roman" w:hAnsi="Times New Roman" w:cs="Times New Roman"/>
          <w:bCs/>
          <w:sz w:val="24"/>
          <w:szCs w:val="24"/>
        </w:rPr>
        <w:t xml:space="preserve"> </w:t>
      </w:r>
      <w:r w:rsidRPr="000C698F">
        <w:rPr>
          <w:rFonts w:ascii="Times New Roman" w:hAnsi="Times New Roman" w:cs="Times New Roman"/>
          <w:bCs/>
          <w:sz w:val="24"/>
          <w:szCs w:val="24"/>
        </w:rPr>
        <w:t>2010.</w:t>
      </w:r>
    </w:p>
    <w:p w14:paraId="4E7DD6E2" w14:textId="5A85CA6A" w:rsidR="00995D0F" w:rsidRPr="002B44CD" w:rsidRDefault="00995D0F" w:rsidP="000C698F">
      <w:pPr>
        <w:spacing w:line="360" w:lineRule="auto"/>
        <w:jc w:val="both"/>
        <w:rPr>
          <w:rFonts w:ascii="Times New Roman" w:hAnsi="Times New Roman" w:cs="Times New Roman"/>
          <w:bCs/>
          <w:i/>
          <w:sz w:val="24"/>
          <w:szCs w:val="24"/>
        </w:rPr>
      </w:pPr>
      <w:r w:rsidRPr="000C698F">
        <w:rPr>
          <w:rFonts w:ascii="Times New Roman" w:hAnsi="Times New Roman" w:cs="Times New Roman"/>
          <w:bCs/>
          <w:sz w:val="24"/>
          <w:szCs w:val="24"/>
        </w:rPr>
        <w:t xml:space="preserve">LAMARCA PÉREZ, C, </w:t>
      </w:r>
      <w:r w:rsidRPr="00970124">
        <w:rPr>
          <w:rFonts w:ascii="Times New Roman" w:hAnsi="Times New Roman" w:cs="Times New Roman"/>
          <w:bCs/>
          <w:i/>
          <w:sz w:val="24"/>
          <w:szCs w:val="24"/>
        </w:rPr>
        <w:t>Delitos. La parte especial del derecho penal</w:t>
      </w:r>
      <w:r w:rsidRPr="00970124">
        <w:rPr>
          <w:rFonts w:ascii="Times New Roman" w:hAnsi="Times New Roman" w:cs="Times New Roman"/>
          <w:bCs/>
          <w:sz w:val="24"/>
          <w:szCs w:val="24"/>
        </w:rPr>
        <w:t>, 3ª Edición</w:t>
      </w:r>
      <w:r w:rsidRPr="000C698F">
        <w:rPr>
          <w:rFonts w:ascii="Times New Roman" w:hAnsi="Times New Roman" w:cs="Times New Roman"/>
          <w:bCs/>
          <w:i/>
          <w:sz w:val="24"/>
          <w:szCs w:val="24"/>
        </w:rPr>
        <w:t xml:space="preserve">, </w:t>
      </w:r>
      <w:proofErr w:type="spellStart"/>
      <w:r w:rsidRPr="000C698F">
        <w:rPr>
          <w:rFonts w:ascii="Times New Roman" w:hAnsi="Times New Roman" w:cs="Times New Roman"/>
          <w:bCs/>
          <w:i/>
          <w:sz w:val="24"/>
          <w:szCs w:val="24"/>
        </w:rPr>
        <w:t>Colex</w:t>
      </w:r>
      <w:proofErr w:type="spellEnd"/>
      <w:r w:rsidRPr="000C698F">
        <w:rPr>
          <w:rFonts w:ascii="Times New Roman" w:hAnsi="Times New Roman" w:cs="Times New Roman"/>
          <w:bCs/>
          <w:i/>
          <w:sz w:val="24"/>
          <w:szCs w:val="24"/>
        </w:rPr>
        <w:t xml:space="preserve">, </w:t>
      </w:r>
      <w:r w:rsidRPr="000C698F">
        <w:rPr>
          <w:rFonts w:ascii="Times New Roman" w:hAnsi="Times New Roman" w:cs="Times New Roman"/>
          <w:bCs/>
          <w:sz w:val="24"/>
          <w:szCs w:val="24"/>
        </w:rPr>
        <w:t>Madrid. 2016.</w:t>
      </w:r>
    </w:p>
    <w:p w14:paraId="4CA9759A" w14:textId="77777777" w:rsidR="00995D0F" w:rsidRPr="000C698F" w:rsidRDefault="00970124" w:rsidP="000C698F">
      <w:pPr>
        <w:spacing w:line="360" w:lineRule="auto"/>
        <w:jc w:val="both"/>
        <w:rPr>
          <w:rFonts w:ascii="Times New Roman" w:hAnsi="Times New Roman" w:cs="Times New Roman"/>
          <w:bCs/>
          <w:sz w:val="24"/>
          <w:szCs w:val="24"/>
        </w:rPr>
      </w:pPr>
      <w:bookmarkStart w:id="13" w:name="_Hlk481619349"/>
      <w:r>
        <w:rPr>
          <w:rFonts w:ascii="Times New Roman" w:hAnsi="Times New Roman" w:cs="Times New Roman"/>
          <w:bCs/>
          <w:sz w:val="24"/>
          <w:szCs w:val="24"/>
        </w:rPr>
        <w:t xml:space="preserve">LARROSA PERELA, MARTA, </w:t>
      </w:r>
      <w:r w:rsidR="00995D0F" w:rsidRPr="00970124">
        <w:rPr>
          <w:rFonts w:ascii="Times New Roman" w:hAnsi="Times New Roman" w:cs="Times New Roman"/>
          <w:bCs/>
          <w:i/>
          <w:sz w:val="24"/>
          <w:szCs w:val="24"/>
        </w:rPr>
        <w:t>Violencia de género: violencia psicológica</w:t>
      </w:r>
      <w:r w:rsidR="00995D0F" w:rsidRPr="000C698F">
        <w:rPr>
          <w:rFonts w:ascii="Times New Roman" w:hAnsi="Times New Roman" w:cs="Times New Roman"/>
          <w:bCs/>
          <w:i/>
          <w:sz w:val="24"/>
          <w:szCs w:val="24"/>
        </w:rPr>
        <w:t xml:space="preserve">, </w:t>
      </w:r>
      <w:commentRangeStart w:id="14"/>
      <w:r w:rsidR="00995D0F" w:rsidRPr="00970124">
        <w:rPr>
          <w:rFonts w:ascii="Times New Roman" w:hAnsi="Times New Roman" w:cs="Times New Roman"/>
          <w:bCs/>
          <w:sz w:val="24"/>
          <w:szCs w:val="24"/>
        </w:rPr>
        <w:t>2010</w:t>
      </w:r>
      <w:commentRangeEnd w:id="14"/>
      <w:r w:rsidR="004A7E16">
        <w:rPr>
          <w:rStyle w:val="Refdecomentario"/>
        </w:rPr>
        <w:commentReference w:id="14"/>
      </w:r>
      <w:r w:rsidR="00995D0F" w:rsidRPr="000C698F">
        <w:rPr>
          <w:rFonts w:ascii="Times New Roman" w:hAnsi="Times New Roman" w:cs="Times New Roman"/>
          <w:bCs/>
          <w:i/>
          <w:sz w:val="24"/>
          <w:szCs w:val="24"/>
        </w:rPr>
        <w:t>.</w:t>
      </w:r>
      <w:bookmarkEnd w:id="13"/>
    </w:p>
    <w:p w14:paraId="1C1180D8" w14:textId="43F5311D" w:rsidR="00995D0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LAURENZO COPELLO, PATRICIA “¿Hacen falta figuras género específicas para proteger mejor a las mujeres?”, </w:t>
      </w:r>
      <w:r w:rsidRPr="000C698F">
        <w:rPr>
          <w:rFonts w:ascii="Times New Roman" w:hAnsi="Times New Roman" w:cs="Times New Roman"/>
          <w:bCs/>
          <w:i/>
          <w:sz w:val="24"/>
          <w:szCs w:val="24"/>
        </w:rPr>
        <w:t>Estudios penales y criminológicos</w:t>
      </w:r>
      <w:r w:rsidRPr="000C698F">
        <w:rPr>
          <w:rFonts w:ascii="Times New Roman" w:hAnsi="Times New Roman" w:cs="Times New Roman"/>
          <w:bCs/>
          <w:sz w:val="24"/>
          <w:szCs w:val="24"/>
        </w:rPr>
        <w:t>, Nº. 35, 2015, págs. 783-830.</w:t>
      </w:r>
    </w:p>
    <w:p w14:paraId="3069F290" w14:textId="7CD246CE" w:rsidR="002B44CD" w:rsidRPr="002B44CD" w:rsidRDefault="002B44CD" w:rsidP="000C698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LÜDERSSEN KLAUS, </w:t>
      </w:r>
      <w:proofErr w:type="spellStart"/>
      <w:r w:rsidRPr="002B44CD">
        <w:rPr>
          <w:rFonts w:ascii="Times New Roman" w:hAnsi="Times New Roman" w:cs="Times New Roman"/>
          <w:bCs/>
          <w:i/>
          <w:sz w:val="24"/>
          <w:szCs w:val="24"/>
        </w:rPr>
        <w:t>Kriminologie</w:t>
      </w:r>
      <w:proofErr w:type="spellEnd"/>
      <w:r w:rsidRPr="002B44CD">
        <w:rPr>
          <w:rFonts w:ascii="Times New Roman" w:hAnsi="Times New Roman" w:cs="Times New Roman"/>
          <w:bCs/>
          <w:i/>
          <w:sz w:val="24"/>
          <w:szCs w:val="24"/>
        </w:rPr>
        <w:t xml:space="preserve">: </w:t>
      </w:r>
      <w:proofErr w:type="spellStart"/>
      <w:r w:rsidRPr="002B44CD">
        <w:rPr>
          <w:rFonts w:ascii="Times New Roman" w:hAnsi="Times New Roman" w:cs="Times New Roman"/>
          <w:bCs/>
          <w:i/>
          <w:sz w:val="24"/>
          <w:szCs w:val="24"/>
        </w:rPr>
        <w:t>Einführung</w:t>
      </w:r>
      <w:proofErr w:type="spellEnd"/>
      <w:r w:rsidRPr="002B44CD">
        <w:rPr>
          <w:rFonts w:ascii="Times New Roman" w:hAnsi="Times New Roman" w:cs="Times New Roman"/>
          <w:bCs/>
          <w:i/>
          <w:sz w:val="24"/>
          <w:szCs w:val="24"/>
        </w:rPr>
        <w:t xml:space="preserve"> in die </w:t>
      </w:r>
      <w:proofErr w:type="spellStart"/>
      <w:r w:rsidRPr="002B44CD">
        <w:rPr>
          <w:rFonts w:ascii="Times New Roman" w:hAnsi="Times New Roman" w:cs="Times New Roman"/>
          <w:bCs/>
          <w:i/>
          <w:sz w:val="24"/>
          <w:szCs w:val="24"/>
        </w:rPr>
        <w:t>Probleme</w:t>
      </w:r>
      <w:proofErr w:type="spellEnd"/>
      <w:r>
        <w:rPr>
          <w:rFonts w:ascii="Times New Roman" w:hAnsi="Times New Roman" w:cs="Times New Roman"/>
          <w:bCs/>
          <w:i/>
          <w:sz w:val="24"/>
          <w:szCs w:val="24"/>
        </w:rPr>
        <w:t xml:space="preserve">, </w:t>
      </w:r>
      <w:commentRangeStart w:id="15"/>
      <w:r>
        <w:rPr>
          <w:rFonts w:ascii="Times New Roman" w:hAnsi="Times New Roman" w:cs="Times New Roman"/>
          <w:bCs/>
          <w:sz w:val="24"/>
          <w:szCs w:val="24"/>
        </w:rPr>
        <w:t>1984</w:t>
      </w:r>
      <w:commentRangeEnd w:id="15"/>
      <w:r w:rsidR="00CC4FAB">
        <w:rPr>
          <w:rStyle w:val="Refdecomentario"/>
        </w:rPr>
        <w:commentReference w:id="15"/>
      </w:r>
      <w:r w:rsidR="00F51772">
        <w:rPr>
          <w:rFonts w:ascii="Times New Roman" w:hAnsi="Times New Roman" w:cs="Times New Roman"/>
          <w:bCs/>
          <w:sz w:val="24"/>
          <w:szCs w:val="24"/>
        </w:rPr>
        <w:t>, Alemania</w:t>
      </w:r>
      <w:r w:rsidR="007758E7">
        <w:rPr>
          <w:rFonts w:ascii="Times New Roman" w:hAnsi="Times New Roman" w:cs="Times New Roman"/>
          <w:bCs/>
          <w:sz w:val="24"/>
          <w:szCs w:val="24"/>
        </w:rPr>
        <w:t>.</w:t>
      </w:r>
    </w:p>
    <w:p w14:paraId="6688A786" w14:textId="77777777" w:rsidR="00995D0F" w:rsidRPr="000C698F" w:rsidRDefault="00970124" w:rsidP="000C698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LUZÓN PEÑA, DIEGO MANUEL, </w:t>
      </w:r>
      <w:r w:rsidR="00995D0F" w:rsidRPr="00970124">
        <w:rPr>
          <w:rFonts w:ascii="Times New Roman" w:hAnsi="Times New Roman" w:cs="Times New Roman"/>
          <w:bCs/>
          <w:i/>
          <w:sz w:val="24"/>
          <w:szCs w:val="24"/>
        </w:rPr>
        <w:t>Alcance y función del derecho penal</w:t>
      </w:r>
      <w:r w:rsidR="00995D0F" w:rsidRPr="000C698F">
        <w:rPr>
          <w:rFonts w:ascii="Times New Roman" w:hAnsi="Times New Roman" w:cs="Times New Roman"/>
          <w:bCs/>
          <w:sz w:val="24"/>
          <w:szCs w:val="24"/>
        </w:rPr>
        <w:t xml:space="preserve">, </w:t>
      </w:r>
      <w:r w:rsidR="00995D0F" w:rsidRPr="00CC4FAB">
        <w:rPr>
          <w:rFonts w:ascii="Times New Roman" w:hAnsi="Times New Roman" w:cs="Times New Roman"/>
          <w:bCs/>
          <w:sz w:val="24"/>
          <w:szCs w:val="24"/>
        </w:rPr>
        <w:t>Universidad de Alcalá,</w:t>
      </w:r>
      <w:r w:rsidR="00995D0F" w:rsidRPr="000C698F">
        <w:rPr>
          <w:rFonts w:ascii="Times New Roman" w:hAnsi="Times New Roman" w:cs="Times New Roman"/>
          <w:bCs/>
          <w:i/>
          <w:sz w:val="24"/>
          <w:szCs w:val="24"/>
        </w:rPr>
        <w:t xml:space="preserve"> </w:t>
      </w:r>
      <w:r w:rsidR="00995D0F" w:rsidRPr="000C698F">
        <w:rPr>
          <w:rFonts w:ascii="Times New Roman" w:hAnsi="Times New Roman" w:cs="Times New Roman"/>
          <w:bCs/>
          <w:sz w:val="24"/>
          <w:szCs w:val="24"/>
        </w:rPr>
        <w:t>1988.</w:t>
      </w:r>
    </w:p>
    <w:p w14:paraId="238F9D58" w14:textId="01C3933A" w:rsidR="00995D0F" w:rsidRPr="008976B5"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MARÍ FARINÓS, ENRIQUE, “El bien jurídico protegido del articulo 153 CP”,</w:t>
      </w:r>
      <w:r w:rsidRPr="000C698F">
        <w:rPr>
          <w:rFonts w:ascii="Times New Roman" w:hAnsi="Times New Roman" w:cs="Times New Roman"/>
          <w:bCs/>
          <w:i/>
          <w:iCs/>
          <w:sz w:val="24"/>
          <w:szCs w:val="24"/>
        </w:rPr>
        <w:t xml:space="preserve"> La Ley Penal, </w:t>
      </w:r>
      <w:r w:rsidRPr="00970124">
        <w:rPr>
          <w:rFonts w:ascii="Times New Roman" w:hAnsi="Times New Roman" w:cs="Times New Roman"/>
          <w:bCs/>
          <w:iCs/>
          <w:sz w:val="24"/>
          <w:szCs w:val="24"/>
        </w:rPr>
        <w:t>Nº 123</w:t>
      </w:r>
      <w:r w:rsidRPr="000C698F">
        <w:rPr>
          <w:rFonts w:ascii="Times New Roman" w:hAnsi="Times New Roman" w:cs="Times New Roman"/>
          <w:bCs/>
          <w:i/>
          <w:iCs/>
          <w:sz w:val="24"/>
          <w:szCs w:val="24"/>
        </w:rPr>
        <w:t xml:space="preserve">, </w:t>
      </w:r>
      <w:r w:rsidRPr="000C698F">
        <w:rPr>
          <w:rFonts w:ascii="Times New Roman" w:hAnsi="Times New Roman" w:cs="Times New Roman"/>
          <w:bCs/>
          <w:sz w:val="24"/>
          <w:szCs w:val="24"/>
        </w:rPr>
        <w:t>Noviembre-Diciembre</w:t>
      </w:r>
      <w:r w:rsidR="00F51772">
        <w:rPr>
          <w:rFonts w:ascii="Times New Roman" w:hAnsi="Times New Roman" w:cs="Times New Roman"/>
          <w:bCs/>
          <w:sz w:val="24"/>
          <w:szCs w:val="24"/>
        </w:rPr>
        <w:t xml:space="preserve"> 2016,</w:t>
      </w:r>
      <w:r w:rsidR="008976B5">
        <w:rPr>
          <w:rFonts w:ascii="Times New Roman" w:hAnsi="Times New Roman" w:cs="Times New Roman"/>
          <w:bCs/>
          <w:sz w:val="24"/>
          <w:szCs w:val="24"/>
        </w:rPr>
        <w:t xml:space="preserve"> </w:t>
      </w:r>
      <w:r w:rsidR="00F51772">
        <w:rPr>
          <w:rFonts w:ascii="Times New Roman" w:hAnsi="Times New Roman" w:cs="Times New Roman"/>
          <w:bCs/>
          <w:sz w:val="24"/>
          <w:szCs w:val="24"/>
        </w:rPr>
        <w:t>págs.27, p.3 y ss.</w:t>
      </w:r>
    </w:p>
    <w:p w14:paraId="612D5FB9" w14:textId="5A2E7CFD" w:rsidR="00995D0F" w:rsidRPr="000C698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MARÍ FARINÓS, ENRIQUE, “La relación de dominación como fundamento material de aplicación del delito de violencia de género del artículo 153.1 del Código Penal”, </w:t>
      </w:r>
      <w:r w:rsidRPr="000C698F">
        <w:rPr>
          <w:rFonts w:ascii="Times New Roman" w:hAnsi="Times New Roman" w:cs="Times New Roman"/>
          <w:bCs/>
          <w:i/>
          <w:iCs/>
          <w:sz w:val="24"/>
          <w:szCs w:val="24"/>
        </w:rPr>
        <w:t xml:space="preserve">Diario La Ley, </w:t>
      </w:r>
      <w:r w:rsidRPr="00410457">
        <w:rPr>
          <w:rFonts w:ascii="Times New Roman" w:hAnsi="Times New Roman" w:cs="Times New Roman"/>
          <w:bCs/>
          <w:iCs/>
          <w:sz w:val="24"/>
          <w:szCs w:val="24"/>
        </w:rPr>
        <w:t>Nº 8881</w:t>
      </w:r>
      <w:r w:rsidRPr="000C698F">
        <w:rPr>
          <w:rFonts w:ascii="Times New Roman" w:hAnsi="Times New Roman" w:cs="Times New Roman"/>
          <w:bCs/>
          <w:i/>
          <w:iCs/>
          <w:sz w:val="24"/>
          <w:szCs w:val="24"/>
        </w:rPr>
        <w:t xml:space="preserve">, </w:t>
      </w:r>
      <w:r w:rsidRPr="000C698F">
        <w:rPr>
          <w:rFonts w:ascii="Times New Roman" w:hAnsi="Times New Roman" w:cs="Times New Roman"/>
          <w:bCs/>
          <w:sz w:val="24"/>
          <w:szCs w:val="24"/>
        </w:rPr>
        <w:t xml:space="preserve">14 de Diciembre de 2016, Ref. D-429, </w:t>
      </w:r>
      <w:commentRangeStart w:id="16"/>
      <w:commentRangeStart w:id="17"/>
      <w:r w:rsidR="008976B5">
        <w:rPr>
          <w:rFonts w:ascii="Times New Roman" w:hAnsi="Times New Roman" w:cs="Times New Roman"/>
          <w:bCs/>
          <w:sz w:val="24"/>
          <w:szCs w:val="24"/>
        </w:rPr>
        <w:t>págs.</w:t>
      </w:r>
      <w:commentRangeEnd w:id="16"/>
      <w:commentRangeEnd w:id="17"/>
      <w:r w:rsidR="00F51772">
        <w:rPr>
          <w:rFonts w:ascii="Times New Roman" w:hAnsi="Times New Roman" w:cs="Times New Roman"/>
          <w:bCs/>
          <w:sz w:val="24"/>
          <w:szCs w:val="24"/>
        </w:rPr>
        <w:t>20</w:t>
      </w:r>
      <w:r w:rsidR="00CC4FAB">
        <w:rPr>
          <w:rStyle w:val="Refdecomentario"/>
        </w:rPr>
        <w:commentReference w:id="16"/>
      </w:r>
      <w:r w:rsidR="00F51772">
        <w:rPr>
          <w:rStyle w:val="Refdecomentario"/>
        </w:rPr>
        <w:commentReference w:id="17"/>
      </w:r>
      <w:r w:rsidR="00F51772">
        <w:rPr>
          <w:rFonts w:ascii="Times New Roman" w:hAnsi="Times New Roman" w:cs="Times New Roman"/>
          <w:bCs/>
          <w:sz w:val="24"/>
          <w:szCs w:val="24"/>
        </w:rPr>
        <w:t>, p.12 y ss.</w:t>
      </w:r>
    </w:p>
    <w:p w14:paraId="2C800F1A" w14:textId="08EA4002" w:rsidR="00995D0F" w:rsidRPr="00410457" w:rsidRDefault="00995D0F" w:rsidP="000C698F">
      <w:pPr>
        <w:spacing w:line="360" w:lineRule="auto"/>
        <w:jc w:val="both"/>
        <w:rPr>
          <w:rFonts w:ascii="Times New Roman" w:hAnsi="Times New Roman" w:cs="Times New Roman"/>
          <w:bCs/>
          <w:color w:val="FF0000"/>
          <w:sz w:val="24"/>
          <w:szCs w:val="24"/>
        </w:rPr>
      </w:pPr>
      <w:r w:rsidRPr="000C698F">
        <w:rPr>
          <w:rFonts w:ascii="Times New Roman" w:hAnsi="Times New Roman" w:cs="Times New Roman"/>
          <w:bCs/>
          <w:sz w:val="24"/>
          <w:szCs w:val="24"/>
        </w:rPr>
        <w:t xml:space="preserve">MAQUEDA ABREU, MARIA LUISA, “¿Es la estrategia penal una solución a la violencia contra las mujeres?”, </w:t>
      </w:r>
      <w:r w:rsidR="00410457">
        <w:rPr>
          <w:rFonts w:ascii="Times New Roman" w:hAnsi="Times New Roman" w:cs="Times New Roman"/>
          <w:bCs/>
          <w:i/>
          <w:sz w:val="24"/>
          <w:szCs w:val="24"/>
        </w:rPr>
        <w:t xml:space="preserve">INDRET </w:t>
      </w:r>
      <w:r w:rsidRPr="000C698F">
        <w:rPr>
          <w:rFonts w:ascii="Times New Roman" w:hAnsi="Times New Roman" w:cs="Times New Roman"/>
          <w:bCs/>
          <w:i/>
          <w:sz w:val="24"/>
          <w:szCs w:val="24"/>
        </w:rPr>
        <w:t>Revi</w:t>
      </w:r>
      <w:r w:rsidR="00410457">
        <w:rPr>
          <w:rFonts w:ascii="Times New Roman" w:hAnsi="Times New Roman" w:cs="Times New Roman"/>
          <w:bCs/>
          <w:i/>
          <w:sz w:val="24"/>
          <w:szCs w:val="24"/>
        </w:rPr>
        <w:t>sta para el análisis del derecho</w:t>
      </w:r>
      <w:r w:rsidR="00410457">
        <w:rPr>
          <w:rFonts w:ascii="Times New Roman" w:hAnsi="Times New Roman" w:cs="Times New Roman"/>
          <w:bCs/>
          <w:sz w:val="24"/>
          <w:szCs w:val="24"/>
        </w:rPr>
        <w:t xml:space="preserve">, </w:t>
      </w:r>
      <w:r w:rsidR="0070623E" w:rsidRPr="0070623E">
        <w:rPr>
          <w:rFonts w:ascii="Times New Roman" w:hAnsi="Times New Roman" w:cs="Times New Roman"/>
          <w:bCs/>
          <w:sz w:val="24"/>
          <w:szCs w:val="24"/>
        </w:rPr>
        <w:t xml:space="preserve">Nº4, </w:t>
      </w:r>
      <w:commentRangeStart w:id="18"/>
      <w:r w:rsidR="0070623E" w:rsidRPr="0070623E">
        <w:rPr>
          <w:rFonts w:ascii="Times New Roman" w:hAnsi="Times New Roman" w:cs="Times New Roman"/>
          <w:bCs/>
          <w:sz w:val="24"/>
          <w:szCs w:val="24"/>
        </w:rPr>
        <w:t>págs.</w:t>
      </w:r>
      <w:commentRangeEnd w:id="18"/>
      <w:r w:rsidR="00F51772">
        <w:rPr>
          <w:rFonts w:ascii="Times New Roman" w:hAnsi="Times New Roman" w:cs="Times New Roman"/>
          <w:bCs/>
          <w:sz w:val="24"/>
          <w:szCs w:val="24"/>
        </w:rPr>
        <w:t>43</w:t>
      </w:r>
      <w:r w:rsidR="00CC4FAB">
        <w:rPr>
          <w:rStyle w:val="Refdecomentario"/>
        </w:rPr>
        <w:commentReference w:id="18"/>
      </w:r>
      <w:r w:rsidR="00F51772">
        <w:rPr>
          <w:rFonts w:ascii="Times New Roman" w:hAnsi="Times New Roman" w:cs="Times New Roman"/>
          <w:bCs/>
          <w:sz w:val="24"/>
          <w:szCs w:val="24"/>
        </w:rPr>
        <w:t xml:space="preserve">, </w:t>
      </w:r>
      <w:proofErr w:type="spellStart"/>
      <w:r w:rsidR="00F51772">
        <w:rPr>
          <w:rFonts w:ascii="Times New Roman" w:hAnsi="Times New Roman" w:cs="Times New Roman"/>
          <w:bCs/>
          <w:sz w:val="24"/>
          <w:szCs w:val="24"/>
        </w:rPr>
        <w:t>pp</w:t>
      </w:r>
      <w:proofErr w:type="spellEnd"/>
      <w:r w:rsidR="00F51772">
        <w:rPr>
          <w:rFonts w:ascii="Times New Roman" w:hAnsi="Times New Roman" w:cs="Times New Roman"/>
          <w:bCs/>
          <w:sz w:val="24"/>
          <w:szCs w:val="24"/>
        </w:rPr>
        <w:t xml:space="preserve"> 5 y ss. </w:t>
      </w:r>
    </w:p>
    <w:p w14:paraId="14D05E1D" w14:textId="191B7F8C" w:rsidR="00995D0F" w:rsidRPr="0070623E"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MAQUEDA ABREU, MARIA LUISA, “La violencia de género. Entre el concepto jurídico y la realidad social”, </w:t>
      </w:r>
      <w:r w:rsidRPr="000C698F">
        <w:rPr>
          <w:rFonts w:ascii="Times New Roman" w:hAnsi="Times New Roman" w:cs="Times New Roman"/>
          <w:bCs/>
          <w:i/>
          <w:sz w:val="24"/>
          <w:szCs w:val="24"/>
        </w:rPr>
        <w:t xml:space="preserve">Revista electrónica </w:t>
      </w:r>
      <w:r w:rsidR="00410457">
        <w:rPr>
          <w:rFonts w:ascii="Times New Roman" w:hAnsi="Times New Roman" w:cs="Times New Roman"/>
          <w:bCs/>
          <w:i/>
          <w:sz w:val="24"/>
          <w:szCs w:val="24"/>
        </w:rPr>
        <w:t>de Ciencia Penal y Criminología</w:t>
      </w:r>
      <w:r w:rsidRPr="000C698F">
        <w:rPr>
          <w:rFonts w:ascii="Times New Roman" w:hAnsi="Times New Roman" w:cs="Times New Roman"/>
          <w:bCs/>
          <w:i/>
          <w:sz w:val="24"/>
          <w:szCs w:val="24"/>
        </w:rPr>
        <w:t xml:space="preserve"> </w:t>
      </w:r>
      <w:r w:rsidRPr="00410457">
        <w:rPr>
          <w:rFonts w:ascii="Times New Roman" w:hAnsi="Times New Roman" w:cs="Times New Roman"/>
          <w:bCs/>
          <w:i/>
          <w:sz w:val="24"/>
          <w:szCs w:val="24"/>
        </w:rPr>
        <w:t>RECPC</w:t>
      </w:r>
      <w:r w:rsidR="00410457">
        <w:rPr>
          <w:rFonts w:ascii="Times New Roman" w:hAnsi="Times New Roman" w:cs="Times New Roman"/>
          <w:bCs/>
          <w:sz w:val="24"/>
          <w:szCs w:val="24"/>
        </w:rPr>
        <w:t xml:space="preserve">, 08-02, 2006, </w:t>
      </w:r>
      <w:commentRangeStart w:id="19"/>
      <w:r w:rsidR="0070623E">
        <w:rPr>
          <w:rFonts w:ascii="Times New Roman" w:hAnsi="Times New Roman" w:cs="Times New Roman"/>
          <w:bCs/>
          <w:sz w:val="24"/>
          <w:szCs w:val="24"/>
        </w:rPr>
        <w:t>págs</w:t>
      </w:r>
      <w:commentRangeEnd w:id="19"/>
      <w:r w:rsidR="00CC4FAB">
        <w:rPr>
          <w:rStyle w:val="Refdecomentario"/>
        </w:rPr>
        <w:commentReference w:id="19"/>
      </w:r>
      <w:r w:rsidR="00F51772">
        <w:rPr>
          <w:rFonts w:ascii="Times New Roman" w:hAnsi="Times New Roman" w:cs="Times New Roman"/>
          <w:bCs/>
          <w:sz w:val="24"/>
          <w:szCs w:val="24"/>
        </w:rPr>
        <w:t>.13, p.2.</w:t>
      </w:r>
    </w:p>
    <w:p w14:paraId="49A150C2" w14:textId="1505FE5E" w:rsidR="00995D0F" w:rsidRPr="000C698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MORILLAS CUEVA, L. (</w:t>
      </w:r>
      <w:proofErr w:type="spellStart"/>
      <w:r w:rsidRPr="000C698F">
        <w:rPr>
          <w:rFonts w:ascii="Times New Roman" w:hAnsi="Times New Roman" w:cs="Times New Roman"/>
          <w:bCs/>
          <w:sz w:val="24"/>
          <w:szCs w:val="24"/>
        </w:rPr>
        <w:t>dir.</w:t>
      </w:r>
      <w:proofErr w:type="spellEnd"/>
      <w:r w:rsidRPr="000C698F">
        <w:rPr>
          <w:rFonts w:ascii="Times New Roman" w:hAnsi="Times New Roman" w:cs="Times New Roman"/>
          <w:bCs/>
          <w:sz w:val="24"/>
          <w:szCs w:val="24"/>
        </w:rPr>
        <w:t xml:space="preserve">), </w:t>
      </w:r>
      <w:r w:rsidRPr="00410457">
        <w:rPr>
          <w:rFonts w:ascii="Times New Roman" w:hAnsi="Times New Roman" w:cs="Times New Roman"/>
          <w:bCs/>
          <w:i/>
          <w:sz w:val="24"/>
          <w:szCs w:val="24"/>
        </w:rPr>
        <w:t>Sistema de Derecho penal español. Parte Especial</w:t>
      </w:r>
      <w:r w:rsidR="00410457">
        <w:rPr>
          <w:rFonts w:ascii="Times New Roman" w:hAnsi="Times New Roman" w:cs="Times New Roman"/>
          <w:bCs/>
          <w:sz w:val="24"/>
          <w:szCs w:val="24"/>
        </w:rPr>
        <w:t>, 2.ª Edición</w:t>
      </w:r>
      <w:r w:rsidRPr="000C698F">
        <w:rPr>
          <w:rFonts w:ascii="Times New Roman" w:hAnsi="Times New Roman" w:cs="Times New Roman"/>
          <w:bCs/>
          <w:sz w:val="24"/>
          <w:szCs w:val="24"/>
        </w:rPr>
        <w:t>, Madrid, 2016.</w:t>
      </w:r>
      <w:bookmarkStart w:id="20" w:name="_Hlk479951866"/>
    </w:p>
    <w:p w14:paraId="4A753CB3" w14:textId="18DA3DDD" w:rsidR="003752BB" w:rsidRPr="000C698F" w:rsidRDefault="00995D0F"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lastRenderedPageBreak/>
        <w:t xml:space="preserve">MUÑOZ COMPANY, MARIA JESÚS, “Violencia de género y necesidad o no de elemento subjetivo específico de dominación. Jurisprudencia y legislación reciente”, </w:t>
      </w:r>
      <w:r w:rsidRPr="000C698F">
        <w:rPr>
          <w:rFonts w:ascii="Times New Roman" w:hAnsi="Times New Roman" w:cs="Times New Roman"/>
          <w:bCs/>
          <w:i/>
          <w:iCs/>
          <w:sz w:val="24"/>
          <w:szCs w:val="24"/>
        </w:rPr>
        <w:t xml:space="preserve">Diario La Ley, </w:t>
      </w:r>
      <w:r w:rsidRPr="00410457">
        <w:rPr>
          <w:rFonts w:ascii="Times New Roman" w:hAnsi="Times New Roman" w:cs="Times New Roman"/>
          <w:bCs/>
          <w:iCs/>
          <w:sz w:val="24"/>
          <w:szCs w:val="24"/>
        </w:rPr>
        <w:t>Nº 8606,</w:t>
      </w:r>
      <w:r w:rsidRPr="000C698F">
        <w:rPr>
          <w:rFonts w:ascii="Times New Roman" w:hAnsi="Times New Roman" w:cs="Times New Roman"/>
          <w:bCs/>
          <w:i/>
          <w:iCs/>
          <w:sz w:val="24"/>
          <w:szCs w:val="24"/>
        </w:rPr>
        <w:t xml:space="preserve"> </w:t>
      </w:r>
      <w:r w:rsidR="00CC4FAB" w:rsidRPr="000C698F">
        <w:rPr>
          <w:rFonts w:ascii="Times New Roman" w:hAnsi="Times New Roman" w:cs="Times New Roman"/>
          <w:bCs/>
          <w:sz w:val="24"/>
          <w:szCs w:val="24"/>
        </w:rPr>
        <w:t xml:space="preserve">Ref. D-334, </w:t>
      </w:r>
      <w:r w:rsidRPr="000C698F">
        <w:rPr>
          <w:rFonts w:ascii="Times New Roman" w:hAnsi="Times New Roman" w:cs="Times New Roman"/>
          <w:bCs/>
          <w:sz w:val="24"/>
          <w:szCs w:val="24"/>
        </w:rPr>
        <w:t xml:space="preserve">16 de </w:t>
      </w:r>
      <w:r w:rsidR="00410457" w:rsidRPr="000C698F">
        <w:rPr>
          <w:rFonts w:ascii="Times New Roman" w:hAnsi="Times New Roman" w:cs="Times New Roman"/>
          <w:bCs/>
          <w:sz w:val="24"/>
          <w:szCs w:val="24"/>
        </w:rPr>
        <w:t>septiembre</w:t>
      </w:r>
      <w:r w:rsidR="00F51772">
        <w:rPr>
          <w:rFonts w:ascii="Times New Roman" w:hAnsi="Times New Roman" w:cs="Times New Roman"/>
          <w:bCs/>
          <w:sz w:val="24"/>
          <w:szCs w:val="24"/>
        </w:rPr>
        <w:t xml:space="preserve"> de 2015,</w:t>
      </w:r>
      <w:commentRangeStart w:id="21"/>
      <w:r w:rsidR="0070623E">
        <w:rPr>
          <w:rFonts w:ascii="Times New Roman" w:hAnsi="Times New Roman" w:cs="Times New Roman"/>
          <w:bCs/>
          <w:sz w:val="24"/>
          <w:szCs w:val="24"/>
        </w:rPr>
        <w:t xml:space="preserve"> págs</w:t>
      </w:r>
      <w:r w:rsidR="0070623E" w:rsidRPr="000C698F">
        <w:rPr>
          <w:rFonts w:ascii="Times New Roman" w:hAnsi="Times New Roman" w:cs="Times New Roman"/>
          <w:bCs/>
          <w:sz w:val="24"/>
          <w:szCs w:val="24"/>
        </w:rPr>
        <w:t>.</w:t>
      </w:r>
      <w:commentRangeEnd w:id="21"/>
      <w:r w:rsidR="00CC4FAB">
        <w:rPr>
          <w:rStyle w:val="Refdecomentario"/>
        </w:rPr>
        <w:commentReference w:id="21"/>
      </w:r>
      <w:r w:rsidR="00F51772">
        <w:rPr>
          <w:rFonts w:ascii="Times New Roman" w:hAnsi="Times New Roman" w:cs="Times New Roman"/>
          <w:bCs/>
          <w:sz w:val="24"/>
          <w:szCs w:val="24"/>
        </w:rPr>
        <w:t xml:space="preserve">18, </w:t>
      </w:r>
      <w:proofErr w:type="spellStart"/>
      <w:r w:rsidR="00F51772">
        <w:rPr>
          <w:rFonts w:ascii="Times New Roman" w:hAnsi="Times New Roman" w:cs="Times New Roman"/>
          <w:bCs/>
          <w:sz w:val="24"/>
          <w:szCs w:val="24"/>
        </w:rPr>
        <w:t>pp</w:t>
      </w:r>
      <w:proofErr w:type="spellEnd"/>
      <w:r w:rsidR="00F51772">
        <w:rPr>
          <w:rFonts w:ascii="Times New Roman" w:hAnsi="Times New Roman" w:cs="Times New Roman"/>
          <w:bCs/>
          <w:sz w:val="24"/>
          <w:szCs w:val="24"/>
        </w:rPr>
        <w:t xml:space="preserve"> 2 y ss.</w:t>
      </w:r>
    </w:p>
    <w:p w14:paraId="58B67E5F" w14:textId="79D44C4F" w:rsidR="00995D0F" w:rsidRDefault="00410457" w:rsidP="000C698F">
      <w:pPr>
        <w:spacing w:line="360" w:lineRule="auto"/>
        <w:jc w:val="both"/>
        <w:rPr>
          <w:rFonts w:ascii="Times New Roman" w:hAnsi="Times New Roman" w:cs="Times New Roman"/>
          <w:bCs/>
          <w:i/>
          <w:sz w:val="24"/>
          <w:szCs w:val="24"/>
        </w:rPr>
      </w:pPr>
      <w:r>
        <w:rPr>
          <w:rFonts w:ascii="Times New Roman" w:hAnsi="Times New Roman" w:cs="Times New Roman"/>
          <w:bCs/>
          <w:sz w:val="24"/>
          <w:szCs w:val="24"/>
        </w:rPr>
        <w:t xml:space="preserve">NOGALES OLAIZOLA, INÉS, </w:t>
      </w:r>
      <w:r w:rsidR="003752BB" w:rsidRPr="00410457">
        <w:rPr>
          <w:rFonts w:ascii="Times New Roman" w:hAnsi="Times New Roman" w:cs="Times New Roman"/>
          <w:bCs/>
          <w:i/>
          <w:sz w:val="24"/>
          <w:szCs w:val="24"/>
        </w:rPr>
        <w:t>Algunas cuestiones sobre el delito de malos tratos (art. 153 CP)</w:t>
      </w:r>
      <w:r>
        <w:rPr>
          <w:rFonts w:ascii="Times New Roman" w:hAnsi="Times New Roman" w:cs="Times New Roman"/>
          <w:bCs/>
          <w:sz w:val="24"/>
          <w:szCs w:val="24"/>
        </w:rPr>
        <w:t xml:space="preserve">, </w:t>
      </w:r>
      <w:commentRangeStart w:id="22"/>
      <w:r w:rsidR="00255F68">
        <w:rPr>
          <w:rFonts w:ascii="Times New Roman" w:hAnsi="Times New Roman" w:cs="Times New Roman"/>
          <w:bCs/>
          <w:sz w:val="24"/>
          <w:szCs w:val="24"/>
        </w:rPr>
        <w:t>Navarra</w:t>
      </w:r>
      <w:commentRangeEnd w:id="22"/>
      <w:r w:rsidR="00CC4FAB">
        <w:rPr>
          <w:rStyle w:val="Refdecomentario"/>
        </w:rPr>
        <w:commentReference w:id="22"/>
      </w:r>
      <w:r w:rsidR="00F51772">
        <w:rPr>
          <w:rFonts w:ascii="Times New Roman" w:hAnsi="Times New Roman" w:cs="Times New Roman"/>
          <w:bCs/>
          <w:i/>
          <w:sz w:val="24"/>
          <w:szCs w:val="24"/>
        </w:rPr>
        <w:t>, 2002.</w:t>
      </w:r>
    </w:p>
    <w:p w14:paraId="09F07296" w14:textId="14FA3B3D" w:rsidR="00F51C62" w:rsidRPr="00410457" w:rsidRDefault="00F51C62" w:rsidP="000C698F">
      <w:pPr>
        <w:spacing w:line="360" w:lineRule="auto"/>
        <w:jc w:val="both"/>
        <w:rPr>
          <w:rFonts w:ascii="Times New Roman" w:hAnsi="Times New Roman" w:cs="Times New Roman"/>
          <w:bCs/>
          <w:i/>
          <w:sz w:val="24"/>
          <w:szCs w:val="24"/>
        </w:rPr>
      </w:pPr>
      <w:r w:rsidRPr="00F51C62">
        <w:rPr>
          <w:rFonts w:ascii="Times New Roman" w:hAnsi="Times New Roman" w:cs="Times New Roman"/>
          <w:bCs/>
          <w:sz w:val="24"/>
          <w:szCs w:val="24"/>
        </w:rPr>
        <w:t>OSUNA RODRIGUEZ/GENOVÉS GARCIA/JIMENEZ MUÑOZ,</w:t>
      </w:r>
      <w:r>
        <w:rPr>
          <w:rFonts w:ascii="Times New Roman" w:hAnsi="Times New Roman" w:cs="Times New Roman"/>
          <w:bCs/>
          <w:sz w:val="24"/>
          <w:szCs w:val="24"/>
        </w:rPr>
        <w:t xml:space="preserve"> “El silencio de las víctimas: un análisis jurídico y social”, </w:t>
      </w:r>
      <w:r w:rsidRPr="00F51C62">
        <w:rPr>
          <w:rFonts w:ascii="Times New Roman" w:hAnsi="Times New Roman" w:cs="Times New Roman"/>
          <w:bCs/>
          <w:sz w:val="24"/>
          <w:szCs w:val="24"/>
        </w:rPr>
        <w:t>I.S.B.N.: 978-84-7921-145-5</w:t>
      </w:r>
      <w:r>
        <w:rPr>
          <w:rFonts w:ascii="Times New Roman" w:hAnsi="Times New Roman" w:cs="Times New Roman"/>
          <w:bCs/>
          <w:sz w:val="24"/>
          <w:szCs w:val="24"/>
        </w:rPr>
        <w:t>,</w:t>
      </w:r>
      <w:r w:rsidRPr="00F51C62">
        <w:rPr>
          <w:rFonts w:ascii="Times New Roman" w:hAnsi="Times New Roman" w:cs="Times New Roman"/>
          <w:bCs/>
          <w:i/>
          <w:sz w:val="24"/>
          <w:szCs w:val="24"/>
        </w:rPr>
        <w:t xml:space="preserve"> 2011,</w:t>
      </w:r>
      <w:r>
        <w:rPr>
          <w:rFonts w:ascii="Times New Roman" w:hAnsi="Times New Roman" w:cs="Times New Roman"/>
          <w:bCs/>
          <w:i/>
          <w:sz w:val="24"/>
          <w:szCs w:val="24"/>
        </w:rPr>
        <w:t xml:space="preserve"> págs.110,</w:t>
      </w:r>
      <w:r w:rsidRPr="00F51C62">
        <w:rPr>
          <w:rFonts w:ascii="Times New Roman" w:hAnsi="Times New Roman" w:cs="Times New Roman"/>
          <w:bCs/>
          <w:i/>
          <w:sz w:val="24"/>
          <w:szCs w:val="24"/>
        </w:rPr>
        <w:t xml:space="preserve"> p .9-11</w:t>
      </w:r>
      <w:r>
        <w:rPr>
          <w:rFonts w:ascii="Times New Roman" w:hAnsi="Times New Roman" w:cs="Times New Roman"/>
          <w:bCs/>
          <w:i/>
          <w:sz w:val="24"/>
          <w:szCs w:val="24"/>
        </w:rPr>
        <w:t xml:space="preserve">, </w:t>
      </w:r>
      <w:r w:rsidRPr="00F51C62">
        <w:rPr>
          <w:rFonts w:ascii="Times New Roman" w:hAnsi="Times New Roman" w:cs="Times New Roman"/>
          <w:bCs/>
          <w:sz w:val="24"/>
          <w:szCs w:val="24"/>
        </w:rPr>
        <w:t>Sevilla.</w:t>
      </w:r>
    </w:p>
    <w:p w14:paraId="5FAF0168" w14:textId="0E2F6589" w:rsidR="003752BB" w:rsidRPr="000C698F" w:rsidRDefault="003752BB"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OTERO RODRIGUEZ, LUIS M., </w:t>
      </w:r>
      <w:r w:rsidRPr="00410457">
        <w:rPr>
          <w:rFonts w:ascii="Times New Roman" w:hAnsi="Times New Roman" w:cs="Times New Roman"/>
          <w:bCs/>
          <w:i/>
          <w:sz w:val="24"/>
          <w:szCs w:val="24"/>
        </w:rPr>
        <w:t xml:space="preserve">Definición, fundamentación </w:t>
      </w:r>
      <w:r w:rsidR="00410457" w:rsidRPr="00410457">
        <w:rPr>
          <w:rFonts w:ascii="Times New Roman" w:hAnsi="Times New Roman" w:cs="Times New Roman"/>
          <w:bCs/>
          <w:i/>
          <w:sz w:val="24"/>
          <w:szCs w:val="24"/>
        </w:rPr>
        <w:t xml:space="preserve">y clasificación de la </w:t>
      </w:r>
      <w:commentRangeStart w:id="23"/>
      <w:r w:rsidR="00410457" w:rsidRPr="002552C2">
        <w:rPr>
          <w:rFonts w:ascii="Times New Roman" w:hAnsi="Times New Roman" w:cs="Times New Roman"/>
          <w:bCs/>
          <w:i/>
          <w:sz w:val="24"/>
          <w:szCs w:val="24"/>
        </w:rPr>
        <w:t>violencia</w:t>
      </w:r>
      <w:commentRangeEnd w:id="23"/>
      <w:r w:rsidR="00CC4FAB" w:rsidRPr="002552C2">
        <w:rPr>
          <w:rStyle w:val="Refdecomentario"/>
        </w:rPr>
        <w:commentReference w:id="23"/>
      </w:r>
      <w:r w:rsidR="002552C2">
        <w:rPr>
          <w:rFonts w:ascii="Times New Roman" w:hAnsi="Times New Roman" w:cs="Times New Roman"/>
          <w:bCs/>
          <w:sz w:val="24"/>
          <w:szCs w:val="24"/>
        </w:rPr>
        <w:t xml:space="preserve">, 2013. </w:t>
      </w:r>
      <w:r w:rsidRPr="002552C2">
        <w:rPr>
          <w:rFonts w:ascii="Times New Roman" w:hAnsi="Times New Roman" w:cs="Times New Roman"/>
          <w:bCs/>
          <w:sz w:val="24"/>
          <w:szCs w:val="24"/>
        </w:rPr>
        <w:t>Recuperado</w:t>
      </w:r>
      <w:r w:rsidRPr="000C698F">
        <w:rPr>
          <w:rFonts w:ascii="Times New Roman" w:hAnsi="Times New Roman" w:cs="Times New Roman"/>
          <w:bCs/>
          <w:sz w:val="24"/>
          <w:szCs w:val="24"/>
        </w:rPr>
        <w:t xml:space="preserve"> de: </w:t>
      </w:r>
      <w:hyperlink r:id="rId16" w:history="1">
        <w:r w:rsidRPr="000C698F">
          <w:rPr>
            <w:rStyle w:val="Hipervnculo"/>
            <w:rFonts w:ascii="Times New Roman" w:hAnsi="Times New Roman" w:cs="Times New Roman"/>
            <w:sz w:val="24"/>
            <w:szCs w:val="24"/>
          </w:rPr>
          <w:t>https://trasosdigital.files.wordpress.com/2013/07/articulo-violencia.pdf</w:t>
        </w:r>
      </w:hyperlink>
    </w:p>
    <w:p w14:paraId="4193305D" w14:textId="17E53963" w:rsidR="003752BB" w:rsidRPr="000C698F" w:rsidRDefault="003752BB"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PRIETO DEL PISO, ANA MARÍA</w:t>
      </w:r>
      <w:r w:rsidR="006033A7">
        <w:rPr>
          <w:rFonts w:ascii="Times New Roman" w:hAnsi="Times New Roman" w:cs="Times New Roman"/>
          <w:bCs/>
          <w:sz w:val="24"/>
          <w:szCs w:val="24"/>
        </w:rPr>
        <w:t>,</w:t>
      </w:r>
      <w:r w:rsidRPr="000C698F">
        <w:rPr>
          <w:rFonts w:ascii="Times New Roman" w:hAnsi="Times New Roman" w:cs="Times New Roman"/>
          <w:bCs/>
          <w:sz w:val="24"/>
          <w:szCs w:val="24"/>
        </w:rPr>
        <w:t xml:space="preserve"> </w:t>
      </w:r>
      <w:r w:rsidRPr="006033A7">
        <w:rPr>
          <w:rFonts w:ascii="Times New Roman" w:hAnsi="Times New Roman" w:cs="Times New Roman"/>
          <w:bCs/>
          <w:sz w:val="24"/>
          <w:szCs w:val="24"/>
        </w:rPr>
        <w:t>“Diez años de derecho penal español contra la violencia de género: maltrato habitual y maltrato ocasional en la pareja”</w:t>
      </w:r>
      <w:r w:rsidRPr="000C698F">
        <w:rPr>
          <w:rFonts w:ascii="Times New Roman" w:hAnsi="Times New Roman" w:cs="Times New Roman"/>
          <w:bCs/>
          <w:i/>
          <w:sz w:val="24"/>
          <w:szCs w:val="24"/>
        </w:rPr>
        <w:t>,</w:t>
      </w:r>
      <w:r w:rsidR="006033A7">
        <w:rPr>
          <w:rFonts w:ascii="Times New Roman" w:hAnsi="Times New Roman" w:cs="Times New Roman"/>
          <w:bCs/>
          <w:i/>
          <w:sz w:val="24"/>
          <w:szCs w:val="24"/>
        </w:rPr>
        <w:t xml:space="preserve"> en Revista Nuevo </w:t>
      </w:r>
      <w:r w:rsidR="006033A7" w:rsidRPr="00CC4FAB">
        <w:rPr>
          <w:rFonts w:ascii="Times New Roman" w:hAnsi="Times New Roman" w:cs="Times New Roman"/>
          <w:bCs/>
          <w:i/>
          <w:sz w:val="24"/>
          <w:szCs w:val="24"/>
        </w:rPr>
        <w:t>Foro Penal</w:t>
      </w:r>
      <w:r w:rsidR="006033A7">
        <w:rPr>
          <w:rFonts w:ascii="Times New Roman" w:hAnsi="Times New Roman" w:cs="Times New Roman"/>
          <w:bCs/>
          <w:sz w:val="24"/>
          <w:szCs w:val="24"/>
        </w:rPr>
        <w:t xml:space="preserve">, n. 12, 2016, pp. 115-150. </w:t>
      </w:r>
    </w:p>
    <w:p w14:paraId="639CCD78" w14:textId="43B5E08C" w:rsidR="003752BB" w:rsidRPr="000C698F" w:rsidRDefault="006033A7" w:rsidP="000C698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QUERALT JIMENEZ, JJ, </w:t>
      </w:r>
      <w:r w:rsidR="003752BB" w:rsidRPr="006033A7">
        <w:rPr>
          <w:rFonts w:ascii="Times New Roman" w:hAnsi="Times New Roman" w:cs="Times New Roman"/>
          <w:bCs/>
          <w:i/>
          <w:sz w:val="24"/>
          <w:szCs w:val="24"/>
        </w:rPr>
        <w:t>Derech</w:t>
      </w:r>
      <w:r w:rsidRPr="006033A7">
        <w:rPr>
          <w:rFonts w:ascii="Times New Roman" w:hAnsi="Times New Roman" w:cs="Times New Roman"/>
          <w:bCs/>
          <w:i/>
          <w:sz w:val="24"/>
          <w:szCs w:val="24"/>
        </w:rPr>
        <w:t>o penal español. Parte especial</w:t>
      </w:r>
      <w:r w:rsidR="00341B62">
        <w:rPr>
          <w:rFonts w:ascii="Times New Roman" w:hAnsi="Times New Roman" w:cs="Times New Roman"/>
          <w:bCs/>
          <w:i/>
          <w:sz w:val="24"/>
          <w:szCs w:val="24"/>
        </w:rPr>
        <w:t>, 7ª edición,</w:t>
      </w:r>
      <w:r>
        <w:rPr>
          <w:rFonts w:ascii="Times New Roman" w:hAnsi="Times New Roman" w:cs="Times New Roman"/>
          <w:bCs/>
          <w:color w:val="FF0000"/>
          <w:sz w:val="24"/>
          <w:szCs w:val="24"/>
        </w:rPr>
        <w:t xml:space="preserve"> </w:t>
      </w:r>
      <w:r w:rsidR="003752BB" w:rsidRPr="000C698F">
        <w:rPr>
          <w:rFonts w:ascii="Times New Roman" w:hAnsi="Times New Roman" w:cs="Times New Roman"/>
          <w:bCs/>
          <w:sz w:val="24"/>
          <w:szCs w:val="24"/>
        </w:rPr>
        <w:t>Valencia, 2015.</w:t>
      </w:r>
    </w:p>
    <w:p w14:paraId="785BA7DA" w14:textId="3799359B" w:rsidR="003752BB" w:rsidRPr="000C698F" w:rsidRDefault="006033A7" w:rsidP="000C698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QUINTERO OLIVARES, G. (</w:t>
      </w:r>
      <w:proofErr w:type="spellStart"/>
      <w:r>
        <w:rPr>
          <w:rFonts w:ascii="Times New Roman" w:hAnsi="Times New Roman" w:cs="Times New Roman"/>
          <w:bCs/>
          <w:sz w:val="24"/>
          <w:szCs w:val="24"/>
        </w:rPr>
        <w:t>dir.</w:t>
      </w:r>
      <w:proofErr w:type="spellEnd"/>
      <w:r>
        <w:rPr>
          <w:rFonts w:ascii="Times New Roman" w:hAnsi="Times New Roman" w:cs="Times New Roman"/>
          <w:bCs/>
          <w:sz w:val="24"/>
          <w:szCs w:val="24"/>
        </w:rPr>
        <w:t xml:space="preserve">), </w:t>
      </w:r>
      <w:r w:rsidR="003752BB" w:rsidRPr="006033A7">
        <w:rPr>
          <w:rFonts w:ascii="Times New Roman" w:hAnsi="Times New Roman" w:cs="Times New Roman"/>
          <w:bCs/>
          <w:i/>
          <w:sz w:val="24"/>
          <w:szCs w:val="24"/>
        </w:rPr>
        <w:t>Comentarios a la parte especial del derecho penal</w:t>
      </w:r>
      <w:r w:rsidR="003752BB" w:rsidRPr="000C698F">
        <w:rPr>
          <w:rFonts w:ascii="Times New Roman" w:hAnsi="Times New Roman" w:cs="Times New Roman"/>
          <w:bCs/>
          <w:i/>
          <w:sz w:val="24"/>
          <w:szCs w:val="24"/>
        </w:rPr>
        <w:t xml:space="preserve">, 10ª edición, Aranzadi, </w:t>
      </w:r>
      <w:proofErr w:type="spellStart"/>
      <w:r w:rsidR="003752BB" w:rsidRPr="00CC4FAB">
        <w:rPr>
          <w:rFonts w:ascii="Times New Roman" w:hAnsi="Times New Roman" w:cs="Times New Roman"/>
          <w:bCs/>
          <w:sz w:val="24"/>
          <w:szCs w:val="24"/>
        </w:rPr>
        <w:t>Cizur</w:t>
      </w:r>
      <w:proofErr w:type="spellEnd"/>
      <w:r w:rsidR="003752BB" w:rsidRPr="00CC4FAB">
        <w:rPr>
          <w:rFonts w:ascii="Times New Roman" w:hAnsi="Times New Roman" w:cs="Times New Roman"/>
          <w:bCs/>
          <w:sz w:val="24"/>
          <w:szCs w:val="24"/>
        </w:rPr>
        <w:t xml:space="preserve"> Menor, </w:t>
      </w:r>
      <w:r w:rsidR="003752BB" w:rsidRPr="000C698F">
        <w:rPr>
          <w:rFonts w:ascii="Times New Roman" w:hAnsi="Times New Roman" w:cs="Times New Roman"/>
          <w:bCs/>
          <w:sz w:val="24"/>
          <w:szCs w:val="24"/>
        </w:rPr>
        <w:t xml:space="preserve">2015. </w:t>
      </w:r>
    </w:p>
    <w:p w14:paraId="17B55ED5" w14:textId="2DF2D250" w:rsidR="003752BB" w:rsidRPr="000C698F" w:rsidRDefault="003752BB" w:rsidP="000C698F">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SERRANO GÓMEZ, A.; SERRANO MAÍLLO, A.; SERRANO TÁRRAGA, M.D.; VÁZQUEZ GONZÁLEZ, C., </w:t>
      </w:r>
      <w:r w:rsidRPr="006033A7">
        <w:rPr>
          <w:rFonts w:ascii="Times New Roman" w:hAnsi="Times New Roman" w:cs="Times New Roman"/>
          <w:bCs/>
          <w:i/>
          <w:sz w:val="24"/>
          <w:szCs w:val="24"/>
        </w:rPr>
        <w:t>Curso de Derecho penal. Parte Especial</w:t>
      </w:r>
      <w:r w:rsidRPr="000C698F">
        <w:rPr>
          <w:rFonts w:ascii="Times New Roman" w:hAnsi="Times New Roman" w:cs="Times New Roman"/>
          <w:bCs/>
          <w:sz w:val="24"/>
          <w:szCs w:val="24"/>
        </w:rPr>
        <w:t>, 2.ª E</w:t>
      </w:r>
      <w:r w:rsidR="006033A7">
        <w:rPr>
          <w:rFonts w:ascii="Times New Roman" w:hAnsi="Times New Roman" w:cs="Times New Roman"/>
          <w:bCs/>
          <w:sz w:val="24"/>
          <w:szCs w:val="24"/>
        </w:rPr>
        <w:t>dición</w:t>
      </w:r>
      <w:r w:rsidRPr="000C698F">
        <w:rPr>
          <w:rFonts w:ascii="Times New Roman" w:hAnsi="Times New Roman" w:cs="Times New Roman"/>
          <w:bCs/>
          <w:sz w:val="24"/>
          <w:szCs w:val="24"/>
        </w:rPr>
        <w:t>, Madrid, 2015.</w:t>
      </w:r>
    </w:p>
    <w:p w14:paraId="31FCBEC1" w14:textId="666BDA9D" w:rsidR="00CC4FAB" w:rsidRPr="00CC4FAB" w:rsidRDefault="003752BB" w:rsidP="00CC4FAB">
      <w:pPr>
        <w:spacing w:line="360" w:lineRule="auto"/>
        <w:jc w:val="both"/>
        <w:rPr>
          <w:rFonts w:ascii="Times New Roman" w:hAnsi="Times New Roman" w:cs="Times New Roman"/>
          <w:bCs/>
          <w:sz w:val="24"/>
          <w:szCs w:val="24"/>
        </w:rPr>
      </w:pPr>
      <w:r w:rsidRPr="000C698F">
        <w:rPr>
          <w:rFonts w:ascii="Times New Roman" w:hAnsi="Times New Roman" w:cs="Times New Roman"/>
          <w:bCs/>
          <w:sz w:val="24"/>
          <w:szCs w:val="24"/>
        </w:rPr>
        <w:t xml:space="preserve">SERVET MAGRO, VICENTE, “¿Cómo debe interpretarse la expresión «análoga relación de afectividad aun sin convivencia» en los delitos de violencia de género?”, </w:t>
      </w:r>
      <w:r w:rsidR="00AD69FF" w:rsidRPr="00AD69FF">
        <w:rPr>
          <w:rFonts w:ascii="Times New Roman" w:hAnsi="Times New Roman" w:cs="Times New Roman"/>
          <w:bCs/>
          <w:i/>
          <w:sz w:val="24"/>
          <w:szCs w:val="24"/>
        </w:rPr>
        <w:t>La ley penal: revista de derecho penal, procesal y penitenciario</w:t>
      </w:r>
      <w:r w:rsidRPr="000C698F">
        <w:rPr>
          <w:rFonts w:ascii="Times New Roman" w:hAnsi="Times New Roman" w:cs="Times New Roman"/>
          <w:bCs/>
          <w:sz w:val="24"/>
          <w:szCs w:val="24"/>
        </w:rPr>
        <w:t>, </w:t>
      </w:r>
      <w:bookmarkEnd w:id="20"/>
      <w:commentRangeStart w:id="24"/>
      <w:proofErr w:type="spellStart"/>
      <w:r w:rsidR="00CC4FAB" w:rsidRPr="00CC4FAB">
        <w:rPr>
          <w:rFonts w:ascii="Times New Roman" w:hAnsi="Times New Roman" w:cs="Times New Roman"/>
          <w:bCs/>
          <w:sz w:val="24"/>
          <w:szCs w:val="24"/>
        </w:rPr>
        <w:fldChar w:fldCharType="begin"/>
      </w:r>
      <w:r w:rsidR="00CC4FAB" w:rsidRPr="00CC4FAB">
        <w:rPr>
          <w:rFonts w:ascii="Times New Roman" w:hAnsi="Times New Roman" w:cs="Times New Roman"/>
          <w:bCs/>
          <w:sz w:val="24"/>
          <w:szCs w:val="24"/>
        </w:rPr>
        <w:instrText xml:space="preserve"> HYPERLINK "https://dialnet.unirioja.es/ejemplar/413301" </w:instrText>
      </w:r>
      <w:r w:rsidR="00CC4FAB" w:rsidRPr="00CC4FAB">
        <w:rPr>
          <w:rFonts w:ascii="Times New Roman" w:hAnsi="Times New Roman" w:cs="Times New Roman"/>
          <w:bCs/>
          <w:sz w:val="24"/>
          <w:szCs w:val="24"/>
        </w:rPr>
        <w:fldChar w:fldCharType="separate"/>
      </w:r>
      <w:r w:rsidR="00CC4FAB" w:rsidRPr="00CC4FAB">
        <w:rPr>
          <w:rFonts w:ascii="Times New Roman" w:hAnsi="Times New Roman" w:cs="Times New Roman"/>
          <w:bCs/>
          <w:sz w:val="24"/>
          <w:szCs w:val="24"/>
        </w:rPr>
        <w:t>Nº</w:t>
      </w:r>
      <w:proofErr w:type="spellEnd"/>
      <w:r w:rsidR="00CC4FAB" w:rsidRPr="00CC4FAB">
        <w:rPr>
          <w:rFonts w:ascii="Times New Roman" w:hAnsi="Times New Roman" w:cs="Times New Roman"/>
          <w:bCs/>
          <w:sz w:val="24"/>
          <w:szCs w:val="24"/>
        </w:rPr>
        <w:t xml:space="preserve">. 112, </w:t>
      </w:r>
      <w:r w:rsidR="002552C2">
        <w:rPr>
          <w:rFonts w:ascii="Times New Roman" w:hAnsi="Times New Roman" w:cs="Times New Roman"/>
          <w:bCs/>
          <w:sz w:val="24"/>
          <w:szCs w:val="24"/>
        </w:rPr>
        <w:t xml:space="preserve">p.1, </w:t>
      </w:r>
      <w:r w:rsidR="00CC4FAB" w:rsidRPr="00CC4FAB">
        <w:rPr>
          <w:rFonts w:ascii="Times New Roman" w:hAnsi="Times New Roman" w:cs="Times New Roman"/>
          <w:bCs/>
          <w:sz w:val="24"/>
          <w:szCs w:val="24"/>
        </w:rPr>
        <w:t>2015</w:t>
      </w:r>
      <w:r w:rsidR="00CC4FAB" w:rsidRPr="00CC4FAB">
        <w:rPr>
          <w:rFonts w:ascii="Times New Roman" w:hAnsi="Times New Roman" w:cs="Times New Roman"/>
          <w:bCs/>
          <w:sz w:val="24"/>
          <w:szCs w:val="24"/>
        </w:rPr>
        <w:fldChar w:fldCharType="end"/>
      </w:r>
      <w:commentRangeEnd w:id="24"/>
      <w:r w:rsidR="00CC4FAB">
        <w:rPr>
          <w:rStyle w:val="Refdecomentario"/>
        </w:rPr>
        <w:commentReference w:id="24"/>
      </w:r>
      <w:r w:rsidR="002552C2">
        <w:rPr>
          <w:rFonts w:ascii="Times New Roman" w:hAnsi="Times New Roman" w:cs="Times New Roman"/>
          <w:bCs/>
          <w:sz w:val="24"/>
          <w:szCs w:val="24"/>
        </w:rPr>
        <w:t>.</w:t>
      </w:r>
    </w:p>
    <w:p w14:paraId="7A23F7A4" w14:textId="0C97AE0C" w:rsidR="00995D0F" w:rsidRPr="000C698F" w:rsidRDefault="00995D0F" w:rsidP="000C698F">
      <w:pPr>
        <w:spacing w:line="360" w:lineRule="auto"/>
        <w:jc w:val="both"/>
        <w:rPr>
          <w:rFonts w:ascii="Times New Roman" w:hAnsi="Times New Roman" w:cs="Times New Roman"/>
          <w:bCs/>
          <w:sz w:val="24"/>
          <w:szCs w:val="24"/>
        </w:rPr>
      </w:pPr>
    </w:p>
    <w:p w14:paraId="50E03AC6" w14:textId="77777777" w:rsidR="00995D0F" w:rsidRPr="000C698F" w:rsidRDefault="00995D0F" w:rsidP="000C698F">
      <w:pPr>
        <w:spacing w:line="360" w:lineRule="auto"/>
        <w:jc w:val="both"/>
        <w:rPr>
          <w:rFonts w:ascii="Times New Roman" w:hAnsi="Times New Roman" w:cs="Times New Roman"/>
          <w:bCs/>
          <w:sz w:val="24"/>
          <w:szCs w:val="24"/>
        </w:rPr>
      </w:pPr>
    </w:p>
    <w:p w14:paraId="453BA2DC" w14:textId="77777777" w:rsidR="00995D0F" w:rsidRPr="000C698F" w:rsidRDefault="00995D0F" w:rsidP="000C698F">
      <w:pPr>
        <w:spacing w:line="360" w:lineRule="auto"/>
        <w:jc w:val="both"/>
        <w:rPr>
          <w:rFonts w:ascii="Times New Roman" w:hAnsi="Times New Roman" w:cs="Times New Roman"/>
          <w:bCs/>
          <w:sz w:val="24"/>
          <w:szCs w:val="24"/>
        </w:rPr>
      </w:pPr>
    </w:p>
    <w:p w14:paraId="1BE39F1A" w14:textId="77777777" w:rsidR="00995D0F" w:rsidRPr="000C698F" w:rsidRDefault="00995D0F" w:rsidP="000C698F">
      <w:pPr>
        <w:spacing w:line="360" w:lineRule="auto"/>
        <w:jc w:val="both"/>
        <w:rPr>
          <w:rFonts w:ascii="Times New Roman" w:hAnsi="Times New Roman" w:cs="Times New Roman"/>
          <w:bCs/>
          <w:sz w:val="24"/>
          <w:szCs w:val="24"/>
        </w:rPr>
      </w:pPr>
    </w:p>
    <w:p w14:paraId="065B5F5F" w14:textId="77777777" w:rsidR="00995D0F" w:rsidRPr="000C698F" w:rsidRDefault="00995D0F" w:rsidP="000C698F">
      <w:pPr>
        <w:spacing w:line="360" w:lineRule="auto"/>
        <w:jc w:val="both"/>
        <w:rPr>
          <w:rFonts w:ascii="Times New Roman" w:hAnsi="Times New Roman" w:cs="Times New Roman"/>
          <w:bCs/>
          <w:sz w:val="24"/>
          <w:szCs w:val="24"/>
        </w:rPr>
      </w:pPr>
    </w:p>
    <w:p w14:paraId="7A667874" w14:textId="77777777" w:rsidR="008D0A1B" w:rsidRPr="000C698F" w:rsidRDefault="008D0A1B" w:rsidP="000C698F">
      <w:pPr>
        <w:spacing w:line="360" w:lineRule="auto"/>
        <w:jc w:val="both"/>
        <w:rPr>
          <w:rFonts w:ascii="Times New Roman" w:hAnsi="Times New Roman" w:cs="Times New Roman"/>
          <w:bCs/>
          <w:sz w:val="24"/>
          <w:szCs w:val="24"/>
        </w:rPr>
      </w:pPr>
    </w:p>
    <w:p w14:paraId="4827FC24" w14:textId="77777777" w:rsidR="002750B3" w:rsidRPr="000C698F" w:rsidRDefault="002750B3" w:rsidP="000C698F">
      <w:pPr>
        <w:spacing w:line="360" w:lineRule="auto"/>
        <w:jc w:val="both"/>
        <w:rPr>
          <w:rFonts w:ascii="Times New Roman" w:hAnsi="Times New Roman" w:cs="Times New Roman"/>
          <w:bCs/>
          <w:sz w:val="24"/>
          <w:szCs w:val="24"/>
        </w:rPr>
      </w:pPr>
    </w:p>
    <w:p w14:paraId="4100D09D" w14:textId="77777777" w:rsidR="00C94544" w:rsidRPr="000C698F" w:rsidRDefault="00C94544" w:rsidP="000C698F">
      <w:pPr>
        <w:spacing w:line="360" w:lineRule="auto"/>
        <w:jc w:val="both"/>
        <w:rPr>
          <w:rFonts w:ascii="Times New Roman" w:hAnsi="Times New Roman" w:cs="Times New Roman"/>
          <w:bCs/>
          <w:sz w:val="24"/>
          <w:szCs w:val="24"/>
        </w:rPr>
      </w:pPr>
    </w:p>
    <w:p w14:paraId="574FE137" w14:textId="77777777" w:rsidR="003E72D4" w:rsidRPr="000C698F" w:rsidRDefault="003E72D4" w:rsidP="000C698F">
      <w:pPr>
        <w:spacing w:line="360" w:lineRule="auto"/>
        <w:jc w:val="both"/>
        <w:rPr>
          <w:rFonts w:ascii="Times New Roman" w:hAnsi="Times New Roman" w:cs="Times New Roman"/>
          <w:bCs/>
          <w:sz w:val="24"/>
          <w:szCs w:val="24"/>
        </w:rPr>
      </w:pPr>
    </w:p>
    <w:p w14:paraId="2E7FCE14" w14:textId="77777777" w:rsidR="00C94544" w:rsidRPr="000C698F" w:rsidRDefault="00C94544" w:rsidP="000C698F">
      <w:pPr>
        <w:spacing w:line="360" w:lineRule="auto"/>
        <w:jc w:val="both"/>
        <w:rPr>
          <w:rFonts w:ascii="Times New Roman" w:hAnsi="Times New Roman" w:cs="Times New Roman"/>
          <w:bCs/>
          <w:sz w:val="24"/>
          <w:szCs w:val="24"/>
        </w:rPr>
      </w:pPr>
    </w:p>
    <w:p w14:paraId="78119999" w14:textId="77777777" w:rsidR="00C94544" w:rsidRPr="000C698F" w:rsidRDefault="00C94544" w:rsidP="000C698F">
      <w:pPr>
        <w:spacing w:line="360" w:lineRule="auto"/>
        <w:jc w:val="both"/>
        <w:rPr>
          <w:rFonts w:ascii="Times New Roman" w:hAnsi="Times New Roman" w:cs="Times New Roman"/>
          <w:bCs/>
          <w:sz w:val="24"/>
          <w:szCs w:val="24"/>
        </w:rPr>
      </w:pPr>
    </w:p>
    <w:p w14:paraId="563E7599" w14:textId="77777777" w:rsidR="00A67093" w:rsidRPr="000C698F" w:rsidRDefault="00A67093" w:rsidP="000C698F">
      <w:pPr>
        <w:spacing w:line="360" w:lineRule="auto"/>
        <w:jc w:val="both"/>
        <w:rPr>
          <w:rFonts w:ascii="Times New Roman" w:hAnsi="Times New Roman" w:cs="Times New Roman"/>
          <w:bCs/>
          <w:sz w:val="24"/>
          <w:szCs w:val="24"/>
        </w:rPr>
      </w:pPr>
    </w:p>
    <w:p w14:paraId="35324187" w14:textId="77777777" w:rsidR="00F153FD" w:rsidRPr="000C698F" w:rsidRDefault="00F153FD" w:rsidP="000C698F">
      <w:pPr>
        <w:spacing w:line="360" w:lineRule="auto"/>
        <w:jc w:val="both"/>
        <w:rPr>
          <w:rFonts w:ascii="Times New Roman" w:hAnsi="Times New Roman" w:cs="Times New Roman"/>
          <w:bCs/>
          <w:sz w:val="24"/>
          <w:szCs w:val="24"/>
        </w:rPr>
      </w:pPr>
    </w:p>
    <w:bookmarkEnd w:id="11"/>
    <w:p w14:paraId="6408B4CD" w14:textId="77777777" w:rsidR="00F153FD" w:rsidRPr="000C698F" w:rsidRDefault="00F153FD" w:rsidP="000C698F">
      <w:pPr>
        <w:spacing w:line="360" w:lineRule="auto"/>
        <w:jc w:val="both"/>
        <w:rPr>
          <w:rFonts w:ascii="Times New Roman" w:hAnsi="Times New Roman" w:cs="Times New Roman"/>
          <w:bCs/>
          <w:sz w:val="24"/>
          <w:szCs w:val="24"/>
        </w:rPr>
      </w:pPr>
    </w:p>
    <w:p w14:paraId="3D0D17BB" w14:textId="77777777" w:rsidR="00B76674" w:rsidRPr="000C698F" w:rsidRDefault="00B76674" w:rsidP="000C698F">
      <w:pPr>
        <w:spacing w:line="360" w:lineRule="auto"/>
        <w:rPr>
          <w:rFonts w:ascii="Times New Roman" w:hAnsi="Times New Roman" w:cs="Times New Roman"/>
          <w:bCs/>
          <w:sz w:val="24"/>
          <w:szCs w:val="24"/>
        </w:rPr>
      </w:pPr>
    </w:p>
    <w:p w14:paraId="3A54330E" w14:textId="77777777" w:rsidR="00B76674" w:rsidRPr="000C698F" w:rsidRDefault="00B76674" w:rsidP="000C698F">
      <w:pPr>
        <w:spacing w:line="360" w:lineRule="auto"/>
        <w:rPr>
          <w:rFonts w:ascii="Times New Roman" w:hAnsi="Times New Roman" w:cs="Times New Roman"/>
          <w:bCs/>
          <w:sz w:val="24"/>
          <w:szCs w:val="24"/>
        </w:rPr>
      </w:pPr>
    </w:p>
    <w:p w14:paraId="4B377CEC" w14:textId="77777777" w:rsidR="00640D5C" w:rsidRPr="000C698F" w:rsidRDefault="00640D5C" w:rsidP="000C698F">
      <w:pPr>
        <w:spacing w:line="360" w:lineRule="auto"/>
        <w:rPr>
          <w:rFonts w:ascii="Times New Roman" w:hAnsi="Times New Roman" w:cs="Times New Roman"/>
          <w:bCs/>
          <w:sz w:val="24"/>
          <w:szCs w:val="24"/>
        </w:rPr>
      </w:pPr>
    </w:p>
    <w:p w14:paraId="2AC04599" w14:textId="77777777" w:rsidR="00190EE0" w:rsidRPr="000C698F" w:rsidRDefault="00190EE0" w:rsidP="000C698F">
      <w:pPr>
        <w:spacing w:line="360" w:lineRule="auto"/>
        <w:ind w:left="720"/>
        <w:rPr>
          <w:rFonts w:ascii="Times New Roman" w:hAnsi="Times New Roman" w:cs="Times New Roman"/>
          <w:bCs/>
          <w:sz w:val="24"/>
          <w:szCs w:val="24"/>
        </w:rPr>
      </w:pPr>
    </w:p>
    <w:p w14:paraId="2D3ACC95" w14:textId="77777777" w:rsidR="00FE0CF6" w:rsidRPr="000C698F" w:rsidRDefault="00FE0CF6" w:rsidP="000C698F">
      <w:pPr>
        <w:spacing w:line="360" w:lineRule="auto"/>
        <w:jc w:val="both"/>
        <w:rPr>
          <w:rFonts w:ascii="Times New Roman" w:hAnsi="Times New Roman" w:cs="Times New Roman"/>
          <w:bCs/>
          <w:sz w:val="24"/>
          <w:szCs w:val="24"/>
        </w:rPr>
      </w:pPr>
    </w:p>
    <w:sectPr w:rsidR="00FE0CF6" w:rsidRPr="000C698F">
      <w:footerReference w:type="default" r:id="rId17"/>
      <w:pgSz w:w="11906" w:h="16838"/>
      <w:pgMar w:top="1361" w:right="1191" w:bottom="1361" w:left="1191" w:header="1417" w:footer="992" w:gutter="0"/>
      <w:pgBorders>
        <w:top w:val="none" w:sz="0" w:space="1" w:color="auto"/>
        <w:left w:val="none" w:sz="0" w:space="4" w:color="auto"/>
        <w:bottom w:val="none" w:sz="0" w:space="1" w:color="auto"/>
        <w:right w:val="none" w:sz="0" w:space="4" w:color="auto"/>
      </w:pgBorders>
      <w:cols w:space="0"/>
      <w:docGrid w:type="lines" w:linePitch="313"/>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Servicio de Informática" w:date="2017-05-25T11:31:00Z" w:initials="SdI">
    <w:p w14:paraId="66C6C0C7" w14:textId="2574A087" w:rsidR="004A7E16" w:rsidRDefault="004A7E16">
      <w:pPr>
        <w:pStyle w:val="Textocomentario"/>
      </w:pPr>
      <w:r>
        <w:rPr>
          <w:rStyle w:val="Refdecomentario"/>
        </w:rPr>
        <w:annotationRef/>
      </w:r>
      <w:r>
        <w:t>Deberías comentar algo sobre el 147.2</w:t>
      </w:r>
    </w:p>
  </w:comment>
  <w:comment w:id="12" w:author="Servicio de Informática" w:date="2017-05-25T11:34:00Z" w:initials="SdI">
    <w:p w14:paraId="78C75C03" w14:textId="637E6F19" w:rsidR="004A7E16" w:rsidRDefault="004A7E16">
      <w:pPr>
        <w:pStyle w:val="Textocomentario"/>
      </w:pPr>
      <w:r>
        <w:rPr>
          <w:rStyle w:val="Refdecomentario"/>
        </w:rPr>
        <w:annotationRef/>
      </w:r>
      <w:r>
        <w:t>Páginas</w:t>
      </w:r>
    </w:p>
  </w:comment>
  <w:comment w:id="14" w:author="Servicio de Informática" w:date="2017-05-25T11:35:00Z" w:initials="SdI">
    <w:p w14:paraId="47C581D0" w14:textId="6AB48BC5" w:rsidR="004A7E16" w:rsidRDefault="004A7E16">
      <w:pPr>
        <w:pStyle w:val="Textocomentario"/>
      </w:pPr>
      <w:r>
        <w:rPr>
          <w:rStyle w:val="Refdecomentario"/>
        </w:rPr>
        <w:annotationRef/>
      </w:r>
      <w:r>
        <w:t>Ciudad</w:t>
      </w:r>
    </w:p>
  </w:comment>
  <w:comment w:id="15" w:author="Servicio de Informática" w:date="2017-05-25T11:35:00Z" w:initials="SdI">
    <w:p w14:paraId="0D9B875C" w14:textId="1EAAA0F6" w:rsidR="00CC4FAB" w:rsidRDefault="00CC4FAB">
      <w:pPr>
        <w:pStyle w:val="Textocomentario"/>
      </w:pPr>
      <w:r>
        <w:rPr>
          <w:rStyle w:val="Refdecomentario"/>
        </w:rPr>
        <w:annotationRef/>
      </w:r>
      <w:r>
        <w:t>Ciudad</w:t>
      </w:r>
    </w:p>
  </w:comment>
  <w:comment w:id="16" w:author="Servicio de Informática" w:date="2017-05-25T11:36:00Z" w:initials="SdI">
    <w:p w14:paraId="76B22573" w14:textId="4E9980FF" w:rsidR="00CC4FAB" w:rsidRDefault="00CC4FAB">
      <w:pPr>
        <w:pStyle w:val="Textocomentario"/>
      </w:pPr>
      <w:r>
        <w:rPr>
          <w:rStyle w:val="Refdecomentario"/>
        </w:rPr>
        <w:annotationRef/>
      </w:r>
      <w:r w:rsidRPr="00CC4FAB">
        <w:t>En qué página empieza y en cuál acaba</w:t>
      </w:r>
    </w:p>
  </w:comment>
  <w:comment w:id="17" w:author="franana" w:date="2017-05-25T17:00:00Z" w:initials="f">
    <w:p w14:paraId="3C738BFA" w14:textId="37CDD222" w:rsidR="00F51772" w:rsidRDefault="00F51772">
      <w:pPr>
        <w:pStyle w:val="Textocomentario"/>
      </w:pPr>
      <w:r>
        <w:rPr>
          <w:rStyle w:val="Refdecomentario"/>
        </w:rPr>
        <w:annotationRef/>
      </w:r>
    </w:p>
  </w:comment>
  <w:comment w:id="18" w:author="Servicio de Informática" w:date="2017-05-25T11:36:00Z" w:initials="SdI">
    <w:p w14:paraId="41E104CC" w14:textId="65CC6260" w:rsidR="00CC4FAB" w:rsidRDefault="00CC4FAB">
      <w:pPr>
        <w:pStyle w:val="Textocomentario"/>
      </w:pPr>
      <w:r>
        <w:rPr>
          <w:rStyle w:val="Refdecomentario"/>
        </w:rPr>
        <w:annotationRef/>
      </w:r>
      <w:r w:rsidRPr="00CC4FAB">
        <w:t>En qué página empieza y en cuál acaba</w:t>
      </w:r>
    </w:p>
  </w:comment>
  <w:comment w:id="19" w:author="Servicio de Informática" w:date="2017-05-25T11:36:00Z" w:initials="SdI">
    <w:p w14:paraId="6CE6F535" w14:textId="5B139722" w:rsidR="00CC4FAB" w:rsidRDefault="00CC4FAB">
      <w:pPr>
        <w:pStyle w:val="Textocomentario"/>
      </w:pPr>
      <w:r>
        <w:rPr>
          <w:rStyle w:val="Refdecomentario"/>
        </w:rPr>
        <w:annotationRef/>
      </w:r>
      <w:r>
        <w:t>En qué página empieza y en cuál acaba</w:t>
      </w:r>
    </w:p>
  </w:comment>
  <w:comment w:id="21" w:author="Servicio de Informática" w:date="2017-05-25T11:36:00Z" w:initials="SdI">
    <w:p w14:paraId="1999C7A6" w14:textId="28483970" w:rsidR="00CC4FAB" w:rsidRDefault="00CC4FAB">
      <w:pPr>
        <w:pStyle w:val="Textocomentario"/>
      </w:pPr>
      <w:r>
        <w:rPr>
          <w:rStyle w:val="Refdecomentario"/>
        </w:rPr>
        <w:annotationRef/>
      </w:r>
      <w:r>
        <w:t>En qué página empieza y en cuál acaba</w:t>
      </w:r>
    </w:p>
  </w:comment>
  <w:comment w:id="22" w:author="Servicio de Informática" w:date="2017-05-25T11:37:00Z" w:initials="SdI">
    <w:p w14:paraId="41B85AD6" w14:textId="7C6AF29F" w:rsidR="00CC4FAB" w:rsidRDefault="00CC4FAB">
      <w:pPr>
        <w:pStyle w:val="Textocomentario"/>
      </w:pPr>
      <w:r>
        <w:rPr>
          <w:rStyle w:val="Refdecomentario"/>
        </w:rPr>
        <w:annotationRef/>
      </w:r>
      <w:r>
        <w:t>año</w:t>
      </w:r>
    </w:p>
  </w:comment>
  <w:comment w:id="23" w:author="Servicio de Informática" w:date="2017-05-25T11:37:00Z" w:initials="SdI">
    <w:p w14:paraId="2DEAB426" w14:textId="51A3DF21" w:rsidR="00CC4FAB" w:rsidRDefault="00CC4FAB">
      <w:pPr>
        <w:pStyle w:val="Textocomentario"/>
      </w:pPr>
      <w:r>
        <w:rPr>
          <w:rStyle w:val="Refdecomentario"/>
        </w:rPr>
        <w:annotationRef/>
      </w:r>
      <w:r>
        <w:t>Año</w:t>
      </w:r>
    </w:p>
  </w:comment>
  <w:comment w:id="24" w:author="Servicio de Informática" w:date="2017-05-25T11:38:00Z" w:initials="SdI">
    <w:p w14:paraId="051183D0" w14:textId="67D26157" w:rsidR="00CC4FAB" w:rsidRDefault="00CC4FAB">
      <w:pPr>
        <w:pStyle w:val="Textocomentario"/>
      </w:pPr>
      <w:r>
        <w:rPr>
          <w:rStyle w:val="Refdecomentario"/>
        </w:rPr>
        <w:annotationRef/>
      </w:r>
      <w:r>
        <w:t>Páginas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6C6C0C7" w15:done="0"/>
  <w15:commentEx w15:paraId="78C75C03" w15:done="0"/>
  <w15:commentEx w15:paraId="47C581D0" w15:done="0"/>
  <w15:commentEx w15:paraId="0D9B875C" w15:done="0"/>
  <w15:commentEx w15:paraId="76B22573" w15:done="0"/>
  <w15:commentEx w15:paraId="3C738BFA" w15:paraIdParent="76B22573" w15:done="0"/>
  <w15:commentEx w15:paraId="41E104CC" w15:done="0"/>
  <w15:commentEx w15:paraId="6CE6F535" w15:done="0"/>
  <w15:commentEx w15:paraId="1999C7A6" w15:done="0"/>
  <w15:commentEx w15:paraId="41B85AD6" w15:done="0"/>
  <w15:commentEx w15:paraId="2DEAB426" w15:done="0"/>
  <w15:commentEx w15:paraId="051183D0"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62287B" w14:textId="77777777" w:rsidR="00475C2E" w:rsidRDefault="00475C2E">
      <w:pPr>
        <w:spacing w:after="0" w:line="240" w:lineRule="auto"/>
      </w:pPr>
      <w:r>
        <w:separator/>
      </w:r>
    </w:p>
  </w:endnote>
  <w:endnote w:type="continuationSeparator" w:id="0">
    <w:p w14:paraId="63938D2B" w14:textId="77777777" w:rsidR="00475C2E" w:rsidRDefault="00475C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YouYuan">
    <w:altName w:val="SimSun"/>
    <w:panose1 w:val="00000000000000000000"/>
    <w:charset w:val="86"/>
    <w:family w:val="roman"/>
    <w:notTrueType/>
    <w:pitch w:val="default"/>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sans-serif">
    <w:altName w:val="Alex Brush"/>
    <w:charset w:val="00"/>
    <w:family w:val="auto"/>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49D7D" w14:textId="77777777" w:rsidR="00E8791A" w:rsidRDefault="00E8791A">
    <w:pPr>
      <w:pStyle w:val="Piedepgina"/>
    </w:pPr>
    <w:r>
      <w:rPr>
        <w:noProof/>
      </w:rPr>
      <mc:AlternateContent>
        <mc:Choice Requires="wps">
          <w:drawing>
            <wp:anchor distT="0" distB="0" distL="114300" distR="114300" simplePos="0" relativeHeight="251656704" behindDoc="0" locked="0" layoutInCell="1" allowOverlap="1" wp14:anchorId="027AC88A" wp14:editId="3B6BFF6B">
              <wp:simplePos x="0" y="0"/>
              <wp:positionH relativeFrom="margin">
                <wp:align>right</wp:align>
              </wp:positionH>
              <wp:positionV relativeFrom="paragraph">
                <wp:posOffset>0</wp:posOffset>
              </wp:positionV>
              <wp:extent cx="69850" cy="18161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6985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A8BD99" w14:textId="52FFA36C" w:rsidR="00E8791A" w:rsidRDefault="00E8791A">
                          <w:pPr>
                            <w:pStyle w:val="Piedepgina"/>
                            <w:pBdr>
                              <w:between w:val="none" w:sz="50" w:space="0" w:color="auto"/>
                            </w:pBdr>
                            <w:spacing w:after="0"/>
                          </w:pPr>
                          <w:r>
                            <w:fldChar w:fldCharType="begin"/>
                          </w:r>
                          <w:r>
                            <w:rPr>
                              <w:rStyle w:val="Nmerodepgina"/>
                            </w:rPr>
                            <w:instrText xml:space="preserve"> PAGE  </w:instrText>
                          </w:r>
                          <w:r>
                            <w:fldChar w:fldCharType="separate"/>
                          </w:r>
                          <w:r w:rsidR="006C265D">
                            <w:rPr>
                              <w:rStyle w:val="Nmerodepgina"/>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27AC88A" id="_x0000_t202" coordsize="21600,21600" o:spt="202" path="m,l,21600r21600,l21600,xe">
              <v:stroke joinstyle="miter"/>
              <v:path gradientshapeok="t" o:connecttype="rect"/>
            </v:shapetype>
            <v:shape id="Text Box 15" o:spid="_x0000_s1028" type="#_x0000_t202" style="position:absolute;margin-left:-45.7pt;margin-top:0;width:5.5pt;height:14.3pt;z-index:25165670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" filled="f" stroked="f" strokeweight=".5pt">
              <v:textbox style="mso-fit-shape-to-text:t" inset="0,0,0,0">
                <w:txbxContent>
                  <w:p w14:paraId="56A8BD99" w14:textId="52FFA36C" w:rsidR="00E8791A" w:rsidRDefault="00E8791A">
                    <w:pPr>
                      <w:pStyle w:val="Piedepgina"/>
                      <w:pBdr>
                        <w:between w:val="none" w:sz="50" w:space="0" w:color="auto"/>
                      </w:pBdr>
                      <w:spacing w:after="0"/>
                    </w:pPr>
                    <w:r>
                      <w:fldChar w:fldCharType="begin"/>
                    </w:r>
                    <w:r>
                      <w:rPr>
                        <w:rStyle w:val="Nmerodepgina"/>
                      </w:rPr>
                      <w:instrText xml:space="preserve"> PAGE  </w:instrText>
                    </w:r>
                    <w:r>
                      <w:fldChar w:fldCharType="separate"/>
                    </w:r>
                    <w:r w:rsidR="006C265D">
                      <w:rPr>
                        <w:rStyle w:val="Nmerodepgina"/>
                        <w:noProof/>
                      </w:rP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eastAsiaTheme="majorEastAsia" w:hAnsiTheme="majorHAnsi" w:cstheme="majorBidi"/>
        <w:sz w:val="28"/>
        <w:szCs w:val="28"/>
      </w:rPr>
      <w:id w:val="1809434493"/>
      <w:docPartObj>
        <w:docPartGallery w:val="Page Numbers (Bottom of Page)"/>
        <w:docPartUnique/>
      </w:docPartObj>
    </w:sdtPr>
    <w:sdtEndPr/>
    <w:sdtContent>
      <w:p w14:paraId="0FEC1A44" w14:textId="3B3B290A" w:rsidR="00E8791A" w:rsidRDefault="00E8791A">
        <w:pPr>
          <w:pStyle w:val="Piedepgina"/>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pág. </w:t>
        </w:r>
        <w:r>
          <w:rPr>
            <w:rFonts w:cs="Times New Roman"/>
            <w:sz w:val="22"/>
            <w:szCs w:val="22"/>
          </w:rPr>
          <w:fldChar w:fldCharType="begin"/>
        </w:r>
        <w:r>
          <w:instrText>PAGE    \* MERGEFORMAT</w:instrText>
        </w:r>
        <w:r>
          <w:rPr>
            <w:rFonts w:cs="Times New Roman"/>
            <w:sz w:val="22"/>
            <w:szCs w:val="22"/>
          </w:rPr>
          <w:fldChar w:fldCharType="separate"/>
        </w:r>
        <w:r w:rsidR="006C265D" w:rsidRPr="006C265D">
          <w:rPr>
            <w:rFonts w:asciiTheme="majorHAnsi" w:eastAsiaTheme="majorEastAsia" w:hAnsiTheme="majorHAnsi" w:cstheme="majorBidi"/>
            <w:noProof/>
            <w:sz w:val="28"/>
            <w:szCs w:val="28"/>
          </w:rPr>
          <w:t>1</w:t>
        </w:r>
        <w:r>
          <w:rPr>
            <w:rFonts w:asciiTheme="majorHAnsi" w:eastAsiaTheme="majorEastAsia" w:hAnsiTheme="majorHAnsi" w:cstheme="majorBidi"/>
            <w:sz w:val="28"/>
            <w:szCs w:val="28"/>
          </w:rPr>
          <w:fldChar w:fldCharType="end"/>
        </w:r>
      </w:p>
    </w:sdtContent>
  </w:sdt>
  <w:p w14:paraId="6FB84F22" w14:textId="77777777" w:rsidR="00E8791A" w:rsidRDefault="00E8791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74B44" w14:textId="77777777" w:rsidR="00E8791A" w:rsidRDefault="00E8791A">
    <w:pPr>
      <w:jc w:val="center"/>
      <w:rPr>
        <w:color w:val="333399"/>
        <w:sz w:val="20"/>
        <w:szCs w:val="18"/>
      </w:rPr>
    </w:pPr>
    <w:r>
      <w:rPr>
        <w:noProof/>
      </w:rPr>
      <mc:AlternateContent>
        <mc:Choice Requires="wps">
          <w:drawing>
            <wp:anchor distT="0" distB="0" distL="114300" distR="114300" simplePos="0" relativeHeight="251660800" behindDoc="0" locked="0" layoutInCell="1" allowOverlap="1" wp14:anchorId="7D1EE6A7" wp14:editId="25837EB2">
              <wp:simplePos x="0" y="0"/>
              <wp:positionH relativeFrom="margin">
                <wp:align>right</wp:align>
              </wp:positionH>
              <wp:positionV relativeFrom="paragraph">
                <wp:posOffset>0</wp:posOffset>
              </wp:positionV>
              <wp:extent cx="133350" cy="18161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3335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A2BA46" w14:textId="445CF485" w:rsidR="00E8791A" w:rsidRDefault="00E8791A">
                          <w:pPr>
                            <w:pStyle w:val="Piedepgina"/>
                            <w:pBdr>
                              <w:between w:val="none" w:sz="50" w:space="0" w:color="auto"/>
                            </w:pBdr>
                            <w:spacing w:after="0"/>
                            <w:rPr>
                              <w:color w:val="333399"/>
                              <w:sz w:val="20"/>
                              <w:szCs w:val="18"/>
                            </w:rPr>
                          </w:pPr>
                          <w:r>
                            <w:rPr>
                              <w:rFonts w:hint="eastAsia"/>
                              <w:color w:val="333399"/>
                              <w:szCs w:val="18"/>
                            </w:rPr>
                            <w:fldChar w:fldCharType="begin"/>
                          </w:r>
                          <w:r>
                            <w:rPr>
                              <w:rStyle w:val="Nmerodepgina"/>
                              <w:rFonts w:hint="eastAsia"/>
                              <w:color w:val="333399"/>
                              <w:szCs w:val="18"/>
                              <w:lang w:eastAsia="zh-CN"/>
                            </w:rPr>
                            <w:instrText xml:space="preserve"> PAGE  </w:instrText>
                          </w:r>
                          <w:r>
                            <w:rPr>
                              <w:rFonts w:hint="eastAsia"/>
                              <w:color w:val="333399"/>
                              <w:szCs w:val="18"/>
                            </w:rPr>
                            <w:fldChar w:fldCharType="separate"/>
                          </w:r>
                          <w:r w:rsidR="006C265D">
                            <w:rPr>
                              <w:rStyle w:val="Nmerodepgina"/>
                              <w:noProof/>
                              <w:color w:val="333399"/>
                              <w:szCs w:val="18"/>
                              <w:lang w:eastAsia="zh-CN"/>
                            </w:rPr>
                            <w:t>16</w:t>
                          </w:r>
                          <w:r>
                            <w:rPr>
                              <w:rFonts w:hint="eastAsia"/>
                              <w:color w:val="333399"/>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D1EE6A7" id="_x0000_t202" coordsize="21600,21600" o:spt="202" path="m,l,21600r21600,l21600,xe">
              <v:stroke joinstyle="miter"/>
              <v:path gradientshapeok="t" o:connecttype="rect"/>
            </v:shapetype>
            <v:shape id="Text Box 17" o:spid="_x0000_s1029" type="#_x0000_t202" style="position:absolute;left:0;text-align:left;margin-left:-40.7pt;margin-top:0;width:10.5pt;height:14.3pt;z-index:2516608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" filled="f" stroked="f" strokeweight=".5pt">
              <v:textbox style="mso-fit-shape-to-text:t" inset="0,0,0,0">
                <w:txbxContent>
                  <w:p w14:paraId="69A2BA46" w14:textId="445CF485" w:rsidR="00E8791A" w:rsidRDefault="00E8791A">
                    <w:pPr>
                      <w:pStyle w:val="Piedepgina"/>
                      <w:pBdr>
                        <w:between w:val="none" w:sz="50" w:space="0" w:color="auto"/>
                      </w:pBdr>
                      <w:spacing w:after="0"/>
                      <w:rPr>
                        <w:color w:val="333399"/>
                        <w:sz w:val="20"/>
                        <w:szCs w:val="18"/>
                      </w:rPr>
                    </w:pPr>
                    <w:r>
                      <w:rPr>
                        <w:rFonts w:hint="eastAsia"/>
                        <w:color w:val="333399"/>
                        <w:szCs w:val="18"/>
                      </w:rPr>
                      <w:fldChar w:fldCharType="begin"/>
                    </w:r>
                    <w:r>
                      <w:rPr>
                        <w:rStyle w:val="Nmerodepgina"/>
                        <w:rFonts w:hint="eastAsia"/>
                        <w:color w:val="333399"/>
                        <w:szCs w:val="18"/>
                        <w:lang w:eastAsia="zh-CN"/>
                      </w:rPr>
                      <w:instrText xml:space="preserve"> PAGE  </w:instrText>
                    </w:r>
                    <w:r>
                      <w:rPr>
                        <w:rFonts w:hint="eastAsia"/>
                        <w:color w:val="333399"/>
                        <w:szCs w:val="18"/>
                      </w:rPr>
                      <w:fldChar w:fldCharType="separate"/>
                    </w:r>
                    <w:r w:rsidR="006C265D">
                      <w:rPr>
                        <w:rStyle w:val="Nmerodepgina"/>
                        <w:noProof/>
                        <w:color w:val="333399"/>
                        <w:szCs w:val="18"/>
                        <w:lang w:eastAsia="zh-CN"/>
                      </w:rPr>
                      <w:t>16</w:t>
                    </w:r>
                    <w:r>
                      <w:rPr>
                        <w:rFonts w:hint="eastAsia"/>
                        <w:color w:val="333399"/>
                        <w:szCs w:val="18"/>
                      </w:rPr>
                      <w:fldChar w:fldCharType="end"/>
                    </w:r>
                  </w:p>
                </w:txbxContent>
              </v:textbox>
              <w10:wrap anchorx="margin"/>
            </v:shape>
          </w:pict>
        </mc:Fallback>
      </mc:AlternateContent>
    </w:r>
    <w:r>
      <w:rPr>
        <w:rFonts w:hint="eastAsia"/>
        <w:noProof/>
      </w:rPr>
      <w:drawing>
        <wp:anchor distT="0" distB="0" distL="114300" distR="114300" simplePos="0" relativeHeight="251659776" behindDoc="1" locked="0" layoutInCell="1" allowOverlap="1" wp14:anchorId="40A0270A" wp14:editId="5B068332">
          <wp:simplePos x="0" y="0"/>
          <wp:positionH relativeFrom="column">
            <wp:posOffset>3604260</wp:posOffset>
          </wp:positionH>
          <wp:positionV relativeFrom="paragraph">
            <wp:posOffset>-636905</wp:posOffset>
          </wp:positionV>
          <wp:extent cx="2819400" cy="1518920"/>
          <wp:effectExtent l="0" t="0" r="0" b="5080"/>
          <wp:wrapNone/>
          <wp:docPr id="18" name="Picture 3" descr="03_Page_5.375x8.375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3" descr="03_Page_5.375x8.375副本"/>
                  <pic:cNvPicPr>
                    <a:picLocks noChangeAspect="1"/>
                  </pic:cNvPicPr>
                </pic:nvPicPr>
                <pic:blipFill>
                  <a:blip r:embed="rId1"/>
                  <a:srcRect t="74724" r="27473"/>
                  <a:stretch>
                    <a:fillRect/>
                  </a:stretch>
                </pic:blipFill>
                <pic:spPr>
                  <a:xfrm flipH="1">
                    <a:off x="0" y="0"/>
                    <a:ext cx="2819400" cy="1518920"/>
                  </a:xfrm>
                  <a:prstGeom prst="rect">
                    <a:avLst/>
                  </a:prstGeom>
                  <a:noFill/>
                  <a:ln w="9525">
                    <a:noFill/>
                  </a:ln>
                </pic:spPr>
              </pic:pic>
            </a:graphicData>
          </a:graphic>
        </wp:anchor>
      </w:drawing>
    </w:r>
  </w:p>
  <w:p w14:paraId="01FF6771" w14:textId="77777777" w:rsidR="00E8791A" w:rsidRDefault="00E8791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689FE1" w14:textId="77777777" w:rsidR="00475C2E" w:rsidRDefault="00475C2E">
      <w:pPr>
        <w:spacing w:after="0" w:line="240" w:lineRule="auto"/>
      </w:pPr>
      <w:r>
        <w:separator/>
      </w:r>
    </w:p>
  </w:footnote>
  <w:footnote w:type="continuationSeparator" w:id="0">
    <w:p w14:paraId="670252A4" w14:textId="77777777" w:rsidR="00475C2E" w:rsidRDefault="00475C2E">
      <w:pPr>
        <w:spacing w:after="0" w:line="240" w:lineRule="auto"/>
      </w:pPr>
      <w:r>
        <w:continuationSeparator/>
      </w:r>
    </w:p>
  </w:footnote>
  <w:footnote w:id="1">
    <w:p w14:paraId="23E409D4" w14:textId="568FA82C" w:rsidR="00E8791A" w:rsidRPr="008A2417" w:rsidRDefault="00E8791A">
      <w:pPr>
        <w:pStyle w:val="Textonotapie"/>
        <w:rPr>
          <w:rFonts w:cs="Times New Roman"/>
          <w:color w:val="FF0000"/>
        </w:rPr>
      </w:pPr>
      <w:r w:rsidRPr="009F1A7B">
        <w:rPr>
          <w:rStyle w:val="Refdenotaalpie"/>
          <w:rFonts w:cs="Times New Roman"/>
        </w:rPr>
        <w:footnoteRef/>
      </w:r>
      <w:r w:rsidRPr="009F1A7B">
        <w:rPr>
          <w:rFonts w:cs="Times New Roman"/>
        </w:rPr>
        <w:t xml:space="preserve"> </w:t>
      </w:r>
      <w:bookmarkStart w:id="0" w:name="_Hlk482802933"/>
      <w:bookmarkStart w:id="1" w:name="_Hlk483494285"/>
      <w:r w:rsidR="005521AB">
        <w:rPr>
          <w:rFonts w:cs="Times New Roman"/>
        </w:rPr>
        <w:t xml:space="preserve">OSUNA </w:t>
      </w:r>
      <w:r w:rsidR="004A7E16">
        <w:rPr>
          <w:rFonts w:cs="Times New Roman"/>
        </w:rPr>
        <w:t xml:space="preserve">RODRIGUEZ/GENOVÉS </w:t>
      </w:r>
      <w:r w:rsidR="005521AB">
        <w:rPr>
          <w:rFonts w:cs="Times New Roman"/>
        </w:rPr>
        <w:t>GARCIA/JIMENEZ MUÑOZ</w:t>
      </w:r>
      <w:r w:rsidR="00A32EE8">
        <w:rPr>
          <w:rFonts w:cs="Times New Roman"/>
        </w:rPr>
        <w:t>, 2011</w:t>
      </w:r>
      <w:r w:rsidR="005521AB" w:rsidRPr="009F1A7B">
        <w:rPr>
          <w:rFonts w:cs="Times New Roman"/>
        </w:rPr>
        <w:t>, p</w:t>
      </w:r>
      <w:r w:rsidR="004A7E16">
        <w:rPr>
          <w:rFonts w:cs="Times New Roman"/>
        </w:rPr>
        <w:t xml:space="preserve"> </w:t>
      </w:r>
      <w:r w:rsidR="005521AB" w:rsidRPr="009F1A7B">
        <w:rPr>
          <w:rFonts w:cs="Times New Roman"/>
        </w:rPr>
        <w:t>.9-11</w:t>
      </w:r>
      <w:bookmarkEnd w:id="1"/>
      <w:r w:rsidR="005521AB" w:rsidRPr="009F1A7B">
        <w:rPr>
          <w:rFonts w:cs="Times New Roman"/>
        </w:rPr>
        <w:t>.</w:t>
      </w:r>
      <w:bookmarkEnd w:id="0"/>
      <w:r w:rsidR="008A2417">
        <w:rPr>
          <w:rFonts w:cs="Times New Roman"/>
          <w:color w:val="FF0000"/>
        </w:rPr>
        <w:t>.</w:t>
      </w:r>
    </w:p>
  </w:footnote>
  <w:footnote w:id="2">
    <w:p w14:paraId="7E59DCBC" w14:textId="072E25E7" w:rsidR="00E8791A" w:rsidRDefault="00E8791A">
      <w:pPr>
        <w:pStyle w:val="Textonotapie"/>
      </w:pPr>
      <w:r>
        <w:rPr>
          <w:rStyle w:val="Refdenotaalpie"/>
        </w:rPr>
        <w:footnoteRef/>
      </w:r>
      <w:r>
        <w:t xml:space="preserve"> </w:t>
      </w:r>
      <w:r w:rsidR="005521AB">
        <w:rPr>
          <w:rFonts w:cs="Times New Roman"/>
        </w:rPr>
        <w:t>OSUNA RODRIGUEZ/GENOVÉS GARCIA/JIMENEZ MUÑOZ</w:t>
      </w:r>
      <w:r w:rsidR="005521AB" w:rsidRPr="009F1A7B">
        <w:rPr>
          <w:rFonts w:cs="Times New Roman"/>
        </w:rPr>
        <w:t>, 2011, p.</w:t>
      </w:r>
      <w:r w:rsidR="004A7E16">
        <w:rPr>
          <w:rFonts w:cs="Times New Roman"/>
        </w:rPr>
        <w:t xml:space="preserve"> </w:t>
      </w:r>
      <w:r w:rsidR="005521AB" w:rsidRPr="009F1A7B">
        <w:rPr>
          <w:rFonts w:cs="Times New Roman"/>
        </w:rPr>
        <w:t>9-11.</w:t>
      </w:r>
    </w:p>
  </w:footnote>
  <w:footnote w:id="3">
    <w:p w14:paraId="58760684" w14:textId="7FE4CA34" w:rsidR="00E8791A" w:rsidRDefault="00E8791A">
      <w:pPr>
        <w:pStyle w:val="Textonotapie"/>
      </w:pPr>
      <w:r>
        <w:rPr>
          <w:rStyle w:val="Refdenotaalpie"/>
        </w:rPr>
        <w:footnoteRef/>
      </w:r>
      <w:r>
        <w:t xml:space="preserve"> </w:t>
      </w:r>
      <w:r w:rsidR="005521AB">
        <w:rPr>
          <w:rFonts w:cs="Times New Roman"/>
        </w:rPr>
        <w:t>OSUNA RODRIGUEZ/GENOVÉS GARCIA/JIMENEZ MUÑOZ</w:t>
      </w:r>
      <w:r w:rsidR="004A7E16">
        <w:rPr>
          <w:rFonts w:cs="Times New Roman"/>
        </w:rPr>
        <w:t>, 2011</w:t>
      </w:r>
      <w:r w:rsidR="005521AB" w:rsidRPr="009F1A7B">
        <w:rPr>
          <w:rFonts w:cs="Times New Roman"/>
        </w:rPr>
        <w:t>, p.</w:t>
      </w:r>
      <w:r w:rsidR="004A7E16">
        <w:rPr>
          <w:rFonts w:cs="Times New Roman"/>
        </w:rPr>
        <w:t xml:space="preserve"> </w:t>
      </w:r>
      <w:r w:rsidR="005521AB" w:rsidRPr="009F1A7B">
        <w:rPr>
          <w:rFonts w:cs="Times New Roman"/>
        </w:rPr>
        <w:t>9-11.</w:t>
      </w:r>
    </w:p>
  </w:footnote>
  <w:footnote w:id="4">
    <w:p w14:paraId="42E4D749" w14:textId="77777777" w:rsidR="00E8791A" w:rsidRDefault="00E8791A">
      <w:pPr>
        <w:pStyle w:val="Textonotapie"/>
      </w:pPr>
      <w:r>
        <w:rPr>
          <w:rStyle w:val="Refdenotaalpie"/>
        </w:rPr>
        <w:footnoteRef/>
      </w:r>
      <w:r>
        <w:t xml:space="preserve"> </w:t>
      </w:r>
      <w:r>
        <w:rPr>
          <w:rFonts w:cs="Times New Roman"/>
        </w:rPr>
        <w:t>GORJÓN BARRANCO</w:t>
      </w:r>
      <w:r w:rsidRPr="00690FA1">
        <w:rPr>
          <w:rFonts w:cs="Times New Roman"/>
        </w:rPr>
        <w:t xml:space="preserve">, </w:t>
      </w:r>
      <w:r>
        <w:rPr>
          <w:rFonts w:cs="Times New Roman"/>
        </w:rPr>
        <w:t>2010, pp</w:t>
      </w:r>
      <w:r w:rsidR="000C698F">
        <w:rPr>
          <w:rFonts w:cs="Times New Roman"/>
        </w:rPr>
        <w:t>.</w:t>
      </w:r>
      <w:r>
        <w:rPr>
          <w:rFonts w:cs="Times New Roman"/>
        </w:rPr>
        <w:t xml:space="preserve"> 31-41.</w:t>
      </w:r>
    </w:p>
  </w:footnote>
  <w:footnote w:id="5">
    <w:p w14:paraId="6023E37C" w14:textId="77777777" w:rsidR="00E8791A" w:rsidRPr="00015ADC" w:rsidRDefault="00E8791A" w:rsidP="000C698F">
      <w:pPr>
        <w:pStyle w:val="Textonotapie"/>
      </w:pPr>
      <w:r w:rsidRPr="00015ADC">
        <w:rPr>
          <w:rStyle w:val="Refdenotaalpie"/>
          <w:rFonts w:cs="Times New Roman"/>
        </w:rPr>
        <w:footnoteRef/>
      </w:r>
      <w:r w:rsidRPr="00015ADC">
        <w:t xml:space="preserve"> MARÍ FARINÓS</w:t>
      </w:r>
      <w:r>
        <w:t>, 2016, pp.</w:t>
      </w:r>
      <w:r w:rsidR="000C698F">
        <w:t xml:space="preserve"> </w:t>
      </w:r>
      <w:r>
        <w:t>3 y ss.</w:t>
      </w:r>
      <w:bookmarkStart w:id="2" w:name="_Hlk482805404"/>
      <w:r w:rsidR="000C698F">
        <w:t xml:space="preserve">; </w:t>
      </w:r>
      <w:r>
        <w:t>MORILLAS CUEVA, 2016, pp</w:t>
      </w:r>
      <w:r w:rsidR="000C698F">
        <w:t>.</w:t>
      </w:r>
      <w:r>
        <w:t xml:space="preserve"> 67-97</w:t>
      </w:r>
      <w:bookmarkEnd w:id="2"/>
      <w:r w:rsidR="000C698F">
        <w:t xml:space="preserve">; </w:t>
      </w:r>
      <w:r>
        <w:t>SERRANO/SERRANO/SERRANO/</w:t>
      </w:r>
      <w:r w:rsidRPr="00015ADC">
        <w:t>VÁZQUEZ GONZÁLEZ,</w:t>
      </w:r>
      <w:r>
        <w:t xml:space="preserve"> 2015, pp</w:t>
      </w:r>
      <w:r w:rsidR="000C698F">
        <w:t>.</w:t>
      </w:r>
      <w:r>
        <w:t xml:space="preserve"> 53-78.</w:t>
      </w:r>
    </w:p>
  </w:footnote>
  <w:footnote w:id="6">
    <w:p w14:paraId="5BDAEF53" w14:textId="77777777" w:rsidR="00E8791A" w:rsidRDefault="00E8791A">
      <w:pPr>
        <w:pStyle w:val="Textonotapie"/>
      </w:pPr>
      <w:r>
        <w:rPr>
          <w:rStyle w:val="Refdenotaalpie"/>
        </w:rPr>
        <w:footnoteRef/>
      </w:r>
      <w:r>
        <w:t xml:space="preserve"> </w:t>
      </w:r>
      <w:r w:rsidRPr="00750185">
        <w:rPr>
          <w:rFonts w:cs="Times New Roman"/>
        </w:rPr>
        <w:t>CASTELLÓ NICÁS, 2002, pp.53-80.</w:t>
      </w:r>
    </w:p>
  </w:footnote>
  <w:footnote w:id="7">
    <w:p w14:paraId="791C36D7" w14:textId="77777777" w:rsidR="00E8791A" w:rsidRPr="000C698F" w:rsidRDefault="00E8791A" w:rsidP="002F5FF2">
      <w:pPr>
        <w:pStyle w:val="Textonotapie"/>
        <w:rPr>
          <w:rFonts w:cs="Times New Roman"/>
        </w:rPr>
      </w:pPr>
      <w:r w:rsidRPr="002F5FF2">
        <w:rPr>
          <w:rStyle w:val="Refdenotaalpie"/>
          <w:rFonts w:cs="Times New Roman"/>
        </w:rPr>
        <w:footnoteRef/>
      </w:r>
      <w:r>
        <w:rPr>
          <w:rFonts w:cs="Times New Roman"/>
        </w:rPr>
        <w:t xml:space="preserve"> LAMARCA PÉREZ, 2015, pp</w:t>
      </w:r>
      <w:r w:rsidR="000C698F">
        <w:rPr>
          <w:rFonts w:cs="Times New Roman"/>
        </w:rPr>
        <w:t>.</w:t>
      </w:r>
      <w:r>
        <w:rPr>
          <w:rFonts w:cs="Times New Roman"/>
        </w:rPr>
        <w:t xml:space="preserve"> 45-64</w:t>
      </w:r>
      <w:r w:rsidR="000C698F">
        <w:rPr>
          <w:rFonts w:cs="Times New Roman"/>
        </w:rPr>
        <w:t xml:space="preserve">; </w:t>
      </w:r>
      <w:r w:rsidRPr="002F5FF2">
        <w:rPr>
          <w:rFonts w:cs="Times New Roman"/>
        </w:rPr>
        <w:t xml:space="preserve">QUERALT JIMENEZ, </w:t>
      </w:r>
      <w:r w:rsidR="000C698F">
        <w:rPr>
          <w:rFonts w:cs="Times New Roman"/>
        </w:rPr>
        <w:t xml:space="preserve">2015, pp. 101-150; </w:t>
      </w:r>
      <w:r>
        <w:rPr>
          <w:rFonts w:cs="Times New Roman"/>
        </w:rPr>
        <w:t>QUINTERO OLIVARES,</w:t>
      </w:r>
      <w:r w:rsidR="000C698F">
        <w:rPr>
          <w:rFonts w:cs="Times New Roman"/>
        </w:rPr>
        <w:t xml:space="preserve"> </w:t>
      </w:r>
      <w:r>
        <w:rPr>
          <w:rFonts w:cs="Times New Roman"/>
        </w:rPr>
        <w:t>2015, pp</w:t>
      </w:r>
      <w:r w:rsidR="000C698F">
        <w:rPr>
          <w:rFonts w:cs="Times New Roman"/>
        </w:rPr>
        <w:t>.</w:t>
      </w:r>
      <w:r>
        <w:rPr>
          <w:rFonts w:cs="Times New Roman"/>
        </w:rPr>
        <w:t xml:space="preserve"> 101-140.</w:t>
      </w:r>
    </w:p>
  </w:footnote>
  <w:footnote w:id="8">
    <w:p w14:paraId="4A70C154" w14:textId="77777777" w:rsidR="001D0815" w:rsidRDefault="001D0815">
      <w:pPr>
        <w:pStyle w:val="Textonotapie"/>
      </w:pPr>
      <w:r>
        <w:rPr>
          <w:rStyle w:val="Refdenotaalpie"/>
        </w:rPr>
        <w:footnoteRef/>
      </w:r>
      <w:r>
        <w:t xml:space="preserve"> </w:t>
      </w:r>
      <w:r w:rsidRPr="001D0815">
        <w:rPr>
          <w:rFonts w:cs="Times New Roman"/>
        </w:rPr>
        <w:t>RAMON RIBAS, 2013, p.</w:t>
      </w:r>
      <w:r w:rsidR="000C698F">
        <w:rPr>
          <w:rFonts w:cs="Times New Roman"/>
        </w:rPr>
        <w:t xml:space="preserve"> </w:t>
      </w:r>
      <w:r w:rsidR="0070352B">
        <w:rPr>
          <w:rFonts w:cs="Times New Roman"/>
        </w:rPr>
        <w:t>4</w:t>
      </w:r>
      <w:r w:rsidRPr="001D0815">
        <w:rPr>
          <w:rFonts w:cs="Times New Roman"/>
        </w:rPr>
        <w:t>16.</w:t>
      </w:r>
    </w:p>
  </w:footnote>
  <w:footnote w:id="9">
    <w:p w14:paraId="62B58AA8" w14:textId="77777777" w:rsidR="00E8791A" w:rsidRPr="000C698F" w:rsidRDefault="00E8791A" w:rsidP="00120555">
      <w:pPr>
        <w:pStyle w:val="Textonotapie"/>
        <w:rPr>
          <w:rFonts w:cs="Times New Roman"/>
        </w:rPr>
      </w:pPr>
      <w:r w:rsidRPr="00690FA1">
        <w:rPr>
          <w:rStyle w:val="Refdenotaalpie"/>
          <w:rFonts w:cs="Times New Roman"/>
        </w:rPr>
        <w:footnoteRef/>
      </w:r>
      <w:r>
        <w:rPr>
          <w:rFonts w:cs="Times New Roman"/>
        </w:rPr>
        <w:t xml:space="preserve"> GORJÓN BARRANCO</w:t>
      </w:r>
      <w:r w:rsidRPr="00690FA1">
        <w:rPr>
          <w:rFonts w:cs="Times New Roman"/>
        </w:rPr>
        <w:t xml:space="preserve">, </w:t>
      </w:r>
      <w:r>
        <w:rPr>
          <w:rFonts w:cs="Times New Roman"/>
        </w:rPr>
        <w:t>2010, pp</w:t>
      </w:r>
      <w:r w:rsidR="000C698F">
        <w:rPr>
          <w:rFonts w:cs="Times New Roman"/>
        </w:rPr>
        <w:t>.</w:t>
      </w:r>
      <w:r>
        <w:rPr>
          <w:rFonts w:cs="Times New Roman"/>
        </w:rPr>
        <w:t xml:space="preserve"> 227 y ss.</w:t>
      </w:r>
    </w:p>
  </w:footnote>
  <w:footnote w:id="10">
    <w:p w14:paraId="69953262" w14:textId="77777777" w:rsidR="003F1CF3" w:rsidRPr="000C698F" w:rsidRDefault="00E8791A">
      <w:pPr>
        <w:pStyle w:val="Textonotapie"/>
        <w:rPr>
          <w:rFonts w:cs="Times New Roman"/>
        </w:rPr>
      </w:pPr>
      <w:r>
        <w:rPr>
          <w:rStyle w:val="Refdenotaalpie"/>
        </w:rPr>
        <w:footnoteRef/>
      </w:r>
      <w:r>
        <w:t xml:space="preserve"> </w:t>
      </w:r>
      <w:r w:rsidRPr="00690FA1">
        <w:rPr>
          <w:rFonts w:cs="Times New Roman"/>
        </w:rPr>
        <w:t xml:space="preserve">BOLEA BARDÓN, </w:t>
      </w:r>
      <w:r>
        <w:rPr>
          <w:rFonts w:cs="Times New Roman"/>
        </w:rPr>
        <w:t>2007, pp</w:t>
      </w:r>
      <w:r w:rsidR="000C698F">
        <w:rPr>
          <w:rFonts w:cs="Times New Roman"/>
        </w:rPr>
        <w:t>.</w:t>
      </w:r>
      <w:r>
        <w:rPr>
          <w:rFonts w:cs="Times New Roman"/>
        </w:rPr>
        <w:t xml:space="preserve"> 3 y ss.</w:t>
      </w:r>
    </w:p>
  </w:footnote>
  <w:footnote w:id="11">
    <w:p w14:paraId="1BBAD443" w14:textId="77777777" w:rsidR="00554C48" w:rsidRDefault="00554C48">
      <w:pPr>
        <w:pStyle w:val="Textonotapie"/>
      </w:pPr>
      <w:r>
        <w:rPr>
          <w:rStyle w:val="Refdenotaalpie"/>
        </w:rPr>
        <w:footnoteRef/>
      </w:r>
      <w:r>
        <w:t xml:space="preserve"> </w:t>
      </w:r>
      <w:r w:rsidR="005D4C24">
        <w:rPr>
          <w:rFonts w:cs="Times New Roman"/>
        </w:rPr>
        <w:t>CRUZ BLANCA, 1995,</w:t>
      </w:r>
      <w:r w:rsidRPr="00554C48">
        <w:rPr>
          <w:rFonts w:cs="Times New Roman"/>
        </w:rPr>
        <w:t xml:space="preserve"> p.159.</w:t>
      </w:r>
    </w:p>
    <w:p w14:paraId="696DCF13" w14:textId="77777777" w:rsidR="00554C48" w:rsidRDefault="00554C48">
      <w:pPr>
        <w:pStyle w:val="Textonotapie"/>
      </w:pPr>
    </w:p>
  </w:footnote>
  <w:footnote w:id="12">
    <w:p w14:paraId="34AE09B5" w14:textId="77777777" w:rsidR="00E8791A" w:rsidRPr="000C698F" w:rsidRDefault="00E8791A">
      <w:pPr>
        <w:pStyle w:val="Textonotapie"/>
        <w:rPr>
          <w:rFonts w:cs="Times New Roman"/>
        </w:rPr>
      </w:pPr>
      <w:r>
        <w:rPr>
          <w:rStyle w:val="Refdenotaalpie"/>
        </w:rPr>
        <w:footnoteRef/>
      </w:r>
      <w:r>
        <w:t xml:space="preserve"> </w:t>
      </w:r>
      <w:r>
        <w:rPr>
          <w:rFonts w:cs="Times New Roman"/>
        </w:rPr>
        <w:t>MORILLAS CUEVA, 2016, pp</w:t>
      </w:r>
      <w:r w:rsidR="000C698F">
        <w:rPr>
          <w:rFonts w:cs="Times New Roman"/>
        </w:rPr>
        <w:t>.</w:t>
      </w:r>
      <w:r>
        <w:rPr>
          <w:rFonts w:cs="Times New Roman"/>
        </w:rPr>
        <w:t xml:space="preserve"> 101-150.</w:t>
      </w:r>
    </w:p>
  </w:footnote>
  <w:footnote w:id="13">
    <w:p w14:paraId="13B73D9F" w14:textId="77777777" w:rsidR="00E8791A" w:rsidRPr="00745670" w:rsidRDefault="00E8791A" w:rsidP="00745670">
      <w:pPr>
        <w:pStyle w:val="Textonotapie"/>
        <w:rPr>
          <w:rFonts w:cs="Times New Roman"/>
        </w:rPr>
      </w:pPr>
      <w:r>
        <w:rPr>
          <w:rStyle w:val="Refdenotaalpie"/>
        </w:rPr>
        <w:footnoteRef/>
      </w:r>
      <w:r>
        <w:t xml:space="preserve"> </w:t>
      </w:r>
      <w:r>
        <w:rPr>
          <w:rFonts w:cs="Times New Roman"/>
        </w:rPr>
        <w:t>Dignas de mención son también las palabras pronunciadas por el Fiscal General del Estado en su discurso de apertura de Tribunales del año 2003: “</w:t>
      </w:r>
      <w:r w:rsidRPr="00745670">
        <w:rPr>
          <w:rFonts w:cs="Times New Roman"/>
          <w:i/>
        </w:rPr>
        <w:t>La violencia</w:t>
      </w:r>
      <w:r>
        <w:rPr>
          <w:rFonts w:cs="Times New Roman"/>
          <w:i/>
        </w:rPr>
        <w:t xml:space="preserve"> doméstica sigue siendo objeto de preocupación preferente para la Fiscalía General del Estado. El Ministerio Fiscal ha de actuar, día a día, de manera decidida y rigurosa contra quienes degradan la dignidad de la mujer y erosionan los valores que han de regir las relaciones familiares. El agresor no solo menoscaba de forma inaceptable la integridad física o moral de la víctima, además convierte a otros miembros de la familia en obligados testigos de una conducta violenta que despliega perniciosos efectos en el proceso educativo de los menores de edad.</w:t>
      </w:r>
      <w:r w:rsidR="000C698F">
        <w:rPr>
          <w:rFonts w:cs="Times New Roman"/>
        </w:rPr>
        <w:t>”</w:t>
      </w:r>
    </w:p>
  </w:footnote>
  <w:footnote w:id="14">
    <w:p w14:paraId="77C3C092" w14:textId="77777777" w:rsidR="00E8791A" w:rsidRPr="002A0474" w:rsidRDefault="00E8791A" w:rsidP="009F22B0">
      <w:pPr>
        <w:pStyle w:val="Textonotapie"/>
        <w:rPr>
          <w:rFonts w:cs="Times New Roman"/>
          <w:bCs/>
        </w:rPr>
      </w:pPr>
      <w:r w:rsidRPr="009F22B0">
        <w:rPr>
          <w:rStyle w:val="Refdenotaalpie"/>
          <w:rFonts w:cs="Times New Roman"/>
        </w:rPr>
        <w:footnoteRef/>
      </w:r>
      <w:r w:rsidRPr="009F22B0">
        <w:rPr>
          <w:rFonts w:cs="Times New Roman"/>
        </w:rPr>
        <w:t xml:space="preserve"> </w:t>
      </w:r>
      <w:r w:rsidRPr="009F22B0">
        <w:rPr>
          <w:rFonts w:cs="Times New Roman"/>
          <w:bCs/>
        </w:rPr>
        <w:t>LARROSA PERELA</w:t>
      </w:r>
      <w:r>
        <w:rPr>
          <w:rFonts w:cs="Times New Roman"/>
          <w:bCs/>
        </w:rPr>
        <w:t>, 2010, pp</w:t>
      </w:r>
      <w:r w:rsidR="000C698F">
        <w:rPr>
          <w:rFonts w:cs="Times New Roman"/>
          <w:bCs/>
        </w:rPr>
        <w:t>.</w:t>
      </w:r>
      <w:r>
        <w:rPr>
          <w:rFonts w:cs="Times New Roman"/>
          <w:bCs/>
        </w:rPr>
        <w:t xml:space="preserve"> 363 y ss.</w:t>
      </w:r>
    </w:p>
    <w:p w14:paraId="2BBF89A4" w14:textId="77777777" w:rsidR="00E8791A" w:rsidRDefault="00E8791A">
      <w:pPr>
        <w:pStyle w:val="Textonotapie"/>
      </w:pPr>
    </w:p>
  </w:footnote>
  <w:footnote w:id="15">
    <w:p w14:paraId="6E1021EE" w14:textId="77777777" w:rsidR="00E8791A" w:rsidRDefault="00E8791A" w:rsidP="0018785B">
      <w:pPr>
        <w:pStyle w:val="Textonotapie"/>
        <w:rPr>
          <w:rFonts w:cs="Times New Roman"/>
        </w:rPr>
      </w:pPr>
      <w:r w:rsidRPr="0018785B">
        <w:rPr>
          <w:rStyle w:val="Refdenotaalpie"/>
          <w:rFonts w:cs="Times New Roman"/>
        </w:rPr>
        <w:footnoteRef/>
      </w:r>
      <w:r w:rsidRPr="0018785B">
        <w:rPr>
          <w:rFonts w:cs="Times New Roman"/>
        </w:rPr>
        <w:t xml:space="preserve"> PRIETO DEL PISO</w:t>
      </w:r>
      <w:r>
        <w:rPr>
          <w:rFonts w:cs="Times New Roman"/>
        </w:rPr>
        <w:t>, 2016, p. 136.</w:t>
      </w:r>
    </w:p>
    <w:p w14:paraId="7BF2A0FE" w14:textId="77777777" w:rsidR="00E8791A" w:rsidRPr="0018785B" w:rsidRDefault="00E8791A" w:rsidP="0018785B">
      <w:pPr>
        <w:pStyle w:val="Textonotapie"/>
        <w:rPr>
          <w:rFonts w:cs="Times New Roman"/>
        </w:rPr>
      </w:pPr>
    </w:p>
  </w:footnote>
  <w:footnote w:id="16">
    <w:p w14:paraId="26172217" w14:textId="77777777" w:rsidR="00E8791A" w:rsidRPr="0018785B" w:rsidRDefault="00E8791A">
      <w:pPr>
        <w:pStyle w:val="Textonotapie"/>
        <w:rPr>
          <w:rFonts w:cs="Times New Roman"/>
        </w:rPr>
      </w:pPr>
      <w:r w:rsidRPr="0018785B">
        <w:rPr>
          <w:rStyle w:val="Refdenotaalpie"/>
          <w:rFonts w:cs="Times New Roman"/>
        </w:rPr>
        <w:footnoteRef/>
      </w:r>
      <w:r w:rsidRPr="0018785B">
        <w:rPr>
          <w:rFonts w:cs="Times New Roman"/>
        </w:rPr>
        <w:t xml:space="preserve"> Así el CGPJ en su Informe al Anteproyecto de Ley Integral pág. 16.</w:t>
      </w:r>
    </w:p>
  </w:footnote>
  <w:footnote w:id="17">
    <w:p w14:paraId="6083A2E5" w14:textId="77777777" w:rsidR="00E8791A" w:rsidRPr="000C698F" w:rsidRDefault="00E8791A">
      <w:pPr>
        <w:pStyle w:val="Textonotapie"/>
        <w:rPr>
          <w:rFonts w:cs="Times New Roman"/>
        </w:rPr>
      </w:pPr>
      <w:bookmarkStart w:id="5" w:name="_Hlk481619837"/>
      <w:r w:rsidRPr="00344640">
        <w:rPr>
          <w:rStyle w:val="Refdenotaalpie"/>
          <w:rFonts w:cs="Times New Roman"/>
        </w:rPr>
        <w:footnoteRef/>
      </w:r>
      <w:r w:rsidRPr="00344640">
        <w:rPr>
          <w:rFonts w:cs="Times New Roman"/>
        </w:rPr>
        <w:t xml:space="preserve"> SERVET MAGRO, </w:t>
      </w:r>
      <w:r>
        <w:rPr>
          <w:rFonts w:cs="Times New Roman"/>
        </w:rPr>
        <w:t>2015</w:t>
      </w:r>
      <w:r w:rsidRPr="00344640">
        <w:rPr>
          <w:rFonts w:cs="Times New Roman"/>
        </w:rPr>
        <w:t>,</w:t>
      </w:r>
      <w:r>
        <w:rPr>
          <w:rFonts w:cs="Times New Roman"/>
        </w:rPr>
        <w:t xml:space="preserve"> p.1.</w:t>
      </w:r>
      <w:bookmarkEnd w:id="5"/>
    </w:p>
  </w:footnote>
  <w:footnote w:id="18">
    <w:p w14:paraId="350D2387" w14:textId="77777777" w:rsidR="00803A56" w:rsidRPr="00803A56" w:rsidRDefault="00803A56">
      <w:pPr>
        <w:pStyle w:val="Textonotapie"/>
        <w:rPr>
          <w:rFonts w:cs="Times New Roman"/>
        </w:rPr>
      </w:pPr>
      <w:r w:rsidRPr="00803A56">
        <w:rPr>
          <w:rStyle w:val="Refdenotaalpie"/>
          <w:rFonts w:cs="Times New Roman"/>
        </w:rPr>
        <w:footnoteRef/>
      </w:r>
      <w:r w:rsidRPr="00803A56">
        <w:rPr>
          <w:rFonts w:cs="Times New Roman"/>
        </w:rPr>
        <w:t xml:space="preserve"> FUENTES OSORIO, 2013, pp</w:t>
      </w:r>
      <w:r w:rsidR="000C698F">
        <w:rPr>
          <w:rFonts w:cs="Times New Roman"/>
        </w:rPr>
        <w:t>.</w:t>
      </w:r>
      <w:r w:rsidRPr="00803A56">
        <w:rPr>
          <w:rFonts w:cs="Times New Roman"/>
        </w:rPr>
        <w:t xml:space="preserve"> 6- 10.</w:t>
      </w:r>
    </w:p>
  </w:footnote>
  <w:footnote w:id="19">
    <w:p w14:paraId="5418C0F1" w14:textId="77777777" w:rsidR="00E8791A" w:rsidRDefault="00E8791A">
      <w:pPr>
        <w:pStyle w:val="Textonotapie"/>
      </w:pPr>
      <w:r>
        <w:rPr>
          <w:rStyle w:val="Refdenotaalpie"/>
        </w:rPr>
        <w:footnoteRef/>
      </w:r>
      <w:bookmarkStart w:id="6" w:name="_Hlk481616623"/>
      <w:r w:rsidR="000C698F">
        <w:rPr>
          <w:rFonts w:cs="Times New Roman"/>
        </w:rPr>
        <w:t xml:space="preserve"> </w:t>
      </w:r>
      <w:r w:rsidR="00343946">
        <w:rPr>
          <w:rFonts w:cs="Times New Roman"/>
        </w:rPr>
        <w:t>OTERO RODRIGUEZ</w:t>
      </w:r>
      <w:r w:rsidRPr="00A4235B">
        <w:rPr>
          <w:rFonts w:cs="Times New Roman"/>
        </w:rPr>
        <w:t xml:space="preserve">, </w:t>
      </w:r>
      <w:bookmarkEnd w:id="6"/>
      <w:r w:rsidRPr="00A4235B">
        <w:rPr>
          <w:rFonts w:cs="Times New Roman"/>
        </w:rPr>
        <w:t xml:space="preserve">2013, </w:t>
      </w:r>
      <w:proofErr w:type="spellStart"/>
      <w:r w:rsidRPr="00A4235B">
        <w:rPr>
          <w:rFonts w:cs="Times New Roman"/>
        </w:rPr>
        <w:t>pp</w:t>
      </w:r>
      <w:proofErr w:type="spellEnd"/>
      <w:r w:rsidRPr="00A4235B">
        <w:rPr>
          <w:rFonts w:cs="Times New Roman"/>
        </w:rPr>
        <w:t xml:space="preserve"> 6 y ss.</w:t>
      </w:r>
    </w:p>
  </w:footnote>
  <w:footnote w:id="20">
    <w:p w14:paraId="54AEC1A7" w14:textId="14CC6485" w:rsidR="00E8791A" w:rsidRPr="000C698F" w:rsidRDefault="00E8791A" w:rsidP="002F5FF2">
      <w:pPr>
        <w:pStyle w:val="Textonotapie"/>
        <w:rPr>
          <w:rFonts w:cs="Times New Roman"/>
        </w:rPr>
      </w:pPr>
      <w:r w:rsidRPr="002F5FF2">
        <w:rPr>
          <w:rStyle w:val="Refdenotaalpie"/>
          <w:rFonts w:cs="Times New Roman"/>
        </w:rPr>
        <w:footnoteRef/>
      </w:r>
      <w:r>
        <w:rPr>
          <w:rFonts w:cs="Times New Roman"/>
        </w:rPr>
        <w:t xml:space="preserve"> </w:t>
      </w:r>
      <w:bookmarkStart w:id="7" w:name="_Hlk482806975"/>
      <w:bookmarkStart w:id="8" w:name="_Hlk482875484"/>
      <w:r>
        <w:rPr>
          <w:rFonts w:cs="Times New Roman"/>
        </w:rPr>
        <w:t>MARÍ FARINÓS, 2016, pp</w:t>
      </w:r>
      <w:r w:rsidR="004A7E16">
        <w:rPr>
          <w:rFonts w:cs="Times New Roman"/>
        </w:rPr>
        <w:t>.</w:t>
      </w:r>
      <w:r>
        <w:rPr>
          <w:rFonts w:cs="Times New Roman"/>
        </w:rPr>
        <w:t xml:space="preserve"> 3 y ss</w:t>
      </w:r>
      <w:bookmarkEnd w:id="7"/>
      <w:r>
        <w:rPr>
          <w:rFonts w:cs="Times New Roman"/>
        </w:rPr>
        <w:t>.</w:t>
      </w:r>
      <w:bookmarkEnd w:id="8"/>
      <w:r w:rsidR="000C698F">
        <w:rPr>
          <w:rFonts w:cs="Times New Roman"/>
        </w:rPr>
        <w:t xml:space="preserve">; </w:t>
      </w:r>
      <w:bookmarkStart w:id="9" w:name="_Hlk483162519"/>
      <w:r w:rsidRPr="002F5FF2">
        <w:rPr>
          <w:rFonts w:cs="Times New Roman"/>
        </w:rPr>
        <w:t>MUÑOZ COMPANY</w:t>
      </w:r>
      <w:r>
        <w:rPr>
          <w:rFonts w:cs="Times New Roman"/>
        </w:rPr>
        <w:t>, 2015, pp</w:t>
      </w:r>
      <w:r w:rsidR="004A7E16">
        <w:rPr>
          <w:rFonts w:cs="Times New Roman"/>
        </w:rPr>
        <w:t>.</w:t>
      </w:r>
      <w:r>
        <w:rPr>
          <w:rFonts w:cs="Times New Roman"/>
        </w:rPr>
        <w:t xml:space="preserve"> 2 y ss</w:t>
      </w:r>
      <w:r w:rsidRPr="002F5FF2">
        <w:rPr>
          <w:rFonts w:cs="Times New Roman"/>
        </w:rPr>
        <w:t>.</w:t>
      </w:r>
      <w:bookmarkEnd w:id="9"/>
    </w:p>
  </w:footnote>
  <w:footnote w:id="21">
    <w:p w14:paraId="4F481748" w14:textId="77777777" w:rsidR="00E8791A" w:rsidRPr="000C698F" w:rsidRDefault="00E8791A">
      <w:pPr>
        <w:pStyle w:val="Textonotapie"/>
        <w:rPr>
          <w:rFonts w:cs="Times New Roman"/>
        </w:rPr>
      </w:pPr>
      <w:r>
        <w:rPr>
          <w:rStyle w:val="Refdenotaalpie"/>
        </w:rPr>
        <w:footnoteRef/>
      </w:r>
      <w:r>
        <w:t xml:space="preserve"> </w:t>
      </w:r>
      <w:r w:rsidRPr="00957DB1">
        <w:rPr>
          <w:rFonts w:cs="Times New Roman"/>
        </w:rPr>
        <w:t>MENDOZA CALDERÓN, 2006, p. 9.</w:t>
      </w:r>
    </w:p>
  </w:footnote>
  <w:footnote w:id="22">
    <w:p w14:paraId="1BB2096A" w14:textId="00390AB4" w:rsidR="00E8791A" w:rsidRDefault="00E8791A">
      <w:pPr>
        <w:pStyle w:val="Textonotapie"/>
      </w:pPr>
      <w:r>
        <w:rPr>
          <w:rStyle w:val="Refdenotaalpie"/>
        </w:rPr>
        <w:footnoteRef/>
      </w:r>
      <w:r>
        <w:t xml:space="preserve"> </w:t>
      </w:r>
      <w:bookmarkStart w:id="10" w:name="_Hlk482957775"/>
      <w:r>
        <w:rPr>
          <w:rFonts w:cs="Times New Roman"/>
        </w:rPr>
        <w:t>MARÍ FARINÓS, 2016, pp</w:t>
      </w:r>
      <w:r w:rsidR="004A7E16">
        <w:rPr>
          <w:rFonts w:cs="Times New Roman"/>
        </w:rPr>
        <w:t>.</w:t>
      </w:r>
      <w:r>
        <w:rPr>
          <w:rFonts w:cs="Times New Roman"/>
        </w:rPr>
        <w:t xml:space="preserve"> 6 y ss.</w:t>
      </w:r>
      <w:bookmarkEnd w:id="10"/>
    </w:p>
  </w:footnote>
  <w:footnote w:id="23">
    <w:p w14:paraId="181FDC56" w14:textId="77777777" w:rsidR="006E4868" w:rsidRDefault="006E4868" w:rsidP="006E4868">
      <w:pPr>
        <w:pStyle w:val="Textonotapie"/>
        <w:rPr>
          <w:rFonts w:cs="Times New Roman"/>
        </w:rPr>
      </w:pPr>
      <w:r>
        <w:rPr>
          <w:rStyle w:val="Refdenotaalpie"/>
        </w:rPr>
        <w:footnoteRef/>
      </w:r>
      <w:r>
        <w:t xml:space="preserve"> </w:t>
      </w:r>
      <w:r w:rsidRPr="002F5FF2">
        <w:rPr>
          <w:rFonts w:cs="Times New Roman"/>
        </w:rPr>
        <w:t>MUÑOZ COMPANY</w:t>
      </w:r>
      <w:r>
        <w:rPr>
          <w:rFonts w:cs="Times New Roman"/>
        </w:rPr>
        <w:t>, 2015, pp</w:t>
      </w:r>
      <w:r w:rsidR="000C698F">
        <w:rPr>
          <w:rFonts w:cs="Times New Roman"/>
        </w:rPr>
        <w:t>.</w:t>
      </w:r>
      <w:r>
        <w:rPr>
          <w:rFonts w:cs="Times New Roman"/>
        </w:rPr>
        <w:t xml:space="preserve"> 2 y ss</w:t>
      </w:r>
      <w:r w:rsidRPr="002F5FF2">
        <w:rPr>
          <w:rFonts w:cs="Times New Roman"/>
        </w:rPr>
        <w:t>.</w:t>
      </w:r>
    </w:p>
    <w:p w14:paraId="195484E5" w14:textId="77777777" w:rsidR="006E4868" w:rsidRDefault="006E4868">
      <w:pPr>
        <w:pStyle w:val="Textonotapie"/>
      </w:pPr>
    </w:p>
  </w:footnote>
  <w:footnote w:id="24">
    <w:p w14:paraId="5A7AFAC4" w14:textId="77777777" w:rsidR="003F1CF3" w:rsidRDefault="003F1CF3">
      <w:pPr>
        <w:pStyle w:val="Textonotapie"/>
      </w:pPr>
      <w:r>
        <w:rPr>
          <w:rStyle w:val="Refdenotaalpie"/>
        </w:rPr>
        <w:footnoteRef/>
      </w:r>
      <w:r>
        <w:t xml:space="preserve"> </w:t>
      </w:r>
      <w:r>
        <w:rPr>
          <w:rFonts w:cs="Times New Roman"/>
        </w:rPr>
        <w:t>MARÍ FARINÓS, 2016, pp</w:t>
      </w:r>
      <w:r w:rsidR="000C698F">
        <w:rPr>
          <w:rFonts w:cs="Times New Roman"/>
        </w:rPr>
        <w:t>.</w:t>
      </w:r>
      <w:r>
        <w:rPr>
          <w:rFonts w:cs="Times New Roman"/>
        </w:rPr>
        <w:t xml:space="preserve"> 10 y ss.</w:t>
      </w:r>
    </w:p>
  </w:footnote>
  <w:footnote w:id="25">
    <w:p w14:paraId="3AF3062C" w14:textId="77777777" w:rsidR="00BB7E70" w:rsidRPr="000C698F" w:rsidRDefault="00BB7E70">
      <w:pPr>
        <w:pStyle w:val="Textonotapie"/>
        <w:rPr>
          <w:rFonts w:cs="Times New Roman"/>
        </w:rPr>
      </w:pPr>
      <w:r>
        <w:rPr>
          <w:rStyle w:val="Refdenotaalpie"/>
        </w:rPr>
        <w:footnoteRef/>
      </w:r>
      <w:r>
        <w:t xml:space="preserve"> </w:t>
      </w:r>
      <w:r>
        <w:rPr>
          <w:rFonts w:cs="Times New Roman"/>
        </w:rPr>
        <w:t>MARÍ FARINÓS, 2016, p. 12.</w:t>
      </w:r>
    </w:p>
  </w:footnote>
  <w:footnote w:id="26">
    <w:p w14:paraId="0223749F" w14:textId="14B8ECC3" w:rsidR="00E8791A" w:rsidRPr="004A7E16" w:rsidRDefault="00E8791A">
      <w:pPr>
        <w:pStyle w:val="Textonotapie"/>
        <w:rPr>
          <w:rFonts w:cs="Times New Roman"/>
        </w:rPr>
      </w:pPr>
      <w:r>
        <w:rPr>
          <w:rStyle w:val="Refdenotaalpie"/>
        </w:rPr>
        <w:footnoteRef/>
      </w:r>
      <w:r>
        <w:t xml:space="preserve"> </w:t>
      </w:r>
      <w:r>
        <w:rPr>
          <w:rFonts w:cs="Times New Roman"/>
        </w:rPr>
        <w:t>MARÍ FARINÓS, 2016, pp</w:t>
      </w:r>
      <w:r w:rsidR="000C698F">
        <w:rPr>
          <w:rFonts w:cs="Times New Roman"/>
        </w:rPr>
        <w:t>.</w:t>
      </w:r>
      <w:r>
        <w:rPr>
          <w:rFonts w:cs="Times New Roman"/>
        </w:rPr>
        <w:t xml:space="preserve"> 14 y ss.</w:t>
      </w:r>
    </w:p>
  </w:footnote>
  <w:footnote w:id="27">
    <w:p w14:paraId="253DADA3" w14:textId="23CD4410" w:rsidR="00803A56" w:rsidRDefault="00803A56">
      <w:pPr>
        <w:pStyle w:val="Textonotapie"/>
      </w:pPr>
      <w:r>
        <w:rPr>
          <w:rStyle w:val="Refdenotaalpie"/>
        </w:rPr>
        <w:footnoteRef/>
      </w:r>
      <w:r>
        <w:t xml:space="preserve"> </w:t>
      </w:r>
      <w:r w:rsidRPr="00803A56">
        <w:rPr>
          <w:rFonts w:cs="Times New Roman"/>
        </w:rPr>
        <w:t>FUENTES OSORIO, 2013,</w:t>
      </w:r>
      <w:r w:rsidR="004A7E16">
        <w:rPr>
          <w:rFonts w:cs="Times New Roman"/>
        </w:rPr>
        <w:t xml:space="preserve"> </w:t>
      </w:r>
      <w:r w:rsidRPr="00803A56">
        <w:rPr>
          <w:rFonts w:cs="Times New Roman"/>
        </w:rPr>
        <w:t>pp.</w:t>
      </w:r>
      <w:r w:rsidR="000C698F">
        <w:rPr>
          <w:rFonts w:cs="Times New Roman"/>
        </w:rPr>
        <w:t xml:space="preserve"> </w:t>
      </w:r>
      <w:r w:rsidRPr="00803A56">
        <w:rPr>
          <w:rFonts w:cs="Times New Roman"/>
        </w:rPr>
        <w:t>32 y ss.</w:t>
      </w:r>
    </w:p>
  </w:footnote>
  <w:footnote w:id="28">
    <w:p w14:paraId="4A3B10B2" w14:textId="76E37363" w:rsidR="00D97008" w:rsidRPr="00A32EE8" w:rsidRDefault="00D97008">
      <w:pPr>
        <w:pStyle w:val="Textonotapie"/>
        <w:rPr>
          <w:lang w:val="it-IT"/>
        </w:rPr>
      </w:pPr>
      <w:r w:rsidRPr="00D97008">
        <w:rPr>
          <w:rStyle w:val="Refdenotaalpie"/>
          <w:rFonts w:cs="Times New Roman"/>
        </w:rPr>
        <w:footnoteRef/>
      </w:r>
      <w:r w:rsidRPr="00D97008">
        <w:rPr>
          <w:rFonts w:cs="Times New Roman"/>
        </w:rPr>
        <w:t xml:space="preserve"> “En cualquier caso se trata de un problema de enorme trascendencia práctica. Si se exige ese elemento subjetivo del tipo, gran parte de los procedimientos por estos delitos que se ventilen en nuestros Tribunales se centrarán en esta cuestión, y en muchos casos acreditar la intención del agresor se convertirá en una prueba casi imposible, que conduciría a una arbitraria aplicación de estas normas. En definitiva, la violencia en el ámbito familiar debe examinarse por su resultado con independencia de las razones concretas que impulsen al agresor, pues no existe ninguna razón que justifique o agrave esta situación. Los delitos de violencia doméstica y de género</w:t>
      </w:r>
      <w:r>
        <w:t xml:space="preserve"> </w:t>
      </w:r>
      <w:r w:rsidRPr="00D97008">
        <w:rPr>
          <w:rFonts w:cs="Times New Roman"/>
        </w:rPr>
        <w:t>pretender garantizar un marco de relaciones personales ausente de coacción, y la espuria intención del maltratador, cualquiera que fuere, debe quedar en un segundo plano”</w:t>
      </w:r>
      <w:r w:rsidR="004A7E16">
        <w:rPr>
          <w:rFonts w:cs="Times New Roman"/>
        </w:rPr>
        <w:t>,</w:t>
      </w:r>
      <w:r w:rsidRPr="00D97008">
        <w:rPr>
          <w:rFonts w:cs="Times New Roman"/>
        </w:rPr>
        <w:t xml:space="preserve"> </w:t>
      </w:r>
      <w:r w:rsidRPr="004A7E16">
        <w:rPr>
          <w:rFonts w:cs="Times New Roman"/>
        </w:rPr>
        <w:t xml:space="preserve">ARÁNGUEZ SÁNCHEZ, 2005, </w:t>
      </w:r>
      <w:r w:rsidRPr="004A7E16">
        <w:rPr>
          <w:rFonts w:cs="Times New Roman"/>
        </w:rPr>
        <w:t xml:space="preserve">p.. </w:t>
      </w:r>
      <w:r w:rsidRPr="00A32EE8">
        <w:rPr>
          <w:rFonts w:cs="Times New Roman"/>
          <w:lang w:val="it-IT"/>
        </w:rPr>
        <w:t>25.</w:t>
      </w:r>
    </w:p>
  </w:footnote>
  <w:footnote w:id="29">
    <w:p w14:paraId="56FC5C46" w14:textId="77777777" w:rsidR="00E8791A" w:rsidRPr="00A32EE8" w:rsidRDefault="00E8791A">
      <w:pPr>
        <w:pStyle w:val="Textonotapie"/>
        <w:rPr>
          <w:rFonts w:cs="Times New Roman"/>
          <w:lang w:val="it-IT"/>
        </w:rPr>
      </w:pPr>
      <w:r>
        <w:rPr>
          <w:rStyle w:val="Refdenotaalpie"/>
        </w:rPr>
        <w:footnoteRef/>
      </w:r>
      <w:r w:rsidRPr="00A32EE8">
        <w:rPr>
          <w:lang w:val="it-IT"/>
        </w:rPr>
        <w:t xml:space="preserve"> </w:t>
      </w:r>
      <w:r w:rsidRPr="00A32EE8">
        <w:rPr>
          <w:rFonts w:cs="Times New Roman"/>
          <w:lang w:val="it-IT"/>
        </w:rPr>
        <w:t>PRIETO DEL PISO, 2016, pp</w:t>
      </w:r>
      <w:r w:rsidR="000C698F" w:rsidRPr="00A32EE8">
        <w:rPr>
          <w:rFonts w:cs="Times New Roman"/>
          <w:lang w:val="it-IT"/>
        </w:rPr>
        <w:t>.</w:t>
      </w:r>
      <w:r w:rsidRPr="00A32EE8">
        <w:rPr>
          <w:rFonts w:cs="Times New Roman"/>
          <w:lang w:val="it-IT"/>
        </w:rPr>
        <w:t xml:space="preserve"> 138 y ss.</w:t>
      </w:r>
    </w:p>
  </w:footnote>
  <w:footnote w:id="30">
    <w:p w14:paraId="2A6CBA94" w14:textId="28BADD6C" w:rsidR="00E8791A" w:rsidRPr="00A32EE8" w:rsidRDefault="00E8791A">
      <w:pPr>
        <w:pStyle w:val="Textonotapie"/>
        <w:rPr>
          <w:lang w:val="it-IT"/>
        </w:rPr>
      </w:pPr>
      <w:r>
        <w:rPr>
          <w:rStyle w:val="Refdenotaalpie"/>
        </w:rPr>
        <w:footnoteRef/>
      </w:r>
      <w:r w:rsidRPr="00A32EE8">
        <w:rPr>
          <w:lang w:val="it-IT"/>
        </w:rPr>
        <w:t xml:space="preserve"> </w:t>
      </w:r>
      <w:r w:rsidR="004A7E16">
        <w:rPr>
          <w:rFonts w:cs="Times New Roman"/>
          <w:lang w:val="it-IT"/>
        </w:rPr>
        <w:t xml:space="preserve">LAURENZO COPELLO, 2006, </w:t>
      </w:r>
      <w:r w:rsidRPr="00A32EE8">
        <w:rPr>
          <w:rFonts w:cs="Times New Roman"/>
          <w:lang w:val="it-IT"/>
        </w:rPr>
        <w:t>pp 335-367.</w:t>
      </w:r>
    </w:p>
  </w:footnote>
  <w:footnote w:id="31">
    <w:p w14:paraId="283E8EBE" w14:textId="77777777" w:rsidR="00E8791A" w:rsidRPr="00DF0638" w:rsidRDefault="00E8791A" w:rsidP="002F5FF2">
      <w:pPr>
        <w:pStyle w:val="Textonotapie"/>
        <w:rPr>
          <w:rFonts w:cs="Times New Roman"/>
        </w:rPr>
      </w:pPr>
      <w:r w:rsidRPr="002F5FF2">
        <w:rPr>
          <w:rStyle w:val="Refdenotaalpie"/>
          <w:rFonts w:cs="Times New Roman"/>
        </w:rPr>
        <w:footnoteRef/>
      </w:r>
      <w:r w:rsidRPr="002F5FF2">
        <w:rPr>
          <w:rFonts w:cs="Times New Roman"/>
        </w:rPr>
        <w:t xml:space="preserve"> </w:t>
      </w:r>
      <w:r w:rsidR="000C698F" w:rsidRPr="002F5FF2">
        <w:rPr>
          <w:rFonts w:cs="Times New Roman"/>
        </w:rPr>
        <w:t>FUENTES OSORIO</w:t>
      </w:r>
      <w:r w:rsidR="000C698F">
        <w:rPr>
          <w:rFonts w:cs="Times New Roman"/>
        </w:rPr>
        <w:t>, 2013, pp. 32 y ss.; ídem</w:t>
      </w:r>
      <w:r>
        <w:rPr>
          <w:rFonts w:cs="Times New Roman"/>
        </w:rPr>
        <w:t>, 2014, pp</w:t>
      </w:r>
      <w:r w:rsidR="000C698F">
        <w:rPr>
          <w:rFonts w:cs="Times New Roman"/>
        </w:rPr>
        <w:t xml:space="preserve">. 4 y ss. </w:t>
      </w:r>
    </w:p>
  </w:footnote>
  <w:footnote w:id="32">
    <w:p w14:paraId="02F6D3BD" w14:textId="77777777" w:rsidR="006B66C2" w:rsidRPr="00970124" w:rsidRDefault="00E8791A" w:rsidP="006E5CC7">
      <w:pPr>
        <w:pStyle w:val="Textonotapie"/>
        <w:rPr>
          <w:rFonts w:cs="Times New Roman"/>
          <w:color w:val="333333"/>
          <w:sz w:val="21"/>
          <w:szCs w:val="21"/>
          <w:shd w:val="clear" w:color="auto" w:fill="FFFFFF"/>
        </w:rPr>
      </w:pPr>
      <w:r>
        <w:rPr>
          <w:rStyle w:val="Refdenotaalpie"/>
        </w:rPr>
        <w:footnoteRef/>
      </w:r>
      <w:r>
        <w:t xml:space="preserve"> </w:t>
      </w:r>
      <w:r w:rsidRPr="006E5CC7">
        <w:rPr>
          <w:rFonts w:cs="Times New Roman"/>
        </w:rPr>
        <w:t xml:space="preserve">Opinión </w:t>
      </w:r>
      <w:r w:rsidRPr="006E5CC7">
        <w:rPr>
          <w:rFonts w:cs="Times New Roman"/>
          <w:color w:val="333333"/>
          <w:sz w:val="21"/>
          <w:szCs w:val="21"/>
          <w:shd w:val="clear" w:color="auto" w:fill="FFFFFF"/>
        </w:rPr>
        <w:t>sentencia de 8 de junio de 2012 de la Sección 15ª de la Audiencia Provincial de Madrid, relevante en cuanto a su aplicación: “</w:t>
      </w:r>
      <w:r>
        <w:rPr>
          <w:rFonts w:cs="Times New Roman"/>
          <w:color w:val="333333"/>
          <w:sz w:val="21"/>
          <w:szCs w:val="21"/>
          <w:shd w:val="clear" w:color="auto" w:fill="FFFFFF"/>
        </w:rPr>
        <w:t>l</w:t>
      </w:r>
      <w:r w:rsidRPr="006E5CC7">
        <w:rPr>
          <w:rFonts w:cs="Times New Roman"/>
          <w:color w:val="333333"/>
          <w:sz w:val="21"/>
          <w:szCs w:val="21"/>
          <w:shd w:val="clear" w:color="auto" w:fill="FFFFFF"/>
        </w:rPr>
        <w:t xml:space="preserve">a agravante analizada debe ser tratada con suma prudencia pues, como ha señalado el Tribunal Supremo, no todo delito en el que la víctima sea una persona caracterizada por pertenecer a otra raza, etnia o nación o participar de otra ideología o religión o condición sexual, conlleva la aplicación de esta agravante. Se trata de una circunstancia que se fundamenta en la mayor culpabilidad del autor por la mayor </w:t>
      </w:r>
      <w:proofErr w:type="spellStart"/>
      <w:r w:rsidRPr="006E5CC7">
        <w:rPr>
          <w:rFonts w:cs="Times New Roman"/>
          <w:color w:val="333333"/>
          <w:sz w:val="21"/>
          <w:szCs w:val="21"/>
          <w:shd w:val="clear" w:color="auto" w:fill="FFFFFF"/>
        </w:rPr>
        <w:t>reprochabilidad</w:t>
      </w:r>
      <w:proofErr w:type="spellEnd"/>
      <w:r w:rsidRPr="006E5CC7">
        <w:rPr>
          <w:rFonts w:cs="Times New Roman"/>
          <w:color w:val="333333"/>
          <w:sz w:val="21"/>
          <w:szCs w:val="21"/>
          <w:shd w:val="clear" w:color="auto" w:fill="FFFFFF"/>
        </w:rPr>
        <w:t xml:space="preserve"> del móvil que impulsa a cometer el delito, siendo por ello requisito que aquella motivación sea la determinante para cometer el delito (sentencia del Tribunal Supremo de 23 de noviembre de 2006)".</w:t>
      </w:r>
      <w:r>
        <w:rPr>
          <w:rFonts w:cs="Times New Roman"/>
          <w:color w:val="333333"/>
          <w:sz w:val="21"/>
          <w:szCs w:val="21"/>
          <w:shd w:val="clear" w:color="auto" w:fill="FFFFFF"/>
        </w:rPr>
        <w:t xml:space="preserve"> Aunque este pronunciamiento tiene lugar antes de la reforma, y por consiguiente de la nueva agravante introducida, podemos decir que el tratamiento en cuanto a su aplicabilidad debe ser igual de cuidadoso, examinando con suma prudencia los hechos caso por caso.</w:t>
      </w:r>
    </w:p>
  </w:footnote>
  <w:footnote w:id="33">
    <w:p w14:paraId="52259C6D" w14:textId="5D461F37" w:rsidR="006B66C2" w:rsidRPr="00970124" w:rsidRDefault="006B66C2">
      <w:pPr>
        <w:pStyle w:val="Textonotapie"/>
        <w:rPr>
          <w:rFonts w:cs="Times New Roman"/>
        </w:rPr>
      </w:pPr>
      <w:r>
        <w:rPr>
          <w:rStyle w:val="Refdenotaalpie"/>
        </w:rPr>
        <w:footnoteRef/>
      </w:r>
      <w:r>
        <w:t xml:space="preserve"> </w:t>
      </w:r>
      <w:r w:rsidRPr="006B66C2">
        <w:rPr>
          <w:rFonts w:cs="Times New Roman"/>
        </w:rPr>
        <w:t>PRIETO DEL PINO, 2016, pp</w:t>
      </w:r>
      <w:r w:rsidR="004A7E16">
        <w:rPr>
          <w:rFonts w:cs="Times New Roman"/>
        </w:rPr>
        <w:t>.</w:t>
      </w:r>
      <w:r w:rsidRPr="006B66C2">
        <w:rPr>
          <w:rFonts w:cs="Times New Roman"/>
        </w:rPr>
        <w:t xml:space="preserve"> 19 y ss.</w:t>
      </w:r>
    </w:p>
  </w:footnote>
  <w:footnote w:id="34">
    <w:p w14:paraId="07EEE63C" w14:textId="77777777" w:rsidR="006B66C2" w:rsidRPr="006B66C2" w:rsidRDefault="006B66C2">
      <w:pPr>
        <w:pStyle w:val="Textonotapie"/>
        <w:rPr>
          <w:rFonts w:cs="Times New Roman"/>
        </w:rPr>
      </w:pPr>
      <w:r w:rsidRPr="006B66C2">
        <w:rPr>
          <w:rStyle w:val="Refdenotaalpie"/>
          <w:rFonts w:cs="Times New Roman"/>
        </w:rPr>
        <w:footnoteRef/>
      </w:r>
      <w:r w:rsidRPr="006B66C2">
        <w:rPr>
          <w:rFonts w:cs="Times New Roman"/>
        </w:rPr>
        <w:t xml:space="preserve"> LA LEY PENAL: REVISTA DE DERECHO PENAL, PROCESAL Y PENITENCIARIO, 2006, pp. 52-63.</w:t>
      </w:r>
    </w:p>
  </w:footnote>
  <w:footnote w:id="35">
    <w:p w14:paraId="73032DBD" w14:textId="309D530D" w:rsidR="00E8791A" w:rsidRDefault="00E8791A">
      <w:pPr>
        <w:pStyle w:val="Textonotapie"/>
      </w:pPr>
      <w:r>
        <w:rPr>
          <w:rStyle w:val="Refdenotaalpie"/>
        </w:rPr>
        <w:footnoteRef/>
      </w:r>
      <w:r>
        <w:t xml:space="preserve"> </w:t>
      </w:r>
      <w:r w:rsidR="004A7E16">
        <w:rPr>
          <w:rFonts w:cs="Times New Roman"/>
        </w:rPr>
        <w:t>MAQUEDA ABREU,</w:t>
      </w:r>
      <w:r w:rsidRPr="00B57D20">
        <w:rPr>
          <w:rFonts w:cs="Times New Roman"/>
        </w:rPr>
        <w:t xml:space="preserve"> 2006, p. 2.</w:t>
      </w:r>
    </w:p>
  </w:footnote>
  <w:footnote w:id="36">
    <w:p w14:paraId="5BFE905D" w14:textId="77777777" w:rsidR="00E8791A" w:rsidRPr="00A74455" w:rsidRDefault="00E8791A">
      <w:pPr>
        <w:pStyle w:val="Textonotapie"/>
        <w:rPr>
          <w:rFonts w:cs="Times New Roman"/>
        </w:rPr>
      </w:pPr>
      <w:r w:rsidRPr="00A74455">
        <w:rPr>
          <w:rStyle w:val="Refdenotaalpie"/>
          <w:rFonts w:cs="Times New Roman"/>
        </w:rPr>
        <w:footnoteRef/>
      </w:r>
      <w:r w:rsidRPr="00A74455">
        <w:rPr>
          <w:rFonts w:cs="Times New Roman"/>
        </w:rPr>
        <w:t xml:space="preserve"> Pronunciamiento en relación a la violencia doméstica realizado en la Sentencia nº 666/16, FJ Segundo, Juzgado de lo penal nº 4 de Jaén.</w:t>
      </w:r>
    </w:p>
  </w:footnote>
  <w:footnote w:id="37">
    <w:p w14:paraId="4FF51E6B" w14:textId="77777777" w:rsidR="00E8791A" w:rsidRPr="002F5FF2" w:rsidRDefault="00E8791A" w:rsidP="002F5FF2">
      <w:pPr>
        <w:pStyle w:val="Textonotapie"/>
        <w:rPr>
          <w:rFonts w:cs="Times New Roman"/>
        </w:rPr>
      </w:pPr>
      <w:r w:rsidRPr="002F5FF2">
        <w:rPr>
          <w:rStyle w:val="Refdenotaalpie"/>
          <w:rFonts w:cs="Times New Roman"/>
        </w:rPr>
        <w:footnoteRef/>
      </w:r>
      <w:r w:rsidRPr="002F5FF2">
        <w:rPr>
          <w:rFonts w:cs="Times New Roman"/>
        </w:rPr>
        <w:t xml:space="preserve"> MAQUEDA ABREU</w:t>
      </w:r>
      <w:r>
        <w:rPr>
          <w:rFonts w:cs="Times New Roman"/>
        </w:rPr>
        <w:t>, 2007, pp</w:t>
      </w:r>
      <w:r w:rsidR="00970124">
        <w:rPr>
          <w:rFonts w:cs="Times New Roman"/>
        </w:rPr>
        <w:t>.</w:t>
      </w:r>
      <w:r>
        <w:rPr>
          <w:rFonts w:cs="Times New Roman"/>
        </w:rPr>
        <w:t xml:space="preserve"> 5 y ss.</w:t>
      </w:r>
    </w:p>
    <w:p w14:paraId="099CD886" w14:textId="77777777" w:rsidR="00E8791A" w:rsidRDefault="00E8791A" w:rsidP="002F5FF2">
      <w:pPr>
        <w:pStyle w:val="Textonotapie"/>
      </w:pPr>
    </w:p>
  </w:footnote>
  <w:footnote w:id="38">
    <w:p w14:paraId="53EFC8B4" w14:textId="5116F525" w:rsidR="00E8791A" w:rsidRPr="0033767D" w:rsidRDefault="00E8791A">
      <w:pPr>
        <w:pStyle w:val="Textonotapie"/>
        <w:rPr>
          <w:rFonts w:cs="Times New Roman"/>
        </w:rPr>
      </w:pPr>
      <w:r>
        <w:rPr>
          <w:rStyle w:val="Refdenotaalpie"/>
        </w:rPr>
        <w:footnoteRef/>
      </w:r>
      <w:r>
        <w:t xml:space="preserve"> </w:t>
      </w:r>
      <w:r w:rsidR="004A7E16">
        <w:rPr>
          <w:rFonts w:cs="Times New Roman"/>
        </w:rPr>
        <w:t>GARCIA PABLOS, 1992, p</w:t>
      </w:r>
      <w:r w:rsidRPr="00062C0F">
        <w:rPr>
          <w:rFonts w:cs="Times New Roman"/>
        </w:rPr>
        <w:t>. 84.</w:t>
      </w:r>
    </w:p>
  </w:footnote>
  <w:footnote w:id="39">
    <w:p w14:paraId="30F371F1" w14:textId="77777777" w:rsidR="00E8791A" w:rsidRDefault="00E8791A">
      <w:pPr>
        <w:pStyle w:val="Textonotapie"/>
      </w:pPr>
      <w:r>
        <w:rPr>
          <w:rStyle w:val="Refdenotaalpie"/>
        </w:rPr>
        <w:footnoteRef/>
      </w:r>
      <w:r w:rsidRPr="00062C0F">
        <w:rPr>
          <w:rFonts w:cs="Times New Roman"/>
        </w:rPr>
        <w:t xml:space="preserve"> LÜDERSSEN</w:t>
      </w:r>
      <w:r>
        <w:rPr>
          <w:rFonts w:cs="Times New Roman"/>
        </w:rPr>
        <w:t>, 1984, p. 126.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50E58" w14:textId="77777777" w:rsidR="00E8791A" w:rsidRDefault="00E8791A">
    <w:pPr>
      <w:pStyle w:val="Encabezado"/>
    </w:pPr>
    <w:r>
      <w:rPr>
        <w:rFonts w:hint="eastAsia"/>
        <w:noProof/>
      </w:rPr>
      <w:drawing>
        <wp:anchor distT="0" distB="0" distL="114300" distR="114300" simplePos="0" relativeHeight="251654656" behindDoc="1" locked="0" layoutInCell="1" allowOverlap="1" wp14:anchorId="171F7EA8" wp14:editId="2E4AB126">
          <wp:simplePos x="0" y="0"/>
          <wp:positionH relativeFrom="column">
            <wp:posOffset>-1142365</wp:posOffset>
          </wp:positionH>
          <wp:positionV relativeFrom="paragraph">
            <wp:posOffset>-551815</wp:posOffset>
          </wp:positionV>
          <wp:extent cx="7555865" cy="11677015"/>
          <wp:effectExtent l="0" t="0" r="6985" b="635"/>
          <wp:wrapNone/>
          <wp:docPr id="4" name="Picture 1" descr="03_Page_5.375x8.375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03_Page_5.375x8.375副本"/>
                  <pic:cNvPicPr>
                    <a:picLocks noChangeAspect="1"/>
                  </pic:cNvPicPr>
                </pic:nvPicPr>
                <pic:blipFill>
                  <a:blip r:embed="rId1"/>
                  <a:stretch>
                    <a:fillRect/>
                  </a:stretch>
                </pic:blipFill>
                <pic:spPr>
                  <a:xfrm>
                    <a:off x="0" y="0"/>
                    <a:ext cx="7555865" cy="11677015"/>
                  </a:xfrm>
                  <a:prstGeom prst="rect">
                    <a:avLst/>
                  </a:prstGeom>
                  <a:noFill/>
                  <a:ln w="9525">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FCCF7" w14:textId="77777777" w:rsidR="00E8791A" w:rsidRDefault="00E8791A">
    <w:pPr>
      <w:pStyle w:val="Encabezado"/>
    </w:pPr>
    <w:r>
      <w:rPr>
        <w:rFonts w:hint="eastAsia"/>
        <w:noProof/>
      </w:rPr>
      <w:drawing>
        <wp:anchor distT="0" distB="0" distL="114300" distR="114300" simplePos="0" relativeHeight="251655680" behindDoc="0" locked="0" layoutInCell="1" allowOverlap="1" wp14:anchorId="393288EF" wp14:editId="62BC1A3B">
          <wp:simplePos x="0" y="0"/>
          <wp:positionH relativeFrom="column">
            <wp:posOffset>13572490</wp:posOffset>
          </wp:positionH>
          <wp:positionV relativeFrom="paragraph">
            <wp:posOffset>-1492885</wp:posOffset>
          </wp:positionV>
          <wp:extent cx="7650480" cy="11824335"/>
          <wp:effectExtent l="0" t="0" r="7620" b="5715"/>
          <wp:wrapNone/>
          <wp:docPr id="5" name="Picture 2" descr="01_Cover_5.375x8.375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01_Cover_5.375x8.375副本"/>
                  <pic:cNvPicPr>
                    <a:picLocks noChangeAspect="1"/>
                  </pic:cNvPicPr>
                </pic:nvPicPr>
                <pic:blipFill>
                  <a:blip r:embed="rId1"/>
                  <a:stretch>
                    <a:fillRect/>
                  </a:stretch>
                </pic:blipFill>
                <pic:spPr>
                  <a:xfrm>
                    <a:off x="0" y="0"/>
                    <a:ext cx="7650480" cy="11824335"/>
                  </a:xfrm>
                  <a:prstGeom prst="rect">
                    <a:avLst/>
                  </a:prstGeom>
                  <a:noFill/>
                  <a:ln w="9525">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55181"/>
    <w:multiLevelType w:val="hybridMultilevel"/>
    <w:tmpl w:val="AB7AD800"/>
    <w:lvl w:ilvl="0" w:tplc="93BAF3C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BC824EA"/>
    <w:multiLevelType w:val="hybridMultilevel"/>
    <w:tmpl w:val="963AC8C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504AF3"/>
    <w:multiLevelType w:val="hybridMultilevel"/>
    <w:tmpl w:val="215408C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CDB3965"/>
    <w:multiLevelType w:val="hybridMultilevel"/>
    <w:tmpl w:val="53A0A698"/>
    <w:lvl w:ilvl="0" w:tplc="C8062972">
      <w:start w:val="1"/>
      <w:numFmt w:val="lowerLetter"/>
      <w:lvlText w:val="%1."/>
      <w:lvlJc w:val="left"/>
      <w:pPr>
        <w:ind w:left="780" w:hanging="36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4" w15:restartNumberingAfterBreak="0">
    <w:nsid w:val="32DC4C5C"/>
    <w:multiLevelType w:val="hybridMultilevel"/>
    <w:tmpl w:val="FE5824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6AD44AF"/>
    <w:multiLevelType w:val="hybridMultilevel"/>
    <w:tmpl w:val="4B4E4A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BD87E69"/>
    <w:multiLevelType w:val="hybridMultilevel"/>
    <w:tmpl w:val="ABF442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2F97BA2"/>
    <w:multiLevelType w:val="hybridMultilevel"/>
    <w:tmpl w:val="52200226"/>
    <w:lvl w:ilvl="0" w:tplc="5844A49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E8D403A"/>
    <w:multiLevelType w:val="hybridMultilevel"/>
    <w:tmpl w:val="8544120C"/>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0CD1BBD"/>
    <w:multiLevelType w:val="hybridMultilevel"/>
    <w:tmpl w:val="6BA61D0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6CA4656"/>
    <w:multiLevelType w:val="multilevel"/>
    <w:tmpl w:val="57B326E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7B326ED"/>
    <w:multiLevelType w:val="multilevel"/>
    <w:tmpl w:val="57B326E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8A58B6F"/>
    <w:multiLevelType w:val="multilevel"/>
    <w:tmpl w:val="FC3AC340"/>
    <w:lvl w:ilvl="0">
      <w:start w:val="1"/>
      <w:numFmt w:val="decimal"/>
      <w:suff w:val="space"/>
      <w:lvlText w:val="%1."/>
      <w:lvlJc w:val="left"/>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8A58C71"/>
    <w:multiLevelType w:val="singleLevel"/>
    <w:tmpl w:val="58A58C71"/>
    <w:lvl w:ilvl="0">
      <w:start w:val="2"/>
      <w:numFmt w:val="decimal"/>
      <w:suff w:val="space"/>
      <w:lvlText w:val="%1."/>
      <w:lvlJc w:val="left"/>
    </w:lvl>
  </w:abstractNum>
  <w:abstractNum w:abstractNumId="14" w15:restartNumberingAfterBreak="0">
    <w:nsid w:val="58B52785"/>
    <w:multiLevelType w:val="singleLevel"/>
    <w:tmpl w:val="58B52785"/>
    <w:lvl w:ilvl="0">
      <w:start w:val="1"/>
      <w:numFmt w:val="decimal"/>
      <w:lvlText w:val="%1."/>
      <w:lvlJc w:val="left"/>
      <w:pPr>
        <w:ind w:left="425" w:hanging="425"/>
      </w:pPr>
      <w:rPr>
        <w:rFonts w:hint="default"/>
      </w:rPr>
    </w:lvl>
  </w:abstractNum>
  <w:abstractNum w:abstractNumId="15" w15:restartNumberingAfterBreak="0">
    <w:nsid w:val="58B52A87"/>
    <w:multiLevelType w:val="singleLevel"/>
    <w:tmpl w:val="58B52A87"/>
    <w:lvl w:ilvl="0">
      <w:start w:val="1"/>
      <w:numFmt w:val="bullet"/>
      <w:lvlText w:val=""/>
      <w:lvlJc w:val="left"/>
      <w:pPr>
        <w:ind w:left="420" w:hanging="420"/>
      </w:pPr>
      <w:rPr>
        <w:rFonts w:ascii="Wingdings" w:hAnsi="Wingdings" w:hint="default"/>
      </w:rPr>
    </w:lvl>
  </w:abstractNum>
  <w:abstractNum w:abstractNumId="16" w15:restartNumberingAfterBreak="0">
    <w:nsid w:val="58B52BD8"/>
    <w:multiLevelType w:val="singleLevel"/>
    <w:tmpl w:val="58B52BD8"/>
    <w:lvl w:ilvl="0">
      <w:start w:val="1"/>
      <w:numFmt w:val="upperRoman"/>
      <w:lvlText w:val="%1."/>
      <w:lvlJc w:val="left"/>
      <w:pPr>
        <w:ind w:left="425" w:hanging="425"/>
      </w:pPr>
      <w:rPr>
        <w:rFonts w:hint="default"/>
      </w:rPr>
    </w:lvl>
  </w:abstractNum>
  <w:abstractNum w:abstractNumId="17" w15:restartNumberingAfterBreak="0">
    <w:nsid w:val="59862C69"/>
    <w:multiLevelType w:val="hybridMultilevel"/>
    <w:tmpl w:val="F272C4B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5A8025F4"/>
    <w:multiLevelType w:val="singleLevel"/>
    <w:tmpl w:val="58A58B6F"/>
    <w:lvl w:ilvl="0">
      <w:start w:val="1"/>
      <w:numFmt w:val="decimal"/>
      <w:suff w:val="space"/>
      <w:lvlText w:val="%1."/>
      <w:lvlJc w:val="left"/>
    </w:lvl>
  </w:abstractNum>
  <w:abstractNum w:abstractNumId="19" w15:restartNumberingAfterBreak="0">
    <w:nsid w:val="5E9E2240"/>
    <w:multiLevelType w:val="hybridMultilevel"/>
    <w:tmpl w:val="444810CE"/>
    <w:lvl w:ilvl="0" w:tplc="58B52A87">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1B410D3"/>
    <w:multiLevelType w:val="singleLevel"/>
    <w:tmpl w:val="58A58B6F"/>
    <w:lvl w:ilvl="0">
      <w:start w:val="1"/>
      <w:numFmt w:val="decimal"/>
      <w:suff w:val="space"/>
      <w:lvlText w:val="%1."/>
      <w:lvlJc w:val="left"/>
    </w:lvl>
  </w:abstractNum>
  <w:abstractNum w:abstractNumId="21" w15:restartNumberingAfterBreak="0">
    <w:nsid w:val="67631282"/>
    <w:multiLevelType w:val="hybridMultilevel"/>
    <w:tmpl w:val="57D4F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ED657C5"/>
    <w:multiLevelType w:val="hybridMultilevel"/>
    <w:tmpl w:val="C0CA929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13D0894"/>
    <w:multiLevelType w:val="hybridMultilevel"/>
    <w:tmpl w:val="3AE02C0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17E399D"/>
    <w:multiLevelType w:val="hybridMultilevel"/>
    <w:tmpl w:val="EEE2F04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73321154"/>
    <w:multiLevelType w:val="hybridMultilevel"/>
    <w:tmpl w:val="120217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A7829C4"/>
    <w:multiLevelType w:val="hybridMultilevel"/>
    <w:tmpl w:val="01686F1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11"/>
  </w:num>
  <w:num w:numId="3">
    <w:abstractNumId w:val="13"/>
  </w:num>
  <w:num w:numId="4">
    <w:abstractNumId w:val="22"/>
  </w:num>
  <w:num w:numId="5">
    <w:abstractNumId w:val="8"/>
  </w:num>
  <w:num w:numId="6">
    <w:abstractNumId w:val="0"/>
  </w:num>
  <w:num w:numId="7">
    <w:abstractNumId w:val="7"/>
  </w:num>
  <w:num w:numId="8">
    <w:abstractNumId w:val="18"/>
  </w:num>
  <w:num w:numId="9">
    <w:abstractNumId w:val="20"/>
  </w:num>
  <w:num w:numId="10">
    <w:abstractNumId w:val="14"/>
  </w:num>
  <w:num w:numId="11">
    <w:abstractNumId w:val="15"/>
  </w:num>
  <w:num w:numId="12">
    <w:abstractNumId w:val="16"/>
  </w:num>
  <w:num w:numId="13">
    <w:abstractNumId w:val="25"/>
  </w:num>
  <w:num w:numId="14">
    <w:abstractNumId w:val="26"/>
  </w:num>
  <w:num w:numId="15">
    <w:abstractNumId w:val="21"/>
  </w:num>
  <w:num w:numId="16">
    <w:abstractNumId w:val="2"/>
  </w:num>
  <w:num w:numId="17">
    <w:abstractNumId w:val="19"/>
  </w:num>
  <w:num w:numId="18">
    <w:abstractNumId w:val="23"/>
  </w:num>
  <w:num w:numId="19">
    <w:abstractNumId w:val="1"/>
  </w:num>
  <w:num w:numId="20">
    <w:abstractNumId w:val="9"/>
  </w:num>
  <w:num w:numId="21">
    <w:abstractNumId w:val="5"/>
  </w:num>
  <w:num w:numId="22">
    <w:abstractNumId w:val="6"/>
  </w:num>
  <w:num w:numId="23">
    <w:abstractNumId w:val="10"/>
  </w:num>
  <w:num w:numId="24">
    <w:abstractNumId w:val="4"/>
  </w:num>
  <w:num w:numId="25">
    <w:abstractNumId w:val="24"/>
  </w:num>
  <w:num w:numId="26">
    <w:abstractNumId w:val="17"/>
  </w:num>
  <w:num w:numId="2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ranana">
    <w15:presenceInfo w15:providerId="None" w15:userId="fran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attachedTemplate r:id="rId1"/>
  <w:defaultTabStop w:val="420"/>
  <w:hyphenationZone w:val="425"/>
  <w:drawingGridHorizontalSpacing w:val="0"/>
  <w:drawingGridVerticalSpacing w:val="156"/>
  <w:noPunctuationKerning/>
  <w:characterSpacingControl w:val="compressPunctuation"/>
  <w:doNotValidateAgainstSchema/>
  <w:doNotDemarcateInvalidXml/>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2B181D"/>
    <w:rsid w:val="0001421B"/>
    <w:rsid w:val="00015ADC"/>
    <w:rsid w:val="0002576C"/>
    <w:rsid w:val="00052282"/>
    <w:rsid w:val="0005477B"/>
    <w:rsid w:val="00062C0F"/>
    <w:rsid w:val="000C698F"/>
    <w:rsid w:val="00110CC4"/>
    <w:rsid w:val="00112F76"/>
    <w:rsid w:val="00120555"/>
    <w:rsid w:val="00146F0F"/>
    <w:rsid w:val="00152D62"/>
    <w:rsid w:val="0018785B"/>
    <w:rsid w:val="00190EE0"/>
    <w:rsid w:val="001A53D4"/>
    <w:rsid w:val="001D0815"/>
    <w:rsid w:val="001D4A4C"/>
    <w:rsid w:val="001E1134"/>
    <w:rsid w:val="00213385"/>
    <w:rsid w:val="002306A6"/>
    <w:rsid w:val="002353B5"/>
    <w:rsid w:val="00241788"/>
    <w:rsid w:val="002552C2"/>
    <w:rsid w:val="00255F68"/>
    <w:rsid w:val="0027472B"/>
    <w:rsid w:val="002750B3"/>
    <w:rsid w:val="00284E9A"/>
    <w:rsid w:val="00291AEC"/>
    <w:rsid w:val="002A0474"/>
    <w:rsid w:val="002B0A3F"/>
    <w:rsid w:val="002B44CD"/>
    <w:rsid w:val="002C0FC3"/>
    <w:rsid w:val="002C563D"/>
    <w:rsid w:val="002D5401"/>
    <w:rsid w:val="002F5FF2"/>
    <w:rsid w:val="00313795"/>
    <w:rsid w:val="00325FB6"/>
    <w:rsid w:val="00331C44"/>
    <w:rsid w:val="003349F9"/>
    <w:rsid w:val="0033767D"/>
    <w:rsid w:val="00341B62"/>
    <w:rsid w:val="00343946"/>
    <w:rsid w:val="00344640"/>
    <w:rsid w:val="00364118"/>
    <w:rsid w:val="003752BB"/>
    <w:rsid w:val="00391D5F"/>
    <w:rsid w:val="00395791"/>
    <w:rsid w:val="003C2FF4"/>
    <w:rsid w:val="003C6194"/>
    <w:rsid w:val="003E72D4"/>
    <w:rsid w:val="003F1CF3"/>
    <w:rsid w:val="0040755C"/>
    <w:rsid w:val="00410457"/>
    <w:rsid w:val="00412821"/>
    <w:rsid w:val="00412A0B"/>
    <w:rsid w:val="00413130"/>
    <w:rsid w:val="00446ACF"/>
    <w:rsid w:val="00456486"/>
    <w:rsid w:val="00460678"/>
    <w:rsid w:val="00474AA3"/>
    <w:rsid w:val="00475C2E"/>
    <w:rsid w:val="004863B0"/>
    <w:rsid w:val="0049333C"/>
    <w:rsid w:val="004A4F03"/>
    <w:rsid w:val="004A5170"/>
    <w:rsid w:val="004A7E16"/>
    <w:rsid w:val="004B1671"/>
    <w:rsid w:val="004B6B97"/>
    <w:rsid w:val="004D24A7"/>
    <w:rsid w:val="004E55C0"/>
    <w:rsid w:val="004F162C"/>
    <w:rsid w:val="005024D7"/>
    <w:rsid w:val="005341F6"/>
    <w:rsid w:val="005378BD"/>
    <w:rsid w:val="005521AB"/>
    <w:rsid w:val="00553C3D"/>
    <w:rsid w:val="00554C48"/>
    <w:rsid w:val="00574F7A"/>
    <w:rsid w:val="00593649"/>
    <w:rsid w:val="005A7294"/>
    <w:rsid w:val="005C759F"/>
    <w:rsid w:val="005D161B"/>
    <w:rsid w:val="005D4C24"/>
    <w:rsid w:val="006033A7"/>
    <w:rsid w:val="00640D5C"/>
    <w:rsid w:val="0064152A"/>
    <w:rsid w:val="00641D40"/>
    <w:rsid w:val="006435B8"/>
    <w:rsid w:val="00676BB2"/>
    <w:rsid w:val="0068214F"/>
    <w:rsid w:val="00683F05"/>
    <w:rsid w:val="00690FA1"/>
    <w:rsid w:val="006A004D"/>
    <w:rsid w:val="006B54D6"/>
    <w:rsid w:val="006B5F0E"/>
    <w:rsid w:val="006B630B"/>
    <w:rsid w:val="006B66C2"/>
    <w:rsid w:val="006B71CF"/>
    <w:rsid w:val="006C265D"/>
    <w:rsid w:val="006C57EC"/>
    <w:rsid w:val="006D46FF"/>
    <w:rsid w:val="006E179D"/>
    <w:rsid w:val="006E4868"/>
    <w:rsid w:val="006E5CC7"/>
    <w:rsid w:val="0070352B"/>
    <w:rsid w:val="0070623E"/>
    <w:rsid w:val="00717E19"/>
    <w:rsid w:val="007237D6"/>
    <w:rsid w:val="00745670"/>
    <w:rsid w:val="00750185"/>
    <w:rsid w:val="007617C7"/>
    <w:rsid w:val="007733C0"/>
    <w:rsid w:val="007758E7"/>
    <w:rsid w:val="00777F6F"/>
    <w:rsid w:val="007830EF"/>
    <w:rsid w:val="007838C0"/>
    <w:rsid w:val="0078763B"/>
    <w:rsid w:val="0079557C"/>
    <w:rsid w:val="007C0647"/>
    <w:rsid w:val="007C3FA8"/>
    <w:rsid w:val="007D00DF"/>
    <w:rsid w:val="00803A56"/>
    <w:rsid w:val="00805A12"/>
    <w:rsid w:val="00813B58"/>
    <w:rsid w:val="008858E2"/>
    <w:rsid w:val="008976B5"/>
    <w:rsid w:val="008A2417"/>
    <w:rsid w:val="008D0A1B"/>
    <w:rsid w:val="008D398D"/>
    <w:rsid w:val="008E31CE"/>
    <w:rsid w:val="00921E17"/>
    <w:rsid w:val="009412BD"/>
    <w:rsid w:val="00944D5A"/>
    <w:rsid w:val="009535EF"/>
    <w:rsid w:val="00957DB1"/>
    <w:rsid w:val="00970124"/>
    <w:rsid w:val="0097644F"/>
    <w:rsid w:val="009934D2"/>
    <w:rsid w:val="00995D0F"/>
    <w:rsid w:val="009A5556"/>
    <w:rsid w:val="009B06FC"/>
    <w:rsid w:val="009B2C8A"/>
    <w:rsid w:val="009B42B3"/>
    <w:rsid w:val="009C527B"/>
    <w:rsid w:val="009D23CA"/>
    <w:rsid w:val="009E73CF"/>
    <w:rsid w:val="009F1A7B"/>
    <w:rsid w:val="009F1E49"/>
    <w:rsid w:val="009F22B0"/>
    <w:rsid w:val="009F5BE4"/>
    <w:rsid w:val="00A13B49"/>
    <w:rsid w:val="00A2675C"/>
    <w:rsid w:val="00A31130"/>
    <w:rsid w:val="00A32EE8"/>
    <w:rsid w:val="00A37B1E"/>
    <w:rsid w:val="00A4235B"/>
    <w:rsid w:val="00A47F7F"/>
    <w:rsid w:val="00A50903"/>
    <w:rsid w:val="00A576BD"/>
    <w:rsid w:val="00A6023D"/>
    <w:rsid w:val="00A67093"/>
    <w:rsid w:val="00A74455"/>
    <w:rsid w:val="00AA452F"/>
    <w:rsid w:val="00AA5776"/>
    <w:rsid w:val="00AA7593"/>
    <w:rsid w:val="00AA7E30"/>
    <w:rsid w:val="00AB0355"/>
    <w:rsid w:val="00AB06E4"/>
    <w:rsid w:val="00AB31E1"/>
    <w:rsid w:val="00AC58CB"/>
    <w:rsid w:val="00AD69FF"/>
    <w:rsid w:val="00AE7547"/>
    <w:rsid w:val="00B136F5"/>
    <w:rsid w:val="00B515CE"/>
    <w:rsid w:val="00B57D20"/>
    <w:rsid w:val="00B6465E"/>
    <w:rsid w:val="00B76674"/>
    <w:rsid w:val="00B936AF"/>
    <w:rsid w:val="00BA44C8"/>
    <w:rsid w:val="00BB36E7"/>
    <w:rsid w:val="00BB7E70"/>
    <w:rsid w:val="00BC5B89"/>
    <w:rsid w:val="00BD2D28"/>
    <w:rsid w:val="00BE37BC"/>
    <w:rsid w:val="00C16C67"/>
    <w:rsid w:val="00C16DD1"/>
    <w:rsid w:val="00C40E76"/>
    <w:rsid w:val="00C573DA"/>
    <w:rsid w:val="00C619CD"/>
    <w:rsid w:val="00C624D0"/>
    <w:rsid w:val="00C75199"/>
    <w:rsid w:val="00C94544"/>
    <w:rsid w:val="00CB597A"/>
    <w:rsid w:val="00CC467A"/>
    <w:rsid w:val="00CC4FAB"/>
    <w:rsid w:val="00CC760F"/>
    <w:rsid w:val="00CD6E41"/>
    <w:rsid w:val="00CE7B54"/>
    <w:rsid w:val="00CE7E97"/>
    <w:rsid w:val="00D045E2"/>
    <w:rsid w:val="00D52089"/>
    <w:rsid w:val="00D72E87"/>
    <w:rsid w:val="00D863FB"/>
    <w:rsid w:val="00D9068A"/>
    <w:rsid w:val="00D97008"/>
    <w:rsid w:val="00DB444F"/>
    <w:rsid w:val="00DF0638"/>
    <w:rsid w:val="00DF4199"/>
    <w:rsid w:val="00E20B7C"/>
    <w:rsid w:val="00E2421B"/>
    <w:rsid w:val="00E40F4E"/>
    <w:rsid w:val="00E4641C"/>
    <w:rsid w:val="00E47C46"/>
    <w:rsid w:val="00E5504B"/>
    <w:rsid w:val="00E70D76"/>
    <w:rsid w:val="00E769B2"/>
    <w:rsid w:val="00E85831"/>
    <w:rsid w:val="00E8791A"/>
    <w:rsid w:val="00E9133A"/>
    <w:rsid w:val="00EA2C55"/>
    <w:rsid w:val="00EB423F"/>
    <w:rsid w:val="00EC6911"/>
    <w:rsid w:val="00ED1BDB"/>
    <w:rsid w:val="00EE0FEC"/>
    <w:rsid w:val="00F153FD"/>
    <w:rsid w:val="00F278C3"/>
    <w:rsid w:val="00F43AFF"/>
    <w:rsid w:val="00F50B1A"/>
    <w:rsid w:val="00F51772"/>
    <w:rsid w:val="00F51C62"/>
    <w:rsid w:val="00F538F0"/>
    <w:rsid w:val="00F55B5F"/>
    <w:rsid w:val="00F67A4D"/>
    <w:rsid w:val="00F7515B"/>
    <w:rsid w:val="00F811A5"/>
    <w:rsid w:val="00FB2022"/>
    <w:rsid w:val="00FB42A9"/>
    <w:rsid w:val="00FC2CEF"/>
    <w:rsid w:val="00FE0CF6"/>
    <w:rsid w:val="00FE28D4"/>
    <w:rsid w:val="03077235"/>
    <w:rsid w:val="033D104C"/>
    <w:rsid w:val="091C24F4"/>
    <w:rsid w:val="0EF70426"/>
    <w:rsid w:val="204E646E"/>
    <w:rsid w:val="20A31FC5"/>
    <w:rsid w:val="246D4585"/>
    <w:rsid w:val="2B0E2438"/>
    <w:rsid w:val="34210FC5"/>
    <w:rsid w:val="3DE13017"/>
    <w:rsid w:val="40EE5F9F"/>
    <w:rsid w:val="433A76E1"/>
    <w:rsid w:val="497C5C09"/>
    <w:rsid w:val="4BA3313C"/>
    <w:rsid w:val="51582561"/>
    <w:rsid w:val="5B2B181D"/>
    <w:rsid w:val="612B2CC6"/>
    <w:rsid w:val="61E3645B"/>
    <w:rsid w:val="62E73B11"/>
    <w:rsid w:val="62ED670E"/>
    <w:rsid w:val="66E06F8B"/>
    <w:rsid w:val="6B3D0234"/>
    <w:rsid w:val="71184DE7"/>
    <w:rsid w:val="745D5595"/>
    <w:rsid w:val="78AF6BFF"/>
    <w:rsid w:val="7E6972BB"/>
    <w:rsid w:val="7F0D03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44A32925"/>
  <w15:docId w15:val="{09A41F53-F8FE-4CFD-AE38-EEC10026A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s-ES" w:eastAsia="es-ES" w:bidi="ar-SA"/>
      </w:rPr>
    </w:rPrDefault>
    <w:pPrDefault>
      <w:pPr>
        <w:spacing w:after="160" w:line="300" w:lineRule="auto"/>
      </w:pPr>
    </w:pPrDefault>
  </w:docDefaults>
  <w:latentStyles w:defLockedState="0" w:defUIPriority="0" w:defSemiHidden="0" w:defUnhideWhenUsed="0" w:defQFormat="0" w:count="374">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6A004D"/>
  </w:style>
  <w:style w:type="paragraph" w:styleId="Ttulo1">
    <w:name w:val="heading 1"/>
    <w:basedOn w:val="Normal"/>
    <w:next w:val="Normal"/>
    <w:link w:val="Ttulo1Car"/>
    <w:uiPriority w:val="9"/>
    <w:qFormat/>
    <w:rsid w:val="006A004D"/>
    <w:pPr>
      <w:keepNext/>
      <w:keepLines/>
      <w:spacing w:before="320" w:after="80" w:line="240" w:lineRule="auto"/>
      <w:jc w:val="center"/>
      <w:outlineLvl w:val="0"/>
    </w:pPr>
    <w:rPr>
      <w:rFonts w:asciiTheme="majorHAnsi" w:eastAsiaTheme="majorEastAsia" w:hAnsiTheme="majorHAnsi" w:cstheme="majorBidi"/>
      <w:color w:val="E80061" w:themeColor="accent1" w:themeShade="BF"/>
      <w:sz w:val="40"/>
      <w:szCs w:val="40"/>
    </w:rPr>
  </w:style>
  <w:style w:type="paragraph" w:styleId="Ttulo2">
    <w:name w:val="heading 2"/>
    <w:basedOn w:val="Normal"/>
    <w:next w:val="Normal"/>
    <w:link w:val="Ttulo2Car"/>
    <w:uiPriority w:val="9"/>
    <w:semiHidden/>
    <w:unhideWhenUsed/>
    <w:qFormat/>
    <w:rsid w:val="006A004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tulo3">
    <w:name w:val="heading 3"/>
    <w:basedOn w:val="Normal"/>
    <w:next w:val="Normal"/>
    <w:link w:val="Ttulo3Car"/>
    <w:uiPriority w:val="9"/>
    <w:unhideWhenUsed/>
    <w:qFormat/>
    <w:rsid w:val="006A004D"/>
    <w:pPr>
      <w:keepNext/>
      <w:keepLines/>
      <w:spacing w:before="160" w:after="0" w:line="240" w:lineRule="auto"/>
      <w:outlineLvl w:val="2"/>
    </w:pPr>
    <w:rPr>
      <w:rFonts w:asciiTheme="majorHAnsi" w:eastAsiaTheme="majorEastAsia" w:hAnsiTheme="majorHAnsi" w:cstheme="majorBidi"/>
      <w:sz w:val="32"/>
      <w:szCs w:val="32"/>
    </w:rPr>
  </w:style>
  <w:style w:type="paragraph" w:styleId="Ttulo4">
    <w:name w:val="heading 4"/>
    <w:basedOn w:val="Normal"/>
    <w:next w:val="Normal"/>
    <w:link w:val="Ttulo4Car"/>
    <w:uiPriority w:val="9"/>
    <w:semiHidden/>
    <w:unhideWhenUsed/>
    <w:qFormat/>
    <w:rsid w:val="006A004D"/>
    <w:pPr>
      <w:keepNext/>
      <w:keepLines/>
      <w:spacing w:before="80" w:after="0"/>
      <w:outlineLvl w:val="3"/>
    </w:pPr>
    <w:rPr>
      <w:rFonts w:asciiTheme="majorHAnsi" w:eastAsiaTheme="majorEastAsia" w:hAnsiTheme="majorHAnsi" w:cstheme="majorBidi"/>
      <w:i/>
      <w:iCs/>
      <w:sz w:val="30"/>
      <w:szCs w:val="30"/>
    </w:rPr>
  </w:style>
  <w:style w:type="paragraph" w:styleId="Ttulo5">
    <w:name w:val="heading 5"/>
    <w:basedOn w:val="Normal"/>
    <w:next w:val="Normal"/>
    <w:link w:val="Ttulo5Car"/>
    <w:uiPriority w:val="9"/>
    <w:semiHidden/>
    <w:unhideWhenUsed/>
    <w:qFormat/>
    <w:rsid w:val="006A004D"/>
    <w:pPr>
      <w:keepNext/>
      <w:keepLines/>
      <w:spacing w:before="40" w:after="0"/>
      <w:outlineLvl w:val="4"/>
    </w:pPr>
    <w:rPr>
      <w:rFonts w:asciiTheme="majorHAnsi" w:eastAsiaTheme="majorEastAsia" w:hAnsiTheme="majorHAnsi" w:cstheme="majorBidi"/>
      <w:sz w:val="28"/>
      <w:szCs w:val="28"/>
    </w:rPr>
  </w:style>
  <w:style w:type="paragraph" w:styleId="Ttulo6">
    <w:name w:val="heading 6"/>
    <w:basedOn w:val="Normal"/>
    <w:next w:val="Normal"/>
    <w:link w:val="Ttulo6Car"/>
    <w:uiPriority w:val="9"/>
    <w:semiHidden/>
    <w:unhideWhenUsed/>
    <w:qFormat/>
    <w:rsid w:val="006A004D"/>
    <w:pPr>
      <w:keepNext/>
      <w:keepLines/>
      <w:spacing w:before="40" w:after="0"/>
      <w:outlineLvl w:val="5"/>
    </w:pPr>
    <w:rPr>
      <w:rFonts w:asciiTheme="majorHAnsi" w:eastAsiaTheme="majorEastAsia" w:hAnsiTheme="majorHAnsi" w:cstheme="majorBidi"/>
      <w:i/>
      <w:iCs/>
      <w:sz w:val="26"/>
      <w:szCs w:val="26"/>
    </w:rPr>
  </w:style>
  <w:style w:type="paragraph" w:styleId="Ttulo7">
    <w:name w:val="heading 7"/>
    <w:basedOn w:val="Normal"/>
    <w:next w:val="Normal"/>
    <w:link w:val="Ttulo7Car"/>
    <w:uiPriority w:val="9"/>
    <w:semiHidden/>
    <w:unhideWhenUsed/>
    <w:qFormat/>
    <w:rsid w:val="006A004D"/>
    <w:pPr>
      <w:keepNext/>
      <w:keepLines/>
      <w:spacing w:before="40" w:after="0"/>
      <w:outlineLvl w:val="6"/>
    </w:pPr>
    <w:rPr>
      <w:rFonts w:asciiTheme="majorHAnsi" w:eastAsiaTheme="majorEastAsia" w:hAnsiTheme="majorHAnsi" w:cstheme="majorBidi"/>
      <w:sz w:val="24"/>
      <w:szCs w:val="24"/>
    </w:rPr>
  </w:style>
  <w:style w:type="paragraph" w:styleId="Ttulo8">
    <w:name w:val="heading 8"/>
    <w:basedOn w:val="Normal"/>
    <w:next w:val="Normal"/>
    <w:link w:val="Ttulo8Car"/>
    <w:uiPriority w:val="9"/>
    <w:semiHidden/>
    <w:unhideWhenUsed/>
    <w:qFormat/>
    <w:rsid w:val="006A004D"/>
    <w:pPr>
      <w:keepNext/>
      <w:keepLines/>
      <w:spacing w:before="40" w:after="0"/>
      <w:outlineLvl w:val="7"/>
    </w:pPr>
    <w:rPr>
      <w:rFonts w:asciiTheme="majorHAnsi" w:eastAsiaTheme="majorEastAsia" w:hAnsiTheme="majorHAnsi" w:cstheme="majorBidi"/>
      <w:i/>
      <w:iCs/>
      <w:sz w:val="22"/>
      <w:szCs w:val="22"/>
    </w:rPr>
  </w:style>
  <w:style w:type="paragraph" w:styleId="Ttulo9">
    <w:name w:val="heading 9"/>
    <w:basedOn w:val="Normal"/>
    <w:next w:val="Normal"/>
    <w:link w:val="Ttulo9Car"/>
    <w:uiPriority w:val="9"/>
    <w:semiHidden/>
    <w:unhideWhenUsed/>
    <w:qFormat/>
    <w:rsid w:val="006A004D"/>
    <w:pPr>
      <w:keepNext/>
      <w:keepLines/>
      <w:spacing w:before="40" w:after="0"/>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pPr>
      <w:tabs>
        <w:tab w:val="center" w:pos="4153"/>
        <w:tab w:val="right" w:pos="8306"/>
      </w:tabs>
      <w:snapToGrid w:val="0"/>
    </w:pPr>
    <w:rPr>
      <w:sz w:val="18"/>
    </w:rPr>
  </w:style>
  <w:style w:type="paragraph" w:styleId="Encabezado">
    <w:name w:val="header"/>
    <w:basedOn w:val="Normal"/>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jc w:val="both"/>
    </w:pPr>
    <w:rPr>
      <w:rFonts w:ascii="Times New Roman" w:hAnsi="Times New Roman"/>
      <w:sz w:val="18"/>
    </w:rPr>
  </w:style>
  <w:style w:type="paragraph" w:styleId="NormalWeb">
    <w:name w:val="Normal (Web)"/>
    <w:pPr>
      <w:spacing w:beforeAutospacing="1" w:after="0" w:afterAutospacing="1"/>
    </w:pPr>
    <w:rPr>
      <w:rFonts w:cs="Times New Roman"/>
      <w:sz w:val="24"/>
      <w:szCs w:val="24"/>
      <w:lang w:val="en-US" w:eastAsia="zh-CN"/>
    </w:rPr>
  </w:style>
  <w:style w:type="paragraph" w:styleId="TDC1">
    <w:name w:val="toc 1"/>
    <w:basedOn w:val="Normal"/>
    <w:next w:val="Normal"/>
    <w:uiPriority w:val="39"/>
  </w:style>
  <w:style w:type="character" w:styleId="CitaHTML">
    <w:name w:val="HTML Cite"/>
    <w:basedOn w:val="Fuentedeprrafopredeter"/>
    <w:rPr>
      <w:i/>
      <w:iCs/>
    </w:rPr>
  </w:style>
  <w:style w:type="character" w:styleId="Hipervnculo">
    <w:name w:val="Hyperlink"/>
    <w:basedOn w:val="Fuentedeprrafopredeter"/>
    <w:rPr>
      <w:color w:val="0000FF"/>
      <w:u w:val="single"/>
    </w:rPr>
  </w:style>
  <w:style w:type="character" w:styleId="Nmerodepgina">
    <w:name w:val="page number"/>
    <w:basedOn w:val="Fuentedeprrafopredeter"/>
  </w:style>
  <w:style w:type="paragraph" w:customStyle="1" w:styleId="Prrafodelista1">
    <w:name w:val="Párrafo de lista1"/>
    <w:basedOn w:val="Normal"/>
    <w:uiPriority w:val="34"/>
    <w:pPr>
      <w:ind w:left="720"/>
      <w:contextualSpacing/>
    </w:pPr>
  </w:style>
  <w:style w:type="paragraph" w:styleId="Prrafodelista">
    <w:name w:val="List Paragraph"/>
    <w:basedOn w:val="Normal"/>
    <w:uiPriority w:val="34"/>
    <w:qFormat/>
    <w:rsid w:val="002C0FC3"/>
    <w:pPr>
      <w:ind w:left="720"/>
      <w:contextualSpacing/>
    </w:pPr>
  </w:style>
  <w:style w:type="character" w:customStyle="1" w:styleId="Ttulo1Car">
    <w:name w:val="Título 1 Car"/>
    <w:basedOn w:val="Fuentedeprrafopredeter"/>
    <w:link w:val="Ttulo1"/>
    <w:uiPriority w:val="9"/>
    <w:rsid w:val="006A004D"/>
    <w:rPr>
      <w:rFonts w:asciiTheme="majorHAnsi" w:eastAsiaTheme="majorEastAsia" w:hAnsiTheme="majorHAnsi" w:cstheme="majorBidi"/>
      <w:color w:val="E80061" w:themeColor="accent1" w:themeShade="BF"/>
      <w:sz w:val="40"/>
      <w:szCs w:val="40"/>
    </w:rPr>
  </w:style>
  <w:style w:type="paragraph" w:styleId="TtuloTDC">
    <w:name w:val="TOC Heading"/>
    <w:basedOn w:val="Ttulo1"/>
    <w:next w:val="Normal"/>
    <w:uiPriority w:val="39"/>
    <w:unhideWhenUsed/>
    <w:qFormat/>
    <w:rsid w:val="006A004D"/>
    <w:pPr>
      <w:outlineLvl w:val="9"/>
    </w:pPr>
  </w:style>
  <w:style w:type="paragraph" w:styleId="TDC2">
    <w:name w:val="toc 2"/>
    <w:basedOn w:val="Normal"/>
    <w:next w:val="Normal"/>
    <w:autoRedefine/>
    <w:uiPriority w:val="39"/>
    <w:unhideWhenUsed/>
    <w:rsid w:val="004B1671"/>
    <w:pPr>
      <w:spacing w:after="100"/>
    </w:pPr>
    <w:rPr>
      <w:sz w:val="22"/>
      <w:szCs w:val="22"/>
    </w:rPr>
  </w:style>
  <w:style w:type="paragraph" w:styleId="TDC3">
    <w:name w:val="toc 3"/>
    <w:basedOn w:val="Normal"/>
    <w:next w:val="Normal"/>
    <w:autoRedefine/>
    <w:uiPriority w:val="39"/>
    <w:unhideWhenUsed/>
    <w:rsid w:val="00C619CD"/>
    <w:pPr>
      <w:spacing w:after="100"/>
      <w:ind w:left="440"/>
    </w:pPr>
    <w:rPr>
      <w:sz w:val="22"/>
      <w:szCs w:val="22"/>
    </w:rPr>
  </w:style>
  <w:style w:type="character" w:customStyle="1" w:styleId="Ttulo2Car">
    <w:name w:val="Título 2 Car"/>
    <w:basedOn w:val="Fuentedeprrafopredeter"/>
    <w:link w:val="Ttulo2"/>
    <w:uiPriority w:val="9"/>
    <w:semiHidden/>
    <w:rsid w:val="006A004D"/>
    <w:rPr>
      <w:rFonts w:asciiTheme="majorHAnsi" w:eastAsiaTheme="majorEastAsia" w:hAnsiTheme="majorHAnsi" w:cstheme="majorBidi"/>
      <w:sz w:val="32"/>
      <w:szCs w:val="32"/>
    </w:rPr>
  </w:style>
  <w:style w:type="character" w:customStyle="1" w:styleId="Ttulo3Car">
    <w:name w:val="Título 3 Car"/>
    <w:basedOn w:val="Fuentedeprrafopredeter"/>
    <w:link w:val="Ttulo3"/>
    <w:uiPriority w:val="9"/>
    <w:rsid w:val="006A004D"/>
    <w:rPr>
      <w:rFonts w:asciiTheme="majorHAnsi" w:eastAsiaTheme="majorEastAsia" w:hAnsiTheme="majorHAnsi" w:cstheme="majorBidi"/>
      <w:sz w:val="32"/>
      <w:szCs w:val="32"/>
    </w:rPr>
  </w:style>
  <w:style w:type="character" w:customStyle="1" w:styleId="Ttulo4Car">
    <w:name w:val="Título 4 Car"/>
    <w:basedOn w:val="Fuentedeprrafopredeter"/>
    <w:link w:val="Ttulo4"/>
    <w:uiPriority w:val="9"/>
    <w:semiHidden/>
    <w:rsid w:val="006A004D"/>
    <w:rPr>
      <w:rFonts w:asciiTheme="majorHAnsi" w:eastAsiaTheme="majorEastAsia" w:hAnsiTheme="majorHAnsi" w:cstheme="majorBidi"/>
      <w:i/>
      <w:iCs/>
      <w:sz w:val="30"/>
      <w:szCs w:val="30"/>
    </w:rPr>
  </w:style>
  <w:style w:type="character" w:customStyle="1" w:styleId="Ttulo5Car">
    <w:name w:val="Título 5 Car"/>
    <w:basedOn w:val="Fuentedeprrafopredeter"/>
    <w:link w:val="Ttulo5"/>
    <w:uiPriority w:val="9"/>
    <w:semiHidden/>
    <w:rsid w:val="006A004D"/>
    <w:rPr>
      <w:rFonts w:asciiTheme="majorHAnsi" w:eastAsiaTheme="majorEastAsia" w:hAnsiTheme="majorHAnsi" w:cstheme="majorBidi"/>
      <w:sz w:val="28"/>
      <w:szCs w:val="28"/>
    </w:rPr>
  </w:style>
  <w:style w:type="character" w:customStyle="1" w:styleId="Ttulo6Car">
    <w:name w:val="Título 6 Car"/>
    <w:basedOn w:val="Fuentedeprrafopredeter"/>
    <w:link w:val="Ttulo6"/>
    <w:uiPriority w:val="9"/>
    <w:semiHidden/>
    <w:rsid w:val="006A004D"/>
    <w:rPr>
      <w:rFonts w:asciiTheme="majorHAnsi" w:eastAsiaTheme="majorEastAsia" w:hAnsiTheme="majorHAnsi" w:cstheme="majorBidi"/>
      <w:i/>
      <w:iCs/>
      <w:sz w:val="26"/>
      <w:szCs w:val="26"/>
    </w:rPr>
  </w:style>
  <w:style w:type="character" w:customStyle="1" w:styleId="Ttulo7Car">
    <w:name w:val="Título 7 Car"/>
    <w:basedOn w:val="Fuentedeprrafopredeter"/>
    <w:link w:val="Ttulo7"/>
    <w:uiPriority w:val="9"/>
    <w:semiHidden/>
    <w:rsid w:val="006A004D"/>
    <w:rPr>
      <w:rFonts w:asciiTheme="majorHAnsi" w:eastAsiaTheme="majorEastAsia" w:hAnsiTheme="majorHAnsi" w:cstheme="majorBidi"/>
      <w:sz w:val="24"/>
      <w:szCs w:val="24"/>
    </w:rPr>
  </w:style>
  <w:style w:type="character" w:customStyle="1" w:styleId="Ttulo8Car">
    <w:name w:val="Título 8 Car"/>
    <w:basedOn w:val="Fuentedeprrafopredeter"/>
    <w:link w:val="Ttulo8"/>
    <w:uiPriority w:val="9"/>
    <w:semiHidden/>
    <w:rsid w:val="006A004D"/>
    <w:rPr>
      <w:rFonts w:asciiTheme="majorHAnsi" w:eastAsiaTheme="majorEastAsia" w:hAnsiTheme="majorHAnsi" w:cstheme="majorBidi"/>
      <w:i/>
      <w:iCs/>
      <w:sz w:val="22"/>
      <w:szCs w:val="22"/>
    </w:rPr>
  </w:style>
  <w:style w:type="character" w:customStyle="1" w:styleId="Ttulo9Car">
    <w:name w:val="Título 9 Car"/>
    <w:basedOn w:val="Fuentedeprrafopredeter"/>
    <w:link w:val="Ttulo9"/>
    <w:uiPriority w:val="9"/>
    <w:semiHidden/>
    <w:rsid w:val="006A004D"/>
    <w:rPr>
      <w:b/>
      <w:bCs/>
      <w:i/>
      <w:iCs/>
    </w:rPr>
  </w:style>
  <w:style w:type="paragraph" w:styleId="Descripcin">
    <w:name w:val="caption"/>
    <w:basedOn w:val="Normal"/>
    <w:next w:val="Normal"/>
    <w:uiPriority w:val="35"/>
    <w:semiHidden/>
    <w:unhideWhenUsed/>
    <w:qFormat/>
    <w:rsid w:val="006A004D"/>
    <w:pPr>
      <w:spacing w:line="240" w:lineRule="auto"/>
    </w:pPr>
    <w:rPr>
      <w:b/>
      <w:bCs/>
      <w:color w:val="404040" w:themeColor="text1" w:themeTint="BF"/>
      <w:sz w:val="16"/>
      <w:szCs w:val="16"/>
    </w:rPr>
  </w:style>
  <w:style w:type="paragraph" w:styleId="Ttulo">
    <w:name w:val="Title"/>
    <w:basedOn w:val="Normal"/>
    <w:next w:val="Normal"/>
    <w:link w:val="TtuloCar"/>
    <w:uiPriority w:val="10"/>
    <w:qFormat/>
    <w:rsid w:val="006A004D"/>
    <w:pPr>
      <w:pBdr>
        <w:top w:val="single" w:sz="6" w:space="8" w:color="9C007F" w:themeColor="accent3"/>
        <w:bottom w:val="single" w:sz="6" w:space="8" w:color="9C007F" w:themeColor="accent3"/>
      </w:pBdr>
      <w:spacing w:after="400" w:line="240" w:lineRule="auto"/>
      <w:contextualSpacing/>
      <w:jc w:val="center"/>
    </w:pPr>
    <w:rPr>
      <w:rFonts w:asciiTheme="majorHAnsi" w:eastAsiaTheme="majorEastAsia" w:hAnsiTheme="majorHAnsi" w:cstheme="majorBidi"/>
      <w:caps/>
      <w:color w:val="666666" w:themeColor="text2"/>
      <w:spacing w:val="30"/>
      <w:sz w:val="72"/>
      <w:szCs w:val="72"/>
    </w:rPr>
  </w:style>
  <w:style w:type="character" w:customStyle="1" w:styleId="TtuloCar">
    <w:name w:val="Título Car"/>
    <w:basedOn w:val="Fuentedeprrafopredeter"/>
    <w:link w:val="Ttulo"/>
    <w:uiPriority w:val="10"/>
    <w:rsid w:val="006A004D"/>
    <w:rPr>
      <w:rFonts w:asciiTheme="majorHAnsi" w:eastAsiaTheme="majorEastAsia" w:hAnsiTheme="majorHAnsi" w:cstheme="majorBidi"/>
      <w:caps/>
      <w:color w:val="666666" w:themeColor="text2"/>
      <w:spacing w:val="30"/>
      <w:sz w:val="72"/>
      <w:szCs w:val="72"/>
    </w:rPr>
  </w:style>
  <w:style w:type="paragraph" w:styleId="Subttulo">
    <w:name w:val="Subtitle"/>
    <w:basedOn w:val="Normal"/>
    <w:next w:val="Normal"/>
    <w:link w:val="SubttuloCar"/>
    <w:uiPriority w:val="11"/>
    <w:qFormat/>
    <w:rsid w:val="006A004D"/>
    <w:pPr>
      <w:numPr>
        <w:ilvl w:val="1"/>
      </w:numPr>
      <w:jc w:val="center"/>
    </w:pPr>
    <w:rPr>
      <w:color w:val="666666" w:themeColor="text2"/>
      <w:sz w:val="28"/>
      <w:szCs w:val="28"/>
    </w:rPr>
  </w:style>
  <w:style w:type="character" w:customStyle="1" w:styleId="SubttuloCar">
    <w:name w:val="Subtítulo Car"/>
    <w:basedOn w:val="Fuentedeprrafopredeter"/>
    <w:link w:val="Subttulo"/>
    <w:uiPriority w:val="11"/>
    <w:rsid w:val="006A004D"/>
    <w:rPr>
      <w:color w:val="666666" w:themeColor="text2"/>
      <w:sz w:val="28"/>
      <w:szCs w:val="28"/>
    </w:rPr>
  </w:style>
  <w:style w:type="character" w:styleId="Textoennegrita">
    <w:name w:val="Strong"/>
    <w:basedOn w:val="Fuentedeprrafopredeter"/>
    <w:uiPriority w:val="22"/>
    <w:qFormat/>
    <w:rsid w:val="006A004D"/>
    <w:rPr>
      <w:b/>
      <w:bCs/>
    </w:rPr>
  </w:style>
  <w:style w:type="character" w:styleId="nfasis">
    <w:name w:val="Emphasis"/>
    <w:basedOn w:val="Fuentedeprrafopredeter"/>
    <w:uiPriority w:val="20"/>
    <w:qFormat/>
    <w:rsid w:val="006A004D"/>
    <w:rPr>
      <w:i/>
      <w:iCs/>
      <w:color w:val="000000" w:themeColor="text1"/>
    </w:rPr>
  </w:style>
  <w:style w:type="paragraph" w:styleId="Sinespaciado">
    <w:name w:val="No Spacing"/>
    <w:uiPriority w:val="1"/>
    <w:qFormat/>
    <w:rsid w:val="006A004D"/>
    <w:pPr>
      <w:spacing w:after="0" w:line="240" w:lineRule="auto"/>
    </w:pPr>
  </w:style>
  <w:style w:type="paragraph" w:styleId="Cita">
    <w:name w:val="Quote"/>
    <w:basedOn w:val="Normal"/>
    <w:next w:val="Normal"/>
    <w:link w:val="CitaCar"/>
    <w:uiPriority w:val="29"/>
    <w:qFormat/>
    <w:rsid w:val="006A004D"/>
    <w:pPr>
      <w:spacing w:before="160"/>
      <w:ind w:left="720" w:right="720"/>
      <w:jc w:val="center"/>
    </w:pPr>
    <w:rPr>
      <w:i/>
      <w:iCs/>
      <w:color w:val="74005E" w:themeColor="accent3" w:themeShade="BF"/>
      <w:sz w:val="24"/>
      <w:szCs w:val="24"/>
    </w:rPr>
  </w:style>
  <w:style w:type="character" w:customStyle="1" w:styleId="CitaCar">
    <w:name w:val="Cita Car"/>
    <w:basedOn w:val="Fuentedeprrafopredeter"/>
    <w:link w:val="Cita"/>
    <w:uiPriority w:val="29"/>
    <w:rsid w:val="006A004D"/>
    <w:rPr>
      <w:i/>
      <w:iCs/>
      <w:color w:val="74005E" w:themeColor="accent3" w:themeShade="BF"/>
      <w:sz w:val="24"/>
      <w:szCs w:val="24"/>
    </w:rPr>
  </w:style>
  <w:style w:type="paragraph" w:styleId="Citadestacada">
    <w:name w:val="Intense Quote"/>
    <w:basedOn w:val="Normal"/>
    <w:next w:val="Normal"/>
    <w:link w:val="CitadestacadaCar"/>
    <w:uiPriority w:val="30"/>
    <w:qFormat/>
    <w:rsid w:val="006A004D"/>
    <w:pPr>
      <w:spacing w:before="160" w:line="276" w:lineRule="auto"/>
      <w:ind w:left="936" w:right="936"/>
      <w:jc w:val="center"/>
    </w:pPr>
    <w:rPr>
      <w:rFonts w:asciiTheme="majorHAnsi" w:eastAsiaTheme="majorEastAsia" w:hAnsiTheme="majorHAnsi" w:cstheme="majorBidi"/>
      <w:caps/>
      <w:color w:val="E80061" w:themeColor="accent1" w:themeShade="BF"/>
      <w:sz w:val="28"/>
      <w:szCs w:val="28"/>
    </w:rPr>
  </w:style>
  <w:style w:type="character" w:customStyle="1" w:styleId="CitadestacadaCar">
    <w:name w:val="Cita destacada Car"/>
    <w:basedOn w:val="Fuentedeprrafopredeter"/>
    <w:link w:val="Citadestacada"/>
    <w:uiPriority w:val="30"/>
    <w:rsid w:val="006A004D"/>
    <w:rPr>
      <w:rFonts w:asciiTheme="majorHAnsi" w:eastAsiaTheme="majorEastAsia" w:hAnsiTheme="majorHAnsi" w:cstheme="majorBidi"/>
      <w:caps/>
      <w:color w:val="E80061" w:themeColor="accent1" w:themeShade="BF"/>
      <w:sz w:val="28"/>
      <w:szCs w:val="28"/>
    </w:rPr>
  </w:style>
  <w:style w:type="character" w:styleId="nfasissutil">
    <w:name w:val="Subtle Emphasis"/>
    <w:basedOn w:val="Fuentedeprrafopredeter"/>
    <w:uiPriority w:val="19"/>
    <w:qFormat/>
    <w:rsid w:val="006A004D"/>
    <w:rPr>
      <w:i/>
      <w:iCs/>
      <w:color w:val="595959" w:themeColor="text1" w:themeTint="A6"/>
    </w:rPr>
  </w:style>
  <w:style w:type="character" w:styleId="nfasisintenso">
    <w:name w:val="Intense Emphasis"/>
    <w:basedOn w:val="Fuentedeprrafopredeter"/>
    <w:uiPriority w:val="21"/>
    <w:qFormat/>
    <w:rsid w:val="006A004D"/>
    <w:rPr>
      <w:b/>
      <w:bCs/>
      <w:i/>
      <w:iCs/>
      <w:color w:val="auto"/>
    </w:rPr>
  </w:style>
  <w:style w:type="character" w:styleId="Referenciasutil">
    <w:name w:val="Subtle Reference"/>
    <w:basedOn w:val="Fuentedeprrafopredeter"/>
    <w:uiPriority w:val="31"/>
    <w:qFormat/>
    <w:rsid w:val="006A004D"/>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6A004D"/>
    <w:rPr>
      <w:b/>
      <w:bCs/>
      <w:caps w:val="0"/>
      <w:smallCaps/>
      <w:color w:val="auto"/>
      <w:spacing w:val="0"/>
      <w:u w:val="single"/>
    </w:rPr>
  </w:style>
  <w:style w:type="character" w:styleId="Ttulodellibro">
    <w:name w:val="Book Title"/>
    <w:basedOn w:val="Fuentedeprrafopredeter"/>
    <w:uiPriority w:val="33"/>
    <w:qFormat/>
    <w:rsid w:val="006A004D"/>
    <w:rPr>
      <w:b/>
      <w:bCs/>
      <w:caps w:val="0"/>
      <w:smallCaps/>
      <w:spacing w:val="0"/>
    </w:rPr>
  </w:style>
  <w:style w:type="character" w:styleId="Refdecomentario">
    <w:name w:val="annotation reference"/>
    <w:basedOn w:val="Fuentedeprrafopredeter"/>
    <w:rsid w:val="006B5F0E"/>
    <w:rPr>
      <w:sz w:val="16"/>
      <w:szCs w:val="16"/>
    </w:rPr>
  </w:style>
  <w:style w:type="paragraph" w:styleId="Textocomentario">
    <w:name w:val="annotation text"/>
    <w:basedOn w:val="Normal"/>
    <w:link w:val="TextocomentarioCar"/>
    <w:rsid w:val="006B5F0E"/>
    <w:pPr>
      <w:spacing w:line="240" w:lineRule="auto"/>
    </w:pPr>
    <w:rPr>
      <w:sz w:val="20"/>
      <w:szCs w:val="20"/>
    </w:rPr>
  </w:style>
  <w:style w:type="character" w:customStyle="1" w:styleId="TextocomentarioCar">
    <w:name w:val="Texto comentario Car"/>
    <w:basedOn w:val="Fuentedeprrafopredeter"/>
    <w:link w:val="Textocomentario"/>
    <w:rsid w:val="006B5F0E"/>
    <w:rPr>
      <w:sz w:val="20"/>
      <w:szCs w:val="20"/>
    </w:rPr>
  </w:style>
  <w:style w:type="paragraph" w:styleId="Asuntodelcomentario">
    <w:name w:val="annotation subject"/>
    <w:basedOn w:val="Textocomentario"/>
    <w:next w:val="Textocomentario"/>
    <w:link w:val="AsuntodelcomentarioCar"/>
    <w:rsid w:val="006B5F0E"/>
    <w:rPr>
      <w:b/>
      <w:bCs/>
    </w:rPr>
  </w:style>
  <w:style w:type="character" w:customStyle="1" w:styleId="AsuntodelcomentarioCar">
    <w:name w:val="Asunto del comentario Car"/>
    <w:basedOn w:val="TextocomentarioCar"/>
    <w:link w:val="Asuntodelcomentario"/>
    <w:rsid w:val="006B5F0E"/>
    <w:rPr>
      <w:b/>
      <w:bCs/>
      <w:sz w:val="20"/>
      <w:szCs w:val="20"/>
    </w:rPr>
  </w:style>
  <w:style w:type="paragraph" w:styleId="Textodeglobo">
    <w:name w:val="Balloon Text"/>
    <w:basedOn w:val="Normal"/>
    <w:link w:val="TextodegloboCar"/>
    <w:rsid w:val="006B5F0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rsid w:val="006B5F0E"/>
    <w:rPr>
      <w:rFonts w:ascii="Segoe UI" w:hAnsi="Segoe UI" w:cs="Segoe UI"/>
      <w:sz w:val="18"/>
      <w:szCs w:val="18"/>
    </w:rPr>
  </w:style>
  <w:style w:type="character" w:customStyle="1" w:styleId="PiedepginaCar">
    <w:name w:val="Pie de página Car"/>
    <w:basedOn w:val="Fuentedeprrafopredeter"/>
    <w:link w:val="Piedepgina"/>
    <w:uiPriority w:val="99"/>
    <w:rsid w:val="006B5F0E"/>
    <w:rPr>
      <w:sz w:val="18"/>
    </w:rPr>
  </w:style>
  <w:style w:type="character" w:customStyle="1" w:styleId="Mencionar1">
    <w:name w:val="Mencionar1"/>
    <w:basedOn w:val="Fuentedeprrafopredeter"/>
    <w:uiPriority w:val="99"/>
    <w:semiHidden/>
    <w:unhideWhenUsed/>
    <w:rsid w:val="007C3FA8"/>
    <w:rPr>
      <w:color w:val="2B579A"/>
      <w:shd w:val="clear" w:color="auto" w:fill="E6E6E6"/>
    </w:rPr>
  </w:style>
  <w:style w:type="paragraph" w:styleId="Textonotapie">
    <w:name w:val="footnote text"/>
    <w:basedOn w:val="Normal"/>
    <w:link w:val="TextonotapieCar"/>
    <w:rsid w:val="000C698F"/>
    <w:pPr>
      <w:spacing w:after="0" w:line="240" w:lineRule="auto"/>
      <w:jc w:val="both"/>
    </w:pPr>
    <w:rPr>
      <w:rFonts w:ascii="Times New Roman" w:hAnsi="Times New Roman"/>
      <w:sz w:val="20"/>
      <w:szCs w:val="20"/>
    </w:rPr>
  </w:style>
  <w:style w:type="character" w:customStyle="1" w:styleId="TextonotapieCar">
    <w:name w:val="Texto nota pie Car"/>
    <w:basedOn w:val="Fuentedeprrafopredeter"/>
    <w:link w:val="Textonotapie"/>
    <w:rsid w:val="000C698F"/>
    <w:rPr>
      <w:rFonts w:ascii="Times New Roman" w:hAnsi="Times New Roman"/>
      <w:sz w:val="20"/>
      <w:szCs w:val="20"/>
    </w:rPr>
  </w:style>
  <w:style w:type="character" w:styleId="Refdenotaalpie">
    <w:name w:val="footnote reference"/>
    <w:basedOn w:val="Fuentedeprrafopredeter"/>
    <w:rsid w:val="00813B58"/>
    <w:rPr>
      <w:vertAlign w:val="superscript"/>
    </w:rPr>
  </w:style>
  <w:style w:type="paragraph" w:styleId="Textonotaalfinal">
    <w:name w:val="endnote text"/>
    <w:basedOn w:val="Normal"/>
    <w:link w:val="TextonotaalfinalCar"/>
    <w:rsid w:val="004A5170"/>
    <w:pPr>
      <w:spacing w:after="0" w:line="240" w:lineRule="auto"/>
    </w:pPr>
    <w:rPr>
      <w:sz w:val="20"/>
      <w:szCs w:val="20"/>
    </w:rPr>
  </w:style>
  <w:style w:type="character" w:customStyle="1" w:styleId="TextonotaalfinalCar">
    <w:name w:val="Texto nota al final Car"/>
    <w:basedOn w:val="Fuentedeprrafopredeter"/>
    <w:link w:val="Textonotaalfinal"/>
    <w:rsid w:val="004A5170"/>
    <w:rPr>
      <w:sz w:val="20"/>
      <w:szCs w:val="20"/>
    </w:rPr>
  </w:style>
  <w:style w:type="character" w:styleId="Refdenotaalfinal">
    <w:name w:val="endnote reference"/>
    <w:basedOn w:val="Fuentedeprrafopredeter"/>
    <w:rsid w:val="004A5170"/>
    <w:rPr>
      <w:vertAlign w:val="superscript"/>
    </w:rPr>
  </w:style>
  <w:style w:type="table" w:styleId="Tablaconcuadrcula">
    <w:name w:val="Table Grid"/>
    <w:basedOn w:val="Tablanormal"/>
    <w:rsid w:val="005378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1">
    <w:name w:val="Cuadrícula de tabla clara1"/>
    <w:basedOn w:val="Tablanormal"/>
    <w:uiPriority w:val="40"/>
    <w:rsid w:val="005378B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nfasis31">
    <w:name w:val="Tabla de cuadrícula 4 - Énfasis 31"/>
    <w:basedOn w:val="Tablanormal"/>
    <w:uiPriority w:val="49"/>
    <w:rsid w:val="005378BD"/>
    <w:pPr>
      <w:spacing w:after="0" w:line="240" w:lineRule="auto"/>
    </w:pPr>
    <w:tblPr>
      <w:tblStyleRowBandSize w:val="1"/>
      <w:tblStyleColBandSize w:val="1"/>
      <w:tblBorders>
        <w:top w:val="single" w:sz="4" w:space="0" w:color="FF2AD6" w:themeColor="accent3" w:themeTint="99"/>
        <w:left w:val="single" w:sz="4" w:space="0" w:color="FF2AD6" w:themeColor="accent3" w:themeTint="99"/>
        <w:bottom w:val="single" w:sz="4" w:space="0" w:color="FF2AD6" w:themeColor="accent3" w:themeTint="99"/>
        <w:right w:val="single" w:sz="4" w:space="0" w:color="FF2AD6" w:themeColor="accent3" w:themeTint="99"/>
        <w:insideH w:val="single" w:sz="4" w:space="0" w:color="FF2AD6" w:themeColor="accent3" w:themeTint="99"/>
        <w:insideV w:val="single" w:sz="4" w:space="0" w:color="FF2AD6" w:themeColor="accent3" w:themeTint="99"/>
      </w:tblBorders>
    </w:tblPr>
    <w:tblStylePr w:type="firstRow">
      <w:rPr>
        <w:b/>
        <w:bCs/>
        <w:color w:val="FFFFFF" w:themeColor="background1"/>
      </w:rPr>
      <w:tblPr/>
      <w:tcPr>
        <w:tcBorders>
          <w:top w:val="single" w:sz="4" w:space="0" w:color="9C007F" w:themeColor="accent3"/>
          <w:left w:val="single" w:sz="4" w:space="0" w:color="9C007F" w:themeColor="accent3"/>
          <w:bottom w:val="single" w:sz="4" w:space="0" w:color="9C007F" w:themeColor="accent3"/>
          <w:right w:val="single" w:sz="4" w:space="0" w:color="9C007F" w:themeColor="accent3"/>
          <w:insideH w:val="nil"/>
          <w:insideV w:val="nil"/>
        </w:tcBorders>
        <w:shd w:val="clear" w:color="auto" w:fill="9C007F" w:themeFill="accent3"/>
      </w:tcPr>
    </w:tblStylePr>
    <w:tblStylePr w:type="lastRow">
      <w:rPr>
        <w:b/>
        <w:bCs/>
      </w:rPr>
      <w:tblPr/>
      <w:tcPr>
        <w:tcBorders>
          <w:top w:val="double" w:sz="4" w:space="0" w:color="9C007F" w:themeColor="accent3"/>
        </w:tcBorders>
      </w:tcPr>
    </w:tblStylePr>
    <w:tblStylePr w:type="firstCol">
      <w:rPr>
        <w:b/>
        <w:bCs/>
      </w:rPr>
    </w:tblStylePr>
    <w:tblStylePr w:type="lastCol">
      <w:rPr>
        <w:b/>
        <w:bCs/>
      </w:rPr>
    </w:tblStylePr>
    <w:tblStylePr w:type="band1Vert">
      <w:tblPr/>
      <w:tcPr>
        <w:shd w:val="clear" w:color="auto" w:fill="FFB8F1" w:themeFill="accent3" w:themeFillTint="33"/>
      </w:tcPr>
    </w:tblStylePr>
    <w:tblStylePr w:type="band1Horz">
      <w:tblPr/>
      <w:tcPr>
        <w:shd w:val="clear" w:color="auto" w:fill="FFB8F1" w:themeFill="accent3" w:themeFillTint="33"/>
      </w:tcPr>
    </w:tblStylePr>
  </w:style>
  <w:style w:type="character" w:styleId="Hipervnculovisitado">
    <w:name w:val="FollowedHyperlink"/>
    <w:basedOn w:val="Fuentedeprrafopredeter"/>
    <w:rsid w:val="00970124"/>
    <w:rPr>
      <w:color w:val="FF79C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9011">
      <w:bodyDiv w:val="1"/>
      <w:marLeft w:val="0"/>
      <w:marRight w:val="0"/>
      <w:marTop w:val="0"/>
      <w:marBottom w:val="0"/>
      <w:divBdr>
        <w:top w:val="none" w:sz="0" w:space="0" w:color="auto"/>
        <w:left w:val="none" w:sz="0" w:space="0" w:color="auto"/>
        <w:bottom w:val="none" w:sz="0" w:space="0" w:color="auto"/>
        <w:right w:val="none" w:sz="0" w:space="0" w:color="auto"/>
      </w:divBdr>
    </w:div>
    <w:div w:id="142282414">
      <w:bodyDiv w:val="1"/>
      <w:marLeft w:val="0"/>
      <w:marRight w:val="0"/>
      <w:marTop w:val="0"/>
      <w:marBottom w:val="0"/>
      <w:divBdr>
        <w:top w:val="none" w:sz="0" w:space="0" w:color="auto"/>
        <w:left w:val="none" w:sz="0" w:space="0" w:color="auto"/>
        <w:bottom w:val="none" w:sz="0" w:space="0" w:color="auto"/>
        <w:right w:val="none" w:sz="0" w:space="0" w:color="auto"/>
      </w:divBdr>
    </w:div>
    <w:div w:id="553464619">
      <w:bodyDiv w:val="1"/>
      <w:marLeft w:val="0"/>
      <w:marRight w:val="0"/>
      <w:marTop w:val="0"/>
      <w:marBottom w:val="0"/>
      <w:divBdr>
        <w:top w:val="none" w:sz="0" w:space="0" w:color="auto"/>
        <w:left w:val="none" w:sz="0" w:space="0" w:color="auto"/>
        <w:bottom w:val="none" w:sz="0" w:space="0" w:color="auto"/>
        <w:right w:val="none" w:sz="0" w:space="0" w:color="auto"/>
      </w:divBdr>
    </w:div>
    <w:div w:id="745957915">
      <w:bodyDiv w:val="1"/>
      <w:marLeft w:val="0"/>
      <w:marRight w:val="0"/>
      <w:marTop w:val="0"/>
      <w:marBottom w:val="0"/>
      <w:divBdr>
        <w:top w:val="none" w:sz="0" w:space="0" w:color="auto"/>
        <w:left w:val="none" w:sz="0" w:space="0" w:color="auto"/>
        <w:bottom w:val="none" w:sz="0" w:space="0" w:color="auto"/>
        <w:right w:val="none" w:sz="0" w:space="0" w:color="auto"/>
      </w:divBdr>
    </w:div>
    <w:div w:id="1159690053">
      <w:bodyDiv w:val="1"/>
      <w:marLeft w:val="0"/>
      <w:marRight w:val="0"/>
      <w:marTop w:val="0"/>
      <w:marBottom w:val="0"/>
      <w:divBdr>
        <w:top w:val="none" w:sz="0" w:space="0" w:color="auto"/>
        <w:left w:val="none" w:sz="0" w:space="0" w:color="auto"/>
        <w:bottom w:val="none" w:sz="0" w:space="0" w:color="auto"/>
        <w:right w:val="none" w:sz="0" w:space="0" w:color="auto"/>
      </w:divBdr>
    </w:div>
    <w:div w:id="1252425084">
      <w:bodyDiv w:val="1"/>
      <w:marLeft w:val="0"/>
      <w:marRight w:val="0"/>
      <w:marTop w:val="0"/>
      <w:marBottom w:val="0"/>
      <w:divBdr>
        <w:top w:val="none" w:sz="0" w:space="0" w:color="auto"/>
        <w:left w:val="none" w:sz="0" w:space="0" w:color="auto"/>
        <w:bottom w:val="none" w:sz="0" w:space="0" w:color="auto"/>
        <w:right w:val="none" w:sz="0" w:space="0" w:color="auto"/>
      </w:divBdr>
    </w:div>
    <w:div w:id="20504947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trasosdigital.files.wordpress.com/2013/07/articulo-violencia.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omments" Target="comments.xml"/></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anana\AppData\Roaming\Kingsoft\office6\templates\download\default\letterhead-template-27.doc"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Verve">
  <a:themeElements>
    <a:clrScheme name="Verve">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Verve">
      <a:majorFont>
        <a:latin typeface="Century Gothic"/>
        <a:ea typeface=""/>
        <a:cs typeface=""/>
        <a:font script="Jpan" typeface="HGｺﾞｼｯｸM"/>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shade val="48000"/>
                <a:satMod val="230000"/>
              </a:schemeClr>
            </a:gs>
            <a:gs pos="60000">
              <a:schemeClr val="phClr">
                <a:shade val="92000"/>
                <a:satMod val="230000"/>
              </a:schemeClr>
            </a:gs>
            <a:gs pos="100000">
              <a:schemeClr val="phClr">
                <a:tint val="85000"/>
                <a:satMod val="400000"/>
              </a:schemeClr>
            </a:gs>
          </a:gsLst>
          <a:lin ang="5400000" scaled="0"/>
        </a:gradFill>
        <a:blipFill>
          <a:blip xmlns:r="http://schemas.openxmlformats.org/officeDocument/2006/relationships" r:embed="rId1">
            <a:duotone>
              <a:schemeClr val="phClr">
                <a:shade val="1200"/>
                <a:satMod val="150000"/>
              </a:schemeClr>
              <a:schemeClr val="phClr">
                <a:tint val="90000"/>
                <a:satMod val="150000"/>
              </a:schemeClr>
            </a:duotone>
          </a:blip>
          <a:tile tx="0" ty="0" sx="70000" sy="7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A95EDE3-610A-4693-87EB-E8D841F99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letterhead-template-27</Template>
  <TotalTime>35</TotalTime>
  <Pages>40</Pages>
  <Words>11079</Words>
  <Characters>60937</Characters>
  <Application>Microsoft Office Word</Application>
  <DocSecurity>0</DocSecurity>
  <Lines>507</Lines>
  <Paragraphs>143</Paragraphs>
  <ScaleCrop>false</ScaleCrop>
  <HeadingPairs>
    <vt:vector size="2" baseType="variant">
      <vt:variant>
        <vt:lpstr>Título</vt:lpstr>
      </vt:variant>
      <vt:variant>
        <vt:i4>1</vt:i4>
      </vt:variant>
    </vt:vector>
  </HeadingPairs>
  <TitlesOfParts>
    <vt:vector size="1" baseType="lpstr">
      <vt:lpstr>Template</vt:lpstr>
    </vt:vector>
  </TitlesOfParts>
  <Company>Universidad de Jaén</Company>
  <LinksUpToDate>false</LinksUpToDate>
  <CharactersWithSpaces>71873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dc:title>
  <dc:creator>franana</dc:creator>
  <cp:lastModifiedBy>franana</cp:lastModifiedBy>
  <cp:revision>7</cp:revision>
  <dcterms:created xsi:type="dcterms:W3CDTF">2017-05-25T09:38:00Z</dcterms:created>
  <dcterms:modified xsi:type="dcterms:W3CDTF">2017-05-25T15:17:00Z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1033-10.2.0.5811</vt:lpwstr>
  </property>
</Properties>
</file>