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word/charts/chart10.xml" ContentType="application/vnd.openxmlformats-officedocument.drawingml.chart+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charts/chart8.xml" ContentType="application/vnd.openxmlformats-officedocument.drawingml.chart+xml"/>
  <Override PartName="/word/charts/chart9.xml" ContentType="application/vnd.openxmlformats-officedocument.drawingml.chart+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charts/chart6.xml" ContentType="application/vnd.openxmlformats-officedocument.drawingml.chart+xml"/>
  <Override PartName="/word/charts/chart7.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footer1.xml" ContentType="application/vnd.openxmlformats-officedocument.wordprocessingml.footer+xml"/>
  <Override PartName="/word/theme/theme1.xml" ContentType="application/vnd.openxmlformats-officedocument.theme+xml"/>
  <Override PartName="/word/charts/chart2.xml" ContentType="application/vnd.openxmlformats-officedocument.drawingml.chart+xml"/>
  <Override PartName="/word/charts/chart3.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word/charts/chart11.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9129F" w:rsidRDefault="005C51C7">
      <w:r>
        <w:rPr>
          <w:noProof/>
        </w:rPr>
        <w:pict>
          <v:shapetype id="_x0000_t202" coordsize="21600,21600" o:spt="202" path="m,l,21600r21600,l21600,xe">
            <v:stroke joinstyle="miter"/>
            <v:path gradientshapeok="t" o:connecttype="rect"/>
          </v:shapetype>
          <v:shape id="Text Box 2" o:spid="_x0000_s1026" type="#_x0000_t202" style="position:absolute;margin-left:-76.8pt;margin-top:-70.9pt;width:180.75pt;height:840.6pt;z-index:25165568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" o:allowincell="f" fillcolor="#fc620c" stroked="f">
            <v:textbox style="layout-flow:vertical;mso-layout-flow-alt:bottom-to-top;mso-next-textbox:#Text Box 2">
              <w:txbxContent>
                <w:p w:rsidR="00BE1DDD" w:rsidRPr="00B9129F" w:rsidRDefault="00BE1DDD" w:rsidP="001651B2">
                  <w:pPr>
                    <w:pStyle w:val="Ttulo2"/>
                    <w:jc w:val="center"/>
                    <w:rPr>
                      <w:color w:val="F79646" w:themeColor="accent6"/>
                      <w:sz w:val="72"/>
                    </w:rPr>
                  </w:pPr>
                  <w:r w:rsidRPr="00B9129F">
                    <w:rPr>
                      <w:color w:val="F79646" w:themeColor="accent6"/>
                      <w:sz w:val="72"/>
                    </w:rPr>
                    <w:t>Facultad de Ciencias Sociales y Jurídicas</w:t>
                  </w:r>
                </w:p>
                <w:p w:rsidR="00BE1DDD" w:rsidRPr="00B9129F" w:rsidRDefault="00BE1DDD" w:rsidP="001651B2">
                  <w:pPr>
                    <w:pStyle w:val="Ttulo1"/>
                    <w:jc w:val="center"/>
                    <w:rPr>
                      <w:rFonts w:ascii="Arial Narrow" w:hAnsi="Arial Narrow"/>
                      <w:color w:val="F79646" w:themeColor="accent6"/>
                    </w:rPr>
                  </w:pPr>
                  <w:r w:rsidRPr="00B9129F">
                    <w:rPr>
                      <w:rFonts w:ascii="Arial Narrow" w:hAnsi="Arial Narrow"/>
                      <w:color w:val="F79646" w:themeColor="accent6"/>
                    </w:rPr>
                    <w:t>Grado en Administración y Dirección de Empresas</w:t>
                  </w:r>
                </w:p>
              </w:txbxContent>
            </v:textbox>
          </v:shape>
        </w:pict>
      </w:r>
    </w:p>
    <w:p w:rsidR="00B9129F" w:rsidRPr="00B9129F" w:rsidRDefault="00B9129F" w:rsidP="00B9129F"/>
    <w:p w:rsidR="00B9129F" w:rsidRPr="00B9129F" w:rsidRDefault="00B9129F" w:rsidP="00B9129F"/>
    <w:p w:rsidR="00B9129F" w:rsidRPr="00B9129F" w:rsidRDefault="005C51C7" w:rsidP="00B9129F">
      <w:r>
        <w:rPr>
          <w:noProof/>
        </w:rPr>
        <w:pict>
          <v:shape id="Text Box 7" o:spid="_x0000_s1027" type="#_x0000_t202" style="position:absolute;margin-left:103.95pt;margin-top:275.4pt;width:372.45pt;height:2in;z-index:25165875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" o:allowincell="f" stroked="f">
            <v:textbox>
              <w:txbxContent>
                <w:p w:rsidR="00BE1DDD" w:rsidRDefault="00BE1DDD" w:rsidP="00982AF2">
                  <w:pPr>
                    <w:pStyle w:val="Textoindependiente2"/>
                    <w:rPr>
                      <w:b/>
                      <w:sz w:val="64"/>
                      <w:lang w:val="es-ES_tradnl"/>
                    </w:rPr>
                  </w:pPr>
                  <w:r>
                    <w:rPr>
                      <w:b/>
                      <w:sz w:val="64"/>
                      <w:lang w:val="es-ES_tradnl"/>
                    </w:rPr>
                    <w:t xml:space="preserve">El desempleo en </w:t>
                  </w:r>
                </w:p>
                <w:p w:rsidR="00BE1DDD" w:rsidRDefault="00BE1DDD" w:rsidP="00BD1A3A">
                  <w:pPr>
                    <w:pStyle w:val="Textoindependiente2"/>
                    <w:rPr>
                      <w:b/>
                      <w:sz w:val="64"/>
                      <w:lang w:val="es-ES_tradnl"/>
                    </w:rPr>
                  </w:pPr>
                  <w:r>
                    <w:rPr>
                      <w:b/>
                      <w:sz w:val="64"/>
                      <w:lang w:val="es-ES_tradnl"/>
                    </w:rPr>
                    <w:t xml:space="preserve">España durante la </w:t>
                  </w:r>
                </w:p>
                <w:p w:rsidR="00BE1DDD" w:rsidRPr="00181EDB" w:rsidRDefault="00BE1DDD" w:rsidP="00BD1A3A">
                  <w:pPr>
                    <w:pStyle w:val="Textoindependiente2"/>
                    <w:rPr>
                      <w:b/>
                      <w:sz w:val="64"/>
                      <w:lang w:val="es-ES_tradnl"/>
                    </w:rPr>
                  </w:pPr>
                  <w:r>
                    <w:rPr>
                      <w:b/>
                      <w:sz w:val="64"/>
                      <w:lang w:val="es-ES_tradnl"/>
                    </w:rPr>
                    <w:t>crisis económica</w:t>
                  </w:r>
                </w:p>
              </w:txbxContent>
            </v:textbox>
          </v:shape>
        </w:pict>
      </w:r>
      <w:r w:rsidR="008E1780">
        <w:rPr>
          <w:noProof/>
        </w:rPr>
        <w:drawing>
          <wp:anchor distT="0" distB="0" distL="114300" distR="114300" simplePos="0" relativeHeight="251656704" behindDoc="0" locked="0" layoutInCell="0" allowOverlap="1">
            <wp:simplePos x="0" y="0"/>
            <wp:positionH relativeFrom="column">
              <wp:posOffset>3324225</wp:posOffset>
            </wp:positionH>
            <wp:positionV relativeFrom="paragraph">
              <wp:posOffset>205105</wp:posOffset>
            </wp:positionV>
            <wp:extent cx="942975" cy="1028700"/>
            <wp:effectExtent l="0" t="0" r="9525" b="0"/>
            <wp:wrapTopAndBottom/>
            <wp:docPr id="5" name="Imagen 5" descr="escu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escudo"/>
                    <pic:cNvPicPr>
                      <a:picLocks noChangeAspect="1" noChangeArrowheads="1"/>
                    </pic:cNvPicPr>
                  </pic:nvPicPr>
                  <pic:blipFill>
                    <a:blip r:embed="rId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942975" cy="1028700"/>
                    </a:xfrm>
                    <a:prstGeom prst="rect">
                      <a:avLst/>
                    </a:prstGeom>
                    <a:noFill/>
                  </pic:spPr>
                </pic:pic>
              </a:graphicData>
            </a:graphic>
          </wp:anchor>
        </w:drawing>
      </w:r>
    </w:p>
    <w:p w:rsidR="00B9129F" w:rsidRPr="00B9129F" w:rsidRDefault="005C51C7" w:rsidP="00B9129F">
      <w:r>
        <w:rPr>
          <w:noProof/>
        </w:rPr>
        <w:pict>
          <v:shape id="Text Box 6" o:spid="_x0000_s1028" type="#_x0000_t202" style="position:absolute;margin-left:112.65pt;margin-top:91.4pt;width:385.65pt;height:129.6pt;z-index:25165772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" o:allowincell="f" stroked="f">
            <v:textbox>
              <w:txbxContent>
                <w:p w:rsidR="00BE1DDD" w:rsidRDefault="00BE1DDD">
                  <w:pPr>
                    <w:pStyle w:val="Ttulo6"/>
                    <w:rPr>
                      <w:b/>
                    </w:rPr>
                  </w:pPr>
                  <w:r>
                    <w:rPr>
                      <w:b/>
                    </w:rPr>
                    <w:t>Universidad de Jaén</w:t>
                  </w:r>
                </w:p>
                <w:p w:rsidR="00BE1DDD" w:rsidRDefault="00BE1DDD">
                  <w:pPr>
                    <w:pStyle w:val="Ttulo3"/>
                  </w:pPr>
                  <w:r>
                    <w:t>Facultad de Ciencias Sociales y Jurídicas</w:t>
                  </w:r>
                </w:p>
                <w:p w:rsidR="00BE1DDD" w:rsidRDefault="00BE1DDD"/>
                <w:p w:rsidR="00BE1DDD" w:rsidRDefault="00BE1DDD"/>
                <w:p w:rsidR="00BE1DDD" w:rsidRDefault="00BE1DDD"/>
                <w:p w:rsidR="00BE1DDD" w:rsidRDefault="00BE1DDD"/>
                <w:p w:rsidR="00BE1DDD" w:rsidRDefault="00BE1DDD"/>
                <w:p w:rsidR="00BE1DDD" w:rsidRDefault="00BE1DDD">
                  <w:pPr>
                    <w:pStyle w:val="Textoindependiente"/>
                    <w:rPr>
                      <w:rFonts w:ascii="Arial" w:hAnsi="Arial"/>
                      <w:sz w:val="44"/>
                      <w:u w:val="single"/>
                    </w:rPr>
                  </w:pPr>
                  <w:r>
                    <w:rPr>
                      <w:rFonts w:ascii="Arial" w:hAnsi="Arial"/>
                      <w:sz w:val="44"/>
                      <w:u w:val="single"/>
                    </w:rPr>
                    <w:t>Trabajo Fin de Grado</w:t>
                  </w:r>
                </w:p>
              </w:txbxContent>
            </v:textbox>
          </v:shape>
        </w:pict>
      </w:r>
    </w:p>
    <w:p w:rsidR="00B9129F" w:rsidRPr="00B9129F" w:rsidRDefault="00B9129F" w:rsidP="00B9129F"/>
    <w:p w:rsidR="00B9129F" w:rsidRPr="00B9129F" w:rsidRDefault="00B9129F" w:rsidP="00B9129F"/>
    <w:p w:rsidR="00B9129F" w:rsidRPr="00B9129F" w:rsidRDefault="00B9129F" w:rsidP="00B9129F"/>
    <w:p w:rsidR="00B9129F" w:rsidRPr="00B9129F" w:rsidRDefault="00B9129F" w:rsidP="00B9129F"/>
    <w:p w:rsidR="00B9129F" w:rsidRPr="00B9129F" w:rsidRDefault="00B9129F" w:rsidP="00B9129F"/>
    <w:p w:rsidR="00B9129F" w:rsidRPr="00B9129F" w:rsidRDefault="00B9129F" w:rsidP="00B9129F"/>
    <w:p w:rsidR="00B9129F" w:rsidRPr="00B9129F" w:rsidRDefault="00B9129F" w:rsidP="00B9129F"/>
    <w:p w:rsidR="00B9129F" w:rsidRDefault="00B9129F" w:rsidP="00B9129F"/>
    <w:p w:rsidR="00B9129F" w:rsidRDefault="00B9129F" w:rsidP="00B9129F"/>
    <w:p w:rsidR="00D406A5" w:rsidRDefault="005C51C7" w:rsidP="00B9129F">
      <w:pPr>
        <w:tabs>
          <w:tab w:val="left" w:pos="7215"/>
        </w:tabs>
      </w:pPr>
      <w:r>
        <w:rPr>
          <w:noProof/>
        </w:rPr>
        <w:pict>
          <v:shape id="Text Box 8" o:spid="_x0000_s1029" type="#_x0000_t202" style="position:absolute;margin-left:112.65pt;margin-top:307.5pt;width:356.55pt;height:223.2pt;z-index:25165977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" o:allowincell="f" stroked="f">
            <v:textbox>
              <w:txbxContent>
                <w:p w:rsidR="00BE1DDD" w:rsidRDefault="00BE1DDD" w:rsidP="00982AF2">
                  <w:pPr>
                    <w:pStyle w:val="Ttulo5"/>
                    <w:jc w:val="center"/>
                    <w:rPr>
                      <w:u w:val="none"/>
                    </w:rPr>
                  </w:pPr>
                  <w:r>
                    <w:rPr>
                      <w:u w:val="none"/>
                    </w:rPr>
                    <w:t>Alumno:</w:t>
                  </w:r>
                  <w:r>
                    <w:rPr>
                      <w:u w:val="none"/>
                    </w:rPr>
                    <w:tab/>
                    <w:t>Carlos Ibáñez Mateo</w:t>
                  </w:r>
                </w:p>
                <w:p w:rsidR="00BE1DDD" w:rsidRDefault="00BE1DDD" w:rsidP="00982AF2">
                  <w:pPr>
                    <w:jc w:val="center"/>
                    <w:rPr>
                      <w:rFonts w:ascii="Arial" w:hAnsi="Arial"/>
                      <w:sz w:val="32"/>
                    </w:rPr>
                  </w:pPr>
                </w:p>
                <w:p w:rsidR="00BE1DDD" w:rsidRDefault="00BE1DDD" w:rsidP="00982AF2">
                  <w:pPr>
                    <w:jc w:val="center"/>
                    <w:rPr>
                      <w:rFonts w:ascii="Arial" w:hAnsi="Arial"/>
                      <w:sz w:val="32"/>
                    </w:rPr>
                  </w:pPr>
                </w:p>
                <w:p w:rsidR="00BE1DDD" w:rsidRDefault="00BE1DDD" w:rsidP="00982AF2">
                  <w:pPr>
                    <w:jc w:val="center"/>
                    <w:rPr>
                      <w:rFonts w:ascii="Arial" w:hAnsi="Arial"/>
                      <w:sz w:val="32"/>
                    </w:rPr>
                  </w:pPr>
                </w:p>
                <w:p w:rsidR="00BE1DDD" w:rsidRDefault="00BE1DDD" w:rsidP="00982AF2">
                  <w:pPr>
                    <w:jc w:val="center"/>
                    <w:rPr>
                      <w:rFonts w:ascii="Arial" w:hAnsi="Arial"/>
                      <w:sz w:val="32"/>
                    </w:rPr>
                  </w:pPr>
                </w:p>
                <w:p w:rsidR="00BE1DDD" w:rsidRDefault="00BE1DDD" w:rsidP="00982AF2">
                  <w:pPr>
                    <w:jc w:val="center"/>
                    <w:rPr>
                      <w:rFonts w:ascii="Arial" w:hAnsi="Arial"/>
                      <w:sz w:val="32"/>
                    </w:rPr>
                  </w:pPr>
                </w:p>
                <w:p w:rsidR="00BE1DDD" w:rsidRDefault="00BE1DDD" w:rsidP="00982AF2">
                  <w:pPr>
                    <w:jc w:val="center"/>
                    <w:rPr>
                      <w:rFonts w:ascii="Arial" w:hAnsi="Arial"/>
                      <w:sz w:val="32"/>
                    </w:rPr>
                  </w:pPr>
                </w:p>
                <w:p w:rsidR="00BE1DDD" w:rsidRDefault="00BE1DDD" w:rsidP="00982AF2">
                  <w:pPr>
                    <w:pStyle w:val="Ttulo4"/>
                    <w:rPr>
                      <w:b/>
                      <w:sz w:val="36"/>
                    </w:rPr>
                  </w:pPr>
                  <w:r>
                    <w:rPr>
                      <w:b/>
                      <w:sz w:val="36"/>
                    </w:rPr>
                    <w:t>Junio, 2014</w:t>
                  </w:r>
                </w:p>
              </w:txbxContent>
            </v:textbox>
          </v:shape>
        </w:pict>
      </w:r>
      <w:r w:rsidR="00B9129F">
        <w:tab/>
      </w:r>
    </w:p>
    <w:p w:rsidR="00D406A5" w:rsidRPr="00D406A5" w:rsidRDefault="00D406A5" w:rsidP="00D406A5"/>
    <w:p w:rsidR="00D406A5" w:rsidRPr="00D406A5" w:rsidRDefault="00D406A5" w:rsidP="00D406A5"/>
    <w:p w:rsidR="00D406A5" w:rsidRPr="00D406A5" w:rsidRDefault="00D406A5" w:rsidP="00D406A5"/>
    <w:p w:rsidR="00D406A5" w:rsidRPr="00D406A5" w:rsidRDefault="00D406A5" w:rsidP="00D406A5"/>
    <w:p w:rsidR="00D406A5" w:rsidRPr="00D406A5" w:rsidRDefault="00D406A5" w:rsidP="00D406A5"/>
    <w:p w:rsidR="00D406A5" w:rsidRPr="00D406A5" w:rsidRDefault="00D406A5" w:rsidP="00D406A5"/>
    <w:p w:rsidR="00D406A5" w:rsidRPr="00D406A5" w:rsidRDefault="00D406A5" w:rsidP="00D406A5"/>
    <w:p w:rsidR="00D406A5" w:rsidRPr="00D406A5" w:rsidRDefault="00D406A5" w:rsidP="00D406A5"/>
    <w:p w:rsidR="00D406A5" w:rsidRPr="00D406A5" w:rsidRDefault="00D406A5" w:rsidP="00D406A5"/>
    <w:p w:rsidR="00D406A5" w:rsidRPr="00D406A5" w:rsidRDefault="00D406A5" w:rsidP="00D406A5"/>
    <w:p w:rsidR="00D406A5" w:rsidRPr="00D406A5" w:rsidRDefault="00D406A5" w:rsidP="00D406A5"/>
    <w:p w:rsidR="00D406A5" w:rsidRPr="00D406A5" w:rsidRDefault="00D406A5" w:rsidP="00D406A5"/>
    <w:p w:rsidR="00D406A5" w:rsidRPr="00D406A5" w:rsidRDefault="00D406A5" w:rsidP="00D406A5"/>
    <w:p w:rsidR="00D406A5" w:rsidRPr="00D406A5" w:rsidRDefault="00D406A5" w:rsidP="00D406A5"/>
    <w:p w:rsidR="00D406A5" w:rsidRPr="00D406A5" w:rsidRDefault="00D406A5" w:rsidP="00D406A5"/>
    <w:p w:rsidR="00D406A5" w:rsidRPr="00D406A5" w:rsidRDefault="00D406A5" w:rsidP="00D406A5"/>
    <w:p w:rsidR="00D406A5" w:rsidRPr="00D406A5" w:rsidRDefault="00D406A5" w:rsidP="00D406A5"/>
    <w:p w:rsidR="00D406A5" w:rsidRPr="00D406A5" w:rsidRDefault="00D406A5" w:rsidP="00D406A5"/>
    <w:p w:rsidR="00D406A5" w:rsidRPr="00D406A5" w:rsidRDefault="00D406A5" w:rsidP="00D406A5"/>
    <w:p w:rsidR="00D406A5" w:rsidRDefault="00D406A5" w:rsidP="00D406A5"/>
    <w:p w:rsidR="00D406A5" w:rsidRDefault="00D406A5" w:rsidP="00D406A5"/>
    <w:p w:rsidR="001523DF" w:rsidRDefault="001523DF" w:rsidP="00D406A5">
      <w:pPr>
        <w:jc w:val="right"/>
      </w:pPr>
    </w:p>
    <w:p w:rsidR="00D406A5" w:rsidRDefault="00D406A5" w:rsidP="00D406A5">
      <w:pPr>
        <w:jc w:val="right"/>
      </w:pPr>
    </w:p>
    <w:p w:rsidR="00D406A5" w:rsidRDefault="00D406A5" w:rsidP="00D406A5">
      <w:pPr>
        <w:jc w:val="right"/>
      </w:pPr>
    </w:p>
    <w:p w:rsidR="00D406A5" w:rsidRDefault="00D406A5" w:rsidP="00D406A5">
      <w:pPr>
        <w:jc w:val="right"/>
      </w:pPr>
    </w:p>
    <w:p w:rsidR="00D406A5" w:rsidRDefault="00D406A5" w:rsidP="00D406A5">
      <w:pPr>
        <w:jc w:val="right"/>
      </w:pPr>
    </w:p>
    <w:p w:rsidR="00D406A5" w:rsidRDefault="00D406A5" w:rsidP="00D406A5">
      <w:pPr>
        <w:jc w:val="right"/>
      </w:pPr>
    </w:p>
    <w:p w:rsidR="00D406A5" w:rsidRDefault="00D406A5" w:rsidP="00D406A5">
      <w:pPr>
        <w:jc w:val="right"/>
      </w:pPr>
    </w:p>
    <w:p w:rsidR="00D406A5" w:rsidRDefault="00D406A5" w:rsidP="00D406A5">
      <w:pPr>
        <w:jc w:val="right"/>
      </w:pPr>
    </w:p>
    <w:p w:rsidR="00D406A5" w:rsidRDefault="00D406A5" w:rsidP="00D406A5">
      <w:pPr>
        <w:jc w:val="right"/>
      </w:pPr>
    </w:p>
    <w:p w:rsidR="00D406A5" w:rsidRDefault="00D406A5" w:rsidP="00D406A5">
      <w:pPr>
        <w:jc w:val="right"/>
      </w:pPr>
    </w:p>
    <w:p w:rsidR="00D406A5" w:rsidRDefault="00D406A5" w:rsidP="00D406A5">
      <w:pPr>
        <w:jc w:val="right"/>
      </w:pPr>
    </w:p>
    <w:p w:rsidR="00D406A5" w:rsidRDefault="00D406A5" w:rsidP="00D406A5">
      <w:pPr>
        <w:jc w:val="right"/>
      </w:pPr>
    </w:p>
    <w:p w:rsidR="00D406A5" w:rsidRDefault="00D406A5" w:rsidP="00D406A5">
      <w:pPr>
        <w:jc w:val="right"/>
      </w:pPr>
    </w:p>
    <w:p w:rsidR="00D406A5" w:rsidRDefault="00D406A5" w:rsidP="00D406A5">
      <w:pPr>
        <w:jc w:val="right"/>
      </w:pPr>
    </w:p>
    <w:p w:rsidR="00D406A5" w:rsidRDefault="00D406A5" w:rsidP="00D406A5">
      <w:pPr>
        <w:jc w:val="right"/>
      </w:pPr>
    </w:p>
    <w:p w:rsidR="00A35FB3" w:rsidRDefault="00A35FB3" w:rsidP="00A35FB3"/>
    <w:p w:rsidR="00A35FB3" w:rsidRDefault="00A35FB3" w:rsidP="00A35FB3"/>
    <w:p w:rsidR="00A35FB3" w:rsidRPr="000C3ADB" w:rsidRDefault="00A35FB3" w:rsidP="00A35FB3">
      <w:pPr>
        <w:spacing w:line="360" w:lineRule="auto"/>
        <w:jc w:val="center"/>
        <w:rPr>
          <w:b/>
          <w:sz w:val="36"/>
          <w:szCs w:val="36"/>
        </w:rPr>
      </w:pPr>
      <w:r w:rsidRPr="000C3ADB">
        <w:rPr>
          <w:b/>
          <w:sz w:val="36"/>
          <w:szCs w:val="36"/>
        </w:rPr>
        <w:lastRenderedPageBreak/>
        <w:t>ÍNDICE</w:t>
      </w:r>
    </w:p>
    <w:p w:rsidR="00A35FB3" w:rsidRPr="000C3ADB" w:rsidRDefault="00824004" w:rsidP="00A35FB3">
      <w:pPr>
        <w:spacing w:line="360" w:lineRule="auto"/>
        <w:ind w:firstLine="360"/>
        <w:rPr>
          <w:b/>
          <w:sz w:val="24"/>
          <w:szCs w:val="24"/>
        </w:rPr>
      </w:pPr>
      <w:r>
        <w:rPr>
          <w:b/>
          <w:sz w:val="24"/>
          <w:szCs w:val="24"/>
        </w:rPr>
        <w:t>RESUMEN</w:t>
      </w:r>
      <w:r>
        <w:rPr>
          <w:b/>
          <w:sz w:val="24"/>
          <w:szCs w:val="24"/>
        </w:rPr>
        <w:tab/>
      </w:r>
      <w:r>
        <w:rPr>
          <w:b/>
          <w:sz w:val="24"/>
          <w:szCs w:val="24"/>
        </w:rPr>
        <w:tab/>
      </w:r>
      <w:r>
        <w:rPr>
          <w:b/>
          <w:sz w:val="24"/>
          <w:szCs w:val="24"/>
        </w:rPr>
        <w:tab/>
      </w:r>
      <w:r>
        <w:rPr>
          <w:b/>
          <w:sz w:val="24"/>
          <w:szCs w:val="24"/>
        </w:rPr>
        <w:tab/>
      </w:r>
      <w:r>
        <w:rPr>
          <w:b/>
          <w:sz w:val="24"/>
          <w:szCs w:val="24"/>
        </w:rPr>
        <w:tab/>
      </w:r>
      <w:r>
        <w:rPr>
          <w:b/>
          <w:sz w:val="24"/>
          <w:szCs w:val="24"/>
        </w:rPr>
        <w:tab/>
      </w:r>
      <w:r>
        <w:rPr>
          <w:b/>
          <w:sz w:val="24"/>
          <w:szCs w:val="24"/>
        </w:rPr>
        <w:tab/>
      </w:r>
      <w:r>
        <w:rPr>
          <w:b/>
          <w:sz w:val="24"/>
          <w:szCs w:val="24"/>
        </w:rPr>
        <w:tab/>
      </w:r>
      <w:r>
        <w:rPr>
          <w:b/>
          <w:sz w:val="24"/>
          <w:szCs w:val="24"/>
        </w:rPr>
        <w:tab/>
      </w:r>
      <w:r>
        <w:rPr>
          <w:b/>
          <w:sz w:val="24"/>
          <w:szCs w:val="24"/>
        </w:rPr>
        <w:tab/>
        <w:t>pg. 3</w:t>
      </w:r>
    </w:p>
    <w:p w:rsidR="00A35FB3" w:rsidRPr="000C3ADB" w:rsidRDefault="00BE639B" w:rsidP="00A35FB3">
      <w:pPr>
        <w:pStyle w:val="Prrafodelista"/>
        <w:numPr>
          <w:ilvl w:val="0"/>
          <w:numId w:val="25"/>
        </w:numPr>
        <w:spacing w:line="360" w:lineRule="auto"/>
        <w:rPr>
          <w:rFonts w:ascii="Times New Roman" w:hAnsi="Times New Roman" w:cs="Times New Roman"/>
          <w:b/>
          <w:sz w:val="24"/>
          <w:szCs w:val="24"/>
        </w:rPr>
      </w:pPr>
      <w:r>
        <w:rPr>
          <w:rFonts w:ascii="Times New Roman" w:hAnsi="Times New Roman" w:cs="Times New Roman"/>
          <w:b/>
          <w:sz w:val="24"/>
          <w:szCs w:val="24"/>
        </w:rPr>
        <w:t>INTRODUCCIÓ</w:t>
      </w:r>
      <w:r w:rsidR="00824004">
        <w:rPr>
          <w:rFonts w:ascii="Times New Roman" w:hAnsi="Times New Roman" w:cs="Times New Roman"/>
          <w:b/>
          <w:sz w:val="24"/>
          <w:szCs w:val="24"/>
        </w:rPr>
        <w:t>N</w:t>
      </w:r>
      <w:r w:rsidR="00824004">
        <w:rPr>
          <w:rFonts w:ascii="Times New Roman" w:hAnsi="Times New Roman" w:cs="Times New Roman"/>
          <w:b/>
          <w:sz w:val="24"/>
          <w:szCs w:val="24"/>
        </w:rPr>
        <w:tab/>
      </w:r>
      <w:r w:rsidR="00824004">
        <w:rPr>
          <w:rFonts w:ascii="Times New Roman" w:hAnsi="Times New Roman" w:cs="Times New Roman"/>
          <w:b/>
          <w:sz w:val="24"/>
          <w:szCs w:val="24"/>
        </w:rPr>
        <w:tab/>
      </w:r>
      <w:r w:rsidR="00824004">
        <w:rPr>
          <w:rFonts w:ascii="Times New Roman" w:hAnsi="Times New Roman" w:cs="Times New Roman"/>
          <w:b/>
          <w:sz w:val="24"/>
          <w:szCs w:val="24"/>
        </w:rPr>
        <w:tab/>
      </w:r>
      <w:r w:rsidR="00824004">
        <w:rPr>
          <w:rFonts w:ascii="Times New Roman" w:hAnsi="Times New Roman" w:cs="Times New Roman"/>
          <w:b/>
          <w:sz w:val="24"/>
          <w:szCs w:val="24"/>
        </w:rPr>
        <w:tab/>
      </w:r>
      <w:r w:rsidR="00824004">
        <w:rPr>
          <w:rFonts w:ascii="Times New Roman" w:hAnsi="Times New Roman" w:cs="Times New Roman"/>
          <w:b/>
          <w:sz w:val="24"/>
          <w:szCs w:val="24"/>
        </w:rPr>
        <w:tab/>
      </w:r>
      <w:r w:rsidR="00824004">
        <w:rPr>
          <w:rFonts w:ascii="Times New Roman" w:hAnsi="Times New Roman" w:cs="Times New Roman"/>
          <w:b/>
          <w:sz w:val="24"/>
          <w:szCs w:val="24"/>
        </w:rPr>
        <w:tab/>
      </w:r>
      <w:r w:rsidR="00824004">
        <w:rPr>
          <w:rFonts w:ascii="Times New Roman" w:hAnsi="Times New Roman" w:cs="Times New Roman"/>
          <w:b/>
          <w:sz w:val="24"/>
          <w:szCs w:val="24"/>
        </w:rPr>
        <w:tab/>
      </w:r>
      <w:r w:rsidR="00824004">
        <w:rPr>
          <w:rFonts w:ascii="Times New Roman" w:hAnsi="Times New Roman" w:cs="Times New Roman"/>
          <w:b/>
          <w:sz w:val="24"/>
          <w:szCs w:val="24"/>
        </w:rPr>
        <w:tab/>
      </w:r>
      <w:r w:rsidR="00824004">
        <w:rPr>
          <w:rFonts w:ascii="Times New Roman" w:hAnsi="Times New Roman" w:cs="Times New Roman"/>
          <w:b/>
          <w:sz w:val="24"/>
          <w:szCs w:val="24"/>
        </w:rPr>
        <w:tab/>
        <w:t>pg. 4</w:t>
      </w:r>
    </w:p>
    <w:p w:rsidR="00A35FB3" w:rsidRPr="000C3ADB" w:rsidRDefault="00A35FB3" w:rsidP="00A35FB3">
      <w:pPr>
        <w:pStyle w:val="Prrafodelista"/>
        <w:spacing w:line="360" w:lineRule="auto"/>
        <w:rPr>
          <w:rFonts w:ascii="Times New Roman" w:hAnsi="Times New Roman" w:cs="Times New Roman"/>
          <w:b/>
          <w:sz w:val="24"/>
          <w:szCs w:val="24"/>
        </w:rPr>
      </w:pPr>
    </w:p>
    <w:p w:rsidR="00A35FB3" w:rsidRPr="000C3ADB" w:rsidRDefault="00A35FB3" w:rsidP="00A35FB3">
      <w:pPr>
        <w:pStyle w:val="Prrafodelista"/>
        <w:numPr>
          <w:ilvl w:val="0"/>
          <w:numId w:val="25"/>
        </w:numPr>
        <w:spacing w:line="360" w:lineRule="auto"/>
        <w:rPr>
          <w:rFonts w:ascii="Times New Roman" w:hAnsi="Times New Roman" w:cs="Times New Roman"/>
          <w:b/>
          <w:sz w:val="24"/>
          <w:szCs w:val="24"/>
        </w:rPr>
      </w:pPr>
      <w:r w:rsidRPr="000C3ADB">
        <w:rPr>
          <w:rFonts w:ascii="Times New Roman" w:hAnsi="Times New Roman" w:cs="Times New Roman"/>
          <w:b/>
          <w:sz w:val="24"/>
          <w:szCs w:val="24"/>
        </w:rPr>
        <w:t>CUESTIONES CON</w:t>
      </w:r>
      <w:r w:rsidR="00824004">
        <w:rPr>
          <w:rFonts w:ascii="Times New Roman" w:hAnsi="Times New Roman" w:cs="Times New Roman"/>
          <w:b/>
          <w:sz w:val="24"/>
          <w:szCs w:val="24"/>
        </w:rPr>
        <w:t>CEPTUALES Y METODOLÓGICAS</w:t>
      </w:r>
      <w:r w:rsidR="00824004">
        <w:rPr>
          <w:rFonts w:ascii="Times New Roman" w:hAnsi="Times New Roman" w:cs="Times New Roman"/>
          <w:b/>
          <w:sz w:val="24"/>
          <w:szCs w:val="24"/>
        </w:rPr>
        <w:tab/>
      </w:r>
      <w:r w:rsidR="00824004">
        <w:rPr>
          <w:rFonts w:ascii="Times New Roman" w:hAnsi="Times New Roman" w:cs="Times New Roman"/>
          <w:b/>
          <w:sz w:val="24"/>
          <w:szCs w:val="24"/>
        </w:rPr>
        <w:tab/>
      </w:r>
      <w:r w:rsidR="00824004">
        <w:rPr>
          <w:rFonts w:ascii="Times New Roman" w:hAnsi="Times New Roman" w:cs="Times New Roman"/>
          <w:b/>
          <w:sz w:val="24"/>
          <w:szCs w:val="24"/>
        </w:rPr>
        <w:tab/>
        <w:t>pg.5</w:t>
      </w:r>
      <w:r w:rsidRPr="000C3ADB">
        <w:rPr>
          <w:rFonts w:ascii="Times New Roman" w:hAnsi="Times New Roman" w:cs="Times New Roman"/>
          <w:b/>
          <w:sz w:val="24"/>
          <w:szCs w:val="24"/>
        </w:rPr>
        <w:tab/>
      </w:r>
    </w:p>
    <w:p w:rsidR="00A35FB3" w:rsidRPr="000C3ADB" w:rsidRDefault="00A35FB3" w:rsidP="00A35FB3">
      <w:pPr>
        <w:pStyle w:val="Prrafodelista"/>
        <w:numPr>
          <w:ilvl w:val="0"/>
          <w:numId w:val="25"/>
        </w:numPr>
        <w:spacing w:line="360" w:lineRule="auto"/>
        <w:rPr>
          <w:rFonts w:ascii="Times New Roman" w:hAnsi="Times New Roman" w:cs="Times New Roman"/>
          <w:b/>
          <w:sz w:val="24"/>
          <w:szCs w:val="24"/>
        </w:rPr>
      </w:pPr>
      <w:r w:rsidRPr="000C3ADB">
        <w:rPr>
          <w:rFonts w:ascii="Times New Roman" w:hAnsi="Times New Roman" w:cs="Times New Roman"/>
          <w:b/>
          <w:sz w:val="24"/>
          <w:szCs w:val="24"/>
        </w:rPr>
        <w:t>CARACTERÍSTICAS DEL M</w:t>
      </w:r>
      <w:r w:rsidR="00824004">
        <w:rPr>
          <w:rFonts w:ascii="Times New Roman" w:hAnsi="Times New Roman" w:cs="Times New Roman"/>
          <w:b/>
          <w:sz w:val="24"/>
          <w:szCs w:val="24"/>
        </w:rPr>
        <w:t>ERCADO DE TRABAJO ESPAÑOL</w:t>
      </w:r>
      <w:r w:rsidR="00824004">
        <w:rPr>
          <w:rFonts w:ascii="Times New Roman" w:hAnsi="Times New Roman" w:cs="Times New Roman"/>
          <w:b/>
          <w:sz w:val="24"/>
          <w:szCs w:val="24"/>
        </w:rPr>
        <w:tab/>
      </w:r>
      <w:r w:rsidR="00824004">
        <w:rPr>
          <w:rFonts w:ascii="Times New Roman" w:hAnsi="Times New Roman" w:cs="Times New Roman"/>
          <w:b/>
          <w:sz w:val="24"/>
          <w:szCs w:val="24"/>
        </w:rPr>
        <w:tab/>
        <w:t>pg.12</w:t>
      </w:r>
    </w:p>
    <w:p w:rsidR="00A35FB3" w:rsidRPr="000C3ADB" w:rsidRDefault="00A35FB3" w:rsidP="00A35FB3">
      <w:pPr>
        <w:pStyle w:val="Prrafodelista"/>
        <w:spacing w:line="360" w:lineRule="auto"/>
        <w:rPr>
          <w:rFonts w:ascii="Times New Roman" w:hAnsi="Times New Roman" w:cs="Times New Roman"/>
          <w:b/>
          <w:sz w:val="24"/>
          <w:szCs w:val="24"/>
        </w:rPr>
      </w:pPr>
    </w:p>
    <w:p w:rsidR="00A35FB3" w:rsidRPr="000C3ADB" w:rsidRDefault="00A35FB3" w:rsidP="00A35FB3">
      <w:pPr>
        <w:pStyle w:val="Prrafodelista"/>
        <w:numPr>
          <w:ilvl w:val="0"/>
          <w:numId w:val="25"/>
        </w:numPr>
        <w:spacing w:line="360" w:lineRule="auto"/>
        <w:rPr>
          <w:rFonts w:ascii="Times New Roman" w:hAnsi="Times New Roman" w:cs="Times New Roman"/>
          <w:b/>
          <w:sz w:val="24"/>
          <w:szCs w:val="24"/>
        </w:rPr>
      </w:pPr>
      <w:r w:rsidRPr="000C3ADB">
        <w:rPr>
          <w:rFonts w:ascii="Times New Roman" w:hAnsi="Times New Roman" w:cs="Times New Roman"/>
          <w:b/>
          <w:sz w:val="24"/>
          <w:szCs w:val="24"/>
        </w:rPr>
        <w:t>IMPACTO DE LA CRISIS</w:t>
      </w:r>
      <w:r w:rsidR="00824004">
        <w:rPr>
          <w:rFonts w:ascii="Times New Roman" w:hAnsi="Times New Roman" w:cs="Times New Roman"/>
          <w:b/>
          <w:sz w:val="24"/>
          <w:szCs w:val="24"/>
        </w:rPr>
        <w:t xml:space="preserve"> EN EL MERCADO LABORAL</w:t>
      </w:r>
      <w:r w:rsidR="00824004">
        <w:rPr>
          <w:rFonts w:ascii="Times New Roman" w:hAnsi="Times New Roman" w:cs="Times New Roman"/>
          <w:b/>
          <w:sz w:val="24"/>
          <w:szCs w:val="24"/>
        </w:rPr>
        <w:tab/>
      </w:r>
      <w:r w:rsidR="00824004">
        <w:rPr>
          <w:rFonts w:ascii="Times New Roman" w:hAnsi="Times New Roman" w:cs="Times New Roman"/>
          <w:b/>
          <w:sz w:val="24"/>
          <w:szCs w:val="24"/>
        </w:rPr>
        <w:tab/>
      </w:r>
      <w:r w:rsidR="00824004">
        <w:rPr>
          <w:rFonts w:ascii="Times New Roman" w:hAnsi="Times New Roman" w:cs="Times New Roman"/>
          <w:b/>
          <w:sz w:val="24"/>
          <w:szCs w:val="24"/>
        </w:rPr>
        <w:tab/>
        <w:t>pg.18</w:t>
      </w:r>
    </w:p>
    <w:p w:rsidR="00A35FB3" w:rsidRPr="000C3ADB" w:rsidRDefault="00A35FB3" w:rsidP="00A35FB3">
      <w:pPr>
        <w:pStyle w:val="Prrafodelista"/>
        <w:spacing w:line="360" w:lineRule="auto"/>
        <w:rPr>
          <w:rFonts w:ascii="Times New Roman" w:hAnsi="Times New Roman" w:cs="Times New Roman"/>
          <w:b/>
          <w:sz w:val="24"/>
          <w:szCs w:val="24"/>
        </w:rPr>
      </w:pPr>
    </w:p>
    <w:p w:rsidR="00A35FB3" w:rsidRPr="000C3ADB" w:rsidRDefault="00A35FB3" w:rsidP="00A35FB3">
      <w:pPr>
        <w:pStyle w:val="Prrafodelista"/>
        <w:numPr>
          <w:ilvl w:val="0"/>
          <w:numId w:val="25"/>
        </w:numPr>
        <w:spacing w:line="360" w:lineRule="auto"/>
        <w:rPr>
          <w:rFonts w:ascii="Times New Roman" w:hAnsi="Times New Roman" w:cs="Times New Roman"/>
          <w:b/>
          <w:sz w:val="24"/>
          <w:szCs w:val="24"/>
        </w:rPr>
      </w:pPr>
      <w:r w:rsidRPr="000C3ADB">
        <w:rPr>
          <w:rFonts w:ascii="Times New Roman" w:hAnsi="Times New Roman" w:cs="Times New Roman"/>
          <w:b/>
          <w:sz w:val="24"/>
          <w:szCs w:val="24"/>
        </w:rPr>
        <w:t>INCIDENCIA SOCIAL DEL DESEMPLEO</w:t>
      </w:r>
      <w:r w:rsidRPr="000C3ADB">
        <w:rPr>
          <w:rFonts w:ascii="Times New Roman" w:hAnsi="Times New Roman" w:cs="Times New Roman"/>
          <w:b/>
          <w:sz w:val="24"/>
          <w:szCs w:val="24"/>
        </w:rPr>
        <w:tab/>
      </w:r>
      <w:r w:rsidRPr="000C3ADB">
        <w:rPr>
          <w:rFonts w:ascii="Times New Roman" w:hAnsi="Times New Roman" w:cs="Times New Roman"/>
          <w:b/>
          <w:sz w:val="24"/>
          <w:szCs w:val="24"/>
        </w:rPr>
        <w:tab/>
      </w:r>
      <w:r w:rsidRPr="000C3ADB">
        <w:rPr>
          <w:rFonts w:ascii="Times New Roman" w:hAnsi="Times New Roman" w:cs="Times New Roman"/>
          <w:b/>
          <w:sz w:val="24"/>
          <w:szCs w:val="24"/>
        </w:rPr>
        <w:tab/>
      </w:r>
      <w:r w:rsidRPr="000C3ADB">
        <w:rPr>
          <w:rFonts w:ascii="Times New Roman" w:hAnsi="Times New Roman" w:cs="Times New Roman"/>
          <w:b/>
          <w:sz w:val="24"/>
          <w:szCs w:val="24"/>
        </w:rPr>
        <w:tab/>
      </w:r>
      <w:r w:rsidRPr="000C3ADB">
        <w:rPr>
          <w:rFonts w:ascii="Times New Roman" w:hAnsi="Times New Roman" w:cs="Times New Roman"/>
          <w:b/>
          <w:sz w:val="24"/>
          <w:szCs w:val="24"/>
        </w:rPr>
        <w:tab/>
      </w:r>
      <w:r w:rsidR="00824004">
        <w:rPr>
          <w:rFonts w:ascii="Times New Roman" w:hAnsi="Times New Roman" w:cs="Times New Roman"/>
          <w:b/>
          <w:sz w:val="24"/>
          <w:szCs w:val="24"/>
        </w:rPr>
        <w:t>pg.28</w:t>
      </w:r>
    </w:p>
    <w:p w:rsidR="00A35FB3" w:rsidRPr="000C3ADB" w:rsidRDefault="00A35FB3" w:rsidP="00A35FB3">
      <w:pPr>
        <w:pStyle w:val="Prrafodelista"/>
        <w:spacing w:line="360" w:lineRule="auto"/>
        <w:rPr>
          <w:rFonts w:ascii="Times New Roman" w:hAnsi="Times New Roman" w:cs="Times New Roman"/>
          <w:b/>
          <w:sz w:val="24"/>
          <w:szCs w:val="24"/>
        </w:rPr>
      </w:pPr>
    </w:p>
    <w:p w:rsidR="00A35FB3" w:rsidRPr="000C3ADB" w:rsidRDefault="00A35FB3" w:rsidP="00A35FB3">
      <w:pPr>
        <w:pStyle w:val="Prrafodelista"/>
        <w:numPr>
          <w:ilvl w:val="0"/>
          <w:numId w:val="25"/>
        </w:numPr>
        <w:spacing w:line="360" w:lineRule="auto"/>
        <w:rPr>
          <w:rFonts w:ascii="Times New Roman" w:hAnsi="Times New Roman" w:cs="Times New Roman"/>
          <w:b/>
          <w:sz w:val="24"/>
          <w:szCs w:val="24"/>
        </w:rPr>
      </w:pPr>
      <w:r w:rsidRPr="000C3ADB">
        <w:rPr>
          <w:rFonts w:ascii="Times New Roman" w:hAnsi="Times New Roman" w:cs="Times New Roman"/>
          <w:b/>
          <w:sz w:val="24"/>
          <w:szCs w:val="24"/>
        </w:rPr>
        <w:t>PROPUESTAS PARA LA R</w:t>
      </w:r>
      <w:r w:rsidR="00824004">
        <w:rPr>
          <w:rFonts w:ascii="Times New Roman" w:hAnsi="Times New Roman" w:cs="Times New Roman"/>
          <w:b/>
          <w:sz w:val="24"/>
          <w:szCs w:val="24"/>
        </w:rPr>
        <w:t>EFORMA DEL MERCADO LABORAL</w:t>
      </w:r>
      <w:r w:rsidR="00824004">
        <w:rPr>
          <w:rFonts w:ascii="Times New Roman" w:hAnsi="Times New Roman" w:cs="Times New Roman"/>
          <w:b/>
          <w:sz w:val="24"/>
          <w:szCs w:val="24"/>
        </w:rPr>
        <w:tab/>
        <w:t>pg.30</w:t>
      </w:r>
    </w:p>
    <w:p w:rsidR="00A35FB3" w:rsidRPr="000C3ADB" w:rsidRDefault="00A35FB3" w:rsidP="00A35FB3">
      <w:pPr>
        <w:pStyle w:val="Prrafodelista"/>
        <w:spacing w:line="360" w:lineRule="auto"/>
        <w:rPr>
          <w:rFonts w:ascii="Times New Roman" w:hAnsi="Times New Roman" w:cs="Times New Roman"/>
          <w:b/>
          <w:sz w:val="24"/>
          <w:szCs w:val="24"/>
        </w:rPr>
      </w:pPr>
    </w:p>
    <w:p w:rsidR="00A35FB3" w:rsidRPr="000C3ADB" w:rsidRDefault="00A35FB3" w:rsidP="00A35FB3">
      <w:pPr>
        <w:pStyle w:val="Prrafodelista"/>
        <w:numPr>
          <w:ilvl w:val="0"/>
          <w:numId w:val="25"/>
        </w:numPr>
        <w:spacing w:line="360" w:lineRule="auto"/>
        <w:rPr>
          <w:rFonts w:ascii="Times New Roman" w:hAnsi="Times New Roman" w:cs="Times New Roman"/>
          <w:b/>
          <w:sz w:val="24"/>
          <w:szCs w:val="24"/>
        </w:rPr>
      </w:pPr>
      <w:r w:rsidRPr="000C3ADB">
        <w:rPr>
          <w:rFonts w:ascii="Times New Roman" w:hAnsi="Times New Roman" w:cs="Times New Roman"/>
          <w:b/>
          <w:sz w:val="24"/>
          <w:szCs w:val="24"/>
        </w:rPr>
        <w:t>CONCLUSIONES</w:t>
      </w:r>
      <w:r w:rsidR="00824004">
        <w:rPr>
          <w:rFonts w:ascii="Times New Roman" w:hAnsi="Times New Roman" w:cs="Times New Roman"/>
          <w:b/>
          <w:sz w:val="24"/>
          <w:szCs w:val="24"/>
        </w:rPr>
        <w:tab/>
      </w:r>
      <w:r w:rsidR="00824004">
        <w:rPr>
          <w:rFonts w:ascii="Times New Roman" w:hAnsi="Times New Roman" w:cs="Times New Roman"/>
          <w:b/>
          <w:sz w:val="24"/>
          <w:szCs w:val="24"/>
        </w:rPr>
        <w:tab/>
      </w:r>
      <w:r w:rsidR="00824004">
        <w:rPr>
          <w:rFonts w:ascii="Times New Roman" w:hAnsi="Times New Roman" w:cs="Times New Roman"/>
          <w:b/>
          <w:sz w:val="24"/>
          <w:szCs w:val="24"/>
        </w:rPr>
        <w:tab/>
      </w:r>
      <w:r w:rsidR="00824004">
        <w:rPr>
          <w:rFonts w:ascii="Times New Roman" w:hAnsi="Times New Roman" w:cs="Times New Roman"/>
          <w:b/>
          <w:sz w:val="24"/>
          <w:szCs w:val="24"/>
        </w:rPr>
        <w:tab/>
      </w:r>
      <w:r w:rsidR="00824004">
        <w:rPr>
          <w:rFonts w:ascii="Times New Roman" w:hAnsi="Times New Roman" w:cs="Times New Roman"/>
          <w:b/>
          <w:sz w:val="24"/>
          <w:szCs w:val="24"/>
        </w:rPr>
        <w:tab/>
      </w:r>
      <w:r w:rsidR="00824004">
        <w:rPr>
          <w:rFonts w:ascii="Times New Roman" w:hAnsi="Times New Roman" w:cs="Times New Roman"/>
          <w:b/>
          <w:sz w:val="24"/>
          <w:szCs w:val="24"/>
        </w:rPr>
        <w:tab/>
      </w:r>
      <w:r w:rsidR="00824004">
        <w:rPr>
          <w:rFonts w:ascii="Times New Roman" w:hAnsi="Times New Roman" w:cs="Times New Roman"/>
          <w:b/>
          <w:sz w:val="24"/>
          <w:szCs w:val="24"/>
        </w:rPr>
        <w:tab/>
      </w:r>
      <w:r w:rsidR="00824004">
        <w:rPr>
          <w:rFonts w:ascii="Times New Roman" w:hAnsi="Times New Roman" w:cs="Times New Roman"/>
          <w:b/>
          <w:sz w:val="24"/>
          <w:szCs w:val="24"/>
        </w:rPr>
        <w:tab/>
      </w:r>
      <w:r w:rsidR="00824004">
        <w:rPr>
          <w:rFonts w:ascii="Times New Roman" w:hAnsi="Times New Roman" w:cs="Times New Roman"/>
          <w:b/>
          <w:sz w:val="24"/>
          <w:szCs w:val="24"/>
        </w:rPr>
        <w:tab/>
        <w:t>pg.36</w:t>
      </w:r>
    </w:p>
    <w:p w:rsidR="00A35FB3" w:rsidRPr="000C3ADB" w:rsidRDefault="00A35FB3" w:rsidP="00A35FB3">
      <w:pPr>
        <w:pStyle w:val="Prrafodelista"/>
        <w:spacing w:line="360" w:lineRule="auto"/>
        <w:rPr>
          <w:rFonts w:ascii="Times New Roman" w:hAnsi="Times New Roman" w:cs="Times New Roman"/>
          <w:b/>
          <w:sz w:val="24"/>
          <w:szCs w:val="24"/>
        </w:rPr>
      </w:pPr>
    </w:p>
    <w:p w:rsidR="00A35FB3" w:rsidRPr="000C3ADB" w:rsidRDefault="00A35FB3" w:rsidP="00A35FB3">
      <w:pPr>
        <w:pStyle w:val="Prrafodelista"/>
        <w:numPr>
          <w:ilvl w:val="0"/>
          <w:numId w:val="25"/>
        </w:numPr>
        <w:spacing w:line="360" w:lineRule="auto"/>
        <w:rPr>
          <w:rFonts w:ascii="Times New Roman" w:hAnsi="Times New Roman" w:cs="Times New Roman"/>
          <w:b/>
          <w:sz w:val="24"/>
          <w:szCs w:val="24"/>
        </w:rPr>
      </w:pPr>
      <w:r w:rsidRPr="000C3ADB">
        <w:rPr>
          <w:rFonts w:ascii="Times New Roman" w:hAnsi="Times New Roman" w:cs="Times New Roman"/>
          <w:b/>
          <w:sz w:val="24"/>
          <w:szCs w:val="24"/>
        </w:rPr>
        <w:t>BIBLIOGRAFÍA</w:t>
      </w:r>
      <w:r w:rsidR="00824004">
        <w:rPr>
          <w:rFonts w:ascii="Times New Roman" w:hAnsi="Times New Roman" w:cs="Times New Roman"/>
          <w:b/>
          <w:sz w:val="24"/>
          <w:szCs w:val="24"/>
        </w:rPr>
        <w:tab/>
      </w:r>
      <w:r w:rsidR="00824004">
        <w:rPr>
          <w:rFonts w:ascii="Times New Roman" w:hAnsi="Times New Roman" w:cs="Times New Roman"/>
          <w:b/>
          <w:sz w:val="24"/>
          <w:szCs w:val="24"/>
        </w:rPr>
        <w:tab/>
      </w:r>
      <w:r w:rsidR="00824004">
        <w:rPr>
          <w:rFonts w:ascii="Times New Roman" w:hAnsi="Times New Roman" w:cs="Times New Roman"/>
          <w:b/>
          <w:sz w:val="24"/>
          <w:szCs w:val="24"/>
        </w:rPr>
        <w:tab/>
      </w:r>
      <w:r w:rsidR="00824004">
        <w:rPr>
          <w:rFonts w:ascii="Times New Roman" w:hAnsi="Times New Roman" w:cs="Times New Roman"/>
          <w:b/>
          <w:sz w:val="24"/>
          <w:szCs w:val="24"/>
        </w:rPr>
        <w:tab/>
      </w:r>
      <w:r w:rsidR="00824004">
        <w:rPr>
          <w:rFonts w:ascii="Times New Roman" w:hAnsi="Times New Roman" w:cs="Times New Roman"/>
          <w:b/>
          <w:sz w:val="24"/>
          <w:szCs w:val="24"/>
        </w:rPr>
        <w:tab/>
      </w:r>
      <w:r w:rsidR="00824004">
        <w:rPr>
          <w:rFonts w:ascii="Times New Roman" w:hAnsi="Times New Roman" w:cs="Times New Roman"/>
          <w:b/>
          <w:sz w:val="24"/>
          <w:szCs w:val="24"/>
        </w:rPr>
        <w:tab/>
      </w:r>
      <w:r w:rsidR="00824004">
        <w:rPr>
          <w:rFonts w:ascii="Times New Roman" w:hAnsi="Times New Roman" w:cs="Times New Roman"/>
          <w:b/>
          <w:sz w:val="24"/>
          <w:szCs w:val="24"/>
        </w:rPr>
        <w:tab/>
      </w:r>
      <w:r w:rsidR="00824004">
        <w:rPr>
          <w:rFonts w:ascii="Times New Roman" w:hAnsi="Times New Roman" w:cs="Times New Roman"/>
          <w:b/>
          <w:sz w:val="24"/>
          <w:szCs w:val="24"/>
        </w:rPr>
        <w:tab/>
      </w:r>
      <w:r w:rsidR="00824004">
        <w:rPr>
          <w:rFonts w:ascii="Times New Roman" w:hAnsi="Times New Roman" w:cs="Times New Roman"/>
          <w:b/>
          <w:sz w:val="24"/>
          <w:szCs w:val="24"/>
        </w:rPr>
        <w:tab/>
        <w:t>pg.37</w:t>
      </w:r>
    </w:p>
    <w:p w:rsidR="00A35FB3" w:rsidRDefault="00A35FB3" w:rsidP="00A35FB3">
      <w:pPr>
        <w:spacing w:line="360" w:lineRule="auto"/>
        <w:rPr>
          <w:b/>
          <w:sz w:val="24"/>
          <w:szCs w:val="24"/>
        </w:rPr>
      </w:pPr>
    </w:p>
    <w:p w:rsidR="00A35FB3" w:rsidRDefault="00A35FB3" w:rsidP="00A35FB3">
      <w:pPr>
        <w:spacing w:line="360" w:lineRule="auto"/>
      </w:pPr>
      <w:r>
        <w:rPr>
          <w:b/>
          <w:sz w:val="36"/>
          <w:szCs w:val="36"/>
        </w:rPr>
        <w:tab/>
      </w:r>
      <w:r>
        <w:rPr>
          <w:b/>
          <w:sz w:val="36"/>
          <w:szCs w:val="36"/>
        </w:rPr>
        <w:tab/>
      </w:r>
    </w:p>
    <w:p w:rsidR="00A35FB3" w:rsidRDefault="00A35FB3" w:rsidP="00A35FB3">
      <w:pPr>
        <w:pStyle w:val="Prrafodelista"/>
        <w:spacing w:line="360" w:lineRule="auto"/>
        <w:rPr>
          <w:rFonts w:ascii="Times New Roman" w:hAnsi="Times New Roman" w:cs="Times New Roman"/>
          <w:b/>
          <w:sz w:val="24"/>
          <w:szCs w:val="24"/>
        </w:rPr>
      </w:pPr>
    </w:p>
    <w:p w:rsidR="00A35FB3" w:rsidRDefault="00A35FB3" w:rsidP="00A35FB3">
      <w:pPr>
        <w:pStyle w:val="Prrafodelista"/>
        <w:spacing w:line="360" w:lineRule="auto"/>
        <w:rPr>
          <w:rFonts w:ascii="Times New Roman" w:hAnsi="Times New Roman" w:cs="Times New Roman"/>
          <w:b/>
          <w:sz w:val="24"/>
          <w:szCs w:val="24"/>
        </w:rPr>
      </w:pPr>
    </w:p>
    <w:p w:rsidR="00A35FB3" w:rsidRDefault="00A35FB3" w:rsidP="00A35FB3">
      <w:pPr>
        <w:pStyle w:val="Prrafodelista"/>
        <w:spacing w:line="360" w:lineRule="auto"/>
        <w:rPr>
          <w:rFonts w:ascii="Times New Roman" w:hAnsi="Times New Roman" w:cs="Times New Roman"/>
          <w:b/>
          <w:sz w:val="24"/>
          <w:szCs w:val="24"/>
        </w:rPr>
      </w:pPr>
    </w:p>
    <w:p w:rsidR="00A35FB3" w:rsidRDefault="00A35FB3" w:rsidP="00A35FB3">
      <w:pPr>
        <w:pStyle w:val="Prrafodelista"/>
        <w:spacing w:line="360" w:lineRule="auto"/>
        <w:rPr>
          <w:rFonts w:ascii="Times New Roman" w:hAnsi="Times New Roman" w:cs="Times New Roman"/>
          <w:b/>
          <w:sz w:val="24"/>
          <w:szCs w:val="24"/>
        </w:rPr>
      </w:pPr>
    </w:p>
    <w:p w:rsidR="00A35FB3" w:rsidRDefault="00A35FB3" w:rsidP="00A35FB3">
      <w:pPr>
        <w:spacing w:line="360" w:lineRule="auto"/>
        <w:rPr>
          <w:b/>
          <w:sz w:val="24"/>
          <w:szCs w:val="24"/>
        </w:rPr>
      </w:pPr>
    </w:p>
    <w:p w:rsidR="00A35FB3" w:rsidRDefault="00A35FB3" w:rsidP="00A35FB3">
      <w:pPr>
        <w:spacing w:line="360" w:lineRule="auto"/>
        <w:rPr>
          <w:b/>
          <w:sz w:val="24"/>
          <w:szCs w:val="24"/>
        </w:rPr>
      </w:pPr>
    </w:p>
    <w:p w:rsidR="00A35FB3" w:rsidRPr="001362BE" w:rsidRDefault="00A35FB3" w:rsidP="00A35FB3">
      <w:pPr>
        <w:spacing w:line="360" w:lineRule="auto"/>
        <w:rPr>
          <w:b/>
          <w:sz w:val="24"/>
          <w:szCs w:val="24"/>
        </w:rPr>
      </w:pPr>
    </w:p>
    <w:p w:rsidR="00A35FB3" w:rsidRDefault="00A35FB3" w:rsidP="00A35FB3">
      <w:pPr>
        <w:spacing w:line="360" w:lineRule="auto"/>
        <w:rPr>
          <w:b/>
          <w:sz w:val="24"/>
          <w:szCs w:val="24"/>
        </w:rPr>
      </w:pPr>
    </w:p>
    <w:p w:rsidR="00A35FB3" w:rsidRDefault="00A35FB3" w:rsidP="00A35FB3">
      <w:pPr>
        <w:spacing w:line="360" w:lineRule="auto"/>
        <w:rPr>
          <w:b/>
          <w:sz w:val="24"/>
          <w:szCs w:val="24"/>
        </w:rPr>
      </w:pPr>
    </w:p>
    <w:p w:rsidR="00A35FB3" w:rsidRDefault="00A35FB3" w:rsidP="00A35FB3">
      <w:pPr>
        <w:spacing w:line="360" w:lineRule="auto"/>
        <w:rPr>
          <w:b/>
          <w:sz w:val="24"/>
          <w:szCs w:val="24"/>
        </w:rPr>
      </w:pPr>
    </w:p>
    <w:p w:rsidR="00A35FB3" w:rsidRDefault="00A35FB3" w:rsidP="00A35FB3">
      <w:pPr>
        <w:spacing w:line="360" w:lineRule="auto"/>
        <w:rPr>
          <w:b/>
          <w:sz w:val="24"/>
          <w:szCs w:val="24"/>
        </w:rPr>
      </w:pPr>
    </w:p>
    <w:p w:rsidR="00824004" w:rsidRDefault="00824004" w:rsidP="00A35FB3">
      <w:pPr>
        <w:spacing w:line="360" w:lineRule="auto"/>
        <w:rPr>
          <w:b/>
          <w:sz w:val="24"/>
          <w:szCs w:val="24"/>
        </w:rPr>
      </w:pPr>
    </w:p>
    <w:p w:rsidR="00A35FB3" w:rsidRPr="00E56C6A" w:rsidRDefault="00A35FB3" w:rsidP="00A35FB3">
      <w:pPr>
        <w:spacing w:line="360" w:lineRule="auto"/>
        <w:rPr>
          <w:b/>
          <w:sz w:val="24"/>
          <w:szCs w:val="24"/>
        </w:rPr>
      </w:pPr>
    </w:p>
    <w:p w:rsidR="00A35FB3" w:rsidRPr="004C1E85" w:rsidRDefault="00A35FB3" w:rsidP="00A35FB3">
      <w:pPr>
        <w:pStyle w:val="Prrafodelista"/>
        <w:spacing w:line="360" w:lineRule="auto"/>
        <w:rPr>
          <w:rFonts w:ascii="Times New Roman" w:hAnsi="Times New Roman" w:cs="Times New Roman"/>
          <w:b/>
          <w:sz w:val="24"/>
          <w:szCs w:val="24"/>
        </w:rPr>
      </w:pPr>
      <w:r w:rsidRPr="004C1E85">
        <w:rPr>
          <w:rFonts w:ascii="Times New Roman" w:hAnsi="Times New Roman" w:cs="Times New Roman"/>
          <w:b/>
          <w:sz w:val="24"/>
          <w:szCs w:val="24"/>
        </w:rPr>
        <w:lastRenderedPageBreak/>
        <w:t>RESUMEN</w:t>
      </w:r>
    </w:p>
    <w:p w:rsidR="00A35FB3" w:rsidRDefault="00A35FB3" w:rsidP="00A35FB3">
      <w:pPr>
        <w:spacing w:line="360" w:lineRule="auto"/>
        <w:jc w:val="both"/>
        <w:rPr>
          <w:sz w:val="24"/>
          <w:szCs w:val="24"/>
        </w:rPr>
      </w:pPr>
      <w:r w:rsidRPr="004C1E85">
        <w:rPr>
          <w:sz w:val="24"/>
          <w:szCs w:val="24"/>
        </w:rPr>
        <w:t>El fuerte aumento que ha sufrido nuestra tasa de desempleo en los últimos siete años nos permite apreciar  la magnitud que está teniendo la crisis económica en España. Sin embargo, solo con ella no podemos comprender como está afectando a los distintos colectivos del mercado de trabajo la privación de empleo, el paro de larga duración y</w:t>
      </w:r>
      <w:r>
        <w:rPr>
          <w:sz w:val="24"/>
          <w:szCs w:val="24"/>
        </w:rPr>
        <w:t>,</w:t>
      </w:r>
      <w:r w:rsidRPr="004C1E85">
        <w:rPr>
          <w:sz w:val="24"/>
          <w:szCs w:val="24"/>
        </w:rPr>
        <w:t xml:space="preserve"> en definitiva</w:t>
      </w:r>
      <w:r>
        <w:rPr>
          <w:sz w:val="24"/>
          <w:szCs w:val="24"/>
        </w:rPr>
        <w:t>,</w:t>
      </w:r>
      <w:r w:rsidRPr="004C1E85">
        <w:rPr>
          <w:sz w:val="24"/>
          <w:szCs w:val="24"/>
        </w:rPr>
        <w:t xml:space="preserve"> el desigual impacto que tiene la crisis entre los grupos que forman la sociedad e</w:t>
      </w:r>
      <w:r>
        <w:rPr>
          <w:sz w:val="24"/>
          <w:szCs w:val="24"/>
        </w:rPr>
        <w:t>spañola. En este trabajo se analizan y comentan</w:t>
      </w:r>
      <w:r w:rsidRPr="004C1E85">
        <w:rPr>
          <w:sz w:val="24"/>
          <w:szCs w:val="24"/>
        </w:rPr>
        <w:t xml:space="preserve"> algunos de los principales indicadores de nuestro  mercado laboral que pueden arrojar más luz sobre la actual situación, el deterioro de la calidad de vida y las condiciones de trabajo, el resurgimiento de</w:t>
      </w:r>
      <w:r>
        <w:rPr>
          <w:sz w:val="24"/>
          <w:szCs w:val="24"/>
        </w:rPr>
        <w:t xml:space="preserve"> la pobreza en nuestro país y có</w:t>
      </w:r>
      <w:r w:rsidRPr="004C1E85">
        <w:rPr>
          <w:sz w:val="24"/>
          <w:szCs w:val="24"/>
        </w:rPr>
        <w:t xml:space="preserve">mo la pérdida de empleos no afecta a toda la población de la misma manera. Para finalizar </w:t>
      </w:r>
      <w:r>
        <w:rPr>
          <w:sz w:val="24"/>
          <w:szCs w:val="24"/>
        </w:rPr>
        <w:t>se recogen</w:t>
      </w:r>
      <w:r w:rsidRPr="004C1E85">
        <w:rPr>
          <w:sz w:val="24"/>
          <w:szCs w:val="24"/>
        </w:rPr>
        <w:t xml:space="preserve"> una serie de recomendaciones de expertos a adoptar para suavizar los efectos adversos de la crisis y poder encarar mejor la futura  recuperación.</w:t>
      </w:r>
    </w:p>
    <w:p w:rsidR="00E3140D" w:rsidRPr="004C1E85" w:rsidRDefault="00E3140D" w:rsidP="00A35FB3">
      <w:pPr>
        <w:spacing w:line="360" w:lineRule="auto"/>
        <w:jc w:val="both"/>
        <w:rPr>
          <w:sz w:val="24"/>
          <w:szCs w:val="24"/>
        </w:rPr>
      </w:pPr>
    </w:p>
    <w:p w:rsidR="00A35FB3" w:rsidRPr="00BB006A" w:rsidRDefault="00A35FB3" w:rsidP="00A35FB3">
      <w:pPr>
        <w:spacing w:line="360" w:lineRule="auto"/>
        <w:jc w:val="both"/>
        <w:rPr>
          <w:b/>
          <w:sz w:val="24"/>
          <w:szCs w:val="24"/>
          <w:lang w:val="en-US"/>
        </w:rPr>
      </w:pPr>
      <w:r w:rsidRPr="004C1E85">
        <w:rPr>
          <w:sz w:val="24"/>
          <w:szCs w:val="24"/>
        </w:rPr>
        <w:tab/>
      </w:r>
      <w:r w:rsidRPr="00BB006A">
        <w:rPr>
          <w:b/>
          <w:sz w:val="24"/>
          <w:szCs w:val="24"/>
          <w:lang w:val="en-US"/>
        </w:rPr>
        <w:t>ABSTRACT</w:t>
      </w:r>
    </w:p>
    <w:p w:rsidR="00A35FB3" w:rsidRPr="004C1E85" w:rsidRDefault="00A35FB3" w:rsidP="00A35FB3">
      <w:pPr>
        <w:spacing w:line="360" w:lineRule="auto"/>
        <w:jc w:val="both"/>
        <w:rPr>
          <w:sz w:val="24"/>
          <w:szCs w:val="24"/>
          <w:lang w:val="en-US"/>
        </w:rPr>
      </w:pPr>
      <w:r>
        <w:rPr>
          <w:sz w:val="24"/>
          <w:szCs w:val="24"/>
          <w:lang w:val="en-US"/>
        </w:rPr>
        <w:t>The high increase of unemployment rate during</w:t>
      </w:r>
      <w:r w:rsidRPr="004C1E85">
        <w:rPr>
          <w:sz w:val="24"/>
          <w:szCs w:val="24"/>
          <w:lang w:val="en-US"/>
        </w:rPr>
        <w:t xml:space="preserve"> last seven years allows u</w:t>
      </w:r>
      <w:r>
        <w:rPr>
          <w:sz w:val="24"/>
          <w:szCs w:val="24"/>
          <w:lang w:val="en-US"/>
        </w:rPr>
        <w:t>s to know the impact of the economic</w:t>
      </w:r>
      <w:r w:rsidRPr="004C1E85">
        <w:rPr>
          <w:sz w:val="24"/>
          <w:szCs w:val="24"/>
          <w:lang w:val="en-US"/>
        </w:rPr>
        <w:t xml:space="preserve"> crisis in Spain. Nevertheles</w:t>
      </w:r>
      <w:r>
        <w:rPr>
          <w:sz w:val="24"/>
          <w:szCs w:val="24"/>
          <w:lang w:val="en-US"/>
        </w:rPr>
        <w:t xml:space="preserve">s, with this rate we are not able to </w:t>
      </w:r>
      <w:r w:rsidRPr="004C1E85">
        <w:rPr>
          <w:sz w:val="24"/>
          <w:szCs w:val="24"/>
          <w:lang w:val="en-US"/>
        </w:rPr>
        <w:t>understan</w:t>
      </w:r>
      <w:r>
        <w:rPr>
          <w:sz w:val="24"/>
          <w:szCs w:val="24"/>
          <w:lang w:val="en-US"/>
        </w:rPr>
        <w:t>d how the employment loss</w:t>
      </w:r>
      <w:r w:rsidRPr="004C1E85">
        <w:rPr>
          <w:sz w:val="24"/>
          <w:szCs w:val="24"/>
          <w:lang w:val="en-US"/>
        </w:rPr>
        <w:t>, long-term unemployment and</w:t>
      </w:r>
      <w:r>
        <w:rPr>
          <w:sz w:val="24"/>
          <w:szCs w:val="24"/>
          <w:lang w:val="en-US"/>
        </w:rPr>
        <w:t xml:space="preserve"> how the impact of the crisis is different for every group of our </w:t>
      </w:r>
      <w:proofErr w:type="spellStart"/>
      <w:r>
        <w:rPr>
          <w:sz w:val="24"/>
          <w:szCs w:val="24"/>
          <w:lang w:val="en-US"/>
        </w:rPr>
        <w:t>labour</w:t>
      </w:r>
      <w:proofErr w:type="spellEnd"/>
      <w:r>
        <w:rPr>
          <w:sz w:val="24"/>
          <w:szCs w:val="24"/>
          <w:lang w:val="en-US"/>
        </w:rPr>
        <w:t xml:space="preserve"> market. In this paper, we </w:t>
      </w:r>
      <w:r w:rsidRPr="004C1E85">
        <w:rPr>
          <w:sz w:val="24"/>
          <w:szCs w:val="24"/>
          <w:lang w:val="en-US"/>
        </w:rPr>
        <w:t xml:space="preserve">analyze and comment some of the mains </w:t>
      </w:r>
      <w:proofErr w:type="spellStart"/>
      <w:r w:rsidRPr="004C1E85">
        <w:rPr>
          <w:sz w:val="24"/>
          <w:szCs w:val="24"/>
          <w:lang w:val="en-US"/>
        </w:rPr>
        <w:t>labour</w:t>
      </w:r>
      <w:proofErr w:type="spellEnd"/>
      <w:r w:rsidRPr="004C1E85">
        <w:rPr>
          <w:sz w:val="24"/>
          <w:szCs w:val="24"/>
          <w:lang w:val="en-US"/>
        </w:rPr>
        <w:t xml:space="preserve"> market indicators</w:t>
      </w:r>
      <w:r>
        <w:rPr>
          <w:sz w:val="24"/>
          <w:szCs w:val="24"/>
          <w:lang w:val="en-US"/>
        </w:rPr>
        <w:t xml:space="preserve"> which are analyzed to </w:t>
      </w:r>
      <w:r w:rsidRPr="004C1E85">
        <w:rPr>
          <w:sz w:val="24"/>
          <w:szCs w:val="24"/>
          <w:lang w:val="en-US"/>
        </w:rPr>
        <w:t>help us to know better the current situation, the wor</w:t>
      </w:r>
      <w:r>
        <w:rPr>
          <w:sz w:val="24"/>
          <w:szCs w:val="24"/>
          <w:lang w:val="en-US"/>
        </w:rPr>
        <w:t>st quality of life and work conditions, the rising of pov</w:t>
      </w:r>
      <w:r w:rsidRPr="004C1E85">
        <w:rPr>
          <w:sz w:val="24"/>
          <w:szCs w:val="24"/>
          <w:lang w:val="en-US"/>
        </w:rPr>
        <w:t>erty in our country and how the unemployment doesn`t affect</w:t>
      </w:r>
      <w:r>
        <w:rPr>
          <w:sz w:val="24"/>
          <w:szCs w:val="24"/>
          <w:lang w:val="en-US"/>
        </w:rPr>
        <w:t xml:space="preserve"> all</w:t>
      </w:r>
      <w:r w:rsidRPr="004C1E85">
        <w:rPr>
          <w:sz w:val="24"/>
          <w:szCs w:val="24"/>
          <w:lang w:val="en-US"/>
        </w:rPr>
        <w:t xml:space="preserve"> population</w:t>
      </w:r>
      <w:r>
        <w:rPr>
          <w:sz w:val="24"/>
          <w:szCs w:val="24"/>
          <w:lang w:val="en-US"/>
        </w:rPr>
        <w:t xml:space="preserve"> in the same way. To conclude,</w:t>
      </w:r>
      <w:r w:rsidRPr="004C1E85">
        <w:rPr>
          <w:sz w:val="24"/>
          <w:szCs w:val="24"/>
          <w:lang w:val="en-US"/>
        </w:rPr>
        <w:t xml:space="preserve"> a list of expert`s advices that could help us to ease up the negative effects of crisis</w:t>
      </w:r>
      <w:r>
        <w:rPr>
          <w:sz w:val="24"/>
          <w:szCs w:val="24"/>
          <w:lang w:val="en-US"/>
        </w:rPr>
        <w:t xml:space="preserve"> are exposed with the objective to mak</w:t>
      </w:r>
      <w:r w:rsidRPr="004C1E85">
        <w:rPr>
          <w:sz w:val="24"/>
          <w:szCs w:val="24"/>
          <w:lang w:val="en-US"/>
        </w:rPr>
        <w:t>e easier the future economic recovery.</w:t>
      </w:r>
    </w:p>
    <w:p w:rsidR="00A35FB3" w:rsidRPr="006D3CB8" w:rsidRDefault="00A35FB3" w:rsidP="00A35FB3">
      <w:pPr>
        <w:spacing w:line="360" w:lineRule="auto"/>
        <w:jc w:val="both"/>
        <w:rPr>
          <w:lang w:val="en-US"/>
        </w:rPr>
      </w:pPr>
      <w:r w:rsidRPr="006D3CB8">
        <w:rPr>
          <w:lang w:val="en-US"/>
        </w:rPr>
        <w:tab/>
      </w:r>
    </w:p>
    <w:p w:rsidR="00A35FB3" w:rsidRPr="006D3CB8" w:rsidRDefault="00A35FB3" w:rsidP="00A35FB3">
      <w:pPr>
        <w:spacing w:line="360" w:lineRule="auto"/>
        <w:jc w:val="both"/>
        <w:rPr>
          <w:lang w:val="en-US"/>
        </w:rPr>
      </w:pPr>
      <w:r w:rsidRPr="006D3CB8">
        <w:rPr>
          <w:lang w:val="en-US"/>
        </w:rPr>
        <w:tab/>
      </w:r>
    </w:p>
    <w:p w:rsidR="00A35FB3" w:rsidRPr="006D3CB8" w:rsidRDefault="00A35FB3" w:rsidP="00A35FB3">
      <w:pPr>
        <w:spacing w:line="360" w:lineRule="auto"/>
        <w:jc w:val="both"/>
        <w:rPr>
          <w:lang w:val="en-US"/>
        </w:rPr>
      </w:pPr>
    </w:p>
    <w:p w:rsidR="00A35FB3" w:rsidRPr="006D3CB8" w:rsidRDefault="00A35FB3" w:rsidP="00A35FB3">
      <w:pPr>
        <w:spacing w:line="360" w:lineRule="auto"/>
        <w:jc w:val="both"/>
        <w:rPr>
          <w:lang w:val="en-US"/>
        </w:rPr>
      </w:pPr>
    </w:p>
    <w:p w:rsidR="00A35FB3" w:rsidRDefault="00A35FB3" w:rsidP="00A35FB3">
      <w:pPr>
        <w:spacing w:line="360" w:lineRule="auto"/>
        <w:rPr>
          <w:lang w:val="en-US"/>
        </w:rPr>
      </w:pPr>
    </w:p>
    <w:p w:rsidR="00A35FB3" w:rsidRDefault="00A35FB3" w:rsidP="00A35FB3">
      <w:pPr>
        <w:spacing w:line="360" w:lineRule="auto"/>
        <w:rPr>
          <w:lang w:val="en-US"/>
        </w:rPr>
      </w:pPr>
    </w:p>
    <w:p w:rsidR="00A35FB3" w:rsidRDefault="00A35FB3" w:rsidP="00A35FB3">
      <w:pPr>
        <w:spacing w:line="360" w:lineRule="auto"/>
        <w:rPr>
          <w:lang w:val="en-US"/>
        </w:rPr>
      </w:pPr>
    </w:p>
    <w:p w:rsidR="00A35FB3" w:rsidRDefault="00A35FB3" w:rsidP="00A35FB3">
      <w:pPr>
        <w:spacing w:line="360" w:lineRule="auto"/>
        <w:rPr>
          <w:lang w:val="en-US"/>
        </w:rPr>
      </w:pPr>
    </w:p>
    <w:p w:rsidR="00A35FB3" w:rsidRDefault="00A35FB3" w:rsidP="00A35FB3">
      <w:pPr>
        <w:spacing w:line="360" w:lineRule="auto"/>
        <w:rPr>
          <w:lang w:val="en-US"/>
        </w:rPr>
      </w:pPr>
    </w:p>
    <w:p w:rsidR="00A35FB3" w:rsidRDefault="00A35FB3" w:rsidP="00A35FB3">
      <w:pPr>
        <w:spacing w:line="360" w:lineRule="auto"/>
        <w:rPr>
          <w:lang w:val="en-US"/>
        </w:rPr>
      </w:pPr>
    </w:p>
    <w:p w:rsidR="00A35FB3" w:rsidRDefault="00A35FB3" w:rsidP="00A35FB3">
      <w:pPr>
        <w:spacing w:line="360" w:lineRule="auto"/>
        <w:rPr>
          <w:lang w:val="en-US"/>
        </w:rPr>
      </w:pPr>
    </w:p>
    <w:p w:rsidR="00A35FB3" w:rsidRPr="006D3CB8" w:rsidRDefault="00A35FB3" w:rsidP="00A35FB3">
      <w:pPr>
        <w:spacing w:line="360" w:lineRule="auto"/>
        <w:rPr>
          <w:b/>
          <w:sz w:val="24"/>
          <w:szCs w:val="24"/>
          <w:lang w:val="en-US"/>
        </w:rPr>
      </w:pPr>
    </w:p>
    <w:p w:rsidR="00A35FB3" w:rsidRPr="00E56C6A" w:rsidRDefault="00A35FB3" w:rsidP="00A35FB3">
      <w:pPr>
        <w:pStyle w:val="Prrafodelista"/>
        <w:numPr>
          <w:ilvl w:val="0"/>
          <w:numId w:val="26"/>
        </w:numPr>
        <w:spacing w:line="360" w:lineRule="auto"/>
        <w:rPr>
          <w:rFonts w:ascii="Times New Roman" w:hAnsi="Times New Roman" w:cs="Times New Roman"/>
          <w:b/>
          <w:sz w:val="24"/>
          <w:szCs w:val="24"/>
        </w:rPr>
      </w:pPr>
      <w:r w:rsidRPr="00BD2ACB">
        <w:rPr>
          <w:rFonts w:ascii="Times New Roman" w:hAnsi="Times New Roman" w:cs="Times New Roman"/>
          <w:b/>
          <w:sz w:val="24"/>
          <w:szCs w:val="24"/>
          <w:lang w:val="en-US"/>
        </w:rPr>
        <w:lastRenderedPageBreak/>
        <w:t xml:space="preserve"> </w:t>
      </w:r>
      <w:r w:rsidRPr="00E56C6A">
        <w:rPr>
          <w:rFonts w:ascii="Times New Roman" w:hAnsi="Times New Roman" w:cs="Times New Roman"/>
          <w:b/>
          <w:sz w:val="24"/>
          <w:szCs w:val="24"/>
        </w:rPr>
        <w:t>INTRODUCCIÓN</w:t>
      </w:r>
    </w:p>
    <w:p w:rsidR="00A35FB3" w:rsidRPr="00D9348F" w:rsidRDefault="00A35FB3" w:rsidP="00A35FB3">
      <w:pPr>
        <w:spacing w:line="360" w:lineRule="auto"/>
        <w:jc w:val="both"/>
        <w:rPr>
          <w:sz w:val="24"/>
          <w:szCs w:val="24"/>
        </w:rPr>
      </w:pPr>
      <w:r w:rsidRPr="00D9348F">
        <w:rPr>
          <w:sz w:val="24"/>
          <w:szCs w:val="24"/>
        </w:rPr>
        <w:t xml:space="preserve">El aumento que ha experimentado nuestra tasa de desempleo en los </w:t>
      </w:r>
      <w:r>
        <w:rPr>
          <w:sz w:val="24"/>
          <w:szCs w:val="24"/>
        </w:rPr>
        <w:t>últimos</w:t>
      </w:r>
      <w:r w:rsidRPr="00D9348F">
        <w:rPr>
          <w:sz w:val="24"/>
          <w:szCs w:val="24"/>
        </w:rPr>
        <w:t xml:space="preserve"> 7</w:t>
      </w:r>
      <w:r>
        <w:rPr>
          <w:sz w:val="24"/>
          <w:szCs w:val="24"/>
        </w:rPr>
        <w:t xml:space="preserve"> años, llegando a superar el 27 por 100</w:t>
      </w:r>
      <w:r w:rsidRPr="00D9348F">
        <w:rPr>
          <w:sz w:val="24"/>
          <w:szCs w:val="24"/>
        </w:rPr>
        <w:t xml:space="preserve"> en el primer trimestre de 2013, nos permite apreciar la magnitud que está teniendo el actual contexto económico recesivo en nuestro país y en la población en particular. Si a todo esto le añadimos los efectos adversos que tiene el hecho de permanecer en el d</w:t>
      </w:r>
      <w:r>
        <w:rPr>
          <w:sz w:val="24"/>
          <w:szCs w:val="24"/>
        </w:rPr>
        <w:t>esempleo durante largo intervalos</w:t>
      </w:r>
      <w:r w:rsidRPr="00D9348F">
        <w:rPr>
          <w:sz w:val="24"/>
          <w:szCs w:val="24"/>
        </w:rPr>
        <w:t xml:space="preserve"> de tiempo, como le ocurre a gran parte de </w:t>
      </w:r>
      <w:r>
        <w:rPr>
          <w:sz w:val="24"/>
          <w:szCs w:val="24"/>
        </w:rPr>
        <w:t>los parados</w:t>
      </w:r>
      <w:r w:rsidRPr="00D9348F">
        <w:rPr>
          <w:sz w:val="24"/>
          <w:szCs w:val="24"/>
        </w:rPr>
        <w:t>, podemos hacernos una idea de cómo ha empeorado la situación de la población española tras el estallido de la crisis.</w:t>
      </w:r>
    </w:p>
    <w:p w:rsidR="00A35FB3" w:rsidRDefault="00A35FB3" w:rsidP="00A35FB3">
      <w:pPr>
        <w:spacing w:line="360" w:lineRule="auto"/>
        <w:jc w:val="both"/>
        <w:rPr>
          <w:sz w:val="24"/>
          <w:szCs w:val="24"/>
        </w:rPr>
      </w:pPr>
      <w:r>
        <w:rPr>
          <w:sz w:val="24"/>
          <w:szCs w:val="24"/>
        </w:rPr>
        <w:t>E</w:t>
      </w:r>
      <w:r w:rsidRPr="00D9348F">
        <w:rPr>
          <w:sz w:val="24"/>
          <w:szCs w:val="24"/>
        </w:rPr>
        <w:t>n este trabajo</w:t>
      </w:r>
      <w:r>
        <w:rPr>
          <w:sz w:val="24"/>
          <w:szCs w:val="24"/>
        </w:rPr>
        <w:t xml:space="preserve"> se realiza</w:t>
      </w:r>
      <w:r w:rsidRPr="00D9348F">
        <w:rPr>
          <w:sz w:val="24"/>
          <w:szCs w:val="24"/>
        </w:rPr>
        <w:t xml:space="preserve"> una aproximación a la realidad del mercado laboral  español a través del análisis de algunos de los indicadores más importantes de nuestro mercado de trabajo. </w:t>
      </w:r>
      <w:r>
        <w:rPr>
          <w:sz w:val="24"/>
          <w:szCs w:val="24"/>
        </w:rPr>
        <w:t>Tras esta breve introducción, e</w:t>
      </w:r>
      <w:r w:rsidRPr="00D9348F">
        <w:rPr>
          <w:sz w:val="24"/>
          <w:szCs w:val="24"/>
        </w:rPr>
        <w:t>n el apartado 2 se describen cuales son las principales fuentes estadísticas que se util</w:t>
      </w:r>
      <w:r>
        <w:rPr>
          <w:sz w:val="24"/>
          <w:szCs w:val="24"/>
        </w:rPr>
        <w:t>i</w:t>
      </w:r>
      <w:r w:rsidRPr="00D9348F">
        <w:rPr>
          <w:sz w:val="24"/>
          <w:szCs w:val="24"/>
        </w:rPr>
        <w:t xml:space="preserve">zan para obtener información sobre aspectos del mercado laboral, como son el Instituto Nacional de Estadística y el Servicio Público de Empleo Estatal. En el apartado 3 </w:t>
      </w:r>
      <w:r>
        <w:rPr>
          <w:sz w:val="24"/>
          <w:szCs w:val="24"/>
        </w:rPr>
        <w:t>se realiza</w:t>
      </w:r>
      <w:r w:rsidRPr="00D9348F">
        <w:rPr>
          <w:sz w:val="24"/>
          <w:szCs w:val="24"/>
        </w:rPr>
        <w:t xml:space="preserve"> una caracterización de la población española mediante una comparación entre la situación antes y después de la crisis; además de realizar una comparación con otros </w:t>
      </w:r>
      <w:r>
        <w:rPr>
          <w:sz w:val="24"/>
          <w:szCs w:val="24"/>
        </w:rPr>
        <w:t xml:space="preserve">países de la Unión Europea. El </w:t>
      </w:r>
      <w:r w:rsidRPr="00D9348F">
        <w:rPr>
          <w:sz w:val="24"/>
          <w:szCs w:val="24"/>
        </w:rPr>
        <w:t>apartado 4 se centra en describir y analizar los principales indicador</w:t>
      </w:r>
      <w:r>
        <w:rPr>
          <w:sz w:val="24"/>
          <w:szCs w:val="24"/>
        </w:rPr>
        <w:t>es del mercado laboral, estudiar</w:t>
      </w:r>
      <w:r w:rsidRPr="00D9348F">
        <w:rPr>
          <w:sz w:val="24"/>
          <w:szCs w:val="24"/>
        </w:rPr>
        <w:t xml:space="preserve"> la evolución del desempleo para distintos colectivos y </w:t>
      </w:r>
      <w:r>
        <w:rPr>
          <w:sz w:val="24"/>
          <w:szCs w:val="24"/>
        </w:rPr>
        <w:t xml:space="preserve">mostrar </w:t>
      </w:r>
      <w:r w:rsidRPr="00D9348F">
        <w:rPr>
          <w:sz w:val="24"/>
          <w:szCs w:val="24"/>
        </w:rPr>
        <w:t xml:space="preserve">algunas de las principales causas de nuestro </w:t>
      </w:r>
      <w:r>
        <w:rPr>
          <w:sz w:val="24"/>
          <w:szCs w:val="24"/>
        </w:rPr>
        <w:t>paro</w:t>
      </w:r>
      <w:r w:rsidRPr="00D9348F">
        <w:rPr>
          <w:sz w:val="24"/>
          <w:szCs w:val="24"/>
        </w:rPr>
        <w:t xml:space="preserve"> juvenil. El apartado 5 trata de reflejar algunos de los efectos que está teniendo el desempleo en la población. En el apartado 6 se proponen una serie de recomendaciones para mejorar el mercado de trabajo y también otras para el conjunto de la economía espa</w:t>
      </w:r>
      <w:r>
        <w:rPr>
          <w:sz w:val="24"/>
          <w:szCs w:val="24"/>
        </w:rPr>
        <w:t>ñola. Y, por último, el apartado 7 resume</w:t>
      </w:r>
      <w:r w:rsidRPr="00D9348F">
        <w:rPr>
          <w:sz w:val="24"/>
          <w:szCs w:val="24"/>
        </w:rPr>
        <w:t xml:space="preserve"> las conclusiones más relevantes. </w:t>
      </w:r>
    </w:p>
    <w:p w:rsidR="00A35FB3" w:rsidRDefault="00A35FB3" w:rsidP="00A35FB3">
      <w:pPr>
        <w:spacing w:line="360" w:lineRule="auto"/>
        <w:jc w:val="both"/>
        <w:rPr>
          <w:sz w:val="24"/>
          <w:szCs w:val="24"/>
        </w:rPr>
      </w:pPr>
    </w:p>
    <w:p w:rsidR="00A35FB3" w:rsidRDefault="00A35FB3" w:rsidP="00A35FB3">
      <w:pPr>
        <w:spacing w:line="360" w:lineRule="auto"/>
        <w:jc w:val="both"/>
        <w:rPr>
          <w:sz w:val="24"/>
          <w:szCs w:val="24"/>
        </w:rPr>
      </w:pPr>
    </w:p>
    <w:p w:rsidR="00A35FB3" w:rsidRDefault="00A35FB3" w:rsidP="00A35FB3">
      <w:pPr>
        <w:spacing w:line="360" w:lineRule="auto"/>
        <w:jc w:val="both"/>
        <w:rPr>
          <w:sz w:val="24"/>
          <w:szCs w:val="24"/>
        </w:rPr>
      </w:pPr>
    </w:p>
    <w:p w:rsidR="00A35FB3" w:rsidRDefault="00A35FB3" w:rsidP="00A35FB3">
      <w:pPr>
        <w:spacing w:line="360" w:lineRule="auto"/>
        <w:jc w:val="both"/>
        <w:rPr>
          <w:sz w:val="24"/>
          <w:szCs w:val="24"/>
        </w:rPr>
      </w:pPr>
    </w:p>
    <w:p w:rsidR="00A35FB3" w:rsidRDefault="00A35FB3" w:rsidP="00A35FB3">
      <w:pPr>
        <w:spacing w:line="360" w:lineRule="auto"/>
        <w:jc w:val="both"/>
        <w:rPr>
          <w:sz w:val="24"/>
          <w:szCs w:val="24"/>
        </w:rPr>
      </w:pPr>
    </w:p>
    <w:p w:rsidR="00A35FB3" w:rsidRDefault="00A35FB3" w:rsidP="00A35FB3">
      <w:pPr>
        <w:spacing w:line="360" w:lineRule="auto"/>
        <w:jc w:val="both"/>
        <w:rPr>
          <w:b/>
          <w:sz w:val="24"/>
          <w:szCs w:val="24"/>
        </w:rPr>
      </w:pPr>
    </w:p>
    <w:p w:rsidR="00A35FB3" w:rsidRDefault="00A35FB3" w:rsidP="00A35FB3">
      <w:pPr>
        <w:spacing w:line="360" w:lineRule="auto"/>
        <w:jc w:val="both"/>
        <w:rPr>
          <w:b/>
          <w:sz w:val="24"/>
          <w:szCs w:val="24"/>
        </w:rPr>
      </w:pPr>
    </w:p>
    <w:p w:rsidR="00A35FB3" w:rsidRDefault="00A35FB3" w:rsidP="00A35FB3">
      <w:pPr>
        <w:spacing w:line="360" w:lineRule="auto"/>
        <w:jc w:val="both"/>
        <w:rPr>
          <w:b/>
          <w:sz w:val="24"/>
          <w:szCs w:val="24"/>
        </w:rPr>
      </w:pPr>
    </w:p>
    <w:p w:rsidR="00E3140D" w:rsidRDefault="00E3140D" w:rsidP="00A35FB3">
      <w:pPr>
        <w:spacing w:line="360" w:lineRule="auto"/>
        <w:jc w:val="both"/>
        <w:rPr>
          <w:b/>
          <w:sz w:val="24"/>
          <w:szCs w:val="24"/>
        </w:rPr>
      </w:pPr>
    </w:p>
    <w:p w:rsidR="00E3140D" w:rsidRDefault="00E3140D" w:rsidP="00A35FB3">
      <w:pPr>
        <w:spacing w:line="360" w:lineRule="auto"/>
        <w:jc w:val="both"/>
        <w:rPr>
          <w:b/>
          <w:sz w:val="24"/>
          <w:szCs w:val="24"/>
        </w:rPr>
      </w:pPr>
    </w:p>
    <w:p w:rsidR="00E3140D" w:rsidRPr="00DE781C" w:rsidRDefault="00E3140D" w:rsidP="00A35FB3">
      <w:pPr>
        <w:spacing w:line="360" w:lineRule="auto"/>
        <w:jc w:val="both"/>
        <w:rPr>
          <w:b/>
          <w:sz w:val="24"/>
          <w:szCs w:val="24"/>
        </w:rPr>
      </w:pPr>
    </w:p>
    <w:p w:rsidR="00A35FB3" w:rsidRDefault="00A35FB3" w:rsidP="00A35FB3">
      <w:pPr>
        <w:pStyle w:val="Prrafodelista"/>
        <w:numPr>
          <w:ilvl w:val="0"/>
          <w:numId w:val="21"/>
        </w:numPr>
        <w:spacing w:line="360" w:lineRule="auto"/>
      </w:pPr>
      <w:r w:rsidRPr="00E56C6A">
        <w:rPr>
          <w:rFonts w:ascii="Times New Roman" w:hAnsi="Times New Roman" w:cs="Times New Roman"/>
          <w:b/>
          <w:sz w:val="24"/>
          <w:szCs w:val="24"/>
        </w:rPr>
        <w:lastRenderedPageBreak/>
        <w:t>CUESTIONES CONCEPTUALES Y METODOLÓGICAS</w:t>
      </w:r>
      <w:r>
        <w:t xml:space="preserve">  </w:t>
      </w:r>
    </w:p>
    <w:p w:rsidR="00A35FB3" w:rsidRPr="004C1E85" w:rsidRDefault="00A35FB3" w:rsidP="00A35FB3">
      <w:pPr>
        <w:spacing w:line="360" w:lineRule="auto"/>
        <w:jc w:val="both"/>
        <w:rPr>
          <w:sz w:val="24"/>
          <w:szCs w:val="24"/>
        </w:rPr>
      </w:pPr>
      <w:r w:rsidRPr="004C1E85">
        <w:rPr>
          <w:sz w:val="24"/>
          <w:szCs w:val="24"/>
        </w:rPr>
        <w:t xml:space="preserve">El estudio que </w:t>
      </w:r>
      <w:r>
        <w:rPr>
          <w:sz w:val="24"/>
          <w:szCs w:val="24"/>
        </w:rPr>
        <w:t>se ha  realizado</w:t>
      </w:r>
      <w:r w:rsidRPr="004C1E85">
        <w:rPr>
          <w:sz w:val="24"/>
          <w:szCs w:val="24"/>
        </w:rPr>
        <w:t xml:space="preserve"> sobre el mercado de trabajo en España está comprendido en </w:t>
      </w:r>
      <w:proofErr w:type="gramStart"/>
      <w:r w:rsidRPr="004C1E85">
        <w:rPr>
          <w:sz w:val="24"/>
          <w:szCs w:val="24"/>
        </w:rPr>
        <w:t>un</w:t>
      </w:r>
      <w:proofErr w:type="gramEnd"/>
      <w:r w:rsidRPr="004C1E85">
        <w:rPr>
          <w:sz w:val="24"/>
          <w:szCs w:val="24"/>
        </w:rPr>
        <w:t xml:space="preserve"> </w:t>
      </w:r>
      <w:r>
        <w:rPr>
          <w:sz w:val="24"/>
          <w:szCs w:val="24"/>
        </w:rPr>
        <w:t>fase</w:t>
      </w:r>
      <w:r w:rsidRPr="004C1E85">
        <w:rPr>
          <w:sz w:val="24"/>
          <w:szCs w:val="24"/>
        </w:rPr>
        <w:t xml:space="preserve"> temporal que va de 2000 a 2013. En este tiempo, la economía</w:t>
      </w:r>
      <w:r>
        <w:rPr>
          <w:sz w:val="24"/>
          <w:szCs w:val="24"/>
        </w:rPr>
        <w:t xml:space="preserve"> española ha vivido dos etapas diferenciada</w:t>
      </w:r>
      <w:r w:rsidRPr="004C1E85">
        <w:rPr>
          <w:sz w:val="24"/>
          <w:szCs w:val="24"/>
        </w:rPr>
        <w:t xml:space="preserve">s, entre 2000 y 2007 la economía española vivió uno de las etapas de crecimiento económico más importantes de su historia, pero a partir de 2007 y hasta la actualidad se encuentra inmersa en la mayor crisis económica de la historia, con elevados niveles de desempleo  y fuertes empeoramientos en las principales </w:t>
      </w:r>
      <w:proofErr w:type="spellStart"/>
      <w:r w:rsidRPr="004C1E85">
        <w:rPr>
          <w:sz w:val="24"/>
          <w:szCs w:val="24"/>
        </w:rPr>
        <w:t>macromagnitudes</w:t>
      </w:r>
      <w:proofErr w:type="spellEnd"/>
      <w:r w:rsidRPr="004C1E85">
        <w:rPr>
          <w:sz w:val="24"/>
          <w:szCs w:val="24"/>
        </w:rPr>
        <w:t>.</w:t>
      </w:r>
      <w:r>
        <w:rPr>
          <w:sz w:val="24"/>
          <w:szCs w:val="24"/>
        </w:rPr>
        <w:t xml:space="preserve">  Los primeros gráficos (hasta el gráfico 5) comprenden este período temporal al tratar de reflejar cual es la situación de partida del mercado laboral español antes de 2007; a partir de este gráfico, el período temporal más utilizado transcurre  desde 2007 hasta nuestros días con la finalidad de centrar el análisis en el momento recesivo de nuestra economía.</w:t>
      </w:r>
      <w:r w:rsidRPr="004C1E85">
        <w:rPr>
          <w:sz w:val="24"/>
          <w:szCs w:val="24"/>
        </w:rPr>
        <w:t xml:space="preserve"> </w:t>
      </w:r>
    </w:p>
    <w:p w:rsidR="00A35FB3" w:rsidRPr="004C1E85" w:rsidRDefault="00A35FB3" w:rsidP="00A35FB3">
      <w:pPr>
        <w:spacing w:line="360" w:lineRule="auto"/>
        <w:jc w:val="both"/>
        <w:rPr>
          <w:sz w:val="24"/>
          <w:szCs w:val="24"/>
        </w:rPr>
      </w:pPr>
      <w:r w:rsidRPr="004C1E85">
        <w:rPr>
          <w:sz w:val="24"/>
          <w:szCs w:val="24"/>
        </w:rPr>
        <w:t xml:space="preserve">Las fuentes estadísticas </w:t>
      </w:r>
      <w:r>
        <w:rPr>
          <w:sz w:val="24"/>
          <w:szCs w:val="24"/>
        </w:rPr>
        <w:t>disponibles</w:t>
      </w:r>
      <w:r w:rsidRPr="004C1E85">
        <w:rPr>
          <w:sz w:val="24"/>
          <w:szCs w:val="24"/>
        </w:rPr>
        <w:t xml:space="preserve"> para analizar el mercado de trabajo en España son muy variadas, aunque las que se usan más frecuentemente forman un grupo reducido. La fuente de mayor importancia es la Encuesta de Población Activo (EPA), elaborada por el Instituto Nacional de Estadística (INE, en adelante). Se publicó por primera vez en 1964. Su metodología está adaptada a la Encuesta de Fuerzas del Trabajo que elabora </w:t>
      </w:r>
      <w:proofErr w:type="spellStart"/>
      <w:r w:rsidRPr="004C1E85">
        <w:rPr>
          <w:sz w:val="24"/>
          <w:szCs w:val="24"/>
        </w:rPr>
        <w:t>Eurostat</w:t>
      </w:r>
      <w:proofErr w:type="spellEnd"/>
      <w:r w:rsidRPr="004C1E85">
        <w:rPr>
          <w:sz w:val="24"/>
          <w:szCs w:val="24"/>
        </w:rPr>
        <w:t xml:space="preserve"> para la Unión Europea. Tras diversos cambios, en 2005 se produjo el último de carácter metodológico sustancial hasta el momento, introducie</w:t>
      </w:r>
      <w:r>
        <w:rPr>
          <w:sz w:val="24"/>
          <w:szCs w:val="24"/>
        </w:rPr>
        <w:t xml:space="preserve">ndo un nuevo cuestionario y un </w:t>
      </w:r>
      <w:r w:rsidRPr="004C1E85">
        <w:rPr>
          <w:sz w:val="24"/>
          <w:szCs w:val="24"/>
        </w:rPr>
        <w:t>control centralizado del sistema de recogida mediante encuesta telefónica asistida por ordenador.</w:t>
      </w:r>
    </w:p>
    <w:p w:rsidR="00A35FB3" w:rsidRPr="004C1E85" w:rsidRDefault="00A35FB3" w:rsidP="00A35FB3">
      <w:pPr>
        <w:spacing w:line="360" w:lineRule="auto"/>
        <w:jc w:val="both"/>
        <w:rPr>
          <w:sz w:val="24"/>
          <w:szCs w:val="24"/>
        </w:rPr>
      </w:pPr>
      <w:r w:rsidRPr="004C1E85">
        <w:rPr>
          <w:sz w:val="24"/>
          <w:szCs w:val="24"/>
        </w:rPr>
        <w:t xml:space="preserve">A partir de este año, parte de las variables de la encuesta pasaron a recogerse de forma exclusiva en una </w:t>
      </w:r>
      <w:proofErr w:type="spellStart"/>
      <w:r w:rsidRPr="004C1E85">
        <w:rPr>
          <w:sz w:val="24"/>
          <w:szCs w:val="24"/>
        </w:rPr>
        <w:t>submuestra</w:t>
      </w:r>
      <w:proofErr w:type="spellEnd"/>
      <w:r w:rsidRPr="004C1E85">
        <w:rPr>
          <w:sz w:val="24"/>
          <w:szCs w:val="24"/>
        </w:rPr>
        <w:t xml:space="preserve"> anual representativa de la situación promedio del año, en lugar de obtenerse trimestralmente. Son las llamadas ‘variables de </w:t>
      </w:r>
      <w:proofErr w:type="spellStart"/>
      <w:r w:rsidRPr="004C1E85">
        <w:rPr>
          <w:sz w:val="24"/>
          <w:szCs w:val="24"/>
        </w:rPr>
        <w:t>submuestra</w:t>
      </w:r>
      <w:proofErr w:type="spellEnd"/>
      <w:r w:rsidRPr="004C1E85">
        <w:rPr>
          <w:sz w:val="24"/>
          <w:szCs w:val="24"/>
        </w:rPr>
        <w:t xml:space="preserve"> anual’ cuyos resultados se difunden con periodicidad anual. También en 2005 se calcularon series retrospectivas para el período 1996-2004 con la nueva base de población instaurada ese año, con el fin de mantener la homogeneidad de las estimaciones. El período anterior quedó sin variaciones. Las cifras actuales de la encuesta se encuadran en la metodología instaurada en 2005. </w:t>
      </w:r>
    </w:p>
    <w:p w:rsidR="00A35FB3" w:rsidRPr="004C1E85" w:rsidRDefault="00A35FB3" w:rsidP="00A35FB3">
      <w:pPr>
        <w:autoSpaceDE w:val="0"/>
        <w:autoSpaceDN w:val="0"/>
        <w:adjustRightInd w:val="0"/>
        <w:spacing w:line="360" w:lineRule="auto"/>
        <w:jc w:val="both"/>
        <w:rPr>
          <w:sz w:val="24"/>
          <w:szCs w:val="24"/>
        </w:rPr>
      </w:pPr>
      <w:r w:rsidRPr="004C1E85">
        <w:rPr>
          <w:sz w:val="24"/>
          <w:szCs w:val="24"/>
        </w:rPr>
        <w:t xml:space="preserve">La finalidad principal de la Encuesta de Población Activa (EPA) es conocer la actividad económica en lo relativo a su componente humano. Está orientada a dar datos de las principales categorías poblacionales en relación con el mercado de trabajo (ocupados, parados, activos, inactivos) y a obtener clasificaciones de estas categorías según diversas características. También posibilita confeccionar series temporales homogéneas de resultados. Por último, al ser las definiciones y criterios utilizados coherentes con los establecidos por los </w:t>
      </w:r>
      <w:r w:rsidRPr="004C1E85">
        <w:rPr>
          <w:sz w:val="24"/>
          <w:szCs w:val="24"/>
        </w:rPr>
        <w:lastRenderedPageBreak/>
        <w:t>organismos internacionales que se ocupan de temas laborales, permite la comparación con datos de otros países.</w:t>
      </w:r>
    </w:p>
    <w:p w:rsidR="00A35FB3" w:rsidRPr="004C1E85" w:rsidRDefault="00A35FB3" w:rsidP="00A35FB3">
      <w:pPr>
        <w:autoSpaceDE w:val="0"/>
        <w:autoSpaceDN w:val="0"/>
        <w:adjustRightInd w:val="0"/>
        <w:spacing w:line="360" w:lineRule="auto"/>
        <w:jc w:val="both"/>
        <w:rPr>
          <w:sz w:val="24"/>
          <w:szCs w:val="24"/>
        </w:rPr>
      </w:pPr>
    </w:p>
    <w:p w:rsidR="00A35FB3" w:rsidRPr="004C1E85" w:rsidRDefault="00A35FB3" w:rsidP="00A35FB3">
      <w:pPr>
        <w:autoSpaceDE w:val="0"/>
        <w:autoSpaceDN w:val="0"/>
        <w:adjustRightInd w:val="0"/>
        <w:spacing w:line="360" w:lineRule="auto"/>
        <w:jc w:val="both"/>
        <w:rPr>
          <w:sz w:val="24"/>
          <w:szCs w:val="24"/>
        </w:rPr>
      </w:pPr>
      <w:r w:rsidRPr="004C1E85">
        <w:rPr>
          <w:sz w:val="24"/>
          <w:szCs w:val="24"/>
        </w:rPr>
        <w:t>Se obtienen resultados detallados para el conjunto nacional. Para las comunidades autónomas y las provincias se ofrece información sobre las principales características con el grado de desagregación que permite el coeficiente de variación de los estimadores.</w:t>
      </w:r>
    </w:p>
    <w:p w:rsidR="00A35FB3" w:rsidRPr="004C1E85" w:rsidRDefault="00A35FB3" w:rsidP="00A35FB3">
      <w:pPr>
        <w:autoSpaceDE w:val="0"/>
        <w:autoSpaceDN w:val="0"/>
        <w:adjustRightInd w:val="0"/>
        <w:spacing w:line="360" w:lineRule="auto"/>
        <w:jc w:val="both"/>
        <w:rPr>
          <w:sz w:val="24"/>
          <w:szCs w:val="24"/>
        </w:rPr>
      </w:pPr>
    </w:p>
    <w:p w:rsidR="00A35FB3" w:rsidRPr="004C1E85" w:rsidRDefault="00A35FB3" w:rsidP="00A35FB3">
      <w:pPr>
        <w:spacing w:line="360" w:lineRule="auto"/>
        <w:jc w:val="both"/>
        <w:rPr>
          <w:sz w:val="24"/>
          <w:szCs w:val="24"/>
        </w:rPr>
      </w:pPr>
      <w:r>
        <w:rPr>
          <w:sz w:val="24"/>
          <w:szCs w:val="24"/>
        </w:rPr>
        <w:t xml:space="preserve">Para el análisis que se ha </w:t>
      </w:r>
      <w:r w:rsidRPr="004C1E85">
        <w:rPr>
          <w:sz w:val="24"/>
          <w:szCs w:val="24"/>
        </w:rPr>
        <w:t>realizado, todos los datos de la EPA que se muestren estarán referenciados al cuarto trimestre del año, salvo que aparezca indicado lo contrario.</w:t>
      </w:r>
    </w:p>
    <w:p w:rsidR="00A35FB3" w:rsidRPr="004C1E85" w:rsidRDefault="00A35FB3" w:rsidP="00A35FB3">
      <w:pPr>
        <w:spacing w:line="360" w:lineRule="auto"/>
        <w:jc w:val="both"/>
        <w:rPr>
          <w:sz w:val="24"/>
          <w:szCs w:val="24"/>
        </w:rPr>
      </w:pPr>
    </w:p>
    <w:p w:rsidR="00A35FB3" w:rsidRPr="004C1E85" w:rsidRDefault="00A35FB3" w:rsidP="00A35FB3">
      <w:pPr>
        <w:spacing w:line="360" w:lineRule="auto"/>
        <w:jc w:val="both"/>
        <w:rPr>
          <w:sz w:val="24"/>
          <w:szCs w:val="24"/>
        </w:rPr>
      </w:pPr>
      <w:r w:rsidRPr="004C1E85">
        <w:rPr>
          <w:sz w:val="24"/>
          <w:szCs w:val="24"/>
        </w:rPr>
        <w:t xml:space="preserve">Para medir el desempleo, otra fuente estadística muy utilizada es el conocido Servicio Público de Empleo Estatal (SEPE) -anteriormente INEM- </w:t>
      </w:r>
      <w:r>
        <w:rPr>
          <w:sz w:val="24"/>
          <w:szCs w:val="24"/>
        </w:rPr>
        <w:t xml:space="preserve"> que </w:t>
      </w:r>
      <w:r w:rsidRPr="004C1E85">
        <w:rPr>
          <w:sz w:val="24"/>
          <w:szCs w:val="24"/>
        </w:rPr>
        <w:t>mantiene un registro administrativo en el que se pueden inscribir todos los desempleados que así lo decidan, es decir, se recoge exclusivamente el “paro registrado”. Esta fuente estadística solo permite calcular el “paro oficial”, ya que no registra adecuadamente determinadas situaciones. Así, pueden existir personas que estén inscritas y permanezcan ocupadas en la economía informal, o  desempleados que estén a la expectativa de un empleo pero no estén inscritos –por falta de confianza en su efectividad o por no poder disfrutar de los beneficios que su registro les ofrece (subvenciones por desempleo, cursos, etc.).</w:t>
      </w:r>
    </w:p>
    <w:p w:rsidR="00A35FB3" w:rsidRPr="004C1E85" w:rsidRDefault="00A35FB3" w:rsidP="00A35FB3">
      <w:pPr>
        <w:spacing w:line="360" w:lineRule="auto"/>
        <w:jc w:val="both"/>
        <w:rPr>
          <w:sz w:val="24"/>
          <w:szCs w:val="24"/>
        </w:rPr>
      </w:pPr>
      <w:r w:rsidRPr="004C1E85">
        <w:rPr>
          <w:sz w:val="24"/>
          <w:szCs w:val="24"/>
        </w:rPr>
        <w:t>Al ser una estadística de periodicidad mensual, los datos del paro registrado aparecerán siempre referidos a diciembre de cada año.</w:t>
      </w:r>
    </w:p>
    <w:p w:rsidR="00A35FB3" w:rsidRPr="004C1E85" w:rsidRDefault="00A35FB3" w:rsidP="00A35FB3">
      <w:pPr>
        <w:spacing w:line="360" w:lineRule="auto"/>
        <w:jc w:val="both"/>
        <w:rPr>
          <w:sz w:val="24"/>
          <w:szCs w:val="24"/>
        </w:rPr>
      </w:pPr>
      <w:r w:rsidRPr="004C1E85">
        <w:rPr>
          <w:sz w:val="24"/>
          <w:szCs w:val="24"/>
        </w:rPr>
        <w:t xml:space="preserve">Una tercera fuente de información a la que también se suele recurrir, aunque con menos relevancia es la que proporciona la Seguridad Social sobre los trabajadores afiliados en alta laboral a dicho sistema. </w:t>
      </w:r>
    </w:p>
    <w:p w:rsidR="00A35FB3" w:rsidRPr="004C1E85" w:rsidRDefault="00A35FB3" w:rsidP="00A35FB3">
      <w:pPr>
        <w:spacing w:line="360" w:lineRule="auto"/>
        <w:jc w:val="both"/>
        <w:rPr>
          <w:sz w:val="24"/>
          <w:szCs w:val="24"/>
        </w:rPr>
      </w:pPr>
      <w:r w:rsidRPr="004C1E85">
        <w:rPr>
          <w:sz w:val="24"/>
          <w:szCs w:val="24"/>
        </w:rPr>
        <w:t>Las limitaciones de esta estadística para estimar adecuadamente el volumen de ocupación son, entre otras, que una misma persona puede estar inscrita más de una vez, por ejemplo, en distintos regímenes simultáneamente.</w:t>
      </w:r>
    </w:p>
    <w:p w:rsidR="00A35FB3" w:rsidRPr="004C1E85" w:rsidRDefault="00A35FB3" w:rsidP="00A35FB3">
      <w:pPr>
        <w:spacing w:line="360" w:lineRule="auto"/>
        <w:jc w:val="both"/>
        <w:rPr>
          <w:sz w:val="24"/>
          <w:szCs w:val="24"/>
        </w:rPr>
      </w:pPr>
      <w:r w:rsidRPr="004C1E85">
        <w:rPr>
          <w:sz w:val="24"/>
          <w:szCs w:val="24"/>
        </w:rPr>
        <w:t>En resumen, la mayor parte del trabajo estará realizado en base a la EPA, si bien en algunas cuestiones, utilizaremos de forma complementaria los dat</w:t>
      </w:r>
      <w:r>
        <w:rPr>
          <w:sz w:val="24"/>
          <w:szCs w:val="24"/>
        </w:rPr>
        <w:t xml:space="preserve">os que proporcionan las otras. </w:t>
      </w:r>
    </w:p>
    <w:p w:rsidR="00A35FB3" w:rsidRDefault="00A35FB3" w:rsidP="00A35FB3">
      <w:pPr>
        <w:spacing w:line="360" w:lineRule="auto"/>
        <w:jc w:val="both"/>
        <w:rPr>
          <w:sz w:val="24"/>
          <w:szCs w:val="24"/>
        </w:rPr>
      </w:pPr>
      <w:r>
        <w:rPr>
          <w:sz w:val="24"/>
          <w:szCs w:val="24"/>
        </w:rPr>
        <w:t>A continuación aparecen</w:t>
      </w:r>
      <w:r w:rsidRPr="004C1E85">
        <w:rPr>
          <w:sz w:val="24"/>
          <w:szCs w:val="24"/>
        </w:rPr>
        <w:t xml:space="preserve"> los conceptos que se analizan al estudiar la situación del mercado de trabajo español según la metodología que emplea la EPA  (INE, 2008).</w:t>
      </w:r>
    </w:p>
    <w:p w:rsidR="00A35FB3" w:rsidRDefault="00A35FB3" w:rsidP="00A35FB3">
      <w:pPr>
        <w:spacing w:line="360" w:lineRule="auto"/>
        <w:jc w:val="both"/>
        <w:rPr>
          <w:sz w:val="24"/>
          <w:szCs w:val="24"/>
        </w:rPr>
      </w:pPr>
    </w:p>
    <w:p w:rsidR="00A35FB3" w:rsidRDefault="00A35FB3" w:rsidP="00A35FB3">
      <w:pPr>
        <w:spacing w:line="360" w:lineRule="auto"/>
        <w:jc w:val="both"/>
        <w:rPr>
          <w:sz w:val="24"/>
          <w:szCs w:val="24"/>
        </w:rPr>
      </w:pPr>
    </w:p>
    <w:p w:rsidR="00A35FB3" w:rsidRPr="004C1E85" w:rsidRDefault="00A35FB3" w:rsidP="00A35FB3">
      <w:pPr>
        <w:spacing w:line="360" w:lineRule="auto"/>
        <w:jc w:val="both"/>
        <w:rPr>
          <w:sz w:val="24"/>
          <w:szCs w:val="24"/>
        </w:rPr>
      </w:pPr>
    </w:p>
    <w:p w:rsidR="00A35FB3" w:rsidRPr="00BE639B" w:rsidRDefault="00A35FB3" w:rsidP="00A35FB3">
      <w:pPr>
        <w:autoSpaceDE w:val="0"/>
        <w:autoSpaceDN w:val="0"/>
        <w:adjustRightInd w:val="0"/>
        <w:spacing w:line="360" w:lineRule="auto"/>
        <w:jc w:val="both"/>
        <w:rPr>
          <w:b/>
          <w:bCs/>
          <w:color w:val="000000" w:themeColor="text1"/>
          <w:sz w:val="24"/>
          <w:szCs w:val="24"/>
          <w:u w:val="single"/>
        </w:rPr>
      </w:pPr>
      <w:r w:rsidRPr="00BE639B">
        <w:rPr>
          <w:b/>
          <w:bCs/>
          <w:color w:val="000000" w:themeColor="text1"/>
          <w:sz w:val="24"/>
          <w:szCs w:val="24"/>
          <w:u w:val="single"/>
        </w:rPr>
        <w:lastRenderedPageBreak/>
        <w:t>Población económicamente activa</w:t>
      </w:r>
    </w:p>
    <w:p w:rsidR="00A35FB3" w:rsidRPr="004C1E85" w:rsidRDefault="00A35FB3" w:rsidP="00A35FB3">
      <w:pPr>
        <w:autoSpaceDE w:val="0"/>
        <w:autoSpaceDN w:val="0"/>
        <w:adjustRightInd w:val="0"/>
        <w:spacing w:line="360" w:lineRule="auto"/>
        <w:jc w:val="both"/>
        <w:rPr>
          <w:sz w:val="24"/>
          <w:szCs w:val="24"/>
        </w:rPr>
      </w:pPr>
      <w:r w:rsidRPr="004C1E85">
        <w:rPr>
          <w:sz w:val="24"/>
          <w:szCs w:val="24"/>
        </w:rPr>
        <w:t>Es el conjunto de personas de unas edades determinadas (</w:t>
      </w:r>
      <w:r>
        <w:rPr>
          <w:sz w:val="24"/>
          <w:szCs w:val="24"/>
        </w:rPr>
        <w:t>16 años o más</w:t>
      </w:r>
      <w:r w:rsidRPr="004C1E85">
        <w:rPr>
          <w:sz w:val="24"/>
          <w:szCs w:val="24"/>
        </w:rPr>
        <w:t>) que, en un período de referencia dado, suministran mano de obra para la producción de bienes y servicios económicos o que están disponibles y hacen gestiones para incorporarse a dicha producción.</w:t>
      </w:r>
    </w:p>
    <w:p w:rsidR="00A35FB3" w:rsidRPr="00BE639B" w:rsidRDefault="00A35FB3" w:rsidP="00A35FB3">
      <w:pPr>
        <w:autoSpaceDE w:val="0"/>
        <w:autoSpaceDN w:val="0"/>
        <w:adjustRightInd w:val="0"/>
        <w:spacing w:line="360" w:lineRule="auto"/>
        <w:jc w:val="both"/>
        <w:rPr>
          <w:bCs/>
          <w:color w:val="000000" w:themeColor="text1"/>
          <w:sz w:val="24"/>
          <w:szCs w:val="24"/>
        </w:rPr>
      </w:pPr>
    </w:p>
    <w:p w:rsidR="00A35FB3" w:rsidRPr="00BE639B" w:rsidRDefault="00A35FB3" w:rsidP="00A35FB3">
      <w:pPr>
        <w:autoSpaceDE w:val="0"/>
        <w:autoSpaceDN w:val="0"/>
        <w:adjustRightInd w:val="0"/>
        <w:spacing w:line="360" w:lineRule="auto"/>
        <w:jc w:val="both"/>
        <w:rPr>
          <w:b/>
          <w:bCs/>
          <w:color w:val="000000" w:themeColor="text1"/>
          <w:sz w:val="24"/>
          <w:szCs w:val="24"/>
          <w:u w:val="single"/>
        </w:rPr>
      </w:pPr>
      <w:r w:rsidRPr="00BE639B">
        <w:rPr>
          <w:b/>
          <w:bCs/>
          <w:color w:val="000000" w:themeColor="text1"/>
          <w:sz w:val="24"/>
          <w:szCs w:val="24"/>
          <w:u w:val="single"/>
        </w:rPr>
        <w:t>Población ocupada (o personas con empleo)</w:t>
      </w:r>
    </w:p>
    <w:p w:rsidR="00A35FB3" w:rsidRPr="004C1E85" w:rsidRDefault="00A35FB3" w:rsidP="00A35FB3">
      <w:pPr>
        <w:autoSpaceDE w:val="0"/>
        <w:autoSpaceDN w:val="0"/>
        <w:adjustRightInd w:val="0"/>
        <w:spacing w:line="360" w:lineRule="auto"/>
        <w:jc w:val="both"/>
        <w:rPr>
          <w:sz w:val="24"/>
          <w:szCs w:val="24"/>
        </w:rPr>
      </w:pPr>
      <w:r w:rsidRPr="004C1E85">
        <w:rPr>
          <w:sz w:val="24"/>
          <w:szCs w:val="24"/>
        </w:rPr>
        <w:t xml:space="preserve">Es la formada por todas aquellas personas de 16 o más años que durante la semana de referencia han tenido un trabajo por cuenta ajena o </w:t>
      </w:r>
      <w:proofErr w:type="gramStart"/>
      <w:r w:rsidRPr="004C1E85">
        <w:rPr>
          <w:sz w:val="24"/>
          <w:szCs w:val="24"/>
        </w:rPr>
        <w:t>ejercido</w:t>
      </w:r>
      <w:proofErr w:type="gramEnd"/>
      <w:r w:rsidRPr="004C1E85">
        <w:rPr>
          <w:sz w:val="24"/>
          <w:szCs w:val="24"/>
        </w:rPr>
        <w:t xml:space="preserve"> una actividad por cuenta propia, según las definiciones dadas a continuación.</w:t>
      </w:r>
    </w:p>
    <w:p w:rsidR="00A35FB3" w:rsidRPr="004C1E85" w:rsidRDefault="00A35FB3" w:rsidP="00A35FB3">
      <w:pPr>
        <w:autoSpaceDE w:val="0"/>
        <w:autoSpaceDN w:val="0"/>
        <w:adjustRightInd w:val="0"/>
        <w:spacing w:line="360" w:lineRule="auto"/>
        <w:jc w:val="both"/>
        <w:rPr>
          <w:sz w:val="24"/>
          <w:szCs w:val="24"/>
        </w:rPr>
      </w:pPr>
    </w:p>
    <w:p w:rsidR="00A35FB3" w:rsidRPr="004C1E85" w:rsidRDefault="00A35FB3" w:rsidP="00A35FB3">
      <w:pPr>
        <w:pStyle w:val="Prrafodelista"/>
        <w:numPr>
          <w:ilvl w:val="0"/>
          <w:numId w:val="18"/>
        </w:numPr>
        <w:autoSpaceDE w:val="0"/>
        <w:autoSpaceDN w:val="0"/>
        <w:adjustRightInd w:val="0"/>
        <w:spacing w:after="0" w:line="360" w:lineRule="auto"/>
        <w:ind w:left="426"/>
        <w:jc w:val="both"/>
        <w:rPr>
          <w:rFonts w:ascii="Times New Roman" w:hAnsi="Times New Roman" w:cs="Times New Roman"/>
          <w:sz w:val="24"/>
          <w:szCs w:val="24"/>
        </w:rPr>
      </w:pPr>
      <w:r w:rsidRPr="004C1E85">
        <w:rPr>
          <w:rFonts w:ascii="Times New Roman" w:hAnsi="Times New Roman" w:cs="Times New Roman"/>
          <w:sz w:val="24"/>
          <w:szCs w:val="24"/>
        </w:rPr>
        <w:t xml:space="preserve">Son </w:t>
      </w:r>
      <w:r w:rsidRPr="004C1E85">
        <w:rPr>
          <w:rFonts w:ascii="Times New Roman" w:hAnsi="Times New Roman" w:cs="Times New Roman"/>
          <w:bCs/>
          <w:sz w:val="24"/>
          <w:szCs w:val="24"/>
        </w:rPr>
        <w:t xml:space="preserve">personas con trabajo por cuenta ajena o asalariadas </w:t>
      </w:r>
      <w:r w:rsidRPr="004C1E85">
        <w:rPr>
          <w:rFonts w:ascii="Times New Roman" w:hAnsi="Times New Roman" w:cs="Times New Roman"/>
          <w:sz w:val="24"/>
          <w:szCs w:val="24"/>
        </w:rPr>
        <w:t>todas las que entren en las siguientes categorías:</w:t>
      </w:r>
    </w:p>
    <w:p w:rsidR="00A35FB3" w:rsidRPr="004C1E85" w:rsidRDefault="00A35FB3" w:rsidP="00A35FB3">
      <w:pPr>
        <w:numPr>
          <w:ilvl w:val="0"/>
          <w:numId w:val="1"/>
        </w:numPr>
        <w:autoSpaceDE w:val="0"/>
        <w:autoSpaceDN w:val="0"/>
        <w:adjustRightInd w:val="0"/>
        <w:spacing w:line="360" w:lineRule="auto"/>
        <w:jc w:val="both"/>
        <w:rPr>
          <w:sz w:val="24"/>
          <w:szCs w:val="24"/>
        </w:rPr>
      </w:pPr>
      <w:r w:rsidRPr="004C1E85">
        <w:rPr>
          <w:iCs/>
          <w:sz w:val="24"/>
          <w:szCs w:val="24"/>
        </w:rPr>
        <w:t>Trabajando</w:t>
      </w:r>
      <w:r w:rsidRPr="004C1E85">
        <w:rPr>
          <w:sz w:val="24"/>
          <w:szCs w:val="24"/>
        </w:rPr>
        <w:t>: personas que durante la semana de referencia hayan trabajado, incluso de forma esporádica u ocasional, al menos una hora a cambio de un sueldo, salario u otra forma de retribución conexa, en metálico o en especie.</w:t>
      </w:r>
    </w:p>
    <w:p w:rsidR="00A35FB3" w:rsidRPr="004C1E85" w:rsidRDefault="00A35FB3" w:rsidP="00A35FB3">
      <w:pPr>
        <w:numPr>
          <w:ilvl w:val="0"/>
          <w:numId w:val="1"/>
        </w:numPr>
        <w:autoSpaceDE w:val="0"/>
        <w:autoSpaceDN w:val="0"/>
        <w:adjustRightInd w:val="0"/>
        <w:spacing w:line="360" w:lineRule="auto"/>
        <w:jc w:val="both"/>
        <w:rPr>
          <w:sz w:val="24"/>
          <w:szCs w:val="24"/>
        </w:rPr>
      </w:pPr>
      <w:r w:rsidRPr="004C1E85">
        <w:rPr>
          <w:iCs/>
          <w:sz w:val="24"/>
          <w:szCs w:val="24"/>
        </w:rPr>
        <w:t>Con empleo pero sin trabajar</w:t>
      </w:r>
      <w:r w:rsidRPr="004C1E85">
        <w:rPr>
          <w:sz w:val="24"/>
          <w:szCs w:val="24"/>
        </w:rPr>
        <w:t xml:space="preserve">: personas que, habiendo ya trabajado en su empleo actual, estén ausentes del mismo durante la semana de referencia y mantengan un estrecho vínculo con él. La fuerza de este vínculo se determina de acuerdo con la creencia del entrevistado en reincorporarse o no a la empresa y </w:t>
      </w:r>
      <w:r>
        <w:rPr>
          <w:sz w:val="24"/>
          <w:szCs w:val="24"/>
        </w:rPr>
        <w:t>conforme</w:t>
      </w:r>
      <w:r w:rsidRPr="004C1E85">
        <w:rPr>
          <w:sz w:val="24"/>
          <w:szCs w:val="24"/>
        </w:rPr>
        <w:t xml:space="preserve"> el </w:t>
      </w:r>
      <w:r>
        <w:rPr>
          <w:sz w:val="24"/>
          <w:szCs w:val="24"/>
        </w:rPr>
        <w:t>período</w:t>
      </w:r>
      <w:r w:rsidRPr="004C1E85">
        <w:rPr>
          <w:sz w:val="24"/>
          <w:szCs w:val="24"/>
        </w:rPr>
        <w:t xml:space="preserve"> de ausencia o la percepción o no de algún tipo de remuneración.</w:t>
      </w:r>
    </w:p>
    <w:p w:rsidR="00A35FB3" w:rsidRPr="004C1E85" w:rsidRDefault="00A35FB3" w:rsidP="00A35FB3">
      <w:pPr>
        <w:autoSpaceDE w:val="0"/>
        <w:autoSpaceDN w:val="0"/>
        <w:adjustRightInd w:val="0"/>
        <w:spacing w:line="360" w:lineRule="auto"/>
        <w:ind w:left="720"/>
        <w:jc w:val="both"/>
        <w:rPr>
          <w:sz w:val="24"/>
          <w:szCs w:val="24"/>
        </w:rPr>
      </w:pPr>
    </w:p>
    <w:p w:rsidR="00A35FB3" w:rsidRPr="004C1E85" w:rsidRDefault="00A35FB3" w:rsidP="00A35FB3">
      <w:pPr>
        <w:autoSpaceDE w:val="0"/>
        <w:autoSpaceDN w:val="0"/>
        <w:adjustRightInd w:val="0"/>
        <w:spacing w:line="360" w:lineRule="auto"/>
        <w:jc w:val="both"/>
        <w:rPr>
          <w:sz w:val="24"/>
          <w:szCs w:val="24"/>
        </w:rPr>
      </w:pPr>
      <w:r w:rsidRPr="004C1E85">
        <w:rPr>
          <w:sz w:val="24"/>
          <w:szCs w:val="24"/>
        </w:rPr>
        <w:t>Las personas ausentes de su trabajo por causa de enfermedad o accidente, vacaciones o licencia de maternidad, se consideran como personas con trabajo.</w:t>
      </w:r>
    </w:p>
    <w:p w:rsidR="00A35FB3" w:rsidRPr="004C1E85" w:rsidRDefault="00A35FB3" w:rsidP="00A35FB3">
      <w:pPr>
        <w:autoSpaceDE w:val="0"/>
        <w:autoSpaceDN w:val="0"/>
        <w:adjustRightInd w:val="0"/>
        <w:spacing w:line="360" w:lineRule="auto"/>
        <w:jc w:val="both"/>
        <w:rPr>
          <w:sz w:val="24"/>
          <w:szCs w:val="24"/>
        </w:rPr>
      </w:pPr>
      <w:r w:rsidRPr="004C1E85">
        <w:rPr>
          <w:sz w:val="24"/>
          <w:szCs w:val="24"/>
        </w:rPr>
        <w:t>Las ausentes por tener contratos fijos discontinuos, por ser trabajadores estacionales o por estar en espera para incorporarse a un nuevo empleo, se consideran sin empleo.</w:t>
      </w:r>
    </w:p>
    <w:p w:rsidR="00A35FB3" w:rsidRPr="004C1E85" w:rsidRDefault="00A35FB3" w:rsidP="00A35FB3">
      <w:pPr>
        <w:autoSpaceDE w:val="0"/>
        <w:autoSpaceDN w:val="0"/>
        <w:adjustRightInd w:val="0"/>
        <w:spacing w:line="360" w:lineRule="auto"/>
        <w:jc w:val="both"/>
        <w:rPr>
          <w:sz w:val="24"/>
          <w:szCs w:val="24"/>
        </w:rPr>
      </w:pPr>
      <w:r w:rsidRPr="004C1E85">
        <w:rPr>
          <w:sz w:val="24"/>
          <w:szCs w:val="24"/>
        </w:rPr>
        <w:t>Las ausentes por otros motivos distintos de los anteriores (por ejemplo: estar disfrutando una excedencia por nacimiento de un hijo, tener jornada de verano u horario flexible, estar desempeñando actividades de representación sindical, mal tiempo, paro parcial por razones técnicas o económicas, expediente de regulación, estar en huelga o conflicto laboral, haber recibido enseñanza o formación fuera del establecimiento, razones personales o responsabilidades familiares), se consideran asalariadas si el empleador le</w:t>
      </w:r>
      <w:r>
        <w:rPr>
          <w:sz w:val="24"/>
          <w:szCs w:val="24"/>
        </w:rPr>
        <w:t>s paga al menos el 50 por 100</w:t>
      </w:r>
      <w:r w:rsidRPr="004C1E85">
        <w:rPr>
          <w:sz w:val="24"/>
          <w:szCs w:val="24"/>
        </w:rPr>
        <w:t xml:space="preserve"> de su sueldo o si van a reincorporarse a su empleo en los próximos tres meses.</w:t>
      </w:r>
    </w:p>
    <w:p w:rsidR="00A35FB3" w:rsidRPr="004C1E85" w:rsidRDefault="00A35FB3" w:rsidP="00A35FB3">
      <w:pPr>
        <w:autoSpaceDE w:val="0"/>
        <w:autoSpaceDN w:val="0"/>
        <w:adjustRightInd w:val="0"/>
        <w:spacing w:line="360" w:lineRule="auto"/>
        <w:jc w:val="both"/>
        <w:rPr>
          <w:sz w:val="24"/>
          <w:szCs w:val="24"/>
        </w:rPr>
      </w:pPr>
      <w:r w:rsidRPr="004C1E85">
        <w:rPr>
          <w:sz w:val="24"/>
          <w:szCs w:val="24"/>
        </w:rPr>
        <w:t xml:space="preserve">Los aprendices que hayan recibido una retribución en metálico o en especie y los estudiantes que hayan trabajado a cambio de una remuneración a tiempo completo o parcial se consideran </w:t>
      </w:r>
      <w:r w:rsidRPr="004C1E85">
        <w:rPr>
          <w:sz w:val="24"/>
          <w:szCs w:val="24"/>
        </w:rPr>
        <w:lastRenderedPageBreak/>
        <w:t xml:space="preserve">como personas asalariadas y se clasifican como </w:t>
      </w:r>
      <w:r w:rsidRPr="004C1E85">
        <w:rPr>
          <w:iCs/>
          <w:sz w:val="24"/>
          <w:szCs w:val="24"/>
        </w:rPr>
        <w:t xml:space="preserve">trabajando </w:t>
      </w:r>
      <w:r w:rsidRPr="004C1E85">
        <w:rPr>
          <w:sz w:val="24"/>
          <w:szCs w:val="24"/>
        </w:rPr>
        <w:t xml:space="preserve">o </w:t>
      </w:r>
      <w:r w:rsidRPr="004C1E85">
        <w:rPr>
          <w:iCs/>
          <w:sz w:val="24"/>
          <w:szCs w:val="24"/>
        </w:rPr>
        <w:t xml:space="preserve">sin trabajar </w:t>
      </w:r>
      <w:r w:rsidRPr="004C1E85">
        <w:rPr>
          <w:sz w:val="24"/>
          <w:szCs w:val="24"/>
        </w:rPr>
        <w:t>sobre la misma base que las demás personas con trabajo por cuenta ajena.</w:t>
      </w:r>
    </w:p>
    <w:p w:rsidR="00A35FB3" w:rsidRPr="004C1E85" w:rsidRDefault="00A35FB3" w:rsidP="00A35FB3">
      <w:pPr>
        <w:autoSpaceDE w:val="0"/>
        <w:autoSpaceDN w:val="0"/>
        <w:adjustRightInd w:val="0"/>
        <w:spacing w:line="360" w:lineRule="auto"/>
        <w:jc w:val="both"/>
        <w:rPr>
          <w:sz w:val="24"/>
          <w:szCs w:val="24"/>
        </w:rPr>
      </w:pPr>
      <w:r w:rsidRPr="004C1E85">
        <w:rPr>
          <w:sz w:val="24"/>
          <w:szCs w:val="24"/>
        </w:rPr>
        <w:t>Los miembros activos de las fuerzas armadas figuran también entre la población asalariada.</w:t>
      </w:r>
    </w:p>
    <w:p w:rsidR="00A35FB3" w:rsidRPr="004C1E85" w:rsidRDefault="00A35FB3" w:rsidP="00A35FB3">
      <w:pPr>
        <w:autoSpaceDE w:val="0"/>
        <w:autoSpaceDN w:val="0"/>
        <w:adjustRightInd w:val="0"/>
        <w:spacing w:line="360" w:lineRule="auto"/>
        <w:jc w:val="both"/>
        <w:rPr>
          <w:sz w:val="24"/>
          <w:szCs w:val="24"/>
        </w:rPr>
      </w:pPr>
    </w:p>
    <w:p w:rsidR="00A35FB3" w:rsidRPr="004C1E85" w:rsidRDefault="00A35FB3" w:rsidP="00A35FB3">
      <w:pPr>
        <w:autoSpaceDE w:val="0"/>
        <w:autoSpaceDN w:val="0"/>
        <w:adjustRightInd w:val="0"/>
        <w:spacing w:line="360" w:lineRule="auto"/>
        <w:jc w:val="both"/>
        <w:rPr>
          <w:sz w:val="24"/>
          <w:szCs w:val="24"/>
        </w:rPr>
      </w:pPr>
      <w:r w:rsidRPr="004C1E85">
        <w:rPr>
          <w:sz w:val="24"/>
          <w:szCs w:val="24"/>
        </w:rPr>
        <w:t>No se considerarán asalariadas a las siguientes personas:</w:t>
      </w:r>
    </w:p>
    <w:p w:rsidR="00A35FB3" w:rsidRPr="004C1E85" w:rsidRDefault="00A35FB3" w:rsidP="00A35FB3">
      <w:pPr>
        <w:numPr>
          <w:ilvl w:val="0"/>
          <w:numId w:val="2"/>
        </w:numPr>
        <w:autoSpaceDE w:val="0"/>
        <w:autoSpaceDN w:val="0"/>
        <w:adjustRightInd w:val="0"/>
        <w:spacing w:line="360" w:lineRule="auto"/>
        <w:jc w:val="both"/>
        <w:rPr>
          <w:sz w:val="24"/>
          <w:szCs w:val="24"/>
        </w:rPr>
      </w:pPr>
      <w:r w:rsidRPr="004C1E85">
        <w:rPr>
          <w:sz w:val="24"/>
          <w:szCs w:val="24"/>
        </w:rPr>
        <w:t>Los empresarios y los trabajadores independientes, aunque estuvieran contratados como asalariados en su propia empresa.</w:t>
      </w:r>
    </w:p>
    <w:p w:rsidR="00A35FB3" w:rsidRPr="004C1E85" w:rsidRDefault="00A35FB3" w:rsidP="00A35FB3">
      <w:pPr>
        <w:numPr>
          <w:ilvl w:val="0"/>
          <w:numId w:val="2"/>
        </w:numPr>
        <w:autoSpaceDE w:val="0"/>
        <w:autoSpaceDN w:val="0"/>
        <w:adjustRightInd w:val="0"/>
        <w:spacing w:line="360" w:lineRule="auto"/>
        <w:jc w:val="both"/>
        <w:rPr>
          <w:sz w:val="24"/>
          <w:szCs w:val="24"/>
        </w:rPr>
      </w:pPr>
      <w:r w:rsidRPr="004C1E85">
        <w:rPr>
          <w:sz w:val="24"/>
          <w:szCs w:val="24"/>
        </w:rPr>
        <w:t>Los trabajadores familiares no remunerados (</w:t>
      </w:r>
      <w:r w:rsidRPr="004C1E85">
        <w:rPr>
          <w:iCs/>
          <w:sz w:val="24"/>
          <w:szCs w:val="24"/>
        </w:rPr>
        <w:t>ayudas familiares</w:t>
      </w:r>
      <w:r w:rsidRPr="004C1E85">
        <w:rPr>
          <w:sz w:val="24"/>
          <w:szCs w:val="24"/>
        </w:rPr>
        <w:t>) y los miembros de cooperativas que trabajan en las mismas.</w:t>
      </w:r>
    </w:p>
    <w:p w:rsidR="00A35FB3" w:rsidRPr="004C1E85" w:rsidRDefault="00A35FB3" w:rsidP="00A35FB3">
      <w:pPr>
        <w:numPr>
          <w:ilvl w:val="0"/>
          <w:numId w:val="2"/>
        </w:numPr>
        <w:autoSpaceDE w:val="0"/>
        <w:autoSpaceDN w:val="0"/>
        <w:adjustRightInd w:val="0"/>
        <w:spacing w:line="360" w:lineRule="auto"/>
        <w:jc w:val="both"/>
        <w:rPr>
          <w:sz w:val="24"/>
          <w:szCs w:val="24"/>
        </w:rPr>
      </w:pPr>
      <w:r w:rsidRPr="004C1E85">
        <w:rPr>
          <w:sz w:val="24"/>
          <w:szCs w:val="24"/>
        </w:rPr>
        <w:t>Las personas ausentes de su trabajo, con licencia o suspendidas que estén débilmente vinculadas a su empleo.</w:t>
      </w:r>
    </w:p>
    <w:p w:rsidR="00A35FB3" w:rsidRPr="004C1E85" w:rsidRDefault="00A35FB3" w:rsidP="00A35FB3">
      <w:pPr>
        <w:numPr>
          <w:ilvl w:val="0"/>
          <w:numId w:val="2"/>
        </w:numPr>
        <w:autoSpaceDE w:val="0"/>
        <w:autoSpaceDN w:val="0"/>
        <w:adjustRightInd w:val="0"/>
        <w:spacing w:line="360" w:lineRule="auto"/>
        <w:jc w:val="both"/>
        <w:rPr>
          <w:sz w:val="24"/>
          <w:szCs w:val="24"/>
        </w:rPr>
      </w:pPr>
      <w:r w:rsidRPr="004C1E85">
        <w:rPr>
          <w:sz w:val="24"/>
          <w:szCs w:val="24"/>
        </w:rPr>
        <w:t>Los trabajadores estacionales, ocasionales o discontinuos por cuenta ajena en la época de menor actividad que no hayan trabajado en la semana de referencia.</w:t>
      </w:r>
    </w:p>
    <w:p w:rsidR="00A35FB3" w:rsidRPr="004C1E85" w:rsidRDefault="00A35FB3" w:rsidP="00A35FB3">
      <w:pPr>
        <w:autoSpaceDE w:val="0"/>
        <w:autoSpaceDN w:val="0"/>
        <w:adjustRightInd w:val="0"/>
        <w:spacing w:line="360" w:lineRule="auto"/>
        <w:jc w:val="both"/>
        <w:rPr>
          <w:sz w:val="24"/>
          <w:szCs w:val="24"/>
        </w:rPr>
      </w:pPr>
    </w:p>
    <w:p w:rsidR="00A35FB3" w:rsidRPr="004C1E85" w:rsidRDefault="00A35FB3" w:rsidP="00A35FB3">
      <w:pPr>
        <w:pStyle w:val="Prrafodelista"/>
        <w:numPr>
          <w:ilvl w:val="0"/>
          <w:numId w:val="18"/>
        </w:numPr>
        <w:autoSpaceDE w:val="0"/>
        <w:autoSpaceDN w:val="0"/>
        <w:adjustRightInd w:val="0"/>
        <w:spacing w:after="0" w:line="360" w:lineRule="auto"/>
        <w:ind w:left="426"/>
        <w:jc w:val="both"/>
        <w:rPr>
          <w:rFonts w:ascii="Times New Roman" w:hAnsi="Times New Roman" w:cs="Times New Roman"/>
          <w:sz w:val="24"/>
          <w:szCs w:val="24"/>
        </w:rPr>
      </w:pPr>
      <w:r w:rsidRPr="004C1E85">
        <w:rPr>
          <w:rFonts w:ascii="Times New Roman" w:hAnsi="Times New Roman" w:cs="Times New Roman"/>
          <w:sz w:val="24"/>
          <w:szCs w:val="24"/>
        </w:rPr>
        <w:t xml:space="preserve">Se considerarán </w:t>
      </w:r>
      <w:r w:rsidRPr="004C1E85">
        <w:rPr>
          <w:rFonts w:ascii="Times New Roman" w:hAnsi="Times New Roman" w:cs="Times New Roman"/>
          <w:bCs/>
          <w:sz w:val="24"/>
          <w:szCs w:val="24"/>
        </w:rPr>
        <w:t xml:space="preserve">personas con una actividad por cuenta propia </w:t>
      </w:r>
      <w:r w:rsidRPr="004C1E85">
        <w:rPr>
          <w:rFonts w:ascii="Times New Roman" w:hAnsi="Times New Roman" w:cs="Times New Roman"/>
          <w:sz w:val="24"/>
          <w:szCs w:val="24"/>
        </w:rPr>
        <w:t>todas las incluidas en las siguientes categorías:</w:t>
      </w:r>
    </w:p>
    <w:p w:rsidR="00A35FB3" w:rsidRPr="004C1E85" w:rsidRDefault="00A35FB3" w:rsidP="00A35FB3">
      <w:pPr>
        <w:numPr>
          <w:ilvl w:val="0"/>
          <w:numId w:val="3"/>
        </w:numPr>
        <w:autoSpaceDE w:val="0"/>
        <w:autoSpaceDN w:val="0"/>
        <w:adjustRightInd w:val="0"/>
        <w:spacing w:line="360" w:lineRule="auto"/>
        <w:jc w:val="both"/>
        <w:rPr>
          <w:sz w:val="24"/>
          <w:szCs w:val="24"/>
        </w:rPr>
      </w:pPr>
      <w:r w:rsidRPr="004C1E85">
        <w:rPr>
          <w:iCs/>
          <w:sz w:val="24"/>
          <w:szCs w:val="24"/>
        </w:rPr>
        <w:t>Trabajando</w:t>
      </w:r>
      <w:r w:rsidRPr="004C1E85">
        <w:rPr>
          <w:sz w:val="24"/>
          <w:szCs w:val="24"/>
        </w:rPr>
        <w:t>: las personas que durante el período de referencia hayan trabajado, incluso de forma esporádica u ocasional, al menos una hora a cambio de un beneficio o de una ganancia familiar, en metálico o en especie.</w:t>
      </w:r>
    </w:p>
    <w:p w:rsidR="00A35FB3" w:rsidRPr="004C1E85" w:rsidRDefault="00A35FB3" w:rsidP="00A35FB3">
      <w:pPr>
        <w:numPr>
          <w:ilvl w:val="0"/>
          <w:numId w:val="3"/>
        </w:numPr>
        <w:autoSpaceDE w:val="0"/>
        <w:autoSpaceDN w:val="0"/>
        <w:adjustRightInd w:val="0"/>
        <w:spacing w:line="360" w:lineRule="auto"/>
        <w:jc w:val="both"/>
        <w:rPr>
          <w:sz w:val="24"/>
          <w:szCs w:val="24"/>
        </w:rPr>
      </w:pPr>
      <w:r w:rsidRPr="004C1E85">
        <w:rPr>
          <w:iCs/>
          <w:sz w:val="24"/>
          <w:szCs w:val="24"/>
        </w:rPr>
        <w:t>Con trabajo pero sin trabajar</w:t>
      </w:r>
      <w:r w:rsidRPr="004C1E85">
        <w:rPr>
          <w:sz w:val="24"/>
          <w:szCs w:val="24"/>
        </w:rPr>
        <w:t>: las personas que durante el período de referencia tenían que realizar algún trabajo a cambio de un beneficio o ganancia familiar pero han estado temporalmente ausentes del mismo por razones de enfermedad o accidente, vacaciones, fiestas, mal tiempo u otras razones análogas.</w:t>
      </w:r>
    </w:p>
    <w:p w:rsidR="00A35FB3" w:rsidRPr="004C1E85" w:rsidRDefault="00A35FB3" w:rsidP="00A35FB3">
      <w:pPr>
        <w:autoSpaceDE w:val="0"/>
        <w:autoSpaceDN w:val="0"/>
        <w:adjustRightInd w:val="0"/>
        <w:spacing w:line="360" w:lineRule="auto"/>
        <w:jc w:val="both"/>
        <w:rPr>
          <w:sz w:val="24"/>
          <w:szCs w:val="24"/>
        </w:rPr>
      </w:pPr>
    </w:p>
    <w:p w:rsidR="00A35FB3" w:rsidRPr="004C1E85" w:rsidRDefault="00A35FB3" w:rsidP="00A35FB3">
      <w:pPr>
        <w:autoSpaceDE w:val="0"/>
        <w:autoSpaceDN w:val="0"/>
        <w:adjustRightInd w:val="0"/>
        <w:spacing w:line="360" w:lineRule="auto"/>
        <w:jc w:val="both"/>
        <w:rPr>
          <w:sz w:val="24"/>
          <w:szCs w:val="24"/>
        </w:rPr>
      </w:pPr>
      <w:r w:rsidRPr="004C1E85">
        <w:rPr>
          <w:sz w:val="24"/>
          <w:szCs w:val="24"/>
        </w:rPr>
        <w:t>Según esta definición, ejercen una actividad por cuenta propia: los empresarios, los trabajadores independientes, los miembros de cooperativas que trabajan en las mismas y los trabajadores familiares no remunerados (</w:t>
      </w:r>
      <w:r w:rsidRPr="004C1E85">
        <w:rPr>
          <w:iCs/>
          <w:sz w:val="24"/>
          <w:szCs w:val="24"/>
        </w:rPr>
        <w:t>ayudas familiares</w:t>
      </w:r>
      <w:r w:rsidRPr="004C1E85">
        <w:rPr>
          <w:sz w:val="24"/>
          <w:szCs w:val="24"/>
        </w:rPr>
        <w:t>).</w:t>
      </w:r>
    </w:p>
    <w:p w:rsidR="00A35FB3" w:rsidRDefault="00A35FB3" w:rsidP="00A35FB3">
      <w:pPr>
        <w:autoSpaceDE w:val="0"/>
        <w:autoSpaceDN w:val="0"/>
        <w:adjustRightInd w:val="0"/>
        <w:spacing w:line="360" w:lineRule="auto"/>
        <w:jc w:val="both"/>
        <w:rPr>
          <w:sz w:val="24"/>
          <w:szCs w:val="24"/>
        </w:rPr>
      </w:pPr>
    </w:p>
    <w:p w:rsidR="00A35FB3" w:rsidRPr="00BE639B" w:rsidRDefault="00A35FB3" w:rsidP="00A35FB3">
      <w:pPr>
        <w:autoSpaceDE w:val="0"/>
        <w:autoSpaceDN w:val="0"/>
        <w:adjustRightInd w:val="0"/>
        <w:spacing w:line="360" w:lineRule="auto"/>
        <w:jc w:val="both"/>
        <w:rPr>
          <w:b/>
          <w:bCs/>
          <w:color w:val="000000" w:themeColor="text1"/>
          <w:sz w:val="24"/>
          <w:szCs w:val="24"/>
          <w:u w:val="single"/>
        </w:rPr>
      </w:pPr>
      <w:r w:rsidRPr="00BE639B">
        <w:rPr>
          <w:b/>
          <w:bCs/>
          <w:color w:val="000000" w:themeColor="text1"/>
          <w:sz w:val="24"/>
          <w:szCs w:val="24"/>
          <w:u w:val="single"/>
        </w:rPr>
        <w:t>Población parada o desempleada</w:t>
      </w:r>
    </w:p>
    <w:p w:rsidR="00A35FB3" w:rsidRPr="004C1E85" w:rsidRDefault="00A35FB3" w:rsidP="00A35FB3">
      <w:pPr>
        <w:autoSpaceDE w:val="0"/>
        <w:autoSpaceDN w:val="0"/>
        <w:adjustRightInd w:val="0"/>
        <w:spacing w:line="360" w:lineRule="auto"/>
        <w:jc w:val="both"/>
        <w:rPr>
          <w:sz w:val="24"/>
          <w:szCs w:val="24"/>
        </w:rPr>
      </w:pPr>
      <w:r w:rsidRPr="004C1E85">
        <w:rPr>
          <w:sz w:val="24"/>
          <w:szCs w:val="24"/>
        </w:rPr>
        <w:t>Se considerarán paradas a todas las personas de 16 o más años que reúnan simultáneamente las siguientes condiciones:</w:t>
      </w:r>
    </w:p>
    <w:p w:rsidR="00A35FB3" w:rsidRPr="004C1E85" w:rsidRDefault="00A35FB3" w:rsidP="00A35FB3">
      <w:pPr>
        <w:numPr>
          <w:ilvl w:val="0"/>
          <w:numId w:val="4"/>
        </w:numPr>
        <w:autoSpaceDE w:val="0"/>
        <w:autoSpaceDN w:val="0"/>
        <w:adjustRightInd w:val="0"/>
        <w:spacing w:line="360" w:lineRule="auto"/>
        <w:jc w:val="both"/>
        <w:rPr>
          <w:sz w:val="24"/>
          <w:szCs w:val="24"/>
        </w:rPr>
      </w:pPr>
      <w:r w:rsidRPr="004C1E85">
        <w:rPr>
          <w:iCs/>
          <w:sz w:val="24"/>
          <w:szCs w:val="24"/>
        </w:rPr>
        <w:t>Sin trabajo</w:t>
      </w:r>
      <w:r w:rsidRPr="004C1E85">
        <w:rPr>
          <w:sz w:val="24"/>
          <w:szCs w:val="24"/>
        </w:rPr>
        <w:t>, es decir, que no hayan tenido un empleo por cuenta ajena ni por cuenta propia durante la semana de referencia.</w:t>
      </w:r>
    </w:p>
    <w:p w:rsidR="00A35FB3" w:rsidRPr="004C1E85" w:rsidRDefault="00A35FB3" w:rsidP="00A35FB3">
      <w:pPr>
        <w:numPr>
          <w:ilvl w:val="0"/>
          <w:numId w:val="4"/>
        </w:numPr>
        <w:autoSpaceDE w:val="0"/>
        <w:autoSpaceDN w:val="0"/>
        <w:adjustRightInd w:val="0"/>
        <w:spacing w:line="360" w:lineRule="auto"/>
        <w:jc w:val="both"/>
        <w:rPr>
          <w:sz w:val="24"/>
          <w:szCs w:val="24"/>
        </w:rPr>
      </w:pPr>
      <w:r w:rsidRPr="004C1E85">
        <w:rPr>
          <w:iCs/>
          <w:sz w:val="24"/>
          <w:szCs w:val="24"/>
        </w:rPr>
        <w:lastRenderedPageBreak/>
        <w:t>En busca de trabajo</w:t>
      </w:r>
      <w:r w:rsidRPr="004C1E85">
        <w:rPr>
          <w:sz w:val="24"/>
          <w:szCs w:val="24"/>
        </w:rPr>
        <w:t>, es decir, que hayan tomado medidas concretas para buscar un trabajo por cuenta ajena o hayan hecho gestiones para establecerse por su cuenta durante el mes precedente.</w:t>
      </w:r>
    </w:p>
    <w:p w:rsidR="00A35FB3" w:rsidRPr="004C1E85" w:rsidRDefault="00A35FB3" w:rsidP="00A35FB3">
      <w:pPr>
        <w:numPr>
          <w:ilvl w:val="0"/>
          <w:numId w:val="4"/>
        </w:numPr>
        <w:autoSpaceDE w:val="0"/>
        <w:autoSpaceDN w:val="0"/>
        <w:adjustRightInd w:val="0"/>
        <w:spacing w:line="360" w:lineRule="auto"/>
        <w:jc w:val="both"/>
        <w:rPr>
          <w:sz w:val="24"/>
          <w:szCs w:val="24"/>
        </w:rPr>
      </w:pPr>
      <w:r w:rsidRPr="004C1E85">
        <w:rPr>
          <w:iCs/>
          <w:sz w:val="24"/>
          <w:szCs w:val="24"/>
        </w:rPr>
        <w:t>Disponibles para trabajar</w:t>
      </w:r>
      <w:r w:rsidRPr="004C1E85">
        <w:rPr>
          <w:sz w:val="24"/>
          <w:szCs w:val="24"/>
        </w:rPr>
        <w:t>, es decir, en condiciones de comenzar a hacerlo en un plazo de dos semanas a partir del domingo de la semana de referencia.</w:t>
      </w:r>
    </w:p>
    <w:p w:rsidR="00A35FB3" w:rsidRPr="004C1E85" w:rsidRDefault="00A35FB3" w:rsidP="00A35FB3">
      <w:pPr>
        <w:autoSpaceDE w:val="0"/>
        <w:autoSpaceDN w:val="0"/>
        <w:adjustRightInd w:val="0"/>
        <w:spacing w:line="360" w:lineRule="auto"/>
        <w:jc w:val="both"/>
        <w:rPr>
          <w:sz w:val="24"/>
          <w:szCs w:val="24"/>
        </w:rPr>
      </w:pPr>
      <w:r w:rsidRPr="004C1E85">
        <w:rPr>
          <w:sz w:val="24"/>
          <w:szCs w:val="24"/>
        </w:rPr>
        <w:t>También se consideran paradas las personas de 16 o más años que durante la semana de referencia han estado sin trabajo, disponibles para trabajar y que no buscan empleo porque ya han encontrado uno al que se incorporarán dentro de los tres meses posteriores a la semana de referencia. Por lo tanto, en este caso no se exige el criterio de búsqueda efectiva de empleo.</w:t>
      </w:r>
    </w:p>
    <w:p w:rsidR="00A35FB3" w:rsidRPr="004C1E85" w:rsidRDefault="00A35FB3" w:rsidP="00A35FB3">
      <w:pPr>
        <w:autoSpaceDE w:val="0"/>
        <w:autoSpaceDN w:val="0"/>
        <w:adjustRightInd w:val="0"/>
        <w:spacing w:line="360" w:lineRule="auto"/>
        <w:jc w:val="both"/>
        <w:rPr>
          <w:sz w:val="24"/>
          <w:szCs w:val="24"/>
        </w:rPr>
      </w:pPr>
      <w:r w:rsidRPr="004C1E85">
        <w:rPr>
          <w:sz w:val="24"/>
          <w:szCs w:val="24"/>
        </w:rPr>
        <w:t>Si una persona satisface las condiciones de la definición de parado se considerará como tal, aunque compatibilice esta situación con otras como la de estudiante o labores del hogar.</w:t>
      </w:r>
    </w:p>
    <w:p w:rsidR="00A35FB3" w:rsidRPr="004C1E85" w:rsidRDefault="00A35FB3" w:rsidP="00A35FB3">
      <w:pPr>
        <w:autoSpaceDE w:val="0"/>
        <w:autoSpaceDN w:val="0"/>
        <w:adjustRightInd w:val="0"/>
        <w:spacing w:line="360" w:lineRule="auto"/>
        <w:jc w:val="both"/>
        <w:rPr>
          <w:sz w:val="24"/>
          <w:szCs w:val="24"/>
        </w:rPr>
      </w:pPr>
      <w:r w:rsidRPr="004C1E85">
        <w:rPr>
          <w:sz w:val="24"/>
          <w:szCs w:val="24"/>
        </w:rPr>
        <w:t>Los parados se subdividen en: parados que buscan primer empleo y parados que han trabajado anteriormente.</w:t>
      </w:r>
    </w:p>
    <w:p w:rsidR="00A35FB3" w:rsidRPr="00BE639B" w:rsidRDefault="00A35FB3" w:rsidP="00A35FB3">
      <w:pPr>
        <w:autoSpaceDE w:val="0"/>
        <w:autoSpaceDN w:val="0"/>
        <w:adjustRightInd w:val="0"/>
        <w:spacing w:line="360" w:lineRule="auto"/>
        <w:jc w:val="both"/>
        <w:rPr>
          <w:b/>
          <w:bCs/>
          <w:color w:val="000000" w:themeColor="text1"/>
          <w:sz w:val="24"/>
          <w:szCs w:val="24"/>
          <w:u w:val="single"/>
        </w:rPr>
      </w:pPr>
      <w:r w:rsidRPr="00BE639B">
        <w:rPr>
          <w:b/>
          <w:bCs/>
          <w:color w:val="000000" w:themeColor="text1"/>
          <w:sz w:val="24"/>
          <w:szCs w:val="24"/>
          <w:u w:val="single"/>
        </w:rPr>
        <w:t>Población económicamente inactiva</w:t>
      </w:r>
    </w:p>
    <w:p w:rsidR="00A35FB3" w:rsidRPr="004C1E85" w:rsidRDefault="00A35FB3" w:rsidP="00A35FB3">
      <w:pPr>
        <w:autoSpaceDE w:val="0"/>
        <w:autoSpaceDN w:val="0"/>
        <w:adjustRightInd w:val="0"/>
        <w:spacing w:line="360" w:lineRule="auto"/>
        <w:jc w:val="both"/>
        <w:rPr>
          <w:sz w:val="24"/>
          <w:szCs w:val="24"/>
        </w:rPr>
      </w:pPr>
      <w:r w:rsidRPr="004C1E85">
        <w:rPr>
          <w:sz w:val="24"/>
          <w:szCs w:val="24"/>
        </w:rPr>
        <w:t>La población económicamente inactiva abarca a todas las personas de 16 o más años, no clasificadas como ocupadas ni paradas ni población contada aparte durante la semana de referencia.</w:t>
      </w:r>
    </w:p>
    <w:p w:rsidR="00A35FB3" w:rsidRPr="004C1E85" w:rsidRDefault="00A35FB3" w:rsidP="00A35FB3">
      <w:pPr>
        <w:autoSpaceDE w:val="0"/>
        <w:autoSpaceDN w:val="0"/>
        <w:adjustRightInd w:val="0"/>
        <w:spacing w:line="360" w:lineRule="auto"/>
        <w:jc w:val="both"/>
        <w:rPr>
          <w:sz w:val="24"/>
          <w:szCs w:val="24"/>
        </w:rPr>
      </w:pPr>
      <w:r w:rsidRPr="004C1E85">
        <w:rPr>
          <w:sz w:val="24"/>
          <w:szCs w:val="24"/>
        </w:rPr>
        <w:t>Comprende las siguientes categorías funcionales:</w:t>
      </w:r>
    </w:p>
    <w:p w:rsidR="00A35FB3" w:rsidRPr="004C1E85" w:rsidRDefault="00A35FB3" w:rsidP="00A35FB3">
      <w:pPr>
        <w:numPr>
          <w:ilvl w:val="0"/>
          <w:numId w:val="5"/>
        </w:numPr>
        <w:autoSpaceDE w:val="0"/>
        <w:autoSpaceDN w:val="0"/>
        <w:adjustRightInd w:val="0"/>
        <w:spacing w:line="360" w:lineRule="auto"/>
        <w:jc w:val="both"/>
        <w:rPr>
          <w:sz w:val="24"/>
          <w:szCs w:val="24"/>
        </w:rPr>
      </w:pPr>
      <w:r w:rsidRPr="004C1E85">
        <w:rPr>
          <w:iCs/>
          <w:sz w:val="24"/>
          <w:szCs w:val="24"/>
        </w:rPr>
        <w:t>Personas que se ocupan de su hogar</w:t>
      </w:r>
      <w:r w:rsidRPr="004C1E85">
        <w:rPr>
          <w:sz w:val="24"/>
          <w:szCs w:val="24"/>
        </w:rPr>
        <w:t>: personas que, sin ejercer ninguna actividad económica, se dedican a cuidar sus propios hogares; por ejemplo, amas de casa y otros familiares que se encargan del cuidado de la casa y de los niños.</w:t>
      </w:r>
    </w:p>
    <w:p w:rsidR="00A35FB3" w:rsidRPr="004C1E85" w:rsidRDefault="00A35FB3" w:rsidP="00A35FB3">
      <w:pPr>
        <w:numPr>
          <w:ilvl w:val="0"/>
          <w:numId w:val="5"/>
        </w:numPr>
        <w:autoSpaceDE w:val="0"/>
        <w:autoSpaceDN w:val="0"/>
        <w:adjustRightInd w:val="0"/>
        <w:spacing w:line="360" w:lineRule="auto"/>
        <w:jc w:val="both"/>
        <w:rPr>
          <w:sz w:val="24"/>
          <w:szCs w:val="24"/>
        </w:rPr>
      </w:pPr>
      <w:r w:rsidRPr="004C1E85">
        <w:rPr>
          <w:iCs/>
          <w:sz w:val="24"/>
          <w:szCs w:val="24"/>
        </w:rPr>
        <w:t>Estudiantes</w:t>
      </w:r>
      <w:r w:rsidRPr="004C1E85">
        <w:rPr>
          <w:sz w:val="24"/>
          <w:szCs w:val="24"/>
        </w:rPr>
        <w:t>: personas que, sin ejercer ninguna actividad económica, reciben una instrucción sistemática en cualquier grado de educación.</w:t>
      </w:r>
    </w:p>
    <w:p w:rsidR="00A35FB3" w:rsidRPr="004C1E85" w:rsidRDefault="00A35FB3" w:rsidP="00A35FB3">
      <w:pPr>
        <w:numPr>
          <w:ilvl w:val="0"/>
          <w:numId w:val="5"/>
        </w:numPr>
        <w:autoSpaceDE w:val="0"/>
        <w:autoSpaceDN w:val="0"/>
        <w:adjustRightInd w:val="0"/>
        <w:spacing w:line="360" w:lineRule="auto"/>
        <w:jc w:val="both"/>
        <w:rPr>
          <w:sz w:val="24"/>
          <w:szCs w:val="24"/>
        </w:rPr>
      </w:pPr>
      <w:r w:rsidRPr="004C1E85">
        <w:rPr>
          <w:iCs/>
          <w:sz w:val="24"/>
          <w:szCs w:val="24"/>
        </w:rPr>
        <w:t>Jubilados o prejubilados</w:t>
      </w:r>
      <w:r w:rsidRPr="004C1E85">
        <w:rPr>
          <w:sz w:val="24"/>
          <w:szCs w:val="24"/>
        </w:rPr>
        <w:t>: personas que han tenido una actividad económica anterior y que por edad u otras causas la han abandonado, percibiendo una pensión (o unos ingresos de prejubilación) con motivo de su actividad anterior.</w:t>
      </w:r>
    </w:p>
    <w:p w:rsidR="00A35FB3" w:rsidRPr="004C1E85" w:rsidRDefault="00A35FB3" w:rsidP="00A35FB3">
      <w:pPr>
        <w:numPr>
          <w:ilvl w:val="0"/>
          <w:numId w:val="5"/>
        </w:numPr>
        <w:autoSpaceDE w:val="0"/>
        <w:autoSpaceDN w:val="0"/>
        <w:adjustRightInd w:val="0"/>
        <w:spacing w:line="360" w:lineRule="auto"/>
        <w:jc w:val="both"/>
        <w:rPr>
          <w:iCs/>
          <w:sz w:val="24"/>
          <w:szCs w:val="24"/>
        </w:rPr>
      </w:pPr>
      <w:r w:rsidRPr="004C1E85">
        <w:rPr>
          <w:iCs/>
          <w:sz w:val="24"/>
          <w:szCs w:val="24"/>
        </w:rPr>
        <w:t>Personas que perciben una pensión distinta de la de jubilación y de prejubilación.</w:t>
      </w:r>
    </w:p>
    <w:p w:rsidR="00A35FB3" w:rsidRPr="004C1E85" w:rsidRDefault="00A35FB3" w:rsidP="00A35FB3">
      <w:pPr>
        <w:numPr>
          <w:ilvl w:val="0"/>
          <w:numId w:val="5"/>
        </w:numPr>
        <w:autoSpaceDE w:val="0"/>
        <w:autoSpaceDN w:val="0"/>
        <w:adjustRightInd w:val="0"/>
        <w:spacing w:line="360" w:lineRule="auto"/>
        <w:jc w:val="both"/>
        <w:rPr>
          <w:iCs/>
          <w:sz w:val="24"/>
          <w:szCs w:val="24"/>
        </w:rPr>
      </w:pPr>
      <w:r w:rsidRPr="004C1E85">
        <w:rPr>
          <w:iCs/>
          <w:sz w:val="24"/>
          <w:szCs w:val="24"/>
        </w:rPr>
        <w:t>Personas que realizan sin remuneración trabajos sociales, actividades de tipo benéfico, etc</w:t>
      </w:r>
      <w:r w:rsidRPr="004C1E85">
        <w:rPr>
          <w:sz w:val="24"/>
          <w:szCs w:val="24"/>
        </w:rPr>
        <w:t xml:space="preserve">. (excluidas las que son </w:t>
      </w:r>
      <w:r w:rsidRPr="004C1E85">
        <w:rPr>
          <w:iCs/>
          <w:sz w:val="24"/>
          <w:szCs w:val="24"/>
        </w:rPr>
        <w:t>ayudas familiares</w:t>
      </w:r>
      <w:r w:rsidRPr="004C1E85">
        <w:rPr>
          <w:sz w:val="24"/>
          <w:szCs w:val="24"/>
        </w:rPr>
        <w:t>).</w:t>
      </w:r>
    </w:p>
    <w:p w:rsidR="00A35FB3" w:rsidRPr="004C1E85" w:rsidRDefault="00A35FB3" w:rsidP="00A35FB3">
      <w:pPr>
        <w:numPr>
          <w:ilvl w:val="0"/>
          <w:numId w:val="5"/>
        </w:numPr>
        <w:autoSpaceDE w:val="0"/>
        <w:autoSpaceDN w:val="0"/>
        <w:adjustRightInd w:val="0"/>
        <w:spacing w:line="360" w:lineRule="auto"/>
        <w:jc w:val="both"/>
        <w:rPr>
          <w:sz w:val="24"/>
          <w:szCs w:val="24"/>
        </w:rPr>
      </w:pPr>
      <w:r w:rsidRPr="004C1E85">
        <w:rPr>
          <w:iCs/>
          <w:sz w:val="24"/>
          <w:szCs w:val="24"/>
        </w:rPr>
        <w:t>Incapacitados para trabajar</w:t>
      </w:r>
      <w:r w:rsidRPr="004C1E85">
        <w:rPr>
          <w:sz w:val="24"/>
          <w:szCs w:val="24"/>
        </w:rPr>
        <w:t>.</w:t>
      </w:r>
    </w:p>
    <w:p w:rsidR="00A35FB3" w:rsidRPr="00B90C26" w:rsidRDefault="00A35FB3" w:rsidP="00A35FB3">
      <w:pPr>
        <w:numPr>
          <w:ilvl w:val="0"/>
          <w:numId w:val="5"/>
        </w:numPr>
        <w:autoSpaceDE w:val="0"/>
        <w:autoSpaceDN w:val="0"/>
        <w:adjustRightInd w:val="0"/>
        <w:spacing w:line="360" w:lineRule="auto"/>
        <w:jc w:val="both"/>
        <w:rPr>
          <w:sz w:val="24"/>
          <w:szCs w:val="24"/>
        </w:rPr>
      </w:pPr>
      <w:r w:rsidRPr="004C1E85">
        <w:rPr>
          <w:iCs/>
          <w:sz w:val="24"/>
          <w:szCs w:val="24"/>
        </w:rPr>
        <w:t>Otra situación</w:t>
      </w:r>
      <w:r w:rsidRPr="004C1E85">
        <w:rPr>
          <w:sz w:val="24"/>
          <w:szCs w:val="24"/>
        </w:rPr>
        <w:t>: personas que, sin ejercer ninguna actividad económica, reciben ayuda pública o privada y todas aquéllas que no estén incluidas en ninguna de las categorías anteriores, por ejemplo</w:t>
      </w:r>
      <w:r>
        <w:rPr>
          <w:sz w:val="24"/>
          <w:szCs w:val="24"/>
        </w:rPr>
        <w:t>,</w:t>
      </w:r>
      <w:r w:rsidRPr="004C1E85">
        <w:rPr>
          <w:sz w:val="24"/>
          <w:szCs w:val="24"/>
        </w:rPr>
        <w:t xml:space="preserve"> los rentistas.</w:t>
      </w:r>
    </w:p>
    <w:p w:rsidR="00A35FB3" w:rsidRPr="004C1E85" w:rsidRDefault="00A35FB3" w:rsidP="00A35FB3">
      <w:pPr>
        <w:autoSpaceDE w:val="0"/>
        <w:autoSpaceDN w:val="0"/>
        <w:adjustRightInd w:val="0"/>
        <w:spacing w:line="360" w:lineRule="auto"/>
        <w:jc w:val="both"/>
        <w:rPr>
          <w:sz w:val="24"/>
          <w:szCs w:val="24"/>
        </w:rPr>
      </w:pPr>
      <w:r w:rsidRPr="004C1E85">
        <w:rPr>
          <w:sz w:val="24"/>
          <w:szCs w:val="24"/>
        </w:rPr>
        <w:lastRenderedPageBreak/>
        <w:t>Atendiendo a los motivos de estar en situación de inactividad, se puede subdividir a los inactivos en los siguientes grupos:</w:t>
      </w:r>
    </w:p>
    <w:p w:rsidR="00A35FB3" w:rsidRPr="004C1E85" w:rsidRDefault="00A35FB3" w:rsidP="00A35FB3">
      <w:pPr>
        <w:autoSpaceDE w:val="0"/>
        <w:autoSpaceDN w:val="0"/>
        <w:adjustRightInd w:val="0"/>
        <w:spacing w:line="360" w:lineRule="auto"/>
        <w:jc w:val="both"/>
        <w:rPr>
          <w:sz w:val="24"/>
          <w:szCs w:val="24"/>
        </w:rPr>
      </w:pPr>
    </w:p>
    <w:p w:rsidR="00A35FB3" w:rsidRPr="004C1E85" w:rsidRDefault="00A35FB3" w:rsidP="00A35FB3">
      <w:pPr>
        <w:autoSpaceDE w:val="0"/>
        <w:autoSpaceDN w:val="0"/>
        <w:adjustRightInd w:val="0"/>
        <w:spacing w:line="360" w:lineRule="auto"/>
        <w:jc w:val="both"/>
        <w:rPr>
          <w:sz w:val="24"/>
          <w:szCs w:val="24"/>
        </w:rPr>
      </w:pPr>
      <w:r w:rsidRPr="004C1E85">
        <w:rPr>
          <w:b/>
          <w:bCs/>
          <w:color w:val="00B0F0"/>
          <w:sz w:val="24"/>
          <w:szCs w:val="24"/>
        </w:rPr>
        <w:t>A)</w:t>
      </w:r>
      <w:r w:rsidRPr="004C1E85">
        <w:rPr>
          <w:bCs/>
          <w:sz w:val="24"/>
          <w:szCs w:val="24"/>
        </w:rPr>
        <w:t xml:space="preserve"> - </w:t>
      </w:r>
      <w:r w:rsidRPr="004C1E85">
        <w:rPr>
          <w:sz w:val="24"/>
          <w:szCs w:val="24"/>
        </w:rPr>
        <w:t xml:space="preserve">Personas </w:t>
      </w:r>
      <w:r w:rsidRPr="004C1E85">
        <w:rPr>
          <w:bCs/>
          <w:sz w:val="24"/>
          <w:szCs w:val="24"/>
        </w:rPr>
        <w:t xml:space="preserve">sin trabajo </w:t>
      </w:r>
      <w:r w:rsidRPr="004C1E85">
        <w:rPr>
          <w:sz w:val="24"/>
          <w:szCs w:val="24"/>
        </w:rPr>
        <w:t xml:space="preserve">pero </w:t>
      </w:r>
      <w:r w:rsidRPr="004C1E85">
        <w:rPr>
          <w:bCs/>
          <w:sz w:val="24"/>
          <w:szCs w:val="24"/>
        </w:rPr>
        <w:t xml:space="preserve">disponibles </w:t>
      </w:r>
      <w:r w:rsidRPr="004C1E85">
        <w:rPr>
          <w:sz w:val="24"/>
          <w:szCs w:val="24"/>
        </w:rPr>
        <w:t>para trabajar:</w:t>
      </w:r>
    </w:p>
    <w:p w:rsidR="00A35FB3" w:rsidRPr="004C1E85" w:rsidRDefault="00A35FB3" w:rsidP="00A35FB3">
      <w:pPr>
        <w:autoSpaceDE w:val="0"/>
        <w:autoSpaceDN w:val="0"/>
        <w:adjustRightInd w:val="0"/>
        <w:spacing w:line="360" w:lineRule="auto"/>
        <w:jc w:val="both"/>
        <w:rPr>
          <w:sz w:val="24"/>
          <w:szCs w:val="24"/>
        </w:rPr>
      </w:pPr>
      <w:r w:rsidRPr="004C1E85">
        <w:rPr>
          <w:bCs/>
          <w:sz w:val="24"/>
          <w:szCs w:val="24"/>
        </w:rPr>
        <w:t xml:space="preserve">1 </w:t>
      </w:r>
      <w:r w:rsidRPr="004C1E85">
        <w:rPr>
          <w:sz w:val="24"/>
          <w:szCs w:val="24"/>
        </w:rPr>
        <w:t>- que no buscan empleo porque han encontrado uno al que se van a incorporar en un plazo superior a tres meses.</w:t>
      </w:r>
    </w:p>
    <w:p w:rsidR="00A35FB3" w:rsidRPr="004C1E85" w:rsidRDefault="00A35FB3" w:rsidP="00A35FB3">
      <w:pPr>
        <w:autoSpaceDE w:val="0"/>
        <w:autoSpaceDN w:val="0"/>
        <w:adjustRightInd w:val="0"/>
        <w:spacing w:line="360" w:lineRule="auto"/>
        <w:jc w:val="both"/>
        <w:rPr>
          <w:sz w:val="24"/>
          <w:szCs w:val="24"/>
        </w:rPr>
      </w:pPr>
      <w:r w:rsidRPr="004C1E85">
        <w:rPr>
          <w:bCs/>
          <w:sz w:val="24"/>
          <w:szCs w:val="24"/>
        </w:rPr>
        <w:t xml:space="preserve">2 </w:t>
      </w:r>
      <w:r w:rsidRPr="004C1E85">
        <w:rPr>
          <w:sz w:val="24"/>
          <w:szCs w:val="24"/>
        </w:rPr>
        <w:t xml:space="preserve">- que no buscan empleo porque creen que no lo encontrarán, habiéndolo buscado con anterioridad. Este grupo se conoce con el nombre de </w:t>
      </w:r>
      <w:r w:rsidRPr="004C1E85">
        <w:rPr>
          <w:bCs/>
          <w:sz w:val="24"/>
          <w:szCs w:val="24"/>
        </w:rPr>
        <w:t>desanimados</w:t>
      </w:r>
      <w:r w:rsidRPr="004C1E85">
        <w:rPr>
          <w:sz w:val="24"/>
          <w:szCs w:val="24"/>
        </w:rPr>
        <w:t>.</w:t>
      </w:r>
    </w:p>
    <w:p w:rsidR="00A35FB3" w:rsidRPr="004C1E85" w:rsidRDefault="00A35FB3" w:rsidP="00A35FB3">
      <w:pPr>
        <w:autoSpaceDE w:val="0"/>
        <w:autoSpaceDN w:val="0"/>
        <w:adjustRightInd w:val="0"/>
        <w:spacing w:line="360" w:lineRule="auto"/>
        <w:jc w:val="both"/>
        <w:rPr>
          <w:sz w:val="24"/>
          <w:szCs w:val="24"/>
        </w:rPr>
      </w:pPr>
      <w:r w:rsidRPr="004C1E85">
        <w:rPr>
          <w:bCs/>
          <w:sz w:val="24"/>
          <w:szCs w:val="24"/>
        </w:rPr>
        <w:t xml:space="preserve">3 </w:t>
      </w:r>
      <w:r w:rsidRPr="004C1E85">
        <w:rPr>
          <w:sz w:val="24"/>
          <w:szCs w:val="24"/>
        </w:rPr>
        <w:t>- que no buscan por alguna de estas causas:</w:t>
      </w:r>
    </w:p>
    <w:p w:rsidR="00A35FB3" w:rsidRPr="004C1E85" w:rsidRDefault="00A35FB3" w:rsidP="00A35FB3">
      <w:pPr>
        <w:autoSpaceDE w:val="0"/>
        <w:autoSpaceDN w:val="0"/>
        <w:adjustRightInd w:val="0"/>
        <w:spacing w:line="360" w:lineRule="auto"/>
        <w:jc w:val="both"/>
        <w:rPr>
          <w:sz w:val="24"/>
          <w:szCs w:val="24"/>
        </w:rPr>
      </w:pPr>
      <w:r w:rsidRPr="004C1E85">
        <w:rPr>
          <w:bCs/>
          <w:sz w:val="24"/>
          <w:szCs w:val="24"/>
        </w:rPr>
        <w:t xml:space="preserve">- </w:t>
      </w:r>
      <w:r w:rsidRPr="004C1E85">
        <w:rPr>
          <w:sz w:val="24"/>
          <w:szCs w:val="24"/>
        </w:rPr>
        <w:t>Están afectadas por una regulación de empleo (serían aquellas personas que están afectadas por una regulación de empleo y que creen que no podrán reincorporarse a la empresa).</w:t>
      </w:r>
    </w:p>
    <w:p w:rsidR="00A35FB3" w:rsidRPr="004C1E85" w:rsidRDefault="00A35FB3" w:rsidP="00A35FB3">
      <w:pPr>
        <w:autoSpaceDE w:val="0"/>
        <w:autoSpaceDN w:val="0"/>
        <w:adjustRightInd w:val="0"/>
        <w:spacing w:line="360" w:lineRule="auto"/>
        <w:jc w:val="both"/>
        <w:rPr>
          <w:sz w:val="24"/>
          <w:szCs w:val="24"/>
        </w:rPr>
      </w:pPr>
      <w:r w:rsidRPr="004C1E85">
        <w:rPr>
          <w:sz w:val="24"/>
          <w:szCs w:val="24"/>
        </w:rPr>
        <w:t>- Otras razones de no buscar empleo (distintas de enfermedad, motivos personales o familiares, como cuidado de niños o mayores enfermos, cursar estudios o estar jubilado)</w:t>
      </w:r>
      <w:r w:rsidRPr="004C1E85">
        <w:rPr>
          <w:bCs/>
          <w:sz w:val="24"/>
          <w:szCs w:val="24"/>
        </w:rPr>
        <w:t>.</w:t>
      </w:r>
    </w:p>
    <w:p w:rsidR="00A35FB3" w:rsidRPr="004C1E85" w:rsidRDefault="00A35FB3" w:rsidP="00A35FB3">
      <w:pPr>
        <w:spacing w:line="360" w:lineRule="auto"/>
        <w:jc w:val="both"/>
        <w:rPr>
          <w:sz w:val="24"/>
          <w:szCs w:val="24"/>
        </w:rPr>
      </w:pPr>
      <w:r w:rsidRPr="004C1E85">
        <w:rPr>
          <w:bCs/>
          <w:sz w:val="24"/>
          <w:szCs w:val="24"/>
        </w:rPr>
        <w:t xml:space="preserve">4 </w:t>
      </w:r>
      <w:r w:rsidRPr="004C1E85">
        <w:rPr>
          <w:sz w:val="24"/>
          <w:szCs w:val="24"/>
        </w:rPr>
        <w:t>- que han buscado empleo, pero no de forma activa.</w:t>
      </w:r>
    </w:p>
    <w:p w:rsidR="00A35FB3" w:rsidRPr="004C1E85" w:rsidRDefault="00A35FB3" w:rsidP="00A35FB3">
      <w:pPr>
        <w:spacing w:line="360" w:lineRule="auto"/>
        <w:jc w:val="both"/>
        <w:rPr>
          <w:sz w:val="24"/>
          <w:szCs w:val="24"/>
        </w:rPr>
      </w:pPr>
      <w:r w:rsidRPr="004C1E85">
        <w:rPr>
          <w:bCs/>
          <w:sz w:val="24"/>
          <w:szCs w:val="24"/>
        </w:rPr>
        <w:t xml:space="preserve">5 </w:t>
      </w:r>
      <w:r w:rsidRPr="004C1E85">
        <w:rPr>
          <w:sz w:val="24"/>
          <w:szCs w:val="24"/>
        </w:rPr>
        <w:t>- que no han buscado empleo por alguna de estas causas:</w:t>
      </w:r>
    </w:p>
    <w:p w:rsidR="00A35FB3" w:rsidRPr="004C1E85" w:rsidRDefault="00A35FB3" w:rsidP="00A35FB3">
      <w:pPr>
        <w:autoSpaceDE w:val="0"/>
        <w:autoSpaceDN w:val="0"/>
        <w:adjustRightInd w:val="0"/>
        <w:spacing w:line="360" w:lineRule="auto"/>
        <w:jc w:val="both"/>
        <w:rPr>
          <w:sz w:val="24"/>
          <w:szCs w:val="24"/>
        </w:rPr>
      </w:pPr>
      <w:r w:rsidRPr="004C1E85">
        <w:rPr>
          <w:sz w:val="24"/>
          <w:szCs w:val="24"/>
        </w:rPr>
        <w:t>- Enfermedad o incapacidad propia.</w:t>
      </w:r>
    </w:p>
    <w:p w:rsidR="00A35FB3" w:rsidRPr="004C1E85" w:rsidRDefault="00A35FB3" w:rsidP="00A35FB3">
      <w:pPr>
        <w:autoSpaceDE w:val="0"/>
        <w:autoSpaceDN w:val="0"/>
        <w:adjustRightInd w:val="0"/>
        <w:spacing w:line="360" w:lineRule="auto"/>
        <w:jc w:val="both"/>
        <w:rPr>
          <w:sz w:val="24"/>
          <w:szCs w:val="24"/>
        </w:rPr>
      </w:pPr>
      <w:r w:rsidRPr="004C1E85">
        <w:rPr>
          <w:sz w:val="24"/>
          <w:szCs w:val="24"/>
        </w:rPr>
        <w:t>- Cuidado de niños o de adultos enfermos, discapacitados o mayores.</w:t>
      </w:r>
    </w:p>
    <w:p w:rsidR="00A35FB3" w:rsidRPr="004C1E85" w:rsidRDefault="00A35FB3" w:rsidP="00A35FB3">
      <w:pPr>
        <w:autoSpaceDE w:val="0"/>
        <w:autoSpaceDN w:val="0"/>
        <w:adjustRightInd w:val="0"/>
        <w:spacing w:line="360" w:lineRule="auto"/>
        <w:jc w:val="both"/>
        <w:rPr>
          <w:sz w:val="24"/>
          <w:szCs w:val="24"/>
        </w:rPr>
      </w:pPr>
      <w:r w:rsidRPr="004C1E85">
        <w:rPr>
          <w:sz w:val="24"/>
          <w:szCs w:val="24"/>
        </w:rPr>
        <w:t>- Tiene otras responsabilidades familiares o personales</w:t>
      </w:r>
    </w:p>
    <w:p w:rsidR="00A35FB3" w:rsidRPr="004C1E85" w:rsidRDefault="00A35FB3" w:rsidP="00A35FB3">
      <w:pPr>
        <w:autoSpaceDE w:val="0"/>
        <w:autoSpaceDN w:val="0"/>
        <w:adjustRightInd w:val="0"/>
        <w:spacing w:line="360" w:lineRule="auto"/>
        <w:jc w:val="both"/>
        <w:rPr>
          <w:sz w:val="24"/>
          <w:szCs w:val="24"/>
        </w:rPr>
      </w:pPr>
      <w:r w:rsidRPr="004C1E85">
        <w:rPr>
          <w:sz w:val="24"/>
          <w:szCs w:val="24"/>
        </w:rPr>
        <w:t>- Está cursando estudios o recibiendo formación</w:t>
      </w:r>
    </w:p>
    <w:p w:rsidR="00A35FB3" w:rsidRPr="004C1E85" w:rsidRDefault="00A35FB3" w:rsidP="00A35FB3">
      <w:pPr>
        <w:autoSpaceDE w:val="0"/>
        <w:autoSpaceDN w:val="0"/>
        <w:adjustRightInd w:val="0"/>
        <w:spacing w:line="360" w:lineRule="auto"/>
        <w:jc w:val="both"/>
        <w:rPr>
          <w:sz w:val="24"/>
          <w:szCs w:val="24"/>
        </w:rPr>
      </w:pPr>
      <w:r w:rsidRPr="004C1E85">
        <w:rPr>
          <w:sz w:val="24"/>
          <w:szCs w:val="24"/>
        </w:rPr>
        <w:t>- Está jubilado.</w:t>
      </w:r>
    </w:p>
    <w:p w:rsidR="00A35FB3" w:rsidRPr="004C1E85" w:rsidRDefault="00A35FB3" w:rsidP="00A35FB3">
      <w:pPr>
        <w:autoSpaceDE w:val="0"/>
        <w:autoSpaceDN w:val="0"/>
        <w:adjustRightInd w:val="0"/>
        <w:spacing w:line="360" w:lineRule="auto"/>
        <w:jc w:val="both"/>
        <w:rPr>
          <w:sz w:val="24"/>
          <w:szCs w:val="24"/>
        </w:rPr>
      </w:pPr>
      <w:r w:rsidRPr="004C1E85">
        <w:rPr>
          <w:sz w:val="24"/>
          <w:szCs w:val="24"/>
        </w:rPr>
        <w:t xml:space="preserve">- No sabe.  </w:t>
      </w:r>
    </w:p>
    <w:p w:rsidR="00A35FB3" w:rsidRPr="004C1E85" w:rsidRDefault="00A35FB3" w:rsidP="00A35FB3">
      <w:pPr>
        <w:autoSpaceDE w:val="0"/>
        <w:autoSpaceDN w:val="0"/>
        <w:adjustRightInd w:val="0"/>
        <w:spacing w:line="360" w:lineRule="auto"/>
        <w:jc w:val="both"/>
        <w:rPr>
          <w:bCs/>
          <w:sz w:val="24"/>
          <w:szCs w:val="24"/>
        </w:rPr>
      </w:pPr>
      <w:r w:rsidRPr="004C1E85">
        <w:rPr>
          <w:b/>
          <w:bCs/>
          <w:color w:val="00B0F0"/>
          <w:sz w:val="24"/>
          <w:szCs w:val="24"/>
        </w:rPr>
        <w:t>B)</w:t>
      </w:r>
      <w:r w:rsidRPr="004C1E85">
        <w:rPr>
          <w:bCs/>
          <w:sz w:val="24"/>
          <w:szCs w:val="24"/>
        </w:rPr>
        <w:t xml:space="preserve"> - </w:t>
      </w:r>
      <w:r w:rsidRPr="004C1E85">
        <w:rPr>
          <w:sz w:val="24"/>
          <w:szCs w:val="24"/>
        </w:rPr>
        <w:t xml:space="preserve">Personas </w:t>
      </w:r>
      <w:r w:rsidRPr="004C1E85">
        <w:rPr>
          <w:bCs/>
          <w:sz w:val="24"/>
          <w:szCs w:val="24"/>
        </w:rPr>
        <w:t xml:space="preserve">sin trabajo </w:t>
      </w:r>
      <w:r w:rsidRPr="004C1E85">
        <w:rPr>
          <w:sz w:val="24"/>
          <w:szCs w:val="24"/>
        </w:rPr>
        <w:t xml:space="preserve">y </w:t>
      </w:r>
      <w:r w:rsidRPr="004C1E85">
        <w:rPr>
          <w:bCs/>
          <w:sz w:val="24"/>
          <w:szCs w:val="24"/>
        </w:rPr>
        <w:t xml:space="preserve">no disponibles </w:t>
      </w:r>
      <w:r w:rsidRPr="004C1E85">
        <w:rPr>
          <w:sz w:val="24"/>
          <w:szCs w:val="24"/>
        </w:rPr>
        <w:t>para trabajar</w:t>
      </w:r>
      <w:r w:rsidRPr="004C1E85">
        <w:rPr>
          <w:bCs/>
          <w:sz w:val="24"/>
          <w:szCs w:val="24"/>
        </w:rPr>
        <w:t>:</w:t>
      </w:r>
    </w:p>
    <w:p w:rsidR="00A35FB3" w:rsidRPr="004C1E85" w:rsidRDefault="00A35FB3" w:rsidP="00A35FB3">
      <w:pPr>
        <w:autoSpaceDE w:val="0"/>
        <w:autoSpaceDN w:val="0"/>
        <w:adjustRightInd w:val="0"/>
        <w:spacing w:line="360" w:lineRule="auto"/>
        <w:jc w:val="both"/>
        <w:rPr>
          <w:sz w:val="24"/>
          <w:szCs w:val="24"/>
        </w:rPr>
      </w:pPr>
      <w:r w:rsidRPr="004C1E85">
        <w:rPr>
          <w:bCs/>
          <w:sz w:val="24"/>
          <w:szCs w:val="24"/>
        </w:rPr>
        <w:t>1</w:t>
      </w:r>
      <w:r w:rsidRPr="004C1E85">
        <w:rPr>
          <w:sz w:val="24"/>
          <w:szCs w:val="24"/>
        </w:rPr>
        <w:t>.- con más de 74 años.</w:t>
      </w:r>
    </w:p>
    <w:p w:rsidR="00A35FB3" w:rsidRPr="004C1E85" w:rsidRDefault="00A35FB3" w:rsidP="00A35FB3">
      <w:pPr>
        <w:autoSpaceDE w:val="0"/>
        <w:autoSpaceDN w:val="0"/>
        <w:adjustRightInd w:val="0"/>
        <w:spacing w:line="360" w:lineRule="auto"/>
        <w:jc w:val="both"/>
        <w:rPr>
          <w:sz w:val="24"/>
          <w:szCs w:val="24"/>
        </w:rPr>
      </w:pPr>
      <w:r w:rsidRPr="004C1E85">
        <w:rPr>
          <w:bCs/>
          <w:sz w:val="24"/>
          <w:szCs w:val="24"/>
        </w:rPr>
        <w:t xml:space="preserve">2- </w:t>
      </w:r>
      <w:r w:rsidRPr="004C1E85">
        <w:rPr>
          <w:sz w:val="24"/>
          <w:szCs w:val="24"/>
        </w:rPr>
        <w:t>que han encontrado un empleo en el que aún no se han incorporado (o reincorporado), independientemente del plazo en que lo hagan y de que hayan buscado o no trabajo en las cuatro últimas semanas.</w:t>
      </w:r>
    </w:p>
    <w:p w:rsidR="00A35FB3" w:rsidRPr="004C1E85" w:rsidRDefault="00A35FB3" w:rsidP="00A35FB3">
      <w:pPr>
        <w:autoSpaceDE w:val="0"/>
        <w:autoSpaceDN w:val="0"/>
        <w:adjustRightInd w:val="0"/>
        <w:spacing w:line="360" w:lineRule="auto"/>
        <w:jc w:val="both"/>
        <w:rPr>
          <w:sz w:val="24"/>
          <w:szCs w:val="24"/>
        </w:rPr>
      </w:pPr>
      <w:r w:rsidRPr="004C1E85">
        <w:rPr>
          <w:bCs/>
          <w:sz w:val="24"/>
          <w:szCs w:val="24"/>
        </w:rPr>
        <w:t xml:space="preserve">3- </w:t>
      </w:r>
      <w:r w:rsidRPr="004C1E85">
        <w:rPr>
          <w:sz w:val="24"/>
          <w:szCs w:val="24"/>
        </w:rPr>
        <w:t>que no han buscado empleo por alguna de las razones siguientes:</w:t>
      </w:r>
    </w:p>
    <w:p w:rsidR="00A35FB3" w:rsidRPr="004C1E85" w:rsidRDefault="00A35FB3" w:rsidP="00A35FB3">
      <w:pPr>
        <w:spacing w:line="360" w:lineRule="auto"/>
        <w:jc w:val="both"/>
        <w:rPr>
          <w:sz w:val="24"/>
          <w:szCs w:val="24"/>
        </w:rPr>
      </w:pPr>
      <w:r w:rsidRPr="004C1E85">
        <w:rPr>
          <w:sz w:val="24"/>
          <w:szCs w:val="24"/>
        </w:rPr>
        <w:t>- Cree que no lo va a encontrar</w:t>
      </w:r>
    </w:p>
    <w:p w:rsidR="00A35FB3" w:rsidRPr="004C1E85" w:rsidRDefault="00A35FB3" w:rsidP="00A35FB3">
      <w:pPr>
        <w:autoSpaceDE w:val="0"/>
        <w:autoSpaceDN w:val="0"/>
        <w:adjustRightInd w:val="0"/>
        <w:spacing w:line="360" w:lineRule="auto"/>
        <w:jc w:val="both"/>
        <w:rPr>
          <w:sz w:val="24"/>
          <w:szCs w:val="24"/>
        </w:rPr>
      </w:pPr>
      <w:r w:rsidRPr="004C1E85">
        <w:rPr>
          <w:sz w:val="24"/>
          <w:szCs w:val="24"/>
        </w:rPr>
        <w:t>- Está afectado por una regulación de empleo (que creen que no podrán reincorporarse a la empresa)</w:t>
      </w:r>
    </w:p>
    <w:p w:rsidR="00A35FB3" w:rsidRPr="004C1E85" w:rsidRDefault="00A35FB3" w:rsidP="00A35FB3">
      <w:pPr>
        <w:autoSpaceDE w:val="0"/>
        <w:autoSpaceDN w:val="0"/>
        <w:adjustRightInd w:val="0"/>
        <w:spacing w:line="360" w:lineRule="auto"/>
        <w:jc w:val="both"/>
        <w:rPr>
          <w:sz w:val="24"/>
          <w:szCs w:val="24"/>
        </w:rPr>
      </w:pPr>
      <w:r w:rsidRPr="004C1E85">
        <w:rPr>
          <w:sz w:val="24"/>
          <w:szCs w:val="24"/>
        </w:rPr>
        <w:t>- Enfermedad o incapacidad propia.</w:t>
      </w:r>
    </w:p>
    <w:p w:rsidR="00A35FB3" w:rsidRPr="004C1E85" w:rsidRDefault="00A35FB3" w:rsidP="00A35FB3">
      <w:pPr>
        <w:autoSpaceDE w:val="0"/>
        <w:autoSpaceDN w:val="0"/>
        <w:adjustRightInd w:val="0"/>
        <w:spacing w:line="360" w:lineRule="auto"/>
        <w:jc w:val="both"/>
        <w:rPr>
          <w:sz w:val="24"/>
          <w:szCs w:val="24"/>
        </w:rPr>
      </w:pPr>
      <w:r w:rsidRPr="004C1E85">
        <w:rPr>
          <w:sz w:val="24"/>
          <w:szCs w:val="24"/>
        </w:rPr>
        <w:t>- Cuidado de niños o de adultos enfermos, discapacitados o mayores.</w:t>
      </w:r>
    </w:p>
    <w:p w:rsidR="00A35FB3" w:rsidRPr="004C1E85" w:rsidRDefault="00A35FB3" w:rsidP="00A35FB3">
      <w:pPr>
        <w:autoSpaceDE w:val="0"/>
        <w:autoSpaceDN w:val="0"/>
        <w:adjustRightInd w:val="0"/>
        <w:spacing w:line="360" w:lineRule="auto"/>
        <w:jc w:val="both"/>
        <w:rPr>
          <w:sz w:val="24"/>
          <w:szCs w:val="24"/>
        </w:rPr>
      </w:pPr>
      <w:r w:rsidRPr="004C1E85">
        <w:rPr>
          <w:sz w:val="24"/>
          <w:szCs w:val="24"/>
        </w:rPr>
        <w:t>- Tiene otras responsabilidades familiares o personales</w:t>
      </w:r>
    </w:p>
    <w:p w:rsidR="00A35FB3" w:rsidRPr="004C1E85" w:rsidRDefault="00A35FB3" w:rsidP="00A35FB3">
      <w:pPr>
        <w:autoSpaceDE w:val="0"/>
        <w:autoSpaceDN w:val="0"/>
        <w:adjustRightInd w:val="0"/>
        <w:spacing w:line="360" w:lineRule="auto"/>
        <w:jc w:val="both"/>
        <w:rPr>
          <w:sz w:val="24"/>
          <w:szCs w:val="24"/>
        </w:rPr>
      </w:pPr>
      <w:r w:rsidRPr="004C1E85">
        <w:rPr>
          <w:sz w:val="24"/>
          <w:szCs w:val="24"/>
        </w:rPr>
        <w:t>- Está cursando estudios o recibiendo formación</w:t>
      </w:r>
    </w:p>
    <w:p w:rsidR="00A35FB3" w:rsidRPr="004C1E85" w:rsidRDefault="00A35FB3" w:rsidP="00A35FB3">
      <w:pPr>
        <w:autoSpaceDE w:val="0"/>
        <w:autoSpaceDN w:val="0"/>
        <w:adjustRightInd w:val="0"/>
        <w:spacing w:line="360" w:lineRule="auto"/>
        <w:jc w:val="both"/>
        <w:rPr>
          <w:sz w:val="24"/>
          <w:szCs w:val="24"/>
        </w:rPr>
      </w:pPr>
      <w:r w:rsidRPr="004C1E85">
        <w:rPr>
          <w:sz w:val="24"/>
          <w:szCs w:val="24"/>
        </w:rPr>
        <w:lastRenderedPageBreak/>
        <w:t>- Está jubilado.</w:t>
      </w:r>
    </w:p>
    <w:p w:rsidR="00A35FB3" w:rsidRPr="004C1E85" w:rsidRDefault="00A35FB3" w:rsidP="00A35FB3">
      <w:pPr>
        <w:autoSpaceDE w:val="0"/>
        <w:autoSpaceDN w:val="0"/>
        <w:adjustRightInd w:val="0"/>
        <w:spacing w:line="360" w:lineRule="auto"/>
        <w:jc w:val="both"/>
        <w:rPr>
          <w:sz w:val="24"/>
          <w:szCs w:val="24"/>
        </w:rPr>
      </w:pPr>
      <w:r w:rsidRPr="004C1E85">
        <w:rPr>
          <w:sz w:val="24"/>
          <w:szCs w:val="24"/>
        </w:rPr>
        <w:t>- Otras razones, (a especificar)</w:t>
      </w:r>
    </w:p>
    <w:p w:rsidR="00A35FB3" w:rsidRPr="004C1E85" w:rsidRDefault="00A35FB3" w:rsidP="00A35FB3">
      <w:pPr>
        <w:autoSpaceDE w:val="0"/>
        <w:autoSpaceDN w:val="0"/>
        <w:adjustRightInd w:val="0"/>
        <w:spacing w:line="360" w:lineRule="auto"/>
        <w:jc w:val="both"/>
        <w:rPr>
          <w:sz w:val="24"/>
          <w:szCs w:val="24"/>
        </w:rPr>
      </w:pPr>
      <w:r w:rsidRPr="004C1E85">
        <w:rPr>
          <w:sz w:val="24"/>
          <w:szCs w:val="24"/>
        </w:rPr>
        <w:t>- No sabe.</w:t>
      </w:r>
    </w:p>
    <w:p w:rsidR="00A35FB3" w:rsidRDefault="00A35FB3" w:rsidP="00A35FB3">
      <w:pPr>
        <w:spacing w:line="360" w:lineRule="auto"/>
        <w:jc w:val="both"/>
        <w:rPr>
          <w:sz w:val="24"/>
          <w:szCs w:val="24"/>
        </w:rPr>
      </w:pPr>
      <w:r w:rsidRPr="004C1E85">
        <w:rPr>
          <w:bCs/>
          <w:sz w:val="24"/>
          <w:szCs w:val="24"/>
        </w:rPr>
        <w:t>4</w:t>
      </w:r>
      <w:r w:rsidRPr="004C1E85">
        <w:rPr>
          <w:sz w:val="24"/>
          <w:szCs w:val="24"/>
        </w:rPr>
        <w:t>.- que han buscado empleo (de forma activa o no)</w:t>
      </w:r>
    </w:p>
    <w:p w:rsidR="00A35FB3" w:rsidRPr="004C1E85" w:rsidRDefault="00A35FB3" w:rsidP="00A35FB3">
      <w:pPr>
        <w:spacing w:line="360" w:lineRule="auto"/>
        <w:jc w:val="both"/>
        <w:rPr>
          <w:sz w:val="24"/>
          <w:szCs w:val="24"/>
        </w:rPr>
      </w:pPr>
    </w:p>
    <w:p w:rsidR="00A35FB3" w:rsidRPr="0073383D" w:rsidRDefault="00A35FB3" w:rsidP="00A35FB3">
      <w:pPr>
        <w:jc w:val="center"/>
        <w:rPr>
          <w:rFonts w:cs="Univers"/>
        </w:rPr>
      </w:pPr>
      <w:r>
        <w:rPr>
          <w:noProof/>
        </w:rPr>
        <w:drawing>
          <wp:inline distT="0" distB="0" distL="0" distR="0">
            <wp:extent cx="3101340" cy="226695"/>
            <wp:effectExtent l="19050" t="0" r="3810" b="0"/>
            <wp:docPr id="21"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9" cstate="print"/>
                    <a:srcRect/>
                    <a:stretch>
                      <a:fillRect/>
                    </a:stretch>
                  </pic:blipFill>
                  <pic:spPr bwMode="auto">
                    <a:xfrm>
                      <a:off x="0" y="0"/>
                      <a:ext cx="3101340" cy="226695"/>
                    </a:xfrm>
                    <a:prstGeom prst="rect">
                      <a:avLst/>
                    </a:prstGeom>
                    <a:noFill/>
                    <a:ln w="9525">
                      <a:noFill/>
                      <a:miter lim="800000"/>
                      <a:headEnd/>
                      <a:tailEnd/>
                    </a:ln>
                  </pic:spPr>
                </pic:pic>
              </a:graphicData>
            </a:graphic>
          </wp:inline>
        </w:drawing>
      </w:r>
    </w:p>
    <w:p w:rsidR="00A35FB3" w:rsidRDefault="00A35FB3" w:rsidP="00A35FB3">
      <w:pPr>
        <w:jc w:val="center"/>
      </w:pPr>
      <w:r>
        <w:rPr>
          <w:noProof/>
        </w:rPr>
        <w:drawing>
          <wp:inline distT="0" distB="0" distL="0" distR="0">
            <wp:extent cx="5724455" cy="4295775"/>
            <wp:effectExtent l="19050" t="0" r="0" b="0"/>
            <wp:docPr id="31"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0" cstate="print"/>
                    <a:srcRect/>
                    <a:stretch>
                      <a:fillRect/>
                    </a:stretch>
                  </pic:blipFill>
                  <pic:spPr bwMode="auto">
                    <a:xfrm>
                      <a:off x="0" y="0"/>
                      <a:ext cx="5735017" cy="4303701"/>
                    </a:xfrm>
                    <a:prstGeom prst="rect">
                      <a:avLst/>
                    </a:prstGeom>
                    <a:noFill/>
                    <a:ln w="9525">
                      <a:noFill/>
                      <a:miter lim="800000"/>
                      <a:headEnd/>
                      <a:tailEnd/>
                    </a:ln>
                  </pic:spPr>
                </pic:pic>
              </a:graphicData>
            </a:graphic>
          </wp:inline>
        </w:drawing>
      </w:r>
    </w:p>
    <w:p w:rsidR="00E3140D" w:rsidRDefault="00E3140D" w:rsidP="00A35FB3">
      <w:pPr>
        <w:ind w:left="1416"/>
        <w:jc w:val="both"/>
        <w:rPr>
          <w:noProof/>
        </w:rPr>
      </w:pPr>
    </w:p>
    <w:p w:rsidR="00A35FB3" w:rsidRDefault="00A35FB3" w:rsidP="00A35FB3">
      <w:pPr>
        <w:ind w:left="1416"/>
        <w:jc w:val="both"/>
        <w:rPr>
          <w:noProof/>
        </w:rPr>
      </w:pPr>
      <w:r w:rsidRPr="004C1E85">
        <w:rPr>
          <w:noProof/>
        </w:rPr>
        <w:t>Fuente: INE (2008</w:t>
      </w:r>
      <w:r>
        <w:rPr>
          <w:noProof/>
        </w:rPr>
        <w:t>)</w:t>
      </w:r>
    </w:p>
    <w:p w:rsidR="00A35FB3" w:rsidRDefault="00A35FB3" w:rsidP="00A35FB3">
      <w:pPr>
        <w:ind w:left="1416"/>
        <w:jc w:val="both"/>
        <w:rPr>
          <w:noProof/>
        </w:rPr>
      </w:pPr>
    </w:p>
    <w:p w:rsidR="00A35FB3" w:rsidRDefault="00A35FB3" w:rsidP="00A35FB3">
      <w:pPr>
        <w:ind w:left="1416"/>
        <w:jc w:val="both"/>
        <w:rPr>
          <w:noProof/>
        </w:rPr>
      </w:pPr>
    </w:p>
    <w:p w:rsidR="00A35FB3" w:rsidRDefault="00A35FB3" w:rsidP="00A35FB3">
      <w:pPr>
        <w:jc w:val="both"/>
        <w:rPr>
          <w:noProof/>
        </w:rPr>
      </w:pPr>
    </w:p>
    <w:p w:rsidR="00A35FB3" w:rsidRDefault="00A35FB3" w:rsidP="00A35FB3">
      <w:pPr>
        <w:jc w:val="both"/>
        <w:rPr>
          <w:noProof/>
        </w:rPr>
      </w:pPr>
    </w:p>
    <w:p w:rsidR="00A35FB3" w:rsidRDefault="00A35FB3" w:rsidP="00A35FB3">
      <w:pPr>
        <w:jc w:val="both"/>
        <w:rPr>
          <w:noProof/>
        </w:rPr>
      </w:pPr>
    </w:p>
    <w:p w:rsidR="00A35FB3" w:rsidRDefault="00A35FB3" w:rsidP="00A35FB3">
      <w:pPr>
        <w:jc w:val="both"/>
        <w:rPr>
          <w:noProof/>
        </w:rPr>
      </w:pPr>
    </w:p>
    <w:p w:rsidR="00A35FB3" w:rsidRDefault="00A35FB3" w:rsidP="00A35FB3">
      <w:pPr>
        <w:jc w:val="both"/>
        <w:rPr>
          <w:noProof/>
        </w:rPr>
      </w:pPr>
    </w:p>
    <w:p w:rsidR="00A35FB3" w:rsidRDefault="00A35FB3" w:rsidP="00A35FB3">
      <w:pPr>
        <w:jc w:val="both"/>
        <w:rPr>
          <w:noProof/>
        </w:rPr>
      </w:pPr>
    </w:p>
    <w:p w:rsidR="00E3140D" w:rsidRDefault="00E3140D" w:rsidP="00A35FB3">
      <w:pPr>
        <w:jc w:val="both"/>
        <w:rPr>
          <w:noProof/>
        </w:rPr>
      </w:pPr>
    </w:p>
    <w:p w:rsidR="00E3140D" w:rsidRDefault="00E3140D" w:rsidP="00A35FB3">
      <w:pPr>
        <w:jc w:val="both"/>
        <w:rPr>
          <w:noProof/>
        </w:rPr>
      </w:pPr>
    </w:p>
    <w:p w:rsidR="00E3140D" w:rsidRDefault="00E3140D" w:rsidP="00A35FB3">
      <w:pPr>
        <w:jc w:val="both"/>
        <w:rPr>
          <w:noProof/>
        </w:rPr>
      </w:pPr>
    </w:p>
    <w:p w:rsidR="00E3140D" w:rsidRDefault="00E3140D" w:rsidP="00A35FB3">
      <w:pPr>
        <w:jc w:val="both"/>
        <w:rPr>
          <w:noProof/>
        </w:rPr>
      </w:pPr>
    </w:p>
    <w:p w:rsidR="00B90C26" w:rsidRDefault="00B90C26" w:rsidP="00A35FB3">
      <w:pPr>
        <w:jc w:val="both"/>
        <w:rPr>
          <w:noProof/>
        </w:rPr>
      </w:pPr>
    </w:p>
    <w:p w:rsidR="00B90C26" w:rsidRDefault="00B90C26" w:rsidP="00A35FB3">
      <w:pPr>
        <w:jc w:val="both"/>
        <w:rPr>
          <w:noProof/>
        </w:rPr>
      </w:pPr>
    </w:p>
    <w:p w:rsidR="00E3140D" w:rsidRDefault="00E3140D" w:rsidP="00A35FB3">
      <w:pPr>
        <w:jc w:val="both"/>
        <w:rPr>
          <w:noProof/>
        </w:rPr>
      </w:pPr>
    </w:p>
    <w:p w:rsidR="00E3140D" w:rsidRDefault="00E3140D" w:rsidP="00A35FB3">
      <w:pPr>
        <w:jc w:val="both"/>
        <w:rPr>
          <w:noProof/>
        </w:rPr>
      </w:pPr>
    </w:p>
    <w:p w:rsidR="00A35FB3" w:rsidRDefault="00A35FB3" w:rsidP="00A35FB3">
      <w:pPr>
        <w:jc w:val="both"/>
        <w:rPr>
          <w:noProof/>
        </w:rPr>
      </w:pPr>
    </w:p>
    <w:p w:rsidR="00824004" w:rsidRPr="00050AA4" w:rsidRDefault="00824004" w:rsidP="00A35FB3">
      <w:pPr>
        <w:jc w:val="both"/>
        <w:rPr>
          <w:noProof/>
        </w:rPr>
      </w:pPr>
    </w:p>
    <w:p w:rsidR="00A35FB3" w:rsidRPr="00DE781C" w:rsidRDefault="00A35FB3" w:rsidP="00A35FB3">
      <w:pPr>
        <w:pStyle w:val="Prrafodelista"/>
        <w:numPr>
          <w:ilvl w:val="0"/>
          <w:numId w:val="21"/>
        </w:numPr>
        <w:spacing w:line="360" w:lineRule="auto"/>
        <w:jc w:val="both"/>
        <w:rPr>
          <w:rFonts w:ascii="Times New Roman" w:hAnsi="Times New Roman" w:cs="Times New Roman"/>
          <w:b/>
          <w:sz w:val="24"/>
          <w:szCs w:val="24"/>
        </w:rPr>
      </w:pPr>
      <w:r w:rsidRPr="00DE781C">
        <w:rPr>
          <w:rFonts w:ascii="Times New Roman" w:hAnsi="Times New Roman" w:cs="Times New Roman"/>
          <w:b/>
          <w:sz w:val="24"/>
          <w:szCs w:val="24"/>
        </w:rPr>
        <w:lastRenderedPageBreak/>
        <w:t xml:space="preserve">CARACTERÍSTICAS DEL MERCADO DE TRABAJO ESPAÑOL </w:t>
      </w:r>
    </w:p>
    <w:p w:rsidR="00A35FB3" w:rsidRDefault="00A35FB3" w:rsidP="00A35FB3">
      <w:pPr>
        <w:pStyle w:val="Prrafodelista"/>
        <w:spacing w:line="360" w:lineRule="auto"/>
        <w:ind w:left="1080"/>
        <w:jc w:val="both"/>
      </w:pPr>
    </w:p>
    <w:p w:rsidR="00A35FB3" w:rsidRPr="00FC6DFB" w:rsidRDefault="00A35FB3" w:rsidP="00A35FB3">
      <w:pPr>
        <w:spacing w:line="360" w:lineRule="auto"/>
        <w:jc w:val="both"/>
        <w:rPr>
          <w:sz w:val="24"/>
          <w:szCs w:val="24"/>
        </w:rPr>
      </w:pPr>
      <w:r w:rsidRPr="00FC6DFB">
        <w:rPr>
          <w:sz w:val="24"/>
          <w:szCs w:val="24"/>
        </w:rPr>
        <w:t xml:space="preserve">La evolución del mercado de trabajo en España y en la UE, desde mediados de la década de 1980 y hasta la actualidad, </w:t>
      </w:r>
      <w:r>
        <w:rPr>
          <w:sz w:val="24"/>
          <w:szCs w:val="24"/>
        </w:rPr>
        <w:t xml:space="preserve"> </w:t>
      </w:r>
      <w:r w:rsidRPr="00FC6DFB">
        <w:rPr>
          <w:sz w:val="24"/>
          <w:szCs w:val="24"/>
        </w:rPr>
        <w:t>permite resaltar aspectos relevantes</w:t>
      </w:r>
      <w:r>
        <w:rPr>
          <w:sz w:val="24"/>
          <w:szCs w:val="24"/>
        </w:rPr>
        <w:t xml:space="preserve"> (García </w:t>
      </w:r>
      <w:proofErr w:type="spellStart"/>
      <w:r>
        <w:rPr>
          <w:sz w:val="24"/>
          <w:szCs w:val="24"/>
        </w:rPr>
        <w:t>Brosa</w:t>
      </w:r>
      <w:proofErr w:type="spellEnd"/>
      <w:r>
        <w:rPr>
          <w:sz w:val="24"/>
          <w:szCs w:val="24"/>
        </w:rPr>
        <w:t xml:space="preserve"> y </w:t>
      </w:r>
      <w:proofErr w:type="spellStart"/>
      <w:r>
        <w:rPr>
          <w:sz w:val="24"/>
          <w:szCs w:val="24"/>
        </w:rPr>
        <w:t>Sanromà</w:t>
      </w:r>
      <w:proofErr w:type="spellEnd"/>
      <w:r>
        <w:rPr>
          <w:sz w:val="24"/>
          <w:szCs w:val="24"/>
        </w:rPr>
        <w:t>, 2013)</w:t>
      </w:r>
      <w:r w:rsidRPr="00FC6DFB">
        <w:rPr>
          <w:sz w:val="24"/>
          <w:szCs w:val="24"/>
        </w:rPr>
        <w:t>:</w:t>
      </w:r>
    </w:p>
    <w:p w:rsidR="00A35FB3" w:rsidRPr="00FC6DFB" w:rsidRDefault="00A35FB3" w:rsidP="00A35FB3">
      <w:pPr>
        <w:pStyle w:val="Prrafodelista"/>
        <w:numPr>
          <w:ilvl w:val="0"/>
          <w:numId w:val="6"/>
        </w:numPr>
        <w:spacing w:line="360" w:lineRule="auto"/>
        <w:jc w:val="both"/>
        <w:rPr>
          <w:rFonts w:ascii="Times New Roman" w:hAnsi="Times New Roman" w:cs="Times New Roman"/>
          <w:sz w:val="24"/>
          <w:szCs w:val="24"/>
        </w:rPr>
      </w:pPr>
      <w:r w:rsidRPr="00FC6DFB">
        <w:rPr>
          <w:rFonts w:ascii="Times New Roman" w:hAnsi="Times New Roman" w:cs="Times New Roman"/>
          <w:sz w:val="24"/>
          <w:szCs w:val="24"/>
        </w:rPr>
        <w:t xml:space="preserve">Se ha producido un incremento de la población activa que se debe tanto al aumento de la población en edad de trabajar como al </w:t>
      </w:r>
      <w:r>
        <w:rPr>
          <w:rFonts w:ascii="Times New Roman" w:hAnsi="Times New Roman" w:cs="Times New Roman"/>
          <w:sz w:val="24"/>
          <w:szCs w:val="24"/>
        </w:rPr>
        <w:t>incremento</w:t>
      </w:r>
      <w:r w:rsidRPr="00FC6DFB">
        <w:rPr>
          <w:rFonts w:ascii="Times New Roman" w:hAnsi="Times New Roman" w:cs="Times New Roman"/>
          <w:sz w:val="24"/>
          <w:szCs w:val="24"/>
        </w:rPr>
        <w:t xml:space="preserve"> de la tasa de actividad en algunos colectivos, especialmente las mujeres. El aumento de la inmigración también ha sido una de las causas de este </w:t>
      </w:r>
      <w:r>
        <w:rPr>
          <w:rFonts w:ascii="Times New Roman" w:hAnsi="Times New Roman" w:cs="Times New Roman"/>
          <w:sz w:val="24"/>
          <w:szCs w:val="24"/>
        </w:rPr>
        <w:t>crecimiento de la población activa</w:t>
      </w:r>
      <w:r w:rsidRPr="00FC6DFB">
        <w:rPr>
          <w:rFonts w:ascii="Times New Roman" w:hAnsi="Times New Roman" w:cs="Times New Roman"/>
          <w:sz w:val="24"/>
          <w:szCs w:val="24"/>
        </w:rPr>
        <w:t>.</w:t>
      </w:r>
    </w:p>
    <w:p w:rsidR="00A35FB3" w:rsidRPr="00FC6DFB" w:rsidRDefault="00A35FB3" w:rsidP="00A35FB3">
      <w:pPr>
        <w:pStyle w:val="Prrafodelista"/>
        <w:spacing w:line="360" w:lineRule="auto"/>
        <w:jc w:val="both"/>
        <w:rPr>
          <w:rFonts w:ascii="Times New Roman" w:hAnsi="Times New Roman" w:cs="Times New Roman"/>
          <w:sz w:val="24"/>
          <w:szCs w:val="24"/>
        </w:rPr>
      </w:pPr>
    </w:p>
    <w:p w:rsidR="00883135" w:rsidRPr="00883135" w:rsidRDefault="00A35FB3" w:rsidP="00883135">
      <w:pPr>
        <w:pStyle w:val="Prrafodelista"/>
        <w:numPr>
          <w:ilvl w:val="0"/>
          <w:numId w:val="6"/>
        </w:numPr>
        <w:spacing w:line="360" w:lineRule="auto"/>
        <w:jc w:val="both"/>
        <w:rPr>
          <w:rFonts w:ascii="Times New Roman" w:hAnsi="Times New Roman" w:cs="Times New Roman"/>
          <w:sz w:val="24"/>
          <w:szCs w:val="24"/>
        </w:rPr>
      </w:pPr>
      <w:r w:rsidRPr="00FC6DFB">
        <w:rPr>
          <w:rFonts w:ascii="Times New Roman" w:hAnsi="Times New Roman" w:cs="Times New Roman"/>
          <w:sz w:val="24"/>
          <w:szCs w:val="24"/>
        </w:rPr>
        <w:t>Los elevados ritmos de creación y destrucción de empleo. El importante crecimiento de los niveles de empleo desde mediados de los años 90 y hasta 2007 ha sido sustituido por un fuerte aumento del desempleo a partir de 2008, sobre todo en el sector de la construcción y el sector terciario.</w:t>
      </w:r>
    </w:p>
    <w:p w:rsidR="00B90C26" w:rsidRDefault="00A35FB3" w:rsidP="00B90C26">
      <w:pPr>
        <w:pStyle w:val="Prrafodelista"/>
        <w:tabs>
          <w:tab w:val="center" w:pos="4895"/>
          <w:tab w:val="right" w:pos="9070"/>
        </w:tabs>
        <w:rPr>
          <w:rFonts w:ascii="Times New Roman" w:hAnsi="Times New Roman" w:cs="Times New Roman"/>
          <w:b/>
          <w:sz w:val="24"/>
          <w:szCs w:val="24"/>
        </w:rPr>
      </w:pPr>
      <w:r w:rsidRPr="006B7FE8">
        <w:rPr>
          <w:rFonts w:ascii="Times New Roman" w:hAnsi="Times New Roman" w:cs="Times New Roman"/>
          <w:b/>
          <w:sz w:val="24"/>
          <w:szCs w:val="24"/>
        </w:rPr>
        <w:t>Gráfico 1.- Evolución de</w:t>
      </w:r>
      <w:r>
        <w:rPr>
          <w:rFonts w:ascii="Times New Roman" w:hAnsi="Times New Roman" w:cs="Times New Roman"/>
          <w:b/>
          <w:sz w:val="24"/>
          <w:szCs w:val="24"/>
        </w:rPr>
        <w:t>l PIB y el empleo en España entre 2000</w:t>
      </w:r>
      <w:r w:rsidR="00B90C26">
        <w:rPr>
          <w:rFonts w:ascii="Times New Roman" w:hAnsi="Times New Roman" w:cs="Times New Roman"/>
          <w:b/>
          <w:sz w:val="24"/>
          <w:szCs w:val="24"/>
        </w:rPr>
        <w:t xml:space="preserve"> y 2013</w:t>
      </w:r>
    </w:p>
    <w:p w:rsidR="00B90C26" w:rsidRPr="00B90C26" w:rsidRDefault="00B90C26" w:rsidP="00B90C26">
      <w:pPr>
        <w:pStyle w:val="Prrafodelista"/>
        <w:tabs>
          <w:tab w:val="center" w:pos="4895"/>
          <w:tab w:val="right" w:pos="9070"/>
        </w:tabs>
        <w:rPr>
          <w:rFonts w:ascii="Times New Roman" w:hAnsi="Times New Roman" w:cs="Times New Roman"/>
          <w:b/>
          <w:sz w:val="24"/>
          <w:szCs w:val="24"/>
        </w:rPr>
      </w:pPr>
    </w:p>
    <w:p w:rsidR="00E3140D" w:rsidRDefault="00A35FB3" w:rsidP="00A35FB3">
      <w:pPr>
        <w:jc w:val="both"/>
      </w:pPr>
      <w:r w:rsidRPr="00EB5F81">
        <w:rPr>
          <w:noProof/>
        </w:rPr>
        <w:drawing>
          <wp:inline distT="0" distB="0" distL="0" distR="0">
            <wp:extent cx="5705475" cy="2028825"/>
            <wp:effectExtent l="19050" t="0" r="9525" b="0"/>
            <wp:docPr id="32" name="Gráfico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A35FB3" w:rsidRPr="00E3140D" w:rsidRDefault="00A35FB3" w:rsidP="00A35FB3">
      <w:pPr>
        <w:jc w:val="both"/>
      </w:pPr>
      <w:r w:rsidRPr="004C1E85">
        <w:t>Fuente: INE</w:t>
      </w:r>
      <w:r>
        <w:t>. Elaboración propia</w:t>
      </w:r>
    </w:p>
    <w:p w:rsidR="00A35FB3" w:rsidRDefault="00A35FB3" w:rsidP="00A35FB3">
      <w:pPr>
        <w:pStyle w:val="Prrafodelista"/>
        <w:spacing w:line="360" w:lineRule="auto"/>
        <w:jc w:val="both"/>
      </w:pPr>
    </w:p>
    <w:p w:rsidR="00A35FB3" w:rsidRDefault="00A35FB3" w:rsidP="00A35FB3">
      <w:pPr>
        <w:pStyle w:val="Prrafodelista"/>
        <w:numPr>
          <w:ilvl w:val="0"/>
          <w:numId w:val="6"/>
        </w:numPr>
        <w:spacing w:line="360" w:lineRule="auto"/>
        <w:jc w:val="both"/>
        <w:rPr>
          <w:rFonts w:ascii="Times New Roman" w:hAnsi="Times New Roman" w:cs="Times New Roman"/>
          <w:sz w:val="24"/>
          <w:szCs w:val="24"/>
        </w:rPr>
      </w:pPr>
      <w:r w:rsidRPr="00FC6DFB">
        <w:rPr>
          <w:rFonts w:ascii="Times New Roman" w:hAnsi="Times New Roman" w:cs="Times New Roman"/>
          <w:sz w:val="24"/>
          <w:szCs w:val="24"/>
        </w:rPr>
        <w:t xml:space="preserve">El </w:t>
      </w:r>
      <w:r>
        <w:rPr>
          <w:rFonts w:ascii="Times New Roman" w:hAnsi="Times New Roman" w:cs="Times New Roman"/>
          <w:sz w:val="24"/>
          <w:szCs w:val="24"/>
        </w:rPr>
        <w:t xml:space="preserve">crecimiento del </w:t>
      </w:r>
      <w:r w:rsidRPr="00FC6DFB">
        <w:rPr>
          <w:rFonts w:ascii="Times New Roman" w:hAnsi="Times New Roman" w:cs="Times New Roman"/>
          <w:sz w:val="24"/>
          <w:szCs w:val="24"/>
        </w:rPr>
        <w:t xml:space="preserve">empleo desde mitad de los noventa y hasta 2007 ha sido sustituido por un rápido </w:t>
      </w:r>
      <w:r>
        <w:rPr>
          <w:rFonts w:ascii="Times New Roman" w:hAnsi="Times New Roman" w:cs="Times New Roman"/>
          <w:sz w:val="24"/>
          <w:szCs w:val="24"/>
        </w:rPr>
        <w:t>incremento</w:t>
      </w:r>
      <w:r w:rsidRPr="00FC6DFB">
        <w:rPr>
          <w:rFonts w:ascii="Times New Roman" w:hAnsi="Times New Roman" w:cs="Times New Roman"/>
          <w:sz w:val="24"/>
          <w:szCs w:val="24"/>
        </w:rPr>
        <w:t xml:space="preserve"> del desempleo con el comienzo de</w:t>
      </w:r>
      <w:r>
        <w:rPr>
          <w:rFonts w:ascii="Times New Roman" w:hAnsi="Times New Roman" w:cs="Times New Roman"/>
          <w:sz w:val="24"/>
          <w:szCs w:val="24"/>
        </w:rPr>
        <w:t xml:space="preserve"> la crisis económica actual (gráfico 1). Las consecuencias </w:t>
      </w:r>
      <w:r w:rsidRPr="00FC6DFB">
        <w:rPr>
          <w:rFonts w:ascii="Times New Roman" w:hAnsi="Times New Roman" w:cs="Times New Roman"/>
          <w:sz w:val="24"/>
          <w:szCs w:val="24"/>
        </w:rPr>
        <w:t xml:space="preserve">del </w:t>
      </w:r>
      <w:r>
        <w:rPr>
          <w:rFonts w:ascii="Times New Roman" w:hAnsi="Times New Roman" w:cs="Times New Roman"/>
          <w:sz w:val="24"/>
          <w:szCs w:val="24"/>
        </w:rPr>
        <w:t>paro</w:t>
      </w:r>
      <w:r w:rsidRPr="00FC6DFB">
        <w:rPr>
          <w:rFonts w:ascii="Times New Roman" w:hAnsi="Times New Roman" w:cs="Times New Roman"/>
          <w:sz w:val="24"/>
          <w:szCs w:val="24"/>
        </w:rPr>
        <w:t xml:space="preserve"> ha</w:t>
      </w:r>
      <w:r>
        <w:rPr>
          <w:rFonts w:ascii="Times New Roman" w:hAnsi="Times New Roman" w:cs="Times New Roman"/>
          <w:sz w:val="24"/>
          <w:szCs w:val="24"/>
        </w:rPr>
        <w:t>n</w:t>
      </w:r>
      <w:r w:rsidRPr="00FC6DFB">
        <w:rPr>
          <w:rFonts w:ascii="Times New Roman" w:hAnsi="Times New Roman" w:cs="Times New Roman"/>
          <w:sz w:val="24"/>
          <w:szCs w:val="24"/>
        </w:rPr>
        <w:t xml:space="preserve"> afectado a</w:t>
      </w:r>
      <w:r>
        <w:rPr>
          <w:rFonts w:ascii="Times New Roman" w:hAnsi="Times New Roman" w:cs="Times New Roman"/>
          <w:sz w:val="24"/>
          <w:szCs w:val="24"/>
        </w:rPr>
        <w:t xml:space="preserve"> todos </w:t>
      </w:r>
      <w:r w:rsidRPr="00FC6DFB">
        <w:rPr>
          <w:rFonts w:ascii="Times New Roman" w:hAnsi="Times New Roman" w:cs="Times New Roman"/>
          <w:sz w:val="24"/>
          <w:szCs w:val="24"/>
        </w:rPr>
        <w:t xml:space="preserve"> los colectivos del mercado laboral, aunque en mayor medida a los hombres por su mayor protagonismo en el sector de la construcción.</w:t>
      </w:r>
    </w:p>
    <w:p w:rsidR="00BE2072" w:rsidRDefault="00BE2072" w:rsidP="00BE2072">
      <w:pPr>
        <w:rPr>
          <w:rFonts w:eastAsiaTheme="minorEastAsia"/>
          <w:sz w:val="24"/>
          <w:szCs w:val="24"/>
        </w:rPr>
      </w:pPr>
    </w:p>
    <w:p w:rsidR="00B90C26" w:rsidRDefault="00B90C26" w:rsidP="00BE2072">
      <w:pPr>
        <w:rPr>
          <w:rFonts w:eastAsiaTheme="minorEastAsia"/>
          <w:sz w:val="24"/>
          <w:szCs w:val="24"/>
        </w:rPr>
      </w:pPr>
    </w:p>
    <w:p w:rsidR="00B90C26" w:rsidRDefault="00B90C26" w:rsidP="00BE2072">
      <w:pPr>
        <w:rPr>
          <w:rFonts w:eastAsiaTheme="minorEastAsia"/>
          <w:sz w:val="24"/>
          <w:szCs w:val="24"/>
        </w:rPr>
      </w:pPr>
    </w:p>
    <w:p w:rsidR="00BE2072" w:rsidRDefault="00A35FB3" w:rsidP="00BE2072">
      <w:pPr>
        <w:jc w:val="center"/>
        <w:rPr>
          <w:b/>
          <w:sz w:val="24"/>
          <w:szCs w:val="24"/>
        </w:rPr>
      </w:pPr>
      <w:r w:rsidRPr="00BA25E9">
        <w:rPr>
          <w:b/>
          <w:sz w:val="24"/>
          <w:szCs w:val="24"/>
        </w:rPr>
        <w:lastRenderedPageBreak/>
        <w:t>Grafico 2.- Evolución de la tasa de p</w:t>
      </w:r>
      <w:r>
        <w:rPr>
          <w:b/>
          <w:sz w:val="24"/>
          <w:szCs w:val="24"/>
        </w:rPr>
        <w:t>aro en España entre 2000</w:t>
      </w:r>
      <w:r w:rsidRPr="00BA25E9">
        <w:rPr>
          <w:b/>
          <w:sz w:val="24"/>
          <w:szCs w:val="24"/>
        </w:rPr>
        <w:t xml:space="preserve"> y 2013</w:t>
      </w:r>
    </w:p>
    <w:p w:rsidR="00BE2072" w:rsidRPr="00BA25E9" w:rsidRDefault="00BE2072" w:rsidP="00BE2072">
      <w:pPr>
        <w:jc w:val="center"/>
        <w:rPr>
          <w:b/>
          <w:sz w:val="24"/>
          <w:szCs w:val="24"/>
        </w:rPr>
      </w:pPr>
    </w:p>
    <w:p w:rsidR="00BE2072" w:rsidRDefault="00A35FB3" w:rsidP="00BE2072">
      <w:r w:rsidRPr="00402C9E">
        <w:rPr>
          <w:b/>
          <w:noProof/>
        </w:rPr>
        <w:drawing>
          <wp:inline distT="0" distB="0" distL="0" distR="0">
            <wp:extent cx="5909310" cy="1973179"/>
            <wp:effectExtent l="19050" t="0" r="15240" b="8021"/>
            <wp:docPr id="33" name="Gráfico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A35FB3" w:rsidRPr="00BE2072" w:rsidRDefault="00A35FB3" w:rsidP="00BE2072">
      <w:pPr>
        <w:rPr>
          <w:b/>
        </w:rPr>
      </w:pPr>
      <w:r w:rsidRPr="004C1E85">
        <w:t>Fuente: INE</w:t>
      </w:r>
      <w:r>
        <w:t>. Elaboración  propia</w:t>
      </w:r>
    </w:p>
    <w:p w:rsidR="00A35FB3" w:rsidRDefault="00A35FB3" w:rsidP="00A35FB3">
      <w:pPr>
        <w:spacing w:line="360" w:lineRule="auto"/>
        <w:jc w:val="both"/>
        <w:rPr>
          <w:sz w:val="24"/>
          <w:szCs w:val="24"/>
        </w:rPr>
      </w:pPr>
    </w:p>
    <w:p w:rsidR="0026395C" w:rsidRDefault="00A35FB3" w:rsidP="00A35FB3">
      <w:pPr>
        <w:spacing w:line="360" w:lineRule="auto"/>
        <w:jc w:val="both"/>
        <w:rPr>
          <w:sz w:val="24"/>
          <w:szCs w:val="24"/>
        </w:rPr>
      </w:pPr>
      <w:r w:rsidRPr="00FC6DFB">
        <w:rPr>
          <w:sz w:val="24"/>
          <w:szCs w:val="24"/>
        </w:rPr>
        <w:t xml:space="preserve">Otras de las características del mercado laboral español son sus rasgos diferenciadores respecto  al de sus socios comunitarios.  La principal diferencia del mercado laboral español es su elevado desempleo. A pesar del importante crecimiento económico experimentado a comienzos del siglo XXI, que permitió aproximar nuestra tasa de paro a niveles europeos,  la crisis económica ha provocado la pérdida de todos estos avances; </w:t>
      </w:r>
      <w:r>
        <w:rPr>
          <w:sz w:val="24"/>
          <w:szCs w:val="24"/>
        </w:rPr>
        <w:t>dando lugar a que  la pérdida de empleo haya sido</w:t>
      </w:r>
      <w:r w:rsidRPr="00FC6DFB">
        <w:rPr>
          <w:sz w:val="24"/>
          <w:szCs w:val="24"/>
        </w:rPr>
        <w:t xml:space="preserve"> más intensa en España que en  otros países de Europa.</w:t>
      </w:r>
    </w:p>
    <w:p w:rsidR="00BE2072" w:rsidRPr="00FC6DFB" w:rsidRDefault="00BE2072" w:rsidP="00A35FB3">
      <w:pPr>
        <w:spacing w:line="360" w:lineRule="auto"/>
        <w:jc w:val="both"/>
        <w:rPr>
          <w:sz w:val="24"/>
          <w:szCs w:val="24"/>
        </w:rPr>
      </w:pPr>
    </w:p>
    <w:p w:rsidR="00BE2072" w:rsidRDefault="00A35FB3" w:rsidP="00BE2072">
      <w:pPr>
        <w:jc w:val="center"/>
        <w:rPr>
          <w:b/>
          <w:sz w:val="24"/>
          <w:szCs w:val="24"/>
        </w:rPr>
      </w:pPr>
      <w:r w:rsidRPr="00BA25E9">
        <w:rPr>
          <w:b/>
          <w:sz w:val="24"/>
          <w:szCs w:val="24"/>
        </w:rPr>
        <w:t>Grafico 3.- Evolución comparativa de la tasa de desemp</w:t>
      </w:r>
      <w:r>
        <w:rPr>
          <w:b/>
          <w:sz w:val="24"/>
          <w:szCs w:val="24"/>
        </w:rPr>
        <w:t xml:space="preserve">leo de España, EE.UU. y la     UE-27 entre 2000 </w:t>
      </w:r>
      <w:r w:rsidRPr="00BA25E9">
        <w:rPr>
          <w:b/>
          <w:sz w:val="24"/>
          <w:szCs w:val="24"/>
        </w:rPr>
        <w:t>y 2013 (medias anuales)</w:t>
      </w:r>
    </w:p>
    <w:p w:rsidR="00BE2072" w:rsidRPr="00BA25E9" w:rsidRDefault="00BE2072" w:rsidP="00BE2072">
      <w:pPr>
        <w:jc w:val="center"/>
        <w:rPr>
          <w:b/>
          <w:sz w:val="24"/>
          <w:szCs w:val="24"/>
        </w:rPr>
      </w:pPr>
    </w:p>
    <w:p w:rsidR="0026395C" w:rsidRDefault="00A35FB3" w:rsidP="00A35FB3">
      <w:pPr>
        <w:jc w:val="both"/>
      </w:pPr>
      <w:r w:rsidRPr="00F96BEB">
        <w:rPr>
          <w:noProof/>
        </w:rPr>
        <w:drawing>
          <wp:inline distT="0" distB="0" distL="0" distR="0">
            <wp:extent cx="5991225" cy="2204720"/>
            <wp:effectExtent l="19050" t="0" r="9525" b="5080"/>
            <wp:docPr id="34" name="Gráfico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A35FB3" w:rsidRPr="004C1E85" w:rsidRDefault="00A35FB3" w:rsidP="00A35FB3">
      <w:pPr>
        <w:jc w:val="both"/>
      </w:pPr>
      <w:r w:rsidRPr="004C1E85">
        <w:t xml:space="preserve">Fuente: </w:t>
      </w:r>
      <w:proofErr w:type="spellStart"/>
      <w:r w:rsidRPr="004C1E85">
        <w:t>Eurostat</w:t>
      </w:r>
      <w:proofErr w:type="spellEnd"/>
      <w:r>
        <w:t>. Elaboración propia</w:t>
      </w:r>
    </w:p>
    <w:p w:rsidR="0026395C" w:rsidRDefault="0026395C" w:rsidP="00A35FB3">
      <w:pPr>
        <w:spacing w:line="360" w:lineRule="auto"/>
        <w:jc w:val="both"/>
        <w:rPr>
          <w:sz w:val="24"/>
          <w:szCs w:val="24"/>
        </w:rPr>
      </w:pPr>
    </w:p>
    <w:p w:rsidR="00A35FB3" w:rsidRDefault="00A35FB3" w:rsidP="00A35FB3">
      <w:pPr>
        <w:spacing w:line="360" w:lineRule="auto"/>
        <w:jc w:val="both"/>
        <w:rPr>
          <w:sz w:val="24"/>
          <w:szCs w:val="24"/>
        </w:rPr>
      </w:pPr>
      <w:r>
        <w:rPr>
          <w:sz w:val="24"/>
          <w:szCs w:val="24"/>
        </w:rPr>
        <w:t>E</w:t>
      </w:r>
      <w:r w:rsidRPr="00FC6DFB">
        <w:rPr>
          <w:sz w:val="24"/>
          <w:szCs w:val="24"/>
        </w:rPr>
        <w:t xml:space="preserve">l impacto de la crisis económica en España ha provocado que las tasas de empleo se sitúen por debajo de la media europea, mientras la tasa de actividad, sobre todo la masculina, esté por encima. En relación a este tema, encontramos también que España se diferencia respecto a </w:t>
      </w:r>
      <w:r w:rsidRPr="00FC6DFB">
        <w:rPr>
          <w:sz w:val="24"/>
          <w:szCs w:val="24"/>
        </w:rPr>
        <w:lastRenderedPageBreak/>
        <w:t>sus socios europeos en que muestra una elevada tasa de temporalidad y baja presencia de empleo a tiempo parcial.</w:t>
      </w:r>
    </w:p>
    <w:p w:rsidR="00A35FB3" w:rsidRPr="00565891" w:rsidRDefault="00A35FB3" w:rsidP="00A35FB3">
      <w:pPr>
        <w:spacing w:line="360" w:lineRule="auto"/>
        <w:jc w:val="center"/>
        <w:rPr>
          <w:sz w:val="24"/>
          <w:szCs w:val="24"/>
        </w:rPr>
      </w:pPr>
      <w:r w:rsidRPr="00BA25E9">
        <w:rPr>
          <w:b/>
          <w:sz w:val="24"/>
          <w:szCs w:val="24"/>
        </w:rPr>
        <w:t>Gráfico 4.- Tasa de empleo de España, Reino Unido, Alemania y UE-27</w:t>
      </w:r>
      <w:r>
        <w:rPr>
          <w:b/>
          <w:sz w:val="24"/>
          <w:szCs w:val="24"/>
        </w:rPr>
        <w:t xml:space="preserve"> entre 2000 y </w:t>
      </w:r>
      <w:r w:rsidRPr="00BA25E9">
        <w:rPr>
          <w:b/>
          <w:sz w:val="24"/>
          <w:szCs w:val="24"/>
        </w:rPr>
        <w:t>2013</w:t>
      </w:r>
      <w:r w:rsidRPr="00565891">
        <w:rPr>
          <w:b/>
          <w:noProof/>
          <w:sz w:val="24"/>
          <w:szCs w:val="24"/>
        </w:rPr>
        <w:drawing>
          <wp:inline distT="0" distB="0" distL="0" distR="0">
            <wp:extent cx="5578475" cy="2009775"/>
            <wp:effectExtent l="19050" t="0" r="22225" b="0"/>
            <wp:docPr id="36" name="Gráfico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A35FB3" w:rsidRPr="004C1E85" w:rsidRDefault="00A35FB3" w:rsidP="00A35FB3">
      <w:pPr>
        <w:jc w:val="both"/>
      </w:pPr>
      <w:r>
        <w:t xml:space="preserve">Fuente: </w:t>
      </w:r>
      <w:proofErr w:type="spellStart"/>
      <w:r>
        <w:t>Eurostat</w:t>
      </w:r>
      <w:proofErr w:type="spellEnd"/>
      <w:r>
        <w:t xml:space="preserve"> (c</w:t>
      </w:r>
      <w:r w:rsidRPr="004C1E85">
        <w:t xml:space="preserve">onsultado el </w:t>
      </w:r>
      <w:r>
        <w:t>01/05</w:t>
      </w:r>
      <w:r w:rsidRPr="004C1E85">
        <w:t>/2014)</w:t>
      </w:r>
      <w:r>
        <w:t>. Elaboración propia.</w:t>
      </w:r>
    </w:p>
    <w:p w:rsidR="00A35FB3" w:rsidRPr="004C1E85" w:rsidRDefault="00A35FB3" w:rsidP="00A35FB3">
      <w:pPr>
        <w:jc w:val="both"/>
      </w:pPr>
      <w:r w:rsidRPr="004C1E85">
        <w:t>Nota:</w:t>
      </w:r>
      <w:r>
        <w:t xml:space="preserve"> Los datos de Alemania y UE-27 aparecen a partir de 2005.</w:t>
      </w:r>
    </w:p>
    <w:p w:rsidR="00A35FB3" w:rsidRDefault="00A35FB3" w:rsidP="00A35FB3"/>
    <w:p w:rsidR="00BE2072" w:rsidRDefault="00A35FB3" w:rsidP="0026395C">
      <w:pPr>
        <w:spacing w:line="360" w:lineRule="auto"/>
        <w:jc w:val="both"/>
        <w:rPr>
          <w:sz w:val="24"/>
          <w:szCs w:val="24"/>
        </w:rPr>
      </w:pPr>
      <w:r>
        <w:rPr>
          <w:sz w:val="24"/>
          <w:szCs w:val="24"/>
        </w:rPr>
        <w:t>En el gráfico 4</w:t>
      </w:r>
      <w:r w:rsidRPr="00FC6DFB">
        <w:rPr>
          <w:sz w:val="24"/>
          <w:szCs w:val="24"/>
        </w:rPr>
        <w:t xml:space="preserve"> se puede apreciar como la tasa de empleo de España llega a coincidir prácticamente con la tasa de empleo correspondiente a la media europea. No obstante el inicio de la crisis económica  da lugar a un fuerte </w:t>
      </w:r>
      <w:r>
        <w:rPr>
          <w:sz w:val="24"/>
          <w:szCs w:val="24"/>
        </w:rPr>
        <w:t>incremento de la tasa de paro</w:t>
      </w:r>
      <w:r w:rsidRPr="00FC6DFB">
        <w:rPr>
          <w:sz w:val="24"/>
          <w:szCs w:val="24"/>
        </w:rPr>
        <w:t xml:space="preserve"> española que, según las cifras representadas, en la actualidad se encuentra en torno a unos 10 puntos porcentuales por debajo de la media europea (a falta de que se publiquen los datos sobre esta última). Gran parte de este descenso correspondería al fuerte impacto que ha tenido la crisis económica sobre el sector de la construcción y </w:t>
      </w:r>
      <w:r>
        <w:rPr>
          <w:sz w:val="24"/>
          <w:szCs w:val="24"/>
        </w:rPr>
        <w:t xml:space="preserve"> los </w:t>
      </w:r>
      <w:r w:rsidRPr="00FC6DFB">
        <w:rPr>
          <w:sz w:val="24"/>
          <w:szCs w:val="24"/>
        </w:rPr>
        <w:t>sectores relacionados con el consumo y los servicios.</w:t>
      </w:r>
    </w:p>
    <w:p w:rsidR="00BE2072" w:rsidRDefault="00A35FB3" w:rsidP="00BE2072">
      <w:pPr>
        <w:jc w:val="center"/>
        <w:rPr>
          <w:b/>
          <w:sz w:val="24"/>
          <w:szCs w:val="24"/>
        </w:rPr>
      </w:pPr>
      <w:r w:rsidRPr="00BA25E9">
        <w:rPr>
          <w:b/>
          <w:sz w:val="24"/>
          <w:szCs w:val="24"/>
        </w:rPr>
        <w:t>Gráfico 5.- Tasa de empleo a tiempo parcial de España, Alemania, Francia, Italia</w:t>
      </w:r>
      <w:r>
        <w:rPr>
          <w:b/>
          <w:sz w:val="24"/>
          <w:szCs w:val="24"/>
        </w:rPr>
        <w:t>, Reino Unido y UE-27 entre 2000 y 2013</w:t>
      </w:r>
      <w:r w:rsidRPr="00BA25E9">
        <w:rPr>
          <w:b/>
          <w:sz w:val="24"/>
          <w:szCs w:val="24"/>
        </w:rPr>
        <w:t xml:space="preserve"> (medias anuales)</w:t>
      </w:r>
    </w:p>
    <w:p w:rsidR="00BE2072" w:rsidRPr="00BA25E9" w:rsidRDefault="00BE2072" w:rsidP="00BE2072">
      <w:pPr>
        <w:jc w:val="center"/>
        <w:rPr>
          <w:b/>
          <w:sz w:val="24"/>
          <w:szCs w:val="24"/>
        </w:rPr>
      </w:pPr>
    </w:p>
    <w:p w:rsidR="0026395C" w:rsidRDefault="00A35FB3" w:rsidP="00A35FB3">
      <w:pPr>
        <w:jc w:val="both"/>
      </w:pPr>
      <w:r w:rsidRPr="00565891">
        <w:rPr>
          <w:noProof/>
        </w:rPr>
        <w:drawing>
          <wp:inline distT="0" distB="0" distL="0" distR="0">
            <wp:extent cx="5838825" cy="2030730"/>
            <wp:effectExtent l="19050" t="0" r="9525" b="7620"/>
            <wp:docPr id="37" name="Gráfico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A35FB3" w:rsidRPr="004C1E85" w:rsidRDefault="00A35FB3" w:rsidP="00A35FB3">
      <w:pPr>
        <w:jc w:val="both"/>
      </w:pPr>
      <w:r w:rsidRPr="004C1E85">
        <w:t xml:space="preserve">Fuente: </w:t>
      </w:r>
      <w:proofErr w:type="spellStart"/>
      <w:r w:rsidRPr="004C1E85">
        <w:t>Eurostat</w:t>
      </w:r>
      <w:proofErr w:type="spellEnd"/>
      <w:r>
        <w:t>. Elaboración propia</w:t>
      </w:r>
    </w:p>
    <w:p w:rsidR="0026395C" w:rsidRDefault="0026395C" w:rsidP="00A35FB3">
      <w:pPr>
        <w:spacing w:line="360" w:lineRule="auto"/>
        <w:rPr>
          <w:sz w:val="24"/>
          <w:szCs w:val="24"/>
        </w:rPr>
      </w:pPr>
    </w:p>
    <w:p w:rsidR="00B90C26" w:rsidRDefault="00B90C26" w:rsidP="00A35FB3">
      <w:pPr>
        <w:spacing w:line="360" w:lineRule="auto"/>
        <w:rPr>
          <w:sz w:val="24"/>
          <w:szCs w:val="24"/>
        </w:rPr>
      </w:pPr>
    </w:p>
    <w:p w:rsidR="00A35FB3" w:rsidRPr="00FC6DFB" w:rsidRDefault="00A35FB3" w:rsidP="00A35FB3">
      <w:pPr>
        <w:spacing w:line="360" w:lineRule="auto"/>
        <w:rPr>
          <w:sz w:val="24"/>
          <w:szCs w:val="24"/>
        </w:rPr>
      </w:pPr>
      <w:r w:rsidRPr="00FC6DFB">
        <w:rPr>
          <w:sz w:val="24"/>
          <w:szCs w:val="24"/>
        </w:rPr>
        <w:lastRenderedPageBreak/>
        <w:t>Otros aspectos que merecen importancia comentar son los relacionados con las características de la población desempleada española:</w:t>
      </w:r>
    </w:p>
    <w:p w:rsidR="00A35FB3" w:rsidRPr="00FC6DFB" w:rsidRDefault="00A35FB3" w:rsidP="00A35FB3">
      <w:pPr>
        <w:pStyle w:val="Prrafodelista"/>
        <w:numPr>
          <w:ilvl w:val="0"/>
          <w:numId w:val="7"/>
        </w:numPr>
        <w:spacing w:line="360" w:lineRule="auto"/>
        <w:jc w:val="both"/>
        <w:rPr>
          <w:rFonts w:ascii="Times New Roman" w:hAnsi="Times New Roman" w:cs="Times New Roman"/>
          <w:sz w:val="24"/>
          <w:szCs w:val="24"/>
        </w:rPr>
      </w:pPr>
      <w:r w:rsidRPr="00FC6DFB">
        <w:rPr>
          <w:rFonts w:ascii="Times New Roman" w:hAnsi="Times New Roman" w:cs="Times New Roman"/>
          <w:sz w:val="24"/>
          <w:szCs w:val="24"/>
        </w:rPr>
        <w:t xml:space="preserve">La tasa de paro juvenil dobla la tasa media de desempleo nacional. La tasa de </w:t>
      </w:r>
      <w:r>
        <w:rPr>
          <w:rFonts w:ascii="Times New Roman" w:hAnsi="Times New Roman" w:cs="Times New Roman"/>
          <w:sz w:val="24"/>
          <w:szCs w:val="24"/>
        </w:rPr>
        <w:t>paro</w:t>
      </w:r>
      <w:r w:rsidRPr="00FC6DFB">
        <w:rPr>
          <w:rFonts w:ascii="Times New Roman" w:hAnsi="Times New Roman" w:cs="Times New Roman"/>
          <w:sz w:val="24"/>
          <w:szCs w:val="24"/>
        </w:rPr>
        <w:t xml:space="preserve"> en los menores de 25 años, según cálculos de </w:t>
      </w:r>
      <w:proofErr w:type="spellStart"/>
      <w:r w:rsidRPr="00FC6DFB">
        <w:rPr>
          <w:rFonts w:ascii="Times New Roman" w:hAnsi="Times New Roman" w:cs="Times New Roman"/>
          <w:sz w:val="24"/>
          <w:szCs w:val="24"/>
        </w:rPr>
        <w:t>Eurostat</w:t>
      </w:r>
      <w:proofErr w:type="spellEnd"/>
      <w:r w:rsidRPr="00FC6DFB">
        <w:rPr>
          <w:rFonts w:ascii="Times New Roman" w:hAnsi="Times New Roman" w:cs="Times New Roman"/>
          <w:sz w:val="24"/>
          <w:szCs w:val="24"/>
        </w:rPr>
        <w:t xml:space="preserve">, en noviembre de </w:t>
      </w:r>
      <w:r>
        <w:rPr>
          <w:rFonts w:ascii="Times New Roman" w:hAnsi="Times New Roman" w:cs="Times New Roman"/>
          <w:sz w:val="24"/>
          <w:szCs w:val="24"/>
        </w:rPr>
        <w:t>2013 superaba el 57,</w:t>
      </w:r>
      <w:r w:rsidRPr="00FC6DFB">
        <w:rPr>
          <w:rFonts w:ascii="Times New Roman" w:hAnsi="Times New Roman" w:cs="Times New Roman"/>
          <w:sz w:val="24"/>
          <w:szCs w:val="24"/>
        </w:rPr>
        <w:t>7</w:t>
      </w:r>
      <w:r>
        <w:rPr>
          <w:rFonts w:ascii="Times New Roman" w:hAnsi="Times New Roman" w:cs="Times New Roman"/>
          <w:sz w:val="24"/>
          <w:szCs w:val="24"/>
        </w:rPr>
        <w:t xml:space="preserve"> por 100</w:t>
      </w:r>
      <w:r w:rsidRPr="00FC6DFB">
        <w:rPr>
          <w:rFonts w:ascii="Times New Roman" w:hAnsi="Times New Roman" w:cs="Times New Roman"/>
          <w:sz w:val="24"/>
          <w:szCs w:val="24"/>
        </w:rPr>
        <w:t xml:space="preserve">; mientras la tasa de paro general de la economía se encontraba el </w:t>
      </w:r>
      <w:r>
        <w:rPr>
          <w:rFonts w:ascii="Times New Roman" w:hAnsi="Times New Roman" w:cs="Times New Roman"/>
          <w:sz w:val="24"/>
          <w:szCs w:val="24"/>
        </w:rPr>
        <w:t xml:space="preserve">     26,</w:t>
      </w:r>
      <w:r w:rsidRPr="00FC6DFB">
        <w:rPr>
          <w:rFonts w:ascii="Times New Roman" w:hAnsi="Times New Roman" w:cs="Times New Roman"/>
          <w:sz w:val="24"/>
          <w:szCs w:val="24"/>
        </w:rPr>
        <w:t>03</w:t>
      </w:r>
      <w:r>
        <w:rPr>
          <w:rFonts w:ascii="Times New Roman" w:hAnsi="Times New Roman" w:cs="Times New Roman"/>
          <w:sz w:val="24"/>
          <w:szCs w:val="24"/>
        </w:rPr>
        <w:t xml:space="preserve"> por 100</w:t>
      </w:r>
      <w:r w:rsidRPr="00FC6DFB">
        <w:rPr>
          <w:rFonts w:ascii="Times New Roman" w:hAnsi="Times New Roman" w:cs="Times New Roman"/>
          <w:sz w:val="24"/>
          <w:szCs w:val="24"/>
        </w:rPr>
        <w:t>. Este elevado des</w:t>
      </w:r>
      <w:r>
        <w:rPr>
          <w:rFonts w:ascii="Times New Roman" w:hAnsi="Times New Roman" w:cs="Times New Roman"/>
          <w:sz w:val="24"/>
          <w:szCs w:val="24"/>
        </w:rPr>
        <w:t xml:space="preserve">empleo </w:t>
      </w:r>
      <w:r w:rsidRPr="00FC6DFB">
        <w:rPr>
          <w:rFonts w:ascii="Times New Roman" w:hAnsi="Times New Roman" w:cs="Times New Roman"/>
          <w:sz w:val="24"/>
          <w:szCs w:val="24"/>
        </w:rPr>
        <w:t>está motivado por varias causas: la elevada tasa de abandono escolar temprano (el porcentaje de población entre 18 y 24 años que no ha completado la educación secundaria superior y no sigue formación alguna)</w:t>
      </w:r>
      <w:r>
        <w:rPr>
          <w:rFonts w:ascii="Times New Roman" w:hAnsi="Times New Roman" w:cs="Times New Roman"/>
          <w:sz w:val="24"/>
          <w:szCs w:val="24"/>
        </w:rPr>
        <w:t xml:space="preserve"> en la</w:t>
      </w:r>
      <w:r w:rsidRPr="00FC6DFB">
        <w:rPr>
          <w:rFonts w:ascii="Times New Roman" w:hAnsi="Times New Roman" w:cs="Times New Roman"/>
          <w:sz w:val="24"/>
          <w:szCs w:val="24"/>
        </w:rPr>
        <w:t xml:space="preserve"> </w:t>
      </w:r>
      <w:r>
        <w:rPr>
          <w:rFonts w:ascii="Times New Roman" w:hAnsi="Times New Roman" w:cs="Times New Roman"/>
          <w:sz w:val="24"/>
          <w:szCs w:val="24"/>
        </w:rPr>
        <w:t>etapa</w:t>
      </w:r>
      <w:r w:rsidRPr="00FC6DFB">
        <w:rPr>
          <w:rFonts w:ascii="Times New Roman" w:hAnsi="Times New Roman" w:cs="Times New Roman"/>
          <w:sz w:val="24"/>
          <w:szCs w:val="24"/>
        </w:rPr>
        <w:t xml:space="preserve"> de crecimiento económico, el aumento del gasto en formación ha estado sesgado hacia la educación universitaria, lo que ha provocado un desajuste entre la oferta y la demanda de trabajo por nivel educativo que condiciona la evolución del desempleo juvenil; los jóvenes suponen la mayoría de los empleos temporales, que han sido de los más afectados por la crisis económica y</w:t>
      </w:r>
      <w:r>
        <w:rPr>
          <w:rFonts w:ascii="Times New Roman" w:hAnsi="Times New Roman" w:cs="Times New Roman"/>
          <w:sz w:val="24"/>
          <w:szCs w:val="24"/>
        </w:rPr>
        <w:t xml:space="preserve">, </w:t>
      </w:r>
      <w:r w:rsidRPr="00FC6DFB">
        <w:rPr>
          <w:rFonts w:ascii="Times New Roman" w:hAnsi="Times New Roman" w:cs="Times New Roman"/>
          <w:sz w:val="24"/>
          <w:szCs w:val="24"/>
        </w:rPr>
        <w:t>por último</w:t>
      </w:r>
      <w:r>
        <w:rPr>
          <w:rFonts w:ascii="Times New Roman" w:hAnsi="Times New Roman" w:cs="Times New Roman"/>
          <w:sz w:val="24"/>
          <w:szCs w:val="24"/>
        </w:rPr>
        <w:t>,</w:t>
      </w:r>
      <w:r w:rsidRPr="00FC6DFB">
        <w:rPr>
          <w:rFonts w:ascii="Times New Roman" w:hAnsi="Times New Roman" w:cs="Times New Roman"/>
          <w:sz w:val="24"/>
          <w:szCs w:val="24"/>
        </w:rPr>
        <w:t xml:space="preserve"> la escasa efectividad de las políticas activas de empleo, ya que España dedica casi la mitad de los recursos a incentivar la contratación y el mantenimiento del empleo (principalmente, mediante bonificaciones de la cuota empresarial a la Seguridad Social), mientras que la UE15 asigna tan solo un cuarto. Por el contrario, los gastos en formación, integración laboral y reciclaje profesional son comparativamente reducidos (García</w:t>
      </w:r>
      <w:r>
        <w:rPr>
          <w:rFonts w:ascii="Times New Roman" w:hAnsi="Times New Roman" w:cs="Times New Roman"/>
          <w:sz w:val="24"/>
          <w:szCs w:val="24"/>
        </w:rPr>
        <w:t>,</w:t>
      </w:r>
      <w:r w:rsidRPr="00FC6DFB">
        <w:rPr>
          <w:rFonts w:ascii="Times New Roman" w:hAnsi="Times New Roman" w:cs="Times New Roman"/>
          <w:sz w:val="24"/>
          <w:szCs w:val="24"/>
        </w:rPr>
        <w:t xml:space="preserve"> 2011).</w:t>
      </w:r>
    </w:p>
    <w:p w:rsidR="00BE2072" w:rsidRPr="00BE2072" w:rsidRDefault="00A35FB3" w:rsidP="00BE2072">
      <w:pPr>
        <w:pStyle w:val="Prrafodelista"/>
        <w:numPr>
          <w:ilvl w:val="0"/>
          <w:numId w:val="7"/>
        </w:numPr>
        <w:spacing w:line="360" w:lineRule="auto"/>
        <w:jc w:val="both"/>
        <w:rPr>
          <w:rFonts w:ascii="Times New Roman" w:hAnsi="Times New Roman" w:cs="Times New Roman"/>
          <w:sz w:val="24"/>
          <w:szCs w:val="24"/>
        </w:rPr>
      </w:pPr>
      <w:r w:rsidRPr="00FC6DFB">
        <w:rPr>
          <w:rFonts w:ascii="Times New Roman" w:hAnsi="Times New Roman" w:cs="Times New Roman"/>
          <w:sz w:val="24"/>
          <w:szCs w:val="24"/>
        </w:rPr>
        <w:t>Por sexos, históricamente el desempleo se ha concentrado más entre las mujeres. No obstante</w:t>
      </w:r>
      <w:r>
        <w:rPr>
          <w:rFonts w:ascii="Times New Roman" w:hAnsi="Times New Roman" w:cs="Times New Roman"/>
          <w:sz w:val="24"/>
          <w:szCs w:val="24"/>
        </w:rPr>
        <w:t xml:space="preserve">, </w:t>
      </w:r>
      <w:r w:rsidRPr="00FC6DFB">
        <w:rPr>
          <w:rFonts w:ascii="Times New Roman" w:hAnsi="Times New Roman" w:cs="Times New Roman"/>
          <w:sz w:val="24"/>
          <w:szCs w:val="24"/>
        </w:rPr>
        <w:t xml:space="preserve">las diferencias respecto a los hombres se han reducido debido al fuerte incremento del </w:t>
      </w:r>
      <w:r>
        <w:rPr>
          <w:rFonts w:ascii="Times New Roman" w:hAnsi="Times New Roman" w:cs="Times New Roman"/>
          <w:sz w:val="24"/>
          <w:szCs w:val="24"/>
        </w:rPr>
        <w:t>paro</w:t>
      </w:r>
      <w:r w:rsidRPr="00FC6DFB">
        <w:rPr>
          <w:rFonts w:ascii="Times New Roman" w:hAnsi="Times New Roman" w:cs="Times New Roman"/>
          <w:sz w:val="24"/>
          <w:szCs w:val="24"/>
        </w:rPr>
        <w:t xml:space="preserve"> entre los varones tras 2007 y la crisis del sector de la construcción (ocupado mayoritariamente por varones). Desde entonces, ambas tasas han evolucionado prácticamente a la par</w:t>
      </w:r>
      <w:r w:rsidR="00E3140D">
        <w:rPr>
          <w:rFonts w:ascii="Times New Roman" w:hAnsi="Times New Roman" w:cs="Times New Roman"/>
          <w:sz w:val="24"/>
          <w:szCs w:val="24"/>
        </w:rPr>
        <w:t>.</w:t>
      </w:r>
    </w:p>
    <w:p w:rsidR="00A35FB3" w:rsidRPr="00FC6DFB" w:rsidRDefault="00A35FB3" w:rsidP="00A35FB3">
      <w:pPr>
        <w:pStyle w:val="Prrafodelista"/>
        <w:jc w:val="both"/>
        <w:rPr>
          <w:rFonts w:ascii="Times New Roman" w:hAnsi="Times New Roman" w:cs="Times New Roman"/>
          <w:b/>
          <w:sz w:val="24"/>
          <w:szCs w:val="24"/>
        </w:rPr>
      </w:pPr>
      <w:r w:rsidRPr="00FC6DFB">
        <w:rPr>
          <w:rFonts w:ascii="Times New Roman" w:hAnsi="Times New Roman" w:cs="Times New Roman"/>
          <w:b/>
          <w:sz w:val="24"/>
          <w:szCs w:val="24"/>
        </w:rPr>
        <w:t>Gráfico 6.- Tasas de desempl</w:t>
      </w:r>
      <w:r>
        <w:rPr>
          <w:rFonts w:ascii="Times New Roman" w:hAnsi="Times New Roman" w:cs="Times New Roman"/>
          <w:b/>
          <w:sz w:val="24"/>
          <w:szCs w:val="24"/>
        </w:rPr>
        <w:t>eo por sexo en España entre 2007</w:t>
      </w:r>
      <w:r w:rsidRPr="00FC6DFB">
        <w:rPr>
          <w:rFonts w:ascii="Times New Roman" w:hAnsi="Times New Roman" w:cs="Times New Roman"/>
          <w:b/>
          <w:sz w:val="24"/>
          <w:szCs w:val="24"/>
        </w:rPr>
        <w:t xml:space="preserve"> y 2013</w:t>
      </w:r>
    </w:p>
    <w:p w:rsidR="00A35FB3" w:rsidRDefault="00A35FB3" w:rsidP="00A35FB3">
      <w:pPr>
        <w:jc w:val="both"/>
      </w:pPr>
      <w:r w:rsidRPr="00F1753C">
        <w:rPr>
          <w:noProof/>
        </w:rPr>
        <w:drawing>
          <wp:inline distT="0" distB="0" distL="0" distR="0">
            <wp:extent cx="5476875" cy="2125683"/>
            <wp:effectExtent l="19050" t="0" r="9525" b="7917"/>
            <wp:docPr id="38" name="Gráfico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r w:rsidRPr="004C1E85">
        <w:t>Fuente: INE</w:t>
      </w:r>
      <w:r>
        <w:t>. Elaboración propia</w:t>
      </w:r>
    </w:p>
    <w:p w:rsidR="00E3140D" w:rsidRDefault="00E3140D" w:rsidP="00A35FB3">
      <w:pPr>
        <w:jc w:val="both"/>
      </w:pPr>
    </w:p>
    <w:p w:rsidR="00B90C26" w:rsidRPr="004C1E85" w:rsidRDefault="00B90C26" w:rsidP="00A35FB3">
      <w:pPr>
        <w:jc w:val="both"/>
      </w:pPr>
    </w:p>
    <w:p w:rsidR="00A35FB3" w:rsidRPr="00FC6DFB" w:rsidRDefault="00A35FB3" w:rsidP="00A35FB3">
      <w:pPr>
        <w:pStyle w:val="Prrafodelista"/>
        <w:numPr>
          <w:ilvl w:val="0"/>
          <w:numId w:val="7"/>
        </w:numPr>
        <w:spacing w:line="360" w:lineRule="auto"/>
        <w:jc w:val="both"/>
        <w:rPr>
          <w:rFonts w:ascii="Times New Roman" w:hAnsi="Times New Roman" w:cs="Times New Roman"/>
          <w:sz w:val="24"/>
          <w:szCs w:val="24"/>
        </w:rPr>
      </w:pPr>
      <w:r w:rsidRPr="00FC6DFB">
        <w:rPr>
          <w:rFonts w:ascii="Times New Roman" w:hAnsi="Times New Roman" w:cs="Times New Roman"/>
          <w:sz w:val="24"/>
          <w:szCs w:val="24"/>
        </w:rPr>
        <w:t>Relación negativa entre la tasa de desempleo y el nivel educativo.</w:t>
      </w:r>
    </w:p>
    <w:p w:rsidR="0026395C" w:rsidRPr="0026395C" w:rsidRDefault="00A35FB3" w:rsidP="0026395C">
      <w:pPr>
        <w:pStyle w:val="Prrafodelista"/>
        <w:spacing w:line="360" w:lineRule="auto"/>
        <w:jc w:val="both"/>
        <w:rPr>
          <w:rFonts w:ascii="Times New Roman" w:hAnsi="Times New Roman" w:cs="Times New Roman"/>
          <w:sz w:val="24"/>
          <w:szCs w:val="24"/>
        </w:rPr>
      </w:pPr>
      <w:r w:rsidRPr="00FC6DFB">
        <w:rPr>
          <w:rFonts w:ascii="Times New Roman" w:hAnsi="Times New Roman" w:cs="Times New Roman"/>
          <w:sz w:val="24"/>
          <w:szCs w:val="24"/>
        </w:rPr>
        <w:t>El nivel educativo parece ser un escudo frente al desempleo y un gran aliciente para la población que se quiere in</w:t>
      </w:r>
      <w:r w:rsidR="0026395C">
        <w:rPr>
          <w:rFonts w:ascii="Times New Roman" w:hAnsi="Times New Roman" w:cs="Times New Roman"/>
          <w:sz w:val="24"/>
          <w:szCs w:val="24"/>
        </w:rPr>
        <w:t>corporar al mercado de trabajo.</w:t>
      </w:r>
    </w:p>
    <w:p w:rsidR="00A35FB3" w:rsidRDefault="00A35FB3" w:rsidP="00A35FB3">
      <w:pPr>
        <w:jc w:val="center"/>
        <w:rPr>
          <w:b/>
          <w:sz w:val="24"/>
          <w:szCs w:val="24"/>
        </w:rPr>
      </w:pPr>
      <w:r>
        <w:rPr>
          <w:b/>
          <w:sz w:val="24"/>
          <w:szCs w:val="24"/>
        </w:rPr>
        <w:t>Gráfico 7</w:t>
      </w:r>
      <w:r w:rsidRPr="00FC6DFB">
        <w:rPr>
          <w:b/>
          <w:sz w:val="24"/>
          <w:szCs w:val="24"/>
        </w:rPr>
        <w:t>.- Ocupados según nive</w:t>
      </w:r>
      <w:r>
        <w:rPr>
          <w:b/>
          <w:sz w:val="24"/>
          <w:szCs w:val="24"/>
        </w:rPr>
        <w:t>l educativo en España entre 2007</w:t>
      </w:r>
      <w:r w:rsidRPr="00FC6DFB">
        <w:rPr>
          <w:b/>
          <w:sz w:val="24"/>
          <w:szCs w:val="24"/>
        </w:rPr>
        <w:t xml:space="preserve"> y 2013</w:t>
      </w:r>
    </w:p>
    <w:p w:rsidR="00BE2072" w:rsidRDefault="00BE2072" w:rsidP="00A35FB3">
      <w:pPr>
        <w:jc w:val="center"/>
        <w:rPr>
          <w:b/>
          <w:sz w:val="24"/>
          <w:szCs w:val="24"/>
        </w:rPr>
      </w:pPr>
    </w:p>
    <w:p w:rsidR="00BE2072" w:rsidRPr="00FC6DFB" w:rsidRDefault="00BE2072" w:rsidP="00A35FB3">
      <w:pPr>
        <w:jc w:val="center"/>
        <w:rPr>
          <w:b/>
          <w:sz w:val="24"/>
          <w:szCs w:val="24"/>
        </w:rPr>
      </w:pPr>
    </w:p>
    <w:p w:rsidR="00A35FB3" w:rsidRDefault="00A35FB3" w:rsidP="00A35FB3">
      <w:pPr>
        <w:jc w:val="both"/>
      </w:pPr>
      <w:r w:rsidRPr="00996AF3">
        <w:rPr>
          <w:noProof/>
        </w:rPr>
        <w:drawing>
          <wp:inline distT="0" distB="0" distL="0" distR="0">
            <wp:extent cx="5908785" cy="2459421"/>
            <wp:effectExtent l="19050" t="0" r="15765" b="0"/>
            <wp:docPr id="39" name="Gráfico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r w:rsidRPr="004C1E85">
        <w:t>Fuente: INE</w:t>
      </w:r>
      <w:r>
        <w:t>. Elaboración propia</w:t>
      </w:r>
    </w:p>
    <w:p w:rsidR="00A35FB3" w:rsidRDefault="00A35FB3" w:rsidP="00A35FB3">
      <w:pPr>
        <w:jc w:val="both"/>
      </w:pPr>
    </w:p>
    <w:p w:rsidR="0026395C" w:rsidRPr="00050AA4" w:rsidRDefault="0026395C" w:rsidP="00A35FB3">
      <w:pPr>
        <w:jc w:val="both"/>
      </w:pPr>
    </w:p>
    <w:p w:rsidR="00A35FB3" w:rsidRPr="00FC6DFB" w:rsidRDefault="00A35FB3" w:rsidP="00A35FB3">
      <w:pPr>
        <w:pStyle w:val="Prrafodelista"/>
        <w:numPr>
          <w:ilvl w:val="0"/>
          <w:numId w:val="7"/>
        </w:numPr>
        <w:spacing w:line="360" w:lineRule="auto"/>
        <w:jc w:val="both"/>
        <w:rPr>
          <w:rFonts w:ascii="Times New Roman" w:hAnsi="Times New Roman" w:cs="Times New Roman"/>
          <w:sz w:val="24"/>
          <w:szCs w:val="24"/>
        </w:rPr>
      </w:pPr>
      <w:r w:rsidRPr="00FC6DFB">
        <w:rPr>
          <w:rFonts w:ascii="Times New Roman" w:hAnsi="Times New Roman" w:cs="Times New Roman"/>
          <w:sz w:val="24"/>
          <w:szCs w:val="24"/>
        </w:rPr>
        <w:t>Diferencias</w:t>
      </w:r>
      <w:r>
        <w:rPr>
          <w:rFonts w:ascii="Times New Roman" w:hAnsi="Times New Roman" w:cs="Times New Roman"/>
          <w:sz w:val="24"/>
          <w:szCs w:val="24"/>
        </w:rPr>
        <w:t xml:space="preserve"> por razón de la</w:t>
      </w:r>
      <w:r w:rsidRPr="00FC6DFB">
        <w:rPr>
          <w:rFonts w:ascii="Times New Roman" w:hAnsi="Times New Roman" w:cs="Times New Roman"/>
          <w:sz w:val="24"/>
          <w:szCs w:val="24"/>
        </w:rPr>
        <w:t xml:space="preserve"> nacionalidad</w:t>
      </w:r>
    </w:p>
    <w:p w:rsidR="00BE2072" w:rsidRPr="00BE2072" w:rsidRDefault="00A35FB3" w:rsidP="00BE2072">
      <w:pPr>
        <w:pStyle w:val="Prrafodelista"/>
        <w:spacing w:line="360" w:lineRule="auto"/>
        <w:jc w:val="both"/>
        <w:rPr>
          <w:rFonts w:ascii="Times New Roman" w:hAnsi="Times New Roman" w:cs="Times New Roman"/>
          <w:sz w:val="24"/>
          <w:szCs w:val="24"/>
        </w:rPr>
      </w:pPr>
      <w:r w:rsidRPr="00FC6DFB">
        <w:rPr>
          <w:rFonts w:ascii="Times New Roman" w:hAnsi="Times New Roman" w:cs="Times New Roman"/>
          <w:sz w:val="24"/>
          <w:szCs w:val="24"/>
        </w:rPr>
        <w:t>La mayor tasa de actividad de los inmigrantes y el fuerte impacto que la crisis económica ha tenido sobre este colectivo hace que la tasa de paro de la población inmigrante sea más elevada que la media nacional.</w:t>
      </w:r>
    </w:p>
    <w:p w:rsidR="00A35FB3" w:rsidRPr="00FC6DFB" w:rsidRDefault="00A35FB3" w:rsidP="00A35FB3">
      <w:pPr>
        <w:jc w:val="center"/>
        <w:rPr>
          <w:b/>
          <w:sz w:val="24"/>
          <w:szCs w:val="24"/>
        </w:rPr>
      </w:pPr>
      <w:r>
        <w:rPr>
          <w:b/>
          <w:sz w:val="24"/>
          <w:szCs w:val="24"/>
        </w:rPr>
        <w:t>Gráfico 8</w:t>
      </w:r>
      <w:r w:rsidRPr="00FC6DFB">
        <w:rPr>
          <w:b/>
          <w:sz w:val="24"/>
          <w:szCs w:val="24"/>
        </w:rPr>
        <w:t>.- Tasa de paro en E</w:t>
      </w:r>
      <w:r>
        <w:rPr>
          <w:b/>
          <w:sz w:val="24"/>
          <w:szCs w:val="24"/>
        </w:rPr>
        <w:t>spaña según nacionalidad en 2007</w:t>
      </w:r>
      <w:r w:rsidRPr="00FC6DFB">
        <w:rPr>
          <w:b/>
          <w:sz w:val="24"/>
          <w:szCs w:val="24"/>
        </w:rPr>
        <w:t xml:space="preserve"> y 2013.</w:t>
      </w:r>
    </w:p>
    <w:p w:rsidR="00A35FB3" w:rsidRDefault="00A35FB3" w:rsidP="00BE2072">
      <w:pPr>
        <w:pStyle w:val="Prrafodelista"/>
      </w:pPr>
      <w:r w:rsidRPr="00F0147E">
        <w:rPr>
          <w:noProof/>
        </w:rPr>
        <w:drawing>
          <wp:inline distT="0" distB="0" distL="0" distR="0">
            <wp:extent cx="5154529" cy="2550695"/>
            <wp:effectExtent l="19050" t="0" r="27071" b="2005"/>
            <wp:docPr id="41" name="Gráfico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rsidR="00A35FB3" w:rsidRDefault="00A35FB3" w:rsidP="00A35FB3">
      <w:pPr>
        <w:pStyle w:val="Prrafodelista"/>
        <w:rPr>
          <w:rFonts w:ascii="Times New Roman" w:hAnsi="Times New Roman" w:cs="Times New Roman"/>
          <w:sz w:val="20"/>
          <w:szCs w:val="20"/>
        </w:rPr>
      </w:pPr>
      <w:r w:rsidRPr="004C1E85">
        <w:rPr>
          <w:rFonts w:ascii="Times New Roman" w:hAnsi="Times New Roman" w:cs="Times New Roman"/>
          <w:sz w:val="20"/>
          <w:szCs w:val="20"/>
        </w:rPr>
        <w:t>Fuente: INE</w:t>
      </w:r>
      <w:r>
        <w:rPr>
          <w:rFonts w:ascii="Times New Roman" w:hAnsi="Times New Roman" w:cs="Times New Roman"/>
          <w:sz w:val="20"/>
          <w:szCs w:val="20"/>
        </w:rPr>
        <w:t>. Elaboración propia</w:t>
      </w:r>
    </w:p>
    <w:p w:rsidR="00BE2072" w:rsidRPr="004C1E85" w:rsidRDefault="00BE2072" w:rsidP="00A35FB3">
      <w:pPr>
        <w:pStyle w:val="Prrafodelista"/>
        <w:rPr>
          <w:rFonts w:ascii="Times New Roman" w:hAnsi="Times New Roman" w:cs="Times New Roman"/>
          <w:sz w:val="20"/>
          <w:szCs w:val="20"/>
        </w:rPr>
      </w:pPr>
    </w:p>
    <w:p w:rsidR="00A35FB3" w:rsidRDefault="00A35FB3" w:rsidP="00A35FB3">
      <w:pPr>
        <w:pStyle w:val="Prrafodelista"/>
      </w:pPr>
    </w:p>
    <w:p w:rsidR="00A35FB3" w:rsidRDefault="00A35FB3" w:rsidP="00A35FB3">
      <w:pPr>
        <w:pStyle w:val="Prrafodelista"/>
        <w:numPr>
          <w:ilvl w:val="0"/>
          <w:numId w:val="7"/>
        </w:numPr>
        <w:spacing w:line="360" w:lineRule="auto"/>
        <w:jc w:val="both"/>
        <w:rPr>
          <w:rFonts w:ascii="Times New Roman" w:hAnsi="Times New Roman" w:cs="Times New Roman"/>
          <w:sz w:val="24"/>
          <w:szCs w:val="24"/>
        </w:rPr>
      </w:pPr>
      <w:r w:rsidRPr="00FC6DFB">
        <w:rPr>
          <w:rFonts w:ascii="Times New Roman" w:hAnsi="Times New Roman" w:cs="Times New Roman"/>
          <w:sz w:val="24"/>
          <w:szCs w:val="24"/>
        </w:rPr>
        <w:t>Importantes diferencias en tasas de desempleo entre Comunidades Autónomas, donde se aprecian importantes diferencias Norte-Sur.</w:t>
      </w:r>
    </w:p>
    <w:p w:rsidR="00A35FB3" w:rsidRPr="00FC6DFB" w:rsidRDefault="00A35FB3" w:rsidP="00A35FB3">
      <w:pPr>
        <w:pStyle w:val="Prrafodelista"/>
        <w:spacing w:line="360" w:lineRule="auto"/>
        <w:jc w:val="both"/>
        <w:rPr>
          <w:rFonts w:ascii="Times New Roman" w:hAnsi="Times New Roman" w:cs="Times New Roman"/>
          <w:sz w:val="24"/>
          <w:szCs w:val="24"/>
        </w:rPr>
      </w:pPr>
    </w:p>
    <w:p w:rsidR="00E3140D" w:rsidRDefault="00A35FB3" w:rsidP="00E3140D">
      <w:pPr>
        <w:pStyle w:val="Prrafodelista"/>
        <w:spacing w:line="360" w:lineRule="auto"/>
        <w:jc w:val="both"/>
        <w:rPr>
          <w:rFonts w:ascii="Times New Roman" w:hAnsi="Times New Roman" w:cs="Times New Roman"/>
          <w:sz w:val="24"/>
          <w:szCs w:val="24"/>
        </w:rPr>
      </w:pPr>
      <w:r>
        <w:rPr>
          <w:rFonts w:ascii="Times New Roman" w:hAnsi="Times New Roman" w:cs="Times New Roman"/>
          <w:sz w:val="24"/>
          <w:szCs w:val="24"/>
        </w:rPr>
        <w:t>Siguiendo al gráfico 9</w:t>
      </w:r>
      <w:r w:rsidRPr="00FC6DFB">
        <w:rPr>
          <w:rFonts w:ascii="Times New Roman" w:hAnsi="Times New Roman" w:cs="Times New Roman"/>
          <w:sz w:val="24"/>
          <w:szCs w:val="24"/>
        </w:rPr>
        <w:t xml:space="preserve"> podemos observar las grandes diferencias que existen en </w:t>
      </w:r>
      <w:r>
        <w:rPr>
          <w:rFonts w:ascii="Times New Roman" w:hAnsi="Times New Roman" w:cs="Times New Roman"/>
          <w:sz w:val="24"/>
          <w:szCs w:val="24"/>
        </w:rPr>
        <w:t>las</w:t>
      </w:r>
      <w:r w:rsidRPr="00FC6DFB">
        <w:rPr>
          <w:rFonts w:ascii="Times New Roman" w:hAnsi="Times New Roman" w:cs="Times New Roman"/>
          <w:sz w:val="24"/>
          <w:szCs w:val="24"/>
        </w:rPr>
        <w:t xml:space="preserve"> tasa</w:t>
      </w:r>
      <w:r>
        <w:rPr>
          <w:rFonts w:ascii="Times New Roman" w:hAnsi="Times New Roman" w:cs="Times New Roman"/>
          <w:sz w:val="24"/>
          <w:szCs w:val="24"/>
        </w:rPr>
        <w:t>s</w:t>
      </w:r>
      <w:r w:rsidRPr="00FC6DFB">
        <w:rPr>
          <w:rFonts w:ascii="Times New Roman" w:hAnsi="Times New Roman" w:cs="Times New Roman"/>
          <w:sz w:val="24"/>
          <w:szCs w:val="24"/>
        </w:rPr>
        <w:t xml:space="preserve"> de</w:t>
      </w:r>
      <w:r>
        <w:rPr>
          <w:rFonts w:ascii="Times New Roman" w:hAnsi="Times New Roman" w:cs="Times New Roman"/>
          <w:sz w:val="24"/>
          <w:szCs w:val="24"/>
        </w:rPr>
        <w:t xml:space="preserve"> desempleo de las distintas comunidades a</w:t>
      </w:r>
      <w:r w:rsidRPr="00FC6DFB">
        <w:rPr>
          <w:rFonts w:ascii="Times New Roman" w:hAnsi="Times New Roman" w:cs="Times New Roman"/>
          <w:sz w:val="24"/>
          <w:szCs w:val="24"/>
        </w:rPr>
        <w:t>utónomas. Se puede comprobar como la mayoría de</w:t>
      </w:r>
      <w:r>
        <w:rPr>
          <w:rFonts w:ascii="Times New Roman" w:hAnsi="Times New Roman" w:cs="Times New Roman"/>
          <w:sz w:val="24"/>
          <w:szCs w:val="24"/>
        </w:rPr>
        <w:t xml:space="preserve"> las comunidades a</w:t>
      </w:r>
      <w:r w:rsidRPr="00FC6DFB">
        <w:rPr>
          <w:rFonts w:ascii="Times New Roman" w:hAnsi="Times New Roman" w:cs="Times New Roman"/>
          <w:sz w:val="24"/>
          <w:szCs w:val="24"/>
        </w:rPr>
        <w:t>utónomas con menor desempleo se encuentran en la parte norte del país, con País Vasco a la cabeza (15,76</w:t>
      </w:r>
      <w:r>
        <w:rPr>
          <w:rFonts w:ascii="Times New Roman" w:hAnsi="Times New Roman" w:cs="Times New Roman"/>
          <w:sz w:val="24"/>
          <w:szCs w:val="24"/>
        </w:rPr>
        <w:t xml:space="preserve"> por 100</w:t>
      </w:r>
      <w:r w:rsidRPr="00FC6DFB">
        <w:rPr>
          <w:rFonts w:ascii="Times New Roman" w:hAnsi="Times New Roman" w:cs="Times New Roman"/>
          <w:sz w:val="24"/>
          <w:szCs w:val="24"/>
        </w:rPr>
        <w:t xml:space="preserve"> de desempleo en el cuarto trimestre de 2013); mientras que la mayor parte de las comunidades con mayor paro se concentran en el sur y este nacional. Mención aparte merecen las ciudades autónomas de Ceuta y Melilla por su peculiar situación. Este fuerte contraste entre “Norte y Sur” se debe sobre todo a las diferentes características demográficas y sociales, las distintas estructuras productivas y al impacto diferenci</w:t>
      </w:r>
      <w:r>
        <w:rPr>
          <w:rFonts w:ascii="Times New Roman" w:hAnsi="Times New Roman" w:cs="Times New Roman"/>
          <w:sz w:val="24"/>
          <w:szCs w:val="24"/>
        </w:rPr>
        <w:t>al de la crisis económica. Las comunidades a</w:t>
      </w:r>
      <w:r w:rsidRPr="00FC6DFB">
        <w:rPr>
          <w:rFonts w:ascii="Times New Roman" w:hAnsi="Times New Roman" w:cs="Times New Roman"/>
          <w:sz w:val="24"/>
          <w:szCs w:val="24"/>
        </w:rPr>
        <w:t>utónomas de la mitad sur peninsular y del Levante son las que mayor tasa de paro presentan  debido sobre todo al importante peso que ha tenido en ellas el sector de la construcción y el inmobiliario. Con el empeoramiento de las condiciones económicas en estos negocios, el paro ha aumentado drásticamente en pocos años; al contrario que en “el Norte” donde la const</w:t>
      </w:r>
      <w:r w:rsidR="00E3140D">
        <w:rPr>
          <w:rFonts w:ascii="Times New Roman" w:hAnsi="Times New Roman" w:cs="Times New Roman"/>
          <w:sz w:val="24"/>
          <w:szCs w:val="24"/>
        </w:rPr>
        <w:t>rucción tenía menos importancia.</w:t>
      </w:r>
    </w:p>
    <w:p w:rsidR="00883135" w:rsidRDefault="00883135" w:rsidP="00E3140D">
      <w:pPr>
        <w:pStyle w:val="Prrafodelista"/>
        <w:spacing w:line="360" w:lineRule="auto"/>
        <w:jc w:val="both"/>
        <w:rPr>
          <w:rFonts w:ascii="Times New Roman" w:hAnsi="Times New Roman" w:cs="Times New Roman"/>
          <w:sz w:val="24"/>
          <w:szCs w:val="24"/>
        </w:rPr>
      </w:pPr>
    </w:p>
    <w:p w:rsidR="00883135" w:rsidRDefault="00883135" w:rsidP="00E3140D">
      <w:pPr>
        <w:pStyle w:val="Prrafodelista"/>
        <w:spacing w:line="360" w:lineRule="auto"/>
        <w:jc w:val="both"/>
        <w:rPr>
          <w:rFonts w:ascii="Times New Roman" w:hAnsi="Times New Roman" w:cs="Times New Roman"/>
          <w:sz w:val="24"/>
          <w:szCs w:val="24"/>
        </w:rPr>
      </w:pPr>
    </w:p>
    <w:p w:rsidR="00883135" w:rsidRDefault="00883135" w:rsidP="00E3140D">
      <w:pPr>
        <w:pStyle w:val="Prrafodelista"/>
        <w:spacing w:line="360" w:lineRule="auto"/>
        <w:jc w:val="both"/>
        <w:rPr>
          <w:rFonts w:ascii="Times New Roman" w:hAnsi="Times New Roman" w:cs="Times New Roman"/>
          <w:sz w:val="24"/>
          <w:szCs w:val="24"/>
        </w:rPr>
      </w:pPr>
    </w:p>
    <w:p w:rsidR="00883135" w:rsidRDefault="00883135" w:rsidP="00E3140D">
      <w:pPr>
        <w:pStyle w:val="Prrafodelista"/>
        <w:spacing w:line="360" w:lineRule="auto"/>
        <w:jc w:val="both"/>
        <w:rPr>
          <w:rFonts w:ascii="Times New Roman" w:hAnsi="Times New Roman" w:cs="Times New Roman"/>
          <w:sz w:val="24"/>
          <w:szCs w:val="24"/>
        </w:rPr>
      </w:pPr>
    </w:p>
    <w:p w:rsidR="00883135" w:rsidRDefault="00883135" w:rsidP="00E3140D">
      <w:pPr>
        <w:pStyle w:val="Prrafodelista"/>
        <w:spacing w:line="360" w:lineRule="auto"/>
        <w:jc w:val="both"/>
        <w:rPr>
          <w:rFonts w:ascii="Times New Roman" w:hAnsi="Times New Roman" w:cs="Times New Roman"/>
          <w:sz w:val="24"/>
          <w:szCs w:val="24"/>
        </w:rPr>
      </w:pPr>
    </w:p>
    <w:p w:rsidR="00883135" w:rsidRDefault="00883135" w:rsidP="00E3140D">
      <w:pPr>
        <w:pStyle w:val="Prrafodelista"/>
        <w:spacing w:line="360" w:lineRule="auto"/>
        <w:jc w:val="both"/>
        <w:rPr>
          <w:rFonts w:ascii="Times New Roman" w:hAnsi="Times New Roman" w:cs="Times New Roman"/>
          <w:sz w:val="24"/>
          <w:szCs w:val="24"/>
        </w:rPr>
      </w:pPr>
    </w:p>
    <w:p w:rsidR="00883135" w:rsidRDefault="00883135" w:rsidP="00E3140D">
      <w:pPr>
        <w:pStyle w:val="Prrafodelista"/>
        <w:spacing w:line="360" w:lineRule="auto"/>
        <w:jc w:val="both"/>
        <w:rPr>
          <w:rFonts w:ascii="Times New Roman" w:hAnsi="Times New Roman" w:cs="Times New Roman"/>
          <w:sz w:val="24"/>
          <w:szCs w:val="24"/>
        </w:rPr>
      </w:pPr>
    </w:p>
    <w:p w:rsidR="00883135" w:rsidRDefault="00883135" w:rsidP="00E3140D">
      <w:pPr>
        <w:pStyle w:val="Prrafodelista"/>
        <w:spacing w:line="360" w:lineRule="auto"/>
        <w:jc w:val="both"/>
        <w:rPr>
          <w:rFonts w:ascii="Times New Roman" w:hAnsi="Times New Roman" w:cs="Times New Roman"/>
          <w:sz w:val="24"/>
          <w:szCs w:val="24"/>
        </w:rPr>
      </w:pPr>
    </w:p>
    <w:p w:rsidR="00883135" w:rsidRDefault="00883135" w:rsidP="00E3140D">
      <w:pPr>
        <w:pStyle w:val="Prrafodelista"/>
        <w:spacing w:line="360" w:lineRule="auto"/>
        <w:jc w:val="both"/>
        <w:rPr>
          <w:rFonts w:ascii="Times New Roman" w:hAnsi="Times New Roman" w:cs="Times New Roman"/>
          <w:sz w:val="24"/>
          <w:szCs w:val="24"/>
        </w:rPr>
      </w:pPr>
    </w:p>
    <w:p w:rsidR="00883135" w:rsidRDefault="00883135" w:rsidP="00E3140D">
      <w:pPr>
        <w:pStyle w:val="Prrafodelista"/>
        <w:spacing w:line="360" w:lineRule="auto"/>
        <w:jc w:val="both"/>
        <w:rPr>
          <w:rFonts w:ascii="Times New Roman" w:hAnsi="Times New Roman" w:cs="Times New Roman"/>
          <w:sz w:val="24"/>
          <w:szCs w:val="24"/>
        </w:rPr>
      </w:pPr>
    </w:p>
    <w:p w:rsidR="00883135" w:rsidRDefault="00883135" w:rsidP="00E3140D">
      <w:pPr>
        <w:pStyle w:val="Prrafodelista"/>
        <w:spacing w:line="360" w:lineRule="auto"/>
        <w:jc w:val="both"/>
        <w:rPr>
          <w:rFonts w:ascii="Times New Roman" w:hAnsi="Times New Roman" w:cs="Times New Roman"/>
          <w:sz w:val="24"/>
          <w:szCs w:val="24"/>
        </w:rPr>
      </w:pPr>
    </w:p>
    <w:p w:rsidR="00883135" w:rsidRDefault="00883135" w:rsidP="00E3140D">
      <w:pPr>
        <w:pStyle w:val="Prrafodelista"/>
        <w:spacing w:line="360" w:lineRule="auto"/>
        <w:jc w:val="both"/>
        <w:rPr>
          <w:rFonts w:ascii="Times New Roman" w:hAnsi="Times New Roman" w:cs="Times New Roman"/>
          <w:sz w:val="24"/>
          <w:szCs w:val="24"/>
        </w:rPr>
      </w:pPr>
    </w:p>
    <w:p w:rsidR="00883135" w:rsidRDefault="00883135" w:rsidP="00E3140D">
      <w:pPr>
        <w:pStyle w:val="Prrafodelista"/>
        <w:spacing w:line="360" w:lineRule="auto"/>
        <w:jc w:val="both"/>
        <w:rPr>
          <w:rFonts w:ascii="Times New Roman" w:hAnsi="Times New Roman" w:cs="Times New Roman"/>
          <w:sz w:val="24"/>
          <w:szCs w:val="24"/>
        </w:rPr>
      </w:pPr>
    </w:p>
    <w:p w:rsidR="00883135" w:rsidRDefault="00883135" w:rsidP="00E3140D">
      <w:pPr>
        <w:pStyle w:val="Prrafodelista"/>
        <w:spacing w:line="360" w:lineRule="auto"/>
        <w:jc w:val="both"/>
        <w:rPr>
          <w:rFonts w:ascii="Times New Roman" w:hAnsi="Times New Roman" w:cs="Times New Roman"/>
          <w:sz w:val="24"/>
          <w:szCs w:val="24"/>
        </w:rPr>
      </w:pPr>
    </w:p>
    <w:p w:rsidR="00A35FB3" w:rsidRPr="00BE2072" w:rsidRDefault="00A35FB3" w:rsidP="00BE2072">
      <w:pPr>
        <w:jc w:val="center"/>
        <w:rPr>
          <w:b/>
          <w:sz w:val="24"/>
          <w:szCs w:val="24"/>
        </w:rPr>
      </w:pPr>
      <w:r w:rsidRPr="00BE2072">
        <w:rPr>
          <w:b/>
          <w:sz w:val="24"/>
          <w:szCs w:val="24"/>
        </w:rPr>
        <w:lastRenderedPageBreak/>
        <w:t>Gráfico 9.- Tasa de paro por Comunidades Autónomas en 2013</w:t>
      </w:r>
    </w:p>
    <w:p w:rsidR="00A35FB3" w:rsidRDefault="00A35FB3" w:rsidP="00A35FB3">
      <w:pPr>
        <w:pStyle w:val="Prrafodelista"/>
        <w:jc w:val="both"/>
      </w:pPr>
      <w:r>
        <w:rPr>
          <w:noProof/>
        </w:rPr>
        <w:drawing>
          <wp:inline distT="0" distB="0" distL="0" distR="0">
            <wp:extent cx="5593475" cy="3878317"/>
            <wp:effectExtent l="19050" t="0" r="26275" b="7883"/>
            <wp:docPr id="42" name="Gráfico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rsidR="00A35FB3" w:rsidRDefault="00A35FB3" w:rsidP="00A35FB3">
      <w:pPr>
        <w:pStyle w:val="Prrafodelista"/>
        <w:jc w:val="both"/>
        <w:rPr>
          <w:rFonts w:ascii="Times New Roman" w:hAnsi="Times New Roman" w:cs="Times New Roman"/>
          <w:sz w:val="20"/>
          <w:szCs w:val="20"/>
        </w:rPr>
      </w:pPr>
      <w:r w:rsidRPr="004C1E85">
        <w:rPr>
          <w:rFonts w:ascii="Times New Roman" w:hAnsi="Times New Roman" w:cs="Times New Roman"/>
          <w:sz w:val="20"/>
          <w:szCs w:val="20"/>
        </w:rPr>
        <w:t>Fuente: INE</w:t>
      </w:r>
      <w:r>
        <w:rPr>
          <w:rFonts w:ascii="Times New Roman" w:hAnsi="Times New Roman" w:cs="Times New Roman"/>
          <w:sz w:val="20"/>
          <w:szCs w:val="20"/>
        </w:rPr>
        <w:t>. Elaboración propia</w:t>
      </w:r>
    </w:p>
    <w:p w:rsidR="00A35FB3" w:rsidRDefault="00A35FB3" w:rsidP="00E3140D">
      <w:pPr>
        <w:jc w:val="both"/>
      </w:pPr>
    </w:p>
    <w:p w:rsidR="00A35FB3" w:rsidRPr="00E3140D" w:rsidRDefault="00A35FB3" w:rsidP="00E3140D">
      <w:pPr>
        <w:jc w:val="both"/>
      </w:pPr>
    </w:p>
    <w:p w:rsidR="00A35FB3" w:rsidRPr="00DE781C" w:rsidRDefault="00A35FB3" w:rsidP="00A35FB3">
      <w:pPr>
        <w:pStyle w:val="Prrafodelista"/>
        <w:numPr>
          <w:ilvl w:val="0"/>
          <w:numId w:val="21"/>
        </w:numPr>
        <w:jc w:val="both"/>
        <w:rPr>
          <w:rFonts w:ascii="Times New Roman" w:hAnsi="Times New Roman" w:cs="Times New Roman"/>
          <w:b/>
          <w:sz w:val="24"/>
          <w:szCs w:val="24"/>
        </w:rPr>
      </w:pPr>
      <w:r>
        <w:t xml:space="preserve"> </w:t>
      </w:r>
      <w:r w:rsidRPr="00DE781C">
        <w:rPr>
          <w:rFonts w:ascii="Times New Roman" w:hAnsi="Times New Roman" w:cs="Times New Roman"/>
          <w:b/>
          <w:sz w:val="24"/>
          <w:szCs w:val="24"/>
        </w:rPr>
        <w:t>IMPACTO DE LA CRISIS EN EL MERCADO LABORAL ESPAÑOL.</w:t>
      </w:r>
    </w:p>
    <w:p w:rsidR="00A35FB3" w:rsidRPr="00FC6DFB" w:rsidRDefault="00A35FB3" w:rsidP="00A35FB3">
      <w:pPr>
        <w:spacing w:line="360" w:lineRule="auto"/>
        <w:jc w:val="both"/>
        <w:rPr>
          <w:sz w:val="24"/>
          <w:szCs w:val="24"/>
        </w:rPr>
      </w:pPr>
      <w:r w:rsidRPr="00FC6DFB">
        <w:rPr>
          <w:sz w:val="24"/>
          <w:szCs w:val="24"/>
        </w:rPr>
        <w:t xml:space="preserve">Con la crisis de las hipotecas </w:t>
      </w:r>
      <w:proofErr w:type="spellStart"/>
      <w:r w:rsidRPr="00732147">
        <w:rPr>
          <w:i/>
          <w:sz w:val="24"/>
          <w:szCs w:val="24"/>
        </w:rPr>
        <w:t>subprime</w:t>
      </w:r>
      <w:proofErr w:type="spellEnd"/>
      <w:r w:rsidRPr="00FC6DFB">
        <w:rPr>
          <w:sz w:val="24"/>
          <w:szCs w:val="24"/>
        </w:rPr>
        <w:t xml:space="preserve"> que se desató en 2008 en Estados Unidos y s</w:t>
      </w:r>
      <w:r>
        <w:rPr>
          <w:sz w:val="24"/>
          <w:szCs w:val="24"/>
        </w:rPr>
        <w:t>e extendió posteriormente al resto del  mundo se inició una fase</w:t>
      </w:r>
      <w:r w:rsidRPr="00FC6DFB">
        <w:rPr>
          <w:sz w:val="24"/>
          <w:szCs w:val="24"/>
        </w:rPr>
        <w:t xml:space="preserve"> de grave desaceleración en el crecimiento económico de las distintas naciones. Europa no fue un caso aparte y, debido a sus condiciones particulares, actualmente parece ser de las únicas regiones a nivel global a la que más le cuesta superar estos momentos críticos. Incluso dentro de la Unión Europea podemos comprobar cómo existen importantes diferencias entre países. Mientras la mayoría de los países del norte y centro de Europa (Finlandia, Alemania, Noruega, Países Bajos, etc</w:t>
      </w:r>
      <w:r>
        <w:rPr>
          <w:sz w:val="24"/>
          <w:szCs w:val="24"/>
        </w:rPr>
        <w:t>.</w:t>
      </w:r>
      <w:r w:rsidRPr="00FC6DFB">
        <w:rPr>
          <w:sz w:val="24"/>
          <w:szCs w:val="24"/>
        </w:rPr>
        <w:t xml:space="preserve">) apenas se han visto afectados por la crisis; los países de la parte más meridional de Europa (España, Italia, Portugal, Grecia,…) han atravesado importantes dificultades económicas que han tenido una fuerte repercusión en sus respectivas sociedades. En este sentido y </w:t>
      </w:r>
      <w:r>
        <w:rPr>
          <w:sz w:val="24"/>
          <w:szCs w:val="24"/>
        </w:rPr>
        <w:t xml:space="preserve">centrándonos en el caso español, se trata de </w:t>
      </w:r>
      <w:r w:rsidRPr="00FC6DFB">
        <w:rPr>
          <w:sz w:val="24"/>
          <w:szCs w:val="24"/>
        </w:rPr>
        <w:t>analizar cómo ha evolucionado el mercado</w:t>
      </w:r>
      <w:r>
        <w:rPr>
          <w:sz w:val="24"/>
          <w:szCs w:val="24"/>
        </w:rPr>
        <w:t xml:space="preserve"> de trabajo español desde 2007, </w:t>
      </w:r>
      <w:r w:rsidRPr="00FC6DFB">
        <w:rPr>
          <w:sz w:val="24"/>
          <w:szCs w:val="24"/>
        </w:rPr>
        <w:t xml:space="preserve"> hasta la actualidad.</w:t>
      </w:r>
    </w:p>
    <w:p w:rsidR="00A35FB3" w:rsidRPr="00FC6DFB" w:rsidRDefault="00A35FB3" w:rsidP="00A35FB3">
      <w:pPr>
        <w:spacing w:line="360" w:lineRule="auto"/>
        <w:jc w:val="both"/>
        <w:rPr>
          <w:sz w:val="24"/>
          <w:szCs w:val="24"/>
        </w:rPr>
      </w:pPr>
      <w:r w:rsidRPr="00FC6DFB">
        <w:rPr>
          <w:sz w:val="24"/>
          <w:szCs w:val="24"/>
        </w:rPr>
        <w:t>El importante aumento de la tasa de desempleo  española, hasta rebasar la barrera del 25</w:t>
      </w:r>
      <w:r>
        <w:rPr>
          <w:sz w:val="24"/>
          <w:szCs w:val="24"/>
        </w:rPr>
        <w:t xml:space="preserve"> por 100</w:t>
      </w:r>
      <w:r w:rsidRPr="00FC6DFB">
        <w:rPr>
          <w:sz w:val="24"/>
          <w:szCs w:val="24"/>
        </w:rPr>
        <w:t xml:space="preserve"> de la población activa en 2012, es uno de los signos más representativos de la fuerte destrucción de empleo causada por la crisis económi</w:t>
      </w:r>
      <w:r>
        <w:rPr>
          <w:sz w:val="24"/>
          <w:szCs w:val="24"/>
        </w:rPr>
        <w:t xml:space="preserve">ca iniciada  a finales de 2007 y </w:t>
      </w:r>
      <w:r w:rsidRPr="00FC6DFB">
        <w:rPr>
          <w:sz w:val="24"/>
          <w:szCs w:val="24"/>
        </w:rPr>
        <w:t xml:space="preserve">que se </w:t>
      </w:r>
      <w:r w:rsidRPr="00FC6DFB">
        <w:rPr>
          <w:sz w:val="24"/>
          <w:szCs w:val="24"/>
        </w:rPr>
        <w:lastRenderedPageBreak/>
        <w:t>extiende hasta nuestros días. No obstante</w:t>
      </w:r>
      <w:r>
        <w:rPr>
          <w:sz w:val="24"/>
          <w:szCs w:val="24"/>
        </w:rPr>
        <w:t xml:space="preserve">, </w:t>
      </w:r>
      <w:r w:rsidRPr="00FC6DFB">
        <w:rPr>
          <w:sz w:val="24"/>
          <w:szCs w:val="24"/>
        </w:rPr>
        <w:t>hay que resaltar otra serie de aspectos que camufla esta tasa, como son el fuerte aumento del paro de larga duración, la distinta incidencia del desempleo entre los distintos grupos de la población activa español y la mayor inseguridad laboral, entre otros.</w:t>
      </w:r>
    </w:p>
    <w:p w:rsidR="00A35FB3" w:rsidRPr="00FC6DFB" w:rsidRDefault="00A35FB3" w:rsidP="00A35FB3">
      <w:pPr>
        <w:spacing w:line="360" w:lineRule="auto"/>
        <w:jc w:val="both"/>
        <w:rPr>
          <w:sz w:val="24"/>
          <w:szCs w:val="24"/>
        </w:rPr>
      </w:pPr>
      <w:r w:rsidRPr="00FC6DFB">
        <w:rPr>
          <w:sz w:val="24"/>
          <w:szCs w:val="24"/>
        </w:rPr>
        <w:t xml:space="preserve">Como ya </w:t>
      </w:r>
      <w:r>
        <w:rPr>
          <w:sz w:val="24"/>
          <w:szCs w:val="24"/>
        </w:rPr>
        <w:t>se ha</w:t>
      </w:r>
      <w:r w:rsidRPr="00FC6DFB">
        <w:rPr>
          <w:sz w:val="24"/>
          <w:szCs w:val="24"/>
        </w:rPr>
        <w:t xml:space="preserve"> mencionado, los efectos negativos de este elevado desempleo no solo lo soporta aquella población activa que no está ocup</w:t>
      </w:r>
      <w:r>
        <w:rPr>
          <w:sz w:val="24"/>
          <w:szCs w:val="24"/>
        </w:rPr>
        <w:t>ada, sino que afecta de desigual forma a los distintos</w:t>
      </w:r>
      <w:r w:rsidRPr="00FC6DFB">
        <w:rPr>
          <w:sz w:val="24"/>
          <w:szCs w:val="24"/>
        </w:rPr>
        <w:t xml:space="preserve"> colectivos del mercado laboral español según la edad, el sexo, el nivel educativo, la nacionalidad y otras características.</w:t>
      </w:r>
    </w:p>
    <w:p w:rsidR="00A35FB3" w:rsidRPr="00FC6DFB" w:rsidRDefault="00A35FB3" w:rsidP="00A35FB3">
      <w:pPr>
        <w:spacing w:line="360" w:lineRule="auto"/>
        <w:jc w:val="both"/>
        <w:rPr>
          <w:noProof/>
          <w:sz w:val="24"/>
          <w:szCs w:val="24"/>
        </w:rPr>
      </w:pPr>
      <w:r w:rsidRPr="00FC6DFB">
        <w:rPr>
          <w:sz w:val="24"/>
          <w:szCs w:val="24"/>
        </w:rPr>
        <w:t>En este sentido, a la peor calidad en el empleo que se deriva del proceso de globalización en los países desarrollados, debemos añadir que el aumento del desempleo tras la crisis económica ha afectado de forma diferencial a la población activa. Se aprecia una mayor intensidad del desempleo en la población masculina (sobre todo la ligada a la construcción y la industria), los jóvenes, los trabajadores con contrato temporal, los trab</w:t>
      </w:r>
      <w:r>
        <w:rPr>
          <w:sz w:val="24"/>
          <w:szCs w:val="24"/>
        </w:rPr>
        <w:t>ajadores de menor cualificación</w:t>
      </w:r>
      <w:r w:rsidRPr="00FC6DFB">
        <w:rPr>
          <w:sz w:val="24"/>
          <w:szCs w:val="24"/>
        </w:rPr>
        <w:t xml:space="preserve"> y los inmigrantes.</w:t>
      </w:r>
    </w:p>
    <w:p w:rsidR="0026395C" w:rsidRDefault="00A35FB3" w:rsidP="00A35FB3">
      <w:pPr>
        <w:spacing w:line="360" w:lineRule="auto"/>
        <w:jc w:val="both"/>
        <w:rPr>
          <w:sz w:val="24"/>
          <w:szCs w:val="24"/>
        </w:rPr>
      </w:pPr>
      <w:r w:rsidRPr="00FC6DFB">
        <w:rPr>
          <w:noProof/>
          <w:sz w:val="24"/>
          <w:szCs w:val="24"/>
        </w:rPr>
        <w:t>A partir de la información que aparece en e</w:t>
      </w:r>
      <w:r>
        <w:rPr>
          <w:noProof/>
          <w:sz w:val="24"/>
          <w:szCs w:val="24"/>
        </w:rPr>
        <w:t>l cuadro 1, se puede apreciar rá</w:t>
      </w:r>
      <w:r w:rsidRPr="00FC6DFB">
        <w:rPr>
          <w:noProof/>
          <w:sz w:val="24"/>
          <w:szCs w:val="24"/>
        </w:rPr>
        <w:t>pidamente la evolución de las principales variables representativas del mercado de trabajo, tanto en niveles absolutos como relativos. De entre estos indicadores resalta el fuerte incremento que se produce en la tasa de paro, el aumento del número de parados totales y el crecimiento cada vez mayor del porcentaje de parados que lleva más de un año sin trabajar (parados de larga duración).</w:t>
      </w:r>
      <w:r w:rsidRPr="00FC6DFB">
        <w:rPr>
          <w:sz w:val="24"/>
          <w:szCs w:val="24"/>
        </w:rPr>
        <w:t xml:space="preserve"> A lo largo de los</w:t>
      </w:r>
      <w:r>
        <w:rPr>
          <w:sz w:val="24"/>
          <w:szCs w:val="24"/>
        </w:rPr>
        <w:t xml:space="preserve"> 6 años, podemos comprobar có</w:t>
      </w:r>
      <w:r w:rsidRPr="00FC6DFB">
        <w:rPr>
          <w:sz w:val="24"/>
          <w:szCs w:val="24"/>
        </w:rPr>
        <w:t>mo la tasa de ocupación ha pasado de un 54</w:t>
      </w:r>
      <w:r>
        <w:rPr>
          <w:sz w:val="24"/>
          <w:szCs w:val="24"/>
        </w:rPr>
        <w:t xml:space="preserve"> por 100</w:t>
      </w:r>
      <w:r w:rsidRPr="00FC6DFB">
        <w:rPr>
          <w:sz w:val="24"/>
          <w:szCs w:val="24"/>
        </w:rPr>
        <w:t xml:space="preserve"> en el se</w:t>
      </w:r>
      <w:r>
        <w:rPr>
          <w:sz w:val="24"/>
          <w:szCs w:val="24"/>
        </w:rPr>
        <w:t>gundo trimestre de 2007 a un 45,</w:t>
      </w:r>
      <w:r w:rsidRPr="00FC6DFB">
        <w:rPr>
          <w:sz w:val="24"/>
          <w:szCs w:val="24"/>
        </w:rPr>
        <w:t>3</w:t>
      </w:r>
      <w:r>
        <w:rPr>
          <w:sz w:val="24"/>
          <w:szCs w:val="24"/>
        </w:rPr>
        <w:t xml:space="preserve"> por 100</w:t>
      </w:r>
      <w:r w:rsidRPr="00FC6DFB">
        <w:rPr>
          <w:sz w:val="24"/>
          <w:szCs w:val="24"/>
        </w:rPr>
        <w:t xml:space="preserve"> en el mismo período de 2012 (un descenso de 9 puntos porcentuales). Esta fuerte variación puede explicarse gracias a que los sectores de la economía en los que más ha crecido el desempleo son aquellos que se han caracterizado por una elevada intensidad en la utilización de factor trabajo.</w:t>
      </w:r>
    </w:p>
    <w:p w:rsidR="00883135" w:rsidRDefault="00883135" w:rsidP="00A35FB3">
      <w:pPr>
        <w:spacing w:line="360" w:lineRule="auto"/>
        <w:jc w:val="both"/>
        <w:rPr>
          <w:sz w:val="24"/>
          <w:szCs w:val="24"/>
        </w:rPr>
      </w:pPr>
    </w:p>
    <w:p w:rsidR="00883135" w:rsidRDefault="00883135" w:rsidP="00A35FB3">
      <w:pPr>
        <w:spacing w:line="360" w:lineRule="auto"/>
        <w:jc w:val="both"/>
        <w:rPr>
          <w:sz w:val="24"/>
          <w:szCs w:val="24"/>
        </w:rPr>
      </w:pPr>
    </w:p>
    <w:p w:rsidR="00883135" w:rsidRDefault="00883135" w:rsidP="00A35FB3">
      <w:pPr>
        <w:spacing w:line="360" w:lineRule="auto"/>
        <w:jc w:val="both"/>
        <w:rPr>
          <w:sz w:val="24"/>
          <w:szCs w:val="24"/>
        </w:rPr>
      </w:pPr>
    </w:p>
    <w:p w:rsidR="00883135" w:rsidRDefault="00883135" w:rsidP="00A35FB3">
      <w:pPr>
        <w:spacing w:line="360" w:lineRule="auto"/>
        <w:jc w:val="both"/>
        <w:rPr>
          <w:sz w:val="24"/>
          <w:szCs w:val="24"/>
        </w:rPr>
      </w:pPr>
    </w:p>
    <w:p w:rsidR="00883135" w:rsidRDefault="00883135" w:rsidP="00A35FB3">
      <w:pPr>
        <w:spacing w:line="360" w:lineRule="auto"/>
        <w:jc w:val="both"/>
        <w:rPr>
          <w:sz w:val="24"/>
          <w:szCs w:val="24"/>
        </w:rPr>
      </w:pPr>
    </w:p>
    <w:p w:rsidR="00883135" w:rsidRDefault="00883135" w:rsidP="00A35FB3">
      <w:pPr>
        <w:spacing w:line="360" w:lineRule="auto"/>
        <w:jc w:val="both"/>
        <w:rPr>
          <w:sz w:val="24"/>
          <w:szCs w:val="24"/>
        </w:rPr>
      </w:pPr>
    </w:p>
    <w:p w:rsidR="00883135" w:rsidRPr="00FC6DFB" w:rsidRDefault="00883135" w:rsidP="00A35FB3">
      <w:pPr>
        <w:spacing w:line="360" w:lineRule="auto"/>
        <w:jc w:val="both"/>
        <w:rPr>
          <w:sz w:val="24"/>
          <w:szCs w:val="24"/>
        </w:rPr>
      </w:pPr>
    </w:p>
    <w:p w:rsidR="00A35FB3" w:rsidRPr="00FC6DFB" w:rsidRDefault="00A35FB3" w:rsidP="00A35FB3">
      <w:pPr>
        <w:ind w:left="360"/>
        <w:jc w:val="center"/>
        <w:rPr>
          <w:b/>
          <w:noProof/>
          <w:sz w:val="24"/>
          <w:szCs w:val="24"/>
        </w:rPr>
      </w:pPr>
      <w:r>
        <w:rPr>
          <w:b/>
          <w:noProof/>
          <w:sz w:val="24"/>
          <w:szCs w:val="24"/>
        </w:rPr>
        <w:lastRenderedPageBreak/>
        <w:drawing>
          <wp:anchor distT="0" distB="0" distL="114300" distR="114300" simplePos="0" relativeHeight="251661824" behindDoc="0" locked="0" layoutInCell="1" allowOverlap="1">
            <wp:simplePos x="0" y="0"/>
            <wp:positionH relativeFrom="column">
              <wp:posOffset>-262255</wp:posOffset>
            </wp:positionH>
            <wp:positionV relativeFrom="paragraph">
              <wp:posOffset>471805</wp:posOffset>
            </wp:positionV>
            <wp:extent cx="5867400" cy="1817370"/>
            <wp:effectExtent l="19050" t="0" r="0" b="0"/>
            <wp:wrapThrough wrapText="bothSides">
              <wp:wrapPolygon edited="0">
                <wp:start x="-70" y="0"/>
                <wp:lineTo x="-70" y="21283"/>
                <wp:lineTo x="21600" y="21283"/>
                <wp:lineTo x="21600" y="0"/>
                <wp:lineTo x="-70" y="0"/>
              </wp:wrapPolygon>
            </wp:wrapThrough>
            <wp:docPr id="43"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0" cstate="print"/>
                    <a:srcRect/>
                    <a:stretch>
                      <a:fillRect/>
                    </a:stretch>
                  </pic:blipFill>
                  <pic:spPr bwMode="auto">
                    <a:xfrm>
                      <a:off x="0" y="0"/>
                      <a:ext cx="5867400" cy="1817370"/>
                    </a:xfrm>
                    <a:prstGeom prst="rect">
                      <a:avLst/>
                    </a:prstGeom>
                    <a:noFill/>
                    <a:ln w="9525">
                      <a:noFill/>
                      <a:miter lim="800000"/>
                      <a:headEnd/>
                      <a:tailEnd/>
                    </a:ln>
                  </pic:spPr>
                </pic:pic>
              </a:graphicData>
            </a:graphic>
          </wp:anchor>
        </w:drawing>
      </w:r>
      <w:r w:rsidRPr="00FC6DFB">
        <w:rPr>
          <w:b/>
          <w:noProof/>
          <w:sz w:val="24"/>
          <w:szCs w:val="24"/>
        </w:rPr>
        <w:t>Cuadro 1.- Indicadores básicos de actividad, empleo y paro de España entre 2007 y 2012 (Segundo trimestre de cada año. Miles y porcentajes).</w:t>
      </w:r>
    </w:p>
    <w:p w:rsidR="00A35FB3" w:rsidRPr="004C1E85" w:rsidRDefault="00A35FB3" w:rsidP="00A35FB3">
      <w:pPr>
        <w:ind w:left="357"/>
        <w:jc w:val="both"/>
      </w:pPr>
      <w:r>
        <w:t xml:space="preserve">Fuente: Álvarez,  </w:t>
      </w:r>
      <w:proofErr w:type="spellStart"/>
      <w:r>
        <w:t>Davia</w:t>
      </w:r>
      <w:proofErr w:type="spellEnd"/>
      <w:r>
        <w:t xml:space="preserve"> </w:t>
      </w:r>
      <w:r w:rsidRPr="004C1E85">
        <w:t xml:space="preserve"> y </w:t>
      </w:r>
      <w:proofErr w:type="spellStart"/>
      <w:r w:rsidRPr="004C1E85">
        <w:t>Legazpe</w:t>
      </w:r>
      <w:proofErr w:type="spellEnd"/>
      <w:r w:rsidRPr="004C1E85">
        <w:t>, (2013)</w:t>
      </w:r>
    </w:p>
    <w:p w:rsidR="00A35FB3" w:rsidRPr="004C1E85" w:rsidRDefault="00A35FB3" w:rsidP="00A35FB3">
      <w:pPr>
        <w:ind w:left="357"/>
        <w:jc w:val="both"/>
      </w:pPr>
      <w:r w:rsidRPr="004C1E85">
        <w:t xml:space="preserve">Nota: PLD=Paro de larga duración. </w:t>
      </w:r>
      <w:r w:rsidR="00793963">
        <w:t>Tasa de paro y PLD calculado</w:t>
      </w:r>
      <w:r>
        <w:t>s con base en la</w:t>
      </w:r>
      <w:r w:rsidRPr="004C1E85">
        <w:t xml:space="preserve"> población activa.</w:t>
      </w:r>
    </w:p>
    <w:p w:rsidR="00A35FB3" w:rsidRDefault="00A35FB3" w:rsidP="00A35FB3">
      <w:pPr>
        <w:ind w:left="360"/>
        <w:jc w:val="both"/>
      </w:pPr>
    </w:p>
    <w:p w:rsidR="00B90C26" w:rsidRDefault="00A35FB3" w:rsidP="00883135">
      <w:pPr>
        <w:spacing w:line="360" w:lineRule="auto"/>
        <w:jc w:val="both"/>
        <w:rPr>
          <w:sz w:val="24"/>
          <w:szCs w:val="24"/>
        </w:rPr>
      </w:pPr>
      <w:r w:rsidRPr="00FC6DFB">
        <w:rPr>
          <w:sz w:val="24"/>
          <w:szCs w:val="24"/>
        </w:rPr>
        <w:t>El fuerte incremento de</w:t>
      </w:r>
      <w:r>
        <w:rPr>
          <w:sz w:val="24"/>
          <w:szCs w:val="24"/>
        </w:rPr>
        <w:t xml:space="preserve"> la tasa de paro en esta época</w:t>
      </w:r>
      <w:r w:rsidRPr="00FC6DFB">
        <w:rPr>
          <w:sz w:val="24"/>
          <w:szCs w:val="24"/>
        </w:rPr>
        <w:t xml:space="preserve"> no descansa únicamente en su magnitud, sino también en su impacto diferencial. En el cuadro 2, se puede observar como los grupos más afectados por </w:t>
      </w:r>
      <w:r>
        <w:rPr>
          <w:sz w:val="24"/>
          <w:szCs w:val="24"/>
        </w:rPr>
        <w:t>la destrucción de empleo</w:t>
      </w:r>
      <w:r w:rsidRPr="00FC6DFB">
        <w:rPr>
          <w:sz w:val="24"/>
          <w:szCs w:val="24"/>
        </w:rPr>
        <w:t xml:space="preserve"> es el de varones, los más jóvenes, los trabajadores con menos cualificación y los inmigrantes</w:t>
      </w:r>
      <w:r w:rsidR="0026395C">
        <w:rPr>
          <w:sz w:val="24"/>
          <w:szCs w:val="24"/>
        </w:rPr>
        <w:t>.</w:t>
      </w:r>
    </w:p>
    <w:p w:rsidR="00B90C26" w:rsidRDefault="00B90C26" w:rsidP="00824004">
      <w:pPr>
        <w:jc w:val="center"/>
        <w:rPr>
          <w:sz w:val="24"/>
          <w:szCs w:val="24"/>
        </w:rPr>
      </w:pPr>
    </w:p>
    <w:p w:rsidR="00A35FB3" w:rsidRPr="00DA001F" w:rsidRDefault="00A35FB3" w:rsidP="00824004">
      <w:pPr>
        <w:jc w:val="center"/>
        <w:rPr>
          <w:b/>
          <w:sz w:val="24"/>
          <w:szCs w:val="24"/>
        </w:rPr>
      </w:pPr>
      <w:r w:rsidRPr="00DA001F">
        <w:rPr>
          <w:b/>
          <w:sz w:val="24"/>
          <w:szCs w:val="24"/>
        </w:rPr>
        <w:t>Cuadro 2.- Evolución de las tasas de empleo de España en distin</w:t>
      </w:r>
      <w:r>
        <w:rPr>
          <w:b/>
          <w:sz w:val="24"/>
          <w:szCs w:val="24"/>
        </w:rPr>
        <w:t>tos colectivos entre 2007 y 2013</w:t>
      </w:r>
    </w:p>
    <w:tbl>
      <w:tblPr>
        <w:tblW w:w="9082" w:type="dxa"/>
        <w:tblCellMar>
          <w:left w:w="70" w:type="dxa"/>
          <w:right w:w="70" w:type="dxa"/>
        </w:tblCellMar>
        <w:tblLook w:val="04A0"/>
      </w:tblPr>
      <w:tblGrid>
        <w:gridCol w:w="1741"/>
        <w:gridCol w:w="906"/>
        <w:gridCol w:w="906"/>
        <w:gridCol w:w="906"/>
        <w:gridCol w:w="906"/>
        <w:gridCol w:w="906"/>
        <w:gridCol w:w="906"/>
        <w:gridCol w:w="2003"/>
      </w:tblGrid>
      <w:tr w:rsidR="00A35FB3" w:rsidRPr="00DA001F" w:rsidTr="001A60F2">
        <w:trPr>
          <w:trHeight w:val="230"/>
        </w:trPr>
        <w:tc>
          <w:tcPr>
            <w:tcW w:w="1643" w:type="dxa"/>
            <w:tcBorders>
              <w:top w:val="nil"/>
              <w:left w:val="nil"/>
              <w:bottom w:val="nil"/>
              <w:right w:val="nil"/>
            </w:tcBorders>
            <w:shd w:val="clear" w:color="auto" w:fill="auto"/>
            <w:noWrap/>
            <w:vAlign w:val="bottom"/>
            <w:hideMark/>
          </w:tcPr>
          <w:p w:rsidR="00A35FB3" w:rsidRPr="00DA001F" w:rsidRDefault="00A35FB3" w:rsidP="00A35FB3"/>
        </w:tc>
        <w:tc>
          <w:tcPr>
            <w:tcW w:w="906" w:type="dxa"/>
            <w:tcBorders>
              <w:top w:val="nil"/>
              <w:left w:val="nil"/>
              <w:bottom w:val="nil"/>
              <w:right w:val="nil"/>
            </w:tcBorders>
            <w:shd w:val="clear" w:color="auto" w:fill="auto"/>
            <w:noWrap/>
            <w:vAlign w:val="bottom"/>
            <w:hideMark/>
          </w:tcPr>
          <w:p w:rsidR="00A35FB3" w:rsidRPr="00DA001F" w:rsidRDefault="00A35FB3" w:rsidP="00A35FB3"/>
        </w:tc>
        <w:tc>
          <w:tcPr>
            <w:tcW w:w="906" w:type="dxa"/>
            <w:tcBorders>
              <w:top w:val="nil"/>
              <w:left w:val="nil"/>
              <w:bottom w:val="nil"/>
              <w:right w:val="nil"/>
            </w:tcBorders>
            <w:shd w:val="clear" w:color="auto" w:fill="auto"/>
            <w:noWrap/>
            <w:vAlign w:val="bottom"/>
            <w:hideMark/>
          </w:tcPr>
          <w:p w:rsidR="00A35FB3" w:rsidRPr="00DA001F" w:rsidRDefault="00A35FB3" w:rsidP="00A35FB3"/>
        </w:tc>
        <w:tc>
          <w:tcPr>
            <w:tcW w:w="906" w:type="dxa"/>
            <w:tcBorders>
              <w:top w:val="nil"/>
              <w:left w:val="nil"/>
              <w:bottom w:val="nil"/>
              <w:right w:val="nil"/>
            </w:tcBorders>
            <w:shd w:val="clear" w:color="auto" w:fill="auto"/>
            <w:noWrap/>
            <w:vAlign w:val="bottom"/>
            <w:hideMark/>
          </w:tcPr>
          <w:p w:rsidR="00A35FB3" w:rsidRPr="00DA001F" w:rsidRDefault="00A35FB3" w:rsidP="00A35FB3"/>
        </w:tc>
        <w:tc>
          <w:tcPr>
            <w:tcW w:w="906" w:type="dxa"/>
            <w:tcBorders>
              <w:top w:val="nil"/>
              <w:left w:val="nil"/>
              <w:bottom w:val="nil"/>
              <w:right w:val="nil"/>
            </w:tcBorders>
            <w:shd w:val="clear" w:color="auto" w:fill="auto"/>
            <w:noWrap/>
            <w:vAlign w:val="bottom"/>
            <w:hideMark/>
          </w:tcPr>
          <w:p w:rsidR="00A35FB3" w:rsidRPr="00DA001F" w:rsidRDefault="00A35FB3" w:rsidP="00A35FB3"/>
        </w:tc>
        <w:tc>
          <w:tcPr>
            <w:tcW w:w="906" w:type="dxa"/>
            <w:tcBorders>
              <w:top w:val="nil"/>
              <w:left w:val="nil"/>
              <w:bottom w:val="nil"/>
              <w:right w:val="nil"/>
            </w:tcBorders>
            <w:shd w:val="clear" w:color="auto" w:fill="auto"/>
            <w:noWrap/>
            <w:vAlign w:val="bottom"/>
            <w:hideMark/>
          </w:tcPr>
          <w:p w:rsidR="00A35FB3" w:rsidRPr="00DA001F" w:rsidRDefault="00A35FB3" w:rsidP="00A35FB3"/>
        </w:tc>
        <w:tc>
          <w:tcPr>
            <w:tcW w:w="906" w:type="dxa"/>
            <w:tcBorders>
              <w:top w:val="nil"/>
              <w:left w:val="nil"/>
              <w:bottom w:val="nil"/>
              <w:right w:val="single" w:sz="4" w:space="0" w:color="auto"/>
            </w:tcBorders>
            <w:shd w:val="clear" w:color="auto" w:fill="auto"/>
            <w:noWrap/>
            <w:vAlign w:val="bottom"/>
            <w:hideMark/>
          </w:tcPr>
          <w:p w:rsidR="00A35FB3" w:rsidRPr="00DA001F" w:rsidRDefault="00A35FB3" w:rsidP="00A35FB3"/>
        </w:tc>
        <w:tc>
          <w:tcPr>
            <w:tcW w:w="2003" w:type="dxa"/>
            <w:tcBorders>
              <w:top w:val="nil"/>
              <w:left w:val="nil"/>
              <w:bottom w:val="nil"/>
              <w:right w:val="single" w:sz="4" w:space="0" w:color="auto"/>
            </w:tcBorders>
            <w:shd w:val="clear" w:color="auto" w:fill="auto"/>
            <w:noWrap/>
            <w:vAlign w:val="bottom"/>
            <w:hideMark/>
          </w:tcPr>
          <w:p w:rsidR="00A35FB3" w:rsidRPr="00DA001F" w:rsidRDefault="00A35FB3" w:rsidP="00A35FB3">
            <w:pPr>
              <w:jc w:val="center"/>
            </w:pPr>
            <w:r w:rsidRPr="00DA001F">
              <w:t>Variación porcentual</w:t>
            </w:r>
          </w:p>
          <w:p w:rsidR="00A35FB3" w:rsidRPr="00DA001F" w:rsidRDefault="00A35FB3" w:rsidP="00A35FB3">
            <w:pPr>
              <w:jc w:val="center"/>
            </w:pPr>
            <w:r w:rsidRPr="00DA001F">
              <w:t xml:space="preserve"> 2007-2013</w:t>
            </w:r>
          </w:p>
          <w:p w:rsidR="00A35FB3" w:rsidRPr="00DA001F" w:rsidRDefault="00A35FB3" w:rsidP="00A35FB3">
            <w:pPr>
              <w:jc w:val="center"/>
            </w:pPr>
          </w:p>
        </w:tc>
      </w:tr>
      <w:tr w:rsidR="00A35FB3" w:rsidRPr="00DA001F" w:rsidTr="001A60F2">
        <w:trPr>
          <w:trHeight w:val="230"/>
        </w:trPr>
        <w:tc>
          <w:tcPr>
            <w:tcW w:w="1643" w:type="dxa"/>
            <w:tcBorders>
              <w:top w:val="nil"/>
              <w:left w:val="nil"/>
              <w:bottom w:val="nil"/>
              <w:right w:val="nil"/>
            </w:tcBorders>
            <w:shd w:val="clear" w:color="auto" w:fill="auto"/>
            <w:noWrap/>
            <w:vAlign w:val="bottom"/>
            <w:hideMark/>
          </w:tcPr>
          <w:p w:rsidR="00A35FB3" w:rsidRPr="00DA001F" w:rsidRDefault="00A35FB3" w:rsidP="00A35FB3"/>
        </w:tc>
        <w:tc>
          <w:tcPr>
            <w:tcW w:w="906" w:type="dxa"/>
            <w:tcBorders>
              <w:top w:val="nil"/>
              <w:left w:val="nil"/>
              <w:bottom w:val="nil"/>
              <w:right w:val="nil"/>
            </w:tcBorders>
            <w:shd w:val="clear" w:color="auto" w:fill="auto"/>
            <w:noWrap/>
            <w:vAlign w:val="bottom"/>
            <w:hideMark/>
          </w:tcPr>
          <w:p w:rsidR="00A35FB3" w:rsidRPr="00DA001F" w:rsidRDefault="00A35FB3" w:rsidP="00A35FB3"/>
        </w:tc>
        <w:tc>
          <w:tcPr>
            <w:tcW w:w="906" w:type="dxa"/>
            <w:tcBorders>
              <w:top w:val="nil"/>
              <w:left w:val="nil"/>
              <w:bottom w:val="nil"/>
              <w:right w:val="nil"/>
            </w:tcBorders>
            <w:shd w:val="clear" w:color="auto" w:fill="auto"/>
            <w:noWrap/>
            <w:vAlign w:val="bottom"/>
            <w:hideMark/>
          </w:tcPr>
          <w:p w:rsidR="00A35FB3" w:rsidRPr="00DA001F" w:rsidRDefault="00A35FB3" w:rsidP="00A35FB3">
            <w:pPr>
              <w:jc w:val="right"/>
              <w:rPr>
                <w:b/>
                <w:bCs/>
              </w:rPr>
            </w:pPr>
            <w:r w:rsidRPr="00DA001F">
              <w:rPr>
                <w:b/>
                <w:bCs/>
              </w:rPr>
              <w:t>2007</w:t>
            </w:r>
          </w:p>
        </w:tc>
        <w:tc>
          <w:tcPr>
            <w:tcW w:w="906" w:type="dxa"/>
            <w:tcBorders>
              <w:top w:val="nil"/>
              <w:left w:val="nil"/>
              <w:bottom w:val="nil"/>
              <w:right w:val="nil"/>
            </w:tcBorders>
            <w:shd w:val="clear" w:color="auto" w:fill="auto"/>
            <w:noWrap/>
            <w:vAlign w:val="bottom"/>
            <w:hideMark/>
          </w:tcPr>
          <w:p w:rsidR="00A35FB3" w:rsidRPr="00DA001F" w:rsidRDefault="00A35FB3" w:rsidP="00A35FB3">
            <w:pPr>
              <w:jc w:val="right"/>
              <w:rPr>
                <w:b/>
                <w:bCs/>
              </w:rPr>
            </w:pPr>
            <w:r w:rsidRPr="00DA001F">
              <w:rPr>
                <w:b/>
                <w:bCs/>
              </w:rPr>
              <w:t>2009</w:t>
            </w:r>
          </w:p>
        </w:tc>
        <w:tc>
          <w:tcPr>
            <w:tcW w:w="906" w:type="dxa"/>
            <w:tcBorders>
              <w:top w:val="nil"/>
              <w:left w:val="nil"/>
              <w:bottom w:val="nil"/>
              <w:right w:val="nil"/>
            </w:tcBorders>
            <w:shd w:val="clear" w:color="auto" w:fill="auto"/>
            <w:noWrap/>
            <w:vAlign w:val="bottom"/>
            <w:hideMark/>
          </w:tcPr>
          <w:p w:rsidR="00A35FB3" w:rsidRPr="00DA001F" w:rsidRDefault="00A35FB3" w:rsidP="00A35FB3">
            <w:pPr>
              <w:jc w:val="right"/>
              <w:rPr>
                <w:b/>
                <w:bCs/>
              </w:rPr>
            </w:pPr>
            <w:r w:rsidRPr="00DA001F">
              <w:rPr>
                <w:b/>
                <w:bCs/>
              </w:rPr>
              <w:t>2011</w:t>
            </w:r>
          </w:p>
        </w:tc>
        <w:tc>
          <w:tcPr>
            <w:tcW w:w="906" w:type="dxa"/>
            <w:tcBorders>
              <w:top w:val="nil"/>
              <w:left w:val="nil"/>
              <w:bottom w:val="nil"/>
              <w:right w:val="nil"/>
            </w:tcBorders>
            <w:shd w:val="clear" w:color="auto" w:fill="auto"/>
            <w:noWrap/>
            <w:vAlign w:val="bottom"/>
            <w:hideMark/>
          </w:tcPr>
          <w:p w:rsidR="00A35FB3" w:rsidRPr="00DA001F" w:rsidRDefault="00A35FB3" w:rsidP="00A35FB3">
            <w:pPr>
              <w:jc w:val="right"/>
              <w:rPr>
                <w:b/>
                <w:bCs/>
              </w:rPr>
            </w:pPr>
            <w:r w:rsidRPr="00DA001F">
              <w:rPr>
                <w:b/>
                <w:bCs/>
              </w:rPr>
              <w:t>2012</w:t>
            </w:r>
          </w:p>
        </w:tc>
        <w:tc>
          <w:tcPr>
            <w:tcW w:w="906" w:type="dxa"/>
            <w:tcBorders>
              <w:top w:val="nil"/>
              <w:left w:val="nil"/>
              <w:bottom w:val="single" w:sz="4" w:space="0" w:color="auto"/>
              <w:right w:val="single" w:sz="4" w:space="0" w:color="auto"/>
            </w:tcBorders>
            <w:shd w:val="clear" w:color="auto" w:fill="auto"/>
            <w:noWrap/>
            <w:vAlign w:val="bottom"/>
            <w:hideMark/>
          </w:tcPr>
          <w:p w:rsidR="00A35FB3" w:rsidRPr="00DA001F" w:rsidRDefault="00A35FB3" w:rsidP="00A35FB3">
            <w:pPr>
              <w:jc w:val="right"/>
              <w:rPr>
                <w:b/>
                <w:bCs/>
              </w:rPr>
            </w:pPr>
            <w:r w:rsidRPr="00DA001F">
              <w:rPr>
                <w:b/>
                <w:bCs/>
              </w:rPr>
              <w:t>2013</w:t>
            </w:r>
          </w:p>
        </w:tc>
        <w:tc>
          <w:tcPr>
            <w:tcW w:w="2003" w:type="dxa"/>
            <w:tcBorders>
              <w:top w:val="nil"/>
              <w:left w:val="nil"/>
              <w:bottom w:val="single" w:sz="4" w:space="0" w:color="auto"/>
              <w:right w:val="single" w:sz="4" w:space="0" w:color="auto"/>
            </w:tcBorders>
            <w:shd w:val="clear" w:color="auto" w:fill="auto"/>
            <w:noWrap/>
            <w:vAlign w:val="bottom"/>
            <w:hideMark/>
          </w:tcPr>
          <w:p w:rsidR="00A35FB3" w:rsidRPr="00DA001F" w:rsidRDefault="00A35FB3" w:rsidP="00A35FB3"/>
        </w:tc>
      </w:tr>
      <w:tr w:rsidR="00A35FB3" w:rsidRPr="00DA001F" w:rsidTr="001A60F2">
        <w:trPr>
          <w:trHeight w:val="230"/>
        </w:trPr>
        <w:tc>
          <w:tcPr>
            <w:tcW w:w="1643" w:type="dxa"/>
            <w:tcBorders>
              <w:top w:val="single" w:sz="4" w:space="0" w:color="auto"/>
              <w:left w:val="single" w:sz="4" w:space="0" w:color="auto"/>
              <w:bottom w:val="single" w:sz="4" w:space="0" w:color="auto"/>
              <w:right w:val="nil"/>
            </w:tcBorders>
            <w:shd w:val="clear" w:color="auto" w:fill="auto"/>
            <w:noWrap/>
            <w:vAlign w:val="bottom"/>
            <w:hideMark/>
          </w:tcPr>
          <w:p w:rsidR="00A35FB3" w:rsidRPr="00DA001F" w:rsidRDefault="00A35FB3" w:rsidP="00A35FB3">
            <w:pPr>
              <w:rPr>
                <w:b/>
                <w:bCs/>
              </w:rPr>
            </w:pPr>
            <w:r>
              <w:rPr>
                <w:b/>
                <w:bCs/>
              </w:rPr>
              <w:t>SEXO</w:t>
            </w:r>
          </w:p>
        </w:tc>
        <w:tc>
          <w:tcPr>
            <w:tcW w:w="906" w:type="dxa"/>
            <w:tcBorders>
              <w:top w:val="single" w:sz="4" w:space="0" w:color="auto"/>
              <w:left w:val="nil"/>
              <w:bottom w:val="single" w:sz="4" w:space="0" w:color="auto"/>
              <w:right w:val="nil"/>
            </w:tcBorders>
            <w:shd w:val="clear" w:color="auto" w:fill="auto"/>
            <w:noWrap/>
            <w:vAlign w:val="bottom"/>
            <w:hideMark/>
          </w:tcPr>
          <w:p w:rsidR="00A35FB3" w:rsidRPr="00DA001F" w:rsidRDefault="00A35FB3" w:rsidP="00A35FB3">
            <w:r w:rsidRPr="00DA001F">
              <w:t> </w:t>
            </w:r>
          </w:p>
        </w:tc>
        <w:tc>
          <w:tcPr>
            <w:tcW w:w="906" w:type="dxa"/>
            <w:tcBorders>
              <w:top w:val="single" w:sz="4" w:space="0" w:color="auto"/>
              <w:left w:val="nil"/>
              <w:bottom w:val="single" w:sz="4" w:space="0" w:color="auto"/>
              <w:right w:val="nil"/>
            </w:tcBorders>
            <w:shd w:val="clear" w:color="auto" w:fill="auto"/>
            <w:noWrap/>
            <w:vAlign w:val="bottom"/>
            <w:hideMark/>
          </w:tcPr>
          <w:p w:rsidR="00A35FB3" w:rsidRPr="00DA001F" w:rsidRDefault="00A35FB3" w:rsidP="00A35FB3">
            <w:r w:rsidRPr="00DA001F">
              <w:t> </w:t>
            </w:r>
          </w:p>
        </w:tc>
        <w:tc>
          <w:tcPr>
            <w:tcW w:w="906" w:type="dxa"/>
            <w:tcBorders>
              <w:top w:val="single" w:sz="4" w:space="0" w:color="auto"/>
              <w:left w:val="nil"/>
              <w:bottom w:val="single" w:sz="4" w:space="0" w:color="auto"/>
              <w:right w:val="nil"/>
            </w:tcBorders>
            <w:shd w:val="clear" w:color="auto" w:fill="auto"/>
            <w:noWrap/>
            <w:vAlign w:val="bottom"/>
            <w:hideMark/>
          </w:tcPr>
          <w:p w:rsidR="00A35FB3" w:rsidRPr="00DA001F" w:rsidRDefault="00A35FB3" w:rsidP="00A35FB3">
            <w:r w:rsidRPr="00DA001F">
              <w:t> </w:t>
            </w:r>
          </w:p>
        </w:tc>
        <w:tc>
          <w:tcPr>
            <w:tcW w:w="906" w:type="dxa"/>
            <w:tcBorders>
              <w:top w:val="single" w:sz="4" w:space="0" w:color="auto"/>
              <w:left w:val="nil"/>
              <w:bottom w:val="single" w:sz="4" w:space="0" w:color="auto"/>
              <w:right w:val="nil"/>
            </w:tcBorders>
            <w:shd w:val="clear" w:color="auto" w:fill="auto"/>
            <w:noWrap/>
            <w:vAlign w:val="bottom"/>
            <w:hideMark/>
          </w:tcPr>
          <w:p w:rsidR="00A35FB3" w:rsidRPr="00DA001F" w:rsidRDefault="00A35FB3" w:rsidP="00A35FB3">
            <w:r w:rsidRPr="00DA001F">
              <w:t> </w:t>
            </w:r>
          </w:p>
        </w:tc>
        <w:tc>
          <w:tcPr>
            <w:tcW w:w="906" w:type="dxa"/>
            <w:tcBorders>
              <w:top w:val="single" w:sz="4" w:space="0" w:color="auto"/>
              <w:left w:val="nil"/>
              <w:bottom w:val="single" w:sz="4" w:space="0" w:color="auto"/>
              <w:right w:val="nil"/>
            </w:tcBorders>
            <w:shd w:val="clear" w:color="auto" w:fill="auto"/>
            <w:noWrap/>
            <w:vAlign w:val="bottom"/>
            <w:hideMark/>
          </w:tcPr>
          <w:p w:rsidR="00A35FB3" w:rsidRPr="00DA001F" w:rsidRDefault="00A35FB3" w:rsidP="00A35FB3">
            <w:r w:rsidRPr="00DA001F">
              <w:t> </w:t>
            </w:r>
          </w:p>
        </w:tc>
        <w:tc>
          <w:tcPr>
            <w:tcW w:w="906" w:type="dxa"/>
            <w:tcBorders>
              <w:top w:val="nil"/>
              <w:left w:val="nil"/>
              <w:bottom w:val="single" w:sz="4" w:space="0" w:color="auto"/>
              <w:right w:val="nil"/>
            </w:tcBorders>
            <w:shd w:val="clear" w:color="auto" w:fill="auto"/>
            <w:noWrap/>
            <w:vAlign w:val="bottom"/>
            <w:hideMark/>
          </w:tcPr>
          <w:p w:rsidR="00A35FB3" w:rsidRPr="00DA001F" w:rsidRDefault="00A35FB3" w:rsidP="00A35FB3">
            <w:r w:rsidRPr="00DA001F">
              <w:t> </w:t>
            </w:r>
          </w:p>
        </w:tc>
        <w:tc>
          <w:tcPr>
            <w:tcW w:w="2003" w:type="dxa"/>
            <w:tcBorders>
              <w:top w:val="nil"/>
              <w:left w:val="single" w:sz="4" w:space="0" w:color="auto"/>
              <w:bottom w:val="nil"/>
              <w:right w:val="single" w:sz="4" w:space="0" w:color="auto"/>
            </w:tcBorders>
            <w:shd w:val="clear" w:color="auto" w:fill="auto"/>
            <w:noWrap/>
            <w:vAlign w:val="bottom"/>
            <w:hideMark/>
          </w:tcPr>
          <w:p w:rsidR="00A35FB3" w:rsidRPr="00DA001F" w:rsidRDefault="00A35FB3" w:rsidP="00A35FB3">
            <w:r w:rsidRPr="00DA001F">
              <w:t> </w:t>
            </w:r>
          </w:p>
        </w:tc>
      </w:tr>
      <w:tr w:rsidR="00A35FB3" w:rsidRPr="00DA001F" w:rsidTr="001A60F2">
        <w:trPr>
          <w:trHeight w:val="230"/>
        </w:trPr>
        <w:tc>
          <w:tcPr>
            <w:tcW w:w="1643" w:type="dxa"/>
            <w:tcBorders>
              <w:top w:val="nil"/>
              <w:left w:val="single" w:sz="4" w:space="0" w:color="auto"/>
              <w:bottom w:val="nil"/>
              <w:right w:val="nil"/>
            </w:tcBorders>
            <w:shd w:val="clear" w:color="auto" w:fill="auto"/>
            <w:noWrap/>
            <w:vAlign w:val="bottom"/>
            <w:hideMark/>
          </w:tcPr>
          <w:p w:rsidR="00A35FB3" w:rsidRPr="00DA001F" w:rsidRDefault="00A35FB3" w:rsidP="00A35FB3">
            <w:r w:rsidRPr="00DA001F">
              <w:t>Varones</w:t>
            </w:r>
          </w:p>
        </w:tc>
        <w:tc>
          <w:tcPr>
            <w:tcW w:w="906" w:type="dxa"/>
            <w:tcBorders>
              <w:top w:val="nil"/>
              <w:left w:val="nil"/>
              <w:bottom w:val="nil"/>
              <w:right w:val="nil"/>
            </w:tcBorders>
            <w:shd w:val="clear" w:color="auto" w:fill="auto"/>
            <w:noWrap/>
            <w:vAlign w:val="bottom"/>
            <w:hideMark/>
          </w:tcPr>
          <w:p w:rsidR="00A35FB3" w:rsidRPr="00DA001F" w:rsidRDefault="00A35FB3" w:rsidP="00A35FB3"/>
        </w:tc>
        <w:tc>
          <w:tcPr>
            <w:tcW w:w="906" w:type="dxa"/>
            <w:tcBorders>
              <w:top w:val="nil"/>
              <w:left w:val="nil"/>
              <w:bottom w:val="nil"/>
              <w:right w:val="nil"/>
            </w:tcBorders>
            <w:shd w:val="clear" w:color="auto" w:fill="auto"/>
            <w:noWrap/>
            <w:vAlign w:val="bottom"/>
            <w:hideMark/>
          </w:tcPr>
          <w:p w:rsidR="00A35FB3" w:rsidRPr="00DA001F" w:rsidRDefault="00A35FB3" w:rsidP="00A35FB3">
            <w:pPr>
              <w:jc w:val="right"/>
            </w:pPr>
            <w:r w:rsidRPr="00DA001F">
              <w:t>64,5</w:t>
            </w:r>
          </w:p>
        </w:tc>
        <w:tc>
          <w:tcPr>
            <w:tcW w:w="906" w:type="dxa"/>
            <w:tcBorders>
              <w:top w:val="nil"/>
              <w:left w:val="nil"/>
              <w:bottom w:val="nil"/>
              <w:right w:val="nil"/>
            </w:tcBorders>
            <w:shd w:val="clear" w:color="auto" w:fill="auto"/>
            <w:noWrap/>
            <w:vAlign w:val="bottom"/>
            <w:hideMark/>
          </w:tcPr>
          <w:p w:rsidR="00A35FB3" w:rsidRPr="00DA001F" w:rsidRDefault="00A35FB3" w:rsidP="00A35FB3">
            <w:pPr>
              <w:jc w:val="right"/>
            </w:pPr>
            <w:r w:rsidRPr="00DA001F">
              <w:t>55,4</w:t>
            </w:r>
          </w:p>
        </w:tc>
        <w:tc>
          <w:tcPr>
            <w:tcW w:w="906" w:type="dxa"/>
            <w:tcBorders>
              <w:top w:val="nil"/>
              <w:left w:val="nil"/>
              <w:bottom w:val="nil"/>
              <w:right w:val="nil"/>
            </w:tcBorders>
            <w:shd w:val="clear" w:color="auto" w:fill="auto"/>
            <w:noWrap/>
            <w:vAlign w:val="bottom"/>
            <w:hideMark/>
          </w:tcPr>
          <w:p w:rsidR="00A35FB3" w:rsidRPr="00DA001F" w:rsidRDefault="00A35FB3" w:rsidP="00A35FB3">
            <w:pPr>
              <w:jc w:val="right"/>
            </w:pPr>
            <w:r w:rsidRPr="00DA001F">
              <w:t>52,2</w:t>
            </w:r>
          </w:p>
        </w:tc>
        <w:tc>
          <w:tcPr>
            <w:tcW w:w="906" w:type="dxa"/>
            <w:tcBorders>
              <w:top w:val="nil"/>
              <w:left w:val="nil"/>
              <w:bottom w:val="nil"/>
              <w:right w:val="nil"/>
            </w:tcBorders>
            <w:shd w:val="clear" w:color="auto" w:fill="auto"/>
            <w:noWrap/>
            <w:vAlign w:val="bottom"/>
            <w:hideMark/>
          </w:tcPr>
          <w:p w:rsidR="00A35FB3" w:rsidRPr="00DA001F" w:rsidRDefault="00A35FB3" w:rsidP="00A35FB3">
            <w:pPr>
              <w:jc w:val="right"/>
            </w:pPr>
            <w:r w:rsidRPr="00DA001F">
              <w:t>49,5</w:t>
            </w:r>
          </w:p>
        </w:tc>
        <w:tc>
          <w:tcPr>
            <w:tcW w:w="906" w:type="dxa"/>
            <w:tcBorders>
              <w:top w:val="nil"/>
              <w:left w:val="nil"/>
              <w:bottom w:val="nil"/>
              <w:right w:val="nil"/>
            </w:tcBorders>
            <w:shd w:val="clear" w:color="auto" w:fill="auto"/>
            <w:noWrap/>
            <w:vAlign w:val="bottom"/>
            <w:hideMark/>
          </w:tcPr>
          <w:p w:rsidR="00A35FB3" w:rsidRPr="00DA001F" w:rsidRDefault="00A35FB3" w:rsidP="00A35FB3">
            <w:pPr>
              <w:jc w:val="right"/>
            </w:pPr>
            <w:r w:rsidRPr="00DA001F">
              <w:t>49,2</w:t>
            </w:r>
          </w:p>
        </w:tc>
        <w:tc>
          <w:tcPr>
            <w:tcW w:w="2003" w:type="dxa"/>
            <w:tcBorders>
              <w:top w:val="nil"/>
              <w:left w:val="single" w:sz="4" w:space="0" w:color="auto"/>
              <w:bottom w:val="nil"/>
              <w:right w:val="single" w:sz="4" w:space="0" w:color="auto"/>
            </w:tcBorders>
            <w:shd w:val="clear" w:color="auto" w:fill="auto"/>
            <w:noWrap/>
            <w:vAlign w:val="bottom"/>
            <w:hideMark/>
          </w:tcPr>
          <w:p w:rsidR="00A35FB3" w:rsidRPr="00DA001F" w:rsidRDefault="00A35FB3" w:rsidP="00A35FB3">
            <w:pPr>
              <w:jc w:val="center"/>
              <w:rPr>
                <w:b/>
              </w:rPr>
            </w:pPr>
            <w:r w:rsidRPr="00DA001F">
              <w:rPr>
                <w:b/>
              </w:rPr>
              <w:t>-23,7</w:t>
            </w:r>
          </w:p>
        </w:tc>
      </w:tr>
      <w:tr w:rsidR="00A35FB3" w:rsidRPr="00DA001F" w:rsidTr="001A60F2">
        <w:trPr>
          <w:trHeight w:val="230"/>
        </w:trPr>
        <w:tc>
          <w:tcPr>
            <w:tcW w:w="1643" w:type="dxa"/>
            <w:tcBorders>
              <w:top w:val="nil"/>
              <w:left w:val="single" w:sz="4" w:space="0" w:color="auto"/>
              <w:bottom w:val="nil"/>
              <w:right w:val="nil"/>
            </w:tcBorders>
            <w:shd w:val="clear" w:color="auto" w:fill="auto"/>
            <w:noWrap/>
            <w:vAlign w:val="bottom"/>
            <w:hideMark/>
          </w:tcPr>
          <w:p w:rsidR="00A35FB3" w:rsidRPr="00DA001F" w:rsidRDefault="00A35FB3" w:rsidP="00A35FB3">
            <w:r w:rsidRPr="00DA001F">
              <w:t>Mujeres</w:t>
            </w:r>
          </w:p>
        </w:tc>
        <w:tc>
          <w:tcPr>
            <w:tcW w:w="906" w:type="dxa"/>
            <w:tcBorders>
              <w:top w:val="nil"/>
              <w:left w:val="nil"/>
              <w:bottom w:val="nil"/>
              <w:right w:val="nil"/>
            </w:tcBorders>
            <w:shd w:val="clear" w:color="auto" w:fill="auto"/>
            <w:noWrap/>
            <w:vAlign w:val="bottom"/>
            <w:hideMark/>
          </w:tcPr>
          <w:p w:rsidR="00A35FB3" w:rsidRPr="00DA001F" w:rsidRDefault="00A35FB3" w:rsidP="00A35FB3"/>
        </w:tc>
        <w:tc>
          <w:tcPr>
            <w:tcW w:w="906" w:type="dxa"/>
            <w:tcBorders>
              <w:top w:val="nil"/>
              <w:left w:val="nil"/>
              <w:bottom w:val="nil"/>
              <w:right w:val="nil"/>
            </w:tcBorders>
            <w:shd w:val="clear" w:color="auto" w:fill="auto"/>
            <w:noWrap/>
            <w:vAlign w:val="bottom"/>
            <w:hideMark/>
          </w:tcPr>
          <w:p w:rsidR="00A35FB3" w:rsidRPr="00DA001F" w:rsidRDefault="00A35FB3" w:rsidP="00A35FB3">
            <w:pPr>
              <w:jc w:val="right"/>
            </w:pPr>
            <w:r w:rsidRPr="00DA001F">
              <w:t>43,9</w:t>
            </w:r>
          </w:p>
        </w:tc>
        <w:tc>
          <w:tcPr>
            <w:tcW w:w="906" w:type="dxa"/>
            <w:tcBorders>
              <w:top w:val="nil"/>
              <w:left w:val="nil"/>
              <w:bottom w:val="nil"/>
              <w:right w:val="nil"/>
            </w:tcBorders>
            <w:shd w:val="clear" w:color="auto" w:fill="auto"/>
            <w:noWrap/>
            <w:vAlign w:val="bottom"/>
            <w:hideMark/>
          </w:tcPr>
          <w:p w:rsidR="00A35FB3" w:rsidRPr="00DA001F" w:rsidRDefault="00A35FB3" w:rsidP="00A35FB3">
            <w:pPr>
              <w:jc w:val="right"/>
            </w:pPr>
            <w:r w:rsidRPr="00DA001F">
              <w:t>41,8</w:t>
            </w:r>
          </w:p>
        </w:tc>
        <w:tc>
          <w:tcPr>
            <w:tcW w:w="906" w:type="dxa"/>
            <w:tcBorders>
              <w:top w:val="nil"/>
              <w:left w:val="nil"/>
              <w:bottom w:val="nil"/>
              <w:right w:val="nil"/>
            </w:tcBorders>
            <w:shd w:val="clear" w:color="auto" w:fill="auto"/>
            <w:noWrap/>
            <w:vAlign w:val="bottom"/>
            <w:hideMark/>
          </w:tcPr>
          <w:p w:rsidR="00A35FB3" w:rsidRPr="00DA001F" w:rsidRDefault="00A35FB3" w:rsidP="00A35FB3">
            <w:pPr>
              <w:jc w:val="right"/>
            </w:pPr>
            <w:r w:rsidRPr="00DA001F">
              <w:t>40,6</w:t>
            </w:r>
          </w:p>
        </w:tc>
        <w:tc>
          <w:tcPr>
            <w:tcW w:w="906" w:type="dxa"/>
            <w:tcBorders>
              <w:top w:val="nil"/>
              <w:left w:val="nil"/>
              <w:bottom w:val="nil"/>
              <w:right w:val="nil"/>
            </w:tcBorders>
            <w:shd w:val="clear" w:color="auto" w:fill="auto"/>
            <w:noWrap/>
            <w:vAlign w:val="bottom"/>
            <w:hideMark/>
          </w:tcPr>
          <w:p w:rsidR="00A35FB3" w:rsidRPr="00DA001F" w:rsidRDefault="00A35FB3" w:rsidP="00A35FB3">
            <w:pPr>
              <w:jc w:val="right"/>
            </w:pPr>
            <w:r w:rsidRPr="00DA001F">
              <w:t>39,2</w:t>
            </w:r>
          </w:p>
        </w:tc>
        <w:tc>
          <w:tcPr>
            <w:tcW w:w="906" w:type="dxa"/>
            <w:tcBorders>
              <w:top w:val="nil"/>
              <w:left w:val="nil"/>
              <w:bottom w:val="nil"/>
              <w:right w:val="nil"/>
            </w:tcBorders>
            <w:shd w:val="clear" w:color="auto" w:fill="auto"/>
            <w:noWrap/>
            <w:vAlign w:val="bottom"/>
            <w:hideMark/>
          </w:tcPr>
          <w:p w:rsidR="00A35FB3" w:rsidRPr="00DA001F" w:rsidRDefault="00A35FB3" w:rsidP="00A35FB3">
            <w:pPr>
              <w:jc w:val="right"/>
            </w:pPr>
            <w:r w:rsidRPr="00DA001F">
              <w:t>39,0</w:t>
            </w:r>
          </w:p>
        </w:tc>
        <w:tc>
          <w:tcPr>
            <w:tcW w:w="2003" w:type="dxa"/>
            <w:tcBorders>
              <w:top w:val="nil"/>
              <w:left w:val="single" w:sz="4" w:space="0" w:color="auto"/>
              <w:bottom w:val="nil"/>
              <w:right w:val="single" w:sz="4" w:space="0" w:color="auto"/>
            </w:tcBorders>
            <w:shd w:val="clear" w:color="auto" w:fill="auto"/>
            <w:noWrap/>
            <w:vAlign w:val="bottom"/>
            <w:hideMark/>
          </w:tcPr>
          <w:p w:rsidR="00A35FB3" w:rsidRPr="00DA001F" w:rsidRDefault="00A35FB3" w:rsidP="00A35FB3">
            <w:pPr>
              <w:jc w:val="center"/>
            </w:pPr>
            <w:r w:rsidRPr="00DA001F">
              <w:t>-11,3</w:t>
            </w:r>
          </w:p>
        </w:tc>
      </w:tr>
      <w:tr w:rsidR="00A35FB3" w:rsidRPr="00DA001F" w:rsidTr="001A60F2">
        <w:trPr>
          <w:trHeight w:val="230"/>
        </w:trPr>
        <w:tc>
          <w:tcPr>
            <w:tcW w:w="1643" w:type="dxa"/>
            <w:tcBorders>
              <w:top w:val="single" w:sz="4" w:space="0" w:color="auto"/>
              <w:left w:val="single" w:sz="4" w:space="0" w:color="auto"/>
              <w:bottom w:val="single" w:sz="4" w:space="0" w:color="auto"/>
              <w:right w:val="nil"/>
            </w:tcBorders>
            <w:shd w:val="clear" w:color="auto" w:fill="auto"/>
            <w:noWrap/>
            <w:vAlign w:val="bottom"/>
            <w:hideMark/>
          </w:tcPr>
          <w:p w:rsidR="00A35FB3" w:rsidRPr="00DA001F" w:rsidRDefault="00A35FB3" w:rsidP="00A35FB3">
            <w:pPr>
              <w:rPr>
                <w:b/>
                <w:bCs/>
              </w:rPr>
            </w:pPr>
            <w:r w:rsidRPr="00DA001F">
              <w:rPr>
                <w:b/>
                <w:bCs/>
              </w:rPr>
              <w:t>EDAD</w:t>
            </w:r>
          </w:p>
        </w:tc>
        <w:tc>
          <w:tcPr>
            <w:tcW w:w="906" w:type="dxa"/>
            <w:tcBorders>
              <w:top w:val="single" w:sz="4" w:space="0" w:color="auto"/>
              <w:left w:val="nil"/>
              <w:bottom w:val="single" w:sz="4" w:space="0" w:color="auto"/>
              <w:right w:val="nil"/>
            </w:tcBorders>
            <w:shd w:val="clear" w:color="auto" w:fill="auto"/>
            <w:noWrap/>
            <w:vAlign w:val="bottom"/>
            <w:hideMark/>
          </w:tcPr>
          <w:p w:rsidR="00A35FB3" w:rsidRPr="00DA001F" w:rsidRDefault="00A35FB3" w:rsidP="00A35FB3">
            <w:r w:rsidRPr="00DA001F">
              <w:t> </w:t>
            </w:r>
          </w:p>
        </w:tc>
        <w:tc>
          <w:tcPr>
            <w:tcW w:w="906" w:type="dxa"/>
            <w:tcBorders>
              <w:top w:val="single" w:sz="4" w:space="0" w:color="auto"/>
              <w:left w:val="nil"/>
              <w:bottom w:val="single" w:sz="4" w:space="0" w:color="auto"/>
              <w:right w:val="nil"/>
            </w:tcBorders>
            <w:shd w:val="clear" w:color="auto" w:fill="auto"/>
            <w:noWrap/>
            <w:vAlign w:val="bottom"/>
            <w:hideMark/>
          </w:tcPr>
          <w:p w:rsidR="00A35FB3" w:rsidRPr="00DA001F" w:rsidRDefault="00A35FB3" w:rsidP="00A35FB3">
            <w:r w:rsidRPr="00DA001F">
              <w:t> </w:t>
            </w:r>
          </w:p>
        </w:tc>
        <w:tc>
          <w:tcPr>
            <w:tcW w:w="906" w:type="dxa"/>
            <w:tcBorders>
              <w:top w:val="single" w:sz="4" w:space="0" w:color="auto"/>
              <w:left w:val="nil"/>
              <w:bottom w:val="single" w:sz="4" w:space="0" w:color="auto"/>
              <w:right w:val="nil"/>
            </w:tcBorders>
            <w:shd w:val="clear" w:color="auto" w:fill="auto"/>
            <w:noWrap/>
            <w:vAlign w:val="bottom"/>
            <w:hideMark/>
          </w:tcPr>
          <w:p w:rsidR="00A35FB3" w:rsidRPr="00DA001F" w:rsidRDefault="00A35FB3" w:rsidP="00A35FB3">
            <w:r w:rsidRPr="00DA001F">
              <w:t> </w:t>
            </w:r>
          </w:p>
        </w:tc>
        <w:tc>
          <w:tcPr>
            <w:tcW w:w="906" w:type="dxa"/>
            <w:tcBorders>
              <w:top w:val="single" w:sz="4" w:space="0" w:color="auto"/>
              <w:left w:val="nil"/>
              <w:bottom w:val="single" w:sz="4" w:space="0" w:color="auto"/>
              <w:right w:val="nil"/>
            </w:tcBorders>
            <w:shd w:val="clear" w:color="auto" w:fill="auto"/>
            <w:noWrap/>
            <w:vAlign w:val="bottom"/>
            <w:hideMark/>
          </w:tcPr>
          <w:p w:rsidR="00A35FB3" w:rsidRPr="00DA001F" w:rsidRDefault="00A35FB3" w:rsidP="00A35FB3">
            <w:r w:rsidRPr="00DA001F">
              <w:t> </w:t>
            </w:r>
          </w:p>
        </w:tc>
        <w:tc>
          <w:tcPr>
            <w:tcW w:w="906" w:type="dxa"/>
            <w:tcBorders>
              <w:top w:val="single" w:sz="4" w:space="0" w:color="auto"/>
              <w:left w:val="nil"/>
              <w:bottom w:val="single" w:sz="4" w:space="0" w:color="auto"/>
              <w:right w:val="nil"/>
            </w:tcBorders>
            <w:shd w:val="clear" w:color="auto" w:fill="auto"/>
            <w:noWrap/>
            <w:vAlign w:val="bottom"/>
            <w:hideMark/>
          </w:tcPr>
          <w:p w:rsidR="00A35FB3" w:rsidRPr="00DA001F" w:rsidRDefault="00A35FB3" w:rsidP="00A35FB3">
            <w:r w:rsidRPr="00DA001F">
              <w:t> </w:t>
            </w:r>
          </w:p>
        </w:tc>
        <w:tc>
          <w:tcPr>
            <w:tcW w:w="906" w:type="dxa"/>
            <w:tcBorders>
              <w:top w:val="single" w:sz="4" w:space="0" w:color="auto"/>
              <w:left w:val="nil"/>
              <w:bottom w:val="single" w:sz="4" w:space="0" w:color="auto"/>
              <w:right w:val="nil"/>
            </w:tcBorders>
            <w:shd w:val="clear" w:color="auto" w:fill="auto"/>
            <w:noWrap/>
            <w:vAlign w:val="bottom"/>
            <w:hideMark/>
          </w:tcPr>
          <w:p w:rsidR="00A35FB3" w:rsidRPr="00DA001F" w:rsidRDefault="00A35FB3" w:rsidP="00A35FB3">
            <w:r w:rsidRPr="00DA001F">
              <w:t> </w:t>
            </w:r>
          </w:p>
        </w:tc>
        <w:tc>
          <w:tcPr>
            <w:tcW w:w="2003" w:type="dxa"/>
            <w:tcBorders>
              <w:top w:val="nil"/>
              <w:left w:val="single" w:sz="4" w:space="0" w:color="auto"/>
              <w:bottom w:val="nil"/>
              <w:right w:val="single" w:sz="4" w:space="0" w:color="auto"/>
            </w:tcBorders>
            <w:shd w:val="clear" w:color="auto" w:fill="auto"/>
            <w:noWrap/>
            <w:vAlign w:val="bottom"/>
            <w:hideMark/>
          </w:tcPr>
          <w:p w:rsidR="00A35FB3" w:rsidRPr="00DA001F" w:rsidRDefault="00A35FB3" w:rsidP="00A35FB3">
            <w:pPr>
              <w:jc w:val="center"/>
            </w:pPr>
            <w:r w:rsidRPr="00DA001F">
              <w:t> </w:t>
            </w:r>
          </w:p>
        </w:tc>
      </w:tr>
      <w:tr w:rsidR="00A35FB3" w:rsidRPr="00DA001F" w:rsidTr="001A60F2">
        <w:trPr>
          <w:trHeight w:val="230"/>
        </w:trPr>
        <w:tc>
          <w:tcPr>
            <w:tcW w:w="1643" w:type="dxa"/>
            <w:tcBorders>
              <w:top w:val="nil"/>
              <w:left w:val="single" w:sz="4" w:space="0" w:color="auto"/>
              <w:bottom w:val="nil"/>
              <w:right w:val="nil"/>
            </w:tcBorders>
            <w:shd w:val="clear" w:color="auto" w:fill="auto"/>
            <w:noWrap/>
            <w:vAlign w:val="bottom"/>
            <w:hideMark/>
          </w:tcPr>
          <w:p w:rsidR="00A35FB3" w:rsidRPr="00DA001F" w:rsidRDefault="00A35FB3" w:rsidP="00A35FB3">
            <w:r w:rsidRPr="00DA001F">
              <w:t>16-19</w:t>
            </w:r>
          </w:p>
        </w:tc>
        <w:tc>
          <w:tcPr>
            <w:tcW w:w="906" w:type="dxa"/>
            <w:tcBorders>
              <w:top w:val="nil"/>
              <w:left w:val="nil"/>
              <w:bottom w:val="nil"/>
              <w:right w:val="nil"/>
            </w:tcBorders>
            <w:shd w:val="clear" w:color="auto" w:fill="auto"/>
            <w:noWrap/>
            <w:vAlign w:val="bottom"/>
            <w:hideMark/>
          </w:tcPr>
          <w:p w:rsidR="00A35FB3" w:rsidRPr="00DA001F" w:rsidRDefault="00A35FB3" w:rsidP="00A35FB3"/>
        </w:tc>
        <w:tc>
          <w:tcPr>
            <w:tcW w:w="906" w:type="dxa"/>
            <w:tcBorders>
              <w:top w:val="nil"/>
              <w:left w:val="nil"/>
              <w:bottom w:val="nil"/>
              <w:right w:val="nil"/>
            </w:tcBorders>
            <w:shd w:val="clear" w:color="auto" w:fill="auto"/>
            <w:noWrap/>
            <w:vAlign w:val="bottom"/>
            <w:hideMark/>
          </w:tcPr>
          <w:p w:rsidR="00A35FB3" w:rsidRPr="00DA001F" w:rsidRDefault="00A35FB3" w:rsidP="00A35FB3">
            <w:pPr>
              <w:jc w:val="right"/>
            </w:pPr>
            <w:r w:rsidRPr="00DA001F">
              <w:t>19,3</w:t>
            </w:r>
          </w:p>
        </w:tc>
        <w:tc>
          <w:tcPr>
            <w:tcW w:w="906" w:type="dxa"/>
            <w:tcBorders>
              <w:top w:val="nil"/>
              <w:left w:val="nil"/>
              <w:bottom w:val="nil"/>
              <w:right w:val="nil"/>
            </w:tcBorders>
            <w:shd w:val="clear" w:color="auto" w:fill="auto"/>
            <w:noWrap/>
            <w:vAlign w:val="bottom"/>
            <w:hideMark/>
          </w:tcPr>
          <w:p w:rsidR="00A35FB3" w:rsidRPr="00DA001F" w:rsidRDefault="00A35FB3" w:rsidP="00A35FB3">
            <w:pPr>
              <w:jc w:val="right"/>
            </w:pPr>
            <w:r w:rsidRPr="00DA001F">
              <w:t>8,9</w:t>
            </w:r>
          </w:p>
        </w:tc>
        <w:tc>
          <w:tcPr>
            <w:tcW w:w="906" w:type="dxa"/>
            <w:tcBorders>
              <w:top w:val="nil"/>
              <w:left w:val="nil"/>
              <w:bottom w:val="nil"/>
              <w:right w:val="nil"/>
            </w:tcBorders>
            <w:shd w:val="clear" w:color="auto" w:fill="auto"/>
            <w:noWrap/>
            <w:vAlign w:val="bottom"/>
            <w:hideMark/>
          </w:tcPr>
          <w:p w:rsidR="00A35FB3" w:rsidRPr="00DA001F" w:rsidRDefault="00A35FB3" w:rsidP="00A35FB3">
            <w:pPr>
              <w:jc w:val="right"/>
            </w:pPr>
            <w:r w:rsidRPr="00DA001F">
              <w:t>5,3</w:t>
            </w:r>
          </w:p>
        </w:tc>
        <w:tc>
          <w:tcPr>
            <w:tcW w:w="906" w:type="dxa"/>
            <w:tcBorders>
              <w:top w:val="nil"/>
              <w:left w:val="nil"/>
              <w:bottom w:val="nil"/>
              <w:right w:val="nil"/>
            </w:tcBorders>
            <w:shd w:val="clear" w:color="auto" w:fill="auto"/>
            <w:noWrap/>
            <w:vAlign w:val="bottom"/>
            <w:hideMark/>
          </w:tcPr>
          <w:p w:rsidR="00A35FB3" w:rsidRPr="00DA001F" w:rsidRDefault="00A35FB3" w:rsidP="00A35FB3">
            <w:pPr>
              <w:jc w:val="right"/>
            </w:pPr>
            <w:r w:rsidRPr="00DA001F">
              <w:t>3,9</w:t>
            </w:r>
          </w:p>
        </w:tc>
        <w:tc>
          <w:tcPr>
            <w:tcW w:w="906" w:type="dxa"/>
            <w:tcBorders>
              <w:top w:val="nil"/>
              <w:left w:val="nil"/>
              <w:bottom w:val="nil"/>
              <w:right w:val="nil"/>
            </w:tcBorders>
            <w:shd w:val="clear" w:color="auto" w:fill="auto"/>
            <w:noWrap/>
            <w:vAlign w:val="bottom"/>
            <w:hideMark/>
          </w:tcPr>
          <w:p w:rsidR="00A35FB3" w:rsidRPr="00DA001F" w:rsidRDefault="00A35FB3" w:rsidP="00A35FB3">
            <w:pPr>
              <w:jc w:val="right"/>
            </w:pPr>
            <w:r w:rsidRPr="00DA001F">
              <w:t>3,9</w:t>
            </w:r>
          </w:p>
        </w:tc>
        <w:tc>
          <w:tcPr>
            <w:tcW w:w="2003" w:type="dxa"/>
            <w:tcBorders>
              <w:top w:val="nil"/>
              <w:left w:val="single" w:sz="4" w:space="0" w:color="auto"/>
              <w:bottom w:val="nil"/>
              <w:right w:val="single" w:sz="4" w:space="0" w:color="auto"/>
            </w:tcBorders>
            <w:shd w:val="clear" w:color="auto" w:fill="auto"/>
            <w:noWrap/>
            <w:vAlign w:val="bottom"/>
            <w:hideMark/>
          </w:tcPr>
          <w:p w:rsidR="00A35FB3" w:rsidRPr="00DA001F" w:rsidRDefault="00A35FB3" w:rsidP="00A35FB3">
            <w:pPr>
              <w:jc w:val="center"/>
              <w:rPr>
                <w:b/>
              </w:rPr>
            </w:pPr>
            <w:r w:rsidRPr="00DA001F">
              <w:rPr>
                <w:b/>
              </w:rPr>
              <w:t>-79,9</w:t>
            </w:r>
          </w:p>
        </w:tc>
      </w:tr>
      <w:tr w:rsidR="00A35FB3" w:rsidRPr="00DA001F" w:rsidTr="001A60F2">
        <w:trPr>
          <w:trHeight w:val="230"/>
        </w:trPr>
        <w:tc>
          <w:tcPr>
            <w:tcW w:w="1643" w:type="dxa"/>
            <w:tcBorders>
              <w:top w:val="nil"/>
              <w:left w:val="single" w:sz="4" w:space="0" w:color="auto"/>
              <w:bottom w:val="nil"/>
              <w:right w:val="nil"/>
            </w:tcBorders>
            <w:shd w:val="clear" w:color="auto" w:fill="auto"/>
            <w:noWrap/>
            <w:vAlign w:val="bottom"/>
            <w:hideMark/>
          </w:tcPr>
          <w:p w:rsidR="00A35FB3" w:rsidRPr="00DA001F" w:rsidRDefault="00A35FB3" w:rsidP="00A35FB3">
            <w:r w:rsidRPr="00DA001F">
              <w:t>20-24</w:t>
            </w:r>
          </w:p>
        </w:tc>
        <w:tc>
          <w:tcPr>
            <w:tcW w:w="906" w:type="dxa"/>
            <w:tcBorders>
              <w:top w:val="nil"/>
              <w:left w:val="nil"/>
              <w:bottom w:val="nil"/>
              <w:right w:val="nil"/>
            </w:tcBorders>
            <w:shd w:val="clear" w:color="auto" w:fill="auto"/>
            <w:noWrap/>
            <w:vAlign w:val="bottom"/>
            <w:hideMark/>
          </w:tcPr>
          <w:p w:rsidR="00A35FB3" w:rsidRPr="00DA001F" w:rsidRDefault="00A35FB3" w:rsidP="00A35FB3"/>
        </w:tc>
        <w:tc>
          <w:tcPr>
            <w:tcW w:w="906" w:type="dxa"/>
            <w:tcBorders>
              <w:top w:val="nil"/>
              <w:left w:val="nil"/>
              <w:bottom w:val="nil"/>
              <w:right w:val="nil"/>
            </w:tcBorders>
            <w:shd w:val="clear" w:color="auto" w:fill="auto"/>
            <w:noWrap/>
            <w:vAlign w:val="bottom"/>
            <w:hideMark/>
          </w:tcPr>
          <w:p w:rsidR="00A35FB3" w:rsidRPr="00DA001F" w:rsidRDefault="00A35FB3" w:rsidP="00A35FB3">
            <w:pPr>
              <w:jc w:val="right"/>
            </w:pPr>
            <w:r w:rsidRPr="00DA001F">
              <w:t>56,7</w:t>
            </w:r>
          </w:p>
        </w:tc>
        <w:tc>
          <w:tcPr>
            <w:tcW w:w="906" w:type="dxa"/>
            <w:tcBorders>
              <w:top w:val="nil"/>
              <w:left w:val="nil"/>
              <w:bottom w:val="nil"/>
              <w:right w:val="nil"/>
            </w:tcBorders>
            <w:shd w:val="clear" w:color="auto" w:fill="auto"/>
            <w:noWrap/>
            <w:vAlign w:val="bottom"/>
            <w:hideMark/>
          </w:tcPr>
          <w:p w:rsidR="00A35FB3" w:rsidRPr="00DA001F" w:rsidRDefault="00A35FB3" w:rsidP="00A35FB3">
            <w:pPr>
              <w:jc w:val="right"/>
            </w:pPr>
            <w:r w:rsidRPr="00DA001F">
              <w:t>42,3</w:t>
            </w:r>
          </w:p>
        </w:tc>
        <w:tc>
          <w:tcPr>
            <w:tcW w:w="906" w:type="dxa"/>
            <w:tcBorders>
              <w:top w:val="nil"/>
              <w:left w:val="nil"/>
              <w:bottom w:val="nil"/>
              <w:right w:val="nil"/>
            </w:tcBorders>
            <w:shd w:val="clear" w:color="auto" w:fill="auto"/>
            <w:noWrap/>
            <w:vAlign w:val="bottom"/>
            <w:hideMark/>
          </w:tcPr>
          <w:p w:rsidR="00A35FB3" w:rsidRPr="00DA001F" w:rsidRDefault="00A35FB3" w:rsidP="00A35FB3">
            <w:pPr>
              <w:jc w:val="right"/>
            </w:pPr>
            <w:r w:rsidRPr="00DA001F">
              <w:t>34,2</w:t>
            </w:r>
          </w:p>
        </w:tc>
        <w:tc>
          <w:tcPr>
            <w:tcW w:w="906" w:type="dxa"/>
            <w:tcBorders>
              <w:top w:val="nil"/>
              <w:left w:val="nil"/>
              <w:bottom w:val="nil"/>
              <w:right w:val="nil"/>
            </w:tcBorders>
            <w:shd w:val="clear" w:color="auto" w:fill="auto"/>
            <w:noWrap/>
            <w:vAlign w:val="bottom"/>
            <w:hideMark/>
          </w:tcPr>
          <w:p w:rsidR="00A35FB3" w:rsidRPr="00DA001F" w:rsidRDefault="00A35FB3" w:rsidP="00A35FB3">
            <w:pPr>
              <w:jc w:val="right"/>
            </w:pPr>
            <w:r w:rsidRPr="00DA001F">
              <w:t>28,9</w:t>
            </w:r>
          </w:p>
        </w:tc>
        <w:tc>
          <w:tcPr>
            <w:tcW w:w="906" w:type="dxa"/>
            <w:tcBorders>
              <w:top w:val="nil"/>
              <w:left w:val="nil"/>
              <w:bottom w:val="nil"/>
              <w:right w:val="nil"/>
            </w:tcBorders>
            <w:shd w:val="clear" w:color="auto" w:fill="auto"/>
            <w:noWrap/>
            <w:vAlign w:val="bottom"/>
            <w:hideMark/>
          </w:tcPr>
          <w:p w:rsidR="00A35FB3" w:rsidRPr="00DA001F" w:rsidRDefault="00A35FB3" w:rsidP="00A35FB3">
            <w:pPr>
              <w:jc w:val="right"/>
            </w:pPr>
            <w:r w:rsidRPr="00DA001F">
              <w:t>28,5</w:t>
            </w:r>
          </w:p>
        </w:tc>
        <w:tc>
          <w:tcPr>
            <w:tcW w:w="2003" w:type="dxa"/>
            <w:tcBorders>
              <w:top w:val="nil"/>
              <w:left w:val="single" w:sz="4" w:space="0" w:color="auto"/>
              <w:bottom w:val="nil"/>
              <w:right w:val="single" w:sz="4" w:space="0" w:color="auto"/>
            </w:tcBorders>
            <w:shd w:val="clear" w:color="auto" w:fill="auto"/>
            <w:noWrap/>
            <w:vAlign w:val="bottom"/>
            <w:hideMark/>
          </w:tcPr>
          <w:p w:rsidR="00A35FB3" w:rsidRPr="00DA001F" w:rsidRDefault="00A35FB3" w:rsidP="00A35FB3">
            <w:pPr>
              <w:jc w:val="center"/>
            </w:pPr>
            <w:r w:rsidRPr="00DA001F">
              <w:t>-49,7</w:t>
            </w:r>
          </w:p>
        </w:tc>
      </w:tr>
      <w:tr w:rsidR="00A35FB3" w:rsidRPr="00DA001F" w:rsidTr="001A60F2">
        <w:trPr>
          <w:trHeight w:val="230"/>
        </w:trPr>
        <w:tc>
          <w:tcPr>
            <w:tcW w:w="1643" w:type="dxa"/>
            <w:tcBorders>
              <w:top w:val="nil"/>
              <w:left w:val="single" w:sz="4" w:space="0" w:color="auto"/>
              <w:bottom w:val="nil"/>
              <w:right w:val="nil"/>
            </w:tcBorders>
            <w:shd w:val="clear" w:color="auto" w:fill="auto"/>
            <w:noWrap/>
            <w:vAlign w:val="bottom"/>
            <w:hideMark/>
          </w:tcPr>
          <w:p w:rsidR="00A35FB3" w:rsidRPr="00DA001F" w:rsidRDefault="00A35FB3" w:rsidP="00A35FB3">
            <w:r w:rsidRPr="00DA001F">
              <w:t>25-54</w:t>
            </w:r>
          </w:p>
        </w:tc>
        <w:tc>
          <w:tcPr>
            <w:tcW w:w="906" w:type="dxa"/>
            <w:tcBorders>
              <w:top w:val="nil"/>
              <w:left w:val="nil"/>
              <w:bottom w:val="nil"/>
              <w:right w:val="nil"/>
            </w:tcBorders>
            <w:shd w:val="clear" w:color="auto" w:fill="auto"/>
            <w:noWrap/>
            <w:vAlign w:val="bottom"/>
            <w:hideMark/>
          </w:tcPr>
          <w:p w:rsidR="00A35FB3" w:rsidRPr="00DA001F" w:rsidRDefault="00A35FB3" w:rsidP="00A35FB3"/>
        </w:tc>
        <w:tc>
          <w:tcPr>
            <w:tcW w:w="906" w:type="dxa"/>
            <w:tcBorders>
              <w:top w:val="nil"/>
              <w:left w:val="nil"/>
              <w:bottom w:val="nil"/>
              <w:right w:val="nil"/>
            </w:tcBorders>
            <w:shd w:val="clear" w:color="auto" w:fill="auto"/>
            <w:noWrap/>
            <w:vAlign w:val="bottom"/>
            <w:hideMark/>
          </w:tcPr>
          <w:p w:rsidR="00A35FB3" w:rsidRPr="00DA001F" w:rsidRDefault="00A35FB3" w:rsidP="00A35FB3">
            <w:pPr>
              <w:jc w:val="right"/>
            </w:pPr>
            <w:r w:rsidRPr="00DA001F">
              <w:t>76,9</w:t>
            </w:r>
          </w:p>
        </w:tc>
        <w:tc>
          <w:tcPr>
            <w:tcW w:w="906" w:type="dxa"/>
            <w:tcBorders>
              <w:top w:val="nil"/>
              <w:left w:val="nil"/>
              <w:bottom w:val="nil"/>
              <w:right w:val="nil"/>
            </w:tcBorders>
            <w:shd w:val="clear" w:color="auto" w:fill="auto"/>
            <w:noWrap/>
            <w:vAlign w:val="bottom"/>
            <w:hideMark/>
          </w:tcPr>
          <w:p w:rsidR="00A35FB3" w:rsidRPr="00DA001F" w:rsidRDefault="00A35FB3" w:rsidP="00A35FB3">
            <w:pPr>
              <w:jc w:val="right"/>
            </w:pPr>
            <w:r w:rsidRPr="00DA001F">
              <w:t>70,1</w:t>
            </w:r>
          </w:p>
        </w:tc>
        <w:tc>
          <w:tcPr>
            <w:tcW w:w="906" w:type="dxa"/>
            <w:tcBorders>
              <w:top w:val="nil"/>
              <w:left w:val="nil"/>
              <w:bottom w:val="nil"/>
              <w:right w:val="nil"/>
            </w:tcBorders>
            <w:shd w:val="clear" w:color="auto" w:fill="auto"/>
            <w:noWrap/>
            <w:vAlign w:val="bottom"/>
            <w:hideMark/>
          </w:tcPr>
          <w:p w:rsidR="00A35FB3" w:rsidRPr="00DA001F" w:rsidRDefault="00A35FB3" w:rsidP="00A35FB3">
            <w:pPr>
              <w:jc w:val="right"/>
            </w:pPr>
            <w:r w:rsidRPr="00DA001F">
              <w:t>67,8</w:t>
            </w:r>
          </w:p>
        </w:tc>
        <w:tc>
          <w:tcPr>
            <w:tcW w:w="906" w:type="dxa"/>
            <w:tcBorders>
              <w:top w:val="nil"/>
              <w:left w:val="nil"/>
              <w:bottom w:val="nil"/>
              <w:right w:val="nil"/>
            </w:tcBorders>
            <w:shd w:val="clear" w:color="auto" w:fill="auto"/>
            <w:noWrap/>
            <w:vAlign w:val="bottom"/>
            <w:hideMark/>
          </w:tcPr>
          <w:p w:rsidR="00A35FB3" w:rsidRPr="00DA001F" w:rsidRDefault="00A35FB3" w:rsidP="00A35FB3">
            <w:pPr>
              <w:jc w:val="right"/>
            </w:pPr>
            <w:r w:rsidRPr="00DA001F">
              <w:t>65,6</w:t>
            </w:r>
          </w:p>
        </w:tc>
        <w:tc>
          <w:tcPr>
            <w:tcW w:w="906" w:type="dxa"/>
            <w:tcBorders>
              <w:top w:val="nil"/>
              <w:left w:val="nil"/>
              <w:bottom w:val="nil"/>
              <w:right w:val="nil"/>
            </w:tcBorders>
            <w:shd w:val="clear" w:color="auto" w:fill="auto"/>
            <w:noWrap/>
            <w:vAlign w:val="bottom"/>
            <w:hideMark/>
          </w:tcPr>
          <w:p w:rsidR="00A35FB3" w:rsidRPr="00DA001F" w:rsidRDefault="00A35FB3" w:rsidP="00A35FB3">
            <w:pPr>
              <w:jc w:val="right"/>
            </w:pPr>
            <w:r w:rsidRPr="00DA001F">
              <w:t>65,7</w:t>
            </w:r>
          </w:p>
        </w:tc>
        <w:tc>
          <w:tcPr>
            <w:tcW w:w="2003" w:type="dxa"/>
            <w:tcBorders>
              <w:top w:val="nil"/>
              <w:left w:val="single" w:sz="4" w:space="0" w:color="auto"/>
              <w:bottom w:val="nil"/>
              <w:right w:val="single" w:sz="4" w:space="0" w:color="auto"/>
            </w:tcBorders>
            <w:shd w:val="clear" w:color="auto" w:fill="auto"/>
            <w:noWrap/>
            <w:vAlign w:val="bottom"/>
            <w:hideMark/>
          </w:tcPr>
          <w:p w:rsidR="00A35FB3" w:rsidRPr="00DA001F" w:rsidRDefault="00A35FB3" w:rsidP="00A35FB3">
            <w:pPr>
              <w:jc w:val="center"/>
            </w:pPr>
            <w:r w:rsidRPr="00DA001F">
              <w:t>-14,5</w:t>
            </w:r>
          </w:p>
        </w:tc>
      </w:tr>
      <w:tr w:rsidR="00A35FB3" w:rsidRPr="00DA001F" w:rsidTr="001A60F2">
        <w:trPr>
          <w:trHeight w:val="230"/>
        </w:trPr>
        <w:tc>
          <w:tcPr>
            <w:tcW w:w="1643" w:type="dxa"/>
            <w:tcBorders>
              <w:top w:val="nil"/>
              <w:left w:val="single" w:sz="4" w:space="0" w:color="auto"/>
              <w:bottom w:val="nil"/>
              <w:right w:val="nil"/>
            </w:tcBorders>
            <w:shd w:val="clear" w:color="auto" w:fill="auto"/>
            <w:noWrap/>
            <w:vAlign w:val="bottom"/>
            <w:hideMark/>
          </w:tcPr>
          <w:p w:rsidR="00A35FB3" w:rsidRPr="00DA001F" w:rsidRDefault="00A35FB3" w:rsidP="00A35FB3">
            <w:r w:rsidRPr="00DA001F">
              <w:t>55 y más</w:t>
            </w:r>
          </w:p>
        </w:tc>
        <w:tc>
          <w:tcPr>
            <w:tcW w:w="906" w:type="dxa"/>
            <w:tcBorders>
              <w:top w:val="nil"/>
              <w:left w:val="nil"/>
              <w:bottom w:val="nil"/>
              <w:right w:val="nil"/>
            </w:tcBorders>
            <w:shd w:val="clear" w:color="auto" w:fill="auto"/>
            <w:noWrap/>
            <w:vAlign w:val="bottom"/>
            <w:hideMark/>
          </w:tcPr>
          <w:p w:rsidR="00A35FB3" w:rsidRPr="00DA001F" w:rsidRDefault="00A35FB3" w:rsidP="00A35FB3"/>
        </w:tc>
        <w:tc>
          <w:tcPr>
            <w:tcW w:w="906" w:type="dxa"/>
            <w:tcBorders>
              <w:top w:val="nil"/>
              <w:left w:val="nil"/>
              <w:bottom w:val="nil"/>
              <w:right w:val="nil"/>
            </w:tcBorders>
            <w:shd w:val="clear" w:color="auto" w:fill="auto"/>
            <w:noWrap/>
            <w:vAlign w:val="bottom"/>
            <w:hideMark/>
          </w:tcPr>
          <w:p w:rsidR="00A35FB3" w:rsidRPr="00DA001F" w:rsidRDefault="00A35FB3" w:rsidP="00A35FB3">
            <w:pPr>
              <w:jc w:val="right"/>
            </w:pPr>
            <w:r w:rsidRPr="00DA001F">
              <w:t>19,0</w:t>
            </w:r>
          </w:p>
        </w:tc>
        <w:tc>
          <w:tcPr>
            <w:tcW w:w="906" w:type="dxa"/>
            <w:tcBorders>
              <w:top w:val="nil"/>
              <w:left w:val="nil"/>
              <w:bottom w:val="nil"/>
              <w:right w:val="nil"/>
            </w:tcBorders>
            <w:shd w:val="clear" w:color="auto" w:fill="auto"/>
            <w:noWrap/>
            <w:vAlign w:val="bottom"/>
            <w:hideMark/>
          </w:tcPr>
          <w:p w:rsidR="00A35FB3" w:rsidRPr="00DA001F" w:rsidRDefault="00A35FB3" w:rsidP="00A35FB3">
            <w:pPr>
              <w:jc w:val="right"/>
            </w:pPr>
            <w:r w:rsidRPr="00DA001F">
              <w:t>18,6</w:t>
            </w:r>
          </w:p>
        </w:tc>
        <w:tc>
          <w:tcPr>
            <w:tcW w:w="906" w:type="dxa"/>
            <w:tcBorders>
              <w:top w:val="nil"/>
              <w:left w:val="nil"/>
              <w:bottom w:val="nil"/>
              <w:right w:val="nil"/>
            </w:tcBorders>
            <w:shd w:val="clear" w:color="auto" w:fill="auto"/>
            <w:noWrap/>
            <w:vAlign w:val="bottom"/>
            <w:hideMark/>
          </w:tcPr>
          <w:p w:rsidR="00A35FB3" w:rsidRPr="00DA001F" w:rsidRDefault="00A35FB3" w:rsidP="00A35FB3">
            <w:pPr>
              <w:jc w:val="right"/>
            </w:pPr>
            <w:r w:rsidRPr="00DA001F">
              <w:t>18,7</w:t>
            </w:r>
          </w:p>
        </w:tc>
        <w:tc>
          <w:tcPr>
            <w:tcW w:w="906" w:type="dxa"/>
            <w:tcBorders>
              <w:top w:val="nil"/>
              <w:left w:val="nil"/>
              <w:bottom w:val="nil"/>
              <w:right w:val="nil"/>
            </w:tcBorders>
            <w:shd w:val="clear" w:color="auto" w:fill="auto"/>
            <w:noWrap/>
            <w:vAlign w:val="bottom"/>
            <w:hideMark/>
          </w:tcPr>
          <w:p w:rsidR="00A35FB3" w:rsidRPr="00DA001F" w:rsidRDefault="00A35FB3" w:rsidP="00A35FB3">
            <w:pPr>
              <w:jc w:val="right"/>
            </w:pPr>
            <w:r w:rsidRPr="00DA001F">
              <w:t>18,4</w:t>
            </w:r>
          </w:p>
        </w:tc>
        <w:tc>
          <w:tcPr>
            <w:tcW w:w="906" w:type="dxa"/>
            <w:tcBorders>
              <w:top w:val="nil"/>
              <w:left w:val="nil"/>
              <w:bottom w:val="nil"/>
              <w:right w:val="nil"/>
            </w:tcBorders>
            <w:shd w:val="clear" w:color="auto" w:fill="auto"/>
            <w:noWrap/>
            <w:vAlign w:val="bottom"/>
            <w:hideMark/>
          </w:tcPr>
          <w:p w:rsidR="00A35FB3" w:rsidRPr="00DA001F" w:rsidRDefault="00A35FB3" w:rsidP="00A35FB3">
            <w:pPr>
              <w:jc w:val="right"/>
            </w:pPr>
            <w:r w:rsidRPr="00DA001F">
              <w:t>18,3</w:t>
            </w:r>
          </w:p>
        </w:tc>
        <w:tc>
          <w:tcPr>
            <w:tcW w:w="2003" w:type="dxa"/>
            <w:tcBorders>
              <w:top w:val="nil"/>
              <w:left w:val="single" w:sz="4" w:space="0" w:color="auto"/>
              <w:bottom w:val="nil"/>
              <w:right w:val="single" w:sz="4" w:space="0" w:color="auto"/>
            </w:tcBorders>
            <w:shd w:val="clear" w:color="auto" w:fill="auto"/>
            <w:noWrap/>
            <w:vAlign w:val="bottom"/>
            <w:hideMark/>
          </w:tcPr>
          <w:p w:rsidR="00A35FB3" w:rsidRPr="00DA001F" w:rsidRDefault="00A35FB3" w:rsidP="00A35FB3">
            <w:pPr>
              <w:jc w:val="center"/>
            </w:pPr>
            <w:r w:rsidRPr="00DA001F">
              <w:t>-4,0</w:t>
            </w:r>
          </w:p>
        </w:tc>
      </w:tr>
      <w:tr w:rsidR="00A35FB3" w:rsidRPr="00DA001F" w:rsidTr="001A60F2">
        <w:trPr>
          <w:trHeight w:val="230"/>
        </w:trPr>
        <w:tc>
          <w:tcPr>
            <w:tcW w:w="1643" w:type="dxa"/>
            <w:tcBorders>
              <w:top w:val="single" w:sz="4" w:space="0" w:color="auto"/>
              <w:left w:val="single" w:sz="4" w:space="0" w:color="auto"/>
              <w:bottom w:val="single" w:sz="4" w:space="0" w:color="auto"/>
              <w:right w:val="nil"/>
            </w:tcBorders>
            <w:shd w:val="clear" w:color="auto" w:fill="auto"/>
            <w:noWrap/>
            <w:vAlign w:val="bottom"/>
            <w:hideMark/>
          </w:tcPr>
          <w:p w:rsidR="00A35FB3" w:rsidRPr="00DA001F" w:rsidRDefault="00A35FB3" w:rsidP="00A35FB3">
            <w:pPr>
              <w:rPr>
                <w:b/>
                <w:bCs/>
              </w:rPr>
            </w:pPr>
            <w:r w:rsidRPr="00DA001F">
              <w:rPr>
                <w:b/>
                <w:bCs/>
              </w:rPr>
              <w:t>NIVEL EDUCATIVO</w:t>
            </w:r>
          </w:p>
        </w:tc>
        <w:tc>
          <w:tcPr>
            <w:tcW w:w="906" w:type="dxa"/>
            <w:tcBorders>
              <w:top w:val="single" w:sz="4" w:space="0" w:color="auto"/>
              <w:left w:val="nil"/>
              <w:bottom w:val="single" w:sz="4" w:space="0" w:color="auto"/>
              <w:right w:val="nil"/>
            </w:tcBorders>
            <w:shd w:val="clear" w:color="auto" w:fill="auto"/>
            <w:noWrap/>
            <w:vAlign w:val="bottom"/>
            <w:hideMark/>
          </w:tcPr>
          <w:p w:rsidR="00A35FB3" w:rsidRPr="00DA001F" w:rsidRDefault="00A35FB3" w:rsidP="00A35FB3">
            <w:r w:rsidRPr="00DA001F">
              <w:t> </w:t>
            </w:r>
          </w:p>
        </w:tc>
        <w:tc>
          <w:tcPr>
            <w:tcW w:w="906" w:type="dxa"/>
            <w:tcBorders>
              <w:top w:val="single" w:sz="4" w:space="0" w:color="auto"/>
              <w:left w:val="nil"/>
              <w:bottom w:val="single" w:sz="4" w:space="0" w:color="auto"/>
              <w:right w:val="nil"/>
            </w:tcBorders>
            <w:shd w:val="clear" w:color="auto" w:fill="auto"/>
            <w:noWrap/>
            <w:vAlign w:val="bottom"/>
            <w:hideMark/>
          </w:tcPr>
          <w:p w:rsidR="00A35FB3" w:rsidRPr="00DA001F" w:rsidRDefault="00A35FB3" w:rsidP="00A35FB3">
            <w:r w:rsidRPr="00DA001F">
              <w:t> </w:t>
            </w:r>
          </w:p>
        </w:tc>
        <w:tc>
          <w:tcPr>
            <w:tcW w:w="906" w:type="dxa"/>
            <w:tcBorders>
              <w:top w:val="single" w:sz="4" w:space="0" w:color="auto"/>
              <w:left w:val="nil"/>
              <w:bottom w:val="single" w:sz="4" w:space="0" w:color="auto"/>
              <w:right w:val="nil"/>
            </w:tcBorders>
            <w:shd w:val="clear" w:color="auto" w:fill="auto"/>
            <w:noWrap/>
            <w:vAlign w:val="bottom"/>
            <w:hideMark/>
          </w:tcPr>
          <w:p w:rsidR="00A35FB3" w:rsidRPr="00DA001F" w:rsidRDefault="00A35FB3" w:rsidP="00A35FB3">
            <w:r w:rsidRPr="00DA001F">
              <w:t> </w:t>
            </w:r>
          </w:p>
        </w:tc>
        <w:tc>
          <w:tcPr>
            <w:tcW w:w="906" w:type="dxa"/>
            <w:tcBorders>
              <w:top w:val="single" w:sz="4" w:space="0" w:color="auto"/>
              <w:left w:val="nil"/>
              <w:bottom w:val="single" w:sz="4" w:space="0" w:color="auto"/>
              <w:right w:val="nil"/>
            </w:tcBorders>
            <w:shd w:val="clear" w:color="auto" w:fill="auto"/>
            <w:noWrap/>
            <w:vAlign w:val="bottom"/>
            <w:hideMark/>
          </w:tcPr>
          <w:p w:rsidR="00A35FB3" w:rsidRPr="00DA001F" w:rsidRDefault="00A35FB3" w:rsidP="00A35FB3">
            <w:r w:rsidRPr="00DA001F">
              <w:t> </w:t>
            </w:r>
          </w:p>
        </w:tc>
        <w:tc>
          <w:tcPr>
            <w:tcW w:w="906" w:type="dxa"/>
            <w:tcBorders>
              <w:top w:val="single" w:sz="4" w:space="0" w:color="auto"/>
              <w:left w:val="nil"/>
              <w:bottom w:val="single" w:sz="4" w:space="0" w:color="auto"/>
              <w:right w:val="nil"/>
            </w:tcBorders>
            <w:shd w:val="clear" w:color="auto" w:fill="auto"/>
            <w:noWrap/>
            <w:vAlign w:val="bottom"/>
            <w:hideMark/>
          </w:tcPr>
          <w:p w:rsidR="00A35FB3" w:rsidRPr="00DA001F" w:rsidRDefault="00A35FB3" w:rsidP="00A35FB3">
            <w:r w:rsidRPr="00DA001F">
              <w:t> </w:t>
            </w:r>
          </w:p>
        </w:tc>
        <w:tc>
          <w:tcPr>
            <w:tcW w:w="906" w:type="dxa"/>
            <w:tcBorders>
              <w:top w:val="single" w:sz="4" w:space="0" w:color="auto"/>
              <w:left w:val="nil"/>
              <w:bottom w:val="single" w:sz="4" w:space="0" w:color="auto"/>
              <w:right w:val="nil"/>
            </w:tcBorders>
            <w:shd w:val="clear" w:color="auto" w:fill="auto"/>
            <w:noWrap/>
            <w:vAlign w:val="bottom"/>
            <w:hideMark/>
          </w:tcPr>
          <w:p w:rsidR="00A35FB3" w:rsidRPr="00DA001F" w:rsidRDefault="00A35FB3" w:rsidP="00A35FB3">
            <w:r w:rsidRPr="00DA001F">
              <w:t> </w:t>
            </w:r>
          </w:p>
        </w:tc>
        <w:tc>
          <w:tcPr>
            <w:tcW w:w="2003" w:type="dxa"/>
            <w:tcBorders>
              <w:top w:val="nil"/>
              <w:left w:val="single" w:sz="4" w:space="0" w:color="auto"/>
              <w:bottom w:val="nil"/>
              <w:right w:val="single" w:sz="4" w:space="0" w:color="auto"/>
            </w:tcBorders>
            <w:shd w:val="clear" w:color="auto" w:fill="auto"/>
            <w:noWrap/>
            <w:vAlign w:val="bottom"/>
            <w:hideMark/>
          </w:tcPr>
          <w:p w:rsidR="00A35FB3" w:rsidRPr="00DA001F" w:rsidRDefault="00A35FB3" w:rsidP="00A35FB3">
            <w:pPr>
              <w:jc w:val="center"/>
            </w:pPr>
            <w:r w:rsidRPr="00DA001F">
              <w:t> </w:t>
            </w:r>
          </w:p>
        </w:tc>
      </w:tr>
      <w:tr w:rsidR="00A35FB3" w:rsidRPr="00DA001F" w:rsidTr="001A60F2">
        <w:trPr>
          <w:trHeight w:val="230"/>
        </w:trPr>
        <w:tc>
          <w:tcPr>
            <w:tcW w:w="1643" w:type="dxa"/>
            <w:tcBorders>
              <w:top w:val="nil"/>
              <w:left w:val="single" w:sz="4" w:space="0" w:color="auto"/>
              <w:bottom w:val="nil"/>
              <w:right w:val="nil"/>
            </w:tcBorders>
            <w:shd w:val="clear" w:color="auto" w:fill="auto"/>
            <w:noWrap/>
            <w:vAlign w:val="bottom"/>
            <w:hideMark/>
          </w:tcPr>
          <w:p w:rsidR="00A35FB3" w:rsidRPr="00DA001F" w:rsidRDefault="00A35FB3" w:rsidP="00A35FB3">
            <w:r w:rsidRPr="00DA001F">
              <w:t>Bajo</w:t>
            </w:r>
          </w:p>
        </w:tc>
        <w:tc>
          <w:tcPr>
            <w:tcW w:w="906" w:type="dxa"/>
            <w:tcBorders>
              <w:top w:val="nil"/>
              <w:left w:val="nil"/>
              <w:bottom w:val="nil"/>
              <w:right w:val="nil"/>
            </w:tcBorders>
            <w:shd w:val="clear" w:color="auto" w:fill="auto"/>
            <w:noWrap/>
            <w:vAlign w:val="bottom"/>
            <w:hideMark/>
          </w:tcPr>
          <w:p w:rsidR="00A35FB3" w:rsidRPr="00DA001F" w:rsidRDefault="00A35FB3" w:rsidP="00A35FB3"/>
        </w:tc>
        <w:tc>
          <w:tcPr>
            <w:tcW w:w="906" w:type="dxa"/>
            <w:tcBorders>
              <w:top w:val="nil"/>
              <w:left w:val="nil"/>
              <w:bottom w:val="nil"/>
              <w:right w:val="nil"/>
            </w:tcBorders>
            <w:shd w:val="clear" w:color="auto" w:fill="auto"/>
            <w:noWrap/>
            <w:vAlign w:val="bottom"/>
            <w:hideMark/>
          </w:tcPr>
          <w:p w:rsidR="00A35FB3" w:rsidRPr="00DA001F" w:rsidRDefault="00A35FB3" w:rsidP="00A35FB3">
            <w:pPr>
              <w:jc w:val="right"/>
            </w:pPr>
            <w:r w:rsidRPr="00DA001F">
              <w:t>57,3</w:t>
            </w:r>
          </w:p>
        </w:tc>
        <w:tc>
          <w:tcPr>
            <w:tcW w:w="906" w:type="dxa"/>
            <w:tcBorders>
              <w:top w:val="nil"/>
              <w:left w:val="nil"/>
              <w:bottom w:val="nil"/>
              <w:right w:val="nil"/>
            </w:tcBorders>
            <w:shd w:val="clear" w:color="auto" w:fill="auto"/>
            <w:noWrap/>
            <w:vAlign w:val="bottom"/>
            <w:hideMark/>
          </w:tcPr>
          <w:p w:rsidR="00A35FB3" w:rsidRPr="00DA001F" w:rsidRDefault="00A35FB3" w:rsidP="00A35FB3">
            <w:pPr>
              <w:jc w:val="right"/>
            </w:pPr>
            <w:r w:rsidRPr="00DA001F">
              <w:t>48,7</w:t>
            </w:r>
          </w:p>
        </w:tc>
        <w:tc>
          <w:tcPr>
            <w:tcW w:w="906" w:type="dxa"/>
            <w:tcBorders>
              <w:top w:val="nil"/>
              <w:left w:val="nil"/>
              <w:bottom w:val="nil"/>
              <w:right w:val="nil"/>
            </w:tcBorders>
            <w:shd w:val="clear" w:color="auto" w:fill="auto"/>
            <w:noWrap/>
            <w:vAlign w:val="bottom"/>
            <w:hideMark/>
          </w:tcPr>
          <w:p w:rsidR="00A35FB3" w:rsidRPr="00DA001F" w:rsidRDefault="00A35FB3" w:rsidP="00A35FB3">
            <w:pPr>
              <w:jc w:val="right"/>
            </w:pPr>
            <w:r w:rsidRPr="00DA001F">
              <w:t>46,2</w:t>
            </w:r>
          </w:p>
        </w:tc>
        <w:tc>
          <w:tcPr>
            <w:tcW w:w="906" w:type="dxa"/>
            <w:tcBorders>
              <w:top w:val="nil"/>
              <w:left w:val="nil"/>
              <w:bottom w:val="nil"/>
              <w:right w:val="nil"/>
            </w:tcBorders>
            <w:shd w:val="clear" w:color="auto" w:fill="auto"/>
            <w:noWrap/>
            <w:vAlign w:val="bottom"/>
            <w:hideMark/>
          </w:tcPr>
          <w:p w:rsidR="00A35FB3" w:rsidRPr="00DA001F" w:rsidRDefault="00A35FB3" w:rsidP="00A35FB3">
            <w:pPr>
              <w:jc w:val="right"/>
            </w:pPr>
            <w:r w:rsidRPr="00DA001F">
              <w:t>43,2</w:t>
            </w:r>
          </w:p>
        </w:tc>
        <w:tc>
          <w:tcPr>
            <w:tcW w:w="906" w:type="dxa"/>
            <w:tcBorders>
              <w:top w:val="nil"/>
              <w:left w:val="nil"/>
              <w:bottom w:val="nil"/>
              <w:right w:val="nil"/>
            </w:tcBorders>
            <w:shd w:val="clear" w:color="auto" w:fill="auto"/>
            <w:noWrap/>
            <w:vAlign w:val="bottom"/>
            <w:hideMark/>
          </w:tcPr>
          <w:p w:rsidR="00A35FB3" w:rsidRPr="00DA001F" w:rsidRDefault="00A35FB3" w:rsidP="00A35FB3">
            <w:pPr>
              <w:jc w:val="right"/>
            </w:pPr>
            <w:r w:rsidRPr="00DA001F">
              <w:t>43,4</w:t>
            </w:r>
          </w:p>
        </w:tc>
        <w:tc>
          <w:tcPr>
            <w:tcW w:w="2003" w:type="dxa"/>
            <w:tcBorders>
              <w:top w:val="nil"/>
              <w:left w:val="single" w:sz="4" w:space="0" w:color="auto"/>
              <w:bottom w:val="nil"/>
              <w:right w:val="single" w:sz="4" w:space="0" w:color="auto"/>
            </w:tcBorders>
            <w:shd w:val="clear" w:color="auto" w:fill="auto"/>
            <w:noWrap/>
            <w:vAlign w:val="bottom"/>
            <w:hideMark/>
          </w:tcPr>
          <w:p w:rsidR="00A35FB3" w:rsidRPr="00DA001F" w:rsidRDefault="00A35FB3" w:rsidP="00A35FB3">
            <w:pPr>
              <w:jc w:val="center"/>
              <w:rPr>
                <w:b/>
              </w:rPr>
            </w:pPr>
            <w:r w:rsidRPr="00DA001F">
              <w:rPr>
                <w:b/>
              </w:rPr>
              <w:t>-24,3</w:t>
            </w:r>
          </w:p>
        </w:tc>
      </w:tr>
      <w:tr w:rsidR="00A35FB3" w:rsidRPr="00DA001F" w:rsidTr="001A60F2">
        <w:trPr>
          <w:trHeight w:val="230"/>
        </w:trPr>
        <w:tc>
          <w:tcPr>
            <w:tcW w:w="1643" w:type="dxa"/>
            <w:tcBorders>
              <w:top w:val="nil"/>
              <w:left w:val="single" w:sz="4" w:space="0" w:color="auto"/>
              <w:bottom w:val="nil"/>
              <w:right w:val="nil"/>
            </w:tcBorders>
            <w:shd w:val="clear" w:color="auto" w:fill="auto"/>
            <w:noWrap/>
            <w:vAlign w:val="bottom"/>
            <w:hideMark/>
          </w:tcPr>
          <w:p w:rsidR="00A35FB3" w:rsidRPr="00DA001F" w:rsidRDefault="00A35FB3" w:rsidP="00A35FB3">
            <w:r w:rsidRPr="00DA001F">
              <w:t>Medio</w:t>
            </w:r>
          </w:p>
        </w:tc>
        <w:tc>
          <w:tcPr>
            <w:tcW w:w="906" w:type="dxa"/>
            <w:tcBorders>
              <w:top w:val="nil"/>
              <w:left w:val="nil"/>
              <w:bottom w:val="nil"/>
              <w:right w:val="nil"/>
            </w:tcBorders>
            <w:shd w:val="clear" w:color="auto" w:fill="auto"/>
            <w:noWrap/>
            <w:vAlign w:val="bottom"/>
            <w:hideMark/>
          </w:tcPr>
          <w:p w:rsidR="00A35FB3" w:rsidRPr="00DA001F" w:rsidRDefault="00A35FB3" w:rsidP="00A35FB3"/>
        </w:tc>
        <w:tc>
          <w:tcPr>
            <w:tcW w:w="906" w:type="dxa"/>
            <w:tcBorders>
              <w:top w:val="nil"/>
              <w:left w:val="nil"/>
              <w:bottom w:val="nil"/>
              <w:right w:val="nil"/>
            </w:tcBorders>
            <w:shd w:val="clear" w:color="auto" w:fill="auto"/>
            <w:noWrap/>
            <w:vAlign w:val="bottom"/>
            <w:hideMark/>
          </w:tcPr>
          <w:p w:rsidR="00A35FB3" w:rsidRPr="00DA001F" w:rsidRDefault="00A35FB3" w:rsidP="00A35FB3">
            <w:pPr>
              <w:jc w:val="right"/>
            </w:pPr>
            <w:r w:rsidRPr="00DA001F">
              <w:t>68,1</w:t>
            </w:r>
          </w:p>
        </w:tc>
        <w:tc>
          <w:tcPr>
            <w:tcW w:w="906" w:type="dxa"/>
            <w:tcBorders>
              <w:top w:val="nil"/>
              <w:left w:val="nil"/>
              <w:bottom w:val="nil"/>
              <w:right w:val="nil"/>
            </w:tcBorders>
            <w:shd w:val="clear" w:color="auto" w:fill="auto"/>
            <w:noWrap/>
            <w:vAlign w:val="bottom"/>
            <w:hideMark/>
          </w:tcPr>
          <w:p w:rsidR="00A35FB3" w:rsidRPr="00DA001F" w:rsidRDefault="00A35FB3" w:rsidP="00A35FB3">
            <w:pPr>
              <w:jc w:val="right"/>
            </w:pPr>
            <w:r w:rsidRPr="00DA001F">
              <w:t>61,4</w:t>
            </w:r>
          </w:p>
        </w:tc>
        <w:tc>
          <w:tcPr>
            <w:tcW w:w="906" w:type="dxa"/>
            <w:tcBorders>
              <w:top w:val="nil"/>
              <w:left w:val="nil"/>
              <w:bottom w:val="nil"/>
              <w:right w:val="nil"/>
            </w:tcBorders>
            <w:shd w:val="clear" w:color="auto" w:fill="auto"/>
            <w:noWrap/>
            <w:vAlign w:val="bottom"/>
            <w:hideMark/>
          </w:tcPr>
          <w:p w:rsidR="00A35FB3" w:rsidRPr="00DA001F" w:rsidRDefault="00A35FB3" w:rsidP="00A35FB3">
            <w:pPr>
              <w:jc w:val="right"/>
            </w:pPr>
            <w:r w:rsidRPr="00DA001F">
              <w:t>57,6</w:t>
            </w:r>
          </w:p>
        </w:tc>
        <w:tc>
          <w:tcPr>
            <w:tcW w:w="906" w:type="dxa"/>
            <w:tcBorders>
              <w:top w:val="nil"/>
              <w:left w:val="nil"/>
              <w:bottom w:val="nil"/>
              <w:right w:val="nil"/>
            </w:tcBorders>
            <w:shd w:val="clear" w:color="auto" w:fill="auto"/>
            <w:noWrap/>
            <w:vAlign w:val="bottom"/>
            <w:hideMark/>
          </w:tcPr>
          <w:p w:rsidR="00A35FB3" w:rsidRPr="00DA001F" w:rsidRDefault="00A35FB3" w:rsidP="00A35FB3">
            <w:pPr>
              <w:jc w:val="right"/>
            </w:pPr>
            <w:r w:rsidRPr="00DA001F">
              <w:t>55,4</w:t>
            </w:r>
          </w:p>
        </w:tc>
        <w:tc>
          <w:tcPr>
            <w:tcW w:w="906" w:type="dxa"/>
            <w:tcBorders>
              <w:top w:val="nil"/>
              <w:left w:val="nil"/>
              <w:bottom w:val="nil"/>
              <w:right w:val="nil"/>
            </w:tcBorders>
            <w:shd w:val="clear" w:color="auto" w:fill="auto"/>
            <w:noWrap/>
            <w:vAlign w:val="bottom"/>
            <w:hideMark/>
          </w:tcPr>
          <w:p w:rsidR="00A35FB3" w:rsidRPr="00DA001F" w:rsidRDefault="00A35FB3" w:rsidP="00A35FB3">
            <w:pPr>
              <w:jc w:val="right"/>
            </w:pPr>
            <w:r w:rsidRPr="00DA001F">
              <w:t>54,6</w:t>
            </w:r>
          </w:p>
        </w:tc>
        <w:tc>
          <w:tcPr>
            <w:tcW w:w="2003" w:type="dxa"/>
            <w:tcBorders>
              <w:top w:val="nil"/>
              <w:left w:val="single" w:sz="4" w:space="0" w:color="auto"/>
              <w:bottom w:val="nil"/>
              <w:right w:val="single" w:sz="4" w:space="0" w:color="auto"/>
            </w:tcBorders>
            <w:shd w:val="clear" w:color="auto" w:fill="auto"/>
            <w:noWrap/>
            <w:vAlign w:val="bottom"/>
            <w:hideMark/>
          </w:tcPr>
          <w:p w:rsidR="00A35FB3" w:rsidRPr="00DA001F" w:rsidRDefault="00A35FB3" w:rsidP="00A35FB3">
            <w:pPr>
              <w:jc w:val="center"/>
            </w:pPr>
            <w:r w:rsidRPr="00DA001F">
              <w:t>-19,8</w:t>
            </w:r>
          </w:p>
        </w:tc>
      </w:tr>
      <w:tr w:rsidR="00A35FB3" w:rsidRPr="00DA001F" w:rsidTr="001A60F2">
        <w:trPr>
          <w:trHeight w:val="230"/>
        </w:trPr>
        <w:tc>
          <w:tcPr>
            <w:tcW w:w="1643" w:type="dxa"/>
            <w:tcBorders>
              <w:top w:val="nil"/>
              <w:left w:val="single" w:sz="4" w:space="0" w:color="auto"/>
              <w:bottom w:val="nil"/>
              <w:right w:val="nil"/>
            </w:tcBorders>
            <w:shd w:val="clear" w:color="auto" w:fill="auto"/>
            <w:noWrap/>
            <w:vAlign w:val="bottom"/>
            <w:hideMark/>
          </w:tcPr>
          <w:p w:rsidR="00A35FB3" w:rsidRPr="00DA001F" w:rsidRDefault="00A35FB3" w:rsidP="00A35FB3">
            <w:r w:rsidRPr="00DA001F">
              <w:t>Alto</w:t>
            </w:r>
          </w:p>
        </w:tc>
        <w:tc>
          <w:tcPr>
            <w:tcW w:w="906" w:type="dxa"/>
            <w:tcBorders>
              <w:top w:val="nil"/>
              <w:left w:val="nil"/>
              <w:bottom w:val="nil"/>
              <w:right w:val="nil"/>
            </w:tcBorders>
            <w:shd w:val="clear" w:color="auto" w:fill="auto"/>
            <w:noWrap/>
            <w:vAlign w:val="bottom"/>
            <w:hideMark/>
          </w:tcPr>
          <w:p w:rsidR="00A35FB3" w:rsidRPr="00DA001F" w:rsidRDefault="00A35FB3" w:rsidP="00A35FB3"/>
        </w:tc>
        <w:tc>
          <w:tcPr>
            <w:tcW w:w="906" w:type="dxa"/>
            <w:tcBorders>
              <w:top w:val="nil"/>
              <w:left w:val="nil"/>
              <w:bottom w:val="nil"/>
              <w:right w:val="nil"/>
            </w:tcBorders>
            <w:shd w:val="clear" w:color="auto" w:fill="auto"/>
            <w:noWrap/>
            <w:vAlign w:val="bottom"/>
            <w:hideMark/>
          </w:tcPr>
          <w:p w:rsidR="00A35FB3" w:rsidRPr="00DA001F" w:rsidRDefault="00A35FB3" w:rsidP="00A35FB3">
            <w:pPr>
              <w:jc w:val="right"/>
            </w:pPr>
            <w:r w:rsidRPr="00DA001F">
              <w:t>82,4</w:t>
            </w:r>
          </w:p>
        </w:tc>
        <w:tc>
          <w:tcPr>
            <w:tcW w:w="906" w:type="dxa"/>
            <w:tcBorders>
              <w:top w:val="nil"/>
              <w:left w:val="nil"/>
              <w:bottom w:val="nil"/>
              <w:right w:val="nil"/>
            </w:tcBorders>
            <w:shd w:val="clear" w:color="auto" w:fill="auto"/>
            <w:noWrap/>
            <w:vAlign w:val="bottom"/>
            <w:hideMark/>
          </w:tcPr>
          <w:p w:rsidR="00A35FB3" w:rsidRPr="00DA001F" w:rsidRDefault="00A35FB3" w:rsidP="00A35FB3">
            <w:pPr>
              <w:jc w:val="right"/>
            </w:pPr>
            <w:r w:rsidRPr="00DA001F">
              <w:t>78,5</w:t>
            </w:r>
          </w:p>
        </w:tc>
        <w:tc>
          <w:tcPr>
            <w:tcW w:w="906" w:type="dxa"/>
            <w:tcBorders>
              <w:top w:val="nil"/>
              <w:left w:val="nil"/>
              <w:bottom w:val="nil"/>
              <w:right w:val="nil"/>
            </w:tcBorders>
            <w:shd w:val="clear" w:color="auto" w:fill="auto"/>
            <w:noWrap/>
            <w:vAlign w:val="bottom"/>
            <w:hideMark/>
          </w:tcPr>
          <w:p w:rsidR="00A35FB3" w:rsidRPr="00DA001F" w:rsidRDefault="00A35FB3" w:rsidP="00A35FB3">
            <w:pPr>
              <w:jc w:val="right"/>
            </w:pPr>
            <w:r w:rsidRPr="00DA001F">
              <w:t>75,7</w:t>
            </w:r>
          </w:p>
        </w:tc>
        <w:tc>
          <w:tcPr>
            <w:tcW w:w="906" w:type="dxa"/>
            <w:tcBorders>
              <w:top w:val="nil"/>
              <w:left w:val="nil"/>
              <w:bottom w:val="nil"/>
              <w:right w:val="nil"/>
            </w:tcBorders>
            <w:shd w:val="clear" w:color="auto" w:fill="auto"/>
            <w:noWrap/>
            <w:vAlign w:val="bottom"/>
            <w:hideMark/>
          </w:tcPr>
          <w:p w:rsidR="00A35FB3" w:rsidRPr="00DA001F" w:rsidRDefault="00A35FB3" w:rsidP="00A35FB3">
            <w:pPr>
              <w:jc w:val="right"/>
            </w:pPr>
            <w:r w:rsidRPr="00DA001F">
              <w:t>74,1</w:t>
            </w:r>
          </w:p>
        </w:tc>
        <w:tc>
          <w:tcPr>
            <w:tcW w:w="906" w:type="dxa"/>
            <w:tcBorders>
              <w:top w:val="nil"/>
              <w:left w:val="nil"/>
              <w:bottom w:val="nil"/>
              <w:right w:val="nil"/>
            </w:tcBorders>
            <w:shd w:val="clear" w:color="auto" w:fill="auto"/>
            <w:noWrap/>
            <w:vAlign w:val="bottom"/>
            <w:hideMark/>
          </w:tcPr>
          <w:p w:rsidR="00A35FB3" w:rsidRPr="00DA001F" w:rsidRDefault="00A35FB3" w:rsidP="00A35FB3">
            <w:pPr>
              <w:jc w:val="right"/>
            </w:pPr>
            <w:r w:rsidRPr="00DA001F">
              <w:t>73,8</w:t>
            </w:r>
          </w:p>
        </w:tc>
        <w:tc>
          <w:tcPr>
            <w:tcW w:w="2003" w:type="dxa"/>
            <w:tcBorders>
              <w:top w:val="nil"/>
              <w:left w:val="single" w:sz="4" w:space="0" w:color="auto"/>
              <w:bottom w:val="nil"/>
              <w:right w:val="single" w:sz="4" w:space="0" w:color="auto"/>
            </w:tcBorders>
            <w:shd w:val="clear" w:color="auto" w:fill="auto"/>
            <w:noWrap/>
            <w:vAlign w:val="bottom"/>
            <w:hideMark/>
          </w:tcPr>
          <w:p w:rsidR="00A35FB3" w:rsidRPr="00DA001F" w:rsidRDefault="00A35FB3" w:rsidP="00A35FB3">
            <w:pPr>
              <w:jc w:val="center"/>
            </w:pPr>
            <w:r w:rsidRPr="00DA001F">
              <w:t>-10,4</w:t>
            </w:r>
          </w:p>
        </w:tc>
      </w:tr>
      <w:tr w:rsidR="00A35FB3" w:rsidRPr="00DA001F" w:rsidTr="001A60F2">
        <w:trPr>
          <w:trHeight w:val="230"/>
        </w:trPr>
        <w:tc>
          <w:tcPr>
            <w:tcW w:w="1643" w:type="dxa"/>
            <w:tcBorders>
              <w:top w:val="single" w:sz="4" w:space="0" w:color="auto"/>
              <w:left w:val="single" w:sz="4" w:space="0" w:color="auto"/>
              <w:bottom w:val="single" w:sz="4" w:space="0" w:color="auto"/>
              <w:right w:val="nil"/>
            </w:tcBorders>
            <w:shd w:val="clear" w:color="auto" w:fill="auto"/>
            <w:noWrap/>
            <w:vAlign w:val="bottom"/>
            <w:hideMark/>
          </w:tcPr>
          <w:p w:rsidR="00A35FB3" w:rsidRPr="00DA001F" w:rsidRDefault="00A35FB3" w:rsidP="00A35FB3">
            <w:pPr>
              <w:rPr>
                <w:b/>
                <w:bCs/>
              </w:rPr>
            </w:pPr>
            <w:r w:rsidRPr="00DA001F">
              <w:rPr>
                <w:b/>
                <w:bCs/>
              </w:rPr>
              <w:t>NACIONALIDAD</w:t>
            </w:r>
          </w:p>
        </w:tc>
        <w:tc>
          <w:tcPr>
            <w:tcW w:w="906" w:type="dxa"/>
            <w:tcBorders>
              <w:top w:val="single" w:sz="4" w:space="0" w:color="auto"/>
              <w:left w:val="nil"/>
              <w:bottom w:val="single" w:sz="4" w:space="0" w:color="auto"/>
              <w:right w:val="nil"/>
            </w:tcBorders>
            <w:shd w:val="clear" w:color="auto" w:fill="auto"/>
            <w:noWrap/>
            <w:vAlign w:val="bottom"/>
            <w:hideMark/>
          </w:tcPr>
          <w:p w:rsidR="00A35FB3" w:rsidRPr="00DA001F" w:rsidRDefault="00A35FB3" w:rsidP="00A35FB3">
            <w:r w:rsidRPr="00DA001F">
              <w:t> </w:t>
            </w:r>
          </w:p>
        </w:tc>
        <w:tc>
          <w:tcPr>
            <w:tcW w:w="906" w:type="dxa"/>
            <w:tcBorders>
              <w:top w:val="single" w:sz="4" w:space="0" w:color="auto"/>
              <w:left w:val="nil"/>
              <w:bottom w:val="single" w:sz="4" w:space="0" w:color="auto"/>
              <w:right w:val="nil"/>
            </w:tcBorders>
            <w:shd w:val="clear" w:color="auto" w:fill="auto"/>
            <w:noWrap/>
            <w:vAlign w:val="bottom"/>
            <w:hideMark/>
          </w:tcPr>
          <w:p w:rsidR="00A35FB3" w:rsidRPr="00DA001F" w:rsidRDefault="00A35FB3" w:rsidP="00A35FB3">
            <w:r w:rsidRPr="00DA001F">
              <w:t> </w:t>
            </w:r>
          </w:p>
        </w:tc>
        <w:tc>
          <w:tcPr>
            <w:tcW w:w="906" w:type="dxa"/>
            <w:tcBorders>
              <w:top w:val="single" w:sz="4" w:space="0" w:color="auto"/>
              <w:left w:val="nil"/>
              <w:bottom w:val="single" w:sz="4" w:space="0" w:color="auto"/>
              <w:right w:val="nil"/>
            </w:tcBorders>
            <w:shd w:val="clear" w:color="auto" w:fill="auto"/>
            <w:noWrap/>
            <w:vAlign w:val="bottom"/>
            <w:hideMark/>
          </w:tcPr>
          <w:p w:rsidR="00A35FB3" w:rsidRPr="00DA001F" w:rsidRDefault="00A35FB3" w:rsidP="00A35FB3">
            <w:r w:rsidRPr="00DA001F">
              <w:t> </w:t>
            </w:r>
          </w:p>
        </w:tc>
        <w:tc>
          <w:tcPr>
            <w:tcW w:w="906" w:type="dxa"/>
            <w:tcBorders>
              <w:top w:val="single" w:sz="4" w:space="0" w:color="auto"/>
              <w:left w:val="nil"/>
              <w:bottom w:val="single" w:sz="4" w:space="0" w:color="auto"/>
              <w:right w:val="nil"/>
            </w:tcBorders>
            <w:shd w:val="clear" w:color="auto" w:fill="auto"/>
            <w:noWrap/>
            <w:vAlign w:val="bottom"/>
            <w:hideMark/>
          </w:tcPr>
          <w:p w:rsidR="00A35FB3" w:rsidRPr="00DA001F" w:rsidRDefault="00A35FB3" w:rsidP="00A35FB3">
            <w:r w:rsidRPr="00DA001F">
              <w:t> </w:t>
            </w:r>
          </w:p>
        </w:tc>
        <w:tc>
          <w:tcPr>
            <w:tcW w:w="906" w:type="dxa"/>
            <w:tcBorders>
              <w:top w:val="single" w:sz="4" w:space="0" w:color="auto"/>
              <w:left w:val="nil"/>
              <w:bottom w:val="single" w:sz="4" w:space="0" w:color="auto"/>
              <w:right w:val="nil"/>
            </w:tcBorders>
            <w:shd w:val="clear" w:color="auto" w:fill="auto"/>
            <w:noWrap/>
            <w:vAlign w:val="bottom"/>
            <w:hideMark/>
          </w:tcPr>
          <w:p w:rsidR="00A35FB3" w:rsidRPr="00DA001F" w:rsidRDefault="00A35FB3" w:rsidP="00A35FB3">
            <w:r w:rsidRPr="00DA001F">
              <w:t> </w:t>
            </w:r>
          </w:p>
        </w:tc>
        <w:tc>
          <w:tcPr>
            <w:tcW w:w="906" w:type="dxa"/>
            <w:tcBorders>
              <w:top w:val="single" w:sz="4" w:space="0" w:color="auto"/>
              <w:left w:val="nil"/>
              <w:bottom w:val="single" w:sz="4" w:space="0" w:color="auto"/>
              <w:right w:val="nil"/>
            </w:tcBorders>
            <w:shd w:val="clear" w:color="auto" w:fill="auto"/>
            <w:noWrap/>
            <w:vAlign w:val="bottom"/>
            <w:hideMark/>
          </w:tcPr>
          <w:p w:rsidR="00A35FB3" w:rsidRPr="00DA001F" w:rsidRDefault="00A35FB3" w:rsidP="00A35FB3">
            <w:r w:rsidRPr="00DA001F">
              <w:t> </w:t>
            </w:r>
          </w:p>
        </w:tc>
        <w:tc>
          <w:tcPr>
            <w:tcW w:w="2003" w:type="dxa"/>
            <w:tcBorders>
              <w:top w:val="nil"/>
              <w:left w:val="single" w:sz="4" w:space="0" w:color="auto"/>
              <w:bottom w:val="nil"/>
              <w:right w:val="single" w:sz="4" w:space="0" w:color="auto"/>
            </w:tcBorders>
            <w:shd w:val="clear" w:color="auto" w:fill="auto"/>
            <w:noWrap/>
            <w:vAlign w:val="bottom"/>
            <w:hideMark/>
          </w:tcPr>
          <w:p w:rsidR="00A35FB3" w:rsidRPr="00DA001F" w:rsidRDefault="00A35FB3" w:rsidP="00A35FB3">
            <w:pPr>
              <w:jc w:val="center"/>
            </w:pPr>
            <w:r w:rsidRPr="00DA001F">
              <w:t> </w:t>
            </w:r>
          </w:p>
        </w:tc>
      </w:tr>
      <w:tr w:rsidR="00A35FB3" w:rsidRPr="00DA001F" w:rsidTr="001A60F2">
        <w:trPr>
          <w:trHeight w:val="230"/>
        </w:trPr>
        <w:tc>
          <w:tcPr>
            <w:tcW w:w="1643" w:type="dxa"/>
            <w:tcBorders>
              <w:top w:val="nil"/>
              <w:left w:val="single" w:sz="4" w:space="0" w:color="auto"/>
              <w:bottom w:val="nil"/>
              <w:right w:val="nil"/>
            </w:tcBorders>
            <w:shd w:val="clear" w:color="auto" w:fill="auto"/>
            <w:noWrap/>
            <w:vAlign w:val="bottom"/>
            <w:hideMark/>
          </w:tcPr>
          <w:p w:rsidR="00A35FB3" w:rsidRPr="00DA001F" w:rsidRDefault="00A35FB3" w:rsidP="00A35FB3">
            <w:r w:rsidRPr="00DA001F">
              <w:t>Española</w:t>
            </w:r>
          </w:p>
        </w:tc>
        <w:tc>
          <w:tcPr>
            <w:tcW w:w="906" w:type="dxa"/>
            <w:tcBorders>
              <w:top w:val="nil"/>
              <w:left w:val="nil"/>
              <w:bottom w:val="nil"/>
              <w:right w:val="nil"/>
            </w:tcBorders>
            <w:shd w:val="clear" w:color="auto" w:fill="auto"/>
            <w:noWrap/>
            <w:vAlign w:val="bottom"/>
            <w:hideMark/>
          </w:tcPr>
          <w:p w:rsidR="00A35FB3" w:rsidRPr="00DA001F" w:rsidRDefault="00A35FB3" w:rsidP="00A35FB3"/>
        </w:tc>
        <w:tc>
          <w:tcPr>
            <w:tcW w:w="906" w:type="dxa"/>
            <w:tcBorders>
              <w:top w:val="nil"/>
              <w:left w:val="nil"/>
              <w:bottom w:val="nil"/>
              <w:right w:val="nil"/>
            </w:tcBorders>
            <w:shd w:val="clear" w:color="auto" w:fill="auto"/>
            <w:noWrap/>
            <w:vAlign w:val="bottom"/>
            <w:hideMark/>
          </w:tcPr>
          <w:p w:rsidR="00A35FB3" w:rsidRPr="00DA001F" w:rsidRDefault="00A35FB3" w:rsidP="00A35FB3">
            <w:pPr>
              <w:jc w:val="right"/>
            </w:pPr>
            <w:r w:rsidRPr="00DA001F">
              <w:t>52,5</w:t>
            </w:r>
          </w:p>
        </w:tc>
        <w:tc>
          <w:tcPr>
            <w:tcW w:w="906" w:type="dxa"/>
            <w:tcBorders>
              <w:top w:val="nil"/>
              <w:left w:val="nil"/>
              <w:bottom w:val="nil"/>
              <w:right w:val="nil"/>
            </w:tcBorders>
            <w:shd w:val="clear" w:color="auto" w:fill="auto"/>
            <w:noWrap/>
            <w:vAlign w:val="bottom"/>
            <w:hideMark/>
          </w:tcPr>
          <w:p w:rsidR="00A35FB3" w:rsidRPr="00DA001F" w:rsidRDefault="00A35FB3" w:rsidP="00A35FB3">
            <w:pPr>
              <w:jc w:val="right"/>
            </w:pPr>
            <w:r w:rsidRPr="00DA001F">
              <w:t>47,8</w:t>
            </w:r>
          </w:p>
        </w:tc>
        <w:tc>
          <w:tcPr>
            <w:tcW w:w="906" w:type="dxa"/>
            <w:tcBorders>
              <w:top w:val="nil"/>
              <w:left w:val="nil"/>
              <w:bottom w:val="nil"/>
              <w:right w:val="nil"/>
            </w:tcBorders>
            <w:shd w:val="clear" w:color="auto" w:fill="auto"/>
            <w:noWrap/>
            <w:vAlign w:val="bottom"/>
            <w:hideMark/>
          </w:tcPr>
          <w:p w:rsidR="00A35FB3" w:rsidRPr="00DA001F" w:rsidRDefault="00A35FB3" w:rsidP="00A35FB3">
            <w:pPr>
              <w:jc w:val="right"/>
            </w:pPr>
            <w:r w:rsidRPr="00DA001F">
              <w:t>45,8</w:t>
            </w:r>
          </w:p>
        </w:tc>
        <w:tc>
          <w:tcPr>
            <w:tcW w:w="906" w:type="dxa"/>
            <w:tcBorders>
              <w:top w:val="nil"/>
              <w:left w:val="nil"/>
              <w:bottom w:val="nil"/>
              <w:right w:val="nil"/>
            </w:tcBorders>
            <w:shd w:val="clear" w:color="auto" w:fill="auto"/>
            <w:noWrap/>
            <w:vAlign w:val="bottom"/>
            <w:hideMark/>
          </w:tcPr>
          <w:p w:rsidR="00A35FB3" w:rsidRPr="00DA001F" w:rsidRDefault="00A35FB3" w:rsidP="00A35FB3">
            <w:pPr>
              <w:jc w:val="right"/>
            </w:pPr>
            <w:r w:rsidRPr="00DA001F">
              <w:t>43,8</w:t>
            </w:r>
          </w:p>
        </w:tc>
        <w:tc>
          <w:tcPr>
            <w:tcW w:w="906" w:type="dxa"/>
            <w:tcBorders>
              <w:top w:val="nil"/>
              <w:left w:val="nil"/>
              <w:bottom w:val="nil"/>
              <w:right w:val="nil"/>
            </w:tcBorders>
            <w:shd w:val="clear" w:color="auto" w:fill="auto"/>
            <w:noWrap/>
            <w:vAlign w:val="bottom"/>
            <w:hideMark/>
          </w:tcPr>
          <w:p w:rsidR="00A35FB3" w:rsidRPr="00DA001F" w:rsidRDefault="00A35FB3" w:rsidP="00A35FB3">
            <w:pPr>
              <w:jc w:val="right"/>
            </w:pPr>
            <w:r w:rsidRPr="00DA001F">
              <w:t>43,6</w:t>
            </w:r>
          </w:p>
        </w:tc>
        <w:tc>
          <w:tcPr>
            <w:tcW w:w="2003" w:type="dxa"/>
            <w:tcBorders>
              <w:top w:val="nil"/>
              <w:left w:val="single" w:sz="4" w:space="0" w:color="auto"/>
              <w:bottom w:val="nil"/>
              <w:right w:val="single" w:sz="4" w:space="0" w:color="auto"/>
            </w:tcBorders>
            <w:shd w:val="clear" w:color="auto" w:fill="auto"/>
            <w:noWrap/>
            <w:vAlign w:val="bottom"/>
            <w:hideMark/>
          </w:tcPr>
          <w:p w:rsidR="00A35FB3" w:rsidRPr="00DA001F" w:rsidRDefault="00A35FB3" w:rsidP="00A35FB3">
            <w:pPr>
              <w:jc w:val="center"/>
            </w:pPr>
            <w:r w:rsidRPr="00DA001F">
              <w:t>-16,9</w:t>
            </w:r>
          </w:p>
        </w:tc>
      </w:tr>
      <w:tr w:rsidR="00A35FB3" w:rsidRPr="00DA001F" w:rsidTr="001A60F2">
        <w:trPr>
          <w:trHeight w:val="230"/>
        </w:trPr>
        <w:tc>
          <w:tcPr>
            <w:tcW w:w="1643" w:type="dxa"/>
            <w:tcBorders>
              <w:top w:val="nil"/>
              <w:left w:val="single" w:sz="4" w:space="0" w:color="auto"/>
              <w:bottom w:val="nil"/>
              <w:right w:val="nil"/>
            </w:tcBorders>
            <w:shd w:val="clear" w:color="auto" w:fill="auto"/>
            <w:noWrap/>
            <w:vAlign w:val="bottom"/>
            <w:hideMark/>
          </w:tcPr>
          <w:p w:rsidR="00A35FB3" w:rsidRPr="00DA001F" w:rsidRDefault="00A35FB3" w:rsidP="00A35FB3">
            <w:r w:rsidRPr="00DA001F">
              <w:t>Extranjero  comunitario</w:t>
            </w:r>
          </w:p>
        </w:tc>
        <w:tc>
          <w:tcPr>
            <w:tcW w:w="906" w:type="dxa"/>
            <w:tcBorders>
              <w:top w:val="nil"/>
              <w:left w:val="nil"/>
              <w:bottom w:val="nil"/>
              <w:right w:val="nil"/>
            </w:tcBorders>
            <w:shd w:val="clear" w:color="auto" w:fill="auto"/>
            <w:noWrap/>
            <w:vAlign w:val="bottom"/>
            <w:hideMark/>
          </w:tcPr>
          <w:p w:rsidR="00A35FB3" w:rsidRPr="00DA001F" w:rsidRDefault="00A35FB3" w:rsidP="00A35FB3"/>
        </w:tc>
        <w:tc>
          <w:tcPr>
            <w:tcW w:w="906" w:type="dxa"/>
            <w:tcBorders>
              <w:top w:val="nil"/>
              <w:left w:val="nil"/>
              <w:bottom w:val="nil"/>
              <w:right w:val="nil"/>
            </w:tcBorders>
            <w:shd w:val="clear" w:color="auto" w:fill="auto"/>
            <w:noWrap/>
            <w:vAlign w:val="bottom"/>
            <w:hideMark/>
          </w:tcPr>
          <w:p w:rsidR="00A35FB3" w:rsidRPr="00DA001F" w:rsidRDefault="00A35FB3" w:rsidP="00A35FB3">
            <w:pPr>
              <w:jc w:val="right"/>
            </w:pPr>
            <w:r w:rsidRPr="00DA001F">
              <w:t>62,3</w:t>
            </w:r>
          </w:p>
        </w:tc>
        <w:tc>
          <w:tcPr>
            <w:tcW w:w="906" w:type="dxa"/>
            <w:tcBorders>
              <w:top w:val="nil"/>
              <w:left w:val="nil"/>
              <w:bottom w:val="nil"/>
              <w:right w:val="nil"/>
            </w:tcBorders>
            <w:shd w:val="clear" w:color="auto" w:fill="auto"/>
            <w:noWrap/>
            <w:vAlign w:val="bottom"/>
            <w:hideMark/>
          </w:tcPr>
          <w:p w:rsidR="00A35FB3" w:rsidRPr="00DA001F" w:rsidRDefault="00A35FB3" w:rsidP="00A35FB3">
            <w:pPr>
              <w:jc w:val="right"/>
            </w:pPr>
            <w:r w:rsidRPr="00DA001F">
              <w:t>56,0</w:t>
            </w:r>
          </w:p>
        </w:tc>
        <w:tc>
          <w:tcPr>
            <w:tcW w:w="906" w:type="dxa"/>
            <w:tcBorders>
              <w:top w:val="nil"/>
              <w:left w:val="nil"/>
              <w:bottom w:val="nil"/>
              <w:right w:val="nil"/>
            </w:tcBorders>
            <w:shd w:val="clear" w:color="auto" w:fill="auto"/>
            <w:noWrap/>
            <w:vAlign w:val="bottom"/>
            <w:hideMark/>
          </w:tcPr>
          <w:p w:rsidR="00A35FB3" w:rsidRPr="00DA001F" w:rsidRDefault="00A35FB3" w:rsidP="00A35FB3">
            <w:pPr>
              <w:jc w:val="right"/>
            </w:pPr>
            <w:r w:rsidRPr="00DA001F">
              <w:t>47,9</w:t>
            </w:r>
          </w:p>
        </w:tc>
        <w:tc>
          <w:tcPr>
            <w:tcW w:w="906" w:type="dxa"/>
            <w:tcBorders>
              <w:top w:val="nil"/>
              <w:left w:val="nil"/>
              <w:bottom w:val="nil"/>
              <w:right w:val="nil"/>
            </w:tcBorders>
            <w:shd w:val="clear" w:color="auto" w:fill="auto"/>
            <w:noWrap/>
            <w:vAlign w:val="bottom"/>
            <w:hideMark/>
          </w:tcPr>
          <w:p w:rsidR="00A35FB3" w:rsidRPr="00DA001F" w:rsidRDefault="00A35FB3" w:rsidP="00A35FB3">
            <w:pPr>
              <w:jc w:val="right"/>
            </w:pPr>
            <w:r w:rsidRPr="00DA001F">
              <w:t>48,3</w:t>
            </w:r>
          </w:p>
        </w:tc>
        <w:tc>
          <w:tcPr>
            <w:tcW w:w="906" w:type="dxa"/>
            <w:tcBorders>
              <w:top w:val="nil"/>
              <w:left w:val="nil"/>
              <w:bottom w:val="nil"/>
              <w:right w:val="nil"/>
            </w:tcBorders>
            <w:shd w:val="clear" w:color="auto" w:fill="auto"/>
            <w:noWrap/>
            <w:vAlign w:val="bottom"/>
            <w:hideMark/>
          </w:tcPr>
          <w:p w:rsidR="00A35FB3" w:rsidRPr="00DA001F" w:rsidRDefault="00A35FB3" w:rsidP="00A35FB3">
            <w:pPr>
              <w:jc w:val="right"/>
            </w:pPr>
            <w:r w:rsidRPr="00DA001F">
              <w:t>49,2</w:t>
            </w:r>
          </w:p>
        </w:tc>
        <w:tc>
          <w:tcPr>
            <w:tcW w:w="2003" w:type="dxa"/>
            <w:tcBorders>
              <w:top w:val="nil"/>
              <w:left w:val="single" w:sz="4" w:space="0" w:color="auto"/>
              <w:bottom w:val="nil"/>
              <w:right w:val="single" w:sz="4" w:space="0" w:color="auto"/>
            </w:tcBorders>
            <w:shd w:val="clear" w:color="auto" w:fill="auto"/>
            <w:noWrap/>
            <w:vAlign w:val="bottom"/>
            <w:hideMark/>
          </w:tcPr>
          <w:p w:rsidR="00A35FB3" w:rsidRPr="00DA001F" w:rsidRDefault="00A35FB3" w:rsidP="00A35FB3">
            <w:pPr>
              <w:jc w:val="center"/>
            </w:pPr>
            <w:r w:rsidRPr="00DA001F">
              <w:t>-21,0</w:t>
            </w:r>
          </w:p>
        </w:tc>
      </w:tr>
      <w:tr w:rsidR="00A35FB3" w:rsidRPr="00DA001F" w:rsidTr="001A60F2">
        <w:trPr>
          <w:trHeight w:val="230"/>
        </w:trPr>
        <w:tc>
          <w:tcPr>
            <w:tcW w:w="2549" w:type="dxa"/>
            <w:gridSpan w:val="2"/>
            <w:tcBorders>
              <w:top w:val="nil"/>
              <w:left w:val="single" w:sz="4" w:space="0" w:color="auto"/>
              <w:bottom w:val="single" w:sz="4" w:space="0" w:color="auto"/>
              <w:right w:val="nil"/>
            </w:tcBorders>
            <w:shd w:val="clear" w:color="auto" w:fill="auto"/>
            <w:noWrap/>
            <w:vAlign w:val="bottom"/>
            <w:hideMark/>
          </w:tcPr>
          <w:p w:rsidR="00A35FB3" w:rsidRPr="00DA001F" w:rsidRDefault="00A35FB3" w:rsidP="00A35FB3">
            <w:r w:rsidRPr="00DA001F">
              <w:t>Extranjero no comunitario</w:t>
            </w:r>
          </w:p>
        </w:tc>
        <w:tc>
          <w:tcPr>
            <w:tcW w:w="906" w:type="dxa"/>
            <w:tcBorders>
              <w:top w:val="nil"/>
              <w:left w:val="nil"/>
              <w:bottom w:val="single" w:sz="4" w:space="0" w:color="auto"/>
              <w:right w:val="nil"/>
            </w:tcBorders>
            <w:shd w:val="clear" w:color="auto" w:fill="auto"/>
            <w:noWrap/>
            <w:vAlign w:val="bottom"/>
            <w:hideMark/>
          </w:tcPr>
          <w:p w:rsidR="00A35FB3" w:rsidRPr="00DA001F" w:rsidRDefault="00A35FB3" w:rsidP="00A35FB3">
            <w:pPr>
              <w:jc w:val="right"/>
            </w:pPr>
            <w:r w:rsidRPr="00DA001F">
              <w:t>67,7</w:t>
            </w:r>
          </w:p>
        </w:tc>
        <w:tc>
          <w:tcPr>
            <w:tcW w:w="906" w:type="dxa"/>
            <w:tcBorders>
              <w:top w:val="nil"/>
              <w:left w:val="nil"/>
              <w:bottom w:val="single" w:sz="4" w:space="0" w:color="auto"/>
              <w:right w:val="nil"/>
            </w:tcBorders>
            <w:shd w:val="clear" w:color="auto" w:fill="auto"/>
            <w:noWrap/>
            <w:vAlign w:val="bottom"/>
            <w:hideMark/>
          </w:tcPr>
          <w:p w:rsidR="00A35FB3" w:rsidRPr="00DA001F" w:rsidRDefault="00A35FB3" w:rsidP="00A35FB3">
            <w:pPr>
              <w:jc w:val="right"/>
            </w:pPr>
            <w:r w:rsidRPr="00DA001F">
              <w:t>52,4</w:t>
            </w:r>
          </w:p>
        </w:tc>
        <w:tc>
          <w:tcPr>
            <w:tcW w:w="906" w:type="dxa"/>
            <w:tcBorders>
              <w:top w:val="nil"/>
              <w:left w:val="nil"/>
              <w:bottom w:val="single" w:sz="4" w:space="0" w:color="auto"/>
              <w:right w:val="nil"/>
            </w:tcBorders>
            <w:shd w:val="clear" w:color="auto" w:fill="auto"/>
            <w:noWrap/>
            <w:vAlign w:val="bottom"/>
            <w:hideMark/>
          </w:tcPr>
          <w:p w:rsidR="00A35FB3" w:rsidRPr="00DA001F" w:rsidRDefault="00A35FB3" w:rsidP="00A35FB3">
            <w:pPr>
              <w:jc w:val="right"/>
            </w:pPr>
            <w:r w:rsidRPr="00DA001F">
              <w:t>50,2</w:t>
            </w:r>
          </w:p>
        </w:tc>
        <w:tc>
          <w:tcPr>
            <w:tcW w:w="906" w:type="dxa"/>
            <w:tcBorders>
              <w:top w:val="nil"/>
              <w:left w:val="nil"/>
              <w:bottom w:val="single" w:sz="4" w:space="0" w:color="auto"/>
              <w:right w:val="nil"/>
            </w:tcBorders>
            <w:shd w:val="clear" w:color="auto" w:fill="auto"/>
            <w:noWrap/>
            <w:vAlign w:val="bottom"/>
            <w:hideMark/>
          </w:tcPr>
          <w:p w:rsidR="00A35FB3" w:rsidRPr="00DA001F" w:rsidRDefault="00A35FB3" w:rsidP="00A35FB3">
            <w:pPr>
              <w:jc w:val="right"/>
            </w:pPr>
            <w:r w:rsidRPr="00DA001F">
              <w:t>47,0</w:t>
            </w:r>
          </w:p>
        </w:tc>
        <w:tc>
          <w:tcPr>
            <w:tcW w:w="906" w:type="dxa"/>
            <w:tcBorders>
              <w:top w:val="nil"/>
              <w:left w:val="nil"/>
              <w:bottom w:val="single" w:sz="4" w:space="0" w:color="auto"/>
              <w:right w:val="nil"/>
            </w:tcBorders>
            <w:shd w:val="clear" w:color="auto" w:fill="auto"/>
            <w:noWrap/>
            <w:vAlign w:val="bottom"/>
            <w:hideMark/>
          </w:tcPr>
          <w:p w:rsidR="00A35FB3" w:rsidRPr="00DA001F" w:rsidRDefault="00A35FB3" w:rsidP="00A35FB3">
            <w:pPr>
              <w:jc w:val="right"/>
            </w:pPr>
            <w:r w:rsidRPr="00DA001F">
              <w:t>45,0</w:t>
            </w:r>
          </w:p>
        </w:tc>
        <w:tc>
          <w:tcPr>
            <w:tcW w:w="2003" w:type="dxa"/>
            <w:tcBorders>
              <w:top w:val="nil"/>
              <w:left w:val="single" w:sz="4" w:space="0" w:color="auto"/>
              <w:bottom w:val="single" w:sz="4" w:space="0" w:color="auto"/>
              <w:right w:val="single" w:sz="4" w:space="0" w:color="auto"/>
            </w:tcBorders>
            <w:shd w:val="clear" w:color="auto" w:fill="auto"/>
            <w:noWrap/>
            <w:vAlign w:val="bottom"/>
            <w:hideMark/>
          </w:tcPr>
          <w:p w:rsidR="00A35FB3" w:rsidRPr="00DA001F" w:rsidRDefault="00A35FB3" w:rsidP="00A35FB3">
            <w:pPr>
              <w:jc w:val="center"/>
              <w:rPr>
                <w:b/>
              </w:rPr>
            </w:pPr>
            <w:r w:rsidRPr="00DA001F">
              <w:rPr>
                <w:b/>
              </w:rPr>
              <w:t>-33,5</w:t>
            </w:r>
          </w:p>
        </w:tc>
      </w:tr>
    </w:tbl>
    <w:p w:rsidR="00A35FB3" w:rsidRDefault="00A35FB3" w:rsidP="00A35FB3">
      <w:r w:rsidRPr="004C1E85">
        <w:t xml:space="preserve">Fuente: </w:t>
      </w:r>
      <w:r>
        <w:t xml:space="preserve">INE, </w:t>
      </w:r>
      <w:proofErr w:type="spellStart"/>
      <w:r>
        <w:t>Eurostat</w:t>
      </w:r>
      <w:proofErr w:type="spellEnd"/>
      <w:r>
        <w:t>. Elaboración propia</w:t>
      </w:r>
    </w:p>
    <w:p w:rsidR="001A60F2" w:rsidRPr="004C1E85" w:rsidRDefault="001A60F2" w:rsidP="00A35FB3"/>
    <w:p w:rsidR="00A35FB3" w:rsidRPr="00FC6DFB" w:rsidRDefault="00A35FB3" w:rsidP="00A35FB3">
      <w:pPr>
        <w:spacing w:line="360" w:lineRule="auto"/>
        <w:jc w:val="both"/>
        <w:rPr>
          <w:sz w:val="24"/>
          <w:szCs w:val="24"/>
        </w:rPr>
      </w:pPr>
      <w:r w:rsidRPr="00FC6DFB">
        <w:rPr>
          <w:sz w:val="24"/>
          <w:szCs w:val="24"/>
        </w:rPr>
        <w:t xml:space="preserve">Por </w:t>
      </w:r>
      <w:r>
        <w:rPr>
          <w:sz w:val="24"/>
          <w:szCs w:val="24"/>
        </w:rPr>
        <w:t>sexo</w:t>
      </w:r>
      <w:r w:rsidR="001A60F2">
        <w:rPr>
          <w:sz w:val="24"/>
          <w:szCs w:val="24"/>
        </w:rPr>
        <w:t xml:space="preserve">s, </w:t>
      </w:r>
      <w:r w:rsidRPr="00FC6DFB">
        <w:rPr>
          <w:sz w:val="24"/>
          <w:szCs w:val="24"/>
        </w:rPr>
        <w:t xml:space="preserve">podemos comprobar cómo la tasa de empleo de los varones ha sufrido un mayor descenso entre 2007 y 2013; sobre todo en los primeros años de la crisis (donde se reduce más de 9 puntos porcentuales). Esto viene explicado por la elevada presencia de empleo masculino </w:t>
      </w:r>
      <w:r w:rsidRPr="00FC6DFB">
        <w:rPr>
          <w:sz w:val="24"/>
          <w:szCs w:val="24"/>
        </w:rPr>
        <w:lastRenderedPageBreak/>
        <w:t>en la construcción y la industria, dos de los sectores más perjudicados por la mala situación económica. En el caso de las mujeres, la variación ha sido más suave (-11.3</w:t>
      </w:r>
      <w:r>
        <w:rPr>
          <w:sz w:val="24"/>
          <w:szCs w:val="24"/>
        </w:rPr>
        <w:t xml:space="preserve"> por 100</w:t>
      </w:r>
      <w:r w:rsidRPr="00FC6DFB">
        <w:rPr>
          <w:sz w:val="24"/>
          <w:szCs w:val="24"/>
        </w:rPr>
        <w:t xml:space="preserve"> entre 2007 y 2013). El descenso del empleo entre los varones es especialmente importante ya que mucho</w:t>
      </w:r>
      <w:r>
        <w:rPr>
          <w:sz w:val="24"/>
          <w:szCs w:val="24"/>
        </w:rPr>
        <w:t>s</w:t>
      </w:r>
      <w:r w:rsidRPr="00FC6DFB">
        <w:rPr>
          <w:sz w:val="24"/>
          <w:szCs w:val="24"/>
        </w:rPr>
        <w:t xml:space="preserve"> de ellos eran los sustentadores principales de sus familias, lo que ha causado a su vez otras situaciones más drásticas en la vida de estas personas.</w:t>
      </w:r>
    </w:p>
    <w:p w:rsidR="00A35FB3" w:rsidRPr="00FC6DFB" w:rsidRDefault="00A35FB3" w:rsidP="00A35FB3">
      <w:pPr>
        <w:spacing w:line="360" w:lineRule="auto"/>
        <w:jc w:val="both"/>
        <w:rPr>
          <w:sz w:val="24"/>
          <w:szCs w:val="24"/>
        </w:rPr>
      </w:pPr>
      <w:r w:rsidRPr="00FC6DFB">
        <w:rPr>
          <w:sz w:val="24"/>
          <w:szCs w:val="24"/>
        </w:rPr>
        <w:t>Por edades, se observa como el colectivo que más castigado está siendo es el de los jóvenes menores de 20 años (una disminución de la tasa de ocupación del 80</w:t>
      </w:r>
      <w:r>
        <w:rPr>
          <w:sz w:val="24"/>
          <w:szCs w:val="24"/>
        </w:rPr>
        <w:t xml:space="preserve"> por 100</w:t>
      </w:r>
      <w:r w:rsidRPr="00FC6DFB">
        <w:rPr>
          <w:sz w:val="24"/>
          <w:szCs w:val="24"/>
        </w:rPr>
        <w:t xml:space="preserve"> entre 2007 y 2013). Una de las causas de esta caída reside en que gran pobl</w:t>
      </w:r>
      <w:r>
        <w:rPr>
          <w:sz w:val="24"/>
          <w:szCs w:val="24"/>
        </w:rPr>
        <w:t>ación de este colectivo abandonó</w:t>
      </w:r>
      <w:r w:rsidRPr="00FC6DFB">
        <w:rPr>
          <w:sz w:val="24"/>
          <w:szCs w:val="24"/>
        </w:rPr>
        <w:t xml:space="preserve"> de forma temprana los estudios atraídos por las fuertes remuneraciones existentes entonces en la construcción. En el caso de los jóvenes entre 20 y 25 años, el descenso ha sido menor pero también muy acusado (próximo a un 50</w:t>
      </w:r>
      <w:r>
        <w:rPr>
          <w:sz w:val="24"/>
          <w:szCs w:val="24"/>
        </w:rPr>
        <w:t xml:space="preserve"> por 100</w:t>
      </w:r>
      <w:r w:rsidRPr="00FC6DFB">
        <w:rPr>
          <w:sz w:val="24"/>
          <w:szCs w:val="24"/>
        </w:rPr>
        <w:t>). Para el principal colectivo del mercado de trabajo (población entre 25 y 54 años), la tasa de ocupación se encuentra actualmente por debajo del 70</w:t>
      </w:r>
      <w:r>
        <w:rPr>
          <w:sz w:val="24"/>
          <w:szCs w:val="24"/>
        </w:rPr>
        <w:t xml:space="preserve"> por 100</w:t>
      </w:r>
      <w:r w:rsidRPr="00FC6DFB">
        <w:rPr>
          <w:sz w:val="24"/>
          <w:szCs w:val="24"/>
        </w:rPr>
        <w:t>, cuando en el cuarto trimestre de 2007 se encontraba casi en el 80</w:t>
      </w:r>
      <w:r>
        <w:rPr>
          <w:sz w:val="24"/>
          <w:szCs w:val="24"/>
        </w:rPr>
        <w:t xml:space="preserve"> por 100</w:t>
      </w:r>
      <w:r w:rsidRPr="00FC6DFB">
        <w:rPr>
          <w:sz w:val="24"/>
          <w:szCs w:val="24"/>
        </w:rPr>
        <w:t>. Para el grupo de población de mayor edad, la tasa de ocupación se ha mantenido relativamente estable.</w:t>
      </w:r>
    </w:p>
    <w:p w:rsidR="00A35FB3" w:rsidRPr="00FC6DFB" w:rsidRDefault="00A35FB3" w:rsidP="00A35FB3">
      <w:pPr>
        <w:spacing w:line="360" w:lineRule="auto"/>
        <w:jc w:val="both"/>
        <w:rPr>
          <w:sz w:val="24"/>
          <w:szCs w:val="24"/>
        </w:rPr>
      </w:pPr>
      <w:r w:rsidRPr="00FC6DFB">
        <w:rPr>
          <w:sz w:val="24"/>
          <w:szCs w:val="24"/>
        </w:rPr>
        <w:t>Según el nivel de estudios, se aprecia como efectivamente existe una relación inversa entre el desempleo y el nivel educativo. La población con nivel educativo alto (estudios universitarios y Formación Profesional de Grado Superior) ha vivido con menor intensidad el descenso de la tasa de ocupación (reducción del 10,4</w:t>
      </w:r>
      <w:r>
        <w:rPr>
          <w:sz w:val="24"/>
          <w:szCs w:val="24"/>
        </w:rPr>
        <w:t xml:space="preserve"> por 100</w:t>
      </w:r>
      <w:r w:rsidRPr="00FC6DFB">
        <w:rPr>
          <w:sz w:val="24"/>
          <w:szCs w:val="24"/>
        </w:rPr>
        <w:t xml:space="preserve"> entre 2007 y 2013). Les sigue la población con nivel educativo medio (E.S.O. y Formación Profesional de Grado Medio), con una variación en el período estudiado de un 19</w:t>
      </w:r>
      <w:r>
        <w:rPr>
          <w:sz w:val="24"/>
          <w:szCs w:val="24"/>
        </w:rPr>
        <w:t xml:space="preserve"> por 100</w:t>
      </w:r>
      <w:r w:rsidRPr="00FC6DFB">
        <w:rPr>
          <w:sz w:val="24"/>
          <w:szCs w:val="24"/>
        </w:rPr>
        <w:t>. Mientras tanto, la població</w:t>
      </w:r>
      <w:r>
        <w:rPr>
          <w:sz w:val="24"/>
          <w:szCs w:val="24"/>
        </w:rPr>
        <w:t>n con un nivel educativo bajo (e</w:t>
      </w:r>
      <w:r w:rsidRPr="00FC6DFB">
        <w:rPr>
          <w:sz w:val="24"/>
          <w:szCs w:val="24"/>
        </w:rPr>
        <w:t>studios primarios) ha experimentado la mayor caída en el empleo (24,3</w:t>
      </w:r>
      <w:r>
        <w:rPr>
          <w:sz w:val="24"/>
          <w:szCs w:val="24"/>
        </w:rPr>
        <w:t xml:space="preserve"> por 100</w:t>
      </w:r>
      <w:r w:rsidRPr="00FC6DFB">
        <w:rPr>
          <w:sz w:val="24"/>
          <w:szCs w:val="24"/>
        </w:rPr>
        <w:t>).</w:t>
      </w:r>
    </w:p>
    <w:p w:rsidR="00A35FB3" w:rsidRPr="00FC6DFB" w:rsidRDefault="00A35FB3" w:rsidP="00A35FB3">
      <w:pPr>
        <w:spacing w:line="360" w:lineRule="auto"/>
        <w:jc w:val="both"/>
        <w:rPr>
          <w:sz w:val="24"/>
          <w:szCs w:val="24"/>
        </w:rPr>
      </w:pPr>
      <w:r w:rsidRPr="00FC6DFB">
        <w:rPr>
          <w:sz w:val="24"/>
          <w:szCs w:val="24"/>
        </w:rPr>
        <w:t>Si tenemos en cuenta la nacionalidad, comprobamos como la población nacida en España presenta un reducción de la tasa de ocupación má</w:t>
      </w:r>
      <w:r>
        <w:rPr>
          <w:sz w:val="24"/>
          <w:szCs w:val="24"/>
        </w:rPr>
        <w:t>s suave (16,</w:t>
      </w:r>
      <w:r w:rsidRPr="00FC6DFB">
        <w:rPr>
          <w:sz w:val="24"/>
          <w:szCs w:val="24"/>
        </w:rPr>
        <w:t>9</w:t>
      </w:r>
      <w:r>
        <w:rPr>
          <w:sz w:val="24"/>
          <w:szCs w:val="24"/>
        </w:rPr>
        <w:t xml:space="preserve"> por 100</w:t>
      </w:r>
      <w:r w:rsidRPr="00FC6DFB">
        <w:rPr>
          <w:sz w:val="24"/>
          <w:szCs w:val="24"/>
        </w:rPr>
        <w:t xml:space="preserve">), mientras que en el caso de  la población extranjera </w:t>
      </w:r>
      <w:r>
        <w:rPr>
          <w:sz w:val="24"/>
          <w:szCs w:val="24"/>
        </w:rPr>
        <w:t>comunitaria</w:t>
      </w:r>
      <w:r w:rsidRPr="00FC6DFB">
        <w:rPr>
          <w:sz w:val="24"/>
          <w:szCs w:val="24"/>
        </w:rPr>
        <w:t xml:space="preserve"> esta es más elevada (21</w:t>
      </w:r>
      <w:r>
        <w:rPr>
          <w:sz w:val="24"/>
          <w:szCs w:val="24"/>
        </w:rPr>
        <w:t xml:space="preserve"> por 100</w:t>
      </w:r>
      <w:r w:rsidRPr="00FC6DFB">
        <w:rPr>
          <w:sz w:val="24"/>
          <w:szCs w:val="24"/>
        </w:rPr>
        <w:t>). Especial importancia tiene el caso de la población extranjera nacida fuera de la UE, cuya caída de la tasa de ocupación ha sido</w:t>
      </w:r>
      <w:r>
        <w:rPr>
          <w:sz w:val="24"/>
          <w:szCs w:val="24"/>
        </w:rPr>
        <w:t xml:space="preserve"> de</w:t>
      </w:r>
      <w:r w:rsidRPr="00FC6DFB">
        <w:rPr>
          <w:sz w:val="24"/>
          <w:szCs w:val="24"/>
        </w:rPr>
        <w:t xml:space="preserve"> las más acusada</w:t>
      </w:r>
      <w:r>
        <w:rPr>
          <w:sz w:val="24"/>
          <w:szCs w:val="24"/>
        </w:rPr>
        <w:t>s</w:t>
      </w:r>
      <w:r w:rsidRPr="00FC6DFB">
        <w:rPr>
          <w:sz w:val="24"/>
          <w:szCs w:val="24"/>
        </w:rPr>
        <w:t xml:space="preserve"> (22,7 puntos porcentuales entre 2007 y 2013); sobre todo porque la tasa de empleo de este colectivo a finales de 2007 era muy superior a las demás (un 67,7</w:t>
      </w:r>
      <w:r>
        <w:rPr>
          <w:sz w:val="24"/>
          <w:szCs w:val="24"/>
        </w:rPr>
        <w:t xml:space="preserve"> por 100</w:t>
      </w:r>
      <w:r w:rsidRPr="00FC6DFB">
        <w:rPr>
          <w:sz w:val="24"/>
          <w:szCs w:val="24"/>
        </w:rPr>
        <w:t xml:space="preserve"> del total de empleos). Este último caso es alarmante debido sobre todo a que mucho inmigrantes no cuentan con lazos familiares y/o sociales en España, por lo que los efectos del desempleo son aún más intensos para este colectivo.</w:t>
      </w:r>
    </w:p>
    <w:p w:rsidR="00A35FB3" w:rsidRPr="00FC6DFB" w:rsidRDefault="00A35FB3" w:rsidP="00A35FB3">
      <w:pPr>
        <w:spacing w:line="360" w:lineRule="auto"/>
        <w:jc w:val="both"/>
        <w:rPr>
          <w:sz w:val="24"/>
          <w:szCs w:val="24"/>
        </w:rPr>
      </w:pPr>
      <w:r w:rsidRPr="00FC6DFB">
        <w:rPr>
          <w:sz w:val="24"/>
          <w:szCs w:val="24"/>
        </w:rPr>
        <w:t>Si tenemos en cuenta el tipo de contrato o la jornada laboral, también podemos apreciar importantes diferencias. En el cuadro 3 se recoge información sobre la evolución del empleo según tipo de contrato y jornada laboral en España entre 2007</w:t>
      </w:r>
      <w:r>
        <w:rPr>
          <w:sz w:val="24"/>
          <w:szCs w:val="24"/>
        </w:rPr>
        <w:t xml:space="preserve"> y 2012 (datos correspondientes </w:t>
      </w:r>
      <w:r>
        <w:rPr>
          <w:sz w:val="24"/>
          <w:szCs w:val="24"/>
        </w:rPr>
        <w:lastRenderedPageBreak/>
        <w:t>al</w:t>
      </w:r>
      <w:r w:rsidRPr="00FC6DFB">
        <w:rPr>
          <w:sz w:val="24"/>
          <w:szCs w:val="24"/>
        </w:rPr>
        <w:t xml:space="preserve"> segundo trimestre de cada año). El cuadro muestra los efectos de la utilización de la flexibilidad laboral como mecanismo de las empresas para mejorar su competitividad y hacer frente a los efectos de la recesión. En el cuadro se compara la evolución del empleo temporal y a tiempo parcial con los puestos de trabajo que se pueden calificar como “de calidad” (a tiempo completo e indefinido)</w:t>
      </w:r>
      <w:r>
        <w:rPr>
          <w:sz w:val="24"/>
          <w:szCs w:val="24"/>
        </w:rPr>
        <w:t xml:space="preserve"> (Álvarez et al.,</w:t>
      </w:r>
      <w:r w:rsidRPr="00FC6DFB">
        <w:rPr>
          <w:sz w:val="24"/>
          <w:szCs w:val="24"/>
        </w:rPr>
        <w:t xml:space="preserve"> 2013). A pesar del descenso del número de contratos temporales, el empleo a tiempo parcial ha aumentado hasta suponer un 17</w:t>
      </w:r>
      <w:r>
        <w:rPr>
          <w:sz w:val="24"/>
          <w:szCs w:val="24"/>
        </w:rPr>
        <w:t xml:space="preserve"> por 100</w:t>
      </w:r>
      <w:r w:rsidRPr="00FC6DFB">
        <w:rPr>
          <w:sz w:val="24"/>
          <w:szCs w:val="24"/>
        </w:rPr>
        <w:t xml:space="preserve"> del empleo a tiempo completo total en el segundo trimestre de 2012. Esto se debe a que por una parte</w:t>
      </w:r>
      <w:r>
        <w:rPr>
          <w:sz w:val="24"/>
          <w:szCs w:val="24"/>
        </w:rPr>
        <w:t>,</w:t>
      </w:r>
      <w:r w:rsidRPr="00FC6DFB">
        <w:rPr>
          <w:sz w:val="24"/>
          <w:szCs w:val="24"/>
        </w:rPr>
        <w:t xml:space="preserve"> ha descendido el empleo a tiempo completo y</w:t>
      </w:r>
      <w:r>
        <w:rPr>
          <w:sz w:val="24"/>
          <w:szCs w:val="24"/>
        </w:rPr>
        <w:t xml:space="preserve">, por otra parte, </w:t>
      </w:r>
      <w:r w:rsidRPr="00FC6DFB">
        <w:rPr>
          <w:sz w:val="24"/>
          <w:szCs w:val="24"/>
        </w:rPr>
        <w:t xml:space="preserve"> a un aumento del empleo a tiempo parcial, que podría corresponder a la necesidad de los trabajadores de reducir su jornada laboral para poder compatibilizarla con otras actividades; pero que en muchos casos responde a estrategias de flexibilid</w:t>
      </w:r>
      <w:r>
        <w:rPr>
          <w:sz w:val="24"/>
          <w:szCs w:val="24"/>
        </w:rPr>
        <w:t>ad y precaución de las empresas.</w:t>
      </w:r>
    </w:p>
    <w:p w:rsidR="00A35FB3" w:rsidRPr="00FC6DFB" w:rsidRDefault="00A35FB3" w:rsidP="00A35FB3">
      <w:pPr>
        <w:jc w:val="center"/>
        <w:rPr>
          <w:b/>
          <w:sz w:val="24"/>
          <w:szCs w:val="24"/>
        </w:rPr>
      </w:pPr>
      <w:r>
        <w:rPr>
          <w:b/>
          <w:noProof/>
          <w:sz w:val="24"/>
          <w:szCs w:val="24"/>
        </w:rPr>
        <w:drawing>
          <wp:anchor distT="0" distB="0" distL="114300" distR="114300" simplePos="0" relativeHeight="251662848" behindDoc="0" locked="0" layoutInCell="1" allowOverlap="1">
            <wp:simplePos x="0" y="0"/>
            <wp:positionH relativeFrom="column">
              <wp:posOffset>14605</wp:posOffset>
            </wp:positionH>
            <wp:positionV relativeFrom="paragraph">
              <wp:posOffset>728345</wp:posOffset>
            </wp:positionV>
            <wp:extent cx="5728335" cy="3838575"/>
            <wp:effectExtent l="19050" t="0" r="5715" b="0"/>
            <wp:wrapThrough wrapText="bothSides">
              <wp:wrapPolygon edited="0">
                <wp:start x="-72" y="0"/>
                <wp:lineTo x="-72" y="21546"/>
                <wp:lineTo x="21622" y="21546"/>
                <wp:lineTo x="21622" y="0"/>
                <wp:lineTo x="-72" y="0"/>
              </wp:wrapPolygon>
            </wp:wrapThrough>
            <wp:docPr id="44"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1" cstate="print"/>
                    <a:srcRect/>
                    <a:stretch>
                      <a:fillRect/>
                    </a:stretch>
                  </pic:blipFill>
                  <pic:spPr bwMode="auto">
                    <a:xfrm>
                      <a:off x="0" y="0"/>
                      <a:ext cx="5728335" cy="3838575"/>
                    </a:xfrm>
                    <a:prstGeom prst="rect">
                      <a:avLst/>
                    </a:prstGeom>
                    <a:noFill/>
                    <a:ln w="9525">
                      <a:noFill/>
                      <a:miter lim="800000"/>
                      <a:headEnd/>
                      <a:tailEnd/>
                    </a:ln>
                  </pic:spPr>
                </pic:pic>
              </a:graphicData>
            </a:graphic>
          </wp:anchor>
        </w:drawing>
      </w:r>
      <w:r w:rsidRPr="00FC6DFB">
        <w:rPr>
          <w:b/>
          <w:sz w:val="24"/>
          <w:szCs w:val="24"/>
        </w:rPr>
        <w:t>Cuadro 3.- Evolución del empleo según tipo de contrato y de jornada en España entre 2007 y 2012 (Segundo trimestre de cada año. Miles, tasas de variación</w:t>
      </w:r>
      <w:r>
        <w:rPr>
          <w:b/>
          <w:sz w:val="24"/>
          <w:szCs w:val="24"/>
        </w:rPr>
        <w:t xml:space="preserve"> anual y porcentajes relativos)</w:t>
      </w:r>
    </w:p>
    <w:p w:rsidR="001A60F2" w:rsidRDefault="001A60F2" w:rsidP="00A35FB3"/>
    <w:p w:rsidR="00A35FB3" w:rsidRPr="004C1E85" w:rsidRDefault="00A35FB3" w:rsidP="00A35FB3">
      <w:r w:rsidRPr="004C1E85">
        <w:t>Fuente: Álvarez et al., (2013)</w:t>
      </w:r>
    </w:p>
    <w:p w:rsidR="00A35FB3" w:rsidRDefault="00A35FB3" w:rsidP="00A35FB3"/>
    <w:p w:rsidR="00A35FB3" w:rsidRPr="00E10E7F" w:rsidRDefault="00A35FB3" w:rsidP="00A35FB3">
      <w:pPr>
        <w:spacing w:line="360" w:lineRule="auto"/>
      </w:pPr>
    </w:p>
    <w:p w:rsidR="00A35FB3" w:rsidRDefault="00A35FB3" w:rsidP="00A35FB3">
      <w:pPr>
        <w:spacing w:line="360" w:lineRule="auto"/>
        <w:jc w:val="both"/>
        <w:rPr>
          <w:sz w:val="24"/>
          <w:szCs w:val="24"/>
        </w:rPr>
      </w:pPr>
      <w:r w:rsidRPr="00FC6DFB">
        <w:rPr>
          <w:sz w:val="24"/>
          <w:szCs w:val="24"/>
        </w:rPr>
        <w:t>Para comprobar la receptividad de los trabajadores del empleo a tiempo parcial</w:t>
      </w:r>
      <w:r>
        <w:rPr>
          <w:sz w:val="24"/>
          <w:szCs w:val="24"/>
        </w:rPr>
        <w:t>,</w:t>
      </w:r>
      <w:r w:rsidRPr="00FC6DFB">
        <w:rPr>
          <w:sz w:val="24"/>
          <w:szCs w:val="24"/>
        </w:rPr>
        <w:t xml:space="preserve"> la Encuesta de Población Activa realiza dos indicadores. En el primero de ellos, se les pregunta a los trabajadores con empleo a tiempo parcial por</w:t>
      </w:r>
      <w:r>
        <w:rPr>
          <w:sz w:val="24"/>
          <w:szCs w:val="24"/>
        </w:rPr>
        <w:t xml:space="preserve"> qué</w:t>
      </w:r>
      <w:r w:rsidRPr="00FC6DFB">
        <w:rPr>
          <w:sz w:val="24"/>
          <w:szCs w:val="24"/>
        </w:rPr>
        <w:t xml:space="preserve"> tiene</w:t>
      </w:r>
      <w:r w:rsidR="00F8114D">
        <w:rPr>
          <w:sz w:val="24"/>
          <w:szCs w:val="24"/>
        </w:rPr>
        <w:t>n</w:t>
      </w:r>
      <w:r w:rsidRPr="00FC6DFB">
        <w:rPr>
          <w:sz w:val="24"/>
          <w:szCs w:val="24"/>
        </w:rPr>
        <w:t xml:space="preserve"> esta jornada. Si responden algo </w:t>
      </w:r>
      <w:r w:rsidRPr="00FC6DFB">
        <w:rPr>
          <w:sz w:val="24"/>
          <w:szCs w:val="24"/>
        </w:rPr>
        <w:lastRenderedPageBreak/>
        <w:t>parecido a: “por no haber encontrado trabajo con otra jornada”, son denominados “trabajadores a tiempo parcial involuntario”. Estos representaban en el segundo trimestre de 2012 a más de la mitad del empleo a tiempo parcial, mientras que en el 2007 solo suponían un 31</w:t>
      </w:r>
      <w:r>
        <w:rPr>
          <w:sz w:val="24"/>
          <w:szCs w:val="24"/>
        </w:rPr>
        <w:t xml:space="preserve"> por 100</w:t>
      </w:r>
      <w:r w:rsidRPr="00FC6DFB">
        <w:rPr>
          <w:sz w:val="24"/>
          <w:szCs w:val="24"/>
        </w:rPr>
        <w:t xml:space="preserve">. El segundo indicador recopila información sobre situaciones de subocupación por insuficiencia de horas trabajadas. Este indicador permite conocer el porcentaje de personas que, con independencia de la jornada que tengan, desean trabajar más horas y están disponibles para hacerlo. Este </w:t>
      </w:r>
      <w:r>
        <w:rPr>
          <w:sz w:val="24"/>
          <w:szCs w:val="24"/>
        </w:rPr>
        <w:t>índice se ha multiplicado por 1,</w:t>
      </w:r>
      <w:r w:rsidRPr="00FC6DFB">
        <w:rPr>
          <w:sz w:val="24"/>
          <w:szCs w:val="24"/>
        </w:rPr>
        <w:t>6 entre 2007 y 2012</w:t>
      </w:r>
      <w:r>
        <w:rPr>
          <w:sz w:val="24"/>
          <w:szCs w:val="24"/>
        </w:rPr>
        <w:t>, concentrando un 13,</w:t>
      </w:r>
      <w:r w:rsidRPr="00FC6DFB">
        <w:rPr>
          <w:sz w:val="24"/>
          <w:szCs w:val="24"/>
        </w:rPr>
        <w:t>5</w:t>
      </w:r>
      <w:r>
        <w:rPr>
          <w:sz w:val="24"/>
          <w:szCs w:val="24"/>
        </w:rPr>
        <w:t xml:space="preserve"> por 100</w:t>
      </w:r>
      <w:r w:rsidRPr="00FC6DFB">
        <w:rPr>
          <w:sz w:val="24"/>
          <w:szCs w:val="24"/>
        </w:rPr>
        <w:t xml:space="preserve"> del total de asalariados. Todos estos indicadores no solo reflejan formas flexibles de empleo, sino que también permiten determinar algunas consecuencias de la falta de trabajo: desmotivación laboral, reducciones salariales y menor poder adquisitivo y menor estabilidad en el trabajo. El empleo a tiempo parcial involuntario no es algo exclusivo de nuestro país, sino que también está presente entre nuestros socios comunitarios, aunque España dista mucho </w:t>
      </w:r>
      <w:r>
        <w:rPr>
          <w:sz w:val="24"/>
          <w:szCs w:val="24"/>
        </w:rPr>
        <w:t>de la media de la Unión Europea, como puede verse en el gráfico 10.</w:t>
      </w:r>
    </w:p>
    <w:p w:rsidR="001A60F2" w:rsidRPr="00FC6DFB" w:rsidRDefault="001A60F2" w:rsidP="00A35FB3">
      <w:pPr>
        <w:spacing w:line="360" w:lineRule="auto"/>
        <w:jc w:val="both"/>
        <w:rPr>
          <w:sz w:val="24"/>
          <w:szCs w:val="24"/>
        </w:rPr>
      </w:pPr>
    </w:p>
    <w:p w:rsidR="00A35FB3" w:rsidRPr="00FC6DFB" w:rsidRDefault="00A35FB3" w:rsidP="00A35FB3">
      <w:pPr>
        <w:jc w:val="center"/>
        <w:rPr>
          <w:b/>
          <w:sz w:val="24"/>
          <w:szCs w:val="24"/>
        </w:rPr>
      </w:pPr>
      <w:r>
        <w:rPr>
          <w:b/>
          <w:sz w:val="24"/>
          <w:szCs w:val="24"/>
        </w:rPr>
        <w:t>Gráfico 10</w:t>
      </w:r>
      <w:r w:rsidRPr="00FC6DFB">
        <w:rPr>
          <w:b/>
          <w:sz w:val="24"/>
          <w:szCs w:val="24"/>
        </w:rPr>
        <w:t>.- Proporción de empleo parcial involuntario e</w:t>
      </w:r>
      <w:r>
        <w:rPr>
          <w:b/>
          <w:sz w:val="24"/>
          <w:szCs w:val="24"/>
        </w:rPr>
        <w:t>n Europa, año</w:t>
      </w:r>
      <w:r w:rsidRPr="00FC6DFB">
        <w:rPr>
          <w:b/>
          <w:sz w:val="24"/>
          <w:szCs w:val="24"/>
        </w:rPr>
        <w:t xml:space="preserve"> 2012</w:t>
      </w:r>
      <w:r>
        <w:rPr>
          <w:b/>
          <w:sz w:val="24"/>
          <w:szCs w:val="24"/>
        </w:rPr>
        <w:t xml:space="preserve"> (%)</w:t>
      </w:r>
    </w:p>
    <w:p w:rsidR="00A35FB3" w:rsidRDefault="00A35FB3" w:rsidP="00A35FB3">
      <w:pPr>
        <w:jc w:val="both"/>
      </w:pPr>
      <w:r>
        <w:rPr>
          <w:noProof/>
        </w:rPr>
        <w:drawing>
          <wp:inline distT="0" distB="0" distL="0" distR="0">
            <wp:extent cx="5193665" cy="2999105"/>
            <wp:effectExtent l="19050" t="0" r="6985" b="0"/>
            <wp:docPr id="45"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2" cstate="print"/>
                    <a:srcRect/>
                    <a:stretch>
                      <a:fillRect/>
                    </a:stretch>
                  </pic:blipFill>
                  <pic:spPr bwMode="auto">
                    <a:xfrm>
                      <a:off x="0" y="0"/>
                      <a:ext cx="5193665" cy="2999105"/>
                    </a:xfrm>
                    <a:prstGeom prst="rect">
                      <a:avLst/>
                    </a:prstGeom>
                    <a:noFill/>
                    <a:ln w="9525">
                      <a:noFill/>
                      <a:miter lim="800000"/>
                      <a:headEnd/>
                      <a:tailEnd/>
                    </a:ln>
                  </pic:spPr>
                </pic:pic>
              </a:graphicData>
            </a:graphic>
          </wp:inline>
        </w:drawing>
      </w:r>
    </w:p>
    <w:p w:rsidR="00A35FB3" w:rsidRPr="004C1E85" w:rsidRDefault="00A35FB3" w:rsidP="00A35FB3">
      <w:pPr>
        <w:jc w:val="both"/>
      </w:pPr>
      <w:r w:rsidRPr="004C1E85">
        <w:t xml:space="preserve">Fuente: </w:t>
      </w:r>
      <w:r>
        <w:t>Secretaria de acción sindical- coordinación área externa de UGT</w:t>
      </w:r>
      <w:r w:rsidRPr="004C1E85">
        <w:t xml:space="preserve"> (2013). </w:t>
      </w:r>
    </w:p>
    <w:p w:rsidR="00A35FB3" w:rsidRPr="00724165" w:rsidRDefault="00A35FB3" w:rsidP="00A35FB3"/>
    <w:p w:rsidR="00A35FB3" w:rsidRPr="00FC6DFB" w:rsidRDefault="00A35FB3" w:rsidP="00A35FB3">
      <w:pPr>
        <w:spacing w:line="360" w:lineRule="auto"/>
        <w:jc w:val="both"/>
        <w:rPr>
          <w:color w:val="000000"/>
          <w:sz w:val="24"/>
          <w:szCs w:val="24"/>
          <w:shd w:val="clear" w:color="auto" w:fill="FFFFFF"/>
        </w:rPr>
      </w:pPr>
      <w:r w:rsidRPr="00FC6DFB">
        <w:rPr>
          <w:sz w:val="24"/>
          <w:szCs w:val="24"/>
        </w:rPr>
        <w:t>No obstante, el recurso al empleo a tiempo parcial y temporal no es algo exclusivo de la actual situación económica</w:t>
      </w:r>
      <w:r w:rsidRPr="00FC6DFB">
        <w:rPr>
          <w:color w:val="000000"/>
          <w:sz w:val="24"/>
          <w:szCs w:val="24"/>
          <w:shd w:val="clear" w:color="auto" w:fill="FFFFFF"/>
        </w:rPr>
        <w:t xml:space="preserve">. </w:t>
      </w:r>
      <w:r>
        <w:rPr>
          <w:color w:val="000000"/>
          <w:sz w:val="24"/>
          <w:szCs w:val="24"/>
          <w:shd w:val="clear" w:color="auto" w:fill="FFFFFF"/>
        </w:rPr>
        <w:t>“</w:t>
      </w:r>
      <w:r w:rsidRPr="009870D8">
        <w:rPr>
          <w:i/>
          <w:color w:val="000000"/>
          <w:sz w:val="24"/>
          <w:szCs w:val="24"/>
          <w:shd w:val="clear" w:color="auto" w:fill="FFFFFF"/>
        </w:rPr>
        <w:t xml:space="preserve">La poca estabilidad del empleo y el encadenamiento de contratos temporales fue el gran lunar del mercado laboral en la época de crecimiento. El empleo temporal fue la opción de salida en los años ochenta, cuando la </w:t>
      </w:r>
      <w:proofErr w:type="spellStart"/>
      <w:r w:rsidRPr="009870D8">
        <w:rPr>
          <w:i/>
          <w:color w:val="000000"/>
          <w:sz w:val="24"/>
          <w:szCs w:val="24"/>
          <w:shd w:val="clear" w:color="auto" w:fill="FFFFFF"/>
        </w:rPr>
        <w:t>descausalización</w:t>
      </w:r>
      <w:proofErr w:type="spellEnd"/>
      <w:r w:rsidRPr="009870D8">
        <w:rPr>
          <w:i/>
          <w:color w:val="000000"/>
          <w:sz w:val="24"/>
          <w:szCs w:val="24"/>
          <w:shd w:val="clear" w:color="auto" w:fill="FFFFFF"/>
        </w:rPr>
        <w:t xml:space="preserve"> del empleo temporal por el primer Gobierno del PSOE en 1984 provocó el uso —y la </w:t>
      </w:r>
      <w:r w:rsidRPr="009870D8">
        <w:rPr>
          <w:i/>
          <w:color w:val="000000"/>
          <w:sz w:val="24"/>
          <w:szCs w:val="24"/>
          <w:shd w:val="clear" w:color="auto" w:fill="FFFFFF"/>
        </w:rPr>
        <w:lastRenderedPageBreak/>
        <w:t xml:space="preserve">costumbre— </w:t>
      </w:r>
      <w:proofErr w:type="gramStart"/>
      <w:r w:rsidRPr="009870D8">
        <w:rPr>
          <w:i/>
          <w:color w:val="000000"/>
          <w:sz w:val="24"/>
          <w:szCs w:val="24"/>
          <w:shd w:val="clear" w:color="auto" w:fill="FFFFFF"/>
        </w:rPr>
        <w:t>masi</w:t>
      </w:r>
      <w:r>
        <w:rPr>
          <w:i/>
          <w:color w:val="000000"/>
          <w:sz w:val="24"/>
          <w:szCs w:val="24"/>
          <w:shd w:val="clear" w:color="auto" w:fill="FFFFFF"/>
        </w:rPr>
        <w:t>vo</w:t>
      </w:r>
      <w:proofErr w:type="gramEnd"/>
      <w:r w:rsidRPr="009870D8">
        <w:rPr>
          <w:i/>
          <w:color w:val="000000"/>
          <w:sz w:val="24"/>
          <w:szCs w:val="24"/>
          <w:shd w:val="clear" w:color="auto" w:fill="FFFFFF"/>
        </w:rPr>
        <w:t xml:space="preserve"> de este tipo de contratos que todavía hoy se sufre. Esta volvió a ser la carretera de salida tras la recesión de 1993</w:t>
      </w:r>
      <w:r>
        <w:rPr>
          <w:color w:val="000000"/>
          <w:sz w:val="24"/>
          <w:szCs w:val="24"/>
          <w:shd w:val="clear" w:color="auto" w:fill="FFFFFF"/>
        </w:rPr>
        <w:t>”</w:t>
      </w:r>
      <w:r w:rsidRPr="00FC6DFB">
        <w:rPr>
          <w:color w:val="000000"/>
          <w:sz w:val="24"/>
          <w:szCs w:val="24"/>
          <w:shd w:val="clear" w:color="auto" w:fill="FFFFFF"/>
        </w:rPr>
        <w:t xml:space="preserve"> (Vicente y Sánchez-Silva, 2014).</w:t>
      </w:r>
    </w:p>
    <w:p w:rsidR="00A35FB3" w:rsidRPr="00FC6DFB" w:rsidRDefault="00A35FB3" w:rsidP="00A35FB3">
      <w:pPr>
        <w:spacing w:line="360" w:lineRule="auto"/>
        <w:jc w:val="both"/>
        <w:rPr>
          <w:color w:val="000000"/>
          <w:sz w:val="24"/>
          <w:szCs w:val="24"/>
          <w:shd w:val="clear" w:color="auto" w:fill="FFFFFF"/>
        </w:rPr>
      </w:pPr>
      <w:r w:rsidRPr="00FC6DFB">
        <w:rPr>
          <w:color w:val="000000"/>
          <w:sz w:val="24"/>
          <w:szCs w:val="24"/>
          <w:shd w:val="clear" w:color="auto" w:fill="FFFFFF"/>
        </w:rPr>
        <w:t>Dentro del desempleo cobra especial importancia el caso de</w:t>
      </w:r>
      <w:r>
        <w:rPr>
          <w:color w:val="000000"/>
          <w:sz w:val="24"/>
          <w:szCs w:val="24"/>
          <w:shd w:val="clear" w:color="auto" w:fill="FFFFFF"/>
        </w:rPr>
        <w:t xml:space="preserve"> la población más joven; no sólo</w:t>
      </w:r>
      <w:r w:rsidRPr="00FC6DFB">
        <w:rPr>
          <w:color w:val="000000"/>
          <w:sz w:val="24"/>
          <w:szCs w:val="24"/>
          <w:shd w:val="clear" w:color="auto" w:fill="FFFFFF"/>
        </w:rPr>
        <w:t xml:space="preserve"> por lo que implica para la situación actual del país sino también para el futuro. El desempleo juvenil no solo condiciona las oportunidades de desarrollarse de las nuevas generaciones, sino que dificulta el poder aprovechar la inversión en capital humano que ha realizado la sociedad y el sostenimiento del estado del bienestar en el futuro.</w:t>
      </w:r>
    </w:p>
    <w:p w:rsidR="00A35FB3" w:rsidRPr="00FC6DFB" w:rsidRDefault="00A35FB3" w:rsidP="00A35FB3">
      <w:pPr>
        <w:spacing w:line="360" w:lineRule="auto"/>
        <w:rPr>
          <w:color w:val="000000"/>
          <w:sz w:val="24"/>
          <w:szCs w:val="24"/>
          <w:shd w:val="clear" w:color="auto" w:fill="FFFFFF"/>
        </w:rPr>
      </w:pPr>
      <w:r w:rsidRPr="00FC6DFB">
        <w:rPr>
          <w:color w:val="000000"/>
          <w:sz w:val="24"/>
          <w:szCs w:val="24"/>
          <w:shd w:val="clear" w:color="auto" w:fill="FFFFFF"/>
        </w:rPr>
        <w:t>Algunos de los motivos en los que se apoya nuestro elevado desempleo juvenil son:</w:t>
      </w:r>
    </w:p>
    <w:p w:rsidR="00A35FB3" w:rsidRPr="00FC6DFB" w:rsidRDefault="00A35FB3" w:rsidP="00A35FB3">
      <w:pPr>
        <w:pStyle w:val="Prrafodelista"/>
        <w:numPr>
          <w:ilvl w:val="0"/>
          <w:numId w:val="9"/>
        </w:numPr>
        <w:spacing w:line="360" w:lineRule="auto"/>
        <w:jc w:val="both"/>
        <w:rPr>
          <w:rFonts w:ascii="Times New Roman" w:hAnsi="Times New Roman" w:cs="Times New Roman"/>
          <w:color w:val="000000"/>
          <w:sz w:val="24"/>
          <w:szCs w:val="24"/>
          <w:shd w:val="clear" w:color="auto" w:fill="FFFFFF"/>
        </w:rPr>
      </w:pPr>
      <w:r w:rsidRPr="00FC6DFB">
        <w:rPr>
          <w:rFonts w:ascii="Times New Roman" w:hAnsi="Times New Roman" w:cs="Times New Roman"/>
          <w:color w:val="000000"/>
          <w:sz w:val="24"/>
          <w:szCs w:val="24"/>
          <w:shd w:val="clear" w:color="auto" w:fill="FFFFFF"/>
        </w:rPr>
        <w:t>Alto porcentaje de jóvenes que abandona los estudios de forma temprana (abandono escolar temprano).</w:t>
      </w:r>
      <w:r w:rsidRPr="00FC6DFB">
        <w:rPr>
          <w:rFonts w:ascii="Times New Roman" w:hAnsi="Times New Roman" w:cs="Times New Roman"/>
          <w:sz w:val="24"/>
          <w:szCs w:val="24"/>
        </w:rPr>
        <w:t xml:space="preserve"> La definición aceptada por la mayoría de los organismos internacionales es aquella en la que </w:t>
      </w:r>
      <w:r w:rsidRPr="00FC6DFB">
        <w:rPr>
          <w:rFonts w:ascii="Times New Roman" w:hAnsi="Times New Roman" w:cs="Times New Roman"/>
          <w:color w:val="000000"/>
          <w:sz w:val="24"/>
          <w:szCs w:val="24"/>
          <w:shd w:val="clear" w:color="auto" w:fill="FFFFFF"/>
        </w:rPr>
        <w:t>la tasa de abandono escolar se define como el porcentaje de la población de 18 a 24 años que tiene como máximo el título de enseñanza secundaria obligatoria (en la actualidad la ESO en España) y no está cursando ningún</w:t>
      </w:r>
      <w:r>
        <w:rPr>
          <w:rFonts w:ascii="Times New Roman" w:hAnsi="Times New Roman" w:cs="Times New Roman"/>
          <w:color w:val="000000"/>
          <w:sz w:val="24"/>
          <w:szCs w:val="24"/>
          <w:shd w:val="clear" w:color="auto" w:fill="FFFFFF"/>
        </w:rPr>
        <w:t xml:space="preserve"> tipo de formación. El gráfico 11</w:t>
      </w:r>
      <w:r w:rsidRPr="00FC6DFB">
        <w:rPr>
          <w:rFonts w:ascii="Times New Roman" w:hAnsi="Times New Roman" w:cs="Times New Roman"/>
          <w:color w:val="000000"/>
          <w:sz w:val="24"/>
          <w:szCs w:val="24"/>
          <w:shd w:val="clear" w:color="auto" w:fill="FFFFFF"/>
        </w:rPr>
        <w:t xml:space="preserve"> muestra la evolución de esta tasa para España y la media europea entre el año 2000 y el 2013. Se puede ver como la tasa de abandono escolar española es  superior a la media europea, aumentando la primera de un 29,1</w:t>
      </w:r>
      <w:r>
        <w:rPr>
          <w:rFonts w:ascii="Times New Roman" w:hAnsi="Times New Roman" w:cs="Times New Roman"/>
          <w:color w:val="000000"/>
          <w:sz w:val="24"/>
          <w:szCs w:val="24"/>
          <w:shd w:val="clear" w:color="auto" w:fill="FFFFFF"/>
        </w:rPr>
        <w:t xml:space="preserve"> por 100</w:t>
      </w:r>
      <w:r w:rsidRPr="00FC6DFB">
        <w:rPr>
          <w:rFonts w:ascii="Times New Roman" w:hAnsi="Times New Roman" w:cs="Times New Roman"/>
          <w:color w:val="000000"/>
          <w:sz w:val="24"/>
          <w:szCs w:val="24"/>
          <w:shd w:val="clear" w:color="auto" w:fill="FFFFFF"/>
        </w:rPr>
        <w:t xml:space="preserve"> en el año 2000 hasta un 31,9</w:t>
      </w:r>
      <w:r>
        <w:rPr>
          <w:rFonts w:ascii="Times New Roman" w:hAnsi="Times New Roman" w:cs="Times New Roman"/>
          <w:color w:val="000000"/>
          <w:sz w:val="24"/>
          <w:szCs w:val="24"/>
          <w:shd w:val="clear" w:color="auto" w:fill="FFFFFF"/>
        </w:rPr>
        <w:t xml:space="preserve"> por 100 en 2008</w:t>
      </w:r>
      <w:r w:rsidRPr="00FC6DFB">
        <w:rPr>
          <w:rFonts w:ascii="Times New Roman" w:hAnsi="Times New Roman" w:cs="Times New Roman"/>
          <w:color w:val="000000"/>
          <w:sz w:val="24"/>
          <w:szCs w:val="24"/>
          <w:shd w:val="clear" w:color="auto" w:fill="FFFFFF"/>
        </w:rPr>
        <w:t>. Todo esto mientras la media europea descendía, en el mismo período, 3 puntos porcentuales. La causa de ello se debe al elevado número de jóvenes que abandonaron sus estudios atraídos por los elevados salarios de la construcción en la época de bonanza económica (</w:t>
      </w:r>
      <w:r>
        <w:rPr>
          <w:rFonts w:ascii="Times New Roman" w:hAnsi="Times New Roman" w:cs="Times New Roman"/>
          <w:color w:val="000000"/>
          <w:sz w:val="24"/>
          <w:szCs w:val="24"/>
          <w:shd w:val="clear" w:color="auto" w:fill="FFFFFF"/>
        </w:rPr>
        <w:t>Serrano, Soler y Hernández, 2013</w:t>
      </w:r>
      <w:r w:rsidRPr="00FC6DFB">
        <w:rPr>
          <w:rFonts w:ascii="Times New Roman" w:hAnsi="Times New Roman" w:cs="Times New Roman"/>
          <w:color w:val="000000"/>
          <w:sz w:val="24"/>
          <w:szCs w:val="24"/>
          <w:shd w:val="clear" w:color="auto" w:fill="FFFFFF"/>
        </w:rPr>
        <w:t>).</w:t>
      </w:r>
    </w:p>
    <w:p w:rsidR="00A35FB3" w:rsidRPr="00FC6DFB" w:rsidRDefault="00A35FB3" w:rsidP="00A35FB3">
      <w:pPr>
        <w:pStyle w:val="Prrafodelista"/>
        <w:ind w:left="360"/>
        <w:jc w:val="both"/>
        <w:rPr>
          <w:rFonts w:ascii="Times New Roman" w:hAnsi="Times New Roman" w:cs="Times New Roman"/>
          <w:color w:val="000000"/>
          <w:sz w:val="24"/>
          <w:szCs w:val="24"/>
          <w:shd w:val="clear" w:color="auto" w:fill="FFFFFF"/>
        </w:rPr>
      </w:pPr>
    </w:p>
    <w:p w:rsidR="00A35FB3" w:rsidRPr="00FC6DFB" w:rsidRDefault="00A35FB3" w:rsidP="00A35FB3">
      <w:pPr>
        <w:pStyle w:val="Prrafodelista"/>
        <w:ind w:left="360"/>
        <w:jc w:val="center"/>
        <w:rPr>
          <w:rFonts w:ascii="Times New Roman" w:hAnsi="Times New Roman" w:cs="Times New Roman"/>
          <w:b/>
          <w:color w:val="000000"/>
          <w:sz w:val="24"/>
          <w:szCs w:val="24"/>
          <w:shd w:val="clear" w:color="auto" w:fill="FFFFFF"/>
        </w:rPr>
      </w:pPr>
      <w:r>
        <w:rPr>
          <w:rFonts w:ascii="Times New Roman" w:hAnsi="Times New Roman" w:cs="Times New Roman"/>
          <w:b/>
          <w:color w:val="000000"/>
          <w:sz w:val="24"/>
          <w:szCs w:val="24"/>
          <w:shd w:val="clear" w:color="auto" w:fill="FFFFFF"/>
        </w:rPr>
        <w:t>Gráfico 11</w:t>
      </w:r>
      <w:r w:rsidRPr="00FC6DFB">
        <w:rPr>
          <w:rFonts w:ascii="Times New Roman" w:hAnsi="Times New Roman" w:cs="Times New Roman"/>
          <w:b/>
          <w:color w:val="000000"/>
          <w:sz w:val="24"/>
          <w:szCs w:val="24"/>
          <w:shd w:val="clear" w:color="auto" w:fill="FFFFFF"/>
        </w:rPr>
        <w:t>.- Evolución de la tasa de abandono escolar de España y UE-27 entre 2000 y 2013</w:t>
      </w:r>
    </w:p>
    <w:p w:rsidR="00A35FB3" w:rsidRDefault="00A35FB3" w:rsidP="00A35FB3">
      <w:pPr>
        <w:pStyle w:val="Prrafodelista"/>
        <w:ind w:left="360"/>
        <w:rPr>
          <w:rFonts w:cs="Arial"/>
          <w:color w:val="000000"/>
          <w:shd w:val="clear" w:color="auto" w:fill="FFFFFF"/>
        </w:rPr>
      </w:pPr>
      <w:r w:rsidRPr="00E85715">
        <w:rPr>
          <w:rFonts w:cs="Arial"/>
          <w:noProof/>
          <w:color w:val="000000"/>
          <w:shd w:val="clear" w:color="auto" w:fill="FFFFFF"/>
        </w:rPr>
        <w:drawing>
          <wp:inline distT="0" distB="0" distL="0" distR="0">
            <wp:extent cx="4248150" cy="2743200"/>
            <wp:effectExtent l="57150" t="0" r="38100" b="38100"/>
            <wp:docPr id="46" name="Gráfico 3"/>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rsidR="00A35FB3" w:rsidRPr="004C1E85" w:rsidRDefault="00A35FB3" w:rsidP="00A35FB3">
      <w:pPr>
        <w:pStyle w:val="Prrafodelista"/>
        <w:ind w:left="360"/>
        <w:rPr>
          <w:rFonts w:ascii="Times New Roman" w:hAnsi="Times New Roman" w:cs="Times New Roman"/>
          <w:color w:val="000000"/>
          <w:sz w:val="20"/>
          <w:szCs w:val="20"/>
          <w:shd w:val="clear" w:color="auto" w:fill="FFFFFF"/>
        </w:rPr>
      </w:pPr>
      <w:r>
        <w:rPr>
          <w:rFonts w:ascii="Times New Roman" w:hAnsi="Times New Roman" w:cs="Times New Roman"/>
          <w:color w:val="000000"/>
          <w:sz w:val="20"/>
          <w:szCs w:val="20"/>
          <w:shd w:val="clear" w:color="auto" w:fill="FFFFFF"/>
        </w:rPr>
        <w:t>Fuente: Serrano et al., 2013</w:t>
      </w:r>
    </w:p>
    <w:p w:rsidR="00BE2072" w:rsidRDefault="00A35FB3" w:rsidP="00BE2072">
      <w:pPr>
        <w:autoSpaceDE w:val="0"/>
        <w:autoSpaceDN w:val="0"/>
        <w:adjustRightInd w:val="0"/>
        <w:spacing w:line="360" w:lineRule="auto"/>
        <w:jc w:val="both"/>
        <w:rPr>
          <w:sz w:val="24"/>
          <w:szCs w:val="24"/>
        </w:rPr>
      </w:pPr>
      <w:r>
        <w:rPr>
          <w:color w:val="000000"/>
          <w:sz w:val="24"/>
          <w:szCs w:val="24"/>
          <w:shd w:val="clear" w:color="auto" w:fill="FFFFFF"/>
        </w:rPr>
        <w:lastRenderedPageBreak/>
        <w:t>Con relación</w:t>
      </w:r>
      <w:r w:rsidRPr="00FC6DFB">
        <w:rPr>
          <w:color w:val="000000"/>
          <w:sz w:val="24"/>
          <w:szCs w:val="24"/>
          <w:shd w:val="clear" w:color="auto" w:fill="FFFFFF"/>
        </w:rPr>
        <w:t xml:space="preserve"> a la distribución regional del abandono escolar en España, se pueden apreciar bastantes diferencias. Según los datos recopilados por el Ministerio de Educación, Cultura y Deporte (MECD, en adelante) sobre tasas de abandono escolar</w:t>
      </w:r>
      <w:r>
        <w:rPr>
          <w:color w:val="000000"/>
          <w:sz w:val="24"/>
          <w:szCs w:val="24"/>
          <w:shd w:val="clear" w:color="auto" w:fill="FFFFFF"/>
        </w:rPr>
        <w:t xml:space="preserve"> (Serrano et al., 2013),</w:t>
      </w:r>
      <w:r w:rsidRPr="00FC6DFB">
        <w:rPr>
          <w:color w:val="000000"/>
          <w:sz w:val="24"/>
          <w:szCs w:val="24"/>
          <w:shd w:val="clear" w:color="auto" w:fill="FFFFFF"/>
        </w:rPr>
        <w:t xml:space="preserve"> en el </w:t>
      </w:r>
      <w:r>
        <w:rPr>
          <w:color w:val="000000"/>
          <w:sz w:val="24"/>
          <w:szCs w:val="24"/>
          <w:shd w:val="clear" w:color="auto" w:fill="FFFFFF"/>
        </w:rPr>
        <w:t xml:space="preserve">intervalo de años comprendido entre 2005 y </w:t>
      </w:r>
      <w:r w:rsidRPr="00FC6DFB">
        <w:rPr>
          <w:color w:val="000000"/>
          <w:sz w:val="24"/>
          <w:szCs w:val="24"/>
          <w:shd w:val="clear" w:color="auto" w:fill="FFFFFF"/>
        </w:rPr>
        <w:t xml:space="preserve">2009 </w:t>
      </w:r>
      <w:r w:rsidRPr="00FC6DFB">
        <w:rPr>
          <w:sz w:val="24"/>
          <w:szCs w:val="24"/>
        </w:rPr>
        <w:t>todas las provincias españolas tenían tasas por encima del 10</w:t>
      </w:r>
      <w:r>
        <w:rPr>
          <w:sz w:val="24"/>
          <w:szCs w:val="24"/>
        </w:rPr>
        <w:t xml:space="preserve"> por 100</w:t>
      </w:r>
      <w:r w:rsidRPr="00FC6DFB">
        <w:rPr>
          <w:sz w:val="24"/>
          <w:szCs w:val="24"/>
        </w:rPr>
        <w:t xml:space="preserve"> (objetivo fijado por la Unión Europea) y apenas dos provincias se situaban por debajo del 15</w:t>
      </w:r>
      <w:r>
        <w:rPr>
          <w:sz w:val="24"/>
          <w:szCs w:val="24"/>
        </w:rPr>
        <w:t xml:space="preserve"> por 100</w:t>
      </w:r>
      <w:r w:rsidRPr="00FC6DFB">
        <w:rPr>
          <w:sz w:val="24"/>
          <w:szCs w:val="24"/>
        </w:rPr>
        <w:t xml:space="preserve"> de abandono; según aparece reflejado en el mapa 1</w:t>
      </w:r>
      <w:r w:rsidR="0026395C">
        <w:rPr>
          <w:sz w:val="24"/>
          <w:szCs w:val="24"/>
        </w:rPr>
        <w:t>.</w:t>
      </w:r>
    </w:p>
    <w:p w:rsidR="00883135" w:rsidRPr="00BE2072" w:rsidRDefault="00883135" w:rsidP="00BE2072">
      <w:pPr>
        <w:autoSpaceDE w:val="0"/>
        <w:autoSpaceDN w:val="0"/>
        <w:adjustRightInd w:val="0"/>
        <w:spacing w:line="360" w:lineRule="auto"/>
        <w:jc w:val="both"/>
        <w:rPr>
          <w:sz w:val="24"/>
          <w:szCs w:val="24"/>
        </w:rPr>
      </w:pPr>
    </w:p>
    <w:p w:rsidR="00A35FB3" w:rsidRPr="00FA576F" w:rsidRDefault="00A35FB3" w:rsidP="00A35FB3">
      <w:pPr>
        <w:jc w:val="center"/>
        <w:rPr>
          <w:b/>
          <w:sz w:val="24"/>
          <w:szCs w:val="24"/>
        </w:rPr>
      </w:pPr>
      <w:r w:rsidRPr="00FA576F">
        <w:rPr>
          <w:b/>
          <w:sz w:val="24"/>
          <w:szCs w:val="24"/>
        </w:rPr>
        <w:t>Mapa 1.- Abandono escolar temprano. Provincias españolas. Media 2005- 2009 (</w:t>
      </w:r>
      <w:r>
        <w:rPr>
          <w:b/>
          <w:sz w:val="24"/>
          <w:szCs w:val="24"/>
        </w:rPr>
        <w:t>por 100</w:t>
      </w:r>
      <w:r w:rsidRPr="00FA576F">
        <w:rPr>
          <w:b/>
          <w:sz w:val="24"/>
          <w:szCs w:val="24"/>
        </w:rPr>
        <w:t>)</w:t>
      </w:r>
    </w:p>
    <w:p w:rsidR="00A35FB3" w:rsidRDefault="00A35FB3" w:rsidP="00A35FB3">
      <w:pPr>
        <w:pStyle w:val="Prrafodelista"/>
        <w:jc w:val="center"/>
        <w:rPr>
          <w:sz w:val="20"/>
          <w:szCs w:val="20"/>
        </w:rPr>
      </w:pPr>
      <w:r>
        <w:rPr>
          <w:noProof/>
          <w:sz w:val="20"/>
          <w:szCs w:val="20"/>
        </w:rPr>
        <w:drawing>
          <wp:inline distT="0" distB="0" distL="0" distR="0">
            <wp:extent cx="4616533" cy="2847975"/>
            <wp:effectExtent l="19050" t="0" r="0" b="0"/>
            <wp:docPr id="47"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4" cstate="print"/>
                    <a:srcRect/>
                    <a:stretch>
                      <a:fillRect/>
                    </a:stretch>
                  </pic:blipFill>
                  <pic:spPr bwMode="auto">
                    <a:xfrm>
                      <a:off x="0" y="0"/>
                      <a:ext cx="4616533" cy="2847975"/>
                    </a:xfrm>
                    <a:prstGeom prst="rect">
                      <a:avLst/>
                    </a:prstGeom>
                    <a:noFill/>
                    <a:ln w="9525">
                      <a:noFill/>
                      <a:miter lim="800000"/>
                      <a:headEnd/>
                      <a:tailEnd/>
                    </a:ln>
                  </pic:spPr>
                </pic:pic>
              </a:graphicData>
            </a:graphic>
          </wp:inline>
        </w:drawing>
      </w:r>
    </w:p>
    <w:p w:rsidR="00A35FB3" w:rsidRPr="00942668" w:rsidRDefault="00A35FB3" w:rsidP="00A35FB3">
      <w:pPr>
        <w:pStyle w:val="Prrafodelista"/>
        <w:rPr>
          <w:rFonts w:ascii="Times New Roman" w:hAnsi="Times New Roman" w:cs="Times New Roman"/>
          <w:sz w:val="20"/>
          <w:szCs w:val="20"/>
        </w:rPr>
      </w:pPr>
      <w:r w:rsidRPr="00942668">
        <w:rPr>
          <w:rFonts w:ascii="Times New Roman" w:hAnsi="Times New Roman" w:cs="Times New Roman"/>
          <w:sz w:val="20"/>
          <w:szCs w:val="20"/>
        </w:rPr>
        <w:t>Fuente:</w:t>
      </w:r>
      <w:r w:rsidRPr="00942668">
        <w:rPr>
          <w:rFonts w:ascii="Times New Roman" w:hAnsi="Times New Roman" w:cs="Times New Roman"/>
          <w:color w:val="000000"/>
          <w:sz w:val="20"/>
          <w:szCs w:val="20"/>
          <w:shd w:val="clear" w:color="auto" w:fill="FFFFFF"/>
        </w:rPr>
        <w:t xml:space="preserve"> Serrano et al., 2013</w:t>
      </w:r>
    </w:p>
    <w:p w:rsidR="00BE2072" w:rsidRDefault="00A35FB3" w:rsidP="00BE2072">
      <w:pPr>
        <w:autoSpaceDE w:val="0"/>
        <w:autoSpaceDN w:val="0"/>
        <w:adjustRightInd w:val="0"/>
        <w:spacing w:line="360" w:lineRule="auto"/>
        <w:jc w:val="both"/>
        <w:rPr>
          <w:sz w:val="24"/>
          <w:szCs w:val="24"/>
        </w:rPr>
      </w:pPr>
      <w:r w:rsidRPr="00B10E79">
        <w:rPr>
          <w:sz w:val="24"/>
          <w:szCs w:val="24"/>
        </w:rPr>
        <w:t>Sin embargo, el mapa 2 muestra un claro cambio de situación, con una reducción generalizada de las tasas de abandono. El patrón territorial es, en términos generales, de tasas más bajas en el norte y más altas en el sur. De acuerdo con el mapa, solo una provincia cumpliría con el objetivo de la Unión Europea del 10</w:t>
      </w:r>
      <w:r>
        <w:rPr>
          <w:sz w:val="24"/>
          <w:szCs w:val="24"/>
        </w:rPr>
        <w:t xml:space="preserve"> por 100</w:t>
      </w:r>
      <w:r w:rsidRPr="00B10E79">
        <w:rPr>
          <w:sz w:val="24"/>
          <w:szCs w:val="24"/>
        </w:rPr>
        <w:t xml:space="preserve"> para 2020 y apenas otras dos estarían por debajo del 15</w:t>
      </w:r>
      <w:r>
        <w:rPr>
          <w:sz w:val="24"/>
          <w:szCs w:val="24"/>
        </w:rPr>
        <w:t>por 100</w:t>
      </w:r>
      <w:r w:rsidRPr="00B10E79">
        <w:rPr>
          <w:sz w:val="24"/>
          <w:szCs w:val="24"/>
        </w:rPr>
        <w:t>.  En resumen, los datos provinciales confirman que el problema del abandono temprano afecta a todo el territorio (casi todas las provincias han estado y siguen estando por encima de los objetivos de la Unión Europea en este ámbito).</w:t>
      </w:r>
    </w:p>
    <w:p w:rsidR="00883135" w:rsidRDefault="00883135" w:rsidP="00BE2072">
      <w:pPr>
        <w:autoSpaceDE w:val="0"/>
        <w:autoSpaceDN w:val="0"/>
        <w:adjustRightInd w:val="0"/>
        <w:spacing w:line="360" w:lineRule="auto"/>
        <w:jc w:val="both"/>
        <w:rPr>
          <w:sz w:val="24"/>
          <w:szCs w:val="24"/>
        </w:rPr>
      </w:pPr>
    </w:p>
    <w:p w:rsidR="00883135" w:rsidRDefault="00883135" w:rsidP="00BE2072">
      <w:pPr>
        <w:autoSpaceDE w:val="0"/>
        <w:autoSpaceDN w:val="0"/>
        <w:adjustRightInd w:val="0"/>
        <w:spacing w:line="360" w:lineRule="auto"/>
        <w:jc w:val="both"/>
        <w:rPr>
          <w:sz w:val="24"/>
          <w:szCs w:val="24"/>
        </w:rPr>
      </w:pPr>
    </w:p>
    <w:p w:rsidR="00883135" w:rsidRDefault="00883135" w:rsidP="00BE2072">
      <w:pPr>
        <w:autoSpaceDE w:val="0"/>
        <w:autoSpaceDN w:val="0"/>
        <w:adjustRightInd w:val="0"/>
        <w:spacing w:line="360" w:lineRule="auto"/>
        <w:jc w:val="both"/>
        <w:rPr>
          <w:sz w:val="24"/>
          <w:szCs w:val="24"/>
        </w:rPr>
      </w:pPr>
    </w:p>
    <w:p w:rsidR="00883135" w:rsidRDefault="00883135" w:rsidP="00BE2072">
      <w:pPr>
        <w:autoSpaceDE w:val="0"/>
        <w:autoSpaceDN w:val="0"/>
        <w:adjustRightInd w:val="0"/>
        <w:spacing w:line="360" w:lineRule="auto"/>
        <w:jc w:val="both"/>
        <w:rPr>
          <w:sz w:val="24"/>
          <w:szCs w:val="24"/>
        </w:rPr>
      </w:pPr>
    </w:p>
    <w:p w:rsidR="00883135" w:rsidRDefault="00883135" w:rsidP="00BE2072">
      <w:pPr>
        <w:autoSpaceDE w:val="0"/>
        <w:autoSpaceDN w:val="0"/>
        <w:adjustRightInd w:val="0"/>
        <w:spacing w:line="360" w:lineRule="auto"/>
        <w:jc w:val="both"/>
        <w:rPr>
          <w:sz w:val="24"/>
          <w:szCs w:val="24"/>
        </w:rPr>
      </w:pPr>
    </w:p>
    <w:p w:rsidR="00883135" w:rsidRPr="00BE2072" w:rsidRDefault="00883135" w:rsidP="00BE2072">
      <w:pPr>
        <w:autoSpaceDE w:val="0"/>
        <w:autoSpaceDN w:val="0"/>
        <w:adjustRightInd w:val="0"/>
        <w:spacing w:line="360" w:lineRule="auto"/>
        <w:jc w:val="both"/>
        <w:rPr>
          <w:sz w:val="24"/>
          <w:szCs w:val="24"/>
        </w:rPr>
      </w:pPr>
    </w:p>
    <w:p w:rsidR="00BE2072" w:rsidRDefault="00BE2072" w:rsidP="00A35FB3">
      <w:pPr>
        <w:autoSpaceDE w:val="0"/>
        <w:autoSpaceDN w:val="0"/>
        <w:adjustRightInd w:val="0"/>
        <w:jc w:val="both"/>
        <w:rPr>
          <w:rFonts w:cs="Verdana"/>
        </w:rPr>
      </w:pPr>
    </w:p>
    <w:p w:rsidR="00A35FB3" w:rsidRPr="00FA576F" w:rsidRDefault="00A35FB3" w:rsidP="00A35FB3">
      <w:pPr>
        <w:jc w:val="center"/>
        <w:rPr>
          <w:b/>
          <w:sz w:val="24"/>
          <w:szCs w:val="24"/>
        </w:rPr>
      </w:pPr>
      <w:r w:rsidRPr="00FA576F">
        <w:rPr>
          <w:b/>
          <w:sz w:val="24"/>
          <w:szCs w:val="24"/>
        </w:rPr>
        <w:lastRenderedPageBreak/>
        <w:t>Mapa 2.- Abandono escolar temprano. Provincias españolas. Media 2010- 2012 (</w:t>
      </w:r>
      <w:r>
        <w:rPr>
          <w:b/>
          <w:sz w:val="24"/>
          <w:szCs w:val="24"/>
        </w:rPr>
        <w:t>por 100</w:t>
      </w:r>
      <w:r w:rsidRPr="00FA576F">
        <w:rPr>
          <w:b/>
          <w:sz w:val="24"/>
          <w:szCs w:val="24"/>
        </w:rPr>
        <w:t>)</w:t>
      </w:r>
    </w:p>
    <w:p w:rsidR="00A35FB3" w:rsidRDefault="00A35FB3" w:rsidP="00A35FB3">
      <w:pPr>
        <w:autoSpaceDE w:val="0"/>
        <w:autoSpaceDN w:val="0"/>
        <w:adjustRightInd w:val="0"/>
        <w:jc w:val="center"/>
        <w:rPr>
          <w:rFonts w:cs="Verdana"/>
        </w:rPr>
      </w:pPr>
      <w:r>
        <w:rPr>
          <w:rFonts w:cs="Verdana"/>
          <w:noProof/>
        </w:rPr>
        <w:drawing>
          <wp:inline distT="0" distB="0" distL="0" distR="0">
            <wp:extent cx="4077937" cy="2587737"/>
            <wp:effectExtent l="19050" t="0" r="0" b="0"/>
            <wp:docPr id="48"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5" cstate="print"/>
                    <a:srcRect/>
                    <a:stretch>
                      <a:fillRect/>
                    </a:stretch>
                  </pic:blipFill>
                  <pic:spPr bwMode="auto">
                    <a:xfrm>
                      <a:off x="0" y="0"/>
                      <a:ext cx="4095636" cy="2598968"/>
                    </a:xfrm>
                    <a:prstGeom prst="rect">
                      <a:avLst/>
                    </a:prstGeom>
                    <a:noFill/>
                    <a:ln w="9525">
                      <a:noFill/>
                      <a:miter lim="800000"/>
                      <a:headEnd/>
                      <a:tailEnd/>
                    </a:ln>
                  </pic:spPr>
                </pic:pic>
              </a:graphicData>
            </a:graphic>
          </wp:inline>
        </w:drawing>
      </w:r>
    </w:p>
    <w:p w:rsidR="00A35FB3" w:rsidRPr="00942668" w:rsidRDefault="00A35FB3" w:rsidP="00A35FB3">
      <w:pPr>
        <w:tabs>
          <w:tab w:val="left" w:pos="979"/>
        </w:tabs>
      </w:pPr>
      <w:r>
        <w:rPr>
          <w:rFonts w:cs="Verdana"/>
        </w:rPr>
        <w:tab/>
      </w:r>
      <w:r w:rsidRPr="00942668">
        <w:t xml:space="preserve">Fuente: </w:t>
      </w:r>
      <w:r w:rsidRPr="00942668">
        <w:rPr>
          <w:color w:val="000000"/>
          <w:shd w:val="clear" w:color="auto" w:fill="FFFFFF"/>
        </w:rPr>
        <w:t>Serrano et al., 2013</w:t>
      </w:r>
    </w:p>
    <w:p w:rsidR="00A35FB3" w:rsidRPr="00B10E79" w:rsidRDefault="00A35FB3" w:rsidP="00A35FB3">
      <w:pPr>
        <w:tabs>
          <w:tab w:val="left" w:pos="979"/>
        </w:tabs>
        <w:spacing w:line="360" w:lineRule="auto"/>
        <w:jc w:val="both"/>
        <w:rPr>
          <w:sz w:val="24"/>
          <w:szCs w:val="24"/>
        </w:rPr>
      </w:pPr>
      <w:r w:rsidRPr="00B10E79">
        <w:rPr>
          <w:sz w:val="24"/>
          <w:szCs w:val="24"/>
        </w:rPr>
        <w:t xml:space="preserve">El MECD también recoge información sobre la posibilidad de formar parte de la población ocupada según el nivel educativo, volviéndose a presentar la relación directa  que existe entre el nivel educativo y la probabilidad de estar entre </w:t>
      </w:r>
      <w:r>
        <w:rPr>
          <w:sz w:val="24"/>
          <w:szCs w:val="24"/>
        </w:rPr>
        <w:t>la población ocupada (gráfico 12</w:t>
      </w:r>
      <w:r w:rsidRPr="00B10E79">
        <w:rPr>
          <w:sz w:val="24"/>
          <w:szCs w:val="24"/>
        </w:rPr>
        <w:t>).</w:t>
      </w:r>
    </w:p>
    <w:p w:rsidR="00A35FB3" w:rsidRPr="00B10E79" w:rsidRDefault="00A35FB3" w:rsidP="00A35FB3">
      <w:pPr>
        <w:tabs>
          <w:tab w:val="left" w:pos="979"/>
        </w:tabs>
        <w:jc w:val="center"/>
        <w:rPr>
          <w:b/>
          <w:sz w:val="24"/>
          <w:szCs w:val="24"/>
        </w:rPr>
      </w:pPr>
      <w:r>
        <w:rPr>
          <w:b/>
          <w:sz w:val="24"/>
          <w:szCs w:val="24"/>
        </w:rPr>
        <w:t>Gráfico 12</w:t>
      </w:r>
      <w:r w:rsidRPr="00B10E79">
        <w:rPr>
          <w:b/>
          <w:sz w:val="24"/>
          <w:szCs w:val="24"/>
        </w:rPr>
        <w:t>.- Probabilidad de estar entre</w:t>
      </w:r>
      <w:r>
        <w:rPr>
          <w:b/>
          <w:sz w:val="24"/>
          <w:szCs w:val="24"/>
        </w:rPr>
        <w:t xml:space="preserve"> los ocupados en España en 2012</w:t>
      </w:r>
    </w:p>
    <w:p w:rsidR="00A35FB3" w:rsidRDefault="00A35FB3" w:rsidP="00A35FB3">
      <w:pPr>
        <w:tabs>
          <w:tab w:val="left" w:pos="979"/>
        </w:tabs>
        <w:jc w:val="center"/>
        <w:rPr>
          <w:rFonts w:cs="Verdana"/>
        </w:rPr>
      </w:pPr>
      <w:r>
        <w:rPr>
          <w:rFonts w:cs="Verdana"/>
          <w:noProof/>
        </w:rPr>
        <w:drawing>
          <wp:inline distT="0" distB="0" distL="0" distR="0">
            <wp:extent cx="5094275" cy="2114093"/>
            <wp:effectExtent l="19050" t="0" r="0" b="0"/>
            <wp:docPr id="49"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6" cstate="print"/>
                    <a:srcRect/>
                    <a:stretch>
                      <a:fillRect/>
                    </a:stretch>
                  </pic:blipFill>
                  <pic:spPr bwMode="auto">
                    <a:xfrm>
                      <a:off x="0" y="0"/>
                      <a:ext cx="5095568" cy="2114630"/>
                    </a:xfrm>
                    <a:prstGeom prst="rect">
                      <a:avLst/>
                    </a:prstGeom>
                    <a:noFill/>
                    <a:ln w="9525">
                      <a:noFill/>
                      <a:miter lim="800000"/>
                      <a:headEnd/>
                      <a:tailEnd/>
                    </a:ln>
                  </pic:spPr>
                </pic:pic>
              </a:graphicData>
            </a:graphic>
          </wp:inline>
        </w:drawing>
      </w:r>
    </w:p>
    <w:p w:rsidR="00A35FB3" w:rsidRPr="004C1E85" w:rsidRDefault="00A35FB3" w:rsidP="00A35FB3">
      <w:pPr>
        <w:tabs>
          <w:tab w:val="left" w:pos="979"/>
        </w:tabs>
      </w:pPr>
      <w:r w:rsidRPr="004C1E85">
        <w:t>Nota: cálculos respecto a población con estudios primarios</w:t>
      </w:r>
    </w:p>
    <w:p w:rsidR="00A35FB3" w:rsidRPr="00942668" w:rsidRDefault="00A35FB3" w:rsidP="00A35FB3">
      <w:pPr>
        <w:tabs>
          <w:tab w:val="left" w:pos="979"/>
        </w:tabs>
      </w:pPr>
      <w:r w:rsidRPr="00942668">
        <w:t xml:space="preserve">Fuente: </w:t>
      </w:r>
      <w:r w:rsidRPr="00942668">
        <w:rPr>
          <w:color w:val="000000"/>
          <w:shd w:val="clear" w:color="auto" w:fill="FFFFFF"/>
        </w:rPr>
        <w:t>Serrano et al., 2013</w:t>
      </w:r>
    </w:p>
    <w:p w:rsidR="00A35FB3" w:rsidRDefault="00A35FB3" w:rsidP="00A35FB3">
      <w:pPr>
        <w:tabs>
          <w:tab w:val="left" w:pos="979"/>
        </w:tabs>
        <w:rPr>
          <w:rFonts w:cs="Verdana"/>
        </w:rPr>
      </w:pPr>
    </w:p>
    <w:p w:rsidR="00A35FB3" w:rsidRPr="00B10E79" w:rsidRDefault="00A35FB3" w:rsidP="00A35FB3">
      <w:pPr>
        <w:pStyle w:val="Prrafodelista"/>
        <w:numPr>
          <w:ilvl w:val="0"/>
          <w:numId w:val="9"/>
        </w:numPr>
        <w:tabs>
          <w:tab w:val="left" w:pos="979"/>
        </w:tabs>
        <w:spacing w:after="0" w:line="360" w:lineRule="auto"/>
        <w:jc w:val="both"/>
        <w:rPr>
          <w:rFonts w:ascii="Times New Roman" w:hAnsi="Times New Roman" w:cs="Times New Roman"/>
          <w:sz w:val="24"/>
          <w:szCs w:val="24"/>
        </w:rPr>
      </w:pPr>
      <w:r w:rsidRPr="00B10E79">
        <w:rPr>
          <w:rFonts w:ascii="Times New Roman" w:hAnsi="Times New Roman" w:cs="Times New Roman"/>
          <w:sz w:val="24"/>
          <w:szCs w:val="24"/>
        </w:rPr>
        <w:t>Las dificultades que condicionan a la población joven a la hora de conseguir un puesto de trabajo no están relacionadas solo con su nivel de formación, sino también con la situación en el mercado laboral, destacando el protagonismo de la temporalidad.</w:t>
      </w:r>
    </w:p>
    <w:p w:rsidR="00A35FB3" w:rsidRPr="00B10E79" w:rsidRDefault="00A35FB3" w:rsidP="00A35FB3">
      <w:pPr>
        <w:pStyle w:val="Prrafodelista"/>
        <w:tabs>
          <w:tab w:val="left" w:pos="979"/>
        </w:tabs>
        <w:spacing w:after="0" w:line="360" w:lineRule="auto"/>
        <w:ind w:left="360"/>
        <w:jc w:val="both"/>
        <w:rPr>
          <w:rFonts w:ascii="Times New Roman" w:hAnsi="Times New Roman" w:cs="Times New Roman"/>
          <w:sz w:val="24"/>
          <w:szCs w:val="24"/>
        </w:rPr>
      </w:pPr>
      <w:r w:rsidRPr="00B10E79">
        <w:rPr>
          <w:rFonts w:ascii="Times New Roman" w:hAnsi="Times New Roman" w:cs="Times New Roman"/>
          <w:sz w:val="24"/>
          <w:szCs w:val="24"/>
        </w:rPr>
        <w:t xml:space="preserve">Un empresario puede optar por contratar a un joven sin experiencia laboral de forma temporal si tiene un fuerte desconocimiento de la productividad y el desempeño que el joven puede conseguir. Por otra parte, un persona puede escoger un contrato temporal si cree que de esa manera puede aspirar a un puesto de trabajo más estable en el futuro (García, 2011). Entre los motivos por los que los jóvenes españoles tienen contratos temporales destaca la imposibilidad por poder encontrar un empleo estable o permanente.  </w:t>
      </w:r>
      <w:r w:rsidRPr="00B10E79">
        <w:rPr>
          <w:rFonts w:ascii="Times New Roman" w:hAnsi="Times New Roman" w:cs="Times New Roman"/>
          <w:sz w:val="24"/>
          <w:szCs w:val="24"/>
        </w:rPr>
        <w:lastRenderedPageBreak/>
        <w:t xml:space="preserve">Según </w:t>
      </w:r>
      <w:proofErr w:type="spellStart"/>
      <w:r w:rsidRPr="00B10E79">
        <w:rPr>
          <w:rFonts w:ascii="Times New Roman" w:hAnsi="Times New Roman" w:cs="Times New Roman"/>
          <w:sz w:val="24"/>
          <w:szCs w:val="24"/>
        </w:rPr>
        <w:t>Eurostat</w:t>
      </w:r>
      <w:proofErr w:type="spellEnd"/>
      <w:r w:rsidRPr="00B10E79">
        <w:rPr>
          <w:rFonts w:ascii="Times New Roman" w:hAnsi="Times New Roman" w:cs="Times New Roman"/>
          <w:sz w:val="24"/>
          <w:szCs w:val="24"/>
        </w:rPr>
        <w:t>, en 2012, esta causa agrupaba a un 81,3</w:t>
      </w:r>
      <w:r>
        <w:rPr>
          <w:rFonts w:ascii="Times New Roman" w:hAnsi="Times New Roman" w:cs="Times New Roman"/>
          <w:sz w:val="24"/>
          <w:szCs w:val="24"/>
        </w:rPr>
        <w:t xml:space="preserve"> por 100</w:t>
      </w:r>
      <w:r w:rsidRPr="00B10E79">
        <w:rPr>
          <w:rFonts w:ascii="Times New Roman" w:hAnsi="Times New Roman" w:cs="Times New Roman"/>
          <w:sz w:val="24"/>
          <w:szCs w:val="24"/>
        </w:rPr>
        <w:t xml:space="preserve"> de los jóvenes entre 18 y 24 años con empleo temporal en España.</w:t>
      </w:r>
    </w:p>
    <w:p w:rsidR="00A35FB3" w:rsidRPr="00B10E79" w:rsidRDefault="00A35FB3" w:rsidP="00A35FB3">
      <w:pPr>
        <w:pStyle w:val="Prrafodelista"/>
        <w:tabs>
          <w:tab w:val="left" w:pos="979"/>
        </w:tabs>
        <w:spacing w:after="0" w:line="360" w:lineRule="auto"/>
        <w:ind w:left="360"/>
        <w:jc w:val="both"/>
        <w:rPr>
          <w:rFonts w:ascii="Times New Roman" w:hAnsi="Times New Roman" w:cs="Times New Roman"/>
          <w:sz w:val="24"/>
          <w:szCs w:val="24"/>
        </w:rPr>
      </w:pPr>
    </w:p>
    <w:p w:rsidR="00A35FB3" w:rsidRPr="00B10E79" w:rsidRDefault="00A35FB3" w:rsidP="00A35FB3">
      <w:pPr>
        <w:pStyle w:val="Prrafodelista"/>
        <w:tabs>
          <w:tab w:val="left" w:pos="979"/>
        </w:tabs>
        <w:spacing w:after="0" w:line="360" w:lineRule="auto"/>
        <w:ind w:left="360"/>
        <w:jc w:val="both"/>
        <w:rPr>
          <w:rFonts w:ascii="Times New Roman" w:hAnsi="Times New Roman" w:cs="Times New Roman"/>
          <w:sz w:val="24"/>
          <w:szCs w:val="24"/>
        </w:rPr>
      </w:pPr>
      <w:r w:rsidRPr="00B10E79">
        <w:rPr>
          <w:rFonts w:ascii="Times New Roman" w:hAnsi="Times New Roman" w:cs="Times New Roman"/>
          <w:sz w:val="24"/>
          <w:szCs w:val="24"/>
        </w:rPr>
        <w:t>La elevada temporalidad laboral en el caso del colectivo de los jóvenes no es algo exclusivo de España, sino que afecta también a sus socios europeos. La diferencia se halla en que, independientemente del momento del ciclo económico en el que nos encontremos, España presenta siempre una tasa de temporalidad entre la población juvenil bastante más elevada que la media europea (Estrategia de Emprendimiento y Empleo Joven, en adelante EEEJ</w:t>
      </w:r>
      <w:r>
        <w:rPr>
          <w:rFonts w:ascii="Times New Roman" w:hAnsi="Times New Roman" w:cs="Times New Roman"/>
          <w:sz w:val="24"/>
          <w:szCs w:val="24"/>
        </w:rPr>
        <w:t>, 2013</w:t>
      </w:r>
      <w:r w:rsidRPr="00B10E79">
        <w:rPr>
          <w:rFonts w:ascii="Times New Roman" w:hAnsi="Times New Roman" w:cs="Times New Roman"/>
          <w:sz w:val="24"/>
          <w:szCs w:val="24"/>
        </w:rPr>
        <w:t>).</w:t>
      </w:r>
    </w:p>
    <w:p w:rsidR="00A35FB3" w:rsidRPr="00B10E79" w:rsidRDefault="00A35FB3" w:rsidP="00A35FB3">
      <w:pPr>
        <w:pStyle w:val="Prrafodelista"/>
        <w:tabs>
          <w:tab w:val="left" w:pos="979"/>
        </w:tabs>
        <w:spacing w:after="0" w:line="360" w:lineRule="auto"/>
        <w:ind w:left="360"/>
        <w:jc w:val="both"/>
        <w:rPr>
          <w:rFonts w:ascii="Times New Roman" w:hAnsi="Times New Roman" w:cs="Times New Roman"/>
          <w:sz w:val="24"/>
          <w:szCs w:val="24"/>
        </w:rPr>
      </w:pPr>
    </w:p>
    <w:p w:rsidR="00A35FB3" w:rsidRPr="00B10E79" w:rsidRDefault="00A35FB3" w:rsidP="00A35FB3">
      <w:pPr>
        <w:pStyle w:val="Prrafodelista"/>
        <w:tabs>
          <w:tab w:val="left" w:pos="979"/>
        </w:tabs>
        <w:spacing w:after="0" w:line="360" w:lineRule="auto"/>
        <w:ind w:left="360"/>
        <w:jc w:val="both"/>
        <w:rPr>
          <w:rFonts w:ascii="Times New Roman" w:hAnsi="Times New Roman" w:cs="Times New Roman"/>
          <w:sz w:val="24"/>
          <w:szCs w:val="24"/>
        </w:rPr>
      </w:pPr>
      <w:r w:rsidRPr="00B10E79">
        <w:rPr>
          <w:rFonts w:ascii="Times New Roman" w:hAnsi="Times New Roman" w:cs="Times New Roman"/>
          <w:sz w:val="24"/>
          <w:szCs w:val="24"/>
        </w:rPr>
        <w:t xml:space="preserve">Según la Encuesta de Fuerza Laboral elaborada por </w:t>
      </w:r>
      <w:proofErr w:type="spellStart"/>
      <w:r w:rsidRPr="00B10E79">
        <w:rPr>
          <w:rFonts w:ascii="Times New Roman" w:hAnsi="Times New Roman" w:cs="Times New Roman"/>
          <w:sz w:val="24"/>
          <w:szCs w:val="24"/>
        </w:rPr>
        <w:t>Eurostat</w:t>
      </w:r>
      <w:proofErr w:type="spellEnd"/>
      <w:r w:rsidRPr="00B10E79">
        <w:rPr>
          <w:rFonts w:ascii="Times New Roman" w:hAnsi="Times New Roman" w:cs="Times New Roman"/>
          <w:sz w:val="24"/>
          <w:szCs w:val="24"/>
        </w:rPr>
        <w:t>, para el grupo de edad entre 15 y 24 años, España presentaba en el cuarto trimestre de 2012 una tasa de temporalidad del 62,5</w:t>
      </w:r>
      <w:r>
        <w:rPr>
          <w:rFonts w:ascii="Times New Roman" w:hAnsi="Times New Roman" w:cs="Times New Roman"/>
          <w:sz w:val="24"/>
          <w:szCs w:val="24"/>
        </w:rPr>
        <w:t xml:space="preserve"> por 100</w:t>
      </w:r>
      <w:r w:rsidRPr="00B10E79">
        <w:rPr>
          <w:rFonts w:ascii="Times New Roman" w:hAnsi="Times New Roman" w:cs="Times New Roman"/>
          <w:sz w:val="24"/>
          <w:szCs w:val="24"/>
        </w:rPr>
        <w:t xml:space="preserve">. Esto supone una diferencia con la media europea de más de 20 puntos porcentuales en el mismo </w:t>
      </w:r>
      <w:r>
        <w:rPr>
          <w:rFonts w:ascii="Times New Roman" w:hAnsi="Times New Roman" w:cs="Times New Roman"/>
          <w:sz w:val="24"/>
          <w:szCs w:val="24"/>
        </w:rPr>
        <w:t>período</w:t>
      </w:r>
      <w:r w:rsidRPr="00B10E79">
        <w:rPr>
          <w:rFonts w:ascii="Times New Roman" w:hAnsi="Times New Roman" w:cs="Times New Roman"/>
          <w:sz w:val="24"/>
          <w:szCs w:val="24"/>
        </w:rPr>
        <w:t xml:space="preserve"> (la tasa de temporalidad de la UE-27 era de</w:t>
      </w:r>
      <w:r>
        <w:rPr>
          <w:rFonts w:ascii="Times New Roman" w:hAnsi="Times New Roman" w:cs="Times New Roman"/>
          <w:sz w:val="24"/>
          <w:szCs w:val="24"/>
        </w:rPr>
        <w:t>l</w:t>
      </w:r>
      <w:r w:rsidRPr="00B10E79">
        <w:rPr>
          <w:rFonts w:ascii="Times New Roman" w:hAnsi="Times New Roman" w:cs="Times New Roman"/>
          <w:sz w:val="24"/>
          <w:szCs w:val="24"/>
        </w:rPr>
        <w:t xml:space="preserve"> 41,8</w:t>
      </w:r>
      <w:r>
        <w:rPr>
          <w:rFonts w:ascii="Times New Roman" w:hAnsi="Times New Roman" w:cs="Times New Roman"/>
          <w:sz w:val="24"/>
          <w:szCs w:val="24"/>
        </w:rPr>
        <w:t xml:space="preserve"> por 100</w:t>
      </w:r>
      <w:r w:rsidRPr="00B10E79">
        <w:rPr>
          <w:rFonts w:ascii="Times New Roman" w:hAnsi="Times New Roman" w:cs="Times New Roman"/>
          <w:sz w:val="24"/>
          <w:szCs w:val="24"/>
        </w:rPr>
        <w:t>), de las más altas si la comparamos con las de los principales países europeos (Francia, Alemania e Italia) cuyas tasas se mueven entre el 53</w:t>
      </w:r>
      <w:r>
        <w:rPr>
          <w:rFonts w:ascii="Times New Roman" w:hAnsi="Times New Roman" w:cs="Times New Roman"/>
          <w:sz w:val="24"/>
          <w:szCs w:val="24"/>
        </w:rPr>
        <w:t xml:space="preserve"> </w:t>
      </w:r>
      <w:r w:rsidRPr="00B10E79">
        <w:rPr>
          <w:rFonts w:ascii="Times New Roman" w:hAnsi="Times New Roman" w:cs="Times New Roman"/>
          <w:sz w:val="24"/>
          <w:szCs w:val="24"/>
        </w:rPr>
        <w:t>y 55</w:t>
      </w:r>
      <w:r>
        <w:rPr>
          <w:rFonts w:ascii="Times New Roman" w:hAnsi="Times New Roman" w:cs="Times New Roman"/>
          <w:sz w:val="24"/>
          <w:szCs w:val="24"/>
        </w:rPr>
        <w:t xml:space="preserve"> por 100, respectivamente</w:t>
      </w:r>
      <w:r w:rsidRPr="00B10E79">
        <w:rPr>
          <w:rFonts w:ascii="Times New Roman" w:hAnsi="Times New Roman" w:cs="Times New Roman"/>
          <w:sz w:val="24"/>
          <w:szCs w:val="24"/>
        </w:rPr>
        <w:t>.</w:t>
      </w:r>
    </w:p>
    <w:p w:rsidR="00A35FB3" w:rsidRPr="00B10E79" w:rsidRDefault="00A35FB3" w:rsidP="00A35FB3">
      <w:pPr>
        <w:tabs>
          <w:tab w:val="left" w:pos="979"/>
        </w:tabs>
        <w:spacing w:line="360" w:lineRule="auto"/>
        <w:jc w:val="both"/>
        <w:rPr>
          <w:sz w:val="24"/>
          <w:szCs w:val="24"/>
        </w:rPr>
      </w:pPr>
    </w:p>
    <w:p w:rsidR="00A35FB3" w:rsidRPr="00B10E79" w:rsidRDefault="00A35FB3" w:rsidP="00A35FB3">
      <w:pPr>
        <w:pStyle w:val="Prrafodelista"/>
        <w:numPr>
          <w:ilvl w:val="0"/>
          <w:numId w:val="9"/>
        </w:numPr>
        <w:tabs>
          <w:tab w:val="left" w:pos="979"/>
        </w:tabs>
        <w:spacing w:after="0" w:line="360" w:lineRule="auto"/>
        <w:jc w:val="both"/>
        <w:rPr>
          <w:rFonts w:ascii="Times New Roman" w:hAnsi="Times New Roman" w:cs="Times New Roman"/>
          <w:sz w:val="24"/>
          <w:szCs w:val="24"/>
        </w:rPr>
      </w:pPr>
      <w:r w:rsidRPr="00B10E79">
        <w:rPr>
          <w:rFonts w:ascii="Times New Roman" w:hAnsi="Times New Roman" w:cs="Times New Roman"/>
          <w:sz w:val="24"/>
          <w:szCs w:val="24"/>
        </w:rPr>
        <w:t>La fuerte dualidad en el empleo joven.</w:t>
      </w:r>
    </w:p>
    <w:p w:rsidR="00A35FB3" w:rsidRPr="00B10E79" w:rsidRDefault="00A35FB3" w:rsidP="00A35FB3">
      <w:pPr>
        <w:pStyle w:val="Prrafodelista"/>
        <w:tabs>
          <w:tab w:val="left" w:pos="979"/>
        </w:tabs>
        <w:spacing w:after="0" w:line="360" w:lineRule="auto"/>
        <w:ind w:left="360"/>
        <w:jc w:val="both"/>
        <w:rPr>
          <w:rFonts w:ascii="Times New Roman" w:hAnsi="Times New Roman" w:cs="Times New Roman"/>
          <w:sz w:val="24"/>
          <w:szCs w:val="24"/>
        </w:rPr>
      </w:pPr>
      <w:r w:rsidRPr="00B10E79">
        <w:rPr>
          <w:rFonts w:ascii="Times New Roman" w:hAnsi="Times New Roman" w:cs="Times New Roman"/>
          <w:sz w:val="24"/>
          <w:szCs w:val="24"/>
        </w:rPr>
        <w:t xml:space="preserve">Las principales causas de esta situación son: por una parte, el crecimiento económico experimentado por nuestro país en el </w:t>
      </w:r>
      <w:r>
        <w:rPr>
          <w:rFonts w:ascii="Times New Roman" w:hAnsi="Times New Roman" w:cs="Times New Roman"/>
          <w:sz w:val="24"/>
          <w:szCs w:val="24"/>
        </w:rPr>
        <w:t>período</w:t>
      </w:r>
      <w:r w:rsidRPr="00B10E79">
        <w:rPr>
          <w:rFonts w:ascii="Times New Roman" w:hAnsi="Times New Roman" w:cs="Times New Roman"/>
          <w:sz w:val="24"/>
          <w:szCs w:val="24"/>
        </w:rPr>
        <w:t xml:space="preserve"> anterior a 2007, debido sobre todo a la expansión de la actividad en la construcción y el sector servicios hizo que muchos jóvenes abandonaran sus estudios de forma temprana atraídos por las importantes remuneraciones entonces existentes. Por otra parte, el rápido avance del sistema educativo ha creado un elevado número de graduados jóvenes (EEEJ</w:t>
      </w:r>
      <w:r>
        <w:rPr>
          <w:rFonts w:ascii="Times New Roman" w:hAnsi="Times New Roman" w:cs="Times New Roman"/>
          <w:sz w:val="24"/>
          <w:szCs w:val="24"/>
        </w:rPr>
        <w:t>, 2013</w:t>
      </w:r>
      <w:r w:rsidRPr="00B10E79">
        <w:rPr>
          <w:rFonts w:ascii="Times New Roman" w:hAnsi="Times New Roman" w:cs="Times New Roman"/>
          <w:sz w:val="24"/>
          <w:szCs w:val="24"/>
        </w:rPr>
        <w:t xml:space="preserve">). Este hecho tiene efectos desiguales ya que la mayor parte de los jóvenes con cualificación más baja tienen grandes dificultades para encontrar un empleo mientras que los que cuentan con una mejor formación ocupan puestos para los que están </w:t>
      </w:r>
      <w:proofErr w:type="spellStart"/>
      <w:r w:rsidRPr="00B10E79">
        <w:rPr>
          <w:rFonts w:ascii="Times New Roman" w:hAnsi="Times New Roman" w:cs="Times New Roman"/>
          <w:sz w:val="24"/>
          <w:szCs w:val="24"/>
        </w:rPr>
        <w:t>sobrecualificados</w:t>
      </w:r>
      <w:proofErr w:type="spellEnd"/>
      <w:r w:rsidRPr="00B10E79">
        <w:rPr>
          <w:rFonts w:ascii="Times New Roman" w:hAnsi="Times New Roman" w:cs="Times New Roman"/>
          <w:sz w:val="24"/>
          <w:szCs w:val="24"/>
        </w:rPr>
        <w:t>.</w:t>
      </w:r>
    </w:p>
    <w:p w:rsidR="00BE2072" w:rsidRPr="00883135" w:rsidRDefault="00A35FB3" w:rsidP="00883135">
      <w:pPr>
        <w:pStyle w:val="Prrafodelista"/>
        <w:tabs>
          <w:tab w:val="left" w:pos="979"/>
        </w:tabs>
        <w:spacing w:after="0" w:line="360" w:lineRule="auto"/>
        <w:ind w:left="360"/>
        <w:jc w:val="both"/>
        <w:rPr>
          <w:rFonts w:ascii="Times New Roman" w:hAnsi="Times New Roman" w:cs="Times New Roman"/>
          <w:sz w:val="24"/>
          <w:szCs w:val="24"/>
        </w:rPr>
      </w:pPr>
      <w:r w:rsidRPr="00B10E79">
        <w:rPr>
          <w:rFonts w:ascii="Times New Roman" w:hAnsi="Times New Roman" w:cs="Times New Roman"/>
          <w:sz w:val="24"/>
          <w:szCs w:val="24"/>
        </w:rPr>
        <w:t>En el caso de estos últimos es especialmente preocupante el fenómeno de la emigración que se viene dando en los últimos años. Debido a las pocas oportunidades para encontrar un empleo que satisfaga sus necesidades y se corresponda con el nivel de conocimientos que poseen, muchos jóvenes titulados se ven obligados a salir del país para encontrar puestos que cumplan sus expectativas laborales.</w:t>
      </w:r>
      <w:r>
        <w:rPr>
          <w:rFonts w:ascii="Times New Roman" w:hAnsi="Times New Roman" w:cs="Times New Roman"/>
          <w:sz w:val="24"/>
          <w:szCs w:val="24"/>
        </w:rPr>
        <w:t xml:space="preserve"> En el gráfico 13</w:t>
      </w:r>
      <w:r w:rsidRPr="00B10E79">
        <w:rPr>
          <w:rFonts w:ascii="Times New Roman" w:hAnsi="Times New Roman" w:cs="Times New Roman"/>
          <w:sz w:val="24"/>
          <w:szCs w:val="24"/>
        </w:rPr>
        <w:t xml:space="preserve"> se puede comprobar </w:t>
      </w:r>
      <w:r w:rsidRPr="00B10E79">
        <w:rPr>
          <w:rFonts w:ascii="Times New Roman" w:hAnsi="Times New Roman" w:cs="Times New Roman"/>
          <w:sz w:val="24"/>
          <w:szCs w:val="24"/>
        </w:rPr>
        <w:lastRenderedPageBreak/>
        <w:t>cómo el porcentaje de jóvenes españoles a los que  les gustaría marcharse a trabajar a otro país europeo es muy superior entre los que tienen estudios superiores que entre el resto.</w:t>
      </w:r>
    </w:p>
    <w:p w:rsidR="00BE2072" w:rsidRPr="00066ACB" w:rsidRDefault="00BE2072" w:rsidP="00A35FB3">
      <w:pPr>
        <w:tabs>
          <w:tab w:val="left" w:pos="979"/>
        </w:tabs>
        <w:jc w:val="both"/>
        <w:rPr>
          <w:sz w:val="24"/>
          <w:szCs w:val="24"/>
        </w:rPr>
      </w:pPr>
    </w:p>
    <w:p w:rsidR="00A35FB3" w:rsidRPr="00B10E79" w:rsidRDefault="00A35FB3" w:rsidP="00A35FB3">
      <w:pPr>
        <w:pStyle w:val="Prrafodelista"/>
        <w:tabs>
          <w:tab w:val="left" w:pos="979"/>
        </w:tabs>
        <w:spacing w:after="0"/>
        <w:ind w:left="360"/>
        <w:jc w:val="center"/>
        <w:rPr>
          <w:rFonts w:ascii="Times New Roman" w:hAnsi="Times New Roman" w:cs="Times New Roman"/>
          <w:b/>
          <w:sz w:val="24"/>
          <w:szCs w:val="24"/>
        </w:rPr>
      </w:pPr>
      <w:r>
        <w:rPr>
          <w:rFonts w:ascii="Times New Roman" w:hAnsi="Times New Roman" w:cs="Times New Roman"/>
          <w:b/>
          <w:sz w:val="24"/>
          <w:szCs w:val="24"/>
        </w:rPr>
        <w:t>Gráfico 13</w:t>
      </w:r>
      <w:r w:rsidRPr="00B10E79">
        <w:rPr>
          <w:rFonts w:ascii="Times New Roman" w:hAnsi="Times New Roman" w:cs="Times New Roman"/>
          <w:b/>
          <w:sz w:val="24"/>
          <w:szCs w:val="24"/>
        </w:rPr>
        <w:t>.- Deseo de/ disposición de los jóvenes españoles de irse a trabajar a otro país europeo en el futuro, por grupo de edad y nivel de estudios en 2013 (</w:t>
      </w:r>
      <w:r>
        <w:rPr>
          <w:rFonts w:ascii="Times New Roman" w:hAnsi="Times New Roman" w:cs="Times New Roman"/>
          <w:b/>
          <w:sz w:val="24"/>
          <w:szCs w:val="24"/>
        </w:rPr>
        <w:t>por 100</w:t>
      </w:r>
      <w:r w:rsidRPr="00B10E79">
        <w:rPr>
          <w:rFonts w:ascii="Times New Roman" w:hAnsi="Times New Roman" w:cs="Times New Roman"/>
          <w:b/>
          <w:sz w:val="24"/>
          <w:szCs w:val="24"/>
        </w:rPr>
        <w:t>).</w:t>
      </w:r>
    </w:p>
    <w:p w:rsidR="00A35FB3" w:rsidRDefault="00A35FB3" w:rsidP="00A35FB3">
      <w:pPr>
        <w:pStyle w:val="Prrafodelista"/>
        <w:tabs>
          <w:tab w:val="left" w:pos="979"/>
        </w:tabs>
        <w:spacing w:after="0"/>
        <w:ind w:left="360"/>
        <w:jc w:val="center"/>
        <w:rPr>
          <w:rFonts w:cs="Verdana"/>
        </w:rPr>
      </w:pPr>
      <w:r>
        <w:rPr>
          <w:rFonts w:cs="Verdana"/>
          <w:noProof/>
        </w:rPr>
        <w:drawing>
          <wp:inline distT="0" distB="0" distL="0" distR="0">
            <wp:extent cx="4026255" cy="2816352"/>
            <wp:effectExtent l="19050" t="0" r="0" b="0"/>
            <wp:docPr id="50"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7" cstate="print"/>
                    <a:srcRect/>
                    <a:stretch>
                      <a:fillRect/>
                    </a:stretch>
                  </pic:blipFill>
                  <pic:spPr bwMode="auto">
                    <a:xfrm>
                      <a:off x="0" y="0"/>
                      <a:ext cx="4026255" cy="2816352"/>
                    </a:xfrm>
                    <a:prstGeom prst="rect">
                      <a:avLst/>
                    </a:prstGeom>
                    <a:noFill/>
                    <a:ln w="9525">
                      <a:noFill/>
                      <a:miter lim="800000"/>
                      <a:headEnd/>
                      <a:tailEnd/>
                    </a:ln>
                  </pic:spPr>
                </pic:pic>
              </a:graphicData>
            </a:graphic>
          </wp:inline>
        </w:drawing>
      </w:r>
    </w:p>
    <w:p w:rsidR="00A35FB3" w:rsidRDefault="00A35FB3" w:rsidP="00A35FB3">
      <w:pPr>
        <w:pStyle w:val="Prrafodelista"/>
        <w:tabs>
          <w:tab w:val="left" w:pos="979"/>
        </w:tabs>
        <w:spacing w:after="0"/>
        <w:ind w:left="360"/>
        <w:jc w:val="both"/>
        <w:rPr>
          <w:rFonts w:cs="Verdana"/>
        </w:rPr>
      </w:pPr>
      <w:r w:rsidRPr="004C1E85">
        <w:rPr>
          <w:rFonts w:ascii="Times New Roman" w:hAnsi="Times New Roman" w:cs="Times New Roman"/>
          <w:sz w:val="20"/>
          <w:szCs w:val="20"/>
        </w:rPr>
        <w:t>Fuente: González-Ferrer, (2013)</w:t>
      </w:r>
      <w:r>
        <w:rPr>
          <w:rFonts w:ascii="Times New Roman" w:hAnsi="Times New Roman" w:cs="Times New Roman"/>
          <w:sz w:val="20"/>
          <w:szCs w:val="20"/>
        </w:rPr>
        <w:t>.</w:t>
      </w:r>
    </w:p>
    <w:p w:rsidR="00A35FB3" w:rsidRDefault="00A35FB3" w:rsidP="00A35FB3">
      <w:pPr>
        <w:tabs>
          <w:tab w:val="left" w:pos="979"/>
        </w:tabs>
        <w:jc w:val="both"/>
        <w:rPr>
          <w:rFonts w:cs="Verdana"/>
        </w:rPr>
      </w:pPr>
    </w:p>
    <w:p w:rsidR="00A35FB3" w:rsidRDefault="00A35FB3" w:rsidP="00A35FB3">
      <w:pPr>
        <w:tabs>
          <w:tab w:val="left" w:pos="979"/>
        </w:tabs>
        <w:jc w:val="both"/>
        <w:rPr>
          <w:rFonts w:cs="Verdana"/>
        </w:rPr>
      </w:pPr>
    </w:p>
    <w:p w:rsidR="00A35FB3" w:rsidRPr="00DE781C" w:rsidRDefault="00A35FB3" w:rsidP="00A35FB3">
      <w:pPr>
        <w:pStyle w:val="Prrafodelista"/>
        <w:numPr>
          <w:ilvl w:val="0"/>
          <w:numId w:val="21"/>
        </w:numPr>
        <w:tabs>
          <w:tab w:val="left" w:pos="979"/>
        </w:tabs>
        <w:spacing w:after="0"/>
        <w:jc w:val="both"/>
        <w:rPr>
          <w:rFonts w:ascii="Times New Roman" w:hAnsi="Times New Roman" w:cs="Times New Roman"/>
          <w:b/>
          <w:sz w:val="24"/>
          <w:szCs w:val="24"/>
        </w:rPr>
      </w:pPr>
      <w:r w:rsidRPr="00DE781C">
        <w:rPr>
          <w:rFonts w:ascii="Times New Roman" w:hAnsi="Times New Roman" w:cs="Times New Roman"/>
          <w:b/>
          <w:sz w:val="24"/>
          <w:szCs w:val="24"/>
        </w:rPr>
        <w:t>INC</w:t>
      </w:r>
      <w:r>
        <w:rPr>
          <w:rFonts w:ascii="Times New Roman" w:hAnsi="Times New Roman" w:cs="Times New Roman"/>
          <w:b/>
          <w:sz w:val="24"/>
          <w:szCs w:val="24"/>
        </w:rPr>
        <w:t>IDENCIA SOCIAL DEL DESEMPLEO</w:t>
      </w:r>
    </w:p>
    <w:p w:rsidR="00A35FB3" w:rsidRPr="00B10E79" w:rsidRDefault="00A35FB3" w:rsidP="00A35FB3">
      <w:pPr>
        <w:tabs>
          <w:tab w:val="left" w:pos="979"/>
        </w:tabs>
        <w:jc w:val="both"/>
        <w:rPr>
          <w:sz w:val="24"/>
          <w:szCs w:val="24"/>
        </w:rPr>
      </w:pPr>
    </w:p>
    <w:p w:rsidR="00A35FB3" w:rsidRPr="00B10E79" w:rsidRDefault="00A35FB3" w:rsidP="00A35FB3">
      <w:pPr>
        <w:tabs>
          <w:tab w:val="left" w:pos="979"/>
        </w:tabs>
        <w:spacing w:line="360" w:lineRule="auto"/>
        <w:jc w:val="both"/>
        <w:rPr>
          <w:sz w:val="24"/>
          <w:szCs w:val="24"/>
        </w:rPr>
      </w:pPr>
      <w:r w:rsidRPr="00B10E79">
        <w:rPr>
          <w:sz w:val="24"/>
          <w:szCs w:val="24"/>
        </w:rPr>
        <w:t>El impacto negativo que tiene el desempleo en la sociedad se puede reducir gracias a dos herramientas compensatorias: el apoyo de la familia y el Estado del Bienestar (normativa de contratación y despido, protección frente al desempleo y políticas act</w:t>
      </w:r>
      <w:r>
        <w:rPr>
          <w:sz w:val="24"/>
          <w:szCs w:val="24"/>
        </w:rPr>
        <w:t xml:space="preserve">ivas de empleo) (Álvarez et al., </w:t>
      </w:r>
      <w:r w:rsidRPr="00B10E79">
        <w:rPr>
          <w:sz w:val="24"/>
          <w:szCs w:val="24"/>
        </w:rPr>
        <w:t>2013).Sin embargo la actual crisis económica y el proceso de corrección del déficit público están debilitando estas herramientas.</w:t>
      </w:r>
    </w:p>
    <w:p w:rsidR="00A35FB3" w:rsidRPr="00B10E79" w:rsidRDefault="00A35FB3" w:rsidP="00A35FB3">
      <w:pPr>
        <w:tabs>
          <w:tab w:val="left" w:pos="979"/>
        </w:tabs>
        <w:spacing w:line="360" w:lineRule="auto"/>
        <w:jc w:val="both"/>
        <w:rPr>
          <w:sz w:val="24"/>
          <w:szCs w:val="24"/>
        </w:rPr>
      </w:pPr>
    </w:p>
    <w:p w:rsidR="0026395C" w:rsidRDefault="00A35FB3" w:rsidP="00A35FB3">
      <w:pPr>
        <w:tabs>
          <w:tab w:val="left" w:pos="979"/>
        </w:tabs>
        <w:spacing w:line="360" w:lineRule="auto"/>
        <w:jc w:val="both"/>
        <w:rPr>
          <w:sz w:val="24"/>
          <w:szCs w:val="24"/>
        </w:rPr>
      </w:pPr>
      <w:r w:rsidRPr="00B10E79">
        <w:rPr>
          <w:sz w:val="24"/>
          <w:szCs w:val="24"/>
        </w:rPr>
        <w:t>Para el estudio de la situación de los hogares, las estadísticas más importantes son las que recoge el INE en la Encuesta de Condiciones de V</w:t>
      </w:r>
      <w:r>
        <w:rPr>
          <w:sz w:val="24"/>
          <w:szCs w:val="24"/>
        </w:rPr>
        <w:t>ida (ECV, en adelante) y la EPA</w:t>
      </w:r>
      <w:r w:rsidR="00BE1DDD">
        <w:rPr>
          <w:sz w:val="24"/>
          <w:szCs w:val="24"/>
        </w:rPr>
        <w:t>.</w:t>
      </w:r>
    </w:p>
    <w:p w:rsidR="00BE2072" w:rsidRDefault="00BE2072" w:rsidP="00A35FB3">
      <w:pPr>
        <w:tabs>
          <w:tab w:val="left" w:pos="979"/>
        </w:tabs>
        <w:spacing w:line="360" w:lineRule="auto"/>
        <w:jc w:val="both"/>
        <w:rPr>
          <w:sz w:val="24"/>
          <w:szCs w:val="24"/>
        </w:rPr>
      </w:pPr>
    </w:p>
    <w:p w:rsidR="00BE2072" w:rsidRDefault="00BE2072" w:rsidP="00A35FB3">
      <w:pPr>
        <w:tabs>
          <w:tab w:val="left" w:pos="979"/>
        </w:tabs>
        <w:spacing w:line="360" w:lineRule="auto"/>
        <w:jc w:val="both"/>
        <w:rPr>
          <w:sz w:val="24"/>
          <w:szCs w:val="24"/>
        </w:rPr>
      </w:pPr>
    </w:p>
    <w:p w:rsidR="00BE2072" w:rsidRDefault="00BE2072" w:rsidP="00A35FB3">
      <w:pPr>
        <w:tabs>
          <w:tab w:val="left" w:pos="979"/>
        </w:tabs>
        <w:spacing w:line="360" w:lineRule="auto"/>
        <w:jc w:val="both"/>
        <w:rPr>
          <w:sz w:val="24"/>
          <w:szCs w:val="24"/>
        </w:rPr>
      </w:pPr>
    </w:p>
    <w:p w:rsidR="00BE2072" w:rsidRDefault="00BE2072" w:rsidP="00A35FB3">
      <w:pPr>
        <w:tabs>
          <w:tab w:val="left" w:pos="979"/>
        </w:tabs>
        <w:spacing w:line="360" w:lineRule="auto"/>
        <w:jc w:val="both"/>
        <w:rPr>
          <w:sz w:val="24"/>
          <w:szCs w:val="24"/>
        </w:rPr>
      </w:pPr>
    </w:p>
    <w:p w:rsidR="00BE2072" w:rsidRDefault="00BE2072" w:rsidP="00A35FB3">
      <w:pPr>
        <w:tabs>
          <w:tab w:val="left" w:pos="979"/>
        </w:tabs>
        <w:spacing w:line="360" w:lineRule="auto"/>
        <w:jc w:val="both"/>
        <w:rPr>
          <w:sz w:val="24"/>
          <w:szCs w:val="24"/>
        </w:rPr>
      </w:pPr>
    </w:p>
    <w:p w:rsidR="00BE2072" w:rsidRDefault="00BE2072" w:rsidP="00A35FB3">
      <w:pPr>
        <w:tabs>
          <w:tab w:val="left" w:pos="979"/>
        </w:tabs>
        <w:spacing w:line="360" w:lineRule="auto"/>
        <w:jc w:val="both"/>
        <w:rPr>
          <w:sz w:val="24"/>
          <w:szCs w:val="24"/>
        </w:rPr>
      </w:pPr>
    </w:p>
    <w:p w:rsidR="00883135" w:rsidRPr="00066ACB" w:rsidRDefault="00883135" w:rsidP="00A35FB3">
      <w:pPr>
        <w:tabs>
          <w:tab w:val="left" w:pos="979"/>
        </w:tabs>
        <w:spacing w:line="360" w:lineRule="auto"/>
        <w:jc w:val="both"/>
        <w:rPr>
          <w:sz w:val="24"/>
          <w:szCs w:val="24"/>
        </w:rPr>
      </w:pPr>
    </w:p>
    <w:p w:rsidR="00A35FB3" w:rsidRPr="00B10E79" w:rsidRDefault="00A35FB3" w:rsidP="00A35FB3">
      <w:pPr>
        <w:tabs>
          <w:tab w:val="left" w:pos="979"/>
        </w:tabs>
        <w:jc w:val="center"/>
        <w:rPr>
          <w:b/>
          <w:sz w:val="24"/>
          <w:szCs w:val="24"/>
        </w:rPr>
      </w:pPr>
      <w:r>
        <w:rPr>
          <w:b/>
          <w:sz w:val="24"/>
          <w:szCs w:val="24"/>
        </w:rPr>
        <w:lastRenderedPageBreak/>
        <w:t>Gráfico 14</w:t>
      </w:r>
      <w:r w:rsidRPr="00B10E79">
        <w:rPr>
          <w:b/>
          <w:sz w:val="24"/>
          <w:szCs w:val="24"/>
        </w:rPr>
        <w:t>.- Evolución del ri</w:t>
      </w:r>
      <w:r>
        <w:rPr>
          <w:b/>
          <w:sz w:val="24"/>
          <w:szCs w:val="24"/>
        </w:rPr>
        <w:t xml:space="preserve">esgo de pobreza según colectivo </w:t>
      </w:r>
      <w:r w:rsidRPr="00B10E79">
        <w:rPr>
          <w:b/>
          <w:sz w:val="24"/>
          <w:szCs w:val="24"/>
        </w:rPr>
        <w:t>de actividad (2007-2012) (</w:t>
      </w:r>
      <w:r>
        <w:rPr>
          <w:b/>
          <w:sz w:val="24"/>
          <w:szCs w:val="24"/>
        </w:rPr>
        <w:t>%)</w:t>
      </w:r>
    </w:p>
    <w:p w:rsidR="00A35FB3" w:rsidRPr="00E5481E" w:rsidRDefault="00A35FB3" w:rsidP="00A35FB3">
      <w:pPr>
        <w:tabs>
          <w:tab w:val="left" w:pos="979"/>
        </w:tabs>
        <w:jc w:val="both"/>
        <w:rPr>
          <w:rFonts w:cs="Verdana"/>
        </w:rPr>
      </w:pPr>
      <w:r w:rsidRPr="00E27C0E">
        <w:rPr>
          <w:rFonts w:cs="Verdana"/>
          <w:noProof/>
        </w:rPr>
        <w:drawing>
          <wp:inline distT="0" distB="0" distL="0" distR="0">
            <wp:extent cx="5400040" cy="2704297"/>
            <wp:effectExtent l="19050" t="0" r="10160" b="803"/>
            <wp:docPr id="51" name="Gráfico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p>
    <w:p w:rsidR="00A35FB3" w:rsidRPr="004C1E85" w:rsidRDefault="00A35FB3" w:rsidP="00A35FB3">
      <w:pPr>
        <w:tabs>
          <w:tab w:val="left" w:pos="979"/>
        </w:tabs>
        <w:jc w:val="both"/>
      </w:pPr>
      <w:r w:rsidRPr="004C1E85">
        <w:t xml:space="preserve">Fuente: </w:t>
      </w:r>
      <w:r>
        <w:t>INE. Elaboración propia</w:t>
      </w:r>
    </w:p>
    <w:p w:rsidR="00A35FB3" w:rsidRDefault="00A35FB3" w:rsidP="00A35FB3">
      <w:pPr>
        <w:tabs>
          <w:tab w:val="left" w:pos="979"/>
        </w:tabs>
        <w:jc w:val="both"/>
        <w:rPr>
          <w:rFonts w:cs="Verdana"/>
        </w:rPr>
      </w:pPr>
    </w:p>
    <w:p w:rsidR="00A35FB3" w:rsidRPr="00B10E79" w:rsidRDefault="00A35FB3" w:rsidP="00A35FB3">
      <w:pPr>
        <w:tabs>
          <w:tab w:val="left" w:pos="979"/>
        </w:tabs>
        <w:spacing w:line="360" w:lineRule="auto"/>
        <w:jc w:val="both"/>
        <w:rPr>
          <w:sz w:val="24"/>
          <w:szCs w:val="24"/>
        </w:rPr>
      </w:pPr>
      <w:r w:rsidRPr="00B10E79">
        <w:rPr>
          <w:sz w:val="24"/>
          <w:szCs w:val="24"/>
        </w:rPr>
        <w:t>Có</w:t>
      </w:r>
      <w:r>
        <w:rPr>
          <w:sz w:val="24"/>
          <w:szCs w:val="24"/>
        </w:rPr>
        <w:t>mo se puede ver en el gráfico 14</w:t>
      </w:r>
      <w:r w:rsidRPr="00B10E79">
        <w:rPr>
          <w:sz w:val="24"/>
          <w:szCs w:val="24"/>
        </w:rPr>
        <w:t>, en general el riesgo de pobreza total apenas ha variado en los últimos años y se mantiene estable en torno al 20</w:t>
      </w:r>
      <w:r>
        <w:rPr>
          <w:sz w:val="24"/>
          <w:szCs w:val="24"/>
        </w:rPr>
        <w:t xml:space="preserve"> por 100</w:t>
      </w:r>
      <w:r w:rsidRPr="00B10E79">
        <w:rPr>
          <w:sz w:val="24"/>
          <w:szCs w:val="24"/>
        </w:rPr>
        <w:t>. Sin embargo, si consideramos el riesgo de pobreza para cada uno de los</w:t>
      </w:r>
      <w:r>
        <w:rPr>
          <w:sz w:val="24"/>
          <w:szCs w:val="24"/>
        </w:rPr>
        <w:t xml:space="preserve"> colectivos podemos comprobar có</w:t>
      </w:r>
      <w:r w:rsidRPr="00B10E79">
        <w:rPr>
          <w:sz w:val="24"/>
          <w:szCs w:val="24"/>
        </w:rPr>
        <w:t>mo la situación es bien diferente. Podemos ver primero (siguiendo el orden de categorías que aparece en el gráfico) como el riesgo de pobreza de la población ocupada ha aumentado  desde el comienzo de la crisis; concretamente se aprecia un incremento significativo en 2010,</w:t>
      </w:r>
      <w:r>
        <w:rPr>
          <w:sz w:val="24"/>
          <w:szCs w:val="24"/>
        </w:rPr>
        <w:t xml:space="preserve"> donde la tasa de riesgo pasó de</w:t>
      </w:r>
      <w:r w:rsidRPr="00B10E79">
        <w:rPr>
          <w:sz w:val="24"/>
          <w:szCs w:val="24"/>
        </w:rPr>
        <w:t xml:space="preserve"> un 11,8</w:t>
      </w:r>
      <w:r>
        <w:rPr>
          <w:sz w:val="24"/>
          <w:szCs w:val="24"/>
        </w:rPr>
        <w:t xml:space="preserve"> por 100</w:t>
      </w:r>
      <w:r w:rsidRPr="00B10E79">
        <w:rPr>
          <w:sz w:val="24"/>
          <w:szCs w:val="24"/>
        </w:rPr>
        <w:t xml:space="preserve"> en 2009 a un 13,9</w:t>
      </w:r>
      <w:r>
        <w:rPr>
          <w:sz w:val="24"/>
          <w:szCs w:val="24"/>
        </w:rPr>
        <w:t xml:space="preserve"> por 100</w:t>
      </w:r>
      <w:r w:rsidRPr="00B10E79">
        <w:rPr>
          <w:sz w:val="24"/>
          <w:szCs w:val="24"/>
        </w:rPr>
        <w:t xml:space="preserve"> en 2010. Para los parados la situación es mucho más dramática, con una tasa de riesgo de pobreza del 40,3</w:t>
      </w:r>
      <w:r>
        <w:rPr>
          <w:sz w:val="24"/>
          <w:szCs w:val="24"/>
        </w:rPr>
        <w:t xml:space="preserve"> por 100</w:t>
      </w:r>
      <w:r w:rsidRPr="00B10E79">
        <w:rPr>
          <w:sz w:val="24"/>
          <w:szCs w:val="24"/>
        </w:rPr>
        <w:t xml:space="preserve"> en 2013, sobre todo si tenemos en cuenta que en 2009 era del 30,3</w:t>
      </w:r>
      <w:r>
        <w:rPr>
          <w:sz w:val="24"/>
          <w:szCs w:val="24"/>
        </w:rPr>
        <w:t xml:space="preserve"> por 100</w:t>
      </w:r>
      <w:r w:rsidRPr="00B10E79">
        <w:rPr>
          <w:sz w:val="24"/>
          <w:szCs w:val="24"/>
        </w:rPr>
        <w:t>. Esto se debe en parte al empeoramiento de la cobertura de prestaciones y subsidios por desempleo tras 2011. Para los jubilados  la situación mejora debido, posiblemente, a una mayor estabilidad en las rentas que reciben.</w:t>
      </w:r>
    </w:p>
    <w:p w:rsidR="00A35FB3" w:rsidRPr="00B10E79" w:rsidRDefault="00A35FB3" w:rsidP="00A35FB3">
      <w:pPr>
        <w:tabs>
          <w:tab w:val="left" w:pos="979"/>
        </w:tabs>
        <w:spacing w:line="360" w:lineRule="auto"/>
        <w:jc w:val="both"/>
        <w:rPr>
          <w:sz w:val="24"/>
          <w:szCs w:val="24"/>
        </w:rPr>
      </w:pPr>
    </w:p>
    <w:p w:rsidR="00A35FB3" w:rsidRPr="00B10E79" w:rsidRDefault="00A35FB3" w:rsidP="00A35FB3">
      <w:pPr>
        <w:tabs>
          <w:tab w:val="left" w:pos="979"/>
        </w:tabs>
        <w:spacing w:line="360" w:lineRule="auto"/>
        <w:jc w:val="both"/>
        <w:rPr>
          <w:sz w:val="24"/>
          <w:szCs w:val="24"/>
        </w:rPr>
      </w:pPr>
      <w:r w:rsidRPr="00B10E79">
        <w:rPr>
          <w:sz w:val="24"/>
          <w:szCs w:val="24"/>
        </w:rPr>
        <w:t>La prolongación de esta diferencia de situaciones puede dar lugar a importantes desigualdades sociales y a una fuerte polarización de la sociedad a causa de la posible desaparición de la “clase media”. En buena medida, esto no es así gracias a las herramientas de sector público para compensar estas desigualdades comentadas anteriormente.</w:t>
      </w:r>
    </w:p>
    <w:p w:rsidR="00A35FB3" w:rsidRPr="00B10E79" w:rsidRDefault="00A35FB3" w:rsidP="00A35FB3">
      <w:pPr>
        <w:tabs>
          <w:tab w:val="left" w:pos="979"/>
        </w:tabs>
        <w:spacing w:line="360" w:lineRule="auto"/>
        <w:jc w:val="both"/>
        <w:rPr>
          <w:sz w:val="24"/>
          <w:szCs w:val="24"/>
        </w:rPr>
      </w:pPr>
    </w:p>
    <w:p w:rsidR="00A35FB3" w:rsidRPr="00B10E79" w:rsidRDefault="00A35FB3" w:rsidP="00A35FB3">
      <w:pPr>
        <w:tabs>
          <w:tab w:val="left" w:pos="979"/>
        </w:tabs>
        <w:spacing w:line="360" w:lineRule="auto"/>
        <w:jc w:val="both"/>
        <w:rPr>
          <w:sz w:val="24"/>
          <w:szCs w:val="24"/>
        </w:rPr>
      </w:pPr>
      <w:r w:rsidRPr="00B10E79">
        <w:rPr>
          <w:sz w:val="24"/>
          <w:szCs w:val="24"/>
        </w:rPr>
        <w:t xml:space="preserve">Los cambios que se han producido en la normativa de contratación  y despido a raíz de las reformas laborales de 2010 y 2012 han introducido importantes modificaciones dirigidas a aumentar las causas que permiten justificar los despidos procedentes y acelerar los despidos </w:t>
      </w:r>
      <w:r w:rsidRPr="00B10E79">
        <w:rPr>
          <w:sz w:val="24"/>
          <w:szCs w:val="24"/>
        </w:rPr>
        <w:lastRenderedPageBreak/>
        <w:t>colectivos. Además se ha favorecido la posibilidad de emplear la flexibilidad salarial interna  y se ha dado más protagonismo a los convenios colectivos de empresa frente a los sectoriales. No obstante, este aumento de la flexibilidad no ha venido acompañado de una mayor protección y seguridad para los desempleados, lo que nos hace alejarnos cada vez más del modelo de “</w:t>
      </w:r>
      <w:proofErr w:type="spellStart"/>
      <w:r w:rsidRPr="00B10E79">
        <w:rPr>
          <w:sz w:val="24"/>
          <w:szCs w:val="24"/>
        </w:rPr>
        <w:t>flexiseguridad</w:t>
      </w:r>
      <w:proofErr w:type="spellEnd"/>
      <w:r w:rsidRPr="00B10E79">
        <w:rPr>
          <w:sz w:val="24"/>
          <w:szCs w:val="24"/>
        </w:rPr>
        <w:t>” predominante en otros países de Europa (nórdicos sobre todo), el cual les ha permitido suavizar  los efectos del desempleo entre la población.</w:t>
      </w:r>
    </w:p>
    <w:p w:rsidR="00A35FB3" w:rsidRPr="00B10E79" w:rsidRDefault="00A35FB3" w:rsidP="00A35FB3">
      <w:pPr>
        <w:tabs>
          <w:tab w:val="left" w:pos="979"/>
        </w:tabs>
        <w:spacing w:line="360" w:lineRule="auto"/>
        <w:jc w:val="both"/>
        <w:rPr>
          <w:sz w:val="24"/>
          <w:szCs w:val="24"/>
        </w:rPr>
      </w:pPr>
    </w:p>
    <w:p w:rsidR="00A35FB3" w:rsidRPr="00B10E79" w:rsidRDefault="00A35FB3" w:rsidP="00A35FB3">
      <w:pPr>
        <w:tabs>
          <w:tab w:val="left" w:pos="979"/>
        </w:tabs>
        <w:spacing w:line="360" w:lineRule="auto"/>
        <w:jc w:val="both"/>
        <w:rPr>
          <w:sz w:val="24"/>
          <w:szCs w:val="24"/>
        </w:rPr>
      </w:pPr>
      <w:r>
        <w:rPr>
          <w:sz w:val="24"/>
          <w:szCs w:val="24"/>
        </w:rPr>
        <w:t>Con respecto</w:t>
      </w:r>
      <w:r w:rsidRPr="00B10E79">
        <w:rPr>
          <w:sz w:val="24"/>
          <w:szCs w:val="24"/>
        </w:rPr>
        <w:t xml:space="preserve"> al sistema de protección por desempleo, la evolución del grado de cobertura de las prestaciones y subsidios por desempleo ha experimentado un cambio de tendencia. Si en los primeros años de la desaceleración se produjo un rápido incremento (de casi 7 puntos porcentuales) en el número de parados con derecho a prestación, llegando a alcanzar el 80,9</w:t>
      </w:r>
      <w:r>
        <w:rPr>
          <w:sz w:val="24"/>
          <w:szCs w:val="24"/>
        </w:rPr>
        <w:t xml:space="preserve"> por 100</w:t>
      </w:r>
      <w:r w:rsidRPr="00B10E79">
        <w:rPr>
          <w:sz w:val="24"/>
          <w:szCs w:val="24"/>
        </w:rPr>
        <w:t xml:space="preserve"> en 2010 (</w:t>
      </w:r>
      <w:r>
        <w:rPr>
          <w:sz w:val="24"/>
          <w:szCs w:val="24"/>
        </w:rPr>
        <w:t>Jiménez, 2013);</w:t>
      </w:r>
      <w:r w:rsidRPr="00B10E79">
        <w:rPr>
          <w:sz w:val="24"/>
          <w:szCs w:val="24"/>
        </w:rPr>
        <w:t xml:space="preserve"> esta cifra apenas sobrepasaba el 40</w:t>
      </w:r>
      <w:r>
        <w:rPr>
          <w:sz w:val="24"/>
          <w:szCs w:val="24"/>
        </w:rPr>
        <w:t xml:space="preserve"> por 100</w:t>
      </w:r>
      <w:r w:rsidRPr="00B10E79">
        <w:rPr>
          <w:sz w:val="24"/>
          <w:szCs w:val="24"/>
        </w:rPr>
        <w:t xml:space="preserve"> en 2013, ya sea por haber agotado la prestación o por no haber cotizado el tiempo suficiente.</w:t>
      </w:r>
    </w:p>
    <w:p w:rsidR="00A35FB3" w:rsidRPr="00B10E79" w:rsidRDefault="00A35FB3" w:rsidP="00A35FB3">
      <w:pPr>
        <w:tabs>
          <w:tab w:val="left" w:pos="979"/>
        </w:tabs>
        <w:spacing w:line="360" w:lineRule="auto"/>
        <w:jc w:val="both"/>
        <w:rPr>
          <w:sz w:val="24"/>
          <w:szCs w:val="24"/>
        </w:rPr>
      </w:pPr>
    </w:p>
    <w:p w:rsidR="00A35FB3" w:rsidRPr="00B10E79" w:rsidRDefault="00A35FB3" w:rsidP="00A35FB3">
      <w:pPr>
        <w:tabs>
          <w:tab w:val="left" w:pos="979"/>
        </w:tabs>
        <w:spacing w:line="360" w:lineRule="auto"/>
        <w:jc w:val="both"/>
        <w:rPr>
          <w:sz w:val="24"/>
          <w:szCs w:val="24"/>
        </w:rPr>
      </w:pPr>
      <w:r w:rsidRPr="00B10E79">
        <w:rPr>
          <w:sz w:val="24"/>
          <w:szCs w:val="24"/>
        </w:rPr>
        <w:t>La última herramienta para reducir los efectos adversos del desempleo son las políticas activas de empleo, cuyo fin principal es facilitar la reinserción laboral de determinados colectivos de desempleados. El uso combinado de estas políticas junto al mantenimiento de la prestación por desempleo debería permitir contrarrestar los efectos que tiene la flexibilidad laboral sobre la seguridad de los trabajadores y la desigualdad. Sin embargo, en los últimos años podemos comprobar cómo, a raíz del proceso de ajuste para disminuir el déficit público, se ha reducido el importe de gasto público orientado a esta finalidad (en 2011 la cantidad destinada a estas políticas era de 7.765 millones, mientras que para 2013 era de 3.772 millones; lo que supone un descenso acumulado en el período del 51,4</w:t>
      </w:r>
      <w:r>
        <w:rPr>
          <w:sz w:val="24"/>
          <w:szCs w:val="24"/>
        </w:rPr>
        <w:t xml:space="preserve"> por 100</w:t>
      </w:r>
      <w:r w:rsidRPr="00B10E79">
        <w:rPr>
          <w:sz w:val="24"/>
          <w:szCs w:val="24"/>
        </w:rPr>
        <w:t>).</w:t>
      </w:r>
    </w:p>
    <w:p w:rsidR="00A35FB3" w:rsidRDefault="00A35FB3" w:rsidP="00A35FB3">
      <w:pPr>
        <w:tabs>
          <w:tab w:val="left" w:pos="979"/>
        </w:tabs>
        <w:jc w:val="both"/>
        <w:rPr>
          <w:rFonts w:cs="Verdana"/>
        </w:rPr>
      </w:pPr>
    </w:p>
    <w:p w:rsidR="00A35FB3" w:rsidRPr="00DE781C" w:rsidRDefault="00A35FB3" w:rsidP="00A35FB3">
      <w:pPr>
        <w:pStyle w:val="Prrafodelista"/>
        <w:numPr>
          <w:ilvl w:val="0"/>
          <w:numId w:val="21"/>
        </w:numPr>
        <w:tabs>
          <w:tab w:val="left" w:pos="979"/>
        </w:tabs>
        <w:spacing w:after="0"/>
        <w:jc w:val="both"/>
        <w:rPr>
          <w:rFonts w:ascii="Times New Roman" w:hAnsi="Times New Roman" w:cs="Times New Roman"/>
          <w:b/>
          <w:sz w:val="24"/>
          <w:szCs w:val="24"/>
        </w:rPr>
      </w:pPr>
      <w:r w:rsidRPr="00DE781C">
        <w:rPr>
          <w:rFonts w:ascii="Times New Roman" w:hAnsi="Times New Roman" w:cs="Times New Roman"/>
          <w:b/>
          <w:sz w:val="24"/>
          <w:szCs w:val="24"/>
        </w:rPr>
        <w:t xml:space="preserve"> PROPUESTAS PARA REFORMAR EL MERCADO LABORAL</w:t>
      </w:r>
    </w:p>
    <w:p w:rsidR="00A35FB3" w:rsidRDefault="00A35FB3" w:rsidP="00A35FB3">
      <w:pPr>
        <w:tabs>
          <w:tab w:val="left" w:pos="979"/>
        </w:tabs>
        <w:jc w:val="both"/>
        <w:rPr>
          <w:rFonts w:cs="Verdana"/>
        </w:rPr>
      </w:pPr>
    </w:p>
    <w:p w:rsidR="00A35FB3" w:rsidRPr="00B10E79" w:rsidRDefault="00A35FB3" w:rsidP="00A35FB3">
      <w:pPr>
        <w:spacing w:line="360" w:lineRule="auto"/>
        <w:jc w:val="both"/>
        <w:rPr>
          <w:sz w:val="24"/>
          <w:szCs w:val="24"/>
        </w:rPr>
      </w:pPr>
      <w:r w:rsidRPr="00B10E79">
        <w:rPr>
          <w:sz w:val="24"/>
          <w:szCs w:val="24"/>
        </w:rPr>
        <w:t>Como hemos visto en los apartados anteriores, el mercado de trabajo español presenta grandes diferencias respecto al de sus soc</w:t>
      </w:r>
      <w:r>
        <w:rPr>
          <w:sz w:val="24"/>
          <w:szCs w:val="24"/>
        </w:rPr>
        <w:t xml:space="preserve">ios europeos, </w:t>
      </w:r>
      <w:r w:rsidRPr="00B10E79">
        <w:rPr>
          <w:sz w:val="24"/>
          <w:szCs w:val="24"/>
        </w:rPr>
        <w:t>e incluso</w:t>
      </w:r>
      <w:r>
        <w:rPr>
          <w:sz w:val="24"/>
          <w:szCs w:val="24"/>
        </w:rPr>
        <w:t>,</w:t>
      </w:r>
      <w:r w:rsidRPr="00B10E79">
        <w:rPr>
          <w:sz w:val="24"/>
          <w:szCs w:val="24"/>
        </w:rPr>
        <w:t xml:space="preserve"> dependiendo del colectivo al que se pertenezca, la situación puede ser muy distinta. Una de las características de nuestro mercado de trabajo es la fuerte dualidad que existe: por un lado tenemos a trabajadores fijos, con elevadas prestaciones por desempleo, fuerte coste de despido y generalm</w:t>
      </w:r>
      <w:r>
        <w:rPr>
          <w:sz w:val="24"/>
          <w:szCs w:val="24"/>
        </w:rPr>
        <w:t xml:space="preserve">ente un nivel de formación bajo y, </w:t>
      </w:r>
      <w:r w:rsidRPr="00B10E79">
        <w:rPr>
          <w:sz w:val="24"/>
          <w:szCs w:val="24"/>
        </w:rPr>
        <w:t>por otra parte</w:t>
      </w:r>
      <w:r>
        <w:rPr>
          <w:sz w:val="24"/>
          <w:szCs w:val="24"/>
        </w:rPr>
        <w:t>,</w:t>
      </w:r>
      <w:r w:rsidRPr="00B10E79">
        <w:rPr>
          <w:sz w:val="24"/>
          <w:szCs w:val="24"/>
        </w:rPr>
        <w:t xml:space="preserve"> encontramos trabajadores con contrato temporal, baja protección en caso de despido y con niveles de formación cada vez mayores (los jóvenes ocupan gran parte de estos contratos). Además nos enfrentamos a un sistema de negociación colectiva muy rígido que impide en muchos casos reducir salarios o jornada como medidas de </w:t>
      </w:r>
      <w:r w:rsidRPr="00B10E79">
        <w:rPr>
          <w:sz w:val="24"/>
          <w:szCs w:val="24"/>
        </w:rPr>
        <w:lastRenderedPageBreak/>
        <w:t>flexibilidad antes que el despido, lo que hace que el ajuste se realice vía supresión de puestos de trabajo. Las reformas del mercado de trabajo deberían inspirarse en el término de “</w:t>
      </w:r>
      <w:proofErr w:type="spellStart"/>
      <w:r w:rsidRPr="00B10E79">
        <w:rPr>
          <w:sz w:val="24"/>
          <w:szCs w:val="24"/>
        </w:rPr>
        <w:t>flexiseguridad</w:t>
      </w:r>
      <w:proofErr w:type="spellEnd"/>
      <w:r w:rsidRPr="00B10E79">
        <w:rPr>
          <w:sz w:val="24"/>
          <w:szCs w:val="24"/>
        </w:rPr>
        <w:t>” que ya se aplica en otros países europeos, es decir, conceder más flexibilidad a la empresa y diseñar medidas de protección social al desempleado para incentivar su inserción laboral por propia iniciativa.</w:t>
      </w:r>
    </w:p>
    <w:p w:rsidR="00A35FB3" w:rsidRPr="00B10E79" w:rsidRDefault="00A35FB3" w:rsidP="00A35FB3">
      <w:pPr>
        <w:tabs>
          <w:tab w:val="left" w:pos="979"/>
        </w:tabs>
        <w:spacing w:line="360" w:lineRule="auto"/>
        <w:jc w:val="both"/>
        <w:rPr>
          <w:sz w:val="24"/>
          <w:szCs w:val="24"/>
        </w:rPr>
      </w:pPr>
      <w:r w:rsidRPr="00B10E79">
        <w:rPr>
          <w:sz w:val="24"/>
          <w:szCs w:val="24"/>
        </w:rPr>
        <w:t>Otros de los inconvenientes relacionados c</w:t>
      </w:r>
      <w:r>
        <w:rPr>
          <w:sz w:val="24"/>
          <w:szCs w:val="24"/>
        </w:rPr>
        <w:t>on la actual situación económica</w:t>
      </w:r>
      <w:r w:rsidRPr="00B10E79">
        <w:rPr>
          <w:sz w:val="24"/>
          <w:szCs w:val="24"/>
        </w:rPr>
        <w:t xml:space="preserve"> y la dificultad para superarla la encontramos en factores institucionales. España es uno de los países en los que existe más dificultad para crear nuevas empresas. Según </w:t>
      </w:r>
      <w:proofErr w:type="spellStart"/>
      <w:r w:rsidRPr="00B10E79">
        <w:rPr>
          <w:sz w:val="24"/>
          <w:szCs w:val="24"/>
        </w:rPr>
        <w:t>Doing</w:t>
      </w:r>
      <w:proofErr w:type="spellEnd"/>
      <w:r w:rsidRPr="00B10E79">
        <w:rPr>
          <w:sz w:val="24"/>
          <w:szCs w:val="24"/>
        </w:rPr>
        <w:t xml:space="preserve"> </w:t>
      </w:r>
      <w:proofErr w:type="spellStart"/>
      <w:r w:rsidRPr="00B10E79">
        <w:rPr>
          <w:sz w:val="24"/>
          <w:szCs w:val="24"/>
        </w:rPr>
        <w:t>Bussiness</w:t>
      </w:r>
      <w:proofErr w:type="spellEnd"/>
      <w:r w:rsidRPr="00B10E79">
        <w:rPr>
          <w:sz w:val="24"/>
          <w:szCs w:val="24"/>
        </w:rPr>
        <w:t xml:space="preserve"> 2014, España se encontraría en el puesto 142 de un total de 189 países analizados en </w:t>
      </w:r>
      <w:r>
        <w:rPr>
          <w:sz w:val="24"/>
          <w:szCs w:val="24"/>
        </w:rPr>
        <w:t>por</w:t>
      </w:r>
      <w:r w:rsidRPr="00B10E79">
        <w:rPr>
          <w:sz w:val="24"/>
          <w:szCs w:val="24"/>
        </w:rPr>
        <w:t xml:space="preserve"> la facilidad para iniciar un negocio (en 2013 ocupábamos el puesto 136).</w:t>
      </w:r>
    </w:p>
    <w:p w:rsidR="00A35FB3" w:rsidRPr="00B10E79" w:rsidRDefault="00A35FB3" w:rsidP="00A35FB3">
      <w:pPr>
        <w:tabs>
          <w:tab w:val="left" w:pos="979"/>
        </w:tabs>
        <w:jc w:val="both"/>
        <w:rPr>
          <w:sz w:val="24"/>
          <w:szCs w:val="24"/>
        </w:rPr>
      </w:pPr>
    </w:p>
    <w:p w:rsidR="00A35FB3" w:rsidRPr="00B10E79" w:rsidRDefault="00A35FB3" w:rsidP="00A35FB3">
      <w:pPr>
        <w:tabs>
          <w:tab w:val="left" w:pos="979"/>
        </w:tabs>
        <w:jc w:val="center"/>
        <w:rPr>
          <w:b/>
          <w:sz w:val="24"/>
          <w:szCs w:val="24"/>
        </w:rPr>
      </w:pPr>
      <w:r>
        <w:rPr>
          <w:b/>
          <w:sz w:val="24"/>
          <w:szCs w:val="24"/>
        </w:rPr>
        <w:t>Gráfico 15</w:t>
      </w:r>
      <w:r w:rsidRPr="00B10E79">
        <w:rPr>
          <w:b/>
          <w:sz w:val="24"/>
          <w:szCs w:val="24"/>
        </w:rPr>
        <w:t>.- Facilidad para crear una empresa en distintos países</w:t>
      </w:r>
    </w:p>
    <w:p w:rsidR="00A35FB3" w:rsidRDefault="00A35FB3" w:rsidP="00A35FB3">
      <w:pPr>
        <w:tabs>
          <w:tab w:val="left" w:pos="979"/>
        </w:tabs>
        <w:jc w:val="both"/>
        <w:rPr>
          <w:rFonts w:cs="Verdana"/>
        </w:rPr>
      </w:pPr>
    </w:p>
    <w:p w:rsidR="00A35FB3" w:rsidRDefault="00A35FB3" w:rsidP="00A35FB3">
      <w:pPr>
        <w:tabs>
          <w:tab w:val="left" w:pos="979"/>
        </w:tabs>
        <w:rPr>
          <w:rFonts w:cs="Verdana"/>
        </w:rPr>
      </w:pPr>
      <w:r>
        <w:rPr>
          <w:rFonts w:cs="Verdana"/>
          <w:noProof/>
        </w:rPr>
        <w:drawing>
          <wp:inline distT="0" distB="0" distL="0" distR="0">
            <wp:extent cx="5286597" cy="3026897"/>
            <wp:effectExtent l="19050" t="0" r="9303" b="0"/>
            <wp:docPr id="52"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9" cstate="print"/>
                    <a:srcRect/>
                    <a:stretch>
                      <a:fillRect/>
                    </a:stretch>
                  </pic:blipFill>
                  <pic:spPr bwMode="auto">
                    <a:xfrm>
                      <a:off x="0" y="0"/>
                      <a:ext cx="5302071" cy="3035757"/>
                    </a:xfrm>
                    <a:prstGeom prst="rect">
                      <a:avLst/>
                    </a:prstGeom>
                    <a:noFill/>
                    <a:ln w="9525">
                      <a:noFill/>
                      <a:miter lim="800000"/>
                      <a:headEnd/>
                      <a:tailEnd/>
                    </a:ln>
                  </pic:spPr>
                </pic:pic>
              </a:graphicData>
            </a:graphic>
          </wp:inline>
        </w:drawing>
      </w:r>
    </w:p>
    <w:p w:rsidR="00A35FB3" w:rsidRPr="004C1E85" w:rsidRDefault="00A35FB3" w:rsidP="00A35FB3">
      <w:pPr>
        <w:tabs>
          <w:tab w:val="left" w:pos="979"/>
        </w:tabs>
        <w:jc w:val="both"/>
      </w:pPr>
      <w:r w:rsidRPr="004C1E85">
        <w:t xml:space="preserve">Fuente: </w:t>
      </w:r>
      <w:proofErr w:type="spellStart"/>
      <w:r w:rsidRPr="004C1E85">
        <w:t>Doing</w:t>
      </w:r>
      <w:proofErr w:type="spellEnd"/>
      <w:r w:rsidRPr="004C1E85">
        <w:t xml:space="preserve"> Business, 2014</w:t>
      </w:r>
      <w:r>
        <w:t>.</w:t>
      </w:r>
      <w:r w:rsidRPr="004C1E85">
        <w:t xml:space="preserve"> </w:t>
      </w:r>
    </w:p>
    <w:p w:rsidR="00A35FB3" w:rsidRPr="00CC3AE2" w:rsidRDefault="00A35FB3" w:rsidP="00A35FB3">
      <w:pPr>
        <w:tabs>
          <w:tab w:val="left" w:pos="979"/>
        </w:tabs>
        <w:jc w:val="both"/>
        <w:rPr>
          <w:rFonts w:cs="Verdana"/>
        </w:rPr>
      </w:pPr>
    </w:p>
    <w:p w:rsidR="00A35FB3" w:rsidRDefault="00A35FB3" w:rsidP="00A35FB3">
      <w:pPr>
        <w:tabs>
          <w:tab w:val="left" w:pos="979"/>
        </w:tabs>
        <w:spacing w:line="360" w:lineRule="auto"/>
        <w:jc w:val="both"/>
        <w:rPr>
          <w:sz w:val="24"/>
          <w:szCs w:val="24"/>
        </w:rPr>
      </w:pPr>
      <w:r w:rsidRPr="00B10E79">
        <w:rPr>
          <w:sz w:val="24"/>
          <w:szCs w:val="24"/>
        </w:rPr>
        <w:t xml:space="preserve">Otro de los factores institucionales que  empeoran la situación es la disminución que está sufriendo la investigación y el desarrollo en nuestro país, donde disminuye la </w:t>
      </w:r>
      <w:r>
        <w:rPr>
          <w:sz w:val="24"/>
          <w:szCs w:val="24"/>
        </w:rPr>
        <w:t>inversión pública y privada</w:t>
      </w:r>
      <w:r w:rsidRPr="00B10E79">
        <w:rPr>
          <w:sz w:val="24"/>
          <w:szCs w:val="24"/>
        </w:rPr>
        <w:t xml:space="preserve"> precisamente en los peores años de la crisis.</w:t>
      </w:r>
      <w:r w:rsidRPr="00B10E79">
        <w:rPr>
          <w:color w:val="000000"/>
          <w:sz w:val="24"/>
          <w:szCs w:val="24"/>
          <w:shd w:val="clear" w:color="auto" w:fill="FFFFFF"/>
        </w:rPr>
        <w:t xml:space="preserve"> </w:t>
      </w:r>
      <w:r w:rsidRPr="00B10E79">
        <w:rPr>
          <w:sz w:val="24"/>
          <w:szCs w:val="24"/>
        </w:rPr>
        <w:t>El gasto en investigación y desarrollo descendió, en total, un 5,6</w:t>
      </w:r>
      <w:r>
        <w:rPr>
          <w:sz w:val="24"/>
          <w:szCs w:val="24"/>
        </w:rPr>
        <w:t xml:space="preserve"> por 100</w:t>
      </w:r>
      <w:r w:rsidRPr="00B10E79">
        <w:rPr>
          <w:sz w:val="24"/>
          <w:szCs w:val="24"/>
        </w:rPr>
        <w:t xml:space="preserve"> respecto a 2011, pero en el sector público cayó un 7,4</w:t>
      </w:r>
      <w:r>
        <w:rPr>
          <w:sz w:val="24"/>
          <w:szCs w:val="24"/>
        </w:rPr>
        <w:t xml:space="preserve"> por 100</w:t>
      </w:r>
      <w:r w:rsidRPr="00B10E79">
        <w:rPr>
          <w:sz w:val="24"/>
          <w:szCs w:val="24"/>
        </w:rPr>
        <w:t xml:space="preserve"> y en el universitario un 7,2</w:t>
      </w:r>
      <w:r>
        <w:rPr>
          <w:sz w:val="24"/>
          <w:szCs w:val="24"/>
        </w:rPr>
        <w:t xml:space="preserve"> por 100</w:t>
      </w:r>
      <w:r w:rsidRPr="00B10E79">
        <w:rPr>
          <w:sz w:val="24"/>
          <w:szCs w:val="24"/>
        </w:rPr>
        <w:t>. El declive fue menor en el sector empresarial, con un 4,1</w:t>
      </w:r>
      <w:r>
        <w:rPr>
          <w:sz w:val="24"/>
          <w:szCs w:val="24"/>
        </w:rPr>
        <w:t xml:space="preserve"> por 100</w:t>
      </w:r>
      <w:r w:rsidRPr="00B10E79">
        <w:rPr>
          <w:sz w:val="24"/>
          <w:szCs w:val="24"/>
        </w:rPr>
        <w:t>. En cifras absolutas, el gasto total ascendió a 13.391 millones de euros</w:t>
      </w:r>
      <w:r>
        <w:rPr>
          <w:sz w:val="24"/>
          <w:szCs w:val="24"/>
        </w:rPr>
        <w:t xml:space="preserve"> en 2012</w:t>
      </w:r>
      <w:r w:rsidRPr="00B10E79">
        <w:rPr>
          <w:sz w:val="24"/>
          <w:szCs w:val="24"/>
        </w:rPr>
        <w:t>, frente a 14.184 el año anterior.</w:t>
      </w:r>
    </w:p>
    <w:p w:rsidR="00A35FB3" w:rsidRPr="00B10E79" w:rsidRDefault="00A35FB3" w:rsidP="00A35FB3">
      <w:pPr>
        <w:tabs>
          <w:tab w:val="left" w:pos="979"/>
        </w:tabs>
        <w:spacing w:line="360" w:lineRule="auto"/>
        <w:jc w:val="both"/>
        <w:rPr>
          <w:sz w:val="24"/>
          <w:szCs w:val="24"/>
        </w:rPr>
      </w:pPr>
    </w:p>
    <w:p w:rsidR="00A35FB3" w:rsidRDefault="00A35FB3" w:rsidP="00A35FB3">
      <w:pPr>
        <w:tabs>
          <w:tab w:val="left" w:pos="979"/>
        </w:tabs>
        <w:jc w:val="center"/>
        <w:rPr>
          <w:rFonts w:cs="Verdana"/>
          <w:b/>
        </w:rPr>
      </w:pPr>
      <w:r>
        <w:rPr>
          <w:b/>
          <w:sz w:val="24"/>
          <w:szCs w:val="24"/>
        </w:rPr>
        <w:lastRenderedPageBreak/>
        <w:t>Gráfico 16</w:t>
      </w:r>
      <w:r w:rsidRPr="00B10E79">
        <w:rPr>
          <w:b/>
          <w:sz w:val="24"/>
          <w:szCs w:val="24"/>
        </w:rPr>
        <w:t>.- Evolución del gasto en I+D en España (en millones de euros)</w:t>
      </w:r>
      <w:r>
        <w:rPr>
          <w:rFonts w:cs="Verdana"/>
          <w:noProof/>
        </w:rPr>
        <w:drawing>
          <wp:inline distT="0" distB="0" distL="0" distR="0">
            <wp:extent cx="5398770" cy="2296795"/>
            <wp:effectExtent l="19050" t="0" r="0" b="0"/>
            <wp:docPr id="53"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0" cstate="print"/>
                    <a:srcRect/>
                    <a:stretch>
                      <a:fillRect/>
                    </a:stretch>
                  </pic:blipFill>
                  <pic:spPr bwMode="auto">
                    <a:xfrm>
                      <a:off x="0" y="0"/>
                      <a:ext cx="5398770" cy="2296795"/>
                    </a:xfrm>
                    <a:prstGeom prst="rect">
                      <a:avLst/>
                    </a:prstGeom>
                    <a:noFill/>
                    <a:ln w="9525">
                      <a:noFill/>
                      <a:miter lim="800000"/>
                      <a:headEnd/>
                      <a:tailEnd/>
                    </a:ln>
                  </pic:spPr>
                </pic:pic>
              </a:graphicData>
            </a:graphic>
          </wp:inline>
        </w:drawing>
      </w:r>
    </w:p>
    <w:p w:rsidR="00A35FB3" w:rsidRPr="004C1E85" w:rsidRDefault="00A35FB3" w:rsidP="00A35FB3">
      <w:pPr>
        <w:spacing w:line="360" w:lineRule="auto"/>
      </w:pPr>
      <w:r w:rsidRPr="004C1E85">
        <w:t>Fuente: Estadística sobre actividades de I+D, INE (consultado el 08/04/2014)</w:t>
      </w:r>
      <w:r>
        <w:t>.</w:t>
      </w:r>
    </w:p>
    <w:p w:rsidR="00A35FB3" w:rsidRPr="00B10E79" w:rsidRDefault="00A35FB3" w:rsidP="00A35FB3">
      <w:pPr>
        <w:spacing w:line="360" w:lineRule="auto"/>
        <w:jc w:val="both"/>
        <w:rPr>
          <w:sz w:val="24"/>
          <w:szCs w:val="24"/>
        </w:rPr>
      </w:pPr>
      <w:r w:rsidRPr="00B10E79">
        <w:rPr>
          <w:sz w:val="24"/>
          <w:szCs w:val="24"/>
        </w:rPr>
        <w:t>Una vez resumidos algunos de los principales inconvenientes de la economía española que hacen más complicada la creación de empleo, paso a enumerar algunas de las propuestas realizadas por entidades y especialistas para solucionar por una parte los</w:t>
      </w:r>
      <w:r>
        <w:rPr>
          <w:sz w:val="24"/>
          <w:szCs w:val="24"/>
        </w:rPr>
        <w:t xml:space="preserve"> problemas del mercado laboral.</w:t>
      </w:r>
    </w:p>
    <w:p w:rsidR="00A35FB3" w:rsidRPr="00B10E79" w:rsidRDefault="00A35FB3" w:rsidP="00A35FB3">
      <w:pPr>
        <w:spacing w:line="360" w:lineRule="auto"/>
        <w:rPr>
          <w:sz w:val="24"/>
          <w:szCs w:val="24"/>
        </w:rPr>
      </w:pPr>
      <w:r w:rsidRPr="00B10E79">
        <w:rPr>
          <w:sz w:val="24"/>
          <w:szCs w:val="24"/>
        </w:rPr>
        <w:t>Para el mercado laboral, algunas reformas propuestas son:</w:t>
      </w:r>
    </w:p>
    <w:p w:rsidR="00A35FB3" w:rsidRPr="00B10E79" w:rsidRDefault="00A35FB3" w:rsidP="00A35FB3">
      <w:pPr>
        <w:pStyle w:val="Prrafodelista"/>
        <w:numPr>
          <w:ilvl w:val="0"/>
          <w:numId w:val="13"/>
        </w:numPr>
        <w:spacing w:line="360" w:lineRule="auto"/>
        <w:jc w:val="both"/>
        <w:rPr>
          <w:rFonts w:ascii="Times New Roman" w:hAnsi="Times New Roman" w:cs="Times New Roman"/>
          <w:sz w:val="24"/>
          <w:szCs w:val="24"/>
        </w:rPr>
      </w:pPr>
      <w:r w:rsidRPr="00B10E79">
        <w:rPr>
          <w:rFonts w:ascii="Times New Roman" w:hAnsi="Times New Roman" w:cs="Times New Roman"/>
          <w:sz w:val="24"/>
          <w:szCs w:val="24"/>
        </w:rPr>
        <w:t xml:space="preserve">Potenciar y desarrollar las </w:t>
      </w:r>
      <w:r>
        <w:rPr>
          <w:rFonts w:ascii="Times New Roman" w:hAnsi="Times New Roman" w:cs="Times New Roman"/>
          <w:sz w:val="24"/>
          <w:szCs w:val="24"/>
        </w:rPr>
        <w:t>agencias privadas de colocación</w:t>
      </w:r>
      <w:r w:rsidRPr="00B10E79">
        <w:rPr>
          <w:rFonts w:ascii="Times New Roman" w:hAnsi="Times New Roman" w:cs="Times New Roman"/>
          <w:sz w:val="24"/>
          <w:szCs w:val="24"/>
        </w:rPr>
        <w:t xml:space="preserve"> y su colaboración con el sistema nacional de empleo mediante contratos y beneficios fiscales.</w:t>
      </w:r>
    </w:p>
    <w:p w:rsidR="00A35FB3" w:rsidRPr="00B10E79" w:rsidRDefault="00A35FB3" w:rsidP="00A35FB3">
      <w:pPr>
        <w:pStyle w:val="Prrafodelista"/>
        <w:spacing w:line="360" w:lineRule="auto"/>
        <w:jc w:val="both"/>
        <w:rPr>
          <w:rFonts w:ascii="Times New Roman" w:hAnsi="Times New Roman" w:cs="Times New Roman"/>
          <w:sz w:val="24"/>
          <w:szCs w:val="24"/>
        </w:rPr>
      </w:pPr>
      <w:r w:rsidRPr="00B10E79">
        <w:rPr>
          <w:rFonts w:ascii="Times New Roman" w:hAnsi="Times New Roman" w:cs="Times New Roman"/>
          <w:sz w:val="24"/>
          <w:szCs w:val="24"/>
        </w:rPr>
        <w:t>Las empresas de trabajo temporal en España participan en alrededor del 14</w:t>
      </w:r>
      <w:r>
        <w:rPr>
          <w:rFonts w:ascii="Times New Roman" w:hAnsi="Times New Roman" w:cs="Times New Roman"/>
          <w:sz w:val="24"/>
          <w:szCs w:val="24"/>
        </w:rPr>
        <w:t xml:space="preserve"> por 100</w:t>
      </w:r>
      <w:r w:rsidRPr="00B10E79">
        <w:rPr>
          <w:rFonts w:ascii="Times New Roman" w:hAnsi="Times New Roman" w:cs="Times New Roman"/>
          <w:sz w:val="24"/>
          <w:szCs w:val="24"/>
        </w:rPr>
        <w:t xml:space="preserve"> de las contrataciones que se dan en nuestro mercado laboral; mientras que los servicios públicos de empleo alcanzan solo un 3</w:t>
      </w:r>
      <w:r>
        <w:rPr>
          <w:rFonts w:ascii="Times New Roman" w:hAnsi="Times New Roman" w:cs="Times New Roman"/>
          <w:sz w:val="24"/>
          <w:szCs w:val="24"/>
        </w:rPr>
        <w:t xml:space="preserve"> por 100</w:t>
      </w:r>
      <w:r w:rsidRPr="00B10E79">
        <w:rPr>
          <w:rFonts w:ascii="Times New Roman" w:hAnsi="Times New Roman" w:cs="Times New Roman"/>
          <w:sz w:val="24"/>
          <w:szCs w:val="24"/>
        </w:rPr>
        <w:t>. Ya en la ley 3/2012 de medidas urgentes para la reforma del mercado laboral se contempla esta colaboración, aunque aún se deben dar los pasos necesarios para desarrollar y facilitar la colaboración entre las agencias privadas de colocación y las entidades públicas. El sistema público de empleo debe de modernizarse, lo que hace necesaria una mayor coordinación entre las comunidades autónomas, actualizar los servicios telemáticos y  una mayor cercanía con l</w:t>
      </w:r>
      <w:r>
        <w:rPr>
          <w:rFonts w:ascii="Times New Roman" w:hAnsi="Times New Roman" w:cs="Times New Roman"/>
          <w:sz w:val="24"/>
          <w:szCs w:val="24"/>
        </w:rPr>
        <w:t>as empresas (Fundación Bankinter, 2013).</w:t>
      </w:r>
    </w:p>
    <w:p w:rsidR="00A35FB3" w:rsidRPr="00BD3528" w:rsidRDefault="00A35FB3" w:rsidP="00A35FB3">
      <w:pPr>
        <w:spacing w:line="360" w:lineRule="auto"/>
        <w:rPr>
          <w:sz w:val="24"/>
          <w:szCs w:val="24"/>
        </w:rPr>
      </w:pPr>
    </w:p>
    <w:p w:rsidR="00A35FB3" w:rsidRPr="00B10E79" w:rsidRDefault="00A35FB3" w:rsidP="00A35FB3">
      <w:pPr>
        <w:pStyle w:val="Prrafodelista"/>
        <w:numPr>
          <w:ilvl w:val="0"/>
          <w:numId w:val="13"/>
        </w:numPr>
        <w:spacing w:line="360" w:lineRule="auto"/>
        <w:jc w:val="both"/>
        <w:rPr>
          <w:rFonts w:ascii="Times New Roman" w:hAnsi="Times New Roman" w:cs="Times New Roman"/>
          <w:sz w:val="24"/>
          <w:szCs w:val="24"/>
        </w:rPr>
      </w:pPr>
      <w:r w:rsidRPr="00B10E79">
        <w:rPr>
          <w:rFonts w:ascii="Times New Roman" w:hAnsi="Times New Roman" w:cs="Times New Roman"/>
          <w:sz w:val="24"/>
          <w:szCs w:val="24"/>
        </w:rPr>
        <w:t xml:space="preserve">Simplificar las modalidades de contratación. </w:t>
      </w:r>
    </w:p>
    <w:p w:rsidR="00A35FB3" w:rsidRPr="00B10E79" w:rsidRDefault="00A35FB3" w:rsidP="00A35FB3">
      <w:pPr>
        <w:pStyle w:val="Prrafodelista"/>
        <w:spacing w:line="360" w:lineRule="auto"/>
        <w:jc w:val="both"/>
        <w:rPr>
          <w:rFonts w:ascii="Times New Roman" w:hAnsi="Times New Roman" w:cs="Times New Roman"/>
          <w:sz w:val="24"/>
          <w:szCs w:val="24"/>
        </w:rPr>
      </w:pPr>
      <w:r w:rsidRPr="00B10E79">
        <w:rPr>
          <w:rFonts w:ascii="Times New Roman" w:hAnsi="Times New Roman" w:cs="Times New Roman"/>
          <w:sz w:val="24"/>
          <w:szCs w:val="24"/>
        </w:rPr>
        <w:t>Si el objetivo real es fomentar la creación de empl</w:t>
      </w:r>
      <w:r>
        <w:rPr>
          <w:rFonts w:ascii="Times New Roman" w:hAnsi="Times New Roman" w:cs="Times New Roman"/>
          <w:sz w:val="24"/>
          <w:szCs w:val="24"/>
        </w:rPr>
        <w:t xml:space="preserve">eo estable hay que rediseñar los tipos </w:t>
      </w:r>
      <w:r w:rsidRPr="00B10E79">
        <w:rPr>
          <w:rFonts w:ascii="Times New Roman" w:hAnsi="Times New Roman" w:cs="Times New Roman"/>
          <w:sz w:val="24"/>
          <w:szCs w:val="24"/>
        </w:rPr>
        <w:t>de contratos para reducir el coste laboral no salarial de las nuevas contrataciones y lograr que dicho coste aumente gradualmente con la antigüedad del trabajador, evitando de esta manera incentivos injustificados a la rotación laboral</w:t>
      </w:r>
      <w:r>
        <w:rPr>
          <w:rFonts w:ascii="Times New Roman" w:hAnsi="Times New Roman" w:cs="Times New Roman"/>
          <w:sz w:val="24"/>
          <w:szCs w:val="24"/>
        </w:rPr>
        <w:t>. Según la Fundación</w:t>
      </w:r>
      <w:r w:rsidRPr="00B10E79">
        <w:rPr>
          <w:rFonts w:ascii="Times New Roman" w:hAnsi="Times New Roman" w:cs="Times New Roman"/>
          <w:sz w:val="24"/>
          <w:szCs w:val="24"/>
        </w:rPr>
        <w:t xml:space="preserve"> de Estudios de Economía Aplicada (FEDEA, en adelante) tres formas de </w:t>
      </w:r>
      <w:r w:rsidRPr="00B10E79">
        <w:rPr>
          <w:rFonts w:ascii="Times New Roman" w:hAnsi="Times New Roman" w:cs="Times New Roman"/>
          <w:sz w:val="24"/>
          <w:szCs w:val="24"/>
        </w:rPr>
        <w:lastRenderedPageBreak/>
        <w:t>contratación  bastarían para recoger todas las necesidades de contratación de las empresas españolas. Un contrato de formación puede servir para introducir a los jóvenes sin experiencia en el mercado de trabajo. Un contrato de interinidad puede cubrir la mayoría de las necesidades esporádicas de sustitución de trabajadores en las empresas. En tercer lugar, un contrato indefinido (“contrato único”), a tiempo completo o parcial, con indemnizaciones que crezcan</w:t>
      </w:r>
      <w:r>
        <w:rPr>
          <w:rFonts w:ascii="Times New Roman" w:hAnsi="Times New Roman" w:cs="Times New Roman"/>
          <w:sz w:val="24"/>
          <w:szCs w:val="24"/>
        </w:rPr>
        <w:t xml:space="preserve"> progresivamente</w:t>
      </w:r>
      <w:r w:rsidRPr="00B10E79">
        <w:rPr>
          <w:rFonts w:ascii="Times New Roman" w:hAnsi="Times New Roman" w:cs="Times New Roman"/>
          <w:sz w:val="24"/>
          <w:szCs w:val="24"/>
        </w:rPr>
        <w:t xml:space="preserve"> hasta alcanzar un máximo razonable y dos vías de indemnización −para recoger las causas de despido procedente e improcedente− puede y debe</w:t>
      </w:r>
      <w:r>
        <w:rPr>
          <w:rFonts w:ascii="Times New Roman" w:hAnsi="Times New Roman" w:cs="Times New Roman"/>
          <w:sz w:val="24"/>
          <w:szCs w:val="24"/>
        </w:rPr>
        <w:t>ría</w:t>
      </w:r>
      <w:r w:rsidRPr="00B10E79">
        <w:rPr>
          <w:rFonts w:ascii="Times New Roman" w:hAnsi="Times New Roman" w:cs="Times New Roman"/>
          <w:sz w:val="24"/>
          <w:szCs w:val="24"/>
        </w:rPr>
        <w:t xml:space="preserve"> constituir la norma de la contratación laboral. Todos los contratos de este tipo serían indefinidos desde el principio, aumentando la protección jurídica de los trabajadores y eliminando el incentivo causante de la temporalidad. Por último, las necesidades de carácter estacional podrían canalizarse a través de las empresas de trabajo temporal (FEDEA, 2013). </w:t>
      </w:r>
    </w:p>
    <w:p w:rsidR="00A35FB3" w:rsidRPr="00B10E79" w:rsidRDefault="00A35FB3" w:rsidP="00A35FB3">
      <w:pPr>
        <w:pStyle w:val="Prrafodelista"/>
        <w:spacing w:line="360" w:lineRule="auto"/>
        <w:jc w:val="both"/>
        <w:rPr>
          <w:rFonts w:ascii="Times New Roman" w:hAnsi="Times New Roman" w:cs="Times New Roman"/>
          <w:sz w:val="24"/>
          <w:szCs w:val="24"/>
        </w:rPr>
      </w:pPr>
    </w:p>
    <w:p w:rsidR="00A35FB3" w:rsidRPr="00B10E79" w:rsidRDefault="00A35FB3" w:rsidP="00A35FB3">
      <w:pPr>
        <w:pStyle w:val="Prrafodelista"/>
        <w:numPr>
          <w:ilvl w:val="0"/>
          <w:numId w:val="13"/>
        </w:numPr>
        <w:spacing w:line="360" w:lineRule="auto"/>
        <w:jc w:val="both"/>
        <w:rPr>
          <w:rFonts w:ascii="Times New Roman" w:hAnsi="Times New Roman" w:cs="Times New Roman"/>
          <w:sz w:val="24"/>
          <w:szCs w:val="24"/>
        </w:rPr>
      </w:pPr>
      <w:r w:rsidRPr="00B10E79">
        <w:rPr>
          <w:rFonts w:ascii="Times New Roman" w:hAnsi="Times New Roman" w:cs="Times New Roman"/>
          <w:sz w:val="24"/>
          <w:szCs w:val="24"/>
        </w:rPr>
        <w:t>Separar la indemnización por despido de la prestación por desempleo.</w:t>
      </w:r>
    </w:p>
    <w:p w:rsidR="00A35FB3" w:rsidRPr="00B10E79" w:rsidRDefault="00A35FB3" w:rsidP="00A35FB3">
      <w:pPr>
        <w:pStyle w:val="Prrafodelista"/>
        <w:spacing w:line="360" w:lineRule="auto"/>
        <w:jc w:val="both"/>
        <w:rPr>
          <w:rFonts w:ascii="Times New Roman" w:hAnsi="Times New Roman" w:cs="Times New Roman"/>
          <w:sz w:val="24"/>
          <w:szCs w:val="24"/>
        </w:rPr>
      </w:pPr>
      <w:r w:rsidRPr="00B10E79">
        <w:rPr>
          <w:rFonts w:ascii="Times New Roman" w:hAnsi="Times New Roman" w:cs="Times New Roman"/>
          <w:sz w:val="24"/>
          <w:szCs w:val="24"/>
        </w:rPr>
        <w:t>Cuando se despide a un trabajador, este recibe una indemnización económica por ello a la vez que pasa a formar parte del desempleo y a recibir una prestación de parte del Estado. De este modo, el trabajador se encuentra recibiendo una compensación por dos vías de forma simultánea, lo que supone un gran problema cuando se acaban ambas a la vez. Lo que aquí  se propone es separar en el tiempo la indemnización por despido y la prestación por desempleo. La prestación por desempleo solo se percibiría una vez que se agotase la indemnización (la forma de calcular este momento sería dividir la indemnización entre la cantidad que recibiría el trabajador cada mes del subsidio por desempleo).</w:t>
      </w:r>
    </w:p>
    <w:p w:rsidR="00A35FB3" w:rsidRPr="00B10E79" w:rsidRDefault="00A35FB3" w:rsidP="00A35FB3">
      <w:pPr>
        <w:pStyle w:val="Prrafodelista"/>
        <w:spacing w:line="360" w:lineRule="auto"/>
        <w:jc w:val="both"/>
        <w:rPr>
          <w:rFonts w:ascii="Times New Roman" w:hAnsi="Times New Roman" w:cs="Times New Roman"/>
          <w:sz w:val="24"/>
          <w:szCs w:val="24"/>
        </w:rPr>
      </w:pPr>
      <w:r w:rsidRPr="00B10E79">
        <w:rPr>
          <w:rFonts w:ascii="Times New Roman" w:hAnsi="Times New Roman" w:cs="Times New Roman"/>
          <w:sz w:val="24"/>
          <w:szCs w:val="24"/>
        </w:rPr>
        <w:t>Esto no sería solo bueno para el trabajador (que cubre sus necesidades financieras por más tiempo), sino también para el Estado, que podría ahorrarse los pagos si el trabajador encuentra trabajo; o en el peor de los casos, prolongar el gasto público en prestaciones por desempleo, que se desembolsarían más tarde.</w:t>
      </w:r>
    </w:p>
    <w:p w:rsidR="00A35FB3" w:rsidRPr="00B10E79" w:rsidRDefault="00A35FB3" w:rsidP="00A35FB3">
      <w:pPr>
        <w:pStyle w:val="Prrafodelista"/>
        <w:spacing w:line="360" w:lineRule="auto"/>
        <w:jc w:val="both"/>
        <w:rPr>
          <w:rFonts w:ascii="Times New Roman" w:hAnsi="Times New Roman" w:cs="Times New Roman"/>
          <w:sz w:val="24"/>
          <w:szCs w:val="24"/>
        </w:rPr>
      </w:pPr>
    </w:p>
    <w:p w:rsidR="00A35FB3" w:rsidRPr="00B10E79" w:rsidRDefault="00A35FB3" w:rsidP="00A35FB3">
      <w:pPr>
        <w:pStyle w:val="Prrafodelista"/>
        <w:numPr>
          <w:ilvl w:val="0"/>
          <w:numId w:val="13"/>
        </w:numPr>
        <w:spacing w:line="360" w:lineRule="auto"/>
        <w:jc w:val="both"/>
        <w:rPr>
          <w:rFonts w:ascii="Times New Roman" w:hAnsi="Times New Roman" w:cs="Times New Roman"/>
          <w:sz w:val="24"/>
          <w:szCs w:val="24"/>
        </w:rPr>
      </w:pPr>
      <w:r w:rsidRPr="00B10E79">
        <w:rPr>
          <w:rFonts w:ascii="Times New Roman" w:hAnsi="Times New Roman" w:cs="Times New Roman"/>
          <w:sz w:val="24"/>
          <w:szCs w:val="24"/>
        </w:rPr>
        <w:t>Modificar las políticas activas de empleo, orientán</w:t>
      </w:r>
      <w:r>
        <w:rPr>
          <w:rFonts w:ascii="Times New Roman" w:hAnsi="Times New Roman" w:cs="Times New Roman"/>
          <w:sz w:val="24"/>
          <w:szCs w:val="24"/>
        </w:rPr>
        <w:t>dolas a reducir el paro juvenil (Fundación Bankinter, 2013).</w:t>
      </w:r>
    </w:p>
    <w:p w:rsidR="00A35FB3" w:rsidRPr="00B10E79" w:rsidRDefault="00A35FB3" w:rsidP="00A35FB3">
      <w:pPr>
        <w:pStyle w:val="Prrafodelista"/>
        <w:spacing w:line="360" w:lineRule="auto"/>
        <w:jc w:val="both"/>
        <w:rPr>
          <w:rFonts w:ascii="Times New Roman" w:hAnsi="Times New Roman" w:cs="Times New Roman"/>
          <w:sz w:val="24"/>
          <w:szCs w:val="24"/>
        </w:rPr>
      </w:pPr>
      <w:r w:rsidRPr="00B10E79">
        <w:rPr>
          <w:rFonts w:ascii="Times New Roman" w:hAnsi="Times New Roman" w:cs="Times New Roman"/>
          <w:sz w:val="24"/>
          <w:szCs w:val="24"/>
        </w:rPr>
        <w:t xml:space="preserve">En 2012 el Gobierno recortó en más de mil millones de euros el presupuesto para la formación de los parados, de manera que hoy en día las políticas activas se limitan casi exclusivamente a las bonificaciones. Un buen ejemplo es la “Estrategia para el </w:t>
      </w:r>
      <w:r w:rsidRPr="00B10E79">
        <w:rPr>
          <w:rFonts w:ascii="Times New Roman" w:hAnsi="Times New Roman" w:cs="Times New Roman"/>
          <w:sz w:val="24"/>
          <w:szCs w:val="24"/>
        </w:rPr>
        <w:lastRenderedPageBreak/>
        <w:t xml:space="preserve">Emprendimiento y Empleo Joven”, que contempla la bonificación de contratos temporales y de tiempo parcial que tienen un vínculo muy dudoso con la formación. El uso de subvenciones estaría justificado para los jóvenes sin experiencia laboral, pero han de estar ligadas a contratos formativos y a colectivos en riesgo de exclusión social. Finalmente, se echa en falta un plan nacional para el retorno a la formación reglada de los jóvenes que la abandonaron prematuramente y en el que un gran porcentaje de los parados proviene del sector inmobiliario. </w:t>
      </w:r>
    </w:p>
    <w:p w:rsidR="00A35FB3" w:rsidRPr="00B10E79" w:rsidRDefault="00A35FB3" w:rsidP="00A35FB3">
      <w:pPr>
        <w:pStyle w:val="Prrafodelista"/>
        <w:spacing w:line="360" w:lineRule="auto"/>
        <w:jc w:val="both"/>
        <w:rPr>
          <w:rFonts w:ascii="Times New Roman" w:hAnsi="Times New Roman" w:cs="Times New Roman"/>
          <w:sz w:val="24"/>
          <w:szCs w:val="24"/>
        </w:rPr>
      </w:pPr>
      <w:r w:rsidRPr="00B10E79">
        <w:rPr>
          <w:rFonts w:ascii="Times New Roman" w:hAnsi="Times New Roman" w:cs="Times New Roman"/>
          <w:sz w:val="24"/>
          <w:szCs w:val="24"/>
        </w:rPr>
        <w:t xml:space="preserve">Su formación es imprescindible con el fin de que encuentren un trabajo rápidamente y reducir la tasa de paro. Algunas acciones para estos jóvenes podrían ser: vincular el contrato de formación con la formación profesional reglada (“formación dual”) y potenciar el retorno a las clases para completar los estudios secundarios (con becas especiales, descuentos, etc). </w:t>
      </w:r>
    </w:p>
    <w:p w:rsidR="00A35FB3" w:rsidRDefault="00A35FB3" w:rsidP="00A35FB3">
      <w:pPr>
        <w:pStyle w:val="Prrafodelista"/>
        <w:spacing w:line="360" w:lineRule="auto"/>
        <w:jc w:val="both"/>
        <w:rPr>
          <w:rFonts w:ascii="Times New Roman" w:hAnsi="Times New Roman" w:cs="Times New Roman"/>
          <w:sz w:val="24"/>
          <w:szCs w:val="24"/>
        </w:rPr>
      </w:pPr>
      <w:r w:rsidRPr="00B10E79">
        <w:rPr>
          <w:rFonts w:ascii="Times New Roman" w:hAnsi="Times New Roman" w:cs="Times New Roman"/>
          <w:sz w:val="24"/>
          <w:szCs w:val="24"/>
        </w:rPr>
        <w:t>El grave riesgo de que el paro se mantenga en niveles muy elevados no va a evitarse mediante bonificaciones dispersas, lo cual es en parte un error por varias cuestiones, la principal de ellas es que van dirigidas a colectivos de trabajadores muy amplios. Esto da lugar a que resulten atractivas contrataciones que se harían igualmente sin la bonificación. Es necesario reorientar las políticas activas a fin de que preparen a los colectivos más débiles para aquellos tipos de empleos que prometan tener una buena salida laboral en la recuperación. En este sentido, es vital la cooperación de los interlocutores sociales pero la gestión de las políticas debe estar en otras manos, mientras que los programas deben ser evaluados rigurosamente por expertos independientes.</w:t>
      </w:r>
    </w:p>
    <w:p w:rsidR="00A35FB3" w:rsidRPr="001E0FA1" w:rsidRDefault="00A35FB3" w:rsidP="00A35FB3">
      <w:pPr>
        <w:spacing w:line="360" w:lineRule="auto"/>
        <w:jc w:val="both"/>
        <w:rPr>
          <w:sz w:val="24"/>
          <w:szCs w:val="24"/>
        </w:rPr>
      </w:pPr>
    </w:p>
    <w:p w:rsidR="00A35FB3" w:rsidRPr="00B10E79" w:rsidRDefault="00A35FB3" w:rsidP="00A35FB3">
      <w:pPr>
        <w:pStyle w:val="Prrafodelista"/>
        <w:numPr>
          <w:ilvl w:val="0"/>
          <w:numId w:val="13"/>
        </w:numPr>
        <w:spacing w:line="360" w:lineRule="auto"/>
        <w:jc w:val="both"/>
        <w:rPr>
          <w:rFonts w:ascii="Times New Roman" w:hAnsi="Times New Roman" w:cs="Times New Roman"/>
          <w:sz w:val="24"/>
          <w:szCs w:val="24"/>
        </w:rPr>
      </w:pPr>
      <w:r w:rsidRPr="00B10E79">
        <w:rPr>
          <w:rFonts w:ascii="Times New Roman" w:hAnsi="Times New Roman" w:cs="Times New Roman"/>
          <w:sz w:val="24"/>
          <w:szCs w:val="24"/>
        </w:rPr>
        <w:t>Acuerdo entre todas las universidades españolas para la formación emprendedora obligatoria, adaptada a las características y necesidades de cada rama formativa.</w:t>
      </w:r>
    </w:p>
    <w:p w:rsidR="00A35FB3" w:rsidRPr="00B10E79" w:rsidRDefault="00A35FB3" w:rsidP="00A35FB3">
      <w:pPr>
        <w:pStyle w:val="Prrafodelista"/>
        <w:spacing w:line="360" w:lineRule="auto"/>
        <w:jc w:val="both"/>
        <w:rPr>
          <w:rFonts w:ascii="Times New Roman" w:hAnsi="Times New Roman" w:cs="Times New Roman"/>
          <w:sz w:val="24"/>
          <w:szCs w:val="24"/>
        </w:rPr>
      </w:pPr>
      <w:r w:rsidRPr="00B10E79">
        <w:rPr>
          <w:rFonts w:ascii="Times New Roman" w:hAnsi="Times New Roman" w:cs="Times New Roman"/>
          <w:sz w:val="24"/>
          <w:szCs w:val="24"/>
        </w:rPr>
        <w:t>Actualmente esta materia se encuentra en exclusiva en carreras relacionadas con la administración y dirección de empresas, mientras que en otras ramas formativas apenas se estudia. Tampoco ayuda el hecho de que la actividad emprendedora es poco valorada por la sociedad. Es necesario que esto cambie si queremos tener alguna posibilidad de mejorar la situació</w:t>
      </w:r>
      <w:r>
        <w:rPr>
          <w:rFonts w:ascii="Times New Roman" w:hAnsi="Times New Roman" w:cs="Times New Roman"/>
          <w:sz w:val="24"/>
          <w:szCs w:val="24"/>
        </w:rPr>
        <w:t>n económica del país. Para ello</w:t>
      </w:r>
      <w:r w:rsidRPr="00B10E79">
        <w:rPr>
          <w:rFonts w:ascii="Times New Roman" w:hAnsi="Times New Roman" w:cs="Times New Roman"/>
          <w:sz w:val="24"/>
          <w:szCs w:val="24"/>
        </w:rPr>
        <w:t xml:space="preserve"> se propone incluir módulos o asignaturas completas en todas las carreras o grados  formativos en los que se explique</w:t>
      </w:r>
      <w:r>
        <w:rPr>
          <w:rFonts w:ascii="Times New Roman" w:hAnsi="Times New Roman" w:cs="Times New Roman"/>
          <w:sz w:val="24"/>
          <w:szCs w:val="24"/>
        </w:rPr>
        <w:t>n</w:t>
      </w:r>
      <w:r w:rsidRPr="00B10E79">
        <w:rPr>
          <w:rFonts w:ascii="Times New Roman" w:hAnsi="Times New Roman" w:cs="Times New Roman"/>
          <w:sz w:val="24"/>
          <w:szCs w:val="24"/>
        </w:rPr>
        <w:t xml:space="preserve"> aspectos básicos del emprendimiento, adaptándose a cada ámbito formativo y las opciones disponibles según su área de estudio. </w:t>
      </w:r>
    </w:p>
    <w:p w:rsidR="00A35FB3" w:rsidRPr="00B10E79" w:rsidRDefault="00A35FB3" w:rsidP="00A35FB3">
      <w:pPr>
        <w:pStyle w:val="Prrafodelista"/>
        <w:spacing w:line="360" w:lineRule="auto"/>
        <w:jc w:val="both"/>
        <w:rPr>
          <w:rFonts w:ascii="Times New Roman" w:hAnsi="Times New Roman" w:cs="Times New Roman"/>
          <w:sz w:val="24"/>
          <w:szCs w:val="24"/>
        </w:rPr>
      </w:pPr>
      <w:r w:rsidRPr="00B10E79">
        <w:rPr>
          <w:rFonts w:ascii="Times New Roman" w:hAnsi="Times New Roman" w:cs="Times New Roman"/>
          <w:sz w:val="24"/>
          <w:szCs w:val="24"/>
        </w:rPr>
        <w:lastRenderedPageBreak/>
        <w:t>No debemos pensar que por incluir solo una asignatura relacionada con el emprendimiento todos los estudiantes se convertirán en emprendedores al acabar sus estudios. El cambio de mentalidad es un proceso lento, pero necesario.</w:t>
      </w:r>
    </w:p>
    <w:p w:rsidR="00A35FB3" w:rsidRDefault="00A35FB3" w:rsidP="00A35FB3">
      <w:pPr>
        <w:pStyle w:val="Prrafodelista"/>
        <w:jc w:val="both"/>
        <w:rPr>
          <w:rFonts w:cs="Verdana"/>
        </w:rPr>
      </w:pPr>
    </w:p>
    <w:p w:rsidR="00A35FB3" w:rsidRDefault="00A35FB3" w:rsidP="00A35FB3">
      <w:pPr>
        <w:pStyle w:val="Prrafodelista"/>
        <w:jc w:val="both"/>
        <w:rPr>
          <w:rFonts w:cs="Verdana"/>
        </w:rPr>
      </w:pPr>
    </w:p>
    <w:p w:rsidR="00A35FB3" w:rsidRDefault="00A35FB3" w:rsidP="00A35FB3">
      <w:pPr>
        <w:pStyle w:val="Prrafodelista"/>
        <w:jc w:val="both"/>
        <w:rPr>
          <w:rFonts w:cs="Verdana"/>
        </w:rPr>
      </w:pPr>
    </w:p>
    <w:p w:rsidR="00A35FB3" w:rsidRDefault="00A35FB3" w:rsidP="00A35FB3">
      <w:pPr>
        <w:pStyle w:val="Prrafodelista"/>
        <w:jc w:val="both"/>
        <w:rPr>
          <w:rFonts w:cs="Verdana"/>
        </w:rPr>
      </w:pPr>
    </w:p>
    <w:p w:rsidR="00A35FB3" w:rsidRDefault="00A35FB3" w:rsidP="00A35FB3">
      <w:pPr>
        <w:pStyle w:val="Prrafodelista"/>
        <w:jc w:val="both"/>
        <w:rPr>
          <w:rFonts w:cs="Verdana"/>
        </w:rPr>
      </w:pPr>
    </w:p>
    <w:p w:rsidR="00A35FB3" w:rsidRDefault="00A35FB3" w:rsidP="00A35FB3">
      <w:pPr>
        <w:pStyle w:val="Prrafodelista"/>
        <w:jc w:val="both"/>
        <w:rPr>
          <w:rFonts w:cs="Verdana"/>
        </w:rPr>
      </w:pPr>
    </w:p>
    <w:p w:rsidR="00A35FB3" w:rsidRDefault="00A35FB3" w:rsidP="00A35FB3">
      <w:pPr>
        <w:pStyle w:val="Prrafodelista"/>
        <w:jc w:val="both"/>
        <w:rPr>
          <w:rFonts w:cs="Verdana"/>
        </w:rPr>
      </w:pPr>
    </w:p>
    <w:p w:rsidR="00A35FB3" w:rsidRDefault="00A35FB3" w:rsidP="00A35FB3">
      <w:pPr>
        <w:pStyle w:val="Prrafodelista"/>
        <w:jc w:val="both"/>
        <w:rPr>
          <w:rFonts w:cs="Verdana"/>
        </w:rPr>
      </w:pPr>
    </w:p>
    <w:p w:rsidR="00A35FB3" w:rsidRDefault="00A35FB3" w:rsidP="00A35FB3">
      <w:pPr>
        <w:pStyle w:val="Prrafodelista"/>
        <w:jc w:val="both"/>
        <w:rPr>
          <w:rFonts w:cs="Verdana"/>
        </w:rPr>
      </w:pPr>
    </w:p>
    <w:p w:rsidR="00A35FB3" w:rsidRDefault="00A35FB3" w:rsidP="00A35FB3">
      <w:pPr>
        <w:pStyle w:val="Prrafodelista"/>
        <w:jc w:val="both"/>
        <w:rPr>
          <w:rFonts w:cs="Verdana"/>
        </w:rPr>
      </w:pPr>
    </w:p>
    <w:p w:rsidR="00A35FB3" w:rsidRDefault="00A35FB3" w:rsidP="00A35FB3">
      <w:pPr>
        <w:pStyle w:val="Prrafodelista"/>
        <w:jc w:val="both"/>
        <w:rPr>
          <w:rFonts w:cs="Verdana"/>
        </w:rPr>
      </w:pPr>
    </w:p>
    <w:p w:rsidR="00A35FB3" w:rsidRDefault="00A35FB3" w:rsidP="00A35FB3">
      <w:pPr>
        <w:pStyle w:val="Prrafodelista"/>
        <w:jc w:val="both"/>
        <w:rPr>
          <w:rFonts w:cs="Verdana"/>
        </w:rPr>
      </w:pPr>
    </w:p>
    <w:p w:rsidR="00A35FB3" w:rsidRDefault="00A35FB3" w:rsidP="00A35FB3">
      <w:pPr>
        <w:pStyle w:val="Prrafodelista"/>
        <w:jc w:val="both"/>
        <w:rPr>
          <w:rFonts w:cs="Verdana"/>
        </w:rPr>
      </w:pPr>
    </w:p>
    <w:p w:rsidR="00A35FB3" w:rsidRDefault="00A35FB3" w:rsidP="00A35FB3">
      <w:pPr>
        <w:pStyle w:val="Prrafodelista"/>
        <w:jc w:val="both"/>
        <w:rPr>
          <w:rFonts w:cs="Verdana"/>
        </w:rPr>
      </w:pPr>
    </w:p>
    <w:p w:rsidR="00A35FB3" w:rsidRDefault="00A35FB3" w:rsidP="00A35FB3">
      <w:pPr>
        <w:pStyle w:val="Prrafodelista"/>
        <w:jc w:val="both"/>
        <w:rPr>
          <w:rFonts w:cs="Verdana"/>
        </w:rPr>
      </w:pPr>
    </w:p>
    <w:p w:rsidR="00A35FB3" w:rsidRDefault="00A35FB3" w:rsidP="00A35FB3">
      <w:pPr>
        <w:pStyle w:val="Prrafodelista"/>
        <w:jc w:val="both"/>
        <w:rPr>
          <w:rFonts w:cs="Verdana"/>
        </w:rPr>
      </w:pPr>
    </w:p>
    <w:p w:rsidR="00A35FB3" w:rsidRDefault="00A35FB3" w:rsidP="00A35FB3">
      <w:pPr>
        <w:pStyle w:val="Prrafodelista"/>
        <w:jc w:val="both"/>
        <w:rPr>
          <w:rFonts w:cs="Verdana"/>
        </w:rPr>
      </w:pPr>
    </w:p>
    <w:p w:rsidR="00A35FB3" w:rsidRDefault="00A35FB3" w:rsidP="00A35FB3">
      <w:pPr>
        <w:pStyle w:val="Prrafodelista"/>
        <w:jc w:val="both"/>
        <w:rPr>
          <w:rFonts w:cs="Verdana"/>
        </w:rPr>
      </w:pPr>
    </w:p>
    <w:p w:rsidR="00A35FB3" w:rsidRDefault="00A35FB3" w:rsidP="00A35FB3">
      <w:pPr>
        <w:pStyle w:val="Prrafodelista"/>
        <w:jc w:val="both"/>
        <w:rPr>
          <w:rFonts w:cs="Verdana"/>
        </w:rPr>
      </w:pPr>
    </w:p>
    <w:p w:rsidR="00A35FB3" w:rsidRDefault="00A35FB3" w:rsidP="00A35FB3">
      <w:pPr>
        <w:pStyle w:val="Prrafodelista"/>
        <w:jc w:val="both"/>
        <w:rPr>
          <w:rFonts w:cs="Verdana"/>
        </w:rPr>
      </w:pPr>
    </w:p>
    <w:p w:rsidR="00A35FB3" w:rsidRDefault="00A35FB3" w:rsidP="00A35FB3">
      <w:pPr>
        <w:pStyle w:val="Prrafodelista"/>
        <w:jc w:val="both"/>
        <w:rPr>
          <w:rFonts w:cs="Verdana"/>
        </w:rPr>
      </w:pPr>
    </w:p>
    <w:p w:rsidR="00A35FB3" w:rsidRDefault="00A35FB3" w:rsidP="00A35FB3">
      <w:pPr>
        <w:pStyle w:val="Prrafodelista"/>
        <w:jc w:val="both"/>
        <w:rPr>
          <w:rFonts w:cs="Verdana"/>
        </w:rPr>
      </w:pPr>
    </w:p>
    <w:p w:rsidR="00A35FB3" w:rsidRDefault="00A35FB3" w:rsidP="00A35FB3">
      <w:pPr>
        <w:pStyle w:val="Prrafodelista"/>
        <w:jc w:val="both"/>
        <w:rPr>
          <w:rFonts w:cs="Verdana"/>
        </w:rPr>
      </w:pPr>
    </w:p>
    <w:p w:rsidR="00A35FB3" w:rsidRDefault="00A35FB3" w:rsidP="00A35FB3">
      <w:pPr>
        <w:pStyle w:val="Prrafodelista"/>
        <w:jc w:val="both"/>
        <w:rPr>
          <w:rFonts w:cs="Verdana"/>
        </w:rPr>
      </w:pPr>
    </w:p>
    <w:p w:rsidR="00A35FB3" w:rsidRDefault="00A35FB3" w:rsidP="00A35FB3">
      <w:pPr>
        <w:pStyle w:val="Prrafodelista"/>
        <w:jc w:val="both"/>
        <w:rPr>
          <w:rFonts w:cs="Verdana"/>
        </w:rPr>
      </w:pPr>
    </w:p>
    <w:p w:rsidR="00A35FB3" w:rsidRDefault="00A35FB3" w:rsidP="00A35FB3">
      <w:pPr>
        <w:pStyle w:val="Prrafodelista"/>
        <w:jc w:val="both"/>
        <w:rPr>
          <w:rFonts w:cs="Verdana"/>
        </w:rPr>
      </w:pPr>
    </w:p>
    <w:p w:rsidR="001A60F2" w:rsidRDefault="001A60F2" w:rsidP="00A35FB3">
      <w:pPr>
        <w:pStyle w:val="Prrafodelista"/>
        <w:jc w:val="both"/>
        <w:rPr>
          <w:rFonts w:cs="Verdana"/>
        </w:rPr>
      </w:pPr>
    </w:p>
    <w:p w:rsidR="001A60F2" w:rsidRDefault="001A60F2" w:rsidP="00A35FB3">
      <w:pPr>
        <w:pStyle w:val="Prrafodelista"/>
        <w:jc w:val="both"/>
        <w:rPr>
          <w:rFonts w:cs="Verdana"/>
        </w:rPr>
      </w:pPr>
    </w:p>
    <w:p w:rsidR="001A60F2" w:rsidRDefault="001A60F2" w:rsidP="00A35FB3">
      <w:pPr>
        <w:pStyle w:val="Prrafodelista"/>
        <w:jc w:val="both"/>
        <w:rPr>
          <w:rFonts w:cs="Verdana"/>
        </w:rPr>
      </w:pPr>
    </w:p>
    <w:p w:rsidR="001A60F2" w:rsidRDefault="001A60F2" w:rsidP="00A35FB3">
      <w:pPr>
        <w:pStyle w:val="Prrafodelista"/>
        <w:jc w:val="both"/>
        <w:rPr>
          <w:rFonts w:cs="Verdana"/>
        </w:rPr>
      </w:pPr>
    </w:p>
    <w:p w:rsidR="001A60F2" w:rsidRDefault="001A60F2" w:rsidP="00A35FB3">
      <w:pPr>
        <w:pStyle w:val="Prrafodelista"/>
        <w:jc w:val="both"/>
        <w:rPr>
          <w:rFonts w:cs="Verdana"/>
        </w:rPr>
      </w:pPr>
    </w:p>
    <w:p w:rsidR="001A60F2" w:rsidRDefault="001A60F2" w:rsidP="00A35FB3">
      <w:pPr>
        <w:pStyle w:val="Prrafodelista"/>
        <w:jc w:val="both"/>
        <w:rPr>
          <w:rFonts w:cs="Verdana"/>
        </w:rPr>
      </w:pPr>
    </w:p>
    <w:p w:rsidR="001A60F2" w:rsidRDefault="001A60F2" w:rsidP="00A35FB3">
      <w:pPr>
        <w:pStyle w:val="Prrafodelista"/>
        <w:jc w:val="both"/>
        <w:rPr>
          <w:rFonts w:cs="Verdana"/>
        </w:rPr>
      </w:pPr>
    </w:p>
    <w:p w:rsidR="00883135" w:rsidRDefault="00883135" w:rsidP="00A35FB3">
      <w:pPr>
        <w:pStyle w:val="Prrafodelista"/>
        <w:jc w:val="both"/>
        <w:rPr>
          <w:rFonts w:cs="Verdana"/>
        </w:rPr>
      </w:pPr>
    </w:p>
    <w:p w:rsidR="00883135" w:rsidRDefault="00883135" w:rsidP="00A35FB3">
      <w:pPr>
        <w:pStyle w:val="Prrafodelista"/>
        <w:jc w:val="both"/>
        <w:rPr>
          <w:rFonts w:cs="Verdana"/>
        </w:rPr>
      </w:pPr>
    </w:p>
    <w:p w:rsidR="00883135" w:rsidRDefault="00883135" w:rsidP="00A35FB3">
      <w:pPr>
        <w:pStyle w:val="Prrafodelista"/>
        <w:jc w:val="both"/>
        <w:rPr>
          <w:rFonts w:cs="Verdana"/>
        </w:rPr>
      </w:pPr>
    </w:p>
    <w:p w:rsidR="001A60F2" w:rsidRDefault="001A60F2" w:rsidP="00A35FB3">
      <w:pPr>
        <w:pStyle w:val="Prrafodelista"/>
        <w:jc w:val="both"/>
        <w:rPr>
          <w:rFonts w:cs="Verdana"/>
        </w:rPr>
      </w:pPr>
    </w:p>
    <w:p w:rsidR="00A35FB3" w:rsidRDefault="00A35FB3" w:rsidP="00A35FB3">
      <w:pPr>
        <w:pStyle w:val="Prrafodelista"/>
        <w:jc w:val="both"/>
        <w:rPr>
          <w:rFonts w:cs="Verdana"/>
        </w:rPr>
      </w:pPr>
    </w:p>
    <w:p w:rsidR="00A35FB3" w:rsidRDefault="00A35FB3" w:rsidP="00A35FB3">
      <w:pPr>
        <w:pStyle w:val="Prrafodelista"/>
        <w:jc w:val="both"/>
        <w:rPr>
          <w:rFonts w:cs="Verdana"/>
        </w:rPr>
      </w:pPr>
    </w:p>
    <w:p w:rsidR="0026395C" w:rsidRDefault="0026395C" w:rsidP="00A35FB3">
      <w:pPr>
        <w:pStyle w:val="Prrafodelista"/>
        <w:jc w:val="both"/>
        <w:rPr>
          <w:rFonts w:cs="Verdana"/>
        </w:rPr>
      </w:pPr>
    </w:p>
    <w:p w:rsidR="0026395C" w:rsidRDefault="0026395C" w:rsidP="00A35FB3">
      <w:pPr>
        <w:pStyle w:val="Prrafodelista"/>
        <w:jc w:val="both"/>
        <w:rPr>
          <w:rFonts w:cs="Verdana"/>
        </w:rPr>
      </w:pPr>
    </w:p>
    <w:p w:rsidR="00A35FB3" w:rsidRPr="00DE781C" w:rsidRDefault="00A35FB3" w:rsidP="00A35FB3">
      <w:pPr>
        <w:pStyle w:val="Prrafodelista"/>
        <w:numPr>
          <w:ilvl w:val="0"/>
          <w:numId w:val="21"/>
        </w:numPr>
        <w:jc w:val="both"/>
        <w:rPr>
          <w:rFonts w:ascii="Times New Roman" w:hAnsi="Times New Roman" w:cs="Times New Roman"/>
          <w:b/>
          <w:sz w:val="24"/>
          <w:szCs w:val="24"/>
        </w:rPr>
      </w:pPr>
      <w:r w:rsidRPr="00DE781C">
        <w:rPr>
          <w:rFonts w:ascii="Times New Roman" w:hAnsi="Times New Roman" w:cs="Times New Roman"/>
          <w:b/>
          <w:sz w:val="24"/>
          <w:szCs w:val="24"/>
        </w:rPr>
        <w:lastRenderedPageBreak/>
        <w:t>CONCLUSIONES</w:t>
      </w:r>
    </w:p>
    <w:p w:rsidR="00A35FB3" w:rsidRPr="00B10E79" w:rsidRDefault="00A35FB3" w:rsidP="00A35FB3">
      <w:pPr>
        <w:spacing w:line="360" w:lineRule="auto"/>
        <w:jc w:val="both"/>
        <w:rPr>
          <w:sz w:val="24"/>
          <w:szCs w:val="24"/>
        </w:rPr>
      </w:pPr>
      <w:r w:rsidRPr="00B10E79">
        <w:rPr>
          <w:sz w:val="24"/>
          <w:szCs w:val="24"/>
        </w:rPr>
        <w:t>Durante esta crisis económica iniciada ya en 2007 y que aún parece algo lejos de terminar</w:t>
      </w:r>
      <w:r>
        <w:rPr>
          <w:sz w:val="24"/>
          <w:szCs w:val="24"/>
        </w:rPr>
        <w:t>,</w:t>
      </w:r>
      <w:r w:rsidRPr="00B10E79">
        <w:rPr>
          <w:sz w:val="24"/>
          <w:szCs w:val="24"/>
        </w:rPr>
        <w:t xml:space="preserve"> hemos visto como miles de personas perdían el empleo y sufrían todo lo que el despido trae asociado, además de ver como la pobreza, los desahucios e</w:t>
      </w:r>
      <w:r>
        <w:rPr>
          <w:sz w:val="24"/>
          <w:szCs w:val="24"/>
        </w:rPr>
        <w:t>,</w:t>
      </w:r>
      <w:r w:rsidRPr="00B10E79">
        <w:rPr>
          <w:sz w:val="24"/>
          <w:szCs w:val="24"/>
        </w:rPr>
        <w:t xml:space="preserve"> incluso</w:t>
      </w:r>
      <w:r>
        <w:rPr>
          <w:sz w:val="24"/>
          <w:szCs w:val="24"/>
        </w:rPr>
        <w:t>,</w:t>
      </w:r>
      <w:r w:rsidRPr="00B10E79">
        <w:rPr>
          <w:sz w:val="24"/>
          <w:szCs w:val="24"/>
        </w:rPr>
        <w:t xml:space="preserve"> el hambre</w:t>
      </w:r>
      <w:r>
        <w:rPr>
          <w:sz w:val="24"/>
          <w:szCs w:val="24"/>
        </w:rPr>
        <w:t>,</w:t>
      </w:r>
      <w:r w:rsidRPr="00B10E79">
        <w:rPr>
          <w:sz w:val="24"/>
          <w:szCs w:val="24"/>
        </w:rPr>
        <w:t xml:space="preserve"> volvían a resurgir con fuerza en nuestro país. En esta línea hemos podido comprobar cómo el desempleo no afecta con la misma intensidad a todos los trabajadores; sino que  muestra más fuerza entre aquellos con un nivel educativo más bajo, los inmigrantes que acudieron en masa a nuestro país en el </w:t>
      </w:r>
      <w:r>
        <w:rPr>
          <w:sz w:val="24"/>
          <w:szCs w:val="24"/>
        </w:rPr>
        <w:t>período</w:t>
      </w:r>
      <w:r w:rsidRPr="00B10E79">
        <w:rPr>
          <w:sz w:val="24"/>
          <w:szCs w:val="24"/>
        </w:rPr>
        <w:t xml:space="preserve"> de</w:t>
      </w:r>
      <w:r>
        <w:rPr>
          <w:sz w:val="24"/>
          <w:szCs w:val="24"/>
        </w:rPr>
        <w:t xml:space="preserve"> bonanza económica del ladrillo</w:t>
      </w:r>
      <w:r w:rsidRPr="00B10E79">
        <w:rPr>
          <w:sz w:val="24"/>
          <w:szCs w:val="24"/>
        </w:rPr>
        <w:t xml:space="preserve"> y aquellos jóvenes que abandonaron precipitadamente sus estudios atraídos por los salarios de la construcción.</w:t>
      </w:r>
    </w:p>
    <w:p w:rsidR="00A35FB3" w:rsidRPr="00B10E79" w:rsidRDefault="00A35FB3" w:rsidP="00A35FB3">
      <w:pPr>
        <w:spacing w:line="360" w:lineRule="auto"/>
        <w:jc w:val="both"/>
        <w:rPr>
          <w:sz w:val="24"/>
          <w:szCs w:val="24"/>
        </w:rPr>
      </w:pPr>
      <w:r w:rsidRPr="00B10E79">
        <w:rPr>
          <w:sz w:val="24"/>
          <w:szCs w:val="24"/>
        </w:rPr>
        <w:t>El efecto del desempleo ha sido tal que, a pesar del tiempo transcurrido, España ha vuelto a ser un país de emigrantes. Pero esta vez el perfil del emigra</w:t>
      </w:r>
      <w:r>
        <w:rPr>
          <w:sz w:val="24"/>
          <w:szCs w:val="24"/>
        </w:rPr>
        <w:t xml:space="preserve">nte es diferente: jóvenes, muy </w:t>
      </w:r>
      <w:r w:rsidRPr="00B10E79">
        <w:rPr>
          <w:sz w:val="24"/>
          <w:szCs w:val="24"/>
        </w:rPr>
        <w:t>cualificados (con educación superior), capaces de comunicarse en varios idiomas y que cuentan con pocas ataduras que impidan su movilidad a otros países. Esta situación es de las peores a las que puede enfrentars</w:t>
      </w:r>
      <w:r>
        <w:rPr>
          <w:sz w:val="24"/>
          <w:szCs w:val="24"/>
        </w:rPr>
        <w:t>e nuestro país, que comprueba có</w:t>
      </w:r>
      <w:r w:rsidRPr="00B10E79">
        <w:rPr>
          <w:sz w:val="24"/>
          <w:szCs w:val="24"/>
        </w:rPr>
        <w:t xml:space="preserve">mo la inversión realizada en esta personas es aprovechada finalmente por los países </w:t>
      </w:r>
      <w:r>
        <w:rPr>
          <w:sz w:val="24"/>
          <w:szCs w:val="24"/>
        </w:rPr>
        <w:t>que atraen a estos trabajadores,</w:t>
      </w:r>
      <w:r w:rsidRPr="00B10E79">
        <w:rPr>
          <w:sz w:val="24"/>
          <w:szCs w:val="24"/>
        </w:rPr>
        <w:t xml:space="preserve"> lo q</w:t>
      </w:r>
      <w:r>
        <w:rPr>
          <w:sz w:val="24"/>
          <w:szCs w:val="24"/>
        </w:rPr>
        <w:t>ue  puede suponer un freno bastante importante al desarrollo económico del país y prolongar la salida de la crisis.</w:t>
      </w:r>
    </w:p>
    <w:p w:rsidR="00A35FB3" w:rsidRPr="00B10E79" w:rsidRDefault="00A35FB3" w:rsidP="00A35FB3">
      <w:pPr>
        <w:spacing w:line="360" w:lineRule="auto"/>
        <w:jc w:val="both"/>
        <w:rPr>
          <w:sz w:val="24"/>
          <w:szCs w:val="24"/>
        </w:rPr>
      </w:pPr>
      <w:r w:rsidRPr="00B10E79">
        <w:rPr>
          <w:sz w:val="24"/>
          <w:szCs w:val="24"/>
        </w:rPr>
        <w:t>Por otra parte</w:t>
      </w:r>
      <w:r>
        <w:rPr>
          <w:sz w:val="24"/>
          <w:szCs w:val="24"/>
        </w:rPr>
        <w:t>,</w:t>
      </w:r>
      <w:r w:rsidRPr="00B10E79">
        <w:rPr>
          <w:sz w:val="24"/>
          <w:szCs w:val="24"/>
        </w:rPr>
        <w:t xml:space="preserve"> hemos comprobado có</w:t>
      </w:r>
      <w:r>
        <w:rPr>
          <w:sz w:val="24"/>
          <w:szCs w:val="24"/>
        </w:rPr>
        <w:t>mo han aumentado los niveles de pobreza (dándose incluso algunas situaciones en las que han surgido puntualmente el problema del  hambre)</w:t>
      </w:r>
      <w:r w:rsidRPr="00B10E79">
        <w:rPr>
          <w:sz w:val="24"/>
          <w:szCs w:val="24"/>
        </w:rPr>
        <w:t xml:space="preserve"> entre la población que ha perdido su puesto de trabajo. Muestra de ello es la fuerte actividad que tienen en estos años los bancos de alimentos y las </w:t>
      </w:r>
      <w:proofErr w:type="spellStart"/>
      <w:r w:rsidRPr="00B10E79">
        <w:rPr>
          <w:sz w:val="24"/>
          <w:szCs w:val="24"/>
        </w:rPr>
        <w:t>ONG</w:t>
      </w:r>
      <w:r>
        <w:rPr>
          <w:sz w:val="24"/>
          <w:szCs w:val="24"/>
        </w:rPr>
        <w:t>´</w:t>
      </w:r>
      <w:r w:rsidRPr="00B10E79">
        <w:rPr>
          <w:sz w:val="24"/>
          <w:szCs w:val="24"/>
        </w:rPr>
        <w:t>s</w:t>
      </w:r>
      <w:proofErr w:type="spellEnd"/>
      <w:r w:rsidRPr="00B10E79">
        <w:rPr>
          <w:sz w:val="24"/>
          <w:szCs w:val="24"/>
        </w:rPr>
        <w:t xml:space="preserve"> de ayuda social.</w:t>
      </w:r>
    </w:p>
    <w:p w:rsidR="00A35FB3" w:rsidRDefault="00A35FB3" w:rsidP="00A35FB3">
      <w:pPr>
        <w:spacing w:line="360" w:lineRule="auto"/>
        <w:jc w:val="both"/>
        <w:rPr>
          <w:sz w:val="24"/>
          <w:szCs w:val="24"/>
        </w:rPr>
      </w:pPr>
      <w:r w:rsidRPr="00B10E79">
        <w:rPr>
          <w:sz w:val="24"/>
          <w:szCs w:val="24"/>
        </w:rPr>
        <w:t>Por estos y más aspectos que, aunque no aparezcan aquí reflejados, también tienen mucha relevancia es urgente profundizar en las reformas del mercado laboral. Estas no van a solucionar el problema del paro a corto plazo ni reducir drásticamente las tasas de desempleo por debajo del 15</w:t>
      </w:r>
      <w:r>
        <w:rPr>
          <w:sz w:val="24"/>
          <w:szCs w:val="24"/>
        </w:rPr>
        <w:t xml:space="preserve"> por 100 en un par de años; pero sí</w:t>
      </w:r>
      <w:r w:rsidRPr="00B10E79">
        <w:rPr>
          <w:sz w:val="24"/>
          <w:szCs w:val="24"/>
        </w:rPr>
        <w:t xml:space="preserve"> nos van a permitir reducir los tiempos y  suavizar el impacto de las medidas</w:t>
      </w:r>
      <w:r>
        <w:rPr>
          <w:sz w:val="24"/>
          <w:szCs w:val="24"/>
        </w:rPr>
        <w:t xml:space="preserve"> de otra índole</w:t>
      </w:r>
      <w:r w:rsidRPr="00B10E79">
        <w:rPr>
          <w:sz w:val="24"/>
          <w:szCs w:val="24"/>
        </w:rPr>
        <w:t xml:space="preserve"> que se adopten para volver a la senda del crecimiento económico. </w:t>
      </w:r>
    </w:p>
    <w:p w:rsidR="00A35FB3" w:rsidRDefault="00A35FB3" w:rsidP="00A35FB3">
      <w:pPr>
        <w:spacing w:line="360" w:lineRule="auto"/>
        <w:jc w:val="both"/>
        <w:rPr>
          <w:sz w:val="24"/>
          <w:szCs w:val="24"/>
        </w:rPr>
      </w:pPr>
    </w:p>
    <w:p w:rsidR="00A35FB3" w:rsidRDefault="00A35FB3" w:rsidP="00A35FB3">
      <w:pPr>
        <w:spacing w:line="360" w:lineRule="auto"/>
        <w:jc w:val="both"/>
        <w:rPr>
          <w:sz w:val="24"/>
          <w:szCs w:val="24"/>
        </w:rPr>
      </w:pPr>
    </w:p>
    <w:p w:rsidR="00A35FB3" w:rsidRDefault="00A35FB3" w:rsidP="00A35FB3">
      <w:pPr>
        <w:spacing w:line="360" w:lineRule="auto"/>
        <w:jc w:val="both"/>
        <w:rPr>
          <w:sz w:val="24"/>
          <w:szCs w:val="24"/>
        </w:rPr>
      </w:pPr>
    </w:p>
    <w:p w:rsidR="001A60F2" w:rsidRDefault="001A60F2" w:rsidP="00A35FB3">
      <w:pPr>
        <w:spacing w:line="360" w:lineRule="auto"/>
        <w:jc w:val="both"/>
        <w:rPr>
          <w:sz w:val="24"/>
          <w:szCs w:val="24"/>
        </w:rPr>
      </w:pPr>
    </w:p>
    <w:p w:rsidR="001A60F2" w:rsidRDefault="001A60F2" w:rsidP="00A35FB3">
      <w:pPr>
        <w:spacing w:line="360" w:lineRule="auto"/>
        <w:jc w:val="both"/>
        <w:rPr>
          <w:sz w:val="24"/>
          <w:szCs w:val="24"/>
        </w:rPr>
      </w:pPr>
    </w:p>
    <w:p w:rsidR="001A60F2" w:rsidRDefault="001A60F2" w:rsidP="00A35FB3">
      <w:pPr>
        <w:spacing w:line="360" w:lineRule="auto"/>
        <w:jc w:val="both"/>
        <w:rPr>
          <w:sz w:val="24"/>
          <w:szCs w:val="24"/>
        </w:rPr>
      </w:pPr>
    </w:p>
    <w:p w:rsidR="00A35FB3" w:rsidRDefault="00A35FB3" w:rsidP="00A35FB3">
      <w:pPr>
        <w:pStyle w:val="Prrafodelista"/>
        <w:numPr>
          <w:ilvl w:val="0"/>
          <w:numId w:val="21"/>
        </w:numPr>
        <w:spacing w:line="360" w:lineRule="auto"/>
        <w:jc w:val="both"/>
        <w:rPr>
          <w:rFonts w:ascii="Times New Roman" w:hAnsi="Times New Roman" w:cs="Times New Roman"/>
          <w:b/>
          <w:sz w:val="24"/>
          <w:szCs w:val="24"/>
        </w:rPr>
      </w:pPr>
      <w:r w:rsidRPr="00DE781C">
        <w:rPr>
          <w:rFonts w:ascii="Times New Roman" w:hAnsi="Times New Roman" w:cs="Times New Roman"/>
          <w:b/>
          <w:sz w:val="24"/>
          <w:szCs w:val="24"/>
        </w:rPr>
        <w:lastRenderedPageBreak/>
        <w:t>BIBLIOGRAFÍA</w:t>
      </w:r>
    </w:p>
    <w:p w:rsidR="00A35FB3" w:rsidRPr="00DE781C" w:rsidRDefault="00A35FB3" w:rsidP="00A35FB3">
      <w:pPr>
        <w:pStyle w:val="Prrafodelista"/>
        <w:spacing w:line="360" w:lineRule="auto"/>
        <w:jc w:val="both"/>
        <w:rPr>
          <w:rFonts w:ascii="Times New Roman" w:hAnsi="Times New Roman" w:cs="Times New Roman"/>
          <w:b/>
          <w:sz w:val="24"/>
          <w:szCs w:val="24"/>
        </w:rPr>
      </w:pPr>
    </w:p>
    <w:p w:rsidR="00A35FB3" w:rsidRPr="00006507" w:rsidRDefault="00A35FB3" w:rsidP="00A35FB3">
      <w:pPr>
        <w:pStyle w:val="Prrafodelista"/>
        <w:numPr>
          <w:ilvl w:val="0"/>
          <w:numId w:val="6"/>
        </w:numPr>
        <w:spacing w:line="360" w:lineRule="auto"/>
        <w:jc w:val="both"/>
        <w:rPr>
          <w:rFonts w:ascii="Times New Roman" w:hAnsi="Times New Roman" w:cs="Times New Roman"/>
          <w:sz w:val="20"/>
          <w:szCs w:val="20"/>
          <w:u w:val="single"/>
        </w:rPr>
      </w:pPr>
      <w:r w:rsidRPr="00846ED6">
        <w:rPr>
          <w:rFonts w:ascii="Times New Roman" w:hAnsi="Times New Roman" w:cs="Times New Roman"/>
          <w:sz w:val="20"/>
          <w:szCs w:val="20"/>
        </w:rPr>
        <w:t xml:space="preserve">Álvarez </w:t>
      </w:r>
      <w:proofErr w:type="spellStart"/>
      <w:r w:rsidRPr="00846ED6">
        <w:rPr>
          <w:rFonts w:ascii="Times New Roman" w:hAnsi="Times New Roman" w:cs="Times New Roman"/>
          <w:sz w:val="20"/>
          <w:szCs w:val="20"/>
        </w:rPr>
        <w:t>Aledo</w:t>
      </w:r>
      <w:proofErr w:type="spellEnd"/>
      <w:r w:rsidRPr="00846ED6">
        <w:rPr>
          <w:rFonts w:ascii="Times New Roman" w:hAnsi="Times New Roman" w:cs="Times New Roman"/>
          <w:sz w:val="20"/>
          <w:szCs w:val="20"/>
        </w:rPr>
        <w:t xml:space="preserve">. C, </w:t>
      </w:r>
      <w:proofErr w:type="spellStart"/>
      <w:r w:rsidRPr="00846ED6">
        <w:rPr>
          <w:rFonts w:ascii="Times New Roman" w:hAnsi="Times New Roman" w:cs="Times New Roman"/>
          <w:sz w:val="20"/>
          <w:szCs w:val="20"/>
        </w:rPr>
        <w:t>Davia</w:t>
      </w:r>
      <w:proofErr w:type="spellEnd"/>
      <w:r w:rsidRPr="00846ED6">
        <w:rPr>
          <w:rFonts w:ascii="Times New Roman" w:hAnsi="Times New Roman" w:cs="Times New Roman"/>
          <w:sz w:val="20"/>
          <w:szCs w:val="20"/>
        </w:rPr>
        <w:t xml:space="preserve"> Rodríguez.  M. y </w:t>
      </w:r>
      <w:proofErr w:type="spellStart"/>
      <w:r w:rsidRPr="00846ED6">
        <w:rPr>
          <w:rFonts w:ascii="Times New Roman" w:hAnsi="Times New Roman" w:cs="Times New Roman"/>
          <w:sz w:val="20"/>
          <w:szCs w:val="20"/>
        </w:rPr>
        <w:t>Legazpe</w:t>
      </w:r>
      <w:proofErr w:type="spellEnd"/>
      <w:r w:rsidRPr="00846ED6">
        <w:rPr>
          <w:rFonts w:ascii="Times New Roman" w:hAnsi="Times New Roman" w:cs="Times New Roman"/>
          <w:sz w:val="20"/>
          <w:szCs w:val="20"/>
        </w:rPr>
        <w:t xml:space="preserve"> Moraleja N. (2013) “Impacto laboral de la crisis económica: privación de empleo y precariedad”,  </w:t>
      </w:r>
      <w:r w:rsidRPr="00846ED6">
        <w:rPr>
          <w:rFonts w:ascii="Times New Roman" w:hAnsi="Times New Roman" w:cs="Times New Roman"/>
          <w:i/>
          <w:sz w:val="20"/>
          <w:szCs w:val="20"/>
        </w:rPr>
        <w:t>Papeles de economía española</w:t>
      </w:r>
      <w:r w:rsidRPr="00846ED6">
        <w:rPr>
          <w:rFonts w:ascii="Times New Roman" w:hAnsi="Times New Roman" w:cs="Times New Roman"/>
          <w:sz w:val="20"/>
          <w:szCs w:val="20"/>
        </w:rPr>
        <w:t xml:space="preserve">, 135, </w:t>
      </w:r>
      <w:proofErr w:type="spellStart"/>
      <w:r w:rsidRPr="00846ED6">
        <w:rPr>
          <w:rFonts w:ascii="Times New Roman" w:hAnsi="Times New Roman" w:cs="Times New Roman"/>
          <w:sz w:val="20"/>
          <w:szCs w:val="20"/>
        </w:rPr>
        <w:t>pp</w:t>
      </w:r>
      <w:proofErr w:type="spellEnd"/>
      <w:r w:rsidRPr="00846ED6">
        <w:rPr>
          <w:rFonts w:ascii="Times New Roman" w:hAnsi="Times New Roman" w:cs="Times New Roman"/>
          <w:sz w:val="20"/>
          <w:szCs w:val="20"/>
        </w:rPr>
        <w:t xml:space="preserve"> 83-98. Disponible on-line: </w:t>
      </w:r>
      <w:hyperlink r:id="rId31" w:history="1">
        <w:r w:rsidRPr="00846ED6">
          <w:rPr>
            <w:rStyle w:val="Hipervnculo"/>
            <w:rFonts w:ascii="Times New Roman" w:hAnsi="Times New Roman" w:cs="Times New Roman"/>
            <w:sz w:val="20"/>
            <w:szCs w:val="20"/>
          </w:rPr>
          <w:t>file:///C:/Users/Usuario/Downloads/135art07por 10020(1).</w:t>
        </w:r>
        <w:proofErr w:type="spellStart"/>
        <w:r w:rsidRPr="00846ED6">
          <w:rPr>
            <w:rStyle w:val="Hipervnculo"/>
            <w:rFonts w:ascii="Times New Roman" w:hAnsi="Times New Roman" w:cs="Times New Roman"/>
            <w:sz w:val="20"/>
            <w:szCs w:val="20"/>
          </w:rPr>
          <w:t>pdf</w:t>
        </w:r>
        <w:proofErr w:type="spellEnd"/>
      </w:hyperlink>
    </w:p>
    <w:p w:rsidR="00A35FB3" w:rsidRPr="00006507" w:rsidRDefault="00A35FB3" w:rsidP="00A35FB3">
      <w:pPr>
        <w:pStyle w:val="Prrafodelista"/>
        <w:spacing w:line="360" w:lineRule="auto"/>
        <w:jc w:val="both"/>
        <w:rPr>
          <w:rFonts w:ascii="Times New Roman" w:hAnsi="Times New Roman" w:cs="Times New Roman"/>
          <w:sz w:val="20"/>
          <w:szCs w:val="20"/>
          <w:u w:val="single"/>
        </w:rPr>
      </w:pPr>
    </w:p>
    <w:p w:rsidR="00A35FB3" w:rsidRPr="00846ED6" w:rsidRDefault="00A35FB3" w:rsidP="00A35FB3">
      <w:pPr>
        <w:pStyle w:val="Prrafodelista"/>
        <w:numPr>
          <w:ilvl w:val="0"/>
          <w:numId w:val="6"/>
        </w:numPr>
        <w:tabs>
          <w:tab w:val="left" w:pos="979"/>
        </w:tabs>
        <w:spacing w:after="0" w:line="360" w:lineRule="auto"/>
        <w:jc w:val="both"/>
        <w:rPr>
          <w:rFonts w:ascii="Times New Roman" w:hAnsi="Times New Roman" w:cs="Times New Roman"/>
          <w:sz w:val="20"/>
          <w:szCs w:val="20"/>
        </w:rPr>
      </w:pPr>
      <w:r w:rsidRPr="00846ED6">
        <w:rPr>
          <w:rFonts w:ascii="Times New Roman" w:hAnsi="Times New Roman" w:cs="Times New Roman"/>
          <w:sz w:val="20"/>
          <w:szCs w:val="20"/>
          <w:lang w:val="en-US"/>
        </w:rPr>
        <w:t xml:space="preserve">Doing Business (2014). “Doing Business en </w:t>
      </w:r>
      <w:proofErr w:type="spellStart"/>
      <w:r w:rsidRPr="00846ED6">
        <w:rPr>
          <w:rFonts w:ascii="Times New Roman" w:hAnsi="Times New Roman" w:cs="Times New Roman"/>
          <w:sz w:val="20"/>
          <w:szCs w:val="20"/>
          <w:lang w:val="en-US"/>
        </w:rPr>
        <w:t>España</w:t>
      </w:r>
      <w:proofErr w:type="spellEnd"/>
      <w:r w:rsidRPr="00846ED6">
        <w:rPr>
          <w:rFonts w:ascii="Times New Roman" w:hAnsi="Times New Roman" w:cs="Times New Roman"/>
          <w:sz w:val="20"/>
          <w:szCs w:val="20"/>
          <w:lang w:val="en-US"/>
        </w:rPr>
        <w:t xml:space="preserve"> 2014”, </w:t>
      </w:r>
      <w:proofErr w:type="spellStart"/>
      <w:r w:rsidRPr="00846ED6">
        <w:rPr>
          <w:rFonts w:ascii="Times New Roman" w:hAnsi="Times New Roman" w:cs="Times New Roman"/>
          <w:i/>
          <w:sz w:val="20"/>
          <w:szCs w:val="20"/>
          <w:lang w:val="en-US"/>
        </w:rPr>
        <w:t>Banco</w:t>
      </w:r>
      <w:proofErr w:type="spellEnd"/>
      <w:r w:rsidRPr="00846ED6">
        <w:rPr>
          <w:rFonts w:ascii="Times New Roman" w:hAnsi="Times New Roman" w:cs="Times New Roman"/>
          <w:i/>
          <w:sz w:val="20"/>
          <w:szCs w:val="20"/>
          <w:lang w:val="en-US"/>
        </w:rPr>
        <w:t xml:space="preserve"> Mundial. </w:t>
      </w:r>
      <w:r w:rsidRPr="00846ED6">
        <w:rPr>
          <w:rFonts w:ascii="Times New Roman" w:hAnsi="Times New Roman" w:cs="Times New Roman"/>
          <w:sz w:val="20"/>
          <w:szCs w:val="20"/>
        </w:rPr>
        <w:t>Disponible on-line:</w:t>
      </w:r>
      <w:hyperlink r:id="rId32" w:history="1">
        <w:r w:rsidRPr="00846ED6">
          <w:rPr>
            <w:rStyle w:val="Hipervnculo"/>
            <w:rFonts w:ascii="Times New Roman" w:hAnsi="Times New Roman" w:cs="Times New Roman"/>
            <w:sz w:val="20"/>
            <w:szCs w:val="20"/>
          </w:rPr>
          <w:t>http://espanol.doingbusiness.org/data/exploreeconomies/spain</w:t>
        </w:r>
      </w:hyperlink>
      <w:r w:rsidRPr="00846ED6">
        <w:rPr>
          <w:rFonts w:ascii="Times New Roman" w:hAnsi="Times New Roman" w:cs="Times New Roman"/>
          <w:sz w:val="20"/>
          <w:szCs w:val="20"/>
        </w:rPr>
        <w:t xml:space="preserve"> </w:t>
      </w:r>
    </w:p>
    <w:p w:rsidR="00A35FB3" w:rsidRPr="00A71891" w:rsidRDefault="005C51C7" w:rsidP="00A35FB3">
      <w:pPr>
        <w:pStyle w:val="Prrafodelista"/>
        <w:tabs>
          <w:tab w:val="left" w:pos="979"/>
        </w:tabs>
        <w:spacing w:after="0" w:line="360" w:lineRule="auto"/>
        <w:jc w:val="both"/>
        <w:rPr>
          <w:rFonts w:ascii="Times New Roman" w:hAnsi="Times New Roman" w:cs="Times New Roman"/>
          <w:lang w:val="en-US"/>
        </w:rPr>
      </w:pPr>
      <w:hyperlink r:id="rId33" w:history="1">
        <w:r w:rsidR="00A35FB3" w:rsidRPr="00A71891">
          <w:rPr>
            <w:rStyle w:val="Hipervnculo"/>
            <w:rFonts w:ascii="Times New Roman" w:hAnsi="Times New Roman" w:cs="Times New Roman"/>
            <w:sz w:val="20"/>
            <w:szCs w:val="20"/>
            <w:lang w:val="en-US"/>
          </w:rPr>
          <w:t>http://espanol.doingbusiness.org/data/exploreeconomies/~/media/giawb/doingpor 10020business/documents/profiles/country/ESP.pdf</w:t>
        </w:r>
      </w:hyperlink>
    </w:p>
    <w:p w:rsidR="00A35FB3" w:rsidRPr="00A71891" w:rsidRDefault="00A35FB3" w:rsidP="00A35FB3">
      <w:pPr>
        <w:pStyle w:val="Prrafodelista"/>
        <w:tabs>
          <w:tab w:val="left" w:pos="979"/>
        </w:tabs>
        <w:spacing w:after="0" w:line="360" w:lineRule="auto"/>
        <w:jc w:val="both"/>
        <w:rPr>
          <w:rFonts w:ascii="Times New Roman" w:hAnsi="Times New Roman" w:cs="Times New Roman"/>
          <w:lang w:val="en-US"/>
        </w:rPr>
      </w:pPr>
    </w:p>
    <w:p w:rsidR="00A35FB3" w:rsidRPr="00006507" w:rsidRDefault="00A35FB3" w:rsidP="00A35FB3">
      <w:pPr>
        <w:pStyle w:val="Prrafodelista"/>
        <w:numPr>
          <w:ilvl w:val="0"/>
          <w:numId w:val="19"/>
        </w:numPr>
        <w:spacing w:line="360" w:lineRule="auto"/>
        <w:jc w:val="both"/>
        <w:rPr>
          <w:rFonts w:ascii="Times New Roman" w:hAnsi="Times New Roman" w:cs="Times New Roman"/>
          <w:sz w:val="20"/>
          <w:szCs w:val="20"/>
          <w:lang w:val="en-US"/>
        </w:rPr>
      </w:pPr>
      <w:r w:rsidRPr="00846ED6">
        <w:rPr>
          <w:rFonts w:ascii="Times New Roman" w:hAnsi="Times New Roman" w:cs="Times New Roman"/>
          <w:sz w:val="20"/>
          <w:szCs w:val="20"/>
        </w:rPr>
        <w:t>Fundación de Estu</w:t>
      </w:r>
      <w:r>
        <w:rPr>
          <w:rFonts w:ascii="Times New Roman" w:hAnsi="Times New Roman" w:cs="Times New Roman"/>
          <w:sz w:val="20"/>
          <w:szCs w:val="20"/>
        </w:rPr>
        <w:t>dios de Economía Aplicada</w:t>
      </w:r>
      <w:r w:rsidRPr="00846ED6">
        <w:rPr>
          <w:rFonts w:ascii="Times New Roman" w:hAnsi="Times New Roman" w:cs="Times New Roman"/>
          <w:sz w:val="20"/>
          <w:szCs w:val="20"/>
        </w:rPr>
        <w:t xml:space="preserve"> (2013), “Por un nuevo impulso a la creación de empleo en España”, </w:t>
      </w:r>
      <w:r w:rsidRPr="00846ED6">
        <w:rPr>
          <w:rFonts w:ascii="Times New Roman" w:hAnsi="Times New Roman" w:cs="Times New Roman"/>
          <w:i/>
          <w:sz w:val="20"/>
          <w:szCs w:val="20"/>
        </w:rPr>
        <w:t>FEDEA</w:t>
      </w:r>
      <w:r w:rsidRPr="00846ED6">
        <w:rPr>
          <w:rFonts w:ascii="Times New Roman" w:hAnsi="Times New Roman" w:cs="Times New Roman"/>
          <w:sz w:val="20"/>
          <w:szCs w:val="20"/>
        </w:rPr>
        <w:t xml:space="preserve">, Propuestas, Reforma Laboral, 4-5. </w:t>
      </w:r>
      <w:proofErr w:type="spellStart"/>
      <w:r w:rsidRPr="00846ED6">
        <w:rPr>
          <w:rFonts w:ascii="Times New Roman" w:hAnsi="Times New Roman" w:cs="Times New Roman"/>
          <w:sz w:val="20"/>
          <w:szCs w:val="20"/>
          <w:lang w:val="en-US"/>
        </w:rPr>
        <w:t>Disponible</w:t>
      </w:r>
      <w:proofErr w:type="spellEnd"/>
      <w:r w:rsidRPr="00846ED6">
        <w:rPr>
          <w:rFonts w:ascii="Times New Roman" w:hAnsi="Times New Roman" w:cs="Times New Roman"/>
          <w:sz w:val="20"/>
          <w:szCs w:val="20"/>
          <w:lang w:val="en-US"/>
        </w:rPr>
        <w:t xml:space="preserve">      on-line: </w:t>
      </w:r>
      <w:hyperlink r:id="rId34" w:history="1">
        <w:r w:rsidRPr="00846ED6">
          <w:rPr>
            <w:rStyle w:val="Hipervnculo"/>
            <w:rFonts w:ascii="Times New Roman" w:hAnsi="Times New Roman" w:cs="Times New Roman"/>
            <w:sz w:val="20"/>
            <w:szCs w:val="20"/>
            <w:lang w:val="en-US"/>
          </w:rPr>
          <w:t>http://www.fedea.net/activos/eventos/un-nuevo-impulso-a-la-creacion-de-empleo-en-espana.pdf</w:t>
        </w:r>
      </w:hyperlink>
    </w:p>
    <w:p w:rsidR="00A35FB3" w:rsidRPr="00006507" w:rsidRDefault="00A35FB3" w:rsidP="00A35FB3">
      <w:pPr>
        <w:pStyle w:val="Prrafodelista"/>
        <w:spacing w:line="360" w:lineRule="auto"/>
        <w:jc w:val="both"/>
        <w:rPr>
          <w:rFonts w:ascii="Times New Roman" w:hAnsi="Times New Roman" w:cs="Times New Roman"/>
          <w:sz w:val="20"/>
          <w:szCs w:val="20"/>
          <w:lang w:val="en-US"/>
        </w:rPr>
      </w:pPr>
    </w:p>
    <w:p w:rsidR="00A35FB3" w:rsidRPr="00846ED6" w:rsidRDefault="00A35FB3" w:rsidP="00A35FB3">
      <w:pPr>
        <w:pStyle w:val="Prrafodelista"/>
        <w:numPr>
          <w:ilvl w:val="0"/>
          <w:numId w:val="6"/>
        </w:numPr>
        <w:spacing w:line="360" w:lineRule="auto"/>
        <w:jc w:val="both"/>
        <w:rPr>
          <w:rFonts w:ascii="Times New Roman" w:hAnsi="Times New Roman" w:cs="Times New Roman"/>
          <w:sz w:val="20"/>
          <w:szCs w:val="20"/>
        </w:rPr>
      </w:pPr>
      <w:r w:rsidRPr="00846ED6">
        <w:rPr>
          <w:rFonts w:ascii="Times New Roman" w:hAnsi="Times New Roman" w:cs="Times New Roman"/>
          <w:sz w:val="20"/>
          <w:szCs w:val="20"/>
        </w:rPr>
        <w:t xml:space="preserve">Fundación Bankinter (2013), “El desempleo en las economías desarrolladas”, </w:t>
      </w:r>
      <w:r w:rsidRPr="00846ED6">
        <w:rPr>
          <w:rFonts w:ascii="Times New Roman" w:hAnsi="Times New Roman" w:cs="Times New Roman"/>
          <w:i/>
          <w:sz w:val="20"/>
          <w:szCs w:val="20"/>
        </w:rPr>
        <w:t xml:space="preserve">Fundación Innovación Bankinter, </w:t>
      </w:r>
      <w:r w:rsidRPr="00846ED6">
        <w:rPr>
          <w:rFonts w:ascii="Times New Roman" w:hAnsi="Times New Roman" w:cs="Times New Roman"/>
          <w:sz w:val="20"/>
          <w:szCs w:val="20"/>
        </w:rPr>
        <w:t>nº21, 53-73. Disponible on-line:</w:t>
      </w:r>
    </w:p>
    <w:p w:rsidR="00A35FB3" w:rsidRDefault="005C51C7" w:rsidP="00A35FB3">
      <w:pPr>
        <w:pStyle w:val="Prrafodelista"/>
        <w:spacing w:line="360" w:lineRule="auto"/>
        <w:jc w:val="both"/>
        <w:rPr>
          <w:rFonts w:ascii="Times New Roman" w:hAnsi="Times New Roman" w:cs="Times New Roman"/>
        </w:rPr>
      </w:pPr>
      <w:hyperlink r:id="rId35" w:history="1">
        <w:r w:rsidR="00A35FB3" w:rsidRPr="00846ED6">
          <w:rPr>
            <w:rStyle w:val="Hipervnculo"/>
            <w:rFonts w:ascii="Times New Roman" w:hAnsi="Times New Roman" w:cs="Times New Roman"/>
            <w:sz w:val="20"/>
            <w:szCs w:val="20"/>
          </w:rPr>
          <w:t>http://www.fundacionbankinter.org/es/publications/unemployment</w:t>
        </w:r>
      </w:hyperlink>
    </w:p>
    <w:p w:rsidR="00A35FB3" w:rsidRPr="00006507" w:rsidRDefault="00A35FB3" w:rsidP="00A35FB3">
      <w:pPr>
        <w:pStyle w:val="Prrafodelista"/>
        <w:spacing w:line="360" w:lineRule="auto"/>
        <w:jc w:val="both"/>
        <w:rPr>
          <w:rFonts w:ascii="Times New Roman" w:hAnsi="Times New Roman" w:cs="Times New Roman"/>
        </w:rPr>
      </w:pPr>
    </w:p>
    <w:p w:rsidR="00A35FB3" w:rsidRDefault="00A35FB3" w:rsidP="00A35FB3">
      <w:pPr>
        <w:pStyle w:val="Prrafodelista"/>
        <w:numPr>
          <w:ilvl w:val="0"/>
          <w:numId w:val="6"/>
        </w:numPr>
        <w:spacing w:line="360" w:lineRule="auto"/>
        <w:jc w:val="both"/>
        <w:rPr>
          <w:rFonts w:ascii="Times New Roman" w:hAnsi="Times New Roman" w:cs="Times New Roman"/>
          <w:sz w:val="20"/>
          <w:szCs w:val="20"/>
        </w:rPr>
      </w:pPr>
      <w:r w:rsidRPr="00846ED6">
        <w:rPr>
          <w:rFonts w:ascii="Times New Roman" w:hAnsi="Times New Roman" w:cs="Times New Roman"/>
          <w:sz w:val="20"/>
          <w:szCs w:val="20"/>
        </w:rPr>
        <w:t>Gar</w:t>
      </w:r>
      <w:r>
        <w:rPr>
          <w:rFonts w:ascii="Times New Roman" w:hAnsi="Times New Roman" w:cs="Times New Roman"/>
          <w:sz w:val="20"/>
          <w:szCs w:val="20"/>
        </w:rPr>
        <w:t xml:space="preserve">cía </w:t>
      </w:r>
      <w:proofErr w:type="spellStart"/>
      <w:r>
        <w:rPr>
          <w:rFonts w:ascii="Times New Roman" w:hAnsi="Times New Roman" w:cs="Times New Roman"/>
          <w:sz w:val="20"/>
          <w:szCs w:val="20"/>
        </w:rPr>
        <w:t>Brosa</w:t>
      </w:r>
      <w:proofErr w:type="spellEnd"/>
      <w:r>
        <w:rPr>
          <w:rFonts w:ascii="Times New Roman" w:hAnsi="Times New Roman" w:cs="Times New Roman"/>
          <w:sz w:val="20"/>
          <w:szCs w:val="20"/>
        </w:rPr>
        <w:t xml:space="preserve">, G. y </w:t>
      </w:r>
      <w:proofErr w:type="spellStart"/>
      <w:r>
        <w:rPr>
          <w:rFonts w:ascii="Times New Roman" w:hAnsi="Times New Roman" w:cs="Times New Roman"/>
          <w:sz w:val="20"/>
          <w:szCs w:val="20"/>
        </w:rPr>
        <w:t>Sanromà</w:t>
      </w:r>
      <w:proofErr w:type="spellEnd"/>
      <w:r>
        <w:rPr>
          <w:rFonts w:ascii="Times New Roman" w:hAnsi="Times New Roman" w:cs="Times New Roman"/>
          <w:sz w:val="20"/>
          <w:szCs w:val="20"/>
        </w:rPr>
        <w:t xml:space="preserve">. </w:t>
      </w:r>
      <w:r w:rsidRPr="00846ED6">
        <w:rPr>
          <w:rFonts w:ascii="Times New Roman" w:hAnsi="Times New Roman" w:cs="Times New Roman"/>
          <w:sz w:val="20"/>
          <w:szCs w:val="20"/>
        </w:rPr>
        <w:t>E. (2013), “Mercado de trabajo”, en  Aranzadi (</w:t>
      </w:r>
      <w:proofErr w:type="spellStart"/>
      <w:r w:rsidRPr="00846ED6">
        <w:rPr>
          <w:rFonts w:ascii="Times New Roman" w:hAnsi="Times New Roman" w:cs="Times New Roman"/>
          <w:sz w:val="20"/>
          <w:szCs w:val="20"/>
        </w:rPr>
        <w:t>ed</w:t>
      </w:r>
      <w:proofErr w:type="spellEnd"/>
      <w:r w:rsidRPr="00846ED6">
        <w:rPr>
          <w:rFonts w:ascii="Times New Roman" w:hAnsi="Times New Roman" w:cs="Times New Roman"/>
          <w:sz w:val="20"/>
          <w:szCs w:val="20"/>
        </w:rPr>
        <w:t xml:space="preserve">),  </w:t>
      </w:r>
      <w:r w:rsidRPr="00846ED6">
        <w:rPr>
          <w:rFonts w:ascii="Times New Roman" w:hAnsi="Times New Roman" w:cs="Times New Roman"/>
          <w:i/>
          <w:sz w:val="20"/>
          <w:szCs w:val="20"/>
        </w:rPr>
        <w:t xml:space="preserve">Lecciones de economía española, </w:t>
      </w:r>
      <w:r w:rsidRPr="00846ED6">
        <w:rPr>
          <w:rFonts w:ascii="Times New Roman" w:hAnsi="Times New Roman" w:cs="Times New Roman"/>
          <w:sz w:val="20"/>
          <w:szCs w:val="20"/>
        </w:rPr>
        <w:t>Navarra, España: Thomp</w:t>
      </w:r>
      <w:r>
        <w:rPr>
          <w:rFonts w:ascii="Times New Roman" w:hAnsi="Times New Roman" w:cs="Times New Roman"/>
          <w:sz w:val="20"/>
          <w:szCs w:val="20"/>
        </w:rPr>
        <w:t xml:space="preserve">son Reuters, </w:t>
      </w:r>
      <w:proofErr w:type="spellStart"/>
      <w:r w:rsidRPr="00846ED6">
        <w:rPr>
          <w:rFonts w:ascii="Times New Roman" w:hAnsi="Times New Roman" w:cs="Times New Roman"/>
          <w:sz w:val="20"/>
          <w:szCs w:val="20"/>
        </w:rPr>
        <w:t>pp</w:t>
      </w:r>
      <w:proofErr w:type="spellEnd"/>
      <w:r w:rsidRPr="00846ED6">
        <w:rPr>
          <w:rFonts w:ascii="Times New Roman" w:hAnsi="Times New Roman" w:cs="Times New Roman"/>
          <w:sz w:val="20"/>
          <w:szCs w:val="20"/>
        </w:rPr>
        <w:t xml:space="preserve"> 212-214.</w:t>
      </w:r>
    </w:p>
    <w:p w:rsidR="00A35FB3" w:rsidRPr="00006507" w:rsidRDefault="00A35FB3" w:rsidP="00A35FB3">
      <w:pPr>
        <w:pStyle w:val="Prrafodelista"/>
        <w:spacing w:line="360" w:lineRule="auto"/>
        <w:jc w:val="both"/>
        <w:rPr>
          <w:rFonts w:ascii="Times New Roman" w:hAnsi="Times New Roman" w:cs="Times New Roman"/>
          <w:sz w:val="20"/>
          <w:szCs w:val="20"/>
        </w:rPr>
      </w:pPr>
    </w:p>
    <w:p w:rsidR="00A35FB3" w:rsidRPr="0007679A" w:rsidRDefault="00A35FB3" w:rsidP="00A35FB3">
      <w:pPr>
        <w:pStyle w:val="Prrafodelista"/>
        <w:numPr>
          <w:ilvl w:val="0"/>
          <w:numId w:val="6"/>
        </w:numPr>
        <w:spacing w:line="360" w:lineRule="auto"/>
        <w:jc w:val="both"/>
        <w:rPr>
          <w:rFonts w:ascii="Times New Roman" w:hAnsi="Times New Roman" w:cs="Times New Roman"/>
          <w:sz w:val="20"/>
          <w:szCs w:val="20"/>
        </w:rPr>
      </w:pPr>
      <w:r w:rsidRPr="00846ED6">
        <w:rPr>
          <w:rFonts w:ascii="Times New Roman" w:hAnsi="Times New Roman" w:cs="Times New Roman"/>
          <w:sz w:val="20"/>
          <w:szCs w:val="20"/>
        </w:rPr>
        <w:t>García, J.R (2011). “Desempleo juvenil en España: causas y soluciones” Docume</w:t>
      </w:r>
      <w:r>
        <w:rPr>
          <w:rFonts w:ascii="Times New Roman" w:hAnsi="Times New Roman" w:cs="Times New Roman"/>
          <w:sz w:val="20"/>
          <w:szCs w:val="20"/>
        </w:rPr>
        <w:t>ntos de trabajo nº11/30,</w:t>
      </w:r>
      <w:r>
        <w:rPr>
          <w:rFonts w:ascii="Times New Roman" w:hAnsi="Times New Roman" w:cs="Times New Roman"/>
          <w:sz w:val="20"/>
          <w:szCs w:val="20"/>
        </w:rPr>
        <w:tab/>
        <w:t xml:space="preserve"> 4-13. </w:t>
      </w:r>
      <w:r w:rsidRPr="00846ED6">
        <w:rPr>
          <w:rFonts w:ascii="Times New Roman" w:hAnsi="Times New Roman" w:cs="Times New Roman"/>
          <w:sz w:val="20"/>
          <w:szCs w:val="20"/>
        </w:rPr>
        <w:t>Madrid</w:t>
      </w:r>
      <w:r>
        <w:rPr>
          <w:rFonts w:ascii="Times New Roman" w:hAnsi="Times New Roman" w:cs="Times New Roman"/>
          <w:sz w:val="20"/>
          <w:szCs w:val="20"/>
        </w:rPr>
        <w:t xml:space="preserve">. </w:t>
      </w:r>
      <w:r w:rsidRPr="0007679A">
        <w:rPr>
          <w:rFonts w:ascii="Times New Roman" w:hAnsi="Times New Roman" w:cs="Times New Roman"/>
          <w:i/>
          <w:sz w:val="20"/>
          <w:szCs w:val="20"/>
        </w:rPr>
        <w:t>Servicio de estudios del BBVA</w:t>
      </w:r>
      <w:r>
        <w:rPr>
          <w:rFonts w:ascii="Times New Roman" w:hAnsi="Times New Roman" w:cs="Times New Roman"/>
          <w:sz w:val="20"/>
          <w:szCs w:val="20"/>
        </w:rPr>
        <w:t xml:space="preserve">. Disponible on-line: </w:t>
      </w:r>
    </w:p>
    <w:p w:rsidR="00A35FB3" w:rsidRPr="008A5A0B" w:rsidRDefault="005C51C7" w:rsidP="00A35FB3">
      <w:pPr>
        <w:pStyle w:val="Prrafodelista"/>
        <w:spacing w:line="360" w:lineRule="auto"/>
        <w:jc w:val="both"/>
        <w:rPr>
          <w:rFonts w:ascii="Times New Roman" w:hAnsi="Times New Roman" w:cs="Times New Roman"/>
          <w:sz w:val="20"/>
          <w:szCs w:val="20"/>
        </w:rPr>
      </w:pPr>
      <w:hyperlink r:id="rId36" w:history="1">
        <w:r w:rsidR="00A35FB3" w:rsidRPr="0007679A">
          <w:rPr>
            <w:rStyle w:val="Hipervnculo"/>
            <w:rFonts w:ascii="Times New Roman" w:hAnsi="Times New Roman" w:cs="Times New Roman"/>
            <w:sz w:val="20"/>
            <w:szCs w:val="20"/>
          </w:rPr>
          <w:t>http://www.bbvaresearch.com/KETD/fbin/mult/WP_1130_tcm346-270043.pdf?ts=2152014</w:t>
        </w:r>
      </w:hyperlink>
    </w:p>
    <w:p w:rsidR="00A35FB3" w:rsidRPr="0007679A" w:rsidRDefault="00A35FB3" w:rsidP="00A35FB3">
      <w:pPr>
        <w:pStyle w:val="Prrafodelista"/>
        <w:spacing w:line="360" w:lineRule="auto"/>
        <w:jc w:val="both"/>
        <w:rPr>
          <w:rFonts w:ascii="Times New Roman" w:hAnsi="Times New Roman" w:cs="Times New Roman"/>
          <w:sz w:val="20"/>
          <w:szCs w:val="20"/>
        </w:rPr>
      </w:pPr>
    </w:p>
    <w:p w:rsidR="00A35FB3" w:rsidRPr="00846ED6" w:rsidRDefault="00A35FB3" w:rsidP="00A35FB3">
      <w:pPr>
        <w:pStyle w:val="Prrafodelista"/>
        <w:numPr>
          <w:ilvl w:val="0"/>
          <w:numId w:val="6"/>
        </w:numPr>
        <w:tabs>
          <w:tab w:val="left" w:pos="979"/>
        </w:tabs>
        <w:spacing w:after="0" w:line="360" w:lineRule="auto"/>
        <w:jc w:val="both"/>
        <w:rPr>
          <w:rFonts w:ascii="Times New Roman" w:hAnsi="Times New Roman" w:cs="Times New Roman"/>
          <w:sz w:val="20"/>
          <w:szCs w:val="20"/>
        </w:rPr>
      </w:pPr>
      <w:r w:rsidRPr="00846ED6">
        <w:rPr>
          <w:rFonts w:ascii="Times New Roman" w:hAnsi="Times New Roman" w:cs="Times New Roman"/>
          <w:sz w:val="20"/>
          <w:szCs w:val="20"/>
        </w:rPr>
        <w:t xml:space="preserve">González-Ferrer, A (2013). “La nueva emigración española. Lo que sabemos y lo que no”. </w:t>
      </w:r>
      <w:r w:rsidRPr="00846ED6">
        <w:rPr>
          <w:rFonts w:ascii="Times New Roman" w:hAnsi="Times New Roman" w:cs="Times New Roman"/>
          <w:i/>
          <w:sz w:val="20"/>
          <w:szCs w:val="20"/>
        </w:rPr>
        <w:t>Zoom Político</w:t>
      </w:r>
      <w:r w:rsidRPr="00846ED6">
        <w:rPr>
          <w:rFonts w:ascii="Times New Roman" w:hAnsi="Times New Roman" w:cs="Times New Roman"/>
          <w:sz w:val="20"/>
          <w:szCs w:val="20"/>
        </w:rPr>
        <w:t xml:space="preserve">, nº18, </w:t>
      </w:r>
      <w:r w:rsidRPr="00846ED6">
        <w:rPr>
          <w:rFonts w:ascii="Times New Roman" w:hAnsi="Times New Roman" w:cs="Times New Roman"/>
          <w:i/>
          <w:sz w:val="20"/>
          <w:szCs w:val="20"/>
        </w:rPr>
        <w:t>Fundación Alternativas</w:t>
      </w:r>
      <w:r w:rsidRPr="00846ED6">
        <w:rPr>
          <w:rFonts w:ascii="Times New Roman" w:hAnsi="Times New Roman" w:cs="Times New Roman"/>
          <w:sz w:val="20"/>
          <w:szCs w:val="20"/>
        </w:rPr>
        <w:t>, 9-11. Disponible on-line:</w:t>
      </w:r>
    </w:p>
    <w:p w:rsidR="00A35FB3" w:rsidRPr="00846ED6" w:rsidRDefault="005C51C7" w:rsidP="00A35FB3">
      <w:pPr>
        <w:pStyle w:val="Prrafodelista"/>
        <w:tabs>
          <w:tab w:val="left" w:pos="979"/>
        </w:tabs>
        <w:spacing w:after="0" w:line="360" w:lineRule="auto"/>
        <w:jc w:val="both"/>
        <w:rPr>
          <w:rFonts w:ascii="Times New Roman" w:hAnsi="Times New Roman" w:cs="Times New Roman"/>
          <w:lang w:val="en-US"/>
        </w:rPr>
      </w:pPr>
      <w:hyperlink r:id="rId37" w:history="1">
        <w:r w:rsidR="00A35FB3" w:rsidRPr="00846ED6">
          <w:rPr>
            <w:rStyle w:val="Hipervnculo"/>
            <w:rFonts w:ascii="Times New Roman" w:hAnsi="Times New Roman" w:cs="Times New Roman"/>
            <w:sz w:val="20"/>
            <w:szCs w:val="20"/>
            <w:lang w:val="en-US"/>
          </w:rPr>
          <w:t>file:///C:/Users/Usuario/Downloads/zoomPol18.pdf</w:t>
        </w:r>
      </w:hyperlink>
    </w:p>
    <w:p w:rsidR="00A35FB3" w:rsidRPr="00846ED6" w:rsidRDefault="00A35FB3" w:rsidP="00A35FB3">
      <w:pPr>
        <w:pStyle w:val="Prrafodelista"/>
        <w:tabs>
          <w:tab w:val="left" w:pos="979"/>
        </w:tabs>
        <w:spacing w:after="0" w:line="360" w:lineRule="auto"/>
        <w:jc w:val="both"/>
        <w:rPr>
          <w:rFonts w:ascii="Times New Roman" w:hAnsi="Times New Roman" w:cs="Times New Roman"/>
          <w:lang w:val="en-US"/>
        </w:rPr>
      </w:pPr>
    </w:p>
    <w:p w:rsidR="00A35FB3" w:rsidRPr="00846ED6" w:rsidRDefault="00A35FB3" w:rsidP="00A35FB3">
      <w:pPr>
        <w:pStyle w:val="Prrafodelista"/>
        <w:numPr>
          <w:ilvl w:val="0"/>
          <w:numId w:val="24"/>
        </w:numPr>
        <w:tabs>
          <w:tab w:val="left" w:pos="979"/>
        </w:tabs>
        <w:spacing w:after="0" w:line="360" w:lineRule="auto"/>
        <w:jc w:val="both"/>
        <w:rPr>
          <w:rFonts w:ascii="Times New Roman" w:hAnsi="Times New Roman" w:cs="Times New Roman"/>
          <w:sz w:val="20"/>
          <w:szCs w:val="20"/>
          <w:lang w:val="en-US"/>
        </w:rPr>
      </w:pPr>
      <w:r w:rsidRPr="00846ED6">
        <w:rPr>
          <w:rFonts w:ascii="Times New Roman" w:hAnsi="Times New Roman" w:cs="Times New Roman"/>
          <w:sz w:val="20"/>
          <w:szCs w:val="20"/>
        </w:rPr>
        <w:t xml:space="preserve">Encuesta de población activa (EPA) (2008).  “Metodología 2005”. </w:t>
      </w:r>
      <w:r w:rsidRPr="00846ED6">
        <w:rPr>
          <w:rFonts w:ascii="Times New Roman" w:hAnsi="Times New Roman" w:cs="Times New Roman"/>
          <w:i/>
          <w:sz w:val="20"/>
          <w:szCs w:val="20"/>
        </w:rPr>
        <w:t xml:space="preserve">Instituto Nacional de Estadística. </w:t>
      </w:r>
      <w:r>
        <w:rPr>
          <w:rFonts w:ascii="Times New Roman" w:hAnsi="Times New Roman" w:cs="Times New Roman"/>
          <w:i/>
          <w:sz w:val="20"/>
          <w:szCs w:val="20"/>
        </w:rPr>
        <w:t xml:space="preserve"> </w:t>
      </w:r>
      <w:r w:rsidRPr="00942668">
        <w:rPr>
          <w:rFonts w:ascii="Times New Roman" w:hAnsi="Times New Roman" w:cs="Times New Roman"/>
          <w:sz w:val="20"/>
          <w:szCs w:val="20"/>
          <w:lang w:val="en-US"/>
        </w:rPr>
        <w:t xml:space="preserve">pp. 3, 12-23. </w:t>
      </w:r>
      <w:proofErr w:type="spellStart"/>
      <w:r w:rsidRPr="00846ED6">
        <w:rPr>
          <w:rFonts w:ascii="Times New Roman" w:hAnsi="Times New Roman" w:cs="Times New Roman"/>
          <w:sz w:val="20"/>
          <w:szCs w:val="20"/>
          <w:lang w:val="en-US"/>
        </w:rPr>
        <w:t>Disponible</w:t>
      </w:r>
      <w:proofErr w:type="spellEnd"/>
      <w:r w:rsidRPr="00846ED6">
        <w:rPr>
          <w:rFonts w:ascii="Times New Roman" w:hAnsi="Times New Roman" w:cs="Times New Roman"/>
          <w:sz w:val="20"/>
          <w:szCs w:val="20"/>
          <w:lang w:val="en-US"/>
        </w:rPr>
        <w:t xml:space="preserve"> on-line: </w:t>
      </w:r>
      <w:hyperlink r:id="rId38" w:history="1">
        <w:r w:rsidRPr="00846ED6">
          <w:rPr>
            <w:rStyle w:val="Hipervnculo"/>
            <w:rFonts w:ascii="Times New Roman" w:hAnsi="Times New Roman" w:cs="Times New Roman"/>
            <w:sz w:val="20"/>
            <w:szCs w:val="20"/>
            <w:lang w:val="en-US"/>
          </w:rPr>
          <w:t>http://www.ine.es/inebaseDYN/epa30308/docs/resumetepa.pdf</w:t>
        </w:r>
      </w:hyperlink>
    </w:p>
    <w:p w:rsidR="00A35FB3" w:rsidRPr="00846ED6" w:rsidRDefault="00A35FB3" w:rsidP="00A35FB3">
      <w:pPr>
        <w:pStyle w:val="Prrafodelista"/>
        <w:spacing w:line="360" w:lineRule="auto"/>
        <w:jc w:val="both"/>
        <w:rPr>
          <w:rFonts w:ascii="Times New Roman" w:hAnsi="Times New Roman" w:cs="Times New Roman"/>
          <w:sz w:val="20"/>
          <w:szCs w:val="20"/>
          <w:lang w:val="en-US"/>
        </w:rPr>
      </w:pPr>
    </w:p>
    <w:p w:rsidR="00A35FB3" w:rsidRPr="00846ED6" w:rsidRDefault="00A35FB3" w:rsidP="00A35FB3">
      <w:pPr>
        <w:pStyle w:val="Prrafodelista"/>
        <w:numPr>
          <w:ilvl w:val="0"/>
          <w:numId w:val="20"/>
        </w:numPr>
        <w:spacing w:line="360" w:lineRule="auto"/>
        <w:jc w:val="both"/>
        <w:rPr>
          <w:rFonts w:ascii="Times New Roman" w:hAnsi="Times New Roman" w:cs="Times New Roman"/>
          <w:sz w:val="20"/>
          <w:szCs w:val="20"/>
          <w:lang w:val="en-US"/>
        </w:rPr>
      </w:pPr>
      <w:r w:rsidRPr="00846ED6">
        <w:rPr>
          <w:rFonts w:ascii="Times New Roman" w:hAnsi="Times New Roman" w:cs="Times New Roman"/>
          <w:sz w:val="20"/>
          <w:szCs w:val="20"/>
        </w:rPr>
        <w:t xml:space="preserve">Jiménez. A (2013). “Nuevo record en el número de parados sin prestación”, </w:t>
      </w:r>
      <w:r w:rsidRPr="00846ED6">
        <w:rPr>
          <w:rFonts w:ascii="Times New Roman" w:hAnsi="Times New Roman" w:cs="Times New Roman"/>
          <w:i/>
          <w:sz w:val="20"/>
          <w:szCs w:val="20"/>
        </w:rPr>
        <w:t>El blog salmón.</w:t>
      </w:r>
      <w:r w:rsidRPr="00846ED6">
        <w:rPr>
          <w:rFonts w:ascii="Times New Roman" w:hAnsi="Times New Roman" w:cs="Times New Roman"/>
          <w:sz w:val="20"/>
          <w:szCs w:val="20"/>
        </w:rPr>
        <w:t xml:space="preserve"> </w:t>
      </w:r>
      <w:proofErr w:type="spellStart"/>
      <w:r w:rsidRPr="00846ED6">
        <w:rPr>
          <w:rFonts w:ascii="Times New Roman" w:hAnsi="Times New Roman" w:cs="Times New Roman"/>
          <w:sz w:val="20"/>
          <w:szCs w:val="20"/>
          <w:lang w:val="en-US"/>
        </w:rPr>
        <w:t>Disponible</w:t>
      </w:r>
      <w:proofErr w:type="spellEnd"/>
      <w:r w:rsidRPr="00846ED6">
        <w:rPr>
          <w:rFonts w:ascii="Times New Roman" w:hAnsi="Times New Roman" w:cs="Times New Roman"/>
          <w:sz w:val="20"/>
          <w:szCs w:val="20"/>
          <w:lang w:val="en-US"/>
        </w:rPr>
        <w:t xml:space="preserve"> on-line: </w:t>
      </w:r>
      <w:hyperlink r:id="rId39" w:history="1">
        <w:r w:rsidRPr="00846ED6">
          <w:rPr>
            <w:rStyle w:val="Hipervnculo"/>
            <w:rFonts w:ascii="Times New Roman" w:hAnsi="Times New Roman" w:cs="Times New Roman"/>
            <w:sz w:val="20"/>
            <w:szCs w:val="20"/>
            <w:lang w:val="en-US"/>
          </w:rPr>
          <w:t>http://www.elblogsalmon.com/mundo-laboral/nuevo-record-en-el-numero-de-parados-sin-prestacion</w:t>
        </w:r>
      </w:hyperlink>
    </w:p>
    <w:p w:rsidR="00A35FB3" w:rsidRPr="00846ED6" w:rsidRDefault="00A35FB3" w:rsidP="00A35FB3">
      <w:pPr>
        <w:pStyle w:val="Prrafodelista"/>
        <w:spacing w:line="360" w:lineRule="auto"/>
        <w:jc w:val="both"/>
        <w:rPr>
          <w:rFonts w:ascii="Times New Roman" w:hAnsi="Times New Roman" w:cs="Times New Roman"/>
          <w:sz w:val="20"/>
          <w:szCs w:val="20"/>
          <w:lang w:val="en-US"/>
        </w:rPr>
      </w:pPr>
    </w:p>
    <w:p w:rsidR="00A35FB3" w:rsidRPr="00846ED6" w:rsidRDefault="00A35FB3" w:rsidP="00A35FB3">
      <w:pPr>
        <w:pStyle w:val="Prrafodelista"/>
        <w:numPr>
          <w:ilvl w:val="0"/>
          <w:numId w:val="20"/>
        </w:numPr>
        <w:spacing w:line="360" w:lineRule="auto"/>
        <w:jc w:val="both"/>
        <w:rPr>
          <w:rFonts w:ascii="Times New Roman" w:hAnsi="Times New Roman" w:cs="Times New Roman"/>
          <w:sz w:val="20"/>
          <w:szCs w:val="20"/>
          <w:lang w:val="en-US"/>
        </w:rPr>
      </w:pPr>
      <w:r w:rsidRPr="00846ED6">
        <w:rPr>
          <w:rFonts w:ascii="Times New Roman" w:hAnsi="Times New Roman" w:cs="Times New Roman"/>
          <w:sz w:val="20"/>
          <w:szCs w:val="20"/>
        </w:rPr>
        <w:lastRenderedPageBreak/>
        <w:t>Ministerio de Empleo y Seguridad Social (2013)</w:t>
      </w:r>
      <w:proofErr w:type="gramStart"/>
      <w:r w:rsidRPr="00846ED6">
        <w:rPr>
          <w:rFonts w:ascii="Times New Roman" w:hAnsi="Times New Roman" w:cs="Times New Roman"/>
          <w:sz w:val="20"/>
          <w:szCs w:val="20"/>
        </w:rPr>
        <w:t>.,</w:t>
      </w:r>
      <w:proofErr w:type="gramEnd"/>
      <w:r w:rsidRPr="00846ED6">
        <w:rPr>
          <w:rFonts w:ascii="Times New Roman" w:hAnsi="Times New Roman" w:cs="Times New Roman"/>
          <w:sz w:val="20"/>
          <w:szCs w:val="20"/>
        </w:rPr>
        <w:t xml:space="preserve"> “Estrategia de Emprendimiento y Empleo Joven”, 38-54. </w:t>
      </w:r>
      <w:proofErr w:type="spellStart"/>
      <w:r w:rsidRPr="00846ED6">
        <w:rPr>
          <w:rFonts w:ascii="Times New Roman" w:hAnsi="Times New Roman" w:cs="Times New Roman"/>
          <w:sz w:val="20"/>
          <w:szCs w:val="20"/>
          <w:lang w:val="en-US"/>
        </w:rPr>
        <w:t>Disponible</w:t>
      </w:r>
      <w:proofErr w:type="spellEnd"/>
      <w:r w:rsidRPr="00846ED6">
        <w:rPr>
          <w:rFonts w:ascii="Times New Roman" w:hAnsi="Times New Roman" w:cs="Times New Roman"/>
          <w:sz w:val="20"/>
          <w:szCs w:val="20"/>
          <w:lang w:val="en-US"/>
        </w:rPr>
        <w:t xml:space="preserve"> on-line: </w:t>
      </w:r>
      <w:hyperlink r:id="rId40" w:history="1">
        <w:r w:rsidRPr="00846ED6">
          <w:rPr>
            <w:rStyle w:val="Hipervnculo"/>
            <w:rFonts w:ascii="Times New Roman" w:hAnsi="Times New Roman" w:cs="Times New Roman"/>
            <w:sz w:val="20"/>
            <w:szCs w:val="20"/>
            <w:lang w:val="en-US"/>
          </w:rPr>
          <w:t>http://www.empleo.gob.es/es/estrategia-empleo-joven/descargas/EEEJ_Documento.pdf</w:t>
        </w:r>
      </w:hyperlink>
    </w:p>
    <w:p w:rsidR="00A35FB3" w:rsidRPr="00846ED6" w:rsidRDefault="00A35FB3" w:rsidP="00A35FB3">
      <w:pPr>
        <w:pStyle w:val="Prrafodelista"/>
        <w:spacing w:line="360" w:lineRule="auto"/>
        <w:rPr>
          <w:rFonts w:ascii="Times New Roman" w:hAnsi="Times New Roman" w:cs="Times New Roman"/>
          <w:sz w:val="20"/>
          <w:szCs w:val="20"/>
          <w:lang w:val="en-US"/>
        </w:rPr>
      </w:pPr>
    </w:p>
    <w:p w:rsidR="00A35FB3" w:rsidRPr="00846ED6" w:rsidRDefault="00A35FB3" w:rsidP="00A35FB3">
      <w:pPr>
        <w:pStyle w:val="Prrafodelista"/>
        <w:numPr>
          <w:ilvl w:val="0"/>
          <w:numId w:val="20"/>
        </w:numPr>
        <w:spacing w:line="360" w:lineRule="auto"/>
        <w:jc w:val="both"/>
        <w:rPr>
          <w:rFonts w:ascii="Times New Roman" w:hAnsi="Times New Roman" w:cs="Times New Roman"/>
          <w:sz w:val="20"/>
          <w:szCs w:val="20"/>
          <w:u w:val="single"/>
        </w:rPr>
      </w:pPr>
      <w:r w:rsidRPr="00846ED6">
        <w:rPr>
          <w:rFonts w:ascii="Times New Roman" w:hAnsi="Times New Roman" w:cs="Times New Roman"/>
          <w:sz w:val="20"/>
          <w:szCs w:val="20"/>
        </w:rPr>
        <w:t xml:space="preserve">Secretaria de acción sindical- coordinación área externa (2013). “Temporalidad, parcialidad  y salarios en el mercado de trabajo español”, </w:t>
      </w:r>
      <w:r w:rsidRPr="00846ED6">
        <w:rPr>
          <w:rFonts w:ascii="Times New Roman" w:hAnsi="Times New Roman" w:cs="Times New Roman"/>
          <w:i/>
          <w:sz w:val="20"/>
          <w:szCs w:val="20"/>
        </w:rPr>
        <w:t>Unión General de Trabajadores</w:t>
      </w:r>
      <w:r w:rsidRPr="00846ED6">
        <w:rPr>
          <w:rFonts w:ascii="Times New Roman" w:hAnsi="Times New Roman" w:cs="Times New Roman"/>
          <w:sz w:val="20"/>
          <w:szCs w:val="20"/>
        </w:rPr>
        <w:t xml:space="preserve">, 2-6. Disponible on-line en: </w:t>
      </w:r>
      <w:hyperlink r:id="rId41" w:history="1">
        <w:r w:rsidRPr="00846ED6">
          <w:rPr>
            <w:rStyle w:val="Hipervnculo"/>
            <w:rFonts w:ascii="Times New Roman" w:hAnsi="Times New Roman" w:cs="Times New Roman"/>
            <w:sz w:val="20"/>
            <w:szCs w:val="20"/>
          </w:rPr>
          <w:t>http://www.ugt.es/actualidad/2013/septiembre/b14_doc_temporalidad.pdf</w:t>
        </w:r>
      </w:hyperlink>
      <w:r w:rsidRPr="00846ED6">
        <w:rPr>
          <w:rFonts w:ascii="Times New Roman" w:hAnsi="Times New Roman" w:cs="Times New Roman"/>
          <w:sz w:val="20"/>
          <w:szCs w:val="20"/>
          <w:u w:val="single"/>
        </w:rPr>
        <w:t>.</w:t>
      </w:r>
    </w:p>
    <w:p w:rsidR="00A35FB3" w:rsidRPr="00846ED6" w:rsidRDefault="00A35FB3" w:rsidP="00A35FB3">
      <w:pPr>
        <w:pStyle w:val="Prrafodelista"/>
        <w:spacing w:line="360" w:lineRule="auto"/>
        <w:jc w:val="both"/>
        <w:rPr>
          <w:rFonts w:ascii="Times New Roman" w:hAnsi="Times New Roman" w:cs="Times New Roman"/>
          <w:sz w:val="20"/>
          <w:szCs w:val="20"/>
          <w:lang w:val="en-US"/>
        </w:rPr>
      </w:pPr>
    </w:p>
    <w:p w:rsidR="00A35FB3" w:rsidRPr="00BF1831" w:rsidRDefault="00A35FB3" w:rsidP="00A35FB3">
      <w:pPr>
        <w:pStyle w:val="Prrafodelista"/>
        <w:numPr>
          <w:ilvl w:val="0"/>
          <w:numId w:val="20"/>
        </w:numPr>
        <w:spacing w:line="360" w:lineRule="auto"/>
        <w:jc w:val="both"/>
        <w:rPr>
          <w:rFonts w:ascii="Times New Roman" w:hAnsi="Times New Roman" w:cs="Times New Roman"/>
          <w:color w:val="000000"/>
          <w:sz w:val="20"/>
          <w:szCs w:val="20"/>
          <w:shd w:val="clear" w:color="auto" w:fill="FFFFFF"/>
          <w:lang w:val="en-US"/>
        </w:rPr>
      </w:pPr>
      <w:r>
        <w:rPr>
          <w:rFonts w:ascii="Times New Roman" w:hAnsi="Times New Roman" w:cs="Times New Roman"/>
          <w:color w:val="000000"/>
          <w:sz w:val="20"/>
          <w:szCs w:val="20"/>
          <w:shd w:val="clear" w:color="auto" w:fill="FFFFFF"/>
        </w:rPr>
        <w:t>Serrano, L. Sole</w:t>
      </w:r>
      <w:r w:rsidRPr="00846ED6">
        <w:rPr>
          <w:rFonts w:ascii="Times New Roman" w:hAnsi="Times New Roman" w:cs="Times New Roman"/>
          <w:color w:val="000000"/>
          <w:sz w:val="20"/>
          <w:szCs w:val="20"/>
          <w:shd w:val="clear" w:color="auto" w:fill="FFFFFF"/>
        </w:rPr>
        <w:t xml:space="preserve">r, Á. y Hernández, L., (2013)  “El abandono educativo temprano: análisis del caso español”, </w:t>
      </w:r>
      <w:r w:rsidRPr="00846ED6">
        <w:rPr>
          <w:rFonts w:ascii="Times New Roman" w:hAnsi="Times New Roman" w:cs="Times New Roman"/>
          <w:i/>
          <w:color w:val="000000"/>
          <w:sz w:val="20"/>
          <w:szCs w:val="20"/>
          <w:shd w:val="clear" w:color="auto" w:fill="FFFFFF"/>
        </w:rPr>
        <w:t>Ministerio de Educación, Cultura y Deportes</w:t>
      </w:r>
      <w:r>
        <w:rPr>
          <w:rFonts w:ascii="Times New Roman" w:hAnsi="Times New Roman" w:cs="Times New Roman"/>
          <w:color w:val="000000"/>
          <w:sz w:val="20"/>
          <w:szCs w:val="20"/>
          <w:shd w:val="clear" w:color="auto" w:fill="FFFFFF"/>
        </w:rPr>
        <w:t>, 5-9, 25-</w:t>
      </w:r>
      <w:r w:rsidRPr="00846ED6">
        <w:rPr>
          <w:rFonts w:ascii="Times New Roman" w:hAnsi="Times New Roman" w:cs="Times New Roman"/>
          <w:color w:val="000000"/>
          <w:sz w:val="20"/>
          <w:szCs w:val="20"/>
          <w:shd w:val="clear" w:color="auto" w:fill="FFFFFF"/>
        </w:rPr>
        <w:t xml:space="preserve">26. </w:t>
      </w:r>
      <w:proofErr w:type="spellStart"/>
      <w:r w:rsidRPr="00846ED6">
        <w:rPr>
          <w:rFonts w:ascii="Times New Roman" w:hAnsi="Times New Roman" w:cs="Times New Roman"/>
          <w:color w:val="000000"/>
          <w:sz w:val="20"/>
          <w:szCs w:val="20"/>
          <w:shd w:val="clear" w:color="auto" w:fill="FFFFFF"/>
          <w:lang w:val="en-US"/>
        </w:rPr>
        <w:t>Disponible</w:t>
      </w:r>
      <w:proofErr w:type="spellEnd"/>
      <w:r w:rsidRPr="00846ED6">
        <w:rPr>
          <w:rFonts w:ascii="Times New Roman" w:hAnsi="Times New Roman" w:cs="Times New Roman"/>
          <w:color w:val="000000"/>
          <w:sz w:val="20"/>
          <w:szCs w:val="20"/>
          <w:shd w:val="clear" w:color="auto" w:fill="FFFFFF"/>
          <w:lang w:val="en-US"/>
        </w:rPr>
        <w:t xml:space="preserve"> on-line:</w:t>
      </w:r>
      <w:r w:rsidRPr="00846ED6">
        <w:rPr>
          <w:rFonts w:ascii="Times New Roman" w:hAnsi="Times New Roman" w:cs="Times New Roman"/>
          <w:sz w:val="20"/>
          <w:szCs w:val="20"/>
          <w:lang w:val="en-US"/>
        </w:rPr>
        <w:t xml:space="preserve"> </w:t>
      </w:r>
      <w:hyperlink r:id="rId42" w:history="1">
        <w:r w:rsidRPr="00846ED6">
          <w:rPr>
            <w:rStyle w:val="Hipervnculo"/>
            <w:rFonts w:ascii="Times New Roman" w:hAnsi="Times New Roman" w:cs="Times New Roman"/>
            <w:sz w:val="20"/>
            <w:szCs w:val="20"/>
            <w:shd w:val="clear" w:color="auto" w:fill="FFFFFF"/>
            <w:lang w:val="en-US"/>
          </w:rPr>
          <w:t>https://www.mecd.gob.es/dctm/inee/documentos-de-trabajo/abandono-educativo-temprano.pdf?documentId=0901e72b8173034a</w:t>
        </w:r>
      </w:hyperlink>
      <w:r w:rsidRPr="008A5A0B">
        <w:rPr>
          <w:lang w:val="en-US"/>
        </w:rPr>
        <w:tab/>
      </w:r>
      <w:r w:rsidRPr="008A5A0B">
        <w:rPr>
          <w:lang w:val="en-US"/>
        </w:rPr>
        <w:tab/>
      </w:r>
      <w:r w:rsidRPr="008A5A0B">
        <w:rPr>
          <w:lang w:val="en-US"/>
        </w:rPr>
        <w:tab/>
      </w:r>
      <w:r w:rsidRPr="008A5A0B">
        <w:rPr>
          <w:lang w:val="en-US"/>
        </w:rPr>
        <w:tab/>
      </w:r>
      <w:r w:rsidRPr="008A5A0B">
        <w:rPr>
          <w:lang w:val="en-US"/>
        </w:rPr>
        <w:tab/>
      </w:r>
      <w:r w:rsidRPr="008A5A0B">
        <w:rPr>
          <w:lang w:val="en-US"/>
        </w:rPr>
        <w:tab/>
      </w:r>
      <w:r w:rsidRPr="008A5A0B">
        <w:rPr>
          <w:lang w:val="en-US"/>
        </w:rPr>
        <w:tab/>
      </w:r>
    </w:p>
    <w:p w:rsidR="00A35FB3" w:rsidRPr="00846ED6" w:rsidRDefault="00A35FB3" w:rsidP="00A35FB3">
      <w:pPr>
        <w:pStyle w:val="Prrafodelista"/>
        <w:numPr>
          <w:ilvl w:val="0"/>
          <w:numId w:val="20"/>
        </w:numPr>
        <w:spacing w:line="360" w:lineRule="auto"/>
        <w:jc w:val="both"/>
        <w:rPr>
          <w:rFonts w:ascii="Times New Roman" w:hAnsi="Times New Roman" w:cs="Times New Roman"/>
          <w:sz w:val="20"/>
          <w:szCs w:val="20"/>
        </w:rPr>
      </w:pPr>
      <w:r w:rsidRPr="00846ED6">
        <w:rPr>
          <w:rFonts w:ascii="Times New Roman" w:hAnsi="Times New Roman" w:cs="Times New Roman"/>
          <w:sz w:val="20"/>
          <w:szCs w:val="20"/>
        </w:rPr>
        <w:t>Vicente, G. y Sánchez- Silva, C. (2014)</w:t>
      </w:r>
      <w:proofErr w:type="gramStart"/>
      <w:r w:rsidRPr="00846ED6">
        <w:rPr>
          <w:rFonts w:ascii="Times New Roman" w:hAnsi="Times New Roman" w:cs="Times New Roman"/>
          <w:sz w:val="20"/>
          <w:szCs w:val="20"/>
        </w:rPr>
        <w:t>.,</w:t>
      </w:r>
      <w:proofErr w:type="gramEnd"/>
      <w:r w:rsidRPr="00846ED6">
        <w:rPr>
          <w:rFonts w:ascii="Times New Roman" w:hAnsi="Times New Roman" w:cs="Times New Roman"/>
          <w:sz w:val="20"/>
          <w:szCs w:val="20"/>
        </w:rPr>
        <w:t xml:space="preserve"> “La precariedad  laboral va para largo”, </w:t>
      </w:r>
      <w:r w:rsidRPr="00846ED6">
        <w:rPr>
          <w:rFonts w:ascii="Times New Roman" w:hAnsi="Times New Roman" w:cs="Times New Roman"/>
          <w:i/>
          <w:sz w:val="20"/>
          <w:szCs w:val="20"/>
        </w:rPr>
        <w:t>El</w:t>
      </w:r>
      <w:r>
        <w:rPr>
          <w:rFonts w:ascii="Times New Roman" w:hAnsi="Times New Roman" w:cs="Times New Roman"/>
          <w:i/>
          <w:sz w:val="20"/>
          <w:szCs w:val="20"/>
        </w:rPr>
        <w:t xml:space="preserve"> </w:t>
      </w:r>
      <w:r w:rsidRPr="00846ED6">
        <w:rPr>
          <w:rFonts w:ascii="Times New Roman" w:hAnsi="Times New Roman" w:cs="Times New Roman"/>
          <w:i/>
          <w:sz w:val="20"/>
          <w:szCs w:val="20"/>
        </w:rPr>
        <w:t>País</w:t>
      </w:r>
      <w:r w:rsidRPr="00846ED6">
        <w:rPr>
          <w:rFonts w:ascii="Times New Roman" w:hAnsi="Times New Roman" w:cs="Times New Roman"/>
          <w:sz w:val="20"/>
          <w:szCs w:val="20"/>
        </w:rPr>
        <w:t xml:space="preserve">. Madrid. Disponible on-line: </w:t>
      </w:r>
    </w:p>
    <w:p w:rsidR="00A35FB3" w:rsidRPr="00846ED6" w:rsidRDefault="005C51C7" w:rsidP="00A35FB3">
      <w:pPr>
        <w:pStyle w:val="Prrafodelista"/>
        <w:spacing w:line="360" w:lineRule="auto"/>
        <w:jc w:val="both"/>
        <w:rPr>
          <w:rFonts w:ascii="Times New Roman" w:hAnsi="Times New Roman" w:cs="Times New Roman"/>
          <w:sz w:val="20"/>
          <w:szCs w:val="20"/>
        </w:rPr>
      </w:pPr>
      <w:hyperlink r:id="rId43" w:history="1">
        <w:r w:rsidR="00A35FB3" w:rsidRPr="00846ED6">
          <w:rPr>
            <w:rStyle w:val="Hipervnculo"/>
            <w:rFonts w:ascii="Times New Roman" w:hAnsi="Times New Roman" w:cs="Times New Roman"/>
            <w:sz w:val="20"/>
            <w:szCs w:val="20"/>
          </w:rPr>
          <w:t>http://economia.elpais.com/economia/2014/03/07/actualidad/1394227355_704422.html</w:t>
        </w:r>
      </w:hyperlink>
    </w:p>
    <w:p w:rsidR="00A35FB3" w:rsidRDefault="00A35FB3" w:rsidP="00D406A5"/>
    <w:p w:rsidR="00A35FB3" w:rsidRPr="00B9129F" w:rsidRDefault="00A35FB3" w:rsidP="00D406A5"/>
    <w:sectPr w:rsidR="00A35FB3" w:rsidRPr="00B9129F" w:rsidSect="00AB55E4">
      <w:footerReference w:type="default" r:id="rId44"/>
      <w:pgSz w:w="11906" w:h="16838" w:code="9"/>
      <w:pgMar w:top="1418" w:right="1418" w:bottom="1418" w:left="1418" w:header="720" w:footer="720" w:gutter="0"/>
      <w:cols w:space="720"/>
      <w:docGrid w:linePitch="27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941AF2" w:rsidRDefault="00941AF2" w:rsidP="00E3140D">
      <w:r>
        <w:separator/>
      </w:r>
    </w:p>
  </w:endnote>
  <w:endnote w:type="continuationSeparator" w:id="0">
    <w:p w:rsidR="00941AF2" w:rsidRDefault="00941AF2" w:rsidP="00E3140D">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Univers-Bold">
    <w:panose1 w:val="00000000000000000000"/>
    <w:charset w:val="00"/>
    <w:family w:val="swiss"/>
    <w:notTrueType/>
    <w:pitch w:val="default"/>
    <w:sig w:usb0="00000003" w:usb1="00000000" w:usb2="00000000" w:usb3="00000000" w:csb0="00000001" w:csb1="00000000"/>
  </w:font>
  <w:font w:name="Arial">
    <w:panose1 w:val="020B0604020202020204"/>
    <w:charset w:val="00"/>
    <w:family w:val="swiss"/>
    <w:pitch w:val="variable"/>
    <w:sig w:usb0="20002A87" w:usb1="80000000" w:usb2="00000008" w:usb3="00000000" w:csb0="000001FF" w:csb1="00000000"/>
  </w:font>
  <w:font w:name="NewBskvll BT">
    <w:altName w:val="Times New Roman"/>
    <w:charset w:val="00"/>
    <w:family w:val="roman"/>
    <w:pitch w:val="variable"/>
    <w:sig w:usb0="00000007" w:usb1="00000000" w:usb2="00000000" w:usb3="00000000" w:csb0="00000011" w:csb1="00000000"/>
  </w:font>
  <w:font w:name="Tahoma">
    <w:panose1 w:val="020B0604030504040204"/>
    <w:charset w:val="00"/>
    <w:family w:val="swiss"/>
    <w:pitch w:val="variable"/>
    <w:sig w:usb0="61002A87" w:usb1="80000000" w:usb2="00000008" w:usb3="00000000" w:csb0="000101FF" w:csb1="00000000"/>
  </w:font>
  <w:font w:name="Calibri">
    <w:panose1 w:val="020F0502020204030204"/>
    <w:charset w:val="00"/>
    <w:family w:val="swiss"/>
    <w:pitch w:val="variable"/>
    <w:sig w:usb0="A00002EF" w:usb1="4000207B" w:usb2="00000000" w:usb3="00000000" w:csb0="0000009F" w:csb1="00000000"/>
  </w:font>
  <w:font w:name="Arial Narrow">
    <w:panose1 w:val="020B0606020202030204"/>
    <w:charset w:val="00"/>
    <w:family w:val="swiss"/>
    <w:pitch w:val="variable"/>
    <w:sig w:usb0="00000287" w:usb1="00000800" w:usb2="00000000" w:usb3="00000000" w:csb0="0000009F" w:csb1="00000000"/>
  </w:font>
  <w:font w:name="Univers">
    <w:altName w:val="Arial"/>
    <w:panose1 w:val="00000000000000000000"/>
    <w:charset w:val="00"/>
    <w:family w:val="swiss"/>
    <w:notTrueType/>
    <w:pitch w:val="default"/>
    <w:sig w:usb0="00000003" w:usb1="00000000" w:usb2="00000000" w:usb3="00000000" w:csb0="00000001"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004993"/>
      <w:docPartObj>
        <w:docPartGallery w:val="Page Numbers (Bottom of Page)"/>
        <w:docPartUnique/>
      </w:docPartObj>
    </w:sdtPr>
    <w:sdtContent>
      <w:p w:rsidR="00BE1DDD" w:rsidRDefault="005C51C7">
        <w:pPr>
          <w:pStyle w:val="Piedepgina"/>
          <w:jc w:val="right"/>
        </w:pPr>
        <w:fldSimple w:instr=" PAGE   \* MERGEFORMAT ">
          <w:r w:rsidR="00793963">
            <w:rPr>
              <w:noProof/>
            </w:rPr>
            <w:t>22</w:t>
          </w:r>
        </w:fldSimple>
      </w:p>
    </w:sdtContent>
  </w:sdt>
  <w:p w:rsidR="00BE1DDD" w:rsidRDefault="00BE1DDD">
    <w:pPr>
      <w:pStyle w:val="Piedepgin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941AF2" w:rsidRDefault="00941AF2" w:rsidP="00E3140D">
      <w:r>
        <w:separator/>
      </w:r>
    </w:p>
  </w:footnote>
  <w:footnote w:type="continuationSeparator" w:id="0">
    <w:p w:rsidR="00941AF2" w:rsidRDefault="00941AF2" w:rsidP="00E3140D">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82"/>
    <w:multiLevelType w:val="singleLevel"/>
    <w:tmpl w:val="5EF08952"/>
    <w:lvl w:ilvl="0">
      <w:start w:val="1"/>
      <w:numFmt w:val="bullet"/>
      <w:pStyle w:val="Listaconvietas3"/>
      <w:lvlText w:val=""/>
      <w:lvlJc w:val="left"/>
      <w:pPr>
        <w:tabs>
          <w:tab w:val="num" w:pos="926"/>
        </w:tabs>
        <w:ind w:left="926" w:hanging="360"/>
      </w:pPr>
      <w:rPr>
        <w:rFonts w:ascii="Symbol" w:hAnsi="Symbol" w:hint="default"/>
      </w:rPr>
    </w:lvl>
  </w:abstractNum>
  <w:abstractNum w:abstractNumId="1">
    <w:nsid w:val="FFFFFF83"/>
    <w:multiLevelType w:val="singleLevel"/>
    <w:tmpl w:val="998ACB88"/>
    <w:lvl w:ilvl="0">
      <w:start w:val="1"/>
      <w:numFmt w:val="bullet"/>
      <w:pStyle w:val="Listaconvietas2"/>
      <w:lvlText w:val=""/>
      <w:lvlJc w:val="left"/>
      <w:pPr>
        <w:tabs>
          <w:tab w:val="num" w:pos="643"/>
        </w:tabs>
        <w:ind w:left="643" w:hanging="360"/>
      </w:pPr>
      <w:rPr>
        <w:rFonts w:ascii="Symbol" w:hAnsi="Symbol" w:hint="default"/>
      </w:rPr>
    </w:lvl>
  </w:abstractNum>
  <w:abstractNum w:abstractNumId="2">
    <w:nsid w:val="09081A7D"/>
    <w:multiLevelType w:val="hybridMultilevel"/>
    <w:tmpl w:val="9306C44A"/>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
    <w:nsid w:val="0B4337A6"/>
    <w:multiLevelType w:val="hybridMultilevel"/>
    <w:tmpl w:val="DF684A7A"/>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
    <w:nsid w:val="0FB957C9"/>
    <w:multiLevelType w:val="hybridMultilevel"/>
    <w:tmpl w:val="5BC85D64"/>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5">
    <w:nsid w:val="1037445C"/>
    <w:multiLevelType w:val="hybridMultilevel"/>
    <w:tmpl w:val="AD58BD86"/>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6">
    <w:nsid w:val="10CD432D"/>
    <w:multiLevelType w:val="hybridMultilevel"/>
    <w:tmpl w:val="DCF679D8"/>
    <w:lvl w:ilvl="0" w:tplc="0C0A0001">
      <w:start w:val="1"/>
      <w:numFmt w:val="bullet"/>
      <w:lvlText w:val=""/>
      <w:lvlJc w:val="left"/>
      <w:pPr>
        <w:ind w:left="720" w:hanging="360"/>
      </w:pPr>
      <w:rPr>
        <w:rFonts w:ascii="Symbol" w:hAnsi="Symbol" w:hint="default"/>
      </w:rPr>
    </w:lvl>
    <w:lvl w:ilvl="1" w:tplc="0C0A0003">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7">
    <w:nsid w:val="13705D9A"/>
    <w:multiLevelType w:val="hybridMultilevel"/>
    <w:tmpl w:val="A82056AC"/>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8">
    <w:nsid w:val="15C5644F"/>
    <w:multiLevelType w:val="hybridMultilevel"/>
    <w:tmpl w:val="0DB063BC"/>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9">
    <w:nsid w:val="18814E50"/>
    <w:multiLevelType w:val="hybridMultilevel"/>
    <w:tmpl w:val="8CF8A0E8"/>
    <w:lvl w:ilvl="0" w:tplc="0C0A000F">
      <w:start w:val="2"/>
      <w:numFmt w:val="decimal"/>
      <w:lvlText w:val="%1."/>
      <w:lvlJc w:val="left"/>
      <w:pPr>
        <w:ind w:left="720" w:hanging="360"/>
      </w:pPr>
      <w:rPr>
        <w:rFonts w:hint="default"/>
      </w:r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0">
    <w:nsid w:val="194063FC"/>
    <w:multiLevelType w:val="hybridMultilevel"/>
    <w:tmpl w:val="F1CEF90E"/>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1">
    <w:nsid w:val="23A52ABD"/>
    <w:multiLevelType w:val="hybridMultilevel"/>
    <w:tmpl w:val="F23EE968"/>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2">
    <w:nsid w:val="27C03056"/>
    <w:multiLevelType w:val="hybridMultilevel"/>
    <w:tmpl w:val="8D9C2C84"/>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3">
    <w:nsid w:val="2B941725"/>
    <w:multiLevelType w:val="hybridMultilevel"/>
    <w:tmpl w:val="AB9400B6"/>
    <w:lvl w:ilvl="0" w:tplc="0C0A000F">
      <w:start w:val="1"/>
      <w:numFmt w:val="decimal"/>
      <w:lvlText w:val="%1."/>
      <w:lvlJc w:val="left"/>
      <w:pPr>
        <w:ind w:left="1080" w:hanging="72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4">
    <w:nsid w:val="2F7A113E"/>
    <w:multiLevelType w:val="hybridMultilevel"/>
    <w:tmpl w:val="4DECC270"/>
    <w:lvl w:ilvl="0" w:tplc="0C0A0001">
      <w:start w:val="1"/>
      <w:numFmt w:val="bullet"/>
      <w:lvlText w:val=""/>
      <w:lvlJc w:val="left"/>
      <w:pPr>
        <w:ind w:left="1440" w:hanging="360"/>
      </w:pPr>
      <w:rPr>
        <w:rFonts w:ascii="Symbol" w:hAnsi="Symbol" w:hint="default"/>
      </w:rPr>
    </w:lvl>
    <w:lvl w:ilvl="1" w:tplc="0C0A0003" w:tentative="1">
      <w:start w:val="1"/>
      <w:numFmt w:val="bullet"/>
      <w:lvlText w:val="o"/>
      <w:lvlJc w:val="left"/>
      <w:pPr>
        <w:ind w:left="2160" w:hanging="360"/>
      </w:pPr>
      <w:rPr>
        <w:rFonts w:ascii="Courier New" w:hAnsi="Courier New" w:cs="Courier New" w:hint="default"/>
      </w:rPr>
    </w:lvl>
    <w:lvl w:ilvl="2" w:tplc="0C0A0005" w:tentative="1">
      <w:start w:val="1"/>
      <w:numFmt w:val="bullet"/>
      <w:lvlText w:val=""/>
      <w:lvlJc w:val="left"/>
      <w:pPr>
        <w:ind w:left="2880" w:hanging="360"/>
      </w:pPr>
      <w:rPr>
        <w:rFonts w:ascii="Wingdings" w:hAnsi="Wingdings" w:hint="default"/>
      </w:rPr>
    </w:lvl>
    <w:lvl w:ilvl="3" w:tplc="0C0A0001" w:tentative="1">
      <w:start w:val="1"/>
      <w:numFmt w:val="bullet"/>
      <w:lvlText w:val=""/>
      <w:lvlJc w:val="left"/>
      <w:pPr>
        <w:ind w:left="3600" w:hanging="360"/>
      </w:pPr>
      <w:rPr>
        <w:rFonts w:ascii="Symbol" w:hAnsi="Symbol" w:hint="default"/>
      </w:rPr>
    </w:lvl>
    <w:lvl w:ilvl="4" w:tplc="0C0A0003" w:tentative="1">
      <w:start w:val="1"/>
      <w:numFmt w:val="bullet"/>
      <w:lvlText w:val="o"/>
      <w:lvlJc w:val="left"/>
      <w:pPr>
        <w:ind w:left="4320" w:hanging="360"/>
      </w:pPr>
      <w:rPr>
        <w:rFonts w:ascii="Courier New" w:hAnsi="Courier New" w:cs="Courier New" w:hint="default"/>
      </w:rPr>
    </w:lvl>
    <w:lvl w:ilvl="5" w:tplc="0C0A0005" w:tentative="1">
      <w:start w:val="1"/>
      <w:numFmt w:val="bullet"/>
      <w:lvlText w:val=""/>
      <w:lvlJc w:val="left"/>
      <w:pPr>
        <w:ind w:left="5040" w:hanging="360"/>
      </w:pPr>
      <w:rPr>
        <w:rFonts w:ascii="Wingdings" w:hAnsi="Wingdings" w:hint="default"/>
      </w:rPr>
    </w:lvl>
    <w:lvl w:ilvl="6" w:tplc="0C0A0001" w:tentative="1">
      <w:start w:val="1"/>
      <w:numFmt w:val="bullet"/>
      <w:lvlText w:val=""/>
      <w:lvlJc w:val="left"/>
      <w:pPr>
        <w:ind w:left="5760" w:hanging="360"/>
      </w:pPr>
      <w:rPr>
        <w:rFonts w:ascii="Symbol" w:hAnsi="Symbol" w:hint="default"/>
      </w:rPr>
    </w:lvl>
    <w:lvl w:ilvl="7" w:tplc="0C0A0003" w:tentative="1">
      <w:start w:val="1"/>
      <w:numFmt w:val="bullet"/>
      <w:lvlText w:val="o"/>
      <w:lvlJc w:val="left"/>
      <w:pPr>
        <w:ind w:left="6480" w:hanging="360"/>
      </w:pPr>
      <w:rPr>
        <w:rFonts w:ascii="Courier New" w:hAnsi="Courier New" w:cs="Courier New" w:hint="default"/>
      </w:rPr>
    </w:lvl>
    <w:lvl w:ilvl="8" w:tplc="0C0A0005" w:tentative="1">
      <w:start w:val="1"/>
      <w:numFmt w:val="bullet"/>
      <w:lvlText w:val=""/>
      <w:lvlJc w:val="left"/>
      <w:pPr>
        <w:ind w:left="7200" w:hanging="360"/>
      </w:pPr>
      <w:rPr>
        <w:rFonts w:ascii="Wingdings" w:hAnsi="Wingdings" w:hint="default"/>
      </w:rPr>
    </w:lvl>
  </w:abstractNum>
  <w:abstractNum w:abstractNumId="15">
    <w:nsid w:val="31BF1DE0"/>
    <w:multiLevelType w:val="hybridMultilevel"/>
    <w:tmpl w:val="B8B483B8"/>
    <w:lvl w:ilvl="0" w:tplc="0C0A0013">
      <w:start w:val="1"/>
      <w:numFmt w:val="upperRoman"/>
      <w:lvlText w:val="%1."/>
      <w:lvlJc w:val="right"/>
      <w:pPr>
        <w:ind w:left="1440" w:hanging="360"/>
      </w:pPr>
    </w:lvl>
    <w:lvl w:ilvl="1" w:tplc="0C0A0019" w:tentative="1">
      <w:start w:val="1"/>
      <w:numFmt w:val="lowerLetter"/>
      <w:lvlText w:val="%2."/>
      <w:lvlJc w:val="left"/>
      <w:pPr>
        <w:ind w:left="2160" w:hanging="360"/>
      </w:pPr>
    </w:lvl>
    <w:lvl w:ilvl="2" w:tplc="0C0A001B" w:tentative="1">
      <w:start w:val="1"/>
      <w:numFmt w:val="lowerRoman"/>
      <w:lvlText w:val="%3."/>
      <w:lvlJc w:val="right"/>
      <w:pPr>
        <w:ind w:left="2880" w:hanging="180"/>
      </w:pPr>
    </w:lvl>
    <w:lvl w:ilvl="3" w:tplc="0C0A000F" w:tentative="1">
      <w:start w:val="1"/>
      <w:numFmt w:val="decimal"/>
      <w:lvlText w:val="%4."/>
      <w:lvlJc w:val="left"/>
      <w:pPr>
        <w:ind w:left="3600" w:hanging="360"/>
      </w:pPr>
    </w:lvl>
    <w:lvl w:ilvl="4" w:tplc="0C0A0019" w:tentative="1">
      <w:start w:val="1"/>
      <w:numFmt w:val="lowerLetter"/>
      <w:lvlText w:val="%5."/>
      <w:lvlJc w:val="left"/>
      <w:pPr>
        <w:ind w:left="4320" w:hanging="360"/>
      </w:pPr>
    </w:lvl>
    <w:lvl w:ilvl="5" w:tplc="0C0A001B" w:tentative="1">
      <w:start w:val="1"/>
      <w:numFmt w:val="lowerRoman"/>
      <w:lvlText w:val="%6."/>
      <w:lvlJc w:val="right"/>
      <w:pPr>
        <w:ind w:left="5040" w:hanging="180"/>
      </w:pPr>
    </w:lvl>
    <w:lvl w:ilvl="6" w:tplc="0C0A000F" w:tentative="1">
      <w:start w:val="1"/>
      <w:numFmt w:val="decimal"/>
      <w:lvlText w:val="%7."/>
      <w:lvlJc w:val="left"/>
      <w:pPr>
        <w:ind w:left="5760" w:hanging="360"/>
      </w:pPr>
    </w:lvl>
    <w:lvl w:ilvl="7" w:tplc="0C0A0019" w:tentative="1">
      <w:start w:val="1"/>
      <w:numFmt w:val="lowerLetter"/>
      <w:lvlText w:val="%8."/>
      <w:lvlJc w:val="left"/>
      <w:pPr>
        <w:ind w:left="6480" w:hanging="360"/>
      </w:pPr>
    </w:lvl>
    <w:lvl w:ilvl="8" w:tplc="0C0A001B" w:tentative="1">
      <w:start w:val="1"/>
      <w:numFmt w:val="lowerRoman"/>
      <w:lvlText w:val="%9."/>
      <w:lvlJc w:val="right"/>
      <w:pPr>
        <w:ind w:left="7200" w:hanging="180"/>
      </w:pPr>
    </w:lvl>
  </w:abstractNum>
  <w:abstractNum w:abstractNumId="16">
    <w:nsid w:val="39A35270"/>
    <w:multiLevelType w:val="hybridMultilevel"/>
    <w:tmpl w:val="AF12CF14"/>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7">
    <w:nsid w:val="3A383D3B"/>
    <w:multiLevelType w:val="hybridMultilevel"/>
    <w:tmpl w:val="17E89D26"/>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8">
    <w:nsid w:val="477F0E10"/>
    <w:multiLevelType w:val="hybridMultilevel"/>
    <w:tmpl w:val="138AD43C"/>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9">
    <w:nsid w:val="4D225A18"/>
    <w:multiLevelType w:val="hybridMultilevel"/>
    <w:tmpl w:val="A9AA7FE2"/>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0">
    <w:nsid w:val="4E636320"/>
    <w:multiLevelType w:val="hybridMultilevel"/>
    <w:tmpl w:val="DD1C1CBE"/>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1">
    <w:nsid w:val="502310BC"/>
    <w:multiLevelType w:val="multilevel"/>
    <w:tmpl w:val="0C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
    <w:nsid w:val="66FD4D51"/>
    <w:multiLevelType w:val="hybridMultilevel"/>
    <w:tmpl w:val="CFEC3B1E"/>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3">
    <w:nsid w:val="68670528"/>
    <w:multiLevelType w:val="hybridMultilevel"/>
    <w:tmpl w:val="B7549686"/>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4">
    <w:nsid w:val="70832D5D"/>
    <w:multiLevelType w:val="hybridMultilevel"/>
    <w:tmpl w:val="80E09C1C"/>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5">
    <w:nsid w:val="75BA268D"/>
    <w:multiLevelType w:val="hybridMultilevel"/>
    <w:tmpl w:val="542CAB68"/>
    <w:lvl w:ilvl="0" w:tplc="9176F360">
      <w:start w:val="1"/>
      <w:numFmt w:val="upperLetter"/>
      <w:lvlText w:val="%1)"/>
      <w:lvlJc w:val="left"/>
      <w:pPr>
        <w:ind w:left="720" w:hanging="360"/>
      </w:pPr>
      <w:rPr>
        <w:rFonts w:cs="Univers-Bold" w:hint="default"/>
        <w:b/>
        <w:color w:val="00B0F0"/>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6">
    <w:nsid w:val="7FC45946"/>
    <w:multiLevelType w:val="hybridMultilevel"/>
    <w:tmpl w:val="15327C6A"/>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7">
    <w:nsid w:val="7FCE5968"/>
    <w:multiLevelType w:val="hybridMultilevel"/>
    <w:tmpl w:val="4A76EBD0"/>
    <w:lvl w:ilvl="0" w:tplc="0C0A0013">
      <w:start w:val="1"/>
      <w:numFmt w:val="upperRoman"/>
      <w:lvlText w:val="%1."/>
      <w:lvlJc w:val="righ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num w:numId="1">
    <w:abstractNumId w:val="10"/>
  </w:num>
  <w:num w:numId="2">
    <w:abstractNumId w:val="17"/>
  </w:num>
  <w:num w:numId="3">
    <w:abstractNumId w:val="11"/>
  </w:num>
  <w:num w:numId="4">
    <w:abstractNumId w:val="3"/>
  </w:num>
  <w:num w:numId="5">
    <w:abstractNumId w:val="19"/>
  </w:num>
  <w:num w:numId="6">
    <w:abstractNumId w:val="6"/>
  </w:num>
  <w:num w:numId="7">
    <w:abstractNumId w:val="24"/>
  </w:num>
  <w:num w:numId="8">
    <w:abstractNumId w:val="20"/>
  </w:num>
  <w:num w:numId="9">
    <w:abstractNumId w:val="21"/>
  </w:num>
  <w:num w:numId="10">
    <w:abstractNumId w:val="5"/>
  </w:num>
  <w:num w:numId="11">
    <w:abstractNumId w:val="7"/>
  </w:num>
  <w:num w:numId="12">
    <w:abstractNumId w:val="18"/>
  </w:num>
  <w:num w:numId="13">
    <w:abstractNumId w:val="8"/>
  </w:num>
  <w:num w:numId="14">
    <w:abstractNumId w:val="2"/>
  </w:num>
  <w:num w:numId="15">
    <w:abstractNumId w:val="15"/>
  </w:num>
  <w:num w:numId="16">
    <w:abstractNumId w:val="27"/>
  </w:num>
  <w:num w:numId="17">
    <w:abstractNumId w:val="13"/>
  </w:num>
  <w:num w:numId="18">
    <w:abstractNumId w:val="25"/>
  </w:num>
  <w:num w:numId="19">
    <w:abstractNumId w:val="16"/>
  </w:num>
  <w:num w:numId="20">
    <w:abstractNumId w:val="22"/>
  </w:num>
  <w:num w:numId="21">
    <w:abstractNumId w:val="9"/>
  </w:num>
  <w:num w:numId="22">
    <w:abstractNumId w:val="12"/>
  </w:num>
  <w:num w:numId="23">
    <w:abstractNumId w:val="14"/>
  </w:num>
  <w:num w:numId="24">
    <w:abstractNumId w:val="26"/>
  </w:num>
  <w:num w:numId="25">
    <w:abstractNumId w:val="23"/>
  </w:num>
  <w:num w:numId="26">
    <w:abstractNumId w:val="4"/>
  </w:num>
  <w:num w:numId="27">
    <w:abstractNumId w:val="1"/>
  </w:num>
  <w:num w:numId="28">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0"/>
  <w:proofState w:spelling="clean" w:grammar="clean"/>
  <w:stylePaneFormatFilter w:val="3F01"/>
  <w:defaultTabStop w:val="708"/>
  <w:hyphenationZone w:val="425"/>
  <w:displayHorizontalDrawingGridEvery w:val="0"/>
  <w:displayVerticalDrawingGridEvery w:val="0"/>
  <w:doNotUseMarginsForDrawingGridOrigin/>
  <w:noPunctuationKerning/>
  <w:characterSpacingControl w:val="doNotCompress"/>
  <w:hdrShapeDefaults>
    <o:shapedefaults v:ext="edit" spidmax="13314" fillcolor="#3cf" stroke="f">
      <v:fill color="#3cf"/>
      <v:stroke on="f"/>
      <v:textbox style="layout-flow:vertical;mso-layout-flow-alt:bottom-to-top"/>
      <o:colormru v:ext="edit" colors="#3cf"/>
    </o:shapedefaults>
  </w:hdrShapeDefaults>
  <w:footnotePr>
    <w:footnote w:id="-1"/>
    <w:footnote w:id="0"/>
  </w:footnotePr>
  <w:endnotePr>
    <w:endnote w:id="-1"/>
    <w:endnote w:id="0"/>
  </w:endnotePr>
  <w:compat/>
  <w:rsids>
    <w:rsidRoot w:val="0008453E"/>
    <w:rsid w:val="0000596D"/>
    <w:rsid w:val="00062054"/>
    <w:rsid w:val="0008453E"/>
    <w:rsid w:val="00102AB0"/>
    <w:rsid w:val="001523DF"/>
    <w:rsid w:val="001651B2"/>
    <w:rsid w:val="00181EDB"/>
    <w:rsid w:val="001A60F2"/>
    <w:rsid w:val="0026395C"/>
    <w:rsid w:val="00462AF9"/>
    <w:rsid w:val="00586CD5"/>
    <w:rsid w:val="005A2EE9"/>
    <w:rsid w:val="005C51C7"/>
    <w:rsid w:val="00682ED9"/>
    <w:rsid w:val="00692F72"/>
    <w:rsid w:val="00714A8E"/>
    <w:rsid w:val="00725144"/>
    <w:rsid w:val="0074392C"/>
    <w:rsid w:val="007440A6"/>
    <w:rsid w:val="00793963"/>
    <w:rsid w:val="007E6405"/>
    <w:rsid w:val="00824004"/>
    <w:rsid w:val="00883135"/>
    <w:rsid w:val="00885BB4"/>
    <w:rsid w:val="00893C79"/>
    <w:rsid w:val="008E1780"/>
    <w:rsid w:val="00935F0F"/>
    <w:rsid w:val="00941AF2"/>
    <w:rsid w:val="00954F33"/>
    <w:rsid w:val="00982AF2"/>
    <w:rsid w:val="00A179D6"/>
    <w:rsid w:val="00A35FB3"/>
    <w:rsid w:val="00A52907"/>
    <w:rsid w:val="00A96634"/>
    <w:rsid w:val="00AB55E4"/>
    <w:rsid w:val="00B90C26"/>
    <w:rsid w:val="00B9129F"/>
    <w:rsid w:val="00BD1A3A"/>
    <w:rsid w:val="00BE1DDD"/>
    <w:rsid w:val="00BE2072"/>
    <w:rsid w:val="00BE639B"/>
    <w:rsid w:val="00C21735"/>
    <w:rsid w:val="00D114D2"/>
    <w:rsid w:val="00D406A5"/>
    <w:rsid w:val="00D5404E"/>
    <w:rsid w:val="00D97BB0"/>
    <w:rsid w:val="00E3140D"/>
    <w:rsid w:val="00E3686C"/>
    <w:rsid w:val="00E81C4F"/>
    <w:rsid w:val="00F0212B"/>
    <w:rsid w:val="00F23877"/>
    <w:rsid w:val="00F8114D"/>
  </w:rsids>
  <m:mathPr>
    <m:mathFont m:val="Cambria Math"/>
    <m:brkBin m:val="before"/>
    <m:brkBinSub m:val="--"/>
    <m:smallFrac/>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3314" fillcolor="#3cf" stroke="f">
      <v:fill color="#3cf"/>
      <v:stroke on="f"/>
      <v:textbox style="layout-flow:vertical;mso-layout-flow-alt:bottom-to-top"/>
      <o:colormru v:ext="edit" colors="#3cf"/>
    </o:shapedefaults>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s-ES" w:eastAsia="es-ES" w:bidi="ar-SA"/>
      </w:rPr>
    </w:rPrDefault>
    <w:pPrDefault/>
  </w:docDefaults>
  <w:latentStyles w:defLockedState="0" w:defUIPriority="0" w:defSemiHidden="0" w:defUnhideWhenUsed="0" w:defQFormat="0" w:count="267">
    <w:lsdException w:name="Normal" w:qFormat="1"/>
    <w:lsdException w:name="heading 1" w:uiPriority="9" w:qFormat="1"/>
    <w:lsdException w:name="heading 2" w:uiPriority="9"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header" w:uiPriority="99"/>
    <w:lsdException w:name="footer" w:uiPriority="99"/>
    <w:lsdException w:name="caption" w:semiHidden="1" w:uiPriority="35" w:unhideWhenUsed="1" w:qFormat="1"/>
    <w:lsdException w:name="List" w:uiPriority="99"/>
    <w:lsdException w:name="List 2" w:uiPriority="99"/>
    <w:lsdException w:name="List Bullet 2" w:uiPriority="99"/>
    <w:lsdException w:name="List Bullet 3" w:uiPriority="99"/>
    <w:lsdException w:name="Title" w:qFormat="1"/>
    <w:lsdException w:name="Body Text" w:uiPriority="99"/>
    <w:lsdException w:name="Body Text Indent" w:uiPriority="99"/>
    <w:lsdException w:name="Subtitle" w:qFormat="1"/>
    <w:lsdException w:name="Salutation" w:uiPriority="99"/>
    <w:lsdException w:name="Body Text First Indent" w:uiPriority="99"/>
    <w:lsdException w:name="Body Text First Indent 2" w:uiPriority="99"/>
    <w:lsdException w:name="Hyperlink" w:uiPriority="99"/>
    <w:lsdException w:name="FollowedHyperlink" w:uiPriority="99"/>
    <w:lsdException w:name="Strong" w:qFormat="1"/>
    <w:lsdException w:name="Emphasis" w:qFormat="1"/>
    <w:lsdException w:name="No List" w:uiPriority="99"/>
    <w:lsdException w:name="Balloon Text" w:uiPriority="99"/>
    <w:lsdException w:name="Table Grid" w:uiPriority="5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C21735"/>
  </w:style>
  <w:style w:type="paragraph" w:styleId="Ttulo1">
    <w:name w:val="heading 1"/>
    <w:basedOn w:val="Normal"/>
    <w:next w:val="Normal"/>
    <w:link w:val="Ttulo1Car"/>
    <w:uiPriority w:val="9"/>
    <w:qFormat/>
    <w:rsid w:val="00C21735"/>
    <w:pPr>
      <w:keepNext/>
      <w:outlineLvl w:val="0"/>
    </w:pPr>
    <w:rPr>
      <w:rFonts w:ascii="Arial" w:hAnsi="Arial"/>
      <w:outline/>
      <w:color w:val="000000"/>
      <w:sz w:val="96"/>
    </w:rPr>
  </w:style>
  <w:style w:type="paragraph" w:styleId="Ttulo2">
    <w:name w:val="heading 2"/>
    <w:basedOn w:val="Normal"/>
    <w:next w:val="Normal"/>
    <w:link w:val="Ttulo2Car"/>
    <w:uiPriority w:val="9"/>
    <w:qFormat/>
    <w:rsid w:val="00C21735"/>
    <w:pPr>
      <w:keepNext/>
      <w:outlineLvl w:val="1"/>
    </w:pPr>
    <w:rPr>
      <w:rFonts w:ascii="Arial" w:hAnsi="Arial"/>
      <w:color w:val="C0C0C0"/>
      <w:sz w:val="56"/>
    </w:rPr>
  </w:style>
  <w:style w:type="paragraph" w:styleId="Ttulo3">
    <w:name w:val="heading 3"/>
    <w:basedOn w:val="Normal"/>
    <w:next w:val="Normal"/>
    <w:qFormat/>
    <w:rsid w:val="00C21735"/>
    <w:pPr>
      <w:keepNext/>
      <w:jc w:val="center"/>
      <w:outlineLvl w:val="2"/>
    </w:pPr>
    <w:rPr>
      <w:rFonts w:ascii="NewBskvll BT" w:hAnsi="NewBskvll BT"/>
      <w:i/>
      <w:sz w:val="24"/>
    </w:rPr>
  </w:style>
  <w:style w:type="paragraph" w:styleId="Ttulo4">
    <w:name w:val="heading 4"/>
    <w:basedOn w:val="Normal"/>
    <w:next w:val="Normal"/>
    <w:qFormat/>
    <w:rsid w:val="00C21735"/>
    <w:pPr>
      <w:keepNext/>
      <w:jc w:val="center"/>
      <w:outlineLvl w:val="3"/>
    </w:pPr>
    <w:rPr>
      <w:rFonts w:ascii="Arial" w:hAnsi="Arial"/>
      <w:sz w:val="32"/>
    </w:rPr>
  </w:style>
  <w:style w:type="paragraph" w:styleId="Ttulo5">
    <w:name w:val="heading 5"/>
    <w:basedOn w:val="Normal"/>
    <w:next w:val="Normal"/>
    <w:qFormat/>
    <w:rsid w:val="00C21735"/>
    <w:pPr>
      <w:keepNext/>
      <w:outlineLvl w:val="4"/>
    </w:pPr>
    <w:rPr>
      <w:rFonts w:ascii="Arial" w:hAnsi="Arial"/>
      <w:b/>
      <w:sz w:val="32"/>
      <w:u w:val="single"/>
    </w:rPr>
  </w:style>
  <w:style w:type="paragraph" w:styleId="Ttulo6">
    <w:name w:val="heading 6"/>
    <w:basedOn w:val="Normal"/>
    <w:next w:val="Normal"/>
    <w:qFormat/>
    <w:rsid w:val="00C21735"/>
    <w:pPr>
      <w:keepNext/>
      <w:jc w:val="center"/>
      <w:outlineLvl w:val="5"/>
    </w:pPr>
    <w:rPr>
      <w:rFonts w:ascii="NewBskvll BT" w:hAnsi="NewBskvll BT"/>
      <w:smallCaps/>
      <w:sz w:val="2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A35FB3"/>
    <w:rPr>
      <w:rFonts w:ascii="Arial" w:hAnsi="Arial"/>
      <w:outline/>
      <w:color w:val="000000"/>
      <w:sz w:val="96"/>
    </w:rPr>
  </w:style>
  <w:style w:type="character" w:customStyle="1" w:styleId="Ttulo2Car">
    <w:name w:val="Título 2 Car"/>
    <w:basedOn w:val="Fuentedeprrafopredeter"/>
    <w:link w:val="Ttulo2"/>
    <w:uiPriority w:val="9"/>
    <w:rsid w:val="00A35FB3"/>
    <w:rPr>
      <w:rFonts w:ascii="Arial" w:hAnsi="Arial"/>
      <w:color w:val="C0C0C0"/>
      <w:sz w:val="56"/>
    </w:rPr>
  </w:style>
  <w:style w:type="paragraph" w:styleId="Textoindependiente">
    <w:name w:val="Body Text"/>
    <w:basedOn w:val="Normal"/>
    <w:link w:val="TextoindependienteCar1"/>
    <w:uiPriority w:val="99"/>
    <w:rsid w:val="00C21735"/>
    <w:pPr>
      <w:jc w:val="center"/>
    </w:pPr>
    <w:rPr>
      <w:sz w:val="48"/>
    </w:rPr>
  </w:style>
  <w:style w:type="character" w:customStyle="1" w:styleId="TextoindependienteCar1">
    <w:name w:val="Texto independiente Car1"/>
    <w:basedOn w:val="Fuentedeprrafopredeter"/>
    <w:link w:val="Textoindependiente"/>
    <w:uiPriority w:val="99"/>
    <w:rsid w:val="00A35FB3"/>
    <w:rPr>
      <w:sz w:val="48"/>
    </w:rPr>
  </w:style>
  <w:style w:type="paragraph" w:styleId="Textoindependiente2">
    <w:name w:val="Body Text 2"/>
    <w:basedOn w:val="Normal"/>
    <w:rsid w:val="00C21735"/>
    <w:pPr>
      <w:jc w:val="center"/>
    </w:pPr>
    <w:rPr>
      <w:rFonts w:ascii="Arial" w:hAnsi="Arial"/>
      <w:smallCaps/>
      <w:sz w:val="52"/>
    </w:rPr>
  </w:style>
  <w:style w:type="paragraph" w:styleId="Textodeglobo">
    <w:name w:val="Balloon Text"/>
    <w:basedOn w:val="Normal"/>
    <w:link w:val="TextodegloboCar"/>
    <w:uiPriority w:val="99"/>
    <w:rsid w:val="008E1780"/>
    <w:rPr>
      <w:rFonts w:ascii="Tahoma" w:hAnsi="Tahoma" w:cs="Tahoma"/>
      <w:sz w:val="16"/>
      <w:szCs w:val="16"/>
    </w:rPr>
  </w:style>
  <w:style w:type="character" w:customStyle="1" w:styleId="TextodegloboCar">
    <w:name w:val="Texto de globo Car"/>
    <w:basedOn w:val="Fuentedeprrafopredeter"/>
    <w:link w:val="Textodeglobo"/>
    <w:uiPriority w:val="99"/>
    <w:rsid w:val="008E1780"/>
    <w:rPr>
      <w:rFonts w:ascii="Tahoma" w:hAnsi="Tahoma" w:cs="Tahoma"/>
      <w:sz w:val="16"/>
      <w:szCs w:val="16"/>
    </w:rPr>
  </w:style>
  <w:style w:type="paragraph" w:styleId="Prrafodelista">
    <w:name w:val="List Paragraph"/>
    <w:basedOn w:val="Normal"/>
    <w:uiPriority w:val="34"/>
    <w:qFormat/>
    <w:rsid w:val="00A35FB3"/>
    <w:pPr>
      <w:spacing w:after="200" w:line="276" w:lineRule="auto"/>
      <w:ind w:left="720"/>
      <w:contextualSpacing/>
    </w:pPr>
    <w:rPr>
      <w:rFonts w:asciiTheme="minorHAnsi" w:eastAsiaTheme="minorEastAsia" w:hAnsiTheme="minorHAnsi" w:cstheme="minorBidi"/>
      <w:sz w:val="22"/>
      <w:szCs w:val="22"/>
    </w:rPr>
  </w:style>
  <w:style w:type="paragraph" w:styleId="Encabezado">
    <w:name w:val="header"/>
    <w:basedOn w:val="Normal"/>
    <w:link w:val="EncabezadoCar"/>
    <w:uiPriority w:val="99"/>
    <w:unhideWhenUsed/>
    <w:rsid w:val="00A35FB3"/>
    <w:pPr>
      <w:tabs>
        <w:tab w:val="center" w:pos="4252"/>
        <w:tab w:val="right" w:pos="8504"/>
      </w:tabs>
    </w:pPr>
    <w:rPr>
      <w:rFonts w:asciiTheme="minorHAnsi" w:eastAsiaTheme="minorEastAsia" w:hAnsiTheme="minorHAnsi" w:cstheme="minorBidi"/>
      <w:sz w:val="22"/>
      <w:szCs w:val="22"/>
    </w:rPr>
  </w:style>
  <w:style w:type="character" w:customStyle="1" w:styleId="EncabezadoCar">
    <w:name w:val="Encabezado Car"/>
    <w:basedOn w:val="Fuentedeprrafopredeter"/>
    <w:link w:val="Encabezado"/>
    <w:uiPriority w:val="99"/>
    <w:rsid w:val="00A35FB3"/>
    <w:rPr>
      <w:rFonts w:asciiTheme="minorHAnsi" w:eastAsiaTheme="minorEastAsia" w:hAnsiTheme="minorHAnsi" w:cstheme="minorBidi"/>
      <w:sz w:val="22"/>
      <w:szCs w:val="22"/>
    </w:rPr>
  </w:style>
  <w:style w:type="paragraph" w:styleId="Piedepgina">
    <w:name w:val="footer"/>
    <w:basedOn w:val="Normal"/>
    <w:link w:val="PiedepginaCar"/>
    <w:uiPriority w:val="99"/>
    <w:unhideWhenUsed/>
    <w:rsid w:val="00A35FB3"/>
    <w:pPr>
      <w:tabs>
        <w:tab w:val="center" w:pos="4252"/>
        <w:tab w:val="right" w:pos="8504"/>
      </w:tabs>
    </w:pPr>
    <w:rPr>
      <w:rFonts w:asciiTheme="minorHAnsi" w:eastAsiaTheme="minorEastAsia" w:hAnsiTheme="minorHAnsi" w:cstheme="minorBidi"/>
      <w:sz w:val="22"/>
      <w:szCs w:val="22"/>
    </w:rPr>
  </w:style>
  <w:style w:type="character" w:customStyle="1" w:styleId="PiedepginaCar">
    <w:name w:val="Pie de página Car"/>
    <w:basedOn w:val="Fuentedeprrafopredeter"/>
    <w:link w:val="Piedepgina"/>
    <w:uiPriority w:val="99"/>
    <w:rsid w:val="00A35FB3"/>
    <w:rPr>
      <w:rFonts w:asciiTheme="minorHAnsi" w:eastAsiaTheme="minorEastAsia" w:hAnsiTheme="minorHAnsi" w:cstheme="minorBidi"/>
      <w:sz w:val="22"/>
      <w:szCs w:val="22"/>
    </w:rPr>
  </w:style>
  <w:style w:type="character" w:styleId="Hipervnculo">
    <w:name w:val="Hyperlink"/>
    <w:basedOn w:val="Fuentedeprrafopredeter"/>
    <w:uiPriority w:val="99"/>
    <w:unhideWhenUsed/>
    <w:rsid w:val="00A35FB3"/>
    <w:rPr>
      <w:color w:val="0000FF" w:themeColor="hyperlink"/>
      <w:u w:val="single"/>
    </w:rPr>
  </w:style>
  <w:style w:type="paragraph" w:styleId="Sinespaciado">
    <w:name w:val="No Spacing"/>
    <w:uiPriority w:val="1"/>
    <w:qFormat/>
    <w:rsid w:val="00A35FB3"/>
    <w:rPr>
      <w:rFonts w:asciiTheme="minorHAnsi" w:eastAsiaTheme="minorEastAsia" w:hAnsiTheme="minorHAnsi" w:cstheme="minorBidi"/>
      <w:sz w:val="22"/>
      <w:szCs w:val="22"/>
    </w:rPr>
  </w:style>
  <w:style w:type="character" w:styleId="Hipervnculovisitado">
    <w:name w:val="FollowedHyperlink"/>
    <w:basedOn w:val="Fuentedeprrafopredeter"/>
    <w:uiPriority w:val="99"/>
    <w:unhideWhenUsed/>
    <w:rsid w:val="00A35FB3"/>
    <w:rPr>
      <w:color w:val="800080" w:themeColor="followedHyperlink"/>
      <w:u w:val="single"/>
    </w:rPr>
  </w:style>
  <w:style w:type="paragraph" w:styleId="Lista">
    <w:name w:val="List"/>
    <w:basedOn w:val="Normal"/>
    <w:uiPriority w:val="99"/>
    <w:unhideWhenUsed/>
    <w:rsid w:val="00A35FB3"/>
    <w:pPr>
      <w:spacing w:after="200" w:line="276" w:lineRule="auto"/>
      <w:ind w:left="283" w:hanging="283"/>
      <w:contextualSpacing/>
    </w:pPr>
    <w:rPr>
      <w:rFonts w:asciiTheme="minorHAnsi" w:eastAsiaTheme="minorEastAsia" w:hAnsiTheme="minorHAnsi" w:cstheme="minorBidi"/>
      <w:sz w:val="22"/>
      <w:szCs w:val="22"/>
    </w:rPr>
  </w:style>
  <w:style w:type="paragraph" w:styleId="Lista2">
    <w:name w:val="List 2"/>
    <w:basedOn w:val="Normal"/>
    <w:uiPriority w:val="99"/>
    <w:unhideWhenUsed/>
    <w:rsid w:val="00A35FB3"/>
    <w:pPr>
      <w:spacing w:after="200" w:line="276" w:lineRule="auto"/>
      <w:ind w:left="566" w:hanging="283"/>
      <w:contextualSpacing/>
    </w:pPr>
    <w:rPr>
      <w:rFonts w:asciiTheme="minorHAnsi" w:eastAsiaTheme="minorEastAsia" w:hAnsiTheme="minorHAnsi" w:cstheme="minorBidi"/>
      <w:sz w:val="22"/>
      <w:szCs w:val="22"/>
    </w:rPr>
  </w:style>
  <w:style w:type="paragraph" w:styleId="Saludo">
    <w:name w:val="Salutation"/>
    <w:basedOn w:val="Normal"/>
    <w:next w:val="Normal"/>
    <w:link w:val="SaludoCar"/>
    <w:uiPriority w:val="99"/>
    <w:unhideWhenUsed/>
    <w:rsid w:val="00A35FB3"/>
    <w:pPr>
      <w:spacing w:after="200" w:line="276" w:lineRule="auto"/>
    </w:pPr>
    <w:rPr>
      <w:rFonts w:asciiTheme="minorHAnsi" w:eastAsiaTheme="minorEastAsia" w:hAnsiTheme="minorHAnsi" w:cstheme="minorBidi"/>
      <w:sz w:val="22"/>
      <w:szCs w:val="22"/>
    </w:rPr>
  </w:style>
  <w:style w:type="character" w:customStyle="1" w:styleId="SaludoCar">
    <w:name w:val="Saludo Car"/>
    <w:basedOn w:val="Fuentedeprrafopredeter"/>
    <w:link w:val="Saludo"/>
    <w:uiPriority w:val="99"/>
    <w:rsid w:val="00A35FB3"/>
    <w:rPr>
      <w:rFonts w:asciiTheme="minorHAnsi" w:eastAsiaTheme="minorEastAsia" w:hAnsiTheme="minorHAnsi" w:cstheme="minorBidi"/>
      <w:sz w:val="22"/>
      <w:szCs w:val="22"/>
    </w:rPr>
  </w:style>
  <w:style w:type="paragraph" w:styleId="Listaconvietas2">
    <w:name w:val="List Bullet 2"/>
    <w:basedOn w:val="Normal"/>
    <w:uiPriority w:val="99"/>
    <w:unhideWhenUsed/>
    <w:rsid w:val="00A35FB3"/>
    <w:pPr>
      <w:numPr>
        <w:numId w:val="27"/>
      </w:numPr>
      <w:spacing w:after="200" w:line="276" w:lineRule="auto"/>
      <w:contextualSpacing/>
    </w:pPr>
    <w:rPr>
      <w:rFonts w:asciiTheme="minorHAnsi" w:eastAsiaTheme="minorEastAsia" w:hAnsiTheme="minorHAnsi" w:cstheme="minorBidi"/>
      <w:sz w:val="22"/>
      <w:szCs w:val="22"/>
    </w:rPr>
  </w:style>
  <w:style w:type="paragraph" w:styleId="Listaconvietas3">
    <w:name w:val="List Bullet 3"/>
    <w:basedOn w:val="Normal"/>
    <w:uiPriority w:val="99"/>
    <w:unhideWhenUsed/>
    <w:rsid w:val="00A35FB3"/>
    <w:pPr>
      <w:numPr>
        <w:numId w:val="28"/>
      </w:numPr>
      <w:spacing w:after="200" w:line="276" w:lineRule="auto"/>
      <w:contextualSpacing/>
    </w:pPr>
    <w:rPr>
      <w:rFonts w:asciiTheme="minorHAnsi" w:eastAsiaTheme="minorEastAsia" w:hAnsiTheme="minorHAnsi" w:cstheme="minorBidi"/>
      <w:sz w:val="22"/>
      <w:szCs w:val="22"/>
    </w:rPr>
  </w:style>
  <w:style w:type="paragraph" w:styleId="Epgrafe">
    <w:name w:val="caption"/>
    <w:basedOn w:val="Normal"/>
    <w:next w:val="Normal"/>
    <w:uiPriority w:val="35"/>
    <w:unhideWhenUsed/>
    <w:qFormat/>
    <w:rsid w:val="00A35FB3"/>
    <w:pPr>
      <w:spacing w:after="200"/>
    </w:pPr>
    <w:rPr>
      <w:rFonts w:asciiTheme="minorHAnsi" w:eastAsiaTheme="minorEastAsia" w:hAnsiTheme="minorHAnsi" w:cstheme="minorBidi"/>
      <w:b/>
      <w:bCs/>
      <w:color w:val="4F81BD" w:themeColor="accent1"/>
      <w:sz w:val="18"/>
      <w:szCs w:val="18"/>
    </w:rPr>
  </w:style>
  <w:style w:type="character" w:customStyle="1" w:styleId="TextoindependienteCar">
    <w:name w:val="Texto independiente Car"/>
    <w:basedOn w:val="Fuentedeprrafopredeter"/>
    <w:uiPriority w:val="99"/>
    <w:rsid w:val="00A35FB3"/>
  </w:style>
  <w:style w:type="paragraph" w:styleId="Textoindependienteprimerasangra">
    <w:name w:val="Body Text First Indent"/>
    <w:basedOn w:val="Textoindependiente"/>
    <w:link w:val="TextoindependienteprimerasangraCar"/>
    <w:uiPriority w:val="99"/>
    <w:unhideWhenUsed/>
    <w:rsid w:val="00A35FB3"/>
    <w:pPr>
      <w:spacing w:after="200" w:line="276" w:lineRule="auto"/>
      <w:ind w:firstLine="360"/>
      <w:jc w:val="left"/>
    </w:pPr>
    <w:rPr>
      <w:rFonts w:asciiTheme="minorHAnsi" w:eastAsiaTheme="minorEastAsia" w:hAnsiTheme="minorHAnsi" w:cstheme="minorBidi"/>
      <w:sz w:val="22"/>
      <w:szCs w:val="22"/>
    </w:rPr>
  </w:style>
  <w:style w:type="character" w:customStyle="1" w:styleId="TextoindependienteprimerasangraCar">
    <w:name w:val="Texto independiente primera sangría Car"/>
    <w:basedOn w:val="TextoindependienteCar1"/>
    <w:link w:val="Textoindependienteprimerasangra"/>
    <w:uiPriority w:val="99"/>
    <w:rsid w:val="00A35FB3"/>
    <w:rPr>
      <w:rFonts w:asciiTheme="minorHAnsi" w:eastAsiaTheme="minorEastAsia" w:hAnsiTheme="minorHAnsi" w:cstheme="minorBidi"/>
      <w:sz w:val="22"/>
      <w:szCs w:val="22"/>
    </w:rPr>
  </w:style>
  <w:style w:type="paragraph" w:styleId="Sangradetextonormal">
    <w:name w:val="Body Text Indent"/>
    <w:basedOn w:val="Normal"/>
    <w:link w:val="SangradetextonormalCar"/>
    <w:uiPriority w:val="99"/>
    <w:unhideWhenUsed/>
    <w:rsid w:val="00A35FB3"/>
    <w:pPr>
      <w:spacing w:after="120" w:line="276" w:lineRule="auto"/>
      <w:ind w:left="283"/>
    </w:pPr>
    <w:rPr>
      <w:rFonts w:asciiTheme="minorHAnsi" w:eastAsiaTheme="minorEastAsia" w:hAnsiTheme="minorHAnsi" w:cstheme="minorBidi"/>
      <w:sz w:val="22"/>
      <w:szCs w:val="22"/>
    </w:rPr>
  </w:style>
  <w:style w:type="character" w:customStyle="1" w:styleId="SangradetextonormalCar">
    <w:name w:val="Sangría de texto normal Car"/>
    <w:basedOn w:val="Fuentedeprrafopredeter"/>
    <w:link w:val="Sangradetextonormal"/>
    <w:uiPriority w:val="99"/>
    <w:rsid w:val="00A35FB3"/>
    <w:rPr>
      <w:rFonts w:asciiTheme="minorHAnsi" w:eastAsiaTheme="minorEastAsia" w:hAnsiTheme="minorHAnsi" w:cstheme="minorBidi"/>
      <w:sz w:val="22"/>
      <w:szCs w:val="22"/>
    </w:rPr>
  </w:style>
  <w:style w:type="paragraph" w:styleId="Textoindependienteprimerasangra2">
    <w:name w:val="Body Text First Indent 2"/>
    <w:basedOn w:val="Sangradetextonormal"/>
    <w:link w:val="Textoindependienteprimerasangra2Car"/>
    <w:uiPriority w:val="99"/>
    <w:unhideWhenUsed/>
    <w:rsid w:val="00A35FB3"/>
    <w:pPr>
      <w:spacing w:after="200"/>
      <w:ind w:left="360" w:firstLine="360"/>
    </w:pPr>
  </w:style>
  <w:style w:type="character" w:customStyle="1" w:styleId="Textoindependienteprimerasangra2Car">
    <w:name w:val="Texto independiente primera sangría 2 Car"/>
    <w:basedOn w:val="SangradetextonormalCar"/>
    <w:link w:val="Textoindependienteprimerasangra2"/>
    <w:uiPriority w:val="99"/>
    <w:rsid w:val="00A35FB3"/>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s-ES" w:eastAsia="es-ES"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style>
  <w:style w:type="paragraph" w:styleId="Ttulo1">
    <w:name w:val="heading 1"/>
    <w:basedOn w:val="Normal"/>
    <w:next w:val="Normal"/>
    <w:qFormat/>
    <w:pPr>
      <w:keepNext/>
      <w:outlineLvl w:val="0"/>
    </w:pPr>
    <w:rPr>
      <w:rFonts w:ascii="Arial" w:hAnsi="Arial"/>
      <w:outline/>
      <w:color w:val="000000"/>
      <w:sz w:val="96"/>
      <w14:textOutline w14:w="9525" w14:cap="flat" w14:cmpd="sng" w14:algn="ctr">
        <w14:solidFill>
          <w14:srgbClr w14:val="000000"/>
        </w14:solidFill>
        <w14:prstDash w14:val="solid"/>
        <w14:round/>
      </w14:textOutline>
      <w14:textFill>
        <w14:noFill/>
      </w14:textFill>
    </w:rPr>
  </w:style>
  <w:style w:type="paragraph" w:styleId="Ttulo2">
    <w:name w:val="heading 2"/>
    <w:basedOn w:val="Normal"/>
    <w:next w:val="Normal"/>
    <w:qFormat/>
    <w:pPr>
      <w:keepNext/>
      <w:outlineLvl w:val="1"/>
    </w:pPr>
    <w:rPr>
      <w:rFonts w:ascii="Arial" w:hAnsi="Arial"/>
      <w:color w:val="C0C0C0"/>
      <w:sz w:val="56"/>
    </w:rPr>
  </w:style>
  <w:style w:type="paragraph" w:styleId="Ttulo3">
    <w:name w:val="heading 3"/>
    <w:basedOn w:val="Normal"/>
    <w:next w:val="Normal"/>
    <w:qFormat/>
    <w:pPr>
      <w:keepNext/>
      <w:jc w:val="center"/>
      <w:outlineLvl w:val="2"/>
    </w:pPr>
    <w:rPr>
      <w:rFonts w:ascii="NewBskvll BT" w:hAnsi="NewBskvll BT"/>
      <w:i/>
      <w:sz w:val="24"/>
    </w:rPr>
  </w:style>
  <w:style w:type="paragraph" w:styleId="Ttulo4">
    <w:name w:val="heading 4"/>
    <w:basedOn w:val="Normal"/>
    <w:next w:val="Normal"/>
    <w:qFormat/>
    <w:pPr>
      <w:keepNext/>
      <w:jc w:val="center"/>
      <w:outlineLvl w:val="3"/>
    </w:pPr>
    <w:rPr>
      <w:rFonts w:ascii="Arial" w:hAnsi="Arial"/>
      <w:sz w:val="32"/>
    </w:rPr>
  </w:style>
  <w:style w:type="paragraph" w:styleId="Ttulo5">
    <w:name w:val="heading 5"/>
    <w:basedOn w:val="Normal"/>
    <w:next w:val="Normal"/>
    <w:qFormat/>
    <w:pPr>
      <w:keepNext/>
      <w:outlineLvl w:val="4"/>
    </w:pPr>
    <w:rPr>
      <w:rFonts w:ascii="Arial" w:hAnsi="Arial"/>
      <w:b/>
      <w:sz w:val="32"/>
      <w:u w:val="single"/>
    </w:rPr>
  </w:style>
  <w:style w:type="paragraph" w:styleId="Ttulo6">
    <w:name w:val="heading 6"/>
    <w:basedOn w:val="Normal"/>
    <w:next w:val="Normal"/>
    <w:qFormat/>
    <w:pPr>
      <w:keepNext/>
      <w:jc w:val="center"/>
      <w:outlineLvl w:val="5"/>
    </w:pPr>
    <w:rPr>
      <w:rFonts w:ascii="NewBskvll BT" w:hAnsi="NewBskvll BT"/>
      <w:smallCaps/>
      <w:sz w:val="2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independiente">
    <w:name w:val="Body Text"/>
    <w:basedOn w:val="Normal"/>
    <w:pPr>
      <w:jc w:val="center"/>
    </w:pPr>
    <w:rPr>
      <w:sz w:val="48"/>
    </w:rPr>
  </w:style>
  <w:style w:type="paragraph" w:styleId="Textoindependiente2">
    <w:name w:val="Body Text 2"/>
    <w:basedOn w:val="Normal"/>
    <w:pPr>
      <w:jc w:val="center"/>
    </w:pPr>
    <w:rPr>
      <w:rFonts w:ascii="Arial" w:hAnsi="Arial"/>
      <w:smallCaps/>
      <w:sz w:val="52"/>
    </w:rPr>
  </w:style>
  <w:style w:type="paragraph" w:styleId="Textodeglobo">
    <w:name w:val="Balloon Text"/>
    <w:basedOn w:val="Normal"/>
    <w:link w:val="TextodegloboCar"/>
    <w:rsid w:val="008E1780"/>
    <w:rPr>
      <w:rFonts w:ascii="Tahoma" w:hAnsi="Tahoma" w:cs="Tahoma"/>
      <w:sz w:val="16"/>
      <w:szCs w:val="16"/>
    </w:rPr>
  </w:style>
  <w:style w:type="character" w:customStyle="1" w:styleId="TextodegloboCar">
    <w:name w:val="Texto de globo Car"/>
    <w:basedOn w:val="Fuentedeprrafopredeter"/>
    <w:link w:val="Textodeglobo"/>
    <w:rsid w:val="008E1780"/>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chart" Target="charts/chart3.xml"/><Relationship Id="rId18" Type="http://schemas.openxmlformats.org/officeDocument/2006/relationships/chart" Target="charts/chart8.xml"/><Relationship Id="rId26" Type="http://schemas.openxmlformats.org/officeDocument/2006/relationships/image" Target="media/image9.png"/><Relationship Id="rId39" Type="http://schemas.openxmlformats.org/officeDocument/2006/relationships/hyperlink" Target="http://www.elblogsalmon.com/mundo-laboral/nuevo-record-en-el-numero-de-parados-sin-prestacion" TargetMode="External"/><Relationship Id="rId3" Type="http://schemas.openxmlformats.org/officeDocument/2006/relationships/styles" Target="styles.xml"/><Relationship Id="rId21" Type="http://schemas.openxmlformats.org/officeDocument/2006/relationships/image" Target="media/image5.png"/><Relationship Id="rId34" Type="http://schemas.openxmlformats.org/officeDocument/2006/relationships/hyperlink" Target="http://www.fedea.net/activos/eventos/un-nuevo-impulso-a-la-creacion-de-empleo-en-espana.pdf" TargetMode="External"/><Relationship Id="rId42" Type="http://schemas.openxmlformats.org/officeDocument/2006/relationships/hyperlink" Target="https://www.mecd.gob.es/dctm/inee/documentos-de-trabajo/abandono-educativo-temprano.pdf?documentId=0901e72b8173034a" TargetMode="External"/><Relationship Id="rId47"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chart" Target="charts/chart2.xml"/><Relationship Id="rId17" Type="http://schemas.openxmlformats.org/officeDocument/2006/relationships/chart" Target="charts/chart7.xml"/><Relationship Id="rId25" Type="http://schemas.openxmlformats.org/officeDocument/2006/relationships/image" Target="media/image8.png"/><Relationship Id="rId33" Type="http://schemas.openxmlformats.org/officeDocument/2006/relationships/hyperlink" Target="http://espanol.doingbusiness.org/data/exploreeconomies/~/media/giawb/doing%20business/documents/profiles/country/ESP.pdf" TargetMode="External"/><Relationship Id="rId38" Type="http://schemas.openxmlformats.org/officeDocument/2006/relationships/hyperlink" Target="http://www.ine.es/inebaseDYN/epa30308/docs/resumetepa.pdf" TargetMode="External"/><Relationship Id="rId46"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chart" Target="charts/chart6.xml"/><Relationship Id="rId20" Type="http://schemas.openxmlformats.org/officeDocument/2006/relationships/image" Target="media/image4.png"/><Relationship Id="rId29" Type="http://schemas.openxmlformats.org/officeDocument/2006/relationships/image" Target="media/image11.png"/><Relationship Id="rId41" Type="http://schemas.openxmlformats.org/officeDocument/2006/relationships/hyperlink" Target="http://www.ugt.es/actualidad/2013/septiembre/b14_doc_temporalidad.pdf"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1.xml"/><Relationship Id="rId24" Type="http://schemas.openxmlformats.org/officeDocument/2006/relationships/image" Target="media/image7.png"/><Relationship Id="rId32" Type="http://schemas.openxmlformats.org/officeDocument/2006/relationships/hyperlink" Target="http://espanol.doingbusiness.org/data/exploreeconomies/spain" TargetMode="External"/><Relationship Id="rId37" Type="http://schemas.openxmlformats.org/officeDocument/2006/relationships/hyperlink" Target="file:///C:/Users/Usuario/Downloads/zoomPol18.pdf" TargetMode="External"/><Relationship Id="rId40" Type="http://schemas.openxmlformats.org/officeDocument/2006/relationships/hyperlink" Target="http://www.empleo.gob.es/es/estrategia-empleo-joven/descargas/EEEJ_Documento.pdf" TargetMode="External"/><Relationship Id="rId45"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chart" Target="charts/chart5.xml"/><Relationship Id="rId23" Type="http://schemas.openxmlformats.org/officeDocument/2006/relationships/chart" Target="charts/chart10.xml"/><Relationship Id="rId28" Type="http://schemas.openxmlformats.org/officeDocument/2006/relationships/chart" Target="charts/chart11.xml"/><Relationship Id="rId36" Type="http://schemas.openxmlformats.org/officeDocument/2006/relationships/hyperlink" Target="http://www.bbvaresearch.com/KETD/fbin/mult/WP_1130_tcm346-270043.pdf?ts=2152014" TargetMode="External"/><Relationship Id="rId10" Type="http://schemas.openxmlformats.org/officeDocument/2006/relationships/image" Target="media/image3.png"/><Relationship Id="rId19" Type="http://schemas.openxmlformats.org/officeDocument/2006/relationships/chart" Target="charts/chart9.xml"/><Relationship Id="rId31" Type="http://schemas.openxmlformats.org/officeDocument/2006/relationships/hyperlink" Target="file:///C:/Users/Usuario/Downloads/135art07%20(1).pdf" TargetMode="External"/><Relationship Id="rId44" Type="http://schemas.openxmlformats.org/officeDocument/2006/relationships/footer" Target="footer1.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chart" Target="charts/chart4.xml"/><Relationship Id="rId22" Type="http://schemas.openxmlformats.org/officeDocument/2006/relationships/image" Target="media/image6.png"/><Relationship Id="rId27" Type="http://schemas.openxmlformats.org/officeDocument/2006/relationships/image" Target="media/image10.png"/><Relationship Id="rId30" Type="http://schemas.openxmlformats.org/officeDocument/2006/relationships/image" Target="media/image12.png"/><Relationship Id="rId35" Type="http://schemas.openxmlformats.org/officeDocument/2006/relationships/hyperlink" Target="http://www.fundacionbankinter.org/es/publications/unemployment" TargetMode="External"/><Relationship Id="rId43" Type="http://schemas.openxmlformats.org/officeDocument/2006/relationships/hyperlink" Target="http://economia.elpais.com/economia/2014/03/07/actualidad/1394227355_704422.html" TargetMode="External"/></Relationships>
</file>

<file path=word/charts/_rels/chart1.xml.rels><?xml version="1.0" encoding="UTF-8" standalone="yes"?>
<Relationships xmlns="http://schemas.openxmlformats.org/package/2006/relationships"><Relationship Id="rId1" Type="http://schemas.openxmlformats.org/officeDocument/2006/relationships/oleObject" Target="file:///C:\Users\Usuario\Downloads\tabla_2524%20(1).xls" TargetMode="External"/></Relationships>
</file>

<file path=word/charts/_rels/chart10.xml.rels><?xml version="1.0" encoding="UTF-8" standalone="yes"?>
<Relationships xmlns="http://schemas.openxmlformats.org/package/2006/relationships"><Relationship Id="rId1" Type="http://schemas.openxmlformats.org/officeDocument/2006/relationships/oleObject" Target="file:///C:\Documents%20and%20Settings\Usuario\Mis%20documentos\Downloads\edat_lfse_14.xls" TargetMode="External"/></Relationships>
</file>

<file path=word/charts/_rels/chart11.xml.rels><?xml version="1.0" encoding="UTF-8" standalone="yes"?>
<Relationships xmlns="http://schemas.openxmlformats.org/package/2006/relationships"><Relationship Id="rId1" Type="http://schemas.openxmlformats.org/officeDocument/2006/relationships/oleObject" Target="file:///C:\Users\Usuario\Downloads\tabla_4671.xls"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Documents%20and%20Settings\Usuario\Mis%20documentos\Downloads\tabla_4086.xls"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C:\Documents%20and%20Settings\Usuario\Mis%20documentos\Downloads\une_rt_a.xls"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C:\Documents%20and%20Settings\Usuario\Mis%20documentos\Downloads\lfsq_ergan%20(1).xls"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file:///C:\Documents%20and%20Settings\Usuario\Mis%20documentos\Downloads\lfsa_eppga.xls" TargetMode="External"/></Relationships>
</file>

<file path=word/charts/_rels/chart6.xml.rels><?xml version="1.0" encoding="UTF-8" standalone="yes"?>
<Relationships xmlns="http://schemas.openxmlformats.org/package/2006/relationships"><Relationship Id="rId1" Type="http://schemas.openxmlformats.org/officeDocument/2006/relationships/oleObject" Target="file:///C:\Documents%20and%20Settings\Usuario\Mis%20documentos\Downloads\tabla_4086%20(1).xls" TargetMode="External"/></Relationships>
</file>

<file path=word/charts/_rels/chart7.xml.rels><?xml version="1.0" encoding="UTF-8" standalone="yes"?>
<Relationships xmlns="http://schemas.openxmlformats.org/package/2006/relationships"><Relationship Id="rId1" Type="http://schemas.openxmlformats.org/officeDocument/2006/relationships/oleObject" Target="file:///C:\Documents%20and%20Settings\Usuario\Mis%20documentos\Downloads\tabla_4092.xls" TargetMode="External"/></Relationships>
</file>

<file path=word/charts/_rels/chart8.xml.rels><?xml version="1.0" encoding="UTF-8" standalone="yes"?>
<Relationships xmlns="http://schemas.openxmlformats.org/package/2006/relationships"><Relationship Id="rId1" Type="http://schemas.openxmlformats.org/officeDocument/2006/relationships/oleObject" Target="file:///C:\Documents%20and%20Settings\Usuario\Mis%20documentos\Downloads\lfsq_urgan.xls" TargetMode="External"/></Relationships>
</file>

<file path=word/charts/_rels/chart9.xml.rels><?xml version="1.0" encoding="UTF-8" standalone="yes"?>
<Relationships xmlns="http://schemas.openxmlformats.org/package/2006/relationships"><Relationship Id="rId1" Type="http://schemas.openxmlformats.org/officeDocument/2006/relationships/oleObject" Target="file:///D:\Datos%20de%20Usuario\UJA\Downloads\pcaxis1199605500.xls"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es-ES"/>
  <c:chart>
    <c:plotArea>
      <c:layout/>
      <c:lineChart>
        <c:grouping val="standard"/>
        <c:ser>
          <c:idx val="0"/>
          <c:order val="0"/>
          <c:tx>
            <c:strRef>
              <c:f>'tabla-2524'!$A$16</c:f>
              <c:strCache>
                <c:ptCount val="1"/>
                <c:pt idx="0">
                  <c:v>   PIB p.m.</c:v>
                </c:pt>
              </c:strCache>
            </c:strRef>
          </c:tx>
          <c:cat>
            <c:numRef>
              <c:f>'tabla-2524'!$B$15:$O$15</c:f>
              <c:numCache>
                <c:formatCode>General</c:formatCode>
                <c:ptCount val="14"/>
                <c:pt idx="0">
                  <c:v>2000</c:v>
                </c:pt>
                <c:pt idx="1">
                  <c:v>2001</c:v>
                </c:pt>
                <c:pt idx="2">
                  <c:v>2002</c:v>
                </c:pt>
                <c:pt idx="3">
                  <c:v>2003</c:v>
                </c:pt>
                <c:pt idx="4">
                  <c:v>2004</c:v>
                </c:pt>
                <c:pt idx="5">
                  <c:v>2005</c:v>
                </c:pt>
                <c:pt idx="6">
                  <c:v>2006</c:v>
                </c:pt>
                <c:pt idx="7">
                  <c:v>2007</c:v>
                </c:pt>
                <c:pt idx="8">
                  <c:v>2008</c:v>
                </c:pt>
                <c:pt idx="9">
                  <c:v>2009</c:v>
                </c:pt>
                <c:pt idx="10">
                  <c:v>2010</c:v>
                </c:pt>
                <c:pt idx="11">
                  <c:v>2011</c:v>
                </c:pt>
                <c:pt idx="12">
                  <c:v>2012</c:v>
                </c:pt>
                <c:pt idx="13">
                  <c:v>2013</c:v>
                </c:pt>
              </c:numCache>
            </c:numRef>
          </c:cat>
          <c:val>
            <c:numRef>
              <c:f>'tabla-2524'!$B$16:$O$16</c:f>
              <c:numCache>
                <c:formatCode>General</c:formatCode>
                <c:ptCount val="14"/>
                <c:pt idx="0">
                  <c:v>4.7</c:v>
                </c:pt>
                <c:pt idx="1">
                  <c:v>3.2</c:v>
                </c:pt>
                <c:pt idx="2">
                  <c:v>2.7</c:v>
                </c:pt>
                <c:pt idx="3">
                  <c:v>3.3</c:v>
                </c:pt>
                <c:pt idx="4">
                  <c:v>3.1</c:v>
                </c:pt>
                <c:pt idx="5">
                  <c:v>4.0999999999999996</c:v>
                </c:pt>
                <c:pt idx="6">
                  <c:v>4</c:v>
                </c:pt>
                <c:pt idx="7">
                  <c:v>3.1</c:v>
                </c:pt>
                <c:pt idx="8">
                  <c:v>-1.4</c:v>
                </c:pt>
                <c:pt idx="9">
                  <c:v>-3.1</c:v>
                </c:pt>
                <c:pt idx="10">
                  <c:v>0.5</c:v>
                </c:pt>
                <c:pt idx="11">
                  <c:v>-0.60000000000000064</c:v>
                </c:pt>
                <c:pt idx="12">
                  <c:v>-2.1</c:v>
                </c:pt>
                <c:pt idx="13">
                  <c:v>-0.2</c:v>
                </c:pt>
              </c:numCache>
            </c:numRef>
          </c:val>
        </c:ser>
        <c:ser>
          <c:idx val="1"/>
          <c:order val="1"/>
          <c:tx>
            <c:strRef>
              <c:f>'tabla-2524'!$A$17</c:f>
              <c:strCache>
                <c:ptCount val="1"/>
                <c:pt idx="0">
                  <c:v>Empleo</c:v>
                </c:pt>
              </c:strCache>
            </c:strRef>
          </c:tx>
          <c:cat>
            <c:numRef>
              <c:f>'tabla-2524'!$B$15:$O$15</c:f>
              <c:numCache>
                <c:formatCode>General</c:formatCode>
                <c:ptCount val="14"/>
                <c:pt idx="0">
                  <c:v>2000</c:v>
                </c:pt>
                <c:pt idx="1">
                  <c:v>2001</c:v>
                </c:pt>
                <c:pt idx="2">
                  <c:v>2002</c:v>
                </c:pt>
                <c:pt idx="3">
                  <c:v>2003</c:v>
                </c:pt>
                <c:pt idx="4">
                  <c:v>2004</c:v>
                </c:pt>
                <c:pt idx="5">
                  <c:v>2005</c:v>
                </c:pt>
                <c:pt idx="6">
                  <c:v>2006</c:v>
                </c:pt>
                <c:pt idx="7">
                  <c:v>2007</c:v>
                </c:pt>
                <c:pt idx="8">
                  <c:v>2008</c:v>
                </c:pt>
                <c:pt idx="9">
                  <c:v>2009</c:v>
                </c:pt>
                <c:pt idx="10">
                  <c:v>2010</c:v>
                </c:pt>
                <c:pt idx="11">
                  <c:v>2011</c:v>
                </c:pt>
                <c:pt idx="12">
                  <c:v>2012</c:v>
                </c:pt>
                <c:pt idx="13">
                  <c:v>2013</c:v>
                </c:pt>
              </c:numCache>
            </c:numRef>
          </c:cat>
          <c:val>
            <c:numRef>
              <c:f>'tabla-2524'!$B$17:$O$17</c:f>
              <c:numCache>
                <c:formatCode>General</c:formatCode>
                <c:ptCount val="14"/>
                <c:pt idx="0">
                  <c:v>5.0999999999999996</c:v>
                </c:pt>
                <c:pt idx="1">
                  <c:v>2.2999999999999998</c:v>
                </c:pt>
                <c:pt idx="2">
                  <c:v>2.5</c:v>
                </c:pt>
                <c:pt idx="3">
                  <c:v>3.9</c:v>
                </c:pt>
                <c:pt idx="4">
                  <c:v>3.6</c:v>
                </c:pt>
                <c:pt idx="5">
                  <c:v>4.4000000000000004</c:v>
                </c:pt>
                <c:pt idx="6">
                  <c:v>3.5</c:v>
                </c:pt>
                <c:pt idx="7">
                  <c:v>2.5</c:v>
                </c:pt>
                <c:pt idx="8">
                  <c:v>-3</c:v>
                </c:pt>
                <c:pt idx="9">
                  <c:v>-5.8</c:v>
                </c:pt>
                <c:pt idx="10">
                  <c:v>-1.2</c:v>
                </c:pt>
                <c:pt idx="11">
                  <c:v>-2.9</c:v>
                </c:pt>
                <c:pt idx="12">
                  <c:v>-4.4000000000000004</c:v>
                </c:pt>
                <c:pt idx="13">
                  <c:v>-1.2</c:v>
                </c:pt>
              </c:numCache>
            </c:numRef>
          </c:val>
        </c:ser>
        <c:marker val="1"/>
        <c:axId val="88662784"/>
        <c:axId val="88664320"/>
      </c:lineChart>
      <c:dateAx>
        <c:axId val="88662784"/>
        <c:scaling>
          <c:orientation val="minMax"/>
        </c:scaling>
        <c:axPos val="b"/>
        <c:numFmt formatCode="General" sourceLinked="0"/>
        <c:tickLblPos val="low"/>
        <c:crossAx val="88664320"/>
        <c:crosses val="autoZero"/>
        <c:lblOffset val="100"/>
        <c:baseTimeUnit val="days"/>
      </c:dateAx>
      <c:valAx>
        <c:axId val="88664320"/>
        <c:scaling>
          <c:orientation val="minMax"/>
        </c:scaling>
        <c:axPos val="l"/>
        <c:majorGridlines/>
        <c:numFmt formatCode="General" sourceLinked="1"/>
        <c:tickLblPos val="nextTo"/>
        <c:crossAx val="88662784"/>
        <c:crosses val="autoZero"/>
        <c:crossBetween val="midCat"/>
      </c:valAx>
    </c:plotArea>
    <c:legend>
      <c:legendPos val="r"/>
      <c:layout>
        <c:manualLayout>
          <c:xMode val="edge"/>
          <c:yMode val="edge"/>
          <c:x val="0.8153782513166592"/>
          <c:y val="0.40492118062628241"/>
          <c:w val="0.15969124002244325"/>
          <c:h val="0.19015763874743538"/>
        </c:manualLayout>
      </c:layout>
    </c:legend>
    <c:plotVisOnly val="1"/>
  </c:chart>
  <c:spPr>
    <a:ln>
      <a:solidFill>
        <a:schemeClr val="tx1">
          <a:lumMod val="65000"/>
          <a:lumOff val="35000"/>
        </a:schemeClr>
      </a:solidFill>
    </a:ln>
  </c:spPr>
  <c:externalData r:id="rId1"/>
</c:chartSpace>
</file>

<file path=word/charts/chart10.xml><?xml version="1.0" encoding="utf-8"?>
<c:chartSpace xmlns:c="http://schemas.openxmlformats.org/drawingml/2006/chart" xmlns:a="http://schemas.openxmlformats.org/drawingml/2006/main" xmlns:r="http://schemas.openxmlformats.org/officeDocument/2006/relationships">
  <c:date1904 val="1"/>
  <c:lang val="es-ES"/>
  <c:chart>
    <c:plotArea>
      <c:layout/>
      <c:lineChart>
        <c:grouping val="standard"/>
        <c:ser>
          <c:idx val="0"/>
          <c:order val="0"/>
          <c:tx>
            <c:strRef>
              <c:f>[edat_lfse_14.xls]Data!$A$13</c:f>
              <c:strCache>
                <c:ptCount val="1"/>
                <c:pt idx="0">
                  <c:v>UE-27</c:v>
                </c:pt>
              </c:strCache>
            </c:strRef>
          </c:tx>
          <c:spPr>
            <a:ln>
              <a:prstDash val="sysDash"/>
            </a:ln>
          </c:spPr>
          <c:marker>
            <c:symbol val="none"/>
          </c:marker>
          <c:cat>
            <c:strRef>
              <c:f>[edat_lfse_14.xls]Data!$B$12:$O$12</c:f>
              <c:strCache>
                <c:ptCount val="14"/>
                <c:pt idx="0">
                  <c:v>2000</c:v>
                </c:pt>
                <c:pt idx="1">
                  <c:v>2001</c:v>
                </c:pt>
                <c:pt idx="2">
                  <c:v>2002</c:v>
                </c:pt>
                <c:pt idx="3">
                  <c:v>2003</c:v>
                </c:pt>
                <c:pt idx="4">
                  <c:v>2004</c:v>
                </c:pt>
                <c:pt idx="5">
                  <c:v>2005</c:v>
                </c:pt>
                <c:pt idx="6">
                  <c:v>2006</c:v>
                </c:pt>
                <c:pt idx="7">
                  <c:v>2007</c:v>
                </c:pt>
                <c:pt idx="8">
                  <c:v>2008</c:v>
                </c:pt>
                <c:pt idx="9">
                  <c:v>2009</c:v>
                </c:pt>
                <c:pt idx="10">
                  <c:v>2010</c:v>
                </c:pt>
                <c:pt idx="11">
                  <c:v>2011</c:v>
                </c:pt>
                <c:pt idx="12">
                  <c:v>2012</c:v>
                </c:pt>
                <c:pt idx="13">
                  <c:v>2013</c:v>
                </c:pt>
              </c:strCache>
            </c:strRef>
          </c:cat>
          <c:val>
            <c:numRef>
              <c:f>[edat_lfse_14.xls]Data!$B$13:$O$13</c:f>
              <c:numCache>
                <c:formatCode>#,##0.0</c:formatCode>
                <c:ptCount val="14"/>
                <c:pt idx="0">
                  <c:v>17.600000000000001</c:v>
                </c:pt>
                <c:pt idx="1">
                  <c:v>17.2</c:v>
                </c:pt>
                <c:pt idx="2">
                  <c:v>17</c:v>
                </c:pt>
                <c:pt idx="3">
                  <c:v>16.5</c:v>
                </c:pt>
                <c:pt idx="4">
                  <c:v>16.100000000000001</c:v>
                </c:pt>
                <c:pt idx="5">
                  <c:v>15.8</c:v>
                </c:pt>
                <c:pt idx="6">
                  <c:v>15.5</c:v>
                </c:pt>
                <c:pt idx="7">
                  <c:v>15</c:v>
                </c:pt>
                <c:pt idx="8">
                  <c:v>14.8</c:v>
                </c:pt>
                <c:pt idx="9">
                  <c:v>14.3</c:v>
                </c:pt>
                <c:pt idx="10">
                  <c:v>14</c:v>
                </c:pt>
                <c:pt idx="11">
                  <c:v>13.5</c:v>
                </c:pt>
                <c:pt idx="12">
                  <c:v>12.8</c:v>
                </c:pt>
                <c:pt idx="13">
                  <c:v>12</c:v>
                </c:pt>
              </c:numCache>
            </c:numRef>
          </c:val>
        </c:ser>
        <c:ser>
          <c:idx val="1"/>
          <c:order val="1"/>
          <c:tx>
            <c:strRef>
              <c:f>[edat_lfse_14.xls]Data!$A$14</c:f>
              <c:strCache>
                <c:ptCount val="1"/>
                <c:pt idx="0">
                  <c:v>España</c:v>
                </c:pt>
              </c:strCache>
            </c:strRef>
          </c:tx>
          <c:marker>
            <c:symbol val="none"/>
          </c:marker>
          <c:dLbls>
            <c:dLbl>
              <c:idx val="0"/>
              <c:layout>
                <c:manualLayout>
                  <c:x val="-4.7832585949178962E-2"/>
                  <c:y val="6.4814814814816116E-2"/>
                </c:manualLayout>
              </c:layout>
              <c:showVal val="1"/>
            </c:dLbl>
            <c:dLbl>
              <c:idx val="8"/>
              <c:layout>
                <c:manualLayout>
                  <c:x val="-3.5874439461883491E-2"/>
                  <c:y val="-4.1666666666666664E-2"/>
                </c:manualLayout>
              </c:layout>
              <c:showVal val="1"/>
            </c:dLbl>
            <c:dLbl>
              <c:idx val="13"/>
              <c:layout>
                <c:manualLayout>
                  <c:x val="-7.7727952167414044E-2"/>
                  <c:y val="4.1666666666666713E-2"/>
                </c:manualLayout>
              </c:layout>
              <c:showVal val="1"/>
            </c:dLbl>
            <c:delete val="1"/>
          </c:dLbls>
          <c:cat>
            <c:strRef>
              <c:f>[edat_lfse_14.xls]Data!$B$12:$O$12</c:f>
              <c:strCache>
                <c:ptCount val="14"/>
                <c:pt idx="0">
                  <c:v>2000</c:v>
                </c:pt>
                <c:pt idx="1">
                  <c:v>2001</c:v>
                </c:pt>
                <c:pt idx="2">
                  <c:v>2002</c:v>
                </c:pt>
                <c:pt idx="3">
                  <c:v>2003</c:v>
                </c:pt>
                <c:pt idx="4">
                  <c:v>2004</c:v>
                </c:pt>
                <c:pt idx="5">
                  <c:v>2005</c:v>
                </c:pt>
                <c:pt idx="6">
                  <c:v>2006</c:v>
                </c:pt>
                <c:pt idx="7">
                  <c:v>2007</c:v>
                </c:pt>
                <c:pt idx="8">
                  <c:v>2008</c:v>
                </c:pt>
                <c:pt idx="9">
                  <c:v>2009</c:v>
                </c:pt>
                <c:pt idx="10">
                  <c:v>2010</c:v>
                </c:pt>
                <c:pt idx="11">
                  <c:v>2011</c:v>
                </c:pt>
                <c:pt idx="12">
                  <c:v>2012</c:v>
                </c:pt>
                <c:pt idx="13">
                  <c:v>2013</c:v>
                </c:pt>
              </c:strCache>
            </c:strRef>
          </c:cat>
          <c:val>
            <c:numRef>
              <c:f>[edat_lfse_14.xls]Data!$B$14:$O$14</c:f>
              <c:numCache>
                <c:formatCode>#,##0.0</c:formatCode>
                <c:ptCount val="14"/>
                <c:pt idx="0">
                  <c:v>29.1</c:v>
                </c:pt>
                <c:pt idx="1">
                  <c:v>29.7</c:v>
                </c:pt>
                <c:pt idx="2">
                  <c:v>30.7</c:v>
                </c:pt>
                <c:pt idx="3">
                  <c:v>31.6</c:v>
                </c:pt>
                <c:pt idx="4">
                  <c:v>32</c:v>
                </c:pt>
                <c:pt idx="5">
                  <c:v>30.8</c:v>
                </c:pt>
                <c:pt idx="6">
                  <c:v>30.5</c:v>
                </c:pt>
                <c:pt idx="7">
                  <c:v>31</c:v>
                </c:pt>
                <c:pt idx="8">
                  <c:v>31.9</c:v>
                </c:pt>
                <c:pt idx="9">
                  <c:v>31.2</c:v>
                </c:pt>
                <c:pt idx="10">
                  <c:v>28.4</c:v>
                </c:pt>
                <c:pt idx="11">
                  <c:v>26.5</c:v>
                </c:pt>
                <c:pt idx="12">
                  <c:v>24.9</c:v>
                </c:pt>
                <c:pt idx="13">
                  <c:v>24.1</c:v>
                </c:pt>
              </c:numCache>
            </c:numRef>
          </c:val>
        </c:ser>
        <c:marker val="1"/>
        <c:axId val="84703872"/>
        <c:axId val="84705664"/>
      </c:lineChart>
      <c:catAx>
        <c:axId val="84703872"/>
        <c:scaling>
          <c:orientation val="minMax"/>
        </c:scaling>
        <c:axPos val="b"/>
        <c:tickLblPos val="nextTo"/>
        <c:crossAx val="84705664"/>
        <c:crosses val="autoZero"/>
        <c:auto val="1"/>
        <c:lblAlgn val="ctr"/>
        <c:lblOffset val="100"/>
      </c:catAx>
      <c:valAx>
        <c:axId val="84705664"/>
        <c:scaling>
          <c:orientation val="minMax"/>
        </c:scaling>
        <c:axPos val="l"/>
        <c:majorGridlines/>
        <c:numFmt formatCode="#,##0.0" sourceLinked="1"/>
        <c:tickLblPos val="nextTo"/>
        <c:crossAx val="84703872"/>
        <c:crosses val="autoZero"/>
        <c:crossBetween val="between"/>
      </c:valAx>
    </c:plotArea>
    <c:legend>
      <c:legendPos val="r"/>
      <c:layout>
        <c:manualLayout>
          <c:xMode val="edge"/>
          <c:yMode val="edge"/>
          <c:x val="0.78360227393100523"/>
          <c:y val="0.40239391951006132"/>
          <c:w val="0.19846050633805287"/>
          <c:h val="0.16743438320210294"/>
        </c:manualLayout>
      </c:layout>
    </c:legend>
    <c:plotVisOnly val="1"/>
    <c:dispBlanksAs val="gap"/>
  </c:chart>
  <c:spPr>
    <a:solidFill>
      <a:schemeClr val="bg2">
        <a:lumMod val="75000"/>
      </a:schemeClr>
    </a:solidFill>
    <a:ln w="9525" cap="flat" cmpd="sng" algn="ctr">
      <a:solidFill>
        <a:schemeClr val="accent1">
          <a:shade val="95000"/>
          <a:satMod val="105000"/>
        </a:schemeClr>
      </a:solidFill>
      <a:prstDash val="solid"/>
    </a:ln>
    <a:effectLst>
      <a:outerShdw blurRad="40000" dist="20000" dir="5400000" rotWithShape="0">
        <a:srgbClr val="000000">
          <a:alpha val="38000"/>
        </a:srgbClr>
      </a:outerShdw>
    </a:effectLst>
  </c:spPr>
  <c:txPr>
    <a:bodyPr/>
    <a:lstStyle/>
    <a:p>
      <a:pPr>
        <a:defRPr>
          <a:solidFill>
            <a:schemeClr val="dk1"/>
          </a:solidFill>
          <a:latin typeface="+mn-lt"/>
          <a:ea typeface="+mn-ea"/>
          <a:cs typeface="+mn-cs"/>
        </a:defRPr>
      </a:pPr>
      <a:endParaRPr lang="es-ES"/>
    </a:p>
  </c:txPr>
  <c:externalData r:id="rId1"/>
</c:chartSpace>
</file>

<file path=word/charts/chart11.xml><?xml version="1.0" encoding="utf-8"?>
<c:chartSpace xmlns:c="http://schemas.openxmlformats.org/drawingml/2006/chart" xmlns:a="http://schemas.openxmlformats.org/drawingml/2006/main" xmlns:r="http://schemas.openxmlformats.org/officeDocument/2006/relationships">
  <c:date1904 val="1"/>
  <c:lang val="es-ES"/>
  <c:chart>
    <c:plotArea>
      <c:layout>
        <c:manualLayout>
          <c:layoutTarget val="inner"/>
          <c:xMode val="edge"/>
          <c:yMode val="edge"/>
          <c:x val="6.2508817976700312E-2"/>
          <c:y val="7.4549066783318754E-2"/>
          <c:w val="0.73386600359165621"/>
          <c:h val="0.77516943715370057"/>
        </c:manualLayout>
      </c:layout>
      <c:lineChart>
        <c:grouping val="standard"/>
        <c:ser>
          <c:idx val="0"/>
          <c:order val="0"/>
          <c:tx>
            <c:strRef>
              <c:f>'tabla-4671'!$A$19</c:f>
              <c:strCache>
                <c:ptCount val="1"/>
                <c:pt idx="0">
                  <c:v>Total</c:v>
                </c:pt>
              </c:strCache>
            </c:strRef>
          </c:tx>
          <c:dLbls>
            <c:dLbl>
              <c:idx val="0"/>
              <c:layout>
                <c:manualLayout>
                  <c:x val="-2.1197668256491803E-2"/>
                  <c:y val="5.0793650793650794E-2"/>
                </c:manualLayout>
              </c:layout>
              <c:showVal val="1"/>
            </c:dLbl>
            <c:dLbl>
              <c:idx val="1"/>
              <c:layout>
                <c:manualLayout>
                  <c:x val="-1.9077901430842606E-2"/>
                  <c:y val="3.8095238095238099E-2"/>
                </c:manualLayout>
              </c:layout>
              <c:showVal val="1"/>
            </c:dLbl>
            <c:dLbl>
              <c:idx val="2"/>
              <c:layout>
                <c:manualLayout>
                  <c:x val="-3.391626921038686E-2"/>
                  <c:y val="-5.5026455026455028E-2"/>
                </c:manualLayout>
              </c:layout>
              <c:showVal val="1"/>
            </c:dLbl>
            <c:dLbl>
              <c:idx val="3"/>
              <c:layout>
                <c:manualLayout>
                  <c:x val="-3.391626921038686E-2"/>
                  <c:y val="-3.8095238095238099E-2"/>
                </c:manualLayout>
              </c:layout>
              <c:showVal val="1"/>
            </c:dLbl>
            <c:dLbl>
              <c:idx val="4"/>
              <c:layout>
                <c:manualLayout>
                  <c:x val="-3.391626921038686E-2"/>
                  <c:y val="-3.8095238095238099E-2"/>
                </c:manualLayout>
              </c:layout>
              <c:showVal val="1"/>
            </c:dLbl>
            <c:dLbl>
              <c:idx val="5"/>
              <c:layout>
                <c:manualLayout>
                  <c:x val="-3.391626921038686E-2"/>
                  <c:y val="-4.6560846560846546E-2"/>
                </c:manualLayout>
              </c:layout>
              <c:showVal val="1"/>
            </c:dLbl>
            <c:showVal val="1"/>
          </c:dLbls>
          <c:cat>
            <c:numRef>
              <c:f>'tabla-4671'!$B$18:$G$18</c:f>
              <c:numCache>
                <c:formatCode>General</c:formatCode>
                <c:ptCount val="6"/>
                <c:pt idx="0">
                  <c:v>2007</c:v>
                </c:pt>
                <c:pt idx="1">
                  <c:v>2008</c:v>
                </c:pt>
                <c:pt idx="2">
                  <c:v>2009</c:v>
                </c:pt>
                <c:pt idx="3">
                  <c:v>2010</c:v>
                </c:pt>
                <c:pt idx="4">
                  <c:v>2011</c:v>
                </c:pt>
                <c:pt idx="5">
                  <c:v>2012</c:v>
                </c:pt>
              </c:numCache>
            </c:numRef>
          </c:cat>
          <c:val>
            <c:numRef>
              <c:f>'tabla-4671'!$B$19:$G$19</c:f>
              <c:numCache>
                <c:formatCode>General</c:formatCode>
                <c:ptCount val="6"/>
                <c:pt idx="0">
                  <c:v>18.7</c:v>
                </c:pt>
                <c:pt idx="1">
                  <c:v>19.5</c:v>
                </c:pt>
                <c:pt idx="2">
                  <c:v>19.2</c:v>
                </c:pt>
                <c:pt idx="3">
                  <c:v>20.399999999999999</c:v>
                </c:pt>
                <c:pt idx="4">
                  <c:v>21</c:v>
                </c:pt>
                <c:pt idx="5">
                  <c:v>21</c:v>
                </c:pt>
              </c:numCache>
            </c:numRef>
          </c:val>
        </c:ser>
        <c:ser>
          <c:idx val="1"/>
          <c:order val="1"/>
          <c:tx>
            <c:strRef>
              <c:f>'tabla-4671'!$A$20</c:f>
              <c:strCache>
                <c:ptCount val="1"/>
                <c:pt idx="0">
                  <c:v>Ocupados</c:v>
                </c:pt>
              </c:strCache>
            </c:strRef>
          </c:tx>
          <c:dLbls>
            <c:dLbl>
              <c:idx val="0"/>
              <c:layout>
                <c:manualLayout>
                  <c:x val="-2.7556968733439342E-2"/>
                  <c:y val="5.9259259259259157E-2"/>
                </c:manualLayout>
              </c:layout>
              <c:showVal val="1"/>
            </c:dLbl>
            <c:dLbl>
              <c:idx val="1"/>
              <c:layout>
                <c:manualLayout>
                  <c:x val="-3.8155802861685212E-2"/>
                  <c:y val="5.5026455026455028E-2"/>
                </c:manualLayout>
              </c:layout>
              <c:showVal val="1"/>
            </c:dLbl>
            <c:dLbl>
              <c:idx val="2"/>
              <c:layout>
                <c:manualLayout>
                  <c:x val="-5.0874403815580414E-2"/>
                  <c:y val="6.3492063492063419E-2"/>
                </c:manualLayout>
              </c:layout>
              <c:showVal val="1"/>
            </c:dLbl>
            <c:dLbl>
              <c:idx val="3"/>
              <c:layout>
                <c:manualLayout>
                  <c:x val="-4.4515103338632803E-2"/>
                  <c:y val="6.3492063492063502E-2"/>
                </c:manualLayout>
              </c:layout>
              <c:showVal val="1"/>
            </c:dLbl>
            <c:dLbl>
              <c:idx val="4"/>
              <c:layout>
                <c:manualLayout>
                  <c:x val="-4.0275569687333819E-2"/>
                  <c:y val="6.3492063492063502E-2"/>
                </c:manualLayout>
              </c:layout>
              <c:showVal val="1"/>
            </c:dLbl>
            <c:dLbl>
              <c:idx val="5"/>
              <c:layout>
                <c:manualLayout>
                  <c:x val="-8.4790673025967548E-3"/>
                  <c:y val="-3.3862433862433865E-2"/>
                </c:manualLayout>
              </c:layout>
              <c:showVal val="1"/>
            </c:dLbl>
            <c:showVal val="1"/>
          </c:dLbls>
          <c:cat>
            <c:numRef>
              <c:f>'tabla-4671'!$B$18:$G$18</c:f>
              <c:numCache>
                <c:formatCode>General</c:formatCode>
                <c:ptCount val="6"/>
                <c:pt idx="0">
                  <c:v>2007</c:v>
                </c:pt>
                <c:pt idx="1">
                  <c:v>2008</c:v>
                </c:pt>
                <c:pt idx="2">
                  <c:v>2009</c:v>
                </c:pt>
                <c:pt idx="3">
                  <c:v>2010</c:v>
                </c:pt>
                <c:pt idx="4">
                  <c:v>2011</c:v>
                </c:pt>
                <c:pt idx="5">
                  <c:v>2012</c:v>
                </c:pt>
              </c:numCache>
            </c:numRef>
          </c:cat>
          <c:val>
            <c:numRef>
              <c:f>'tabla-4671'!$B$20:$G$20</c:f>
              <c:numCache>
                <c:formatCode>General</c:formatCode>
                <c:ptCount val="6"/>
                <c:pt idx="0">
                  <c:v>11.4</c:v>
                </c:pt>
                <c:pt idx="1">
                  <c:v>11.9</c:v>
                </c:pt>
                <c:pt idx="2">
                  <c:v>11.8</c:v>
                </c:pt>
                <c:pt idx="3">
                  <c:v>13.9</c:v>
                </c:pt>
                <c:pt idx="4">
                  <c:v>13.4</c:v>
                </c:pt>
                <c:pt idx="5">
                  <c:v>13.4</c:v>
                </c:pt>
              </c:numCache>
            </c:numRef>
          </c:val>
        </c:ser>
        <c:ser>
          <c:idx val="2"/>
          <c:order val="2"/>
          <c:tx>
            <c:strRef>
              <c:f>'tabla-4671'!$A$21</c:f>
              <c:strCache>
                <c:ptCount val="1"/>
                <c:pt idx="0">
                  <c:v>Parados</c:v>
                </c:pt>
              </c:strCache>
            </c:strRef>
          </c:tx>
          <c:dLbls>
            <c:dLbl>
              <c:idx val="0"/>
              <c:layout>
                <c:manualLayout>
                  <c:x val="-6.3593004769475553E-3"/>
                  <c:y val="-2.5396825396825397E-2"/>
                </c:manualLayout>
              </c:layout>
              <c:showVal val="1"/>
            </c:dLbl>
            <c:dLbl>
              <c:idx val="1"/>
              <c:layout>
                <c:manualLayout>
                  <c:x val="0"/>
                  <c:y val="-3.3862433862433865E-2"/>
                </c:manualLayout>
              </c:layout>
              <c:showVal val="1"/>
            </c:dLbl>
            <c:dLbl>
              <c:idx val="3"/>
              <c:layout>
                <c:manualLayout>
                  <c:x val="4.2395336512983904E-3"/>
                  <c:y val="4.6560846560846546E-2"/>
                </c:manualLayout>
              </c:layout>
              <c:showVal val="1"/>
            </c:dLbl>
            <c:dLbl>
              <c:idx val="5"/>
              <c:layout>
                <c:manualLayout>
                  <c:x val="-1.2718600953895052E-2"/>
                  <c:y val="-3.8095238095238099E-2"/>
                </c:manualLayout>
              </c:layout>
              <c:showVal val="1"/>
            </c:dLbl>
            <c:showVal val="1"/>
          </c:dLbls>
          <c:cat>
            <c:numRef>
              <c:f>'tabla-4671'!$B$18:$G$18</c:f>
              <c:numCache>
                <c:formatCode>General</c:formatCode>
                <c:ptCount val="6"/>
                <c:pt idx="0">
                  <c:v>2007</c:v>
                </c:pt>
                <c:pt idx="1">
                  <c:v>2008</c:v>
                </c:pt>
                <c:pt idx="2">
                  <c:v>2009</c:v>
                </c:pt>
                <c:pt idx="3">
                  <c:v>2010</c:v>
                </c:pt>
                <c:pt idx="4">
                  <c:v>2011</c:v>
                </c:pt>
                <c:pt idx="5">
                  <c:v>2012</c:v>
                </c:pt>
              </c:numCache>
            </c:numRef>
          </c:cat>
          <c:val>
            <c:numRef>
              <c:f>'tabla-4671'!$B$21:$G$21</c:f>
              <c:numCache>
                <c:formatCode>General</c:formatCode>
                <c:ptCount val="6"/>
                <c:pt idx="0">
                  <c:v>33.6</c:v>
                </c:pt>
                <c:pt idx="1">
                  <c:v>31.3</c:v>
                </c:pt>
                <c:pt idx="2">
                  <c:v>30.3</c:v>
                </c:pt>
                <c:pt idx="3">
                  <c:v>35.1</c:v>
                </c:pt>
                <c:pt idx="4">
                  <c:v>36.4</c:v>
                </c:pt>
                <c:pt idx="5">
                  <c:v>40.300000000000004</c:v>
                </c:pt>
              </c:numCache>
            </c:numRef>
          </c:val>
        </c:ser>
        <c:ser>
          <c:idx val="3"/>
          <c:order val="3"/>
          <c:tx>
            <c:strRef>
              <c:f>'tabla-4671'!$A$22</c:f>
              <c:strCache>
                <c:ptCount val="1"/>
                <c:pt idx="0">
                  <c:v>Jubilados</c:v>
                </c:pt>
              </c:strCache>
            </c:strRef>
          </c:tx>
          <c:dLbls>
            <c:dLbl>
              <c:idx val="0"/>
              <c:layout>
                <c:manualLayout>
                  <c:x val="-2.5437201907790252E-2"/>
                  <c:y val="-5.0793650793650794E-2"/>
                </c:manualLayout>
              </c:layout>
              <c:showVal val="1"/>
            </c:dLbl>
            <c:dLbl>
              <c:idx val="1"/>
              <c:layout>
                <c:manualLayout>
                  <c:x val="-1.9077901430842606E-2"/>
                  <c:y val="-3.8095238095238099E-2"/>
                </c:manualLayout>
              </c:layout>
              <c:showVal val="1"/>
            </c:dLbl>
            <c:dLbl>
              <c:idx val="2"/>
              <c:layout>
                <c:manualLayout>
                  <c:x val="-4.875463698993205E-2"/>
                  <c:y val="5.0793650793650794E-2"/>
                </c:manualLayout>
              </c:layout>
              <c:showVal val="1"/>
            </c:dLbl>
            <c:dLbl>
              <c:idx val="3"/>
              <c:layout>
                <c:manualLayout>
                  <c:x val="-1.2718600953895052E-2"/>
                  <c:y val="-2.1164021164021087E-2"/>
                </c:manualLayout>
              </c:layout>
              <c:showVal val="1"/>
            </c:dLbl>
            <c:dLbl>
              <c:idx val="4"/>
              <c:layout>
                <c:manualLayout>
                  <c:x val="-4.2395336512983904E-3"/>
                  <c:y val="-2.1164021164021087E-2"/>
                </c:manualLayout>
              </c:layout>
              <c:showVal val="1"/>
            </c:dLbl>
            <c:showVal val="1"/>
          </c:dLbls>
          <c:cat>
            <c:numRef>
              <c:f>'tabla-4671'!$B$18:$G$18</c:f>
              <c:numCache>
                <c:formatCode>General</c:formatCode>
                <c:ptCount val="6"/>
                <c:pt idx="0">
                  <c:v>2007</c:v>
                </c:pt>
                <c:pt idx="1">
                  <c:v>2008</c:v>
                </c:pt>
                <c:pt idx="2">
                  <c:v>2009</c:v>
                </c:pt>
                <c:pt idx="3">
                  <c:v>2010</c:v>
                </c:pt>
                <c:pt idx="4">
                  <c:v>2011</c:v>
                </c:pt>
                <c:pt idx="5">
                  <c:v>2012</c:v>
                </c:pt>
              </c:numCache>
            </c:numRef>
          </c:cat>
          <c:val>
            <c:numRef>
              <c:f>'tabla-4671'!$B$22:$G$22</c:f>
              <c:numCache>
                <c:formatCode>General</c:formatCode>
                <c:ptCount val="6"/>
                <c:pt idx="0">
                  <c:v>19.8</c:v>
                </c:pt>
                <c:pt idx="1">
                  <c:v>20.9</c:v>
                </c:pt>
                <c:pt idx="2">
                  <c:v>17.899999999999999</c:v>
                </c:pt>
                <c:pt idx="3">
                  <c:v>15.2</c:v>
                </c:pt>
                <c:pt idx="4">
                  <c:v>15</c:v>
                </c:pt>
                <c:pt idx="5">
                  <c:v>10.7</c:v>
                </c:pt>
              </c:numCache>
            </c:numRef>
          </c:val>
        </c:ser>
        <c:marker val="1"/>
        <c:axId val="84764928"/>
        <c:axId val="84770816"/>
      </c:lineChart>
      <c:catAx>
        <c:axId val="84764928"/>
        <c:scaling>
          <c:orientation val="minMax"/>
        </c:scaling>
        <c:axPos val="b"/>
        <c:numFmt formatCode="General" sourceLinked="1"/>
        <c:tickLblPos val="nextTo"/>
        <c:crossAx val="84770816"/>
        <c:crosses val="autoZero"/>
        <c:auto val="1"/>
        <c:lblAlgn val="ctr"/>
        <c:lblOffset val="100"/>
      </c:catAx>
      <c:valAx>
        <c:axId val="84770816"/>
        <c:scaling>
          <c:orientation val="minMax"/>
        </c:scaling>
        <c:axPos val="l"/>
        <c:majorGridlines/>
        <c:numFmt formatCode="General" sourceLinked="1"/>
        <c:tickLblPos val="nextTo"/>
        <c:crossAx val="84764928"/>
        <c:crosses val="autoZero"/>
        <c:crossBetween val="between"/>
      </c:valAx>
    </c:plotArea>
    <c:legend>
      <c:legendPos val="r"/>
    </c:legend>
    <c:plotVisOnly val="1"/>
  </c:chart>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es-ES"/>
  <c:chart>
    <c:autoTitleDeleted val="1"/>
    <c:plotArea>
      <c:layout/>
      <c:lineChart>
        <c:grouping val="standard"/>
        <c:ser>
          <c:idx val="0"/>
          <c:order val="0"/>
          <c:dLbls>
            <c:dLbl>
              <c:idx val="0"/>
              <c:layout>
                <c:manualLayout>
                  <c:x val="-4.6296296296296523E-2"/>
                  <c:y val="-9.661835748792276E-2"/>
                </c:manualLayout>
              </c:layout>
              <c:showVal val="1"/>
            </c:dLbl>
            <c:dLbl>
              <c:idx val="1"/>
              <c:layout>
                <c:manualLayout>
                  <c:x val="-4.1666666666666664E-2"/>
                  <c:y val="8.3735909822867077E-2"/>
                </c:manualLayout>
              </c:layout>
              <c:showVal val="1"/>
            </c:dLbl>
            <c:dLbl>
              <c:idx val="2"/>
              <c:layout>
                <c:manualLayout>
                  <c:x val="-3.9351851851851853E-2"/>
                  <c:y val="-4.5088566827697234E-2"/>
                </c:manualLayout>
              </c:layout>
              <c:showVal val="1"/>
            </c:dLbl>
            <c:dLbl>
              <c:idx val="3"/>
              <c:layout>
                <c:manualLayout>
                  <c:x val="-4.6296296296296523E-2"/>
                  <c:y val="9.0177133655394509E-2"/>
                </c:manualLayout>
              </c:layout>
              <c:showVal val="1"/>
            </c:dLbl>
            <c:dLbl>
              <c:idx val="4"/>
              <c:layout>
                <c:manualLayout>
                  <c:x val="-2.0833333333333412E-2"/>
                  <c:y val="-7.0853969340788983E-2"/>
                </c:manualLayout>
              </c:layout>
              <c:showVal val="1"/>
            </c:dLbl>
            <c:dLbl>
              <c:idx val="5"/>
              <c:layout>
                <c:manualLayout>
                  <c:x val="-4.8611111111111112E-2"/>
                  <c:y val="6.4412238325282228E-2"/>
                </c:manualLayout>
              </c:layout>
              <c:showVal val="1"/>
            </c:dLbl>
            <c:dLbl>
              <c:idx val="6"/>
              <c:layout>
                <c:manualLayout>
                  <c:x val="-2.7777777777778043E-2"/>
                  <c:y val="-9.6618357487922704E-2"/>
                </c:manualLayout>
              </c:layout>
              <c:showVal val="1"/>
            </c:dLbl>
            <c:dLbl>
              <c:idx val="7"/>
              <c:showVal val="1"/>
            </c:dLbl>
            <c:dLbl>
              <c:idx val="8"/>
              <c:layout>
                <c:manualLayout>
                  <c:x val="-1.3888888888888978E-2"/>
                  <c:y val="3.8647342995169323E-2"/>
                </c:manualLayout>
              </c:layout>
              <c:showVal val="1"/>
            </c:dLbl>
            <c:dLbl>
              <c:idx val="9"/>
              <c:layout>
                <c:manualLayout>
                  <c:x val="-5.5555555555555455E-2"/>
                  <c:y val="-7.7294685990338632E-2"/>
                </c:manualLayout>
              </c:layout>
              <c:showVal val="1"/>
            </c:dLbl>
            <c:dLbl>
              <c:idx val="10"/>
              <c:layout>
                <c:manualLayout>
                  <c:x val="-6.9444444444445716E-3"/>
                  <c:y val="5.7971014492753624E-2"/>
                </c:manualLayout>
              </c:layout>
              <c:showVal val="1"/>
            </c:dLbl>
            <c:dLbl>
              <c:idx val="11"/>
              <c:showVal val="1"/>
            </c:dLbl>
            <c:dLbl>
              <c:idx val="12"/>
              <c:layout>
                <c:manualLayout>
                  <c:x val="-6.9444444444444503E-2"/>
                  <c:y val="-7.7294685990338591E-2"/>
                </c:manualLayout>
              </c:layout>
              <c:showVal val="1"/>
            </c:dLbl>
            <c:dLbl>
              <c:idx val="13"/>
              <c:layout>
                <c:manualLayout>
                  <c:x val="-1.6203703703703703E-2"/>
                  <c:y val="-5.1529790660225387E-2"/>
                </c:manualLayout>
              </c:layout>
              <c:showVal val="1"/>
            </c:dLbl>
            <c:delete val="1"/>
          </c:dLbls>
          <c:cat>
            <c:numRef>
              <c:f>'tabla-4086'!$B$12:$O$12</c:f>
              <c:numCache>
                <c:formatCode>General</c:formatCode>
                <c:ptCount val="14"/>
                <c:pt idx="0">
                  <c:v>2000</c:v>
                </c:pt>
                <c:pt idx="1">
                  <c:v>2001</c:v>
                </c:pt>
                <c:pt idx="2">
                  <c:v>2002</c:v>
                </c:pt>
                <c:pt idx="3">
                  <c:v>2003</c:v>
                </c:pt>
                <c:pt idx="4">
                  <c:v>2004</c:v>
                </c:pt>
                <c:pt idx="5">
                  <c:v>2005</c:v>
                </c:pt>
                <c:pt idx="6">
                  <c:v>2006</c:v>
                </c:pt>
                <c:pt idx="7">
                  <c:v>2007</c:v>
                </c:pt>
                <c:pt idx="8">
                  <c:v>2008</c:v>
                </c:pt>
                <c:pt idx="9">
                  <c:v>2009</c:v>
                </c:pt>
                <c:pt idx="10">
                  <c:v>2010</c:v>
                </c:pt>
                <c:pt idx="11">
                  <c:v>2011</c:v>
                </c:pt>
                <c:pt idx="12">
                  <c:v>2012</c:v>
                </c:pt>
                <c:pt idx="13">
                  <c:v>2013</c:v>
                </c:pt>
              </c:numCache>
            </c:numRef>
          </c:cat>
          <c:val>
            <c:numRef>
              <c:f>'tabla-4086'!$B$13:$O$13</c:f>
              <c:numCache>
                <c:formatCode>General</c:formatCode>
                <c:ptCount val="14"/>
                <c:pt idx="0">
                  <c:v>13.42</c:v>
                </c:pt>
                <c:pt idx="1">
                  <c:v>10.629999999999999</c:v>
                </c:pt>
                <c:pt idx="2">
                  <c:v>11.61</c:v>
                </c:pt>
                <c:pt idx="3">
                  <c:v>11.370000000000006</c:v>
                </c:pt>
                <c:pt idx="4">
                  <c:v>10.53</c:v>
                </c:pt>
                <c:pt idx="5">
                  <c:v>8.7100000000000009</c:v>
                </c:pt>
                <c:pt idx="6">
                  <c:v>8.26</c:v>
                </c:pt>
                <c:pt idx="7">
                  <c:v>8.57</c:v>
                </c:pt>
                <c:pt idx="8">
                  <c:v>13.79</c:v>
                </c:pt>
                <c:pt idx="9">
                  <c:v>18.66</c:v>
                </c:pt>
                <c:pt idx="10">
                  <c:v>20.110000000000031</c:v>
                </c:pt>
                <c:pt idx="11">
                  <c:v>22.56</c:v>
                </c:pt>
                <c:pt idx="12">
                  <c:v>25.77</c:v>
                </c:pt>
                <c:pt idx="13">
                  <c:v>25.73</c:v>
                </c:pt>
              </c:numCache>
            </c:numRef>
          </c:val>
        </c:ser>
        <c:marker val="1"/>
        <c:axId val="90376832"/>
        <c:axId val="90441984"/>
      </c:lineChart>
      <c:catAx>
        <c:axId val="90376832"/>
        <c:scaling>
          <c:orientation val="minMax"/>
        </c:scaling>
        <c:axPos val="b"/>
        <c:numFmt formatCode="General" sourceLinked="1"/>
        <c:majorTickMark val="none"/>
        <c:tickLblPos val="nextTo"/>
        <c:crossAx val="90441984"/>
        <c:crosses val="autoZero"/>
        <c:auto val="1"/>
        <c:lblAlgn val="ctr"/>
        <c:lblOffset val="100"/>
      </c:catAx>
      <c:valAx>
        <c:axId val="90441984"/>
        <c:scaling>
          <c:orientation val="minMax"/>
        </c:scaling>
        <c:axPos val="l"/>
        <c:majorGridlines/>
        <c:numFmt formatCode="General" sourceLinked="1"/>
        <c:majorTickMark val="none"/>
        <c:tickLblPos val="nextTo"/>
        <c:spPr>
          <a:ln w="9525">
            <a:noFill/>
          </a:ln>
        </c:spPr>
        <c:crossAx val="90376832"/>
        <c:crosses val="autoZero"/>
        <c:crossBetween val="between"/>
      </c:valAx>
    </c:plotArea>
    <c:plotVisOnly val="1"/>
  </c:chart>
  <c:externalData r:id="rId1"/>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es-ES"/>
  <c:chart>
    <c:autoTitleDeleted val="1"/>
    <c:plotArea>
      <c:layout/>
      <c:lineChart>
        <c:grouping val="standard"/>
        <c:ser>
          <c:idx val="0"/>
          <c:order val="0"/>
          <c:tx>
            <c:strRef>
              <c:f>Data!$A$12</c:f>
              <c:strCache>
                <c:ptCount val="1"/>
                <c:pt idx="0">
                  <c:v>Unión Europea (27 países)</c:v>
                </c:pt>
              </c:strCache>
            </c:strRef>
          </c:tx>
          <c:dLbls>
            <c:dLbl>
              <c:idx val="13"/>
              <c:showVal val="1"/>
            </c:dLbl>
            <c:delete val="1"/>
          </c:dLbls>
          <c:cat>
            <c:strRef>
              <c:f>Data!$B$11:$O$11</c:f>
              <c:strCache>
                <c:ptCount val="14"/>
                <c:pt idx="0">
                  <c:v>2000</c:v>
                </c:pt>
                <c:pt idx="1">
                  <c:v>2001</c:v>
                </c:pt>
                <c:pt idx="2">
                  <c:v>2002</c:v>
                </c:pt>
                <c:pt idx="3">
                  <c:v>2003</c:v>
                </c:pt>
                <c:pt idx="4">
                  <c:v>2004</c:v>
                </c:pt>
                <c:pt idx="5">
                  <c:v>2005</c:v>
                </c:pt>
                <c:pt idx="6">
                  <c:v>2006</c:v>
                </c:pt>
                <c:pt idx="7">
                  <c:v>2007</c:v>
                </c:pt>
                <c:pt idx="8">
                  <c:v>2008</c:v>
                </c:pt>
                <c:pt idx="9">
                  <c:v>2009</c:v>
                </c:pt>
                <c:pt idx="10">
                  <c:v>2010</c:v>
                </c:pt>
                <c:pt idx="11">
                  <c:v>2011</c:v>
                </c:pt>
                <c:pt idx="12">
                  <c:v>2012</c:v>
                </c:pt>
                <c:pt idx="13">
                  <c:v>2013</c:v>
                </c:pt>
              </c:strCache>
            </c:strRef>
          </c:cat>
          <c:val>
            <c:numRef>
              <c:f>Data!$B$12:$O$12</c:f>
              <c:numCache>
                <c:formatCode>#,##0.0</c:formatCode>
                <c:ptCount val="14"/>
                <c:pt idx="0">
                  <c:v>8.8000000000000007</c:v>
                </c:pt>
                <c:pt idx="1">
                  <c:v>8.6</c:v>
                </c:pt>
                <c:pt idx="2">
                  <c:v>8.9</c:v>
                </c:pt>
                <c:pt idx="3">
                  <c:v>9.1</c:v>
                </c:pt>
                <c:pt idx="4">
                  <c:v>9.2000000000000011</c:v>
                </c:pt>
                <c:pt idx="5">
                  <c:v>9</c:v>
                </c:pt>
                <c:pt idx="6">
                  <c:v>8.2000000000000011</c:v>
                </c:pt>
                <c:pt idx="7">
                  <c:v>7.2</c:v>
                </c:pt>
                <c:pt idx="8">
                  <c:v>7</c:v>
                </c:pt>
                <c:pt idx="9">
                  <c:v>8.9</c:v>
                </c:pt>
                <c:pt idx="10">
                  <c:v>9.6</c:v>
                </c:pt>
                <c:pt idx="11">
                  <c:v>9.6</c:v>
                </c:pt>
                <c:pt idx="12">
                  <c:v>10.4</c:v>
                </c:pt>
                <c:pt idx="13">
                  <c:v>10.8</c:v>
                </c:pt>
              </c:numCache>
            </c:numRef>
          </c:val>
        </c:ser>
        <c:ser>
          <c:idx val="1"/>
          <c:order val="1"/>
          <c:tx>
            <c:strRef>
              <c:f>Data!$A$13</c:f>
              <c:strCache>
                <c:ptCount val="1"/>
                <c:pt idx="0">
                  <c:v>España</c:v>
                </c:pt>
              </c:strCache>
            </c:strRef>
          </c:tx>
          <c:dLbls>
            <c:dLbl>
              <c:idx val="13"/>
              <c:showVal val="1"/>
            </c:dLbl>
            <c:delete val="1"/>
          </c:dLbls>
          <c:cat>
            <c:strRef>
              <c:f>Data!$B$11:$O$11</c:f>
              <c:strCache>
                <c:ptCount val="14"/>
                <c:pt idx="0">
                  <c:v>2000</c:v>
                </c:pt>
                <c:pt idx="1">
                  <c:v>2001</c:v>
                </c:pt>
                <c:pt idx="2">
                  <c:v>2002</c:v>
                </c:pt>
                <c:pt idx="3">
                  <c:v>2003</c:v>
                </c:pt>
                <c:pt idx="4">
                  <c:v>2004</c:v>
                </c:pt>
                <c:pt idx="5">
                  <c:v>2005</c:v>
                </c:pt>
                <c:pt idx="6">
                  <c:v>2006</c:v>
                </c:pt>
                <c:pt idx="7">
                  <c:v>2007</c:v>
                </c:pt>
                <c:pt idx="8">
                  <c:v>2008</c:v>
                </c:pt>
                <c:pt idx="9">
                  <c:v>2009</c:v>
                </c:pt>
                <c:pt idx="10">
                  <c:v>2010</c:v>
                </c:pt>
                <c:pt idx="11">
                  <c:v>2011</c:v>
                </c:pt>
                <c:pt idx="12">
                  <c:v>2012</c:v>
                </c:pt>
                <c:pt idx="13">
                  <c:v>2013</c:v>
                </c:pt>
              </c:strCache>
            </c:strRef>
          </c:cat>
          <c:val>
            <c:numRef>
              <c:f>Data!$B$13:$O$13</c:f>
              <c:numCache>
                <c:formatCode>#,##0.0</c:formatCode>
                <c:ptCount val="14"/>
                <c:pt idx="0">
                  <c:v>11.9</c:v>
                </c:pt>
                <c:pt idx="1">
                  <c:v>10.6</c:v>
                </c:pt>
                <c:pt idx="2">
                  <c:v>11.5</c:v>
                </c:pt>
                <c:pt idx="3">
                  <c:v>11.5</c:v>
                </c:pt>
                <c:pt idx="4">
                  <c:v>11</c:v>
                </c:pt>
                <c:pt idx="5">
                  <c:v>9.2000000000000011</c:v>
                </c:pt>
                <c:pt idx="6">
                  <c:v>8.5</c:v>
                </c:pt>
                <c:pt idx="7">
                  <c:v>8.2000000000000011</c:v>
                </c:pt>
                <c:pt idx="8">
                  <c:v>11.3</c:v>
                </c:pt>
                <c:pt idx="9">
                  <c:v>17.899999999999999</c:v>
                </c:pt>
                <c:pt idx="10">
                  <c:v>19.899999999999999</c:v>
                </c:pt>
                <c:pt idx="11">
                  <c:v>21.4</c:v>
                </c:pt>
                <c:pt idx="12">
                  <c:v>24.8</c:v>
                </c:pt>
                <c:pt idx="13">
                  <c:v>26.1</c:v>
                </c:pt>
              </c:numCache>
            </c:numRef>
          </c:val>
        </c:ser>
        <c:ser>
          <c:idx val="2"/>
          <c:order val="2"/>
          <c:tx>
            <c:strRef>
              <c:f>Data!$A$14</c:f>
              <c:strCache>
                <c:ptCount val="1"/>
                <c:pt idx="0">
                  <c:v>Estados Unidos</c:v>
                </c:pt>
              </c:strCache>
            </c:strRef>
          </c:tx>
          <c:dLbls>
            <c:dLbl>
              <c:idx val="13"/>
              <c:showVal val="1"/>
            </c:dLbl>
            <c:delete val="1"/>
          </c:dLbls>
          <c:cat>
            <c:strRef>
              <c:f>Data!$B$11:$O$11</c:f>
              <c:strCache>
                <c:ptCount val="14"/>
                <c:pt idx="0">
                  <c:v>2000</c:v>
                </c:pt>
                <c:pt idx="1">
                  <c:v>2001</c:v>
                </c:pt>
                <c:pt idx="2">
                  <c:v>2002</c:v>
                </c:pt>
                <c:pt idx="3">
                  <c:v>2003</c:v>
                </c:pt>
                <c:pt idx="4">
                  <c:v>2004</c:v>
                </c:pt>
                <c:pt idx="5">
                  <c:v>2005</c:v>
                </c:pt>
                <c:pt idx="6">
                  <c:v>2006</c:v>
                </c:pt>
                <c:pt idx="7">
                  <c:v>2007</c:v>
                </c:pt>
                <c:pt idx="8">
                  <c:v>2008</c:v>
                </c:pt>
                <c:pt idx="9">
                  <c:v>2009</c:v>
                </c:pt>
                <c:pt idx="10">
                  <c:v>2010</c:v>
                </c:pt>
                <c:pt idx="11">
                  <c:v>2011</c:v>
                </c:pt>
                <c:pt idx="12">
                  <c:v>2012</c:v>
                </c:pt>
                <c:pt idx="13">
                  <c:v>2013</c:v>
                </c:pt>
              </c:strCache>
            </c:strRef>
          </c:cat>
          <c:val>
            <c:numRef>
              <c:f>Data!$B$14:$O$14</c:f>
              <c:numCache>
                <c:formatCode>#,##0.0</c:formatCode>
                <c:ptCount val="14"/>
                <c:pt idx="0">
                  <c:v>4</c:v>
                </c:pt>
                <c:pt idx="1">
                  <c:v>4.8</c:v>
                </c:pt>
                <c:pt idx="2">
                  <c:v>5.8</c:v>
                </c:pt>
                <c:pt idx="3">
                  <c:v>6</c:v>
                </c:pt>
                <c:pt idx="4">
                  <c:v>5.5</c:v>
                </c:pt>
                <c:pt idx="5">
                  <c:v>5.0999999999999996</c:v>
                </c:pt>
                <c:pt idx="6">
                  <c:v>4.5999999999999996</c:v>
                </c:pt>
                <c:pt idx="7">
                  <c:v>4.5999999999999996</c:v>
                </c:pt>
                <c:pt idx="8">
                  <c:v>5.8</c:v>
                </c:pt>
                <c:pt idx="9">
                  <c:v>9.3000000000000007</c:v>
                </c:pt>
                <c:pt idx="10">
                  <c:v>9.6</c:v>
                </c:pt>
                <c:pt idx="11">
                  <c:v>8.9</c:v>
                </c:pt>
                <c:pt idx="12">
                  <c:v>8.1</c:v>
                </c:pt>
                <c:pt idx="13">
                  <c:v>7.4</c:v>
                </c:pt>
              </c:numCache>
            </c:numRef>
          </c:val>
        </c:ser>
        <c:marker val="1"/>
        <c:axId val="90670208"/>
        <c:axId val="90672512"/>
      </c:lineChart>
      <c:catAx>
        <c:axId val="90670208"/>
        <c:scaling>
          <c:orientation val="minMax"/>
        </c:scaling>
        <c:axPos val="b"/>
        <c:majorTickMark val="none"/>
        <c:tickLblPos val="nextTo"/>
        <c:crossAx val="90672512"/>
        <c:crosses val="autoZero"/>
        <c:auto val="1"/>
        <c:lblAlgn val="ctr"/>
        <c:lblOffset val="100"/>
      </c:catAx>
      <c:valAx>
        <c:axId val="90672512"/>
        <c:scaling>
          <c:orientation val="minMax"/>
        </c:scaling>
        <c:axPos val="l"/>
        <c:majorGridlines/>
        <c:numFmt formatCode="#,##0.0" sourceLinked="1"/>
        <c:majorTickMark val="none"/>
        <c:tickLblPos val="nextTo"/>
        <c:spPr>
          <a:ln w="9525">
            <a:noFill/>
          </a:ln>
        </c:spPr>
        <c:crossAx val="90670208"/>
        <c:crosses val="autoZero"/>
        <c:crossBetween val="between"/>
      </c:valAx>
    </c:plotArea>
    <c:legend>
      <c:legendPos val="b"/>
    </c:legend>
    <c:plotVisOnly val="1"/>
  </c:chart>
  <c:spPr>
    <a:ln>
      <a:solidFill>
        <a:schemeClr val="tx1">
          <a:lumMod val="65000"/>
          <a:lumOff val="35000"/>
        </a:schemeClr>
      </a:solidFill>
    </a:ln>
  </c:spPr>
  <c:externalData r:id="rId1"/>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es-ES"/>
  <c:chart>
    <c:plotArea>
      <c:layout/>
      <c:lineChart>
        <c:grouping val="standard"/>
        <c:ser>
          <c:idx val="0"/>
          <c:order val="0"/>
          <c:tx>
            <c:strRef>
              <c:f>Data!$A$12</c:f>
              <c:strCache>
                <c:ptCount val="1"/>
                <c:pt idx="0">
                  <c:v>Unión Europea (27 países)</c:v>
                </c:pt>
              </c:strCache>
            </c:strRef>
          </c:tx>
          <c:marker>
            <c:symbol val="none"/>
          </c:marker>
          <c:dLbls>
            <c:dLbl>
              <c:idx val="13"/>
              <c:layout>
                <c:manualLayout>
                  <c:x val="1.3490725126475641E-2"/>
                  <c:y val="9.4228504122497812E-3"/>
                </c:manualLayout>
              </c:layout>
              <c:showVal val="1"/>
            </c:dLbl>
            <c:delete val="1"/>
          </c:dLbls>
          <c:cat>
            <c:numRef>
              <c:f>Data!$B$11:$O$11</c:f>
              <c:numCache>
                <c:formatCode>General</c:formatCode>
                <c:ptCount val="14"/>
                <c:pt idx="0">
                  <c:v>2000</c:v>
                </c:pt>
                <c:pt idx="1">
                  <c:v>2001</c:v>
                </c:pt>
                <c:pt idx="2">
                  <c:v>2002</c:v>
                </c:pt>
                <c:pt idx="3">
                  <c:v>2003</c:v>
                </c:pt>
                <c:pt idx="4">
                  <c:v>2004</c:v>
                </c:pt>
                <c:pt idx="5">
                  <c:v>2005</c:v>
                </c:pt>
                <c:pt idx="6">
                  <c:v>2006</c:v>
                </c:pt>
                <c:pt idx="7">
                  <c:v>2007</c:v>
                </c:pt>
                <c:pt idx="8">
                  <c:v>2008</c:v>
                </c:pt>
                <c:pt idx="9">
                  <c:v>2009</c:v>
                </c:pt>
                <c:pt idx="10">
                  <c:v>2010</c:v>
                </c:pt>
                <c:pt idx="11">
                  <c:v>2011</c:v>
                </c:pt>
                <c:pt idx="12">
                  <c:v>2012</c:v>
                </c:pt>
                <c:pt idx="13">
                  <c:v>2013</c:v>
                </c:pt>
              </c:numCache>
            </c:numRef>
          </c:cat>
          <c:val>
            <c:numRef>
              <c:f>Data!$B$12:$O$12</c:f>
              <c:numCache>
                <c:formatCode>General</c:formatCode>
                <c:ptCount val="14"/>
                <c:pt idx="5" formatCode="#,##0.0">
                  <c:v>63.7</c:v>
                </c:pt>
                <c:pt idx="6" formatCode="#,##0.0">
                  <c:v>64.7</c:v>
                </c:pt>
                <c:pt idx="7" formatCode="#,##0.0">
                  <c:v>65.599999999999994</c:v>
                </c:pt>
                <c:pt idx="8" formatCode="#,##0.0">
                  <c:v>65.7</c:v>
                </c:pt>
                <c:pt idx="9" formatCode="#,##0.0">
                  <c:v>64.2</c:v>
                </c:pt>
                <c:pt idx="10" formatCode="#,##0.0">
                  <c:v>64.2</c:v>
                </c:pt>
                <c:pt idx="11" formatCode="#,##0.0">
                  <c:v>64.2</c:v>
                </c:pt>
                <c:pt idx="12" formatCode="#,##0.0">
                  <c:v>64.2</c:v>
                </c:pt>
                <c:pt idx="13" formatCode="#,##0.0">
                  <c:v>64.5</c:v>
                </c:pt>
              </c:numCache>
            </c:numRef>
          </c:val>
        </c:ser>
        <c:ser>
          <c:idx val="1"/>
          <c:order val="1"/>
          <c:tx>
            <c:strRef>
              <c:f>Data!$A$13</c:f>
              <c:strCache>
                <c:ptCount val="1"/>
                <c:pt idx="0">
                  <c:v>Alemania</c:v>
                </c:pt>
              </c:strCache>
            </c:strRef>
          </c:tx>
          <c:marker>
            <c:symbol val="none"/>
          </c:marker>
          <c:dLbls>
            <c:dLbl>
              <c:idx val="13"/>
              <c:layout>
                <c:manualLayout>
                  <c:x val="8.2442367836084199E-17"/>
                  <c:y val="-2.8268551236748856E-2"/>
                </c:manualLayout>
              </c:layout>
              <c:showVal val="1"/>
            </c:dLbl>
            <c:delete val="1"/>
          </c:dLbls>
          <c:cat>
            <c:numRef>
              <c:f>Data!$B$11:$O$11</c:f>
              <c:numCache>
                <c:formatCode>General</c:formatCode>
                <c:ptCount val="14"/>
                <c:pt idx="0">
                  <c:v>2000</c:v>
                </c:pt>
                <c:pt idx="1">
                  <c:v>2001</c:v>
                </c:pt>
                <c:pt idx="2">
                  <c:v>2002</c:v>
                </c:pt>
                <c:pt idx="3">
                  <c:v>2003</c:v>
                </c:pt>
                <c:pt idx="4">
                  <c:v>2004</c:v>
                </c:pt>
                <c:pt idx="5">
                  <c:v>2005</c:v>
                </c:pt>
                <c:pt idx="6">
                  <c:v>2006</c:v>
                </c:pt>
                <c:pt idx="7">
                  <c:v>2007</c:v>
                </c:pt>
                <c:pt idx="8">
                  <c:v>2008</c:v>
                </c:pt>
                <c:pt idx="9">
                  <c:v>2009</c:v>
                </c:pt>
                <c:pt idx="10">
                  <c:v>2010</c:v>
                </c:pt>
                <c:pt idx="11">
                  <c:v>2011</c:v>
                </c:pt>
                <c:pt idx="12">
                  <c:v>2012</c:v>
                </c:pt>
                <c:pt idx="13">
                  <c:v>2013</c:v>
                </c:pt>
              </c:numCache>
            </c:numRef>
          </c:cat>
          <c:val>
            <c:numRef>
              <c:f>Data!$B$13:$O$13</c:f>
              <c:numCache>
                <c:formatCode>General</c:formatCode>
                <c:ptCount val="14"/>
                <c:pt idx="5" formatCode="#,##0.0">
                  <c:v>65.900000000000006</c:v>
                </c:pt>
                <c:pt idx="6" formatCode="#,##0.0">
                  <c:v>67.900000000000006</c:v>
                </c:pt>
                <c:pt idx="7" formatCode="#,##0.0">
                  <c:v>69.599999999999994</c:v>
                </c:pt>
                <c:pt idx="8" formatCode="#,##0.0">
                  <c:v>70.7</c:v>
                </c:pt>
                <c:pt idx="9" formatCode="#,##0.0">
                  <c:v>71.099999999999994</c:v>
                </c:pt>
                <c:pt idx="10" formatCode="#,##0.0">
                  <c:v>71.7</c:v>
                </c:pt>
                <c:pt idx="11" formatCode="#,##0.0">
                  <c:v>73.3</c:v>
                </c:pt>
                <c:pt idx="12" formatCode="#,##0.0">
                  <c:v>73.3</c:v>
                </c:pt>
                <c:pt idx="13" formatCode="#,##0.0">
                  <c:v>73.7</c:v>
                </c:pt>
              </c:numCache>
            </c:numRef>
          </c:val>
        </c:ser>
        <c:ser>
          <c:idx val="2"/>
          <c:order val="2"/>
          <c:tx>
            <c:strRef>
              <c:f>Data!$A$14</c:f>
              <c:strCache>
                <c:ptCount val="1"/>
                <c:pt idx="0">
                  <c:v>España</c:v>
                </c:pt>
              </c:strCache>
            </c:strRef>
          </c:tx>
          <c:marker>
            <c:symbol val="none"/>
          </c:marker>
          <c:dLbls>
            <c:dLbl>
              <c:idx val="13"/>
              <c:showVal val="1"/>
            </c:dLbl>
            <c:delete val="1"/>
          </c:dLbls>
          <c:cat>
            <c:numRef>
              <c:f>Data!$B$11:$O$11</c:f>
              <c:numCache>
                <c:formatCode>General</c:formatCode>
                <c:ptCount val="14"/>
                <c:pt idx="0">
                  <c:v>2000</c:v>
                </c:pt>
                <c:pt idx="1">
                  <c:v>2001</c:v>
                </c:pt>
                <c:pt idx="2">
                  <c:v>2002</c:v>
                </c:pt>
                <c:pt idx="3">
                  <c:v>2003</c:v>
                </c:pt>
                <c:pt idx="4">
                  <c:v>2004</c:v>
                </c:pt>
                <c:pt idx="5">
                  <c:v>2005</c:v>
                </c:pt>
                <c:pt idx="6">
                  <c:v>2006</c:v>
                </c:pt>
                <c:pt idx="7">
                  <c:v>2007</c:v>
                </c:pt>
                <c:pt idx="8">
                  <c:v>2008</c:v>
                </c:pt>
                <c:pt idx="9">
                  <c:v>2009</c:v>
                </c:pt>
                <c:pt idx="10">
                  <c:v>2010</c:v>
                </c:pt>
                <c:pt idx="11">
                  <c:v>2011</c:v>
                </c:pt>
                <c:pt idx="12">
                  <c:v>2012</c:v>
                </c:pt>
                <c:pt idx="13">
                  <c:v>2013</c:v>
                </c:pt>
              </c:numCache>
            </c:numRef>
          </c:cat>
          <c:val>
            <c:numRef>
              <c:f>Data!$B$14:$O$14</c:f>
              <c:numCache>
                <c:formatCode>#,##0.0</c:formatCode>
                <c:ptCount val="14"/>
                <c:pt idx="0">
                  <c:v>57</c:v>
                </c:pt>
                <c:pt idx="1">
                  <c:v>58.2</c:v>
                </c:pt>
                <c:pt idx="2">
                  <c:v>58.9</c:v>
                </c:pt>
                <c:pt idx="3">
                  <c:v>60.4</c:v>
                </c:pt>
                <c:pt idx="4">
                  <c:v>61.8</c:v>
                </c:pt>
                <c:pt idx="5">
                  <c:v>64</c:v>
                </c:pt>
                <c:pt idx="6">
                  <c:v>65.2</c:v>
                </c:pt>
                <c:pt idx="7">
                  <c:v>65.5</c:v>
                </c:pt>
                <c:pt idx="8">
                  <c:v>62.8</c:v>
                </c:pt>
                <c:pt idx="9">
                  <c:v>59</c:v>
                </c:pt>
                <c:pt idx="10">
                  <c:v>58.4</c:v>
                </c:pt>
                <c:pt idx="11">
                  <c:v>56.8</c:v>
                </c:pt>
                <c:pt idx="12">
                  <c:v>54.6</c:v>
                </c:pt>
                <c:pt idx="13">
                  <c:v>54.7</c:v>
                </c:pt>
              </c:numCache>
            </c:numRef>
          </c:val>
        </c:ser>
        <c:ser>
          <c:idx val="3"/>
          <c:order val="3"/>
          <c:tx>
            <c:strRef>
              <c:f>Data!$A$15</c:f>
              <c:strCache>
                <c:ptCount val="1"/>
                <c:pt idx="0">
                  <c:v>Reino Unido</c:v>
                </c:pt>
              </c:strCache>
            </c:strRef>
          </c:tx>
          <c:marker>
            <c:symbol val="none"/>
          </c:marker>
          <c:dLbls>
            <c:dLbl>
              <c:idx val="13"/>
              <c:layout>
                <c:manualLayout>
                  <c:x val="6.7453625632379012E-3"/>
                  <c:y val="2.8268551236748856E-2"/>
                </c:manualLayout>
              </c:layout>
              <c:showVal val="1"/>
            </c:dLbl>
            <c:delete val="1"/>
          </c:dLbls>
          <c:cat>
            <c:numRef>
              <c:f>Data!$B$11:$O$11</c:f>
              <c:numCache>
                <c:formatCode>General</c:formatCode>
                <c:ptCount val="14"/>
                <c:pt idx="0">
                  <c:v>2000</c:v>
                </c:pt>
                <c:pt idx="1">
                  <c:v>2001</c:v>
                </c:pt>
                <c:pt idx="2">
                  <c:v>2002</c:v>
                </c:pt>
                <c:pt idx="3">
                  <c:v>2003</c:v>
                </c:pt>
                <c:pt idx="4">
                  <c:v>2004</c:v>
                </c:pt>
                <c:pt idx="5">
                  <c:v>2005</c:v>
                </c:pt>
                <c:pt idx="6">
                  <c:v>2006</c:v>
                </c:pt>
                <c:pt idx="7">
                  <c:v>2007</c:v>
                </c:pt>
                <c:pt idx="8">
                  <c:v>2008</c:v>
                </c:pt>
                <c:pt idx="9">
                  <c:v>2009</c:v>
                </c:pt>
                <c:pt idx="10">
                  <c:v>2010</c:v>
                </c:pt>
                <c:pt idx="11">
                  <c:v>2011</c:v>
                </c:pt>
                <c:pt idx="12">
                  <c:v>2012</c:v>
                </c:pt>
                <c:pt idx="13">
                  <c:v>2013</c:v>
                </c:pt>
              </c:numCache>
            </c:numRef>
          </c:cat>
          <c:val>
            <c:numRef>
              <c:f>Data!$B$15:$O$15</c:f>
              <c:numCache>
                <c:formatCode>#,##0.0</c:formatCode>
                <c:ptCount val="14"/>
                <c:pt idx="0">
                  <c:v>71.400000000000006</c:v>
                </c:pt>
                <c:pt idx="1">
                  <c:v>71.5</c:v>
                </c:pt>
                <c:pt idx="2">
                  <c:v>71.599999999999994</c:v>
                </c:pt>
                <c:pt idx="3">
                  <c:v>71.7</c:v>
                </c:pt>
                <c:pt idx="4">
                  <c:v>71.8</c:v>
                </c:pt>
                <c:pt idx="5">
                  <c:v>71.7</c:v>
                </c:pt>
                <c:pt idx="6">
                  <c:v>71.599999999999994</c:v>
                </c:pt>
                <c:pt idx="7">
                  <c:v>71.900000000000006</c:v>
                </c:pt>
                <c:pt idx="8">
                  <c:v>71.3</c:v>
                </c:pt>
                <c:pt idx="9">
                  <c:v>69.7</c:v>
                </c:pt>
                <c:pt idx="10">
                  <c:v>69.7</c:v>
                </c:pt>
                <c:pt idx="11">
                  <c:v>69.599999999999994</c:v>
                </c:pt>
                <c:pt idx="12">
                  <c:v>70.8</c:v>
                </c:pt>
                <c:pt idx="13">
                  <c:v>71.3</c:v>
                </c:pt>
              </c:numCache>
            </c:numRef>
          </c:val>
        </c:ser>
        <c:marker val="1"/>
        <c:axId val="91376256"/>
        <c:axId val="91411584"/>
      </c:lineChart>
      <c:catAx>
        <c:axId val="91376256"/>
        <c:scaling>
          <c:orientation val="minMax"/>
        </c:scaling>
        <c:axPos val="b"/>
        <c:numFmt formatCode="General" sourceLinked="1"/>
        <c:tickLblPos val="nextTo"/>
        <c:crossAx val="91411584"/>
        <c:crosses val="autoZero"/>
        <c:auto val="1"/>
        <c:lblAlgn val="ctr"/>
        <c:lblOffset val="100"/>
      </c:catAx>
      <c:valAx>
        <c:axId val="91411584"/>
        <c:scaling>
          <c:orientation val="minMax"/>
        </c:scaling>
        <c:axPos val="l"/>
        <c:majorGridlines/>
        <c:numFmt formatCode="General" sourceLinked="1"/>
        <c:tickLblPos val="nextTo"/>
        <c:crossAx val="91376256"/>
        <c:crosses val="autoZero"/>
        <c:crossBetween val="between"/>
      </c:valAx>
    </c:plotArea>
    <c:legend>
      <c:legendPos val="r"/>
      <c:layout>
        <c:manualLayout>
          <c:xMode val="edge"/>
          <c:yMode val="edge"/>
          <c:x val="0.66584274540103661"/>
          <c:y val="0.37060119085489457"/>
          <c:w val="0.30896130346232181"/>
          <c:h val="0.52403659419115756"/>
        </c:manualLayout>
      </c:layout>
    </c:legend>
    <c:plotVisOnly val="1"/>
  </c:chart>
  <c:externalData r:id="rId1"/>
</c:chartSpace>
</file>

<file path=word/charts/chart5.xml><?xml version="1.0" encoding="utf-8"?>
<c:chartSpace xmlns:c="http://schemas.openxmlformats.org/drawingml/2006/chart" xmlns:a="http://schemas.openxmlformats.org/drawingml/2006/main" xmlns:r="http://schemas.openxmlformats.org/officeDocument/2006/relationships">
  <c:date1904 val="1"/>
  <c:lang val="es-ES"/>
  <c:chart>
    <c:plotArea>
      <c:layout/>
      <c:lineChart>
        <c:grouping val="standard"/>
        <c:ser>
          <c:idx val="0"/>
          <c:order val="0"/>
          <c:tx>
            <c:strRef>
              <c:f>Data!$A$11</c:f>
              <c:strCache>
                <c:ptCount val="1"/>
                <c:pt idx="0">
                  <c:v>Unión Europea (27 países)</c:v>
                </c:pt>
              </c:strCache>
            </c:strRef>
          </c:tx>
          <c:marker>
            <c:symbol val="none"/>
          </c:marker>
          <c:dLbls>
            <c:dLbl>
              <c:idx val="13"/>
              <c:layout>
                <c:manualLayout>
                  <c:x val="-4.6744566097552447E-2"/>
                  <c:y val="-5.9379217273954087E-2"/>
                </c:manualLayout>
              </c:layout>
              <c:showVal val="1"/>
            </c:dLbl>
            <c:delete val="1"/>
          </c:dLbls>
          <c:cat>
            <c:strRef>
              <c:f>Data!$B$10:$O$10</c:f>
              <c:strCache>
                <c:ptCount val="14"/>
                <c:pt idx="0">
                  <c:v>2000</c:v>
                </c:pt>
                <c:pt idx="1">
                  <c:v>2001</c:v>
                </c:pt>
                <c:pt idx="2">
                  <c:v>2002</c:v>
                </c:pt>
                <c:pt idx="3">
                  <c:v>2003</c:v>
                </c:pt>
                <c:pt idx="4">
                  <c:v>2004</c:v>
                </c:pt>
                <c:pt idx="5">
                  <c:v>2005</c:v>
                </c:pt>
                <c:pt idx="6">
                  <c:v>2006</c:v>
                </c:pt>
                <c:pt idx="7">
                  <c:v>2007</c:v>
                </c:pt>
                <c:pt idx="8">
                  <c:v>2008</c:v>
                </c:pt>
                <c:pt idx="9">
                  <c:v>2009</c:v>
                </c:pt>
                <c:pt idx="10">
                  <c:v>2010</c:v>
                </c:pt>
                <c:pt idx="11">
                  <c:v>2011</c:v>
                </c:pt>
                <c:pt idx="12">
                  <c:v>2012</c:v>
                </c:pt>
                <c:pt idx="13">
                  <c:v>2013</c:v>
                </c:pt>
              </c:strCache>
            </c:strRef>
          </c:cat>
          <c:val>
            <c:numRef>
              <c:f>Data!$B$11:$O$11</c:f>
              <c:numCache>
                <c:formatCode>#,##0.0</c:formatCode>
                <c:ptCount val="14"/>
                <c:pt idx="0">
                  <c:v>15.8</c:v>
                </c:pt>
                <c:pt idx="1">
                  <c:v>15.7</c:v>
                </c:pt>
                <c:pt idx="2">
                  <c:v>15.7</c:v>
                </c:pt>
                <c:pt idx="3">
                  <c:v>16.100000000000001</c:v>
                </c:pt>
                <c:pt idx="4">
                  <c:v>16.7</c:v>
                </c:pt>
                <c:pt idx="5">
                  <c:v>17.3</c:v>
                </c:pt>
                <c:pt idx="6">
                  <c:v>17.5</c:v>
                </c:pt>
                <c:pt idx="7">
                  <c:v>17.600000000000001</c:v>
                </c:pt>
                <c:pt idx="8">
                  <c:v>17.600000000000001</c:v>
                </c:pt>
                <c:pt idx="9">
                  <c:v>18.100000000000001</c:v>
                </c:pt>
                <c:pt idx="10">
                  <c:v>18.600000000000001</c:v>
                </c:pt>
                <c:pt idx="11">
                  <c:v>18.8</c:v>
                </c:pt>
                <c:pt idx="12">
                  <c:v>19.2</c:v>
                </c:pt>
                <c:pt idx="13">
                  <c:v>19.600000000000001</c:v>
                </c:pt>
              </c:numCache>
            </c:numRef>
          </c:val>
        </c:ser>
        <c:ser>
          <c:idx val="1"/>
          <c:order val="1"/>
          <c:tx>
            <c:strRef>
              <c:f>Data!$A$12</c:f>
              <c:strCache>
                <c:ptCount val="1"/>
                <c:pt idx="0">
                  <c:v>Alemania</c:v>
                </c:pt>
              </c:strCache>
            </c:strRef>
          </c:tx>
          <c:marker>
            <c:symbol val="none"/>
          </c:marker>
          <c:dLbls>
            <c:dLbl>
              <c:idx val="13"/>
              <c:layout>
                <c:manualLayout>
                  <c:x val="0"/>
                  <c:y val="-1.6194331983805668E-2"/>
                </c:manualLayout>
              </c:layout>
              <c:showVal val="1"/>
            </c:dLbl>
            <c:delete val="1"/>
          </c:dLbls>
          <c:cat>
            <c:strRef>
              <c:f>Data!$B$10:$O$10</c:f>
              <c:strCache>
                <c:ptCount val="14"/>
                <c:pt idx="0">
                  <c:v>2000</c:v>
                </c:pt>
                <c:pt idx="1">
                  <c:v>2001</c:v>
                </c:pt>
                <c:pt idx="2">
                  <c:v>2002</c:v>
                </c:pt>
                <c:pt idx="3">
                  <c:v>2003</c:v>
                </c:pt>
                <c:pt idx="4">
                  <c:v>2004</c:v>
                </c:pt>
                <c:pt idx="5">
                  <c:v>2005</c:v>
                </c:pt>
                <c:pt idx="6">
                  <c:v>2006</c:v>
                </c:pt>
                <c:pt idx="7">
                  <c:v>2007</c:v>
                </c:pt>
                <c:pt idx="8">
                  <c:v>2008</c:v>
                </c:pt>
                <c:pt idx="9">
                  <c:v>2009</c:v>
                </c:pt>
                <c:pt idx="10">
                  <c:v>2010</c:v>
                </c:pt>
                <c:pt idx="11">
                  <c:v>2011</c:v>
                </c:pt>
                <c:pt idx="12">
                  <c:v>2012</c:v>
                </c:pt>
                <c:pt idx="13">
                  <c:v>2013</c:v>
                </c:pt>
              </c:strCache>
            </c:strRef>
          </c:cat>
          <c:val>
            <c:numRef>
              <c:f>Data!$B$12:$O$12</c:f>
              <c:numCache>
                <c:formatCode>#,##0.0</c:formatCode>
                <c:ptCount val="14"/>
                <c:pt idx="0">
                  <c:v>19.100000000000001</c:v>
                </c:pt>
                <c:pt idx="1">
                  <c:v>19.899999999999999</c:v>
                </c:pt>
                <c:pt idx="2">
                  <c:v>20.3</c:v>
                </c:pt>
                <c:pt idx="3">
                  <c:v>21.2</c:v>
                </c:pt>
                <c:pt idx="4">
                  <c:v>21.9</c:v>
                </c:pt>
                <c:pt idx="5">
                  <c:v>23.4</c:v>
                </c:pt>
                <c:pt idx="6">
                  <c:v>25.2</c:v>
                </c:pt>
                <c:pt idx="7">
                  <c:v>25.4</c:v>
                </c:pt>
                <c:pt idx="8">
                  <c:v>25.1</c:v>
                </c:pt>
                <c:pt idx="9">
                  <c:v>25.3</c:v>
                </c:pt>
                <c:pt idx="10">
                  <c:v>25.5</c:v>
                </c:pt>
                <c:pt idx="11">
                  <c:v>25.7</c:v>
                </c:pt>
                <c:pt idx="12">
                  <c:v>25.7</c:v>
                </c:pt>
                <c:pt idx="13">
                  <c:v>26.2</c:v>
                </c:pt>
              </c:numCache>
            </c:numRef>
          </c:val>
        </c:ser>
        <c:ser>
          <c:idx val="2"/>
          <c:order val="2"/>
          <c:tx>
            <c:strRef>
              <c:f>Data!$A$13</c:f>
              <c:strCache>
                <c:ptCount val="1"/>
                <c:pt idx="0">
                  <c:v>España</c:v>
                </c:pt>
              </c:strCache>
            </c:strRef>
          </c:tx>
          <c:marker>
            <c:symbol val="none"/>
          </c:marker>
          <c:dLbls>
            <c:dLbl>
              <c:idx val="13"/>
              <c:layout>
                <c:manualLayout>
                  <c:x val="-2.8937112346104132E-2"/>
                  <c:y val="5.3981106612685466E-2"/>
                </c:manualLayout>
              </c:layout>
              <c:showVal val="1"/>
            </c:dLbl>
            <c:delete val="1"/>
          </c:dLbls>
          <c:cat>
            <c:strRef>
              <c:f>Data!$B$10:$O$10</c:f>
              <c:strCache>
                <c:ptCount val="14"/>
                <c:pt idx="0">
                  <c:v>2000</c:v>
                </c:pt>
                <c:pt idx="1">
                  <c:v>2001</c:v>
                </c:pt>
                <c:pt idx="2">
                  <c:v>2002</c:v>
                </c:pt>
                <c:pt idx="3">
                  <c:v>2003</c:v>
                </c:pt>
                <c:pt idx="4">
                  <c:v>2004</c:v>
                </c:pt>
                <c:pt idx="5">
                  <c:v>2005</c:v>
                </c:pt>
                <c:pt idx="6">
                  <c:v>2006</c:v>
                </c:pt>
                <c:pt idx="7">
                  <c:v>2007</c:v>
                </c:pt>
                <c:pt idx="8">
                  <c:v>2008</c:v>
                </c:pt>
                <c:pt idx="9">
                  <c:v>2009</c:v>
                </c:pt>
                <c:pt idx="10">
                  <c:v>2010</c:v>
                </c:pt>
                <c:pt idx="11">
                  <c:v>2011</c:v>
                </c:pt>
                <c:pt idx="12">
                  <c:v>2012</c:v>
                </c:pt>
                <c:pt idx="13">
                  <c:v>2013</c:v>
                </c:pt>
              </c:strCache>
            </c:strRef>
          </c:cat>
          <c:val>
            <c:numRef>
              <c:f>Data!$B$13:$O$13</c:f>
              <c:numCache>
                <c:formatCode>#,##0.0</c:formatCode>
                <c:ptCount val="14"/>
                <c:pt idx="0">
                  <c:v>8</c:v>
                </c:pt>
                <c:pt idx="1">
                  <c:v>8</c:v>
                </c:pt>
                <c:pt idx="2">
                  <c:v>8</c:v>
                </c:pt>
                <c:pt idx="3">
                  <c:v>8.2000000000000011</c:v>
                </c:pt>
                <c:pt idx="4">
                  <c:v>8.8000000000000007</c:v>
                </c:pt>
                <c:pt idx="5">
                  <c:v>12.2</c:v>
                </c:pt>
                <c:pt idx="6">
                  <c:v>11.8</c:v>
                </c:pt>
                <c:pt idx="7">
                  <c:v>11.6</c:v>
                </c:pt>
                <c:pt idx="8">
                  <c:v>11.8</c:v>
                </c:pt>
                <c:pt idx="9">
                  <c:v>12.6</c:v>
                </c:pt>
                <c:pt idx="10">
                  <c:v>13.1</c:v>
                </c:pt>
                <c:pt idx="11">
                  <c:v>13.7</c:v>
                </c:pt>
                <c:pt idx="12">
                  <c:v>14.6</c:v>
                </c:pt>
                <c:pt idx="13">
                  <c:v>15.9</c:v>
                </c:pt>
              </c:numCache>
            </c:numRef>
          </c:val>
        </c:ser>
        <c:ser>
          <c:idx val="4"/>
          <c:order val="3"/>
          <c:tx>
            <c:strRef>
              <c:f>Data!$A$15</c:f>
              <c:strCache>
                <c:ptCount val="1"/>
                <c:pt idx="0">
                  <c:v>Italia</c:v>
                </c:pt>
              </c:strCache>
            </c:strRef>
          </c:tx>
          <c:marker>
            <c:symbol val="none"/>
          </c:marker>
          <c:dLbls>
            <c:dLbl>
              <c:idx val="13"/>
              <c:layout>
                <c:manualLayout>
                  <c:x val="0"/>
                  <c:y val="1.0795796274453548E-2"/>
                </c:manualLayout>
              </c:layout>
              <c:showVal val="1"/>
            </c:dLbl>
            <c:delete val="1"/>
          </c:dLbls>
          <c:cat>
            <c:strRef>
              <c:f>Data!$B$10:$O$10</c:f>
              <c:strCache>
                <c:ptCount val="14"/>
                <c:pt idx="0">
                  <c:v>2000</c:v>
                </c:pt>
                <c:pt idx="1">
                  <c:v>2001</c:v>
                </c:pt>
                <c:pt idx="2">
                  <c:v>2002</c:v>
                </c:pt>
                <c:pt idx="3">
                  <c:v>2003</c:v>
                </c:pt>
                <c:pt idx="4">
                  <c:v>2004</c:v>
                </c:pt>
                <c:pt idx="5">
                  <c:v>2005</c:v>
                </c:pt>
                <c:pt idx="6">
                  <c:v>2006</c:v>
                </c:pt>
                <c:pt idx="7">
                  <c:v>2007</c:v>
                </c:pt>
                <c:pt idx="8">
                  <c:v>2008</c:v>
                </c:pt>
                <c:pt idx="9">
                  <c:v>2009</c:v>
                </c:pt>
                <c:pt idx="10">
                  <c:v>2010</c:v>
                </c:pt>
                <c:pt idx="11">
                  <c:v>2011</c:v>
                </c:pt>
                <c:pt idx="12">
                  <c:v>2012</c:v>
                </c:pt>
                <c:pt idx="13">
                  <c:v>2013</c:v>
                </c:pt>
              </c:strCache>
            </c:strRef>
          </c:cat>
          <c:val>
            <c:numRef>
              <c:f>Data!$B$15:$O$15</c:f>
              <c:numCache>
                <c:formatCode>#,##0.0</c:formatCode>
                <c:ptCount val="14"/>
                <c:pt idx="0">
                  <c:v>8.7000000000000011</c:v>
                </c:pt>
                <c:pt idx="1">
                  <c:v>8.9</c:v>
                </c:pt>
                <c:pt idx="2">
                  <c:v>8.5</c:v>
                </c:pt>
                <c:pt idx="3">
                  <c:v>8.5</c:v>
                </c:pt>
                <c:pt idx="4">
                  <c:v>12.4</c:v>
                </c:pt>
                <c:pt idx="5">
                  <c:v>12.7</c:v>
                </c:pt>
                <c:pt idx="6">
                  <c:v>13.1</c:v>
                </c:pt>
                <c:pt idx="7">
                  <c:v>13.4</c:v>
                </c:pt>
                <c:pt idx="8">
                  <c:v>14.1</c:v>
                </c:pt>
                <c:pt idx="9">
                  <c:v>14.1</c:v>
                </c:pt>
                <c:pt idx="10">
                  <c:v>14.8</c:v>
                </c:pt>
                <c:pt idx="11">
                  <c:v>15.2</c:v>
                </c:pt>
                <c:pt idx="12">
                  <c:v>16.8</c:v>
                </c:pt>
                <c:pt idx="13">
                  <c:v>17.7</c:v>
                </c:pt>
              </c:numCache>
            </c:numRef>
          </c:val>
        </c:ser>
        <c:ser>
          <c:idx val="5"/>
          <c:order val="4"/>
          <c:tx>
            <c:strRef>
              <c:f>Data!$A$16</c:f>
              <c:strCache>
                <c:ptCount val="1"/>
                <c:pt idx="0">
                  <c:v>Reino Unido</c:v>
                </c:pt>
              </c:strCache>
            </c:strRef>
          </c:tx>
          <c:marker>
            <c:symbol val="none"/>
          </c:marker>
          <c:cat>
            <c:strRef>
              <c:f>Data!$B$10:$O$10</c:f>
              <c:strCache>
                <c:ptCount val="14"/>
                <c:pt idx="0">
                  <c:v>2000</c:v>
                </c:pt>
                <c:pt idx="1">
                  <c:v>2001</c:v>
                </c:pt>
                <c:pt idx="2">
                  <c:v>2002</c:v>
                </c:pt>
                <c:pt idx="3">
                  <c:v>2003</c:v>
                </c:pt>
                <c:pt idx="4">
                  <c:v>2004</c:v>
                </c:pt>
                <c:pt idx="5">
                  <c:v>2005</c:v>
                </c:pt>
                <c:pt idx="6">
                  <c:v>2006</c:v>
                </c:pt>
                <c:pt idx="7">
                  <c:v>2007</c:v>
                </c:pt>
                <c:pt idx="8">
                  <c:v>2008</c:v>
                </c:pt>
                <c:pt idx="9">
                  <c:v>2009</c:v>
                </c:pt>
                <c:pt idx="10">
                  <c:v>2010</c:v>
                </c:pt>
                <c:pt idx="11">
                  <c:v>2011</c:v>
                </c:pt>
                <c:pt idx="12">
                  <c:v>2012</c:v>
                </c:pt>
                <c:pt idx="13">
                  <c:v>2013</c:v>
                </c:pt>
              </c:strCache>
            </c:strRef>
          </c:cat>
          <c:val>
            <c:numRef>
              <c:f>Data!$B$16:$O$16</c:f>
              <c:numCache>
                <c:formatCode>#,##0.0</c:formatCode>
                <c:ptCount val="14"/>
                <c:pt idx="0">
                  <c:v>24.4</c:v>
                </c:pt>
                <c:pt idx="1">
                  <c:v>24.4</c:v>
                </c:pt>
                <c:pt idx="2">
                  <c:v>24.5</c:v>
                </c:pt>
                <c:pt idx="3">
                  <c:v>25</c:v>
                </c:pt>
                <c:pt idx="4">
                  <c:v>25.1</c:v>
                </c:pt>
                <c:pt idx="5">
                  <c:v>24.2</c:v>
                </c:pt>
                <c:pt idx="6">
                  <c:v>24.3</c:v>
                </c:pt>
                <c:pt idx="7">
                  <c:v>24.2</c:v>
                </c:pt>
                <c:pt idx="8">
                  <c:v>24.2</c:v>
                </c:pt>
                <c:pt idx="9">
                  <c:v>25</c:v>
                </c:pt>
                <c:pt idx="10">
                  <c:v>25.7</c:v>
                </c:pt>
                <c:pt idx="11">
                  <c:v>25.5</c:v>
                </c:pt>
                <c:pt idx="12">
                  <c:v>25.9</c:v>
                </c:pt>
                <c:pt idx="13">
                  <c:v>25.5</c:v>
                </c:pt>
              </c:numCache>
            </c:numRef>
          </c:val>
        </c:ser>
        <c:marker val="1"/>
        <c:axId val="82936960"/>
        <c:axId val="82938496"/>
      </c:lineChart>
      <c:catAx>
        <c:axId val="82936960"/>
        <c:scaling>
          <c:orientation val="minMax"/>
        </c:scaling>
        <c:axPos val="b"/>
        <c:tickLblPos val="nextTo"/>
        <c:crossAx val="82938496"/>
        <c:crosses val="autoZero"/>
        <c:auto val="1"/>
        <c:lblAlgn val="ctr"/>
        <c:lblOffset val="100"/>
      </c:catAx>
      <c:valAx>
        <c:axId val="82938496"/>
        <c:scaling>
          <c:orientation val="minMax"/>
        </c:scaling>
        <c:axPos val="l"/>
        <c:majorGridlines/>
        <c:numFmt formatCode="#,##0.0" sourceLinked="1"/>
        <c:tickLblPos val="nextTo"/>
        <c:crossAx val="82936960"/>
        <c:crosses val="autoZero"/>
        <c:crossBetween val="between"/>
      </c:valAx>
    </c:plotArea>
    <c:legend>
      <c:legendPos val="r"/>
      <c:layout>
        <c:manualLayout>
          <c:xMode val="edge"/>
          <c:yMode val="edge"/>
          <c:x val="0.69831947413327433"/>
          <c:y val="0.20715908487147738"/>
          <c:w val="0.28832493555314448"/>
          <c:h val="0.74222661438575532"/>
        </c:manualLayout>
      </c:layout>
    </c:legend>
    <c:plotVisOnly val="1"/>
  </c:chart>
  <c:externalData r:id="rId1"/>
</c:chartSpace>
</file>

<file path=word/charts/chart6.xml><?xml version="1.0" encoding="utf-8"?>
<c:chartSpace xmlns:c="http://schemas.openxmlformats.org/drawingml/2006/chart" xmlns:a="http://schemas.openxmlformats.org/drawingml/2006/main" xmlns:r="http://schemas.openxmlformats.org/officeDocument/2006/relationships">
  <c:date1904 val="1"/>
  <c:lang val="es-ES"/>
  <c:chart>
    <c:autoTitleDeleted val="1"/>
    <c:view3D>
      <c:rotX val="0"/>
      <c:rotY val="0"/>
      <c:perspective val="30"/>
    </c:view3D>
    <c:plotArea>
      <c:layout/>
      <c:bar3DChart>
        <c:barDir val="col"/>
        <c:grouping val="clustered"/>
        <c:ser>
          <c:idx val="0"/>
          <c:order val="0"/>
          <c:tx>
            <c:strRef>
              <c:f>'tabla-4086'!$B$7:$H$7</c:f>
              <c:strCache>
                <c:ptCount val="1"/>
                <c:pt idx="0">
                  <c:v>Hombres</c:v>
                </c:pt>
              </c:strCache>
            </c:strRef>
          </c:tx>
          <c:cat>
            <c:numRef>
              <c:f>'tabla-4086'!$B$12:$H$12</c:f>
              <c:numCache>
                <c:formatCode>General</c:formatCode>
                <c:ptCount val="7"/>
                <c:pt idx="0">
                  <c:v>2007</c:v>
                </c:pt>
                <c:pt idx="1">
                  <c:v>2008</c:v>
                </c:pt>
                <c:pt idx="2">
                  <c:v>2009</c:v>
                </c:pt>
                <c:pt idx="3">
                  <c:v>2010</c:v>
                </c:pt>
                <c:pt idx="4">
                  <c:v>2011</c:v>
                </c:pt>
                <c:pt idx="5">
                  <c:v>2012</c:v>
                </c:pt>
                <c:pt idx="6">
                  <c:v>2013</c:v>
                </c:pt>
              </c:numCache>
            </c:numRef>
          </c:cat>
          <c:val>
            <c:numRef>
              <c:f>'tabla-4086'!$B$13:$H$13</c:f>
              <c:numCache>
                <c:formatCode>General</c:formatCode>
                <c:ptCount val="7"/>
                <c:pt idx="0">
                  <c:v>6.89</c:v>
                </c:pt>
                <c:pt idx="1">
                  <c:v>12.96</c:v>
                </c:pt>
                <c:pt idx="2">
                  <c:v>18.559999999999999</c:v>
                </c:pt>
                <c:pt idx="3">
                  <c:v>19.8</c:v>
                </c:pt>
                <c:pt idx="4">
                  <c:v>22.259999999999987</c:v>
                </c:pt>
                <c:pt idx="5">
                  <c:v>25.4</c:v>
                </c:pt>
                <c:pt idx="6">
                  <c:v>25.04</c:v>
                </c:pt>
              </c:numCache>
            </c:numRef>
          </c:val>
        </c:ser>
        <c:ser>
          <c:idx val="1"/>
          <c:order val="1"/>
          <c:tx>
            <c:strRef>
              <c:f>'tabla-4086'!$I$7:$O$7</c:f>
              <c:strCache>
                <c:ptCount val="1"/>
                <c:pt idx="0">
                  <c:v>Mujeres</c:v>
                </c:pt>
              </c:strCache>
            </c:strRef>
          </c:tx>
          <c:cat>
            <c:numRef>
              <c:f>'tabla-4086'!$B$12:$H$12</c:f>
              <c:numCache>
                <c:formatCode>General</c:formatCode>
                <c:ptCount val="7"/>
                <c:pt idx="0">
                  <c:v>2007</c:v>
                </c:pt>
                <c:pt idx="1">
                  <c:v>2008</c:v>
                </c:pt>
                <c:pt idx="2">
                  <c:v>2009</c:v>
                </c:pt>
                <c:pt idx="3">
                  <c:v>2010</c:v>
                </c:pt>
                <c:pt idx="4">
                  <c:v>2011</c:v>
                </c:pt>
                <c:pt idx="5">
                  <c:v>2012</c:v>
                </c:pt>
                <c:pt idx="6">
                  <c:v>2013</c:v>
                </c:pt>
              </c:numCache>
            </c:numRef>
          </c:cat>
          <c:val>
            <c:numRef>
              <c:f>'tabla-4086'!$B$14:$H$14</c:f>
              <c:numCache>
                <c:formatCode>General</c:formatCode>
                <c:ptCount val="7"/>
                <c:pt idx="0">
                  <c:v>10.82</c:v>
                </c:pt>
                <c:pt idx="1">
                  <c:v>14.850000000000026</c:v>
                </c:pt>
                <c:pt idx="2">
                  <c:v>18.8</c:v>
                </c:pt>
                <c:pt idx="3">
                  <c:v>20.51</c:v>
                </c:pt>
                <c:pt idx="4">
                  <c:v>22.919999999999987</c:v>
                </c:pt>
                <c:pt idx="5">
                  <c:v>26.22</c:v>
                </c:pt>
                <c:pt idx="6">
                  <c:v>26.53</c:v>
                </c:pt>
              </c:numCache>
            </c:numRef>
          </c:val>
        </c:ser>
        <c:shape val="box"/>
        <c:axId val="82963456"/>
        <c:axId val="83759872"/>
        <c:axId val="0"/>
      </c:bar3DChart>
      <c:catAx>
        <c:axId val="82963456"/>
        <c:scaling>
          <c:orientation val="minMax"/>
        </c:scaling>
        <c:axPos val="b"/>
        <c:numFmt formatCode="General" sourceLinked="1"/>
        <c:tickLblPos val="nextTo"/>
        <c:crossAx val="83759872"/>
        <c:crosses val="autoZero"/>
        <c:auto val="1"/>
        <c:lblAlgn val="ctr"/>
        <c:lblOffset val="100"/>
      </c:catAx>
      <c:valAx>
        <c:axId val="83759872"/>
        <c:scaling>
          <c:orientation val="minMax"/>
        </c:scaling>
        <c:axPos val="l"/>
        <c:majorGridlines/>
        <c:numFmt formatCode="General" sourceLinked="1"/>
        <c:tickLblPos val="nextTo"/>
        <c:crossAx val="82963456"/>
        <c:crosses val="autoZero"/>
        <c:crossBetween val="between"/>
      </c:valAx>
    </c:plotArea>
    <c:legend>
      <c:legendPos val="r"/>
    </c:legend>
    <c:plotVisOnly val="1"/>
  </c:chart>
  <c:externalData r:id="rId1"/>
</c:chartSpace>
</file>

<file path=word/charts/chart7.xml><?xml version="1.0" encoding="utf-8"?>
<c:chartSpace xmlns:c="http://schemas.openxmlformats.org/drawingml/2006/chart" xmlns:a="http://schemas.openxmlformats.org/drawingml/2006/main" xmlns:r="http://schemas.openxmlformats.org/officeDocument/2006/relationships">
  <c:date1904 val="1"/>
  <c:lang val="es-ES"/>
  <c:chart>
    <c:view3D>
      <c:rAngAx val="1"/>
    </c:view3D>
    <c:plotArea>
      <c:layout/>
      <c:bar3DChart>
        <c:barDir val="col"/>
        <c:grouping val="clustered"/>
        <c:ser>
          <c:idx val="0"/>
          <c:order val="0"/>
          <c:tx>
            <c:strRef>
              <c:f>'tabla-4092'!$A$19</c:f>
              <c:strCache>
                <c:ptCount val="1"/>
                <c:pt idx="0">
                  <c:v>    Educación primaria</c:v>
                </c:pt>
              </c:strCache>
            </c:strRef>
          </c:tx>
          <c:cat>
            <c:numRef>
              <c:f>'tabla-4092'!$B$18:$H$18</c:f>
              <c:numCache>
                <c:formatCode>General</c:formatCode>
                <c:ptCount val="7"/>
                <c:pt idx="0">
                  <c:v>2007</c:v>
                </c:pt>
                <c:pt idx="1">
                  <c:v>2008</c:v>
                </c:pt>
                <c:pt idx="2">
                  <c:v>2009</c:v>
                </c:pt>
                <c:pt idx="3">
                  <c:v>2010</c:v>
                </c:pt>
                <c:pt idx="4">
                  <c:v>2011</c:v>
                </c:pt>
                <c:pt idx="5">
                  <c:v>2012</c:v>
                </c:pt>
                <c:pt idx="6">
                  <c:v>2013</c:v>
                </c:pt>
              </c:numCache>
            </c:numRef>
          </c:cat>
          <c:val>
            <c:numRef>
              <c:f>'tabla-4092'!$B$19:$H$19</c:f>
              <c:numCache>
                <c:formatCode>General</c:formatCode>
                <c:ptCount val="7"/>
                <c:pt idx="0">
                  <c:v>3103.7</c:v>
                </c:pt>
                <c:pt idx="1">
                  <c:v>2792.4</c:v>
                </c:pt>
                <c:pt idx="2">
                  <c:v>2403</c:v>
                </c:pt>
                <c:pt idx="3">
                  <c:v>2230</c:v>
                </c:pt>
                <c:pt idx="4">
                  <c:v>1889.9</c:v>
                </c:pt>
                <c:pt idx="5">
                  <c:v>1621</c:v>
                </c:pt>
                <c:pt idx="6">
                  <c:v>1495</c:v>
                </c:pt>
              </c:numCache>
            </c:numRef>
          </c:val>
        </c:ser>
        <c:ser>
          <c:idx val="1"/>
          <c:order val="1"/>
          <c:tx>
            <c:strRef>
              <c:f>'tabla-4092'!$A$20</c:f>
              <c:strCache>
                <c:ptCount val="1"/>
                <c:pt idx="0">
                  <c:v>    Educación secundaria </c:v>
                </c:pt>
              </c:strCache>
            </c:strRef>
          </c:tx>
          <c:cat>
            <c:numRef>
              <c:f>'tabla-4092'!$B$18:$H$18</c:f>
              <c:numCache>
                <c:formatCode>General</c:formatCode>
                <c:ptCount val="7"/>
                <c:pt idx="0">
                  <c:v>2007</c:v>
                </c:pt>
                <c:pt idx="1">
                  <c:v>2008</c:v>
                </c:pt>
                <c:pt idx="2">
                  <c:v>2009</c:v>
                </c:pt>
                <c:pt idx="3">
                  <c:v>2010</c:v>
                </c:pt>
                <c:pt idx="4">
                  <c:v>2011</c:v>
                </c:pt>
                <c:pt idx="5">
                  <c:v>2012</c:v>
                </c:pt>
                <c:pt idx="6">
                  <c:v>2013</c:v>
                </c:pt>
              </c:numCache>
            </c:numRef>
          </c:cat>
          <c:val>
            <c:numRef>
              <c:f>'tabla-4092'!$B$20:$H$20</c:f>
              <c:numCache>
                <c:formatCode>General</c:formatCode>
                <c:ptCount val="7"/>
                <c:pt idx="0">
                  <c:v>4906.9000000000005</c:v>
                </c:pt>
                <c:pt idx="1">
                  <c:v>4869.9000000000005</c:v>
                </c:pt>
                <c:pt idx="2">
                  <c:v>4548.2</c:v>
                </c:pt>
                <c:pt idx="3">
                  <c:v>4444.3</c:v>
                </c:pt>
                <c:pt idx="4">
                  <c:v>4337.3</c:v>
                </c:pt>
                <c:pt idx="5">
                  <c:v>4122.3</c:v>
                </c:pt>
                <c:pt idx="6">
                  <c:v>3960.1</c:v>
                </c:pt>
              </c:numCache>
            </c:numRef>
          </c:val>
        </c:ser>
        <c:ser>
          <c:idx val="2"/>
          <c:order val="2"/>
          <c:tx>
            <c:strRef>
              <c:f>'tabla-4092'!$A$21</c:f>
              <c:strCache>
                <c:ptCount val="1"/>
                <c:pt idx="0">
                  <c:v>    Educación superior, excepto doctorado</c:v>
                </c:pt>
              </c:strCache>
            </c:strRef>
          </c:tx>
          <c:cat>
            <c:numRef>
              <c:f>'tabla-4092'!$B$18:$H$18</c:f>
              <c:numCache>
                <c:formatCode>General</c:formatCode>
                <c:ptCount val="7"/>
                <c:pt idx="0">
                  <c:v>2007</c:v>
                </c:pt>
                <c:pt idx="1">
                  <c:v>2008</c:v>
                </c:pt>
                <c:pt idx="2">
                  <c:v>2009</c:v>
                </c:pt>
                <c:pt idx="3">
                  <c:v>2010</c:v>
                </c:pt>
                <c:pt idx="4">
                  <c:v>2011</c:v>
                </c:pt>
                <c:pt idx="5">
                  <c:v>2012</c:v>
                </c:pt>
                <c:pt idx="6">
                  <c:v>2013</c:v>
                </c:pt>
              </c:numCache>
            </c:numRef>
          </c:cat>
          <c:val>
            <c:numRef>
              <c:f>'tabla-4092'!$B$21:$H$21</c:f>
              <c:numCache>
                <c:formatCode>General</c:formatCode>
                <c:ptCount val="7"/>
                <c:pt idx="0">
                  <c:v>6825.7</c:v>
                </c:pt>
                <c:pt idx="1">
                  <c:v>6748.2</c:v>
                </c:pt>
                <c:pt idx="2">
                  <c:v>6740.9</c:v>
                </c:pt>
                <c:pt idx="3">
                  <c:v>6852.7</c:v>
                </c:pt>
                <c:pt idx="4">
                  <c:v>6893.7</c:v>
                </c:pt>
                <c:pt idx="5">
                  <c:v>6876.7</c:v>
                </c:pt>
                <c:pt idx="6">
                  <c:v>6971.7</c:v>
                </c:pt>
              </c:numCache>
            </c:numRef>
          </c:val>
        </c:ser>
        <c:shape val="cylinder"/>
        <c:axId val="83822464"/>
        <c:axId val="83824000"/>
        <c:axId val="0"/>
      </c:bar3DChart>
      <c:catAx>
        <c:axId val="83822464"/>
        <c:scaling>
          <c:orientation val="minMax"/>
        </c:scaling>
        <c:axPos val="b"/>
        <c:numFmt formatCode="General" sourceLinked="1"/>
        <c:tickLblPos val="nextTo"/>
        <c:crossAx val="83824000"/>
        <c:crosses val="autoZero"/>
        <c:auto val="1"/>
        <c:lblAlgn val="ctr"/>
        <c:lblOffset val="100"/>
      </c:catAx>
      <c:valAx>
        <c:axId val="83824000"/>
        <c:scaling>
          <c:orientation val="minMax"/>
        </c:scaling>
        <c:axPos val="l"/>
        <c:majorGridlines/>
        <c:numFmt formatCode="General" sourceLinked="1"/>
        <c:tickLblPos val="nextTo"/>
        <c:crossAx val="83822464"/>
        <c:crosses val="autoZero"/>
        <c:crossBetween val="between"/>
      </c:valAx>
    </c:plotArea>
    <c:legend>
      <c:legendPos val="r"/>
    </c:legend>
    <c:plotVisOnly val="1"/>
  </c:chart>
  <c:spPr>
    <a:ln>
      <a:solidFill>
        <a:schemeClr val="tx1">
          <a:lumMod val="65000"/>
          <a:lumOff val="35000"/>
        </a:schemeClr>
      </a:solidFill>
    </a:ln>
  </c:spPr>
  <c:externalData r:id="rId1"/>
</c:chartSpace>
</file>

<file path=word/charts/chart8.xml><?xml version="1.0" encoding="utf-8"?>
<c:chartSpace xmlns:c="http://schemas.openxmlformats.org/drawingml/2006/chart" xmlns:a="http://schemas.openxmlformats.org/drawingml/2006/main" xmlns:r="http://schemas.openxmlformats.org/officeDocument/2006/relationships">
  <c:date1904 val="1"/>
  <c:lang val="es-ES"/>
  <c:chart>
    <c:plotArea>
      <c:layout/>
      <c:barChart>
        <c:barDir val="col"/>
        <c:grouping val="clustered"/>
        <c:ser>
          <c:idx val="0"/>
          <c:order val="0"/>
          <c:tx>
            <c:strRef>
              <c:f>Data!$E$13</c:f>
              <c:strCache>
                <c:ptCount val="1"/>
                <c:pt idx="0">
                  <c:v>Total </c:v>
                </c:pt>
              </c:strCache>
            </c:strRef>
          </c:tx>
          <c:cat>
            <c:numRef>
              <c:f>Data!$F$12:$G$12</c:f>
              <c:numCache>
                <c:formatCode>General</c:formatCode>
                <c:ptCount val="2"/>
                <c:pt idx="0">
                  <c:v>2007</c:v>
                </c:pt>
                <c:pt idx="1">
                  <c:v>2013</c:v>
                </c:pt>
              </c:numCache>
            </c:numRef>
          </c:cat>
          <c:val>
            <c:numRef>
              <c:f>Data!$F$13:$G$13</c:f>
              <c:numCache>
                <c:formatCode>#,##0.0</c:formatCode>
                <c:ptCount val="2"/>
                <c:pt idx="0">
                  <c:v>8.7000000000000011</c:v>
                </c:pt>
                <c:pt idx="1">
                  <c:v>26.1</c:v>
                </c:pt>
              </c:numCache>
            </c:numRef>
          </c:val>
        </c:ser>
        <c:ser>
          <c:idx val="1"/>
          <c:order val="1"/>
          <c:tx>
            <c:strRef>
              <c:f>Data!$E$14</c:f>
              <c:strCache>
                <c:ptCount val="1"/>
                <c:pt idx="0">
                  <c:v>Población española</c:v>
                </c:pt>
              </c:strCache>
            </c:strRef>
          </c:tx>
          <c:dLbls>
            <c:dLbl>
              <c:idx val="0"/>
              <c:layout>
                <c:manualLayout>
                  <c:x val="-5.3655264922870824E-3"/>
                  <c:y val="-1.4598540145985491E-2"/>
                </c:manualLayout>
              </c:layout>
              <c:showVal val="1"/>
            </c:dLbl>
            <c:showVal val="1"/>
          </c:dLbls>
          <c:cat>
            <c:numRef>
              <c:f>Data!$F$12:$G$12</c:f>
              <c:numCache>
                <c:formatCode>General</c:formatCode>
                <c:ptCount val="2"/>
                <c:pt idx="0">
                  <c:v>2007</c:v>
                </c:pt>
                <c:pt idx="1">
                  <c:v>2013</c:v>
                </c:pt>
              </c:numCache>
            </c:numRef>
          </c:cat>
          <c:val>
            <c:numRef>
              <c:f>Data!$F$14:$G$14</c:f>
              <c:numCache>
                <c:formatCode>General</c:formatCode>
                <c:ptCount val="2"/>
                <c:pt idx="0">
                  <c:v>8</c:v>
                </c:pt>
                <c:pt idx="1">
                  <c:v>24.4</c:v>
                </c:pt>
              </c:numCache>
            </c:numRef>
          </c:val>
        </c:ser>
        <c:ser>
          <c:idx val="2"/>
          <c:order val="2"/>
          <c:tx>
            <c:strRef>
              <c:f>Data!$E$15</c:f>
              <c:strCache>
                <c:ptCount val="1"/>
                <c:pt idx="0">
                  <c:v>Extranjeros comunitarios</c:v>
                </c:pt>
              </c:strCache>
            </c:strRef>
          </c:tx>
          <c:dLbls>
            <c:dLbl>
              <c:idx val="1"/>
              <c:layout>
                <c:manualLayout>
                  <c:x val="-1.6666666666666701E-2"/>
                  <c:y val="0"/>
                </c:manualLayout>
              </c:layout>
              <c:showVal val="1"/>
            </c:dLbl>
            <c:showVal val="1"/>
          </c:dLbls>
          <c:cat>
            <c:numRef>
              <c:f>Data!$F$12:$G$12</c:f>
              <c:numCache>
                <c:formatCode>General</c:formatCode>
                <c:ptCount val="2"/>
                <c:pt idx="0">
                  <c:v>2007</c:v>
                </c:pt>
                <c:pt idx="1">
                  <c:v>2013</c:v>
                </c:pt>
              </c:numCache>
            </c:numRef>
          </c:cat>
          <c:val>
            <c:numRef>
              <c:f>Data!$F$15:$G$15</c:f>
              <c:numCache>
                <c:formatCode>General</c:formatCode>
                <c:ptCount val="2"/>
                <c:pt idx="0">
                  <c:v>11.5</c:v>
                </c:pt>
                <c:pt idx="1">
                  <c:v>29.9</c:v>
                </c:pt>
              </c:numCache>
            </c:numRef>
          </c:val>
        </c:ser>
        <c:ser>
          <c:idx val="3"/>
          <c:order val="3"/>
          <c:tx>
            <c:strRef>
              <c:f>Data!$E$16</c:f>
              <c:strCache>
                <c:ptCount val="1"/>
                <c:pt idx="0">
                  <c:v>Extranjeros no comunitarios</c:v>
                </c:pt>
              </c:strCache>
            </c:strRef>
          </c:tx>
          <c:dLbls>
            <c:dLbl>
              <c:idx val="0"/>
              <c:layout>
                <c:manualLayout>
                  <c:x val="0"/>
                  <c:y val="-1.8518518518518583E-2"/>
                </c:manualLayout>
              </c:layout>
              <c:showVal val="1"/>
            </c:dLbl>
            <c:showVal val="1"/>
          </c:dLbls>
          <c:cat>
            <c:numRef>
              <c:f>Data!$F$12:$G$12</c:f>
              <c:numCache>
                <c:formatCode>General</c:formatCode>
                <c:ptCount val="2"/>
                <c:pt idx="0">
                  <c:v>2007</c:v>
                </c:pt>
                <c:pt idx="1">
                  <c:v>2013</c:v>
                </c:pt>
              </c:numCache>
            </c:numRef>
          </c:cat>
          <c:val>
            <c:numRef>
              <c:f>Data!$F$16:$G$16</c:f>
              <c:numCache>
                <c:formatCode>General</c:formatCode>
                <c:ptCount val="2"/>
                <c:pt idx="0">
                  <c:v>12.8</c:v>
                </c:pt>
                <c:pt idx="1">
                  <c:v>40.200000000000003</c:v>
                </c:pt>
              </c:numCache>
            </c:numRef>
          </c:val>
        </c:ser>
        <c:axId val="83851520"/>
        <c:axId val="83857408"/>
      </c:barChart>
      <c:catAx>
        <c:axId val="83851520"/>
        <c:scaling>
          <c:orientation val="minMax"/>
        </c:scaling>
        <c:axPos val="b"/>
        <c:numFmt formatCode="General" sourceLinked="1"/>
        <c:tickLblPos val="nextTo"/>
        <c:crossAx val="83857408"/>
        <c:crosses val="autoZero"/>
        <c:auto val="1"/>
        <c:lblAlgn val="ctr"/>
        <c:lblOffset val="100"/>
      </c:catAx>
      <c:valAx>
        <c:axId val="83857408"/>
        <c:scaling>
          <c:orientation val="minMax"/>
        </c:scaling>
        <c:axPos val="l"/>
        <c:majorGridlines/>
        <c:numFmt formatCode="#,##0.0" sourceLinked="1"/>
        <c:tickLblPos val="nextTo"/>
        <c:crossAx val="83851520"/>
        <c:crosses val="autoZero"/>
        <c:crossBetween val="between"/>
      </c:valAx>
    </c:plotArea>
    <c:legend>
      <c:legendPos val="r"/>
    </c:legend>
    <c:plotVisOnly val="1"/>
  </c:chart>
  <c:externalData r:id="rId1"/>
</c:chartSpace>
</file>

<file path=word/charts/chart9.xml><?xml version="1.0" encoding="utf-8"?>
<c:chartSpace xmlns:c="http://schemas.openxmlformats.org/drawingml/2006/chart" xmlns:a="http://schemas.openxmlformats.org/drawingml/2006/main" xmlns:r="http://schemas.openxmlformats.org/officeDocument/2006/relationships">
  <c:date1904 val="1"/>
  <c:lang val="es-ES"/>
  <c:style val="32"/>
  <c:chart>
    <c:autoTitleDeleted val="1"/>
    <c:plotArea>
      <c:layout>
        <c:manualLayout>
          <c:layoutTarget val="inner"/>
          <c:xMode val="edge"/>
          <c:yMode val="edge"/>
          <c:x val="0.30789221220306245"/>
          <c:y val="3.9963669391462307E-2"/>
          <c:w val="0.58611936623979233"/>
          <c:h val="0.90554041780199823"/>
        </c:manualLayout>
      </c:layout>
      <c:barChart>
        <c:barDir val="bar"/>
        <c:grouping val="clustered"/>
        <c:ser>
          <c:idx val="0"/>
          <c:order val="0"/>
          <c:dPt>
            <c:idx val="8"/>
            <c:spPr>
              <a:solidFill>
                <a:schemeClr val="accent1"/>
              </a:solidFill>
            </c:spPr>
          </c:dPt>
          <c:dLbls>
            <c:dLbl>
              <c:idx val="0"/>
              <c:layout>
                <c:manualLayout>
                  <c:x val="0"/>
                  <c:y val="2.5856973995271881E-2"/>
                </c:manualLayout>
              </c:layout>
              <c:showVal val="1"/>
            </c:dLbl>
            <c:showVal val="1"/>
          </c:dLbls>
          <c:cat>
            <c:strRef>
              <c:f>[pcaxis1199605500.xls]pcaxis!$C$11:$C$30</c:f>
              <c:strCache>
                <c:ptCount val="20"/>
                <c:pt idx="0">
                  <c:v>Ceuta</c:v>
                </c:pt>
                <c:pt idx="1">
                  <c:v>Andalucia</c:v>
                </c:pt>
                <c:pt idx="2">
                  <c:v>Melilla</c:v>
                </c:pt>
                <c:pt idx="3">
                  <c:v>Canarias</c:v>
                </c:pt>
                <c:pt idx="4">
                  <c:v>Extremadura</c:v>
                </c:pt>
                <c:pt idx="5">
                  <c:v>Castilla - La Mancha</c:v>
                </c:pt>
                <c:pt idx="6">
                  <c:v>Región de Murcia</c:v>
                </c:pt>
                <c:pt idx="7">
                  <c:v>Comunidad Valenciana</c:v>
                </c:pt>
                <c:pt idx="8">
                  <c:v>Media nacional,</c:v>
                </c:pt>
                <c:pt idx="9">
                  <c:v>Islas Baleares</c:v>
                </c:pt>
                <c:pt idx="10">
                  <c:v>Cataluña</c:v>
                </c:pt>
                <c:pt idx="11">
                  <c:v>Principado de Asturias</c:v>
                </c:pt>
                <c:pt idx="12">
                  <c:v>Castilla y León</c:v>
                </c:pt>
                <c:pt idx="13">
                  <c:v>Galicia</c:v>
                </c:pt>
                <c:pt idx="14">
                  <c:v>Comunidad de Madrid</c:v>
                </c:pt>
                <c:pt idx="15">
                  <c:v>Aragón</c:v>
                </c:pt>
                <c:pt idx="16">
                  <c:v>Cantabria</c:v>
                </c:pt>
                <c:pt idx="17">
                  <c:v>La Rioja</c:v>
                </c:pt>
                <c:pt idx="18">
                  <c:v>Comunidad Foral de Navarra</c:v>
                </c:pt>
                <c:pt idx="19">
                  <c:v>País Vasco</c:v>
                </c:pt>
              </c:strCache>
            </c:strRef>
          </c:cat>
          <c:val>
            <c:numRef>
              <c:f>[pcaxis1199605500.xls]pcaxis!$B$11:$B$30</c:f>
              <c:numCache>
                <c:formatCode>General</c:formatCode>
                <c:ptCount val="20"/>
                <c:pt idx="0">
                  <c:v>36.82</c:v>
                </c:pt>
                <c:pt idx="1">
                  <c:v>36.32</c:v>
                </c:pt>
                <c:pt idx="2">
                  <c:v>35.36</c:v>
                </c:pt>
                <c:pt idx="3">
                  <c:v>33.18</c:v>
                </c:pt>
                <c:pt idx="4">
                  <c:v>32.290000000000013</c:v>
                </c:pt>
                <c:pt idx="5">
                  <c:v>29.16</c:v>
                </c:pt>
                <c:pt idx="6">
                  <c:v>28.979999999999986</c:v>
                </c:pt>
                <c:pt idx="7">
                  <c:v>27.91</c:v>
                </c:pt>
                <c:pt idx="8">
                  <c:v>26.03</c:v>
                </c:pt>
                <c:pt idx="9">
                  <c:v>22.91</c:v>
                </c:pt>
                <c:pt idx="10">
                  <c:v>22.259999999999987</c:v>
                </c:pt>
                <c:pt idx="11">
                  <c:v>22.25</c:v>
                </c:pt>
                <c:pt idx="12">
                  <c:v>22.03</c:v>
                </c:pt>
                <c:pt idx="13">
                  <c:v>21.959999999999987</c:v>
                </c:pt>
                <c:pt idx="14">
                  <c:v>21.03</c:v>
                </c:pt>
                <c:pt idx="15">
                  <c:v>20.57</c:v>
                </c:pt>
                <c:pt idx="16">
                  <c:v>20.059999999999999</c:v>
                </c:pt>
                <c:pt idx="17">
                  <c:v>20.05</c:v>
                </c:pt>
                <c:pt idx="18">
                  <c:v>16.829999999999988</c:v>
                </c:pt>
                <c:pt idx="19">
                  <c:v>15.76</c:v>
                </c:pt>
              </c:numCache>
            </c:numRef>
          </c:val>
        </c:ser>
        <c:dLbls>
          <c:showVal val="1"/>
        </c:dLbls>
        <c:axId val="83873792"/>
        <c:axId val="83875328"/>
      </c:barChart>
      <c:catAx>
        <c:axId val="83873792"/>
        <c:scaling>
          <c:orientation val="minMax"/>
        </c:scaling>
        <c:axPos val="l"/>
        <c:majorTickMark val="none"/>
        <c:tickLblPos val="nextTo"/>
        <c:crossAx val="83875328"/>
        <c:crosses val="autoZero"/>
        <c:auto val="1"/>
        <c:lblAlgn val="ctr"/>
        <c:lblOffset val="100"/>
      </c:catAx>
      <c:valAx>
        <c:axId val="83875328"/>
        <c:scaling>
          <c:orientation val="minMax"/>
        </c:scaling>
        <c:delete val="1"/>
        <c:axPos val="b"/>
        <c:numFmt formatCode="General" sourceLinked="1"/>
        <c:majorTickMark val="none"/>
        <c:tickLblPos val="none"/>
        <c:crossAx val="83873792"/>
        <c:crosses val="autoZero"/>
        <c:crossBetween val="between"/>
      </c:valAx>
    </c:plotArea>
    <c:plotVisOnly val="1"/>
    <c:dispBlanksAs val="gap"/>
  </c:chart>
  <c:externalData r:id="rId1"/>
</c:chartSpace>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2D7E66EB-6AF6-41AA-9C37-5FBE765BE27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111</TotalTime>
  <Pages>1</Pages>
  <Words>9842</Words>
  <Characters>54131</Characters>
  <Application>Microsoft Office Word</Application>
  <DocSecurity>0</DocSecurity>
  <Lines>451</Lines>
  <Paragraphs>127</Paragraphs>
  <ScaleCrop>false</ScaleCrop>
  <HeadingPairs>
    <vt:vector size="2" baseType="variant">
      <vt:variant>
        <vt:lpstr>Título</vt:lpstr>
      </vt:variant>
      <vt:variant>
        <vt:i4>1</vt:i4>
      </vt:variant>
    </vt:vector>
  </HeadingPairs>
  <TitlesOfParts>
    <vt:vector size="1" baseType="lpstr">
      <vt:lpstr>Portada TFG</vt:lpstr>
    </vt:vector>
  </TitlesOfParts>
  <Company>Universidad de Jaén</Company>
  <LinksUpToDate>false</LinksUpToDate>
  <CharactersWithSpaces>63846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Portada TFG</dc:title>
  <dc:creator>UJA</dc:creator>
  <cp:keywords>Portada TFG</cp:keywords>
  <cp:lastModifiedBy>MI PC</cp:lastModifiedBy>
  <cp:revision>12</cp:revision>
  <cp:lastPrinted>2014-06-21T13:41:00Z</cp:lastPrinted>
  <dcterms:created xsi:type="dcterms:W3CDTF">2014-06-21T10:58:00Z</dcterms:created>
  <dcterms:modified xsi:type="dcterms:W3CDTF">2014-06-21T13:42:00Z</dcterms:modified>
</cp:coreProperties>
</file>